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110A1E" w14:textId="1F23A0CF" w:rsidR="00663F75" w:rsidRPr="00237760" w:rsidRDefault="00293941" w:rsidP="00FB0EA1">
      <w:pPr>
        <w:spacing w:before="600"/>
        <w:jc w:val="left"/>
        <w:rPr>
          <w:rFonts w:ascii="Arial" w:hAnsi="Arial" w:cs="Arial"/>
          <w:b/>
          <w:color w:val="auto"/>
          <w:sz w:val="36"/>
          <w:szCs w:val="36"/>
        </w:rPr>
      </w:pPr>
      <w:bookmarkStart w:id="0" w:name="_GoBack"/>
      <w:bookmarkEnd w:id="0"/>
      <w:r w:rsidRPr="00237760">
        <w:rPr>
          <w:rFonts w:ascii="Arial" w:hAnsi="Arial" w:cs="Arial"/>
          <w:b/>
          <w:color w:val="auto"/>
          <w:sz w:val="36"/>
          <w:szCs w:val="36"/>
        </w:rPr>
        <w:t xml:space="preserve">Ewaluacja </w:t>
      </w:r>
      <w:r w:rsidR="006B097E" w:rsidRPr="00237760">
        <w:rPr>
          <w:rFonts w:ascii="Arial" w:hAnsi="Arial" w:cs="Arial"/>
          <w:b/>
          <w:color w:val="auto"/>
          <w:sz w:val="36"/>
          <w:szCs w:val="36"/>
        </w:rPr>
        <w:t>ex ante</w:t>
      </w:r>
      <w:r w:rsidRPr="00237760">
        <w:rPr>
          <w:rFonts w:ascii="Arial" w:hAnsi="Arial" w:cs="Arial"/>
          <w:b/>
          <w:color w:val="auto"/>
          <w:sz w:val="36"/>
          <w:szCs w:val="36"/>
        </w:rPr>
        <w:t xml:space="preserve"> projektu</w:t>
      </w:r>
    </w:p>
    <w:p w14:paraId="682CF5E9" w14:textId="23F3C8DE" w:rsidR="00A37590" w:rsidRPr="00237760" w:rsidRDefault="004E3BDF" w:rsidP="00FB0EA1">
      <w:pPr>
        <w:spacing w:after="6720"/>
        <w:jc w:val="left"/>
        <w:rPr>
          <w:rFonts w:ascii="Arial" w:hAnsi="Arial" w:cs="Arial"/>
          <w:color w:val="auto"/>
          <w:sz w:val="24"/>
          <w:szCs w:val="24"/>
        </w:rPr>
      </w:pPr>
      <w:r w:rsidRPr="00237760">
        <w:rPr>
          <w:rFonts w:ascii="Arial" w:hAnsi="Arial" w:cs="Arial"/>
          <w:b/>
          <w:color w:val="auto"/>
          <w:sz w:val="36"/>
          <w:szCs w:val="36"/>
        </w:rPr>
        <w:t>Programu Strategicznego Rozwoju Transportu Województwa Podkarpackiego do roku 2030</w:t>
      </w:r>
    </w:p>
    <w:p w14:paraId="1CB001B0" w14:textId="1BCD39C1" w:rsidR="00564CDD" w:rsidRPr="00237760" w:rsidRDefault="00237760" w:rsidP="00751D5A">
      <w:pPr>
        <w:spacing w:after="2040"/>
        <w:jc w:val="left"/>
        <w:rPr>
          <w:rFonts w:ascii="Arial" w:hAnsi="Arial" w:cs="Arial"/>
          <w:color w:val="auto"/>
          <w:sz w:val="24"/>
          <w:szCs w:val="24"/>
        </w:rPr>
      </w:pPr>
      <w:r w:rsidRPr="00237760">
        <w:rPr>
          <w:rFonts w:ascii="Arial" w:hAnsi="Arial" w:cs="Arial"/>
          <w:noProof/>
          <w:color w:val="auto"/>
          <w:sz w:val="24"/>
          <w:szCs w:val="24"/>
          <w:lang w:eastAsia="pl-PL"/>
        </w:rPr>
        <w:drawing>
          <wp:anchor distT="0" distB="0" distL="114300" distR="114300" simplePos="0" relativeHeight="251658255" behindDoc="1" locked="0" layoutInCell="1" allowOverlap="1" wp14:anchorId="03EDA0CA" wp14:editId="199CC298">
            <wp:simplePos x="0" y="0"/>
            <wp:positionH relativeFrom="margin">
              <wp:posOffset>-134718</wp:posOffset>
            </wp:positionH>
            <wp:positionV relativeFrom="paragraph">
              <wp:posOffset>85166</wp:posOffset>
            </wp:positionV>
            <wp:extent cx="2271395" cy="719455"/>
            <wp:effectExtent l="0" t="0" r="0" b="4445"/>
            <wp:wrapTight wrapText="bothSides">
              <wp:wrapPolygon edited="0">
                <wp:start x="3442" y="0"/>
                <wp:lineTo x="1087" y="2288"/>
                <wp:lineTo x="1268" y="8007"/>
                <wp:lineTo x="0" y="9723"/>
                <wp:lineTo x="0" y="18302"/>
                <wp:lineTo x="3261" y="21162"/>
                <wp:lineTo x="18297" y="21162"/>
                <wp:lineTo x="21377" y="18302"/>
                <wp:lineTo x="21377" y="9723"/>
                <wp:lineTo x="10688" y="9151"/>
                <wp:lineTo x="8877" y="2860"/>
                <wp:lineTo x="7609" y="572"/>
                <wp:lineTo x="5797" y="0"/>
                <wp:lineTo x="3442" y="0"/>
              </wp:wrapPolygon>
            </wp:wrapTight>
            <wp:docPr id="4" name="Obraz 4" descr="Logo z napisem GeoProfit, Strategia – Badania - Doradztwo">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1395" cy="719455"/>
                    </a:xfrm>
                    <a:prstGeom prst="rect">
                      <a:avLst/>
                    </a:prstGeom>
                  </pic:spPr>
                </pic:pic>
              </a:graphicData>
            </a:graphic>
            <wp14:sizeRelH relativeFrom="margin">
              <wp14:pctWidth>0</wp14:pctWidth>
            </wp14:sizeRelH>
            <wp14:sizeRelV relativeFrom="margin">
              <wp14:pctHeight>0</wp14:pctHeight>
            </wp14:sizeRelV>
          </wp:anchor>
        </w:drawing>
      </w:r>
    </w:p>
    <w:p w14:paraId="36CD6615" w14:textId="30EFBF44" w:rsidR="00A37590" w:rsidRPr="00237760" w:rsidRDefault="00A37590" w:rsidP="009367B4">
      <w:pPr>
        <w:jc w:val="left"/>
        <w:rPr>
          <w:rFonts w:ascii="Arial" w:hAnsi="Arial" w:cs="Arial"/>
          <w:color w:val="auto"/>
          <w:sz w:val="24"/>
          <w:szCs w:val="24"/>
        </w:rPr>
      </w:pPr>
      <w:r w:rsidRPr="00237760">
        <w:rPr>
          <w:rFonts w:ascii="Arial" w:hAnsi="Arial" w:cs="Arial"/>
          <w:color w:val="auto"/>
          <w:sz w:val="24"/>
          <w:szCs w:val="24"/>
        </w:rPr>
        <w:t>Warszawa</w:t>
      </w:r>
      <w:r w:rsidR="00394F3C" w:rsidRPr="00237760">
        <w:rPr>
          <w:rFonts w:ascii="Arial" w:hAnsi="Arial" w:cs="Arial"/>
          <w:color w:val="auto"/>
          <w:sz w:val="24"/>
          <w:szCs w:val="24"/>
        </w:rPr>
        <w:t xml:space="preserve"> – Rzeszów</w:t>
      </w:r>
      <w:r w:rsidRPr="00237760">
        <w:rPr>
          <w:rFonts w:ascii="Arial" w:hAnsi="Arial" w:cs="Arial"/>
          <w:color w:val="auto"/>
          <w:sz w:val="24"/>
          <w:szCs w:val="24"/>
        </w:rPr>
        <w:t xml:space="preserve">, </w:t>
      </w:r>
      <w:r w:rsidR="00394F3C" w:rsidRPr="00237760">
        <w:rPr>
          <w:rFonts w:ascii="Arial" w:hAnsi="Arial" w:cs="Arial"/>
          <w:color w:val="auto"/>
          <w:sz w:val="24"/>
          <w:szCs w:val="24"/>
        </w:rPr>
        <w:t xml:space="preserve">kwiecień </w:t>
      </w:r>
      <w:r w:rsidR="00747883" w:rsidRPr="00237760">
        <w:rPr>
          <w:rFonts w:ascii="Arial" w:hAnsi="Arial" w:cs="Arial"/>
          <w:color w:val="auto"/>
          <w:sz w:val="24"/>
          <w:szCs w:val="24"/>
        </w:rPr>
        <w:t>2022</w:t>
      </w:r>
      <w:r w:rsidR="00B43397" w:rsidRPr="00237760">
        <w:rPr>
          <w:rFonts w:ascii="Arial" w:hAnsi="Arial" w:cs="Arial"/>
          <w:color w:val="auto"/>
          <w:sz w:val="24"/>
          <w:szCs w:val="24"/>
        </w:rPr>
        <w:t xml:space="preserve"> </w:t>
      </w:r>
      <w:r w:rsidRPr="00237760">
        <w:rPr>
          <w:rFonts w:ascii="Arial" w:hAnsi="Arial" w:cs="Arial"/>
          <w:color w:val="auto"/>
          <w:sz w:val="24"/>
          <w:szCs w:val="24"/>
        </w:rPr>
        <w:t>r.</w:t>
      </w:r>
    </w:p>
    <w:p w14:paraId="097C6B8D" w14:textId="4CF539FA" w:rsidR="00C8632B" w:rsidRPr="00237760" w:rsidRDefault="00564CDD" w:rsidP="005A3D69">
      <w:pPr>
        <w:spacing w:after="160" w:line="259" w:lineRule="auto"/>
        <w:jc w:val="left"/>
        <w:rPr>
          <w:rFonts w:ascii="Arial" w:hAnsi="Arial" w:cs="Arial"/>
          <w:color w:val="auto"/>
          <w:sz w:val="24"/>
          <w:szCs w:val="24"/>
        </w:rPr>
      </w:pPr>
      <w:r w:rsidRPr="00237760">
        <w:rPr>
          <w:rFonts w:ascii="Arial" w:hAnsi="Arial" w:cs="Arial"/>
          <w:color w:val="auto"/>
          <w:sz w:val="24"/>
          <w:szCs w:val="24"/>
        </w:rPr>
        <w:br w:type="page"/>
      </w:r>
    </w:p>
    <w:p w14:paraId="4C76ED52" w14:textId="544909A6" w:rsidR="00241576" w:rsidRPr="00237760" w:rsidRDefault="00C66968" w:rsidP="009367B4">
      <w:pPr>
        <w:jc w:val="left"/>
        <w:rPr>
          <w:rFonts w:ascii="Arial" w:hAnsi="Arial" w:cs="Arial"/>
          <w:color w:val="auto"/>
          <w:sz w:val="24"/>
          <w:szCs w:val="24"/>
        </w:rPr>
      </w:pPr>
      <w:r w:rsidRPr="00237760">
        <w:rPr>
          <w:rFonts w:ascii="Arial" w:hAnsi="Arial" w:cs="Arial"/>
          <w:color w:val="auto"/>
          <w:sz w:val="24"/>
          <w:szCs w:val="24"/>
        </w:rPr>
        <w:lastRenderedPageBreak/>
        <w:t>Opracowanie wykonane przez zespół Geoprofit w składzie:</w:t>
      </w:r>
    </w:p>
    <w:p w14:paraId="5E49DFD4" w14:textId="5B9832F3" w:rsidR="00663F75" w:rsidRPr="00237760" w:rsidRDefault="00E966E5" w:rsidP="009367B4">
      <w:pPr>
        <w:spacing w:after="0"/>
        <w:jc w:val="left"/>
        <w:rPr>
          <w:rFonts w:ascii="Arial" w:hAnsi="Arial" w:cs="Arial"/>
          <w:b/>
          <w:bCs/>
          <w:color w:val="auto"/>
          <w:sz w:val="24"/>
          <w:szCs w:val="24"/>
        </w:rPr>
      </w:pPr>
      <w:r w:rsidRPr="00237760">
        <w:rPr>
          <w:rFonts w:ascii="Arial" w:hAnsi="Arial" w:cs="Arial"/>
          <w:b/>
          <w:bCs/>
          <w:color w:val="auto"/>
          <w:sz w:val="24"/>
          <w:szCs w:val="24"/>
        </w:rPr>
        <w:t>Wojciech Dziemianowicz</w:t>
      </w:r>
    </w:p>
    <w:p w14:paraId="6208001A" w14:textId="43319C41" w:rsidR="00E966E5" w:rsidRPr="00237760" w:rsidRDefault="00E966E5" w:rsidP="009367B4">
      <w:pPr>
        <w:spacing w:after="0"/>
        <w:jc w:val="left"/>
        <w:rPr>
          <w:rFonts w:ascii="Arial" w:hAnsi="Arial" w:cs="Arial"/>
          <w:b/>
          <w:bCs/>
          <w:color w:val="auto"/>
          <w:sz w:val="24"/>
          <w:szCs w:val="24"/>
        </w:rPr>
      </w:pPr>
      <w:r w:rsidRPr="00237760">
        <w:rPr>
          <w:rFonts w:ascii="Arial" w:hAnsi="Arial" w:cs="Arial"/>
          <w:b/>
          <w:bCs/>
          <w:color w:val="auto"/>
          <w:sz w:val="24"/>
          <w:szCs w:val="24"/>
        </w:rPr>
        <w:t>Magdalena Cybulska</w:t>
      </w:r>
    </w:p>
    <w:p w14:paraId="467097B3" w14:textId="3AC96D2E" w:rsidR="00B23F97" w:rsidRPr="00237760" w:rsidRDefault="0064498A" w:rsidP="009367B4">
      <w:pPr>
        <w:spacing w:after="0"/>
        <w:jc w:val="left"/>
        <w:rPr>
          <w:rFonts w:ascii="Arial" w:hAnsi="Arial" w:cs="Arial"/>
          <w:b/>
          <w:bCs/>
          <w:color w:val="auto"/>
          <w:sz w:val="24"/>
          <w:szCs w:val="24"/>
        </w:rPr>
      </w:pPr>
      <w:r w:rsidRPr="00237760">
        <w:rPr>
          <w:rFonts w:ascii="Arial" w:hAnsi="Arial" w:cs="Arial"/>
          <w:b/>
          <w:bCs/>
          <w:color w:val="auto"/>
          <w:sz w:val="24"/>
          <w:szCs w:val="24"/>
        </w:rPr>
        <w:t>Michał Stokowski</w:t>
      </w:r>
    </w:p>
    <w:p w14:paraId="1349C5E7" w14:textId="442E7BB8" w:rsidR="00E966E5" w:rsidRPr="00237760" w:rsidRDefault="00E966E5" w:rsidP="009367B4">
      <w:pPr>
        <w:spacing w:after="0"/>
        <w:jc w:val="left"/>
        <w:rPr>
          <w:rFonts w:ascii="Arial" w:hAnsi="Arial" w:cs="Arial"/>
          <w:b/>
          <w:bCs/>
          <w:color w:val="auto"/>
          <w:sz w:val="24"/>
          <w:szCs w:val="24"/>
        </w:rPr>
      </w:pPr>
      <w:r w:rsidRPr="00237760">
        <w:rPr>
          <w:rFonts w:ascii="Arial" w:hAnsi="Arial" w:cs="Arial"/>
          <w:b/>
          <w:bCs/>
          <w:color w:val="auto"/>
          <w:sz w:val="24"/>
          <w:szCs w:val="24"/>
        </w:rPr>
        <w:t>Jan Goliński</w:t>
      </w:r>
    </w:p>
    <w:p w14:paraId="5DCADDAF" w14:textId="4AA76BA0" w:rsidR="00F86BFE" w:rsidRPr="00237760" w:rsidRDefault="00F86BFE" w:rsidP="009367B4">
      <w:pPr>
        <w:spacing w:after="0"/>
        <w:jc w:val="left"/>
        <w:rPr>
          <w:rFonts w:ascii="Arial" w:hAnsi="Arial" w:cs="Arial"/>
          <w:b/>
          <w:bCs/>
          <w:color w:val="auto"/>
          <w:sz w:val="24"/>
          <w:szCs w:val="24"/>
        </w:rPr>
      </w:pPr>
      <w:r w:rsidRPr="00237760">
        <w:rPr>
          <w:rFonts w:ascii="Arial" w:hAnsi="Arial" w:cs="Arial"/>
          <w:b/>
          <w:bCs/>
          <w:color w:val="auto"/>
          <w:sz w:val="24"/>
          <w:szCs w:val="24"/>
        </w:rPr>
        <w:t>Dominika Płaczek</w:t>
      </w:r>
    </w:p>
    <w:p w14:paraId="4B276C2E" w14:textId="77777777" w:rsidR="00C41342" w:rsidRPr="00237760" w:rsidRDefault="00C41342" w:rsidP="009367B4">
      <w:pPr>
        <w:spacing w:after="0"/>
        <w:jc w:val="left"/>
        <w:rPr>
          <w:rFonts w:ascii="Arial" w:hAnsi="Arial" w:cs="Arial"/>
          <w:b/>
          <w:bCs/>
          <w:color w:val="auto"/>
          <w:sz w:val="24"/>
          <w:szCs w:val="24"/>
        </w:rPr>
      </w:pPr>
      <w:r w:rsidRPr="00237760">
        <w:rPr>
          <w:rFonts w:ascii="Arial" w:hAnsi="Arial" w:cs="Arial"/>
          <w:b/>
          <w:bCs/>
          <w:color w:val="auto"/>
          <w:sz w:val="24"/>
          <w:szCs w:val="24"/>
        </w:rPr>
        <w:t>Samuel Turosz</w:t>
      </w:r>
    </w:p>
    <w:p w14:paraId="5E4C0C6A" w14:textId="7364AF91" w:rsidR="002C69EF" w:rsidRPr="00237760" w:rsidRDefault="002C69EF" w:rsidP="009367B4">
      <w:pPr>
        <w:spacing w:after="0"/>
        <w:jc w:val="left"/>
        <w:rPr>
          <w:rFonts w:ascii="Arial" w:hAnsi="Arial" w:cs="Arial"/>
          <w:b/>
          <w:bCs/>
          <w:color w:val="auto"/>
          <w:sz w:val="24"/>
          <w:szCs w:val="24"/>
        </w:rPr>
      </w:pPr>
      <w:r w:rsidRPr="00237760">
        <w:rPr>
          <w:rFonts w:ascii="Arial" w:hAnsi="Arial" w:cs="Arial"/>
          <w:b/>
          <w:bCs/>
          <w:color w:val="auto"/>
          <w:sz w:val="24"/>
          <w:szCs w:val="24"/>
        </w:rPr>
        <w:t>Karolina Kurzawa</w:t>
      </w:r>
    </w:p>
    <w:p w14:paraId="07DAFCC6" w14:textId="76BDFD7D" w:rsidR="001F49AC" w:rsidRPr="005A3D69" w:rsidRDefault="002C69EF" w:rsidP="005A3D69">
      <w:pPr>
        <w:spacing w:after="360"/>
        <w:jc w:val="left"/>
        <w:rPr>
          <w:rFonts w:ascii="Arial" w:hAnsi="Arial" w:cs="Arial"/>
          <w:b/>
          <w:bCs/>
          <w:color w:val="auto"/>
          <w:sz w:val="24"/>
          <w:szCs w:val="24"/>
        </w:rPr>
      </w:pPr>
      <w:r w:rsidRPr="00237760">
        <w:rPr>
          <w:rFonts w:ascii="Arial" w:hAnsi="Arial" w:cs="Arial"/>
          <w:b/>
          <w:bCs/>
          <w:color w:val="auto"/>
          <w:sz w:val="24"/>
          <w:szCs w:val="24"/>
        </w:rPr>
        <w:t>Martyna Uziębło</w:t>
      </w:r>
    </w:p>
    <w:p w14:paraId="2CD4729C" w14:textId="6F894101" w:rsidR="00775F0D" w:rsidRPr="00237760" w:rsidRDefault="00DC302E" w:rsidP="009367B4">
      <w:pPr>
        <w:jc w:val="left"/>
        <w:rPr>
          <w:rFonts w:ascii="Arial" w:hAnsi="Arial" w:cs="Arial"/>
          <w:color w:val="auto"/>
          <w:sz w:val="24"/>
          <w:szCs w:val="24"/>
        </w:rPr>
      </w:pPr>
      <w:r w:rsidRPr="00237760">
        <w:rPr>
          <w:rFonts w:ascii="Arial" w:hAnsi="Arial" w:cs="Arial"/>
          <w:color w:val="auto"/>
          <w:sz w:val="24"/>
          <w:szCs w:val="24"/>
        </w:rPr>
        <w:t>Autorzy dziękują wszystkim osobom</w:t>
      </w:r>
      <w:r w:rsidR="007459B1" w:rsidRPr="00237760">
        <w:rPr>
          <w:rFonts w:ascii="Arial" w:hAnsi="Arial" w:cs="Arial"/>
          <w:color w:val="auto"/>
          <w:sz w:val="24"/>
          <w:szCs w:val="24"/>
        </w:rPr>
        <w:t xml:space="preserve">, które </w:t>
      </w:r>
      <w:r w:rsidR="00C41342" w:rsidRPr="00237760">
        <w:rPr>
          <w:rFonts w:ascii="Arial" w:hAnsi="Arial" w:cs="Arial"/>
          <w:color w:val="auto"/>
          <w:sz w:val="24"/>
          <w:szCs w:val="24"/>
        </w:rPr>
        <w:t>zgodziły się po</w:t>
      </w:r>
      <w:r w:rsidR="007459B1" w:rsidRPr="00237760">
        <w:rPr>
          <w:rFonts w:ascii="Arial" w:hAnsi="Arial" w:cs="Arial"/>
          <w:color w:val="auto"/>
          <w:sz w:val="24"/>
          <w:szCs w:val="24"/>
        </w:rPr>
        <w:t>dzieli</w:t>
      </w:r>
      <w:r w:rsidR="00C41342" w:rsidRPr="00237760">
        <w:rPr>
          <w:rFonts w:ascii="Arial" w:hAnsi="Arial" w:cs="Arial"/>
          <w:color w:val="auto"/>
          <w:sz w:val="24"/>
          <w:szCs w:val="24"/>
        </w:rPr>
        <w:t>ć</w:t>
      </w:r>
      <w:r w:rsidR="007459B1" w:rsidRPr="00237760">
        <w:rPr>
          <w:rFonts w:ascii="Arial" w:hAnsi="Arial" w:cs="Arial"/>
          <w:color w:val="auto"/>
          <w:sz w:val="24"/>
          <w:szCs w:val="24"/>
        </w:rPr>
        <w:t xml:space="preserve"> swoją wiedzą</w:t>
      </w:r>
      <w:r w:rsidR="00C41342" w:rsidRPr="00237760">
        <w:rPr>
          <w:rFonts w:ascii="Arial" w:hAnsi="Arial" w:cs="Arial"/>
          <w:color w:val="auto"/>
          <w:sz w:val="24"/>
          <w:szCs w:val="24"/>
        </w:rPr>
        <w:t>, by prezentowane badanie jak najtrafniej odpowiadało na postawione pytania badawcze.</w:t>
      </w:r>
      <w:r w:rsidR="00FE25B8" w:rsidRPr="00237760">
        <w:rPr>
          <w:rFonts w:ascii="Arial" w:hAnsi="Arial" w:cs="Arial"/>
          <w:color w:val="auto"/>
          <w:sz w:val="24"/>
          <w:szCs w:val="24"/>
        </w:rPr>
        <w:t xml:space="preserve"> W szczególności</w:t>
      </w:r>
      <w:r w:rsidR="00E11B92" w:rsidRPr="00237760">
        <w:rPr>
          <w:rFonts w:ascii="Arial" w:hAnsi="Arial" w:cs="Arial"/>
          <w:color w:val="auto"/>
          <w:sz w:val="24"/>
          <w:szCs w:val="24"/>
        </w:rPr>
        <w:t xml:space="preserve"> podziękowania kierowane są do </w:t>
      </w:r>
      <w:r w:rsidR="00EE1A81" w:rsidRPr="00237760">
        <w:rPr>
          <w:rFonts w:ascii="Arial" w:hAnsi="Arial" w:cs="Arial"/>
          <w:color w:val="auto"/>
          <w:sz w:val="24"/>
          <w:szCs w:val="24"/>
        </w:rPr>
        <w:t xml:space="preserve">grona osób, które </w:t>
      </w:r>
      <w:r w:rsidR="001F12AB" w:rsidRPr="00237760">
        <w:rPr>
          <w:rFonts w:ascii="Arial" w:hAnsi="Arial" w:cs="Arial"/>
          <w:color w:val="auto"/>
          <w:sz w:val="24"/>
          <w:szCs w:val="24"/>
        </w:rPr>
        <w:t>zgodziły się podzielić swoimi refleksjami na temat dokumentu w trakcie wywiadów</w:t>
      </w:r>
      <w:r w:rsidR="00A9453A" w:rsidRPr="00237760">
        <w:rPr>
          <w:rFonts w:ascii="Arial" w:hAnsi="Arial" w:cs="Arial"/>
          <w:color w:val="auto"/>
          <w:sz w:val="24"/>
          <w:szCs w:val="24"/>
        </w:rPr>
        <w:t>. Grupę tę tworzyli</w:t>
      </w:r>
      <w:r w:rsidR="003504BC" w:rsidRPr="00237760">
        <w:rPr>
          <w:rFonts w:ascii="Arial" w:hAnsi="Arial" w:cs="Arial"/>
          <w:color w:val="auto"/>
          <w:sz w:val="24"/>
          <w:szCs w:val="24"/>
        </w:rPr>
        <w:t>:</w:t>
      </w:r>
    </w:p>
    <w:p w14:paraId="6BDDE0CF" w14:textId="37586BA0" w:rsidR="00775F0D" w:rsidRPr="00237760" w:rsidRDefault="00ED0CEC" w:rsidP="005A3D69">
      <w:pPr>
        <w:spacing w:after="360"/>
        <w:jc w:val="left"/>
        <w:rPr>
          <w:rFonts w:ascii="Arial" w:hAnsi="Arial" w:cs="Arial"/>
          <w:color w:val="auto"/>
          <w:sz w:val="24"/>
          <w:szCs w:val="24"/>
        </w:rPr>
      </w:pPr>
      <w:r w:rsidRPr="00237760">
        <w:rPr>
          <w:rFonts w:ascii="Arial" w:hAnsi="Arial" w:cs="Arial"/>
          <w:color w:val="auto"/>
          <w:sz w:val="24"/>
          <w:szCs w:val="24"/>
        </w:rPr>
        <w:t xml:space="preserve">Dariusz Bożek, </w:t>
      </w:r>
      <w:r w:rsidR="00E35E2A" w:rsidRPr="00237760">
        <w:rPr>
          <w:rFonts w:ascii="Arial" w:hAnsi="Arial" w:cs="Arial"/>
          <w:color w:val="auto"/>
          <w:sz w:val="24"/>
          <w:szCs w:val="24"/>
        </w:rPr>
        <w:t xml:space="preserve">dr inż. </w:t>
      </w:r>
      <w:r w:rsidR="00C63288" w:rsidRPr="00237760">
        <w:rPr>
          <w:rFonts w:ascii="Arial" w:hAnsi="Arial" w:cs="Arial"/>
          <w:color w:val="auto"/>
          <w:sz w:val="24"/>
          <w:szCs w:val="24"/>
        </w:rPr>
        <w:t xml:space="preserve">Grzegorz </w:t>
      </w:r>
      <w:r w:rsidR="00E35E2A" w:rsidRPr="00237760">
        <w:rPr>
          <w:rFonts w:ascii="Arial" w:hAnsi="Arial" w:cs="Arial"/>
          <w:color w:val="auto"/>
          <w:sz w:val="24"/>
          <w:szCs w:val="24"/>
        </w:rPr>
        <w:t xml:space="preserve">Dzieniszewski, prof. Tomasz Komornicki, </w:t>
      </w:r>
      <w:r w:rsidR="0034591E" w:rsidRPr="00237760">
        <w:rPr>
          <w:rFonts w:ascii="Arial" w:hAnsi="Arial" w:cs="Arial"/>
          <w:color w:val="auto"/>
          <w:sz w:val="24"/>
          <w:szCs w:val="24"/>
        </w:rPr>
        <w:t xml:space="preserve">Tomasz Matuszewski, </w:t>
      </w:r>
      <w:r w:rsidR="006614FF" w:rsidRPr="00237760">
        <w:rPr>
          <w:rFonts w:ascii="Arial" w:hAnsi="Arial" w:cs="Arial"/>
          <w:color w:val="auto"/>
          <w:sz w:val="24"/>
          <w:szCs w:val="24"/>
        </w:rPr>
        <w:t xml:space="preserve">Piotr Przytocki, </w:t>
      </w:r>
      <w:r w:rsidR="00917E03" w:rsidRPr="00237760">
        <w:rPr>
          <w:rFonts w:ascii="Arial" w:hAnsi="Arial" w:cs="Arial"/>
          <w:color w:val="auto"/>
          <w:sz w:val="24"/>
          <w:szCs w:val="24"/>
        </w:rPr>
        <w:t xml:space="preserve">Joanna </w:t>
      </w:r>
      <w:r w:rsidR="00E71F40" w:rsidRPr="00237760">
        <w:rPr>
          <w:rFonts w:ascii="Arial" w:hAnsi="Arial" w:cs="Arial"/>
          <w:color w:val="auto"/>
          <w:sz w:val="24"/>
          <w:szCs w:val="24"/>
        </w:rPr>
        <w:t xml:space="preserve">Szozda, </w:t>
      </w:r>
      <w:r w:rsidR="00001B06" w:rsidRPr="00237760">
        <w:rPr>
          <w:rFonts w:ascii="Arial" w:hAnsi="Arial" w:cs="Arial"/>
          <w:color w:val="auto"/>
          <w:sz w:val="24"/>
          <w:szCs w:val="24"/>
        </w:rPr>
        <w:t>dr Paweł Wais.</w:t>
      </w:r>
    </w:p>
    <w:p w14:paraId="6190DDEA" w14:textId="12754B20" w:rsidR="00C66968" w:rsidRPr="00237760" w:rsidRDefault="00CE26D7" w:rsidP="009367B4">
      <w:pPr>
        <w:jc w:val="left"/>
        <w:rPr>
          <w:rFonts w:ascii="Arial" w:hAnsi="Arial" w:cs="Arial"/>
          <w:color w:val="auto"/>
          <w:sz w:val="24"/>
          <w:szCs w:val="24"/>
        </w:rPr>
      </w:pPr>
      <w:r w:rsidRPr="00237760">
        <w:rPr>
          <w:rFonts w:ascii="Arial" w:hAnsi="Arial" w:cs="Arial"/>
          <w:color w:val="auto"/>
          <w:sz w:val="24"/>
          <w:szCs w:val="24"/>
        </w:rPr>
        <w:t xml:space="preserve">Autorzy dziękują również </w:t>
      </w:r>
      <w:r w:rsidR="00313090" w:rsidRPr="00237760">
        <w:rPr>
          <w:rFonts w:ascii="Arial" w:hAnsi="Arial" w:cs="Arial"/>
          <w:color w:val="auto"/>
          <w:sz w:val="24"/>
          <w:szCs w:val="24"/>
        </w:rPr>
        <w:t>ekspert</w:t>
      </w:r>
      <w:r w:rsidRPr="00237760">
        <w:rPr>
          <w:rFonts w:ascii="Arial" w:hAnsi="Arial" w:cs="Arial"/>
          <w:color w:val="auto"/>
          <w:sz w:val="24"/>
          <w:szCs w:val="24"/>
        </w:rPr>
        <w:t xml:space="preserve">om </w:t>
      </w:r>
      <w:r w:rsidR="00313090" w:rsidRPr="00237760">
        <w:rPr>
          <w:rFonts w:ascii="Arial" w:hAnsi="Arial" w:cs="Arial"/>
          <w:color w:val="auto"/>
          <w:sz w:val="24"/>
          <w:szCs w:val="24"/>
        </w:rPr>
        <w:t>zewnętrzny</w:t>
      </w:r>
      <w:r w:rsidR="00F65111" w:rsidRPr="00237760">
        <w:rPr>
          <w:rFonts w:ascii="Arial" w:hAnsi="Arial" w:cs="Arial"/>
          <w:color w:val="auto"/>
          <w:sz w:val="24"/>
          <w:szCs w:val="24"/>
        </w:rPr>
        <w:t>m</w:t>
      </w:r>
      <w:r w:rsidR="00313090" w:rsidRPr="00237760">
        <w:rPr>
          <w:rFonts w:ascii="Arial" w:hAnsi="Arial" w:cs="Arial"/>
          <w:color w:val="auto"/>
          <w:sz w:val="24"/>
          <w:szCs w:val="24"/>
        </w:rPr>
        <w:t xml:space="preserve"> uczestniczący</w:t>
      </w:r>
      <w:r w:rsidRPr="00237760">
        <w:rPr>
          <w:rFonts w:ascii="Arial" w:hAnsi="Arial" w:cs="Arial"/>
          <w:color w:val="auto"/>
          <w:sz w:val="24"/>
          <w:szCs w:val="24"/>
        </w:rPr>
        <w:t>m</w:t>
      </w:r>
      <w:r w:rsidR="00313090" w:rsidRPr="00237760">
        <w:rPr>
          <w:rFonts w:ascii="Arial" w:hAnsi="Arial" w:cs="Arial"/>
          <w:color w:val="auto"/>
          <w:sz w:val="24"/>
          <w:szCs w:val="24"/>
        </w:rPr>
        <w:t xml:space="preserve"> w panelu ekspertów</w:t>
      </w:r>
      <w:r w:rsidR="00ED09DF" w:rsidRPr="00237760">
        <w:rPr>
          <w:rFonts w:ascii="Arial" w:hAnsi="Arial" w:cs="Arial"/>
          <w:color w:val="auto"/>
          <w:sz w:val="24"/>
          <w:szCs w:val="24"/>
        </w:rPr>
        <w:t>:</w:t>
      </w:r>
      <w:r w:rsidR="00D03890" w:rsidRPr="00237760">
        <w:rPr>
          <w:rFonts w:ascii="Arial" w:hAnsi="Arial" w:cs="Arial"/>
          <w:color w:val="auto"/>
          <w:sz w:val="24"/>
          <w:szCs w:val="24"/>
        </w:rPr>
        <w:t xml:space="preserve"> </w:t>
      </w:r>
      <w:r w:rsidR="00620F99" w:rsidRPr="00237760">
        <w:rPr>
          <w:rFonts w:ascii="Arial" w:hAnsi="Arial" w:cs="Arial"/>
          <w:color w:val="auto"/>
          <w:sz w:val="24"/>
          <w:szCs w:val="24"/>
        </w:rPr>
        <w:t xml:space="preserve">Renacie Mordak, </w:t>
      </w:r>
      <w:r w:rsidR="00F65111" w:rsidRPr="00237760">
        <w:rPr>
          <w:rFonts w:ascii="Arial" w:hAnsi="Arial" w:cs="Arial"/>
          <w:color w:val="auto"/>
          <w:sz w:val="24"/>
          <w:szCs w:val="24"/>
        </w:rPr>
        <w:t xml:space="preserve">dr. hab. inż. </w:t>
      </w:r>
      <w:r w:rsidR="00DB3670" w:rsidRPr="00237760">
        <w:rPr>
          <w:rFonts w:ascii="Arial" w:hAnsi="Arial" w:cs="Arial"/>
          <w:color w:val="auto"/>
          <w:sz w:val="24"/>
          <w:szCs w:val="24"/>
        </w:rPr>
        <w:t xml:space="preserve">Aleksandrowi Orłowskiemu, </w:t>
      </w:r>
      <w:r w:rsidR="00F65111" w:rsidRPr="00237760">
        <w:rPr>
          <w:rFonts w:ascii="Arial" w:hAnsi="Arial" w:cs="Arial"/>
          <w:color w:val="auto"/>
          <w:sz w:val="24"/>
          <w:szCs w:val="24"/>
        </w:rPr>
        <w:t xml:space="preserve">dr. hab. </w:t>
      </w:r>
      <w:r w:rsidR="00564A20" w:rsidRPr="00237760">
        <w:rPr>
          <w:rFonts w:ascii="Arial" w:hAnsi="Arial" w:cs="Arial"/>
          <w:color w:val="auto"/>
          <w:sz w:val="24"/>
          <w:szCs w:val="24"/>
        </w:rPr>
        <w:t xml:space="preserve">Piotrowi Rosikowi, </w:t>
      </w:r>
      <w:r w:rsidR="00F65111" w:rsidRPr="00237760">
        <w:rPr>
          <w:rFonts w:ascii="Arial" w:hAnsi="Arial" w:cs="Arial"/>
          <w:color w:val="auto"/>
          <w:sz w:val="24"/>
          <w:szCs w:val="24"/>
        </w:rPr>
        <w:t xml:space="preserve">dr. </w:t>
      </w:r>
      <w:r w:rsidR="00D03890" w:rsidRPr="00237760">
        <w:rPr>
          <w:rFonts w:ascii="Arial" w:hAnsi="Arial" w:cs="Arial"/>
          <w:color w:val="auto"/>
          <w:sz w:val="24"/>
          <w:szCs w:val="24"/>
        </w:rPr>
        <w:t>Waldemarowi Wilkowi</w:t>
      </w:r>
      <w:r w:rsidR="00DB3670" w:rsidRPr="00237760">
        <w:rPr>
          <w:rFonts w:ascii="Arial" w:hAnsi="Arial" w:cs="Arial"/>
          <w:color w:val="auto"/>
          <w:sz w:val="24"/>
          <w:szCs w:val="24"/>
        </w:rPr>
        <w:t xml:space="preserve"> oraz</w:t>
      </w:r>
      <w:r w:rsidR="00D03890" w:rsidRPr="00237760">
        <w:rPr>
          <w:rFonts w:ascii="Arial" w:hAnsi="Arial" w:cs="Arial"/>
          <w:color w:val="auto"/>
          <w:sz w:val="24"/>
          <w:szCs w:val="24"/>
        </w:rPr>
        <w:t xml:space="preserve"> </w:t>
      </w:r>
      <w:r w:rsidR="00F65111" w:rsidRPr="00237760">
        <w:rPr>
          <w:rFonts w:ascii="Arial" w:hAnsi="Arial" w:cs="Arial"/>
          <w:color w:val="auto"/>
          <w:sz w:val="24"/>
          <w:szCs w:val="24"/>
        </w:rPr>
        <w:t xml:space="preserve">dr. hab. </w:t>
      </w:r>
      <w:r w:rsidR="00F12932" w:rsidRPr="00237760">
        <w:rPr>
          <w:rFonts w:ascii="Arial" w:hAnsi="Arial" w:cs="Arial"/>
          <w:color w:val="auto"/>
          <w:sz w:val="24"/>
          <w:szCs w:val="24"/>
        </w:rPr>
        <w:t>A</w:t>
      </w:r>
      <w:r w:rsidR="00E659E0" w:rsidRPr="00237760">
        <w:rPr>
          <w:rFonts w:ascii="Arial" w:hAnsi="Arial" w:cs="Arial"/>
          <w:color w:val="auto"/>
          <w:sz w:val="24"/>
          <w:szCs w:val="24"/>
        </w:rPr>
        <w:t>damowi Zadrodze</w:t>
      </w:r>
      <w:r w:rsidR="00DB3670" w:rsidRPr="00237760">
        <w:rPr>
          <w:rFonts w:ascii="Arial" w:hAnsi="Arial" w:cs="Arial"/>
          <w:color w:val="auto"/>
          <w:sz w:val="24"/>
          <w:szCs w:val="24"/>
        </w:rPr>
        <w:t>.</w:t>
      </w:r>
      <w:r w:rsidR="00E659E0" w:rsidRPr="00237760">
        <w:rPr>
          <w:rFonts w:ascii="Arial" w:hAnsi="Arial" w:cs="Arial"/>
          <w:color w:val="auto"/>
          <w:sz w:val="24"/>
          <w:szCs w:val="24"/>
        </w:rPr>
        <w:t xml:space="preserve"> </w:t>
      </w:r>
    </w:p>
    <w:p w14:paraId="440DD00A" w14:textId="2B7DC96B" w:rsidR="00CE26D7" w:rsidRPr="00237760" w:rsidRDefault="00194A9C" w:rsidP="00751D5A">
      <w:pPr>
        <w:spacing w:after="1320"/>
        <w:jc w:val="left"/>
        <w:rPr>
          <w:rFonts w:ascii="Arial" w:hAnsi="Arial" w:cs="Arial"/>
          <w:color w:val="auto"/>
          <w:sz w:val="24"/>
          <w:szCs w:val="24"/>
        </w:rPr>
      </w:pPr>
      <w:r w:rsidRPr="00237760">
        <w:rPr>
          <w:rFonts w:ascii="Arial" w:hAnsi="Arial" w:cs="Arial"/>
          <w:noProof/>
          <w:color w:val="auto"/>
          <w:sz w:val="24"/>
          <w:szCs w:val="24"/>
          <w:lang w:eastAsia="pl-PL"/>
        </w:rPr>
        <w:drawing>
          <wp:anchor distT="0" distB="0" distL="114300" distR="114300" simplePos="0" relativeHeight="251658256" behindDoc="1" locked="0" layoutInCell="1" allowOverlap="1" wp14:anchorId="1E88C075" wp14:editId="2DE20C86">
            <wp:simplePos x="0" y="0"/>
            <wp:positionH relativeFrom="margin">
              <wp:posOffset>2040221</wp:posOffset>
            </wp:positionH>
            <wp:positionV relativeFrom="paragraph">
              <wp:posOffset>152968</wp:posOffset>
            </wp:positionV>
            <wp:extent cx="1649730" cy="521970"/>
            <wp:effectExtent l="0" t="0" r="7620" b="0"/>
            <wp:wrapTight wrapText="bothSides">
              <wp:wrapPolygon edited="0">
                <wp:start x="3242" y="0"/>
                <wp:lineTo x="0" y="1577"/>
                <wp:lineTo x="0" y="17343"/>
                <wp:lineTo x="3242" y="20496"/>
                <wp:lineTo x="18457" y="20496"/>
                <wp:lineTo x="19954" y="20496"/>
                <wp:lineTo x="21201" y="16555"/>
                <wp:lineTo x="21450" y="12613"/>
                <wp:lineTo x="21450" y="3153"/>
                <wp:lineTo x="5986" y="0"/>
                <wp:lineTo x="3242" y="0"/>
              </wp:wrapPolygon>
            </wp:wrapTight>
            <wp:docPr id="11" name="Obraz 11" descr="Logo z napisem GeoProfit, Strategia – Badania - Doradztwo">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9730" cy="521970"/>
                    </a:xfrm>
                    <a:prstGeom prst="rect">
                      <a:avLst/>
                    </a:prstGeom>
                  </pic:spPr>
                </pic:pic>
              </a:graphicData>
            </a:graphic>
            <wp14:sizeRelH relativeFrom="margin">
              <wp14:pctWidth>0</wp14:pctWidth>
            </wp14:sizeRelH>
            <wp14:sizeRelV relativeFrom="margin">
              <wp14:pctHeight>0</wp14:pctHeight>
            </wp14:sizeRelV>
          </wp:anchor>
        </w:drawing>
      </w:r>
    </w:p>
    <w:p w14:paraId="0A2672C6" w14:textId="5A8DBA38" w:rsidR="00394F3C" w:rsidRPr="00237760" w:rsidRDefault="00394F3C" w:rsidP="009367B4">
      <w:pPr>
        <w:spacing w:after="160" w:line="259" w:lineRule="auto"/>
        <w:jc w:val="left"/>
        <w:rPr>
          <w:rFonts w:ascii="Arial" w:hAnsi="Arial" w:cs="Arial"/>
          <w:color w:val="auto"/>
          <w:sz w:val="24"/>
          <w:szCs w:val="24"/>
        </w:rPr>
      </w:pPr>
      <w:r w:rsidRPr="00237760">
        <w:rPr>
          <w:rFonts w:ascii="Arial" w:hAnsi="Arial" w:cs="Arial"/>
          <w:color w:val="auto"/>
          <w:sz w:val="24"/>
          <w:szCs w:val="24"/>
        </w:rPr>
        <w:br w:type="page"/>
      </w:r>
    </w:p>
    <w:p w14:paraId="5915280E" w14:textId="67E2D422" w:rsidR="00C917B4" w:rsidRPr="00237760" w:rsidRDefault="00C917B4" w:rsidP="009367B4">
      <w:pPr>
        <w:jc w:val="left"/>
        <w:rPr>
          <w:rFonts w:ascii="Arial" w:hAnsi="Arial" w:cs="Arial"/>
          <w:color w:val="auto"/>
          <w:sz w:val="24"/>
          <w:szCs w:val="24"/>
        </w:rPr>
      </w:pPr>
      <w:r w:rsidRPr="00237760">
        <w:rPr>
          <w:rFonts w:ascii="Arial" w:hAnsi="Arial" w:cs="Arial"/>
          <w:color w:val="auto"/>
          <w:sz w:val="24"/>
          <w:szCs w:val="24"/>
        </w:rPr>
        <w:lastRenderedPageBreak/>
        <w:t>Spis treści</w:t>
      </w:r>
    </w:p>
    <w:p w14:paraId="33759F55" w14:textId="3B59CD0F" w:rsidR="00280442" w:rsidRPr="00280442" w:rsidRDefault="00E304AF">
      <w:pPr>
        <w:pStyle w:val="Spistreci1"/>
        <w:rPr>
          <w:rFonts w:eastAsiaTheme="minorEastAsia" w:cstheme="minorBidi"/>
          <w:b w:val="0"/>
          <w:bCs w:val="0"/>
          <w:caps w:val="0"/>
          <w:noProof/>
          <w:color w:val="auto"/>
          <w:sz w:val="22"/>
          <w:szCs w:val="22"/>
          <w:lang w:eastAsia="pl-PL"/>
        </w:rPr>
      </w:pPr>
      <w:r w:rsidRPr="00237760">
        <w:rPr>
          <w:rFonts w:ascii="Arial" w:hAnsi="Arial" w:cs="Arial"/>
          <w:color w:val="auto"/>
          <w:sz w:val="24"/>
          <w:szCs w:val="24"/>
        </w:rPr>
        <w:fldChar w:fldCharType="begin"/>
      </w:r>
      <w:r w:rsidRPr="00237760">
        <w:rPr>
          <w:rFonts w:ascii="Arial" w:hAnsi="Arial" w:cs="Arial"/>
          <w:color w:val="auto"/>
          <w:sz w:val="24"/>
          <w:szCs w:val="24"/>
        </w:rPr>
        <w:instrText xml:space="preserve"> TOC \o "1-4" \h \z \u </w:instrText>
      </w:r>
      <w:r w:rsidRPr="00237760">
        <w:rPr>
          <w:rFonts w:ascii="Arial" w:hAnsi="Arial" w:cs="Arial"/>
          <w:color w:val="auto"/>
          <w:sz w:val="24"/>
          <w:szCs w:val="24"/>
        </w:rPr>
        <w:fldChar w:fldCharType="separate"/>
      </w:r>
      <w:hyperlink w:anchor="_Toc101904098" w:history="1">
        <w:r w:rsidR="00280442" w:rsidRPr="00280442">
          <w:rPr>
            <w:rStyle w:val="Hipercze"/>
            <w:rFonts w:ascii="Arial" w:hAnsi="Arial" w:cs="Arial"/>
            <w:noProof/>
            <w:color w:val="auto"/>
          </w:rPr>
          <w:t>1.</w:t>
        </w:r>
        <w:r w:rsidR="00280442" w:rsidRPr="00280442">
          <w:rPr>
            <w:rFonts w:eastAsiaTheme="minorEastAsia" w:cstheme="minorBidi"/>
            <w:b w:val="0"/>
            <w:bCs w:val="0"/>
            <w:caps w:val="0"/>
            <w:noProof/>
            <w:color w:val="auto"/>
            <w:sz w:val="22"/>
            <w:szCs w:val="22"/>
            <w:lang w:eastAsia="pl-PL"/>
          </w:rPr>
          <w:tab/>
        </w:r>
        <w:r w:rsidR="00280442" w:rsidRPr="00280442">
          <w:rPr>
            <w:rStyle w:val="Hipercze"/>
            <w:rFonts w:ascii="Arial" w:hAnsi="Arial" w:cs="Arial"/>
            <w:noProof/>
            <w:color w:val="auto"/>
          </w:rPr>
          <w:t>Streszczenie raportu</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_Toc101904098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6</w:t>
        </w:r>
        <w:r w:rsidR="00280442" w:rsidRPr="00280442">
          <w:rPr>
            <w:noProof/>
            <w:webHidden/>
            <w:color w:val="auto"/>
          </w:rPr>
          <w:fldChar w:fldCharType="end"/>
        </w:r>
      </w:hyperlink>
    </w:p>
    <w:p w14:paraId="426E5932" w14:textId="5E3BEE94" w:rsidR="00280442" w:rsidRPr="00280442" w:rsidRDefault="0014299C">
      <w:pPr>
        <w:pStyle w:val="Spistreci1"/>
        <w:rPr>
          <w:rFonts w:eastAsiaTheme="minorEastAsia" w:cstheme="minorBidi"/>
          <w:b w:val="0"/>
          <w:bCs w:val="0"/>
          <w:caps w:val="0"/>
          <w:noProof/>
          <w:color w:val="auto"/>
          <w:sz w:val="22"/>
          <w:szCs w:val="22"/>
          <w:lang w:eastAsia="pl-PL"/>
        </w:rPr>
      </w:pPr>
      <w:hyperlink w:anchor="_Toc101904099" w:history="1">
        <w:r w:rsidR="00280442" w:rsidRPr="00280442">
          <w:rPr>
            <w:rStyle w:val="Hipercze"/>
            <w:rFonts w:ascii="Arial" w:hAnsi="Arial" w:cs="Arial"/>
            <w:noProof/>
            <w:color w:val="auto"/>
          </w:rPr>
          <w:t>2.</w:t>
        </w:r>
        <w:r w:rsidR="00280442" w:rsidRPr="00280442">
          <w:rPr>
            <w:rFonts w:eastAsiaTheme="minorEastAsia" w:cstheme="minorBidi"/>
            <w:b w:val="0"/>
            <w:bCs w:val="0"/>
            <w:caps w:val="0"/>
            <w:noProof/>
            <w:color w:val="auto"/>
            <w:sz w:val="22"/>
            <w:szCs w:val="22"/>
            <w:lang w:eastAsia="pl-PL"/>
          </w:rPr>
          <w:tab/>
        </w:r>
        <w:r w:rsidR="00280442" w:rsidRPr="00280442">
          <w:rPr>
            <w:rStyle w:val="Hipercze"/>
            <w:rFonts w:ascii="Arial" w:hAnsi="Arial" w:cs="Arial"/>
            <w:noProof/>
            <w:color w:val="auto"/>
          </w:rPr>
          <w:t>Cel i zakres ewaluacji</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_Toc101904099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11</w:t>
        </w:r>
        <w:r w:rsidR="00280442" w:rsidRPr="00280442">
          <w:rPr>
            <w:noProof/>
            <w:webHidden/>
            <w:color w:val="auto"/>
          </w:rPr>
          <w:fldChar w:fldCharType="end"/>
        </w:r>
      </w:hyperlink>
    </w:p>
    <w:p w14:paraId="1E609A6C" w14:textId="2A557157" w:rsidR="00280442" w:rsidRPr="00280442" w:rsidRDefault="0014299C">
      <w:pPr>
        <w:pStyle w:val="Spistreci2"/>
        <w:tabs>
          <w:tab w:val="left" w:pos="880"/>
          <w:tab w:val="right" w:leader="underscore" w:pos="9062"/>
        </w:tabs>
        <w:rPr>
          <w:rFonts w:eastAsiaTheme="minorEastAsia" w:cstheme="minorBidi"/>
          <w:smallCaps w:val="0"/>
          <w:noProof/>
          <w:color w:val="auto"/>
          <w:sz w:val="22"/>
          <w:szCs w:val="22"/>
          <w:lang w:eastAsia="pl-PL"/>
        </w:rPr>
      </w:pPr>
      <w:hyperlink w:anchor="_Toc101904100" w:history="1">
        <w:r w:rsidR="00280442" w:rsidRPr="00280442">
          <w:rPr>
            <w:rStyle w:val="Hipercze"/>
            <w:rFonts w:ascii="Arial" w:hAnsi="Arial" w:cs="Arial"/>
            <w:noProof/>
            <w:color w:val="auto"/>
          </w:rPr>
          <w:t>2.1.</w:t>
        </w:r>
        <w:r w:rsidR="00280442" w:rsidRPr="00280442">
          <w:rPr>
            <w:rFonts w:eastAsiaTheme="minorEastAsia" w:cstheme="minorBidi"/>
            <w:smallCaps w:val="0"/>
            <w:noProof/>
            <w:color w:val="auto"/>
            <w:sz w:val="22"/>
            <w:szCs w:val="22"/>
            <w:lang w:eastAsia="pl-PL"/>
          </w:rPr>
          <w:tab/>
        </w:r>
        <w:r w:rsidR="00280442" w:rsidRPr="00280442">
          <w:rPr>
            <w:rStyle w:val="Hipercze"/>
            <w:rFonts w:ascii="Arial" w:hAnsi="Arial" w:cs="Arial"/>
            <w:noProof/>
            <w:color w:val="auto"/>
          </w:rPr>
          <w:t>Zakres przedmiotowy badania</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_Toc101904100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11</w:t>
        </w:r>
        <w:r w:rsidR="00280442" w:rsidRPr="00280442">
          <w:rPr>
            <w:noProof/>
            <w:webHidden/>
            <w:color w:val="auto"/>
          </w:rPr>
          <w:fldChar w:fldCharType="end"/>
        </w:r>
      </w:hyperlink>
    </w:p>
    <w:p w14:paraId="7B10F11B" w14:textId="4C3EC64D" w:rsidR="00280442" w:rsidRPr="00280442" w:rsidRDefault="0014299C">
      <w:pPr>
        <w:pStyle w:val="Spistreci2"/>
        <w:tabs>
          <w:tab w:val="left" w:pos="880"/>
          <w:tab w:val="right" w:leader="underscore" w:pos="9062"/>
        </w:tabs>
        <w:rPr>
          <w:rFonts w:eastAsiaTheme="minorEastAsia" w:cstheme="minorBidi"/>
          <w:smallCaps w:val="0"/>
          <w:noProof/>
          <w:color w:val="auto"/>
          <w:sz w:val="22"/>
          <w:szCs w:val="22"/>
          <w:lang w:eastAsia="pl-PL"/>
        </w:rPr>
      </w:pPr>
      <w:hyperlink w:anchor="_Toc101904101" w:history="1">
        <w:r w:rsidR="00280442" w:rsidRPr="00280442">
          <w:rPr>
            <w:rStyle w:val="Hipercze"/>
            <w:rFonts w:ascii="Arial" w:hAnsi="Arial" w:cs="Arial"/>
            <w:noProof/>
            <w:color w:val="auto"/>
          </w:rPr>
          <w:t>2.2.</w:t>
        </w:r>
        <w:r w:rsidR="00280442" w:rsidRPr="00280442">
          <w:rPr>
            <w:rFonts w:eastAsiaTheme="minorEastAsia" w:cstheme="minorBidi"/>
            <w:smallCaps w:val="0"/>
            <w:noProof/>
            <w:color w:val="auto"/>
            <w:sz w:val="22"/>
            <w:szCs w:val="22"/>
            <w:lang w:eastAsia="pl-PL"/>
          </w:rPr>
          <w:tab/>
        </w:r>
        <w:r w:rsidR="00280442" w:rsidRPr="00280442">
          <w:rPr>
            <w:rStyle w:val="Hipercze"/>
            <w:rFonts w:ascii="Arial" w:hAnsi="Arial" w:cs="Arial"/>
            <w:noProof/>
            <w:color w:val="auto"/>
          </w:rPr>
          <w:t>Kryteria ewaluacyjne i logiczna struktura ewaluacji</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_Toc101904101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11</w:t>
        </w:r>
        <w:r w:rsidR="00280442" w:rsidRPr="00280442">
          <w:rPr>
            <w:noProof/>
            <w:webHidden/>
            <w:color w:val="auto"/>
          </w:rPr>
          <w:fldChar w:fldCharType="end"/>
        </w:r>
      </w:hyperlink>
    </w:p>
    <w:p w14:paraId="53FE8AC6" w14:textId="7DD51611" w:rsidR="00280442" w:rsidRPr="00280442" w:rsidRDefault="0014299C">
      <w:pPr>
        <w:pStyle w:val="Spistreci2"/>
        <w:tabs>
          <w:tab w:val="left" w:pos="880"/>
          <w:tab w:val="right" w:leader="underscore" w:pos="9062"/>
        </w:tabs>
        <w:rPr>
          <w:rFonts w:eastAsiaTheme="minorEastAsia" w:cstheme="minorBidi"/>
          <w:smallCaps w:val="0"/>
          <w:noProof/>
          <w:color w:val="auto"/>
          <w:sz w:val="22"/>
          <w:szCs w:val="22"/>
          <w:lang w:eastAsia="pl-PL"/>
        </w:rPr>
      </w:pPr>
      <w:hyperlink w:anchor="_Toc101904102" w:history="1">
        <w:r w:rsidR="00280442" w:rsidRPr="00280442">
          <w:rPr>
            <w:rStyle w:val="Hipercze"/>
            <w:rFonts w:ascii="Arial" w:hAnsi="Arial" w:cs="Arial"/>
            <w:noProof/>
            <w:color w:val="auto"/>
          </w:rPr>
          <w:t>2.3.</w:t>
        </w:r>
        <w:r w:rsidR="00280442" w:rsidRPr="00280442">
          <w:rPr>
            <w:rFonts w:eastAsiaTheme="minorEastAsia" w:cstheme="minorBidi"/>
            <w:smallCaps w:val="0"/>
            <w:noProof/>
            <w:color w:val="auto"/>
            <w:sz w:val="22"/>
            <w:szCs w:val="22"/>
            <w:lang w:eastAsia="pl-PL"/>
          </w:rPr>
          <w:tab/>
        </w:r>
        <w:r w:rsidR="00280442" w:rsidRPr="00280442">
          <w:rPr>
            <w:rStyle w:val="Hipercze"/>
            <w:rFonts w:ascii="Arial" w:hAnsi="Arial" w:cs="Arial"/>
            <w:noProof/>
            <w:color w:val="auto"/>
          </w:rPr>
          <w:t>Pytania ewaluacyjne</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_Toc101904102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13</w:t>
        </w:r>
        <w:r w:rsidR="00280442" w:rsidRPr="00280442">
          <w:rPr>
            <w:noProof/>
            <w:webHidden/>
            <w:color w:val="auto"/>
          </w:rPr>
          <w:fldChar w:fldCharType="end"/>
        </w:r>
      </w:hyperlink>
    </w:p>
    <w:p w14:paraId="671EB268" w14:textId="24A4ACD1" w:rsidR="00280442" w:rsidRPr="00280442" w:rsidRDefault="0014299C">
      <w:pPr>
        <w:pStyle w:val="Spistreci2"/>
        <w:tabs>
          <w:tab w:val="left" w:pos="880"/>
          <w:tab w:val="right" w:leader="underscore" w:pos="9062"/>
        </w:tabs>
        <w:rPr>
          <w:rFonts w:eastAsiaTheme="minorEastAsia" w:cstheme="minorBidi"/>
          <w:smallCaps w:val="0"/>
          <w:noProof/>
          <w:color w:val="auto"/>
          <w:sz w:val="22"/>
          <w:szCs w:val="22"/>
          <w:lang w:eastAsia="pl-PL"/>
        </w:rPr>
      </w:pPr>
      <w:hyperlink w:anchor="_Toc101904103" w:history="1">
        <w:r w:rsidR="00280442" w:rsidRPr="00280442">
          <w:rPr>
            <w:rStyle w:val="Hipercze"/>
            <w:rFonts w:ascii="Arial" w:hAnsi="Arial" w:cs="Arial"/>
            <w:noProof/>
            <w:color w:val="auto"/>
          </w:rPr>
          <w:t>2.4.</w:t>
        </w:r>
        <w:r w:rsidR="00280442" w:rsidRPr="00280442">
          <w:rPr>
            <w:rFonts w:eastAsiaTheme="minorEastAsia" w:cstheme="minorBidi"/>
            <w:smallCaps w:val="0"/>
            <w:noProof/>
            <w:color w:val="auto"/>
            <w:sz w:val="22"/>
            <w:szCs w:val="22"/>
            <w:lang w:eastAsia="pl-PL"/>
          </w:rPr>
          <w:tab/>
        </w:r>
        <w:r w:rsidR="00280442" w:rsidRPr="00280442">
          <w:rPr>
            <w:rStyle w:val="Hipercze"/>
            <w:rFonts w:ascii="Arial" w:hAnsi="Arial" w:cs="Arial"/>
            <w:noProof/>
            <w:color w:val="auto"/>
          </w:rPr>
          <w:t>Metody badawcze</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_Toc101904103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18</w:t>
        </w:r>
        <w:r w:rsidR="00280442" w:rsidRPr="00280442">
          <w:rPr>
            <w:noProof/>
            <w:webHidden/>
            <w:color w:val="auto"/>
          </w:rPr>
          <w:fldChar w:fldCharType="end"/>
        </w:r>
      </w:hyperlink>
    </w:p>
    <w:p w14:paraId="1FAF2FE0" w14:textId="4142B210" w:rsidR="00280442" w:rsidRPr="00280442" w:rsidRDefault="0014299C">
      <w:pPr>
        <w:pStyle w:val="Spistreci1"/>
        <w:rPr>
          <w:rFonts w:eastAsiaTheme="minorEastAsia" w:cstheme="minorBidi"/>
          <w:b w:val="0"/>
          <w:bCs w:val="0"/>
          <w:caps w:val="0"/>
          <w:noProof/>
          <w:color w:val="auto"/>
          <w:sz w:val="22"/>
          <w:szCs w:val="22"/>
          <w:lang w:eastAsia="pl-PL"/>
        </w:rPr>
      </w:pPr>
      <w:hyperlink w:anchor="_Toc101904104" w:history="1">
        <w:r w:rsidR="00280442" w:rsidRPr="00280442">
          <w:rPr>
            <w:rStyle w:val="Hipercze"/>
            <w:rFonts w:ascii="Arial" w:hAnsi="Arial" w:cs="Arial"/>
            <w:noProof/>
            <w:color w:val="auto"/>
          </w:rPr>
          <w:t>3.</w:t>
        </w:r>
        <w:r w:rsidR="00280442" w:rsidRPr="00280442">
          <w:rPr>
            <w:rFonts w:eastAsiaTheme="minorEastAsia" w:cstheme="minorBidi"/>
            <w:b w:val="0"/>
            <w:bCs w:val="0"/>
            <w:caps w:val="0"/>
            <w:noProof/>
            <w:color w:val="auto"/>
            <w:sz w:val="22"/>
            <w:szCs w:val="22"/>
            <w:lang w:eastAsia="pl-PL"/>
          </w:rPr>
          <w:tab/>
        </w:r>
        <w:r w:rsidR="00280442" w:rsidRPr="00280442">
          <w:rPr>
            <w:rStyle w:val="Hipercze"/>
            <w:rFonts w:ascii="Arial" w:hAnsi="Arial" w:cs="Arial"/>
            <w:noProof/>
            <w:color w:val="auto"/>
          </w:rPr>
          <w:t>Ocena trafności założeń projektu PSRT WP</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_Toc101904104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22</w:t>
        </w:r>
        <w:r w:rsidR="00280442" w:rsidRPr="00280442">
          <w:rPr>
            <w:noProof/>
            <w:webHidden/>
            <w:color w:val="auto"/>
          </w:rPr>
          <w:fldChar w:fldCharType="end"/>
        </w:r>
      </w:hyperlink>
    </w:p>
    <w:p w14:paraId="1ECC7407" w14:textId="25E91FEC" w:rsidR="00280442" w:rsidRPr="00280442" w:rsidRDefault="0014299C">
      <w:pPr>
        <w:pStyle w:val="Spistreci2"/>
        <w:tabs>
          <w:tab w:val="left" w:pos="880"/>
          <w:tab w:val="right" w:leader="underscore" w:pos="9062"/>
        </w:tabs>
        <w:rPr>
          <w:rFonts w:eastAsiaTheme="minorEastAsia" w:cstheme="minorBidi"/>
          <w:smallCaps w:val="0"/>
          <w:noProof/>
          <w:color w:val="auto"/>
          <w:sz w:val="22"/>
          <w:szCs w:val="22"/>
          <w:lang w:eastAsia="pl-PL"/>
        </w:rPr>
      </w:pPr>
      <w:hyperlink w:anchor="_Toc101904105" w:history="1">
        <w:r w:rsidR="00280442" w:rsidRPr="00280442">
          <w:rPr>
            <w:rStyle w:val="Hipercze"/>
            <w:rFonts w:ascii="Arial" w:hAnsi="Arial" w:cs="Arial"/>
            <w:noProof/>
            <w:color w:val="auto"/>
          </w:rPr>
          <w:t>3.1.</w:t>
        </w:r>
        <w:r w:rsidR="00280442" w:rsidRPr="00280442">
          <w:rPr>
            <w:rFonts w:eastAsiaTheme="minorEastAsia" w:cstheme="minorBidi"/>
            <w:smallCaps w:val="0"/>
            <w:noProof/>
            <w:color w:val="auto"/>
            <w:sz w:val="22"/>
            <w:szCs w:val="22"/>
            <w:lang w:eastAsia="pl-PL"/>
          </w:rPr>
          <w:tab/>
        </w:r>
        <w:r w:rsidR="00280442" w:rsidRPr="00280442">
          <w:rPr>
            <w:rStyle w:val="Hipercze"/>
            <w:rFonts w:ascii="Arial" w:hAnsi="Arial" w:cs="Arial"/>
            <w:noProof/>
            <w:color w:val="auto"/>
          </w:rPr>
          <w:t>Ocena trafności w kontekście wyzwań i potrzeb społeczno-ekonomicznych regionu</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_Toc101904105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22</w:t>
        </w:r>
        <w:r w:rsidR="00280442" w:rsidRPr="00280442">
          <w:rPr>
            <w:noProof/>
            <w:webHidden/>
            <w:color w:val="auto"/>
          </w:rPr>
          <w:fldChar w:fldCharType="end"/>
        </w:r>
      </w:hyperlink>
    </w:p>
    <w:p w14:paraId="248BE73E" w14:textId="695DDF59" w:rsidR="00280442" w:rsidRPr="00280442" w:rsidRDefault="0014299C">
      <w:pPr>
        <w:pStyle w:val="Spistreci4"/>
        <w:tabs>
          <w:tab w:val="right" w:leader="underscore" w:pos="9062"/>
        </w:tabs>
        <w:rPr>
          <w:rFonts w:eastAsiaTheme="minorEastAsia" w:cstheme="minorBidi"/>
          <w:noProof/>
          <w:color w:val="auto"/>
          <w:sz w:val="22"/>
          <w:szCs w:val="22"/>
          <w:lang w:eastAsia="pl-PL"/>
        </w:rPr>
      </w:pPr>
      <w:hyperlink w:anchor="_Toc101904106" w:history="1">
        <w:r w:rsidR="00280442" w:rsidRPr="00280442">
          <w:rPr>
            <w:rStyle w:val="Hipercze"/>
            <w:rFonts w:ascii="Arial" w:hAnsi="Arial" w:cs="Arial"/>
            <w:noProof/>
            <w:color w:val="auto"/>
          </w:rPr>
          <w:t>Synteza</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_Toc101904106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22</w:t>
        </w:r>
        <w:r w:rsidR="00280442" w:rsidRPr="00280442">
          <w:rPr>
            <w:noProof/>
            <w:webHidden/>
            <w:color w:val="auto"/>
          </w:rPr>
          <w:fldChar w:fldCharType="end"/>
        </w:r>
      </w:hyperlink>
    </w:p>
    <w:p w14:paraId="2632FFEE" w14:textId="4DDFE3C6" w:rsidR="00280442" w:rsidRPr="00280442" w:rsidRDefault="0014299C">
      <w:pPr>
        <w:pStyle w:val="Spistreci4"/>
        <w:tabs>
          <w:tab w:val="right" w:leader="underscore" w:pos="9062"/>
        </w:tabs>
        <w:rPr>
          <w:rFonts w:eastAsiaTheme="minorEastAsia" w:cstheme="minorBidi"/>
          <w:noProof/>
          <w:color w:val="auto"/>
          <w:sz w:val="22"/>
          <w:szCs w:val="22"/>
          <w:lang w:eastAsia="pl-PL"/>
        </w:rPr>
      </w:pPr>
      <w:hyperlink w:anchor="_Toc101904107" w:history="1">
        <w:r w:rsidR="00280442" w:rsidRPr="00280442">
          <w:rPr>
            <w:rStyle w:val="Hipercze"/>
            <w:rFonts w:ascii="Arial" w:hAnsi="Arial" w:cs="Arial"/>
            <w:noProof/>
            <w:color w:val="auto"/>
          </w:rPr>
          <w:t>Analiza</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_Toc101904107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22</w:t>
        </w:r>
        <w:r w:rsidR="00280442" w:rsidRPr="00280442">
          <w:rPr>
            <w:noProof/>
            <w:webHidden/>
            <w:color w:val="auto"/>
          </w:rPr>
          <w:fldChar w:fldCharType="end"/>
        </w:r>
      </w:hyperlink>
    </w:p>
    <w:p w14:paraId="0D910F1A" w14:textId="23844486" w:rsidR="00280442" w:rsidRPr="00280442" w:rsidRDefault="0014299C">
      <w:pPr>
        <w:pStyle w:val="Spistreci2"/>
        <w:tabs>
          <w:tab w:val="left" w:pos="880"/>
          <w:tab w:val="right" w:leader="underscore" w:pos="9062"/>
        </w:tabs>
        <w:rPr>
          <w:rFonts w:eastAsiaTheme="minorEastAsia" w:cstheme="minorBidi"/>
          <w:smallCaps w:val="0"/>
          <w:noProof/>
          <w:color w:val="auto"/>
          <w:sz w:val="22"/>
          <w:szCs w:val="22"/>
          <w:lang w:eastAsia="pl-PL"/>
        </w:rPr>
      </w:pPr>
      <w:hyperlink w:anchor="_Toc101904108" w:history="1">
        <w:r w:rsidR="00280442" w:rsidRPr="00280442">
          <w:rPr>
            <w:rStyle w:val="Hipercze"/>
            <w:rFonts w:ascii="Arial" w:hAnsi="Arial" w:cs="Arial"/>
            <w:noProof/>
            <w:color w:val="auto"/>
          </w:rPr>
          <w:t>3.2.</w:t>
        </w:r>
        <w:r w:rsidR="00280442" w:rsidRPr="00280442">
          <w:rPr>
            <w:rFonts w:eastAsiaTheme="minorEastAsia" w:cstheme="minorBidi"/>
            <w:smallCaps w:val="0"/>
            <w:noProof/>
            <w:color w:val="auto"/>
            <w:sz w:val="22"/>
            <w:szCs w:val="22"/>
            <w:lang w:eastAsia="pl-PL"/>
          </w:rPr>
          <w:tab/>
        </w:r>
        <w:r w:rsidR="00280442" w:rsidRPr="00280442">
          <w:rPr>
            <w:rStyle w:val="Hipercze"/>
            <w:rFonts w:ascii="Arial" w:hAnsi="Arial" w:cs="Arial"/>
            <w:noProof/>
            <w:color w:val="auto"/>
          </w:rPr>
          <w:t>Ocena trafności w kontekście rozwijających się i prawdopodobnych do zaistnienia przyszłości trendów</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_Toc101904108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65</w:t>
        </w:r>
        <w:r w:rsidR="00280442" w:rsidRPr="00280442">
          <w:rPr>
            <w:noProof/>
            <w:webHidden/>
            <w:color w:val="auto"/>
          </w:rPr>
          <w:fldChar w:fldCharType="end"/>
        </w:r>
      </w:hyperlink>
    </w:p>
    <w:p w14:paraId="10FD106C" w14:textId="6710E8BC" w:rsidR="00280442" w:rsidRPr="00280442" w:rsidRDefault="0014299C">
      <w:pPr>
        <w:pStyle w:val="Spistreci4"/>
        <w:tabs>
          <w:tab w:val="right" w:leader="underscore" w:pos="9062"/>
        </w:tabs>
        <w:rPr>
          <w:rFonts w:eastAsiaTheme="minorEastAsia" w:cstheme="minorBidi"/>
          <w:noProof/>
          <w:color w:val="auto"/>
          <w:sz w:val="22"/>
          <w:szCs w:val="22"/>
          <w:lang w:eastAsia="pl-PL"/>
        </w:rPr>
      </w:pPr>
      <w:hyperlink w:anchor="_Toc101904109" w:history="1">
        <w:r w:rsidR="00280442" w:rsidRPr="00280442">
          <w:rPr>
            <w:rStyle w:val="Hipercze"/>
            <w:rFonts w:ascii="Arial" w:hAnsi="Arial" w:cs="Arial"/>
            <w:noProof/>
            <w:color w:val="auto"/>
          </w:rPr>
          <w:t>Synteza</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_Toc101904109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65</w:t>
        </w:r>
        <w:r w:rsidR="00280442" w:rsidRPr="00280442">
          <w:rPr>
            <w:noProof/>
            <w:webHidden/>
            <w:color w:val="auto"/>
          </w:rPr>
          <w:fldChar w:fldCharType="end"/>
        </w:r>
      </w:hyperlink>
    </w:p>
    <w:p w14:paraId="576BA6A5" w14:textId="00360AC5" w:rsidR="00280442" w:rsidRPr="00280442" w:rsidRDefault="0014299C">
      <w:pPr>
        <w:pStyle w:val="Spistreci4"/>
        <w:tabs>
          <w:tab w:val="right" w:leader="underscore" w:pos="9062"/>
        </w:tabs>
        <w:rPr>
          <w:rFonts w:eastAsiaTheme="minorEastAsia" w:cstheme="minorBidi"/>
          <w:noProof/>
          <w:color w:val="auto"/>
          <w:sz w:val="22"/>
          <w:szCs w:val="22"/>
          <w:lang w:eastAsia="pl-PL"/>
        </w:rPr>
      </w:pPr>
      <w:hyperlink w:anchor="_Toc101904110" w:history="1">
        <w:r w:rsidR="00280442" w:rsidRPr="00280442">
          <w:rPr>
            <w:rStyle w:val="Hipercze"/>
            <w:rFonts w:ascii="Arial" w:hAnsi="Arial" w:cs="Arial"/>
            <w:noProof/>
            <w:color w:val="auto"/>
          </w:rPr>
          <w:t>Analiza</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_Toc101904110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65</w:t>
        </w:r>
        <w:r w:rsidR="00280442" w:rsidRPr="00280442">
          <w:rPr>
            <w:noProof/>
            <w:webHidden/>
            <w:color w:val="auto"/>
          </w:rPr>
          <w:fldChar w:fldCharType="end"/>
        </w:r>
      </w:hyperlink>
    </w:p>
    <w:p w14:paraId="57E4F69C" w14:textId="14381BD6" w:rsidR="00280442" w:rsidRPr="00280442" w:rsidRDefault="0014299C">
      <w:pPr>
        <w:pStyle w:val="Spistreci2"/>
        <w:tabs>
          <w:tab w:val="left" w:pos="880"/>
          <w:tab w:val="right" w:leader="underscore" w:pos="9062"/>
        </w:tabs>
        <w:rPr>
          <w:rFonts w:eastAsiaTheme="minorEastAsia" w:cstheme="minorBidi"/>
          <w:smallCaps w:val="0"/>
          <w:noProof/>
          <w:color w:val="auto"/>
          <w:sz w:val="22"/>
          <w:szCs w:val="22"/>
          <w:lang w:eastAsia="pl-PL"/>
        </w:rPr>
      </w:pPr>
      <w:hyperlink w:anchor="_Toc101904111" w:history="1">
        <w:r w:rsidR="00280442" w:rsidRPr="00280442">
          <w:rPr>
            <w:rStyle w:val="Hipercze"/>
            <w:rFonts w:ascii="Arial" w:hAnsi="Arial" w:cs="Arial"/>
            <w:noProof/>
            <w:color w:val="auto"/>
          </w:rPr>
          <w:t>3.3.</w:t>
        </w:r>
        <w:r w:rsidR="00280442" w:rsidRPr="00280442">
          <w:rPr>
            <w:rFonts w:eastAsiaTheme="minorEastAsia" w:cstheme="minorBidi"/>
            <w:smallCaps w:val="0"/>
            <w:noProof/>
            <w:color w:val="auto"/>
            <w:sz w:val="22"/>
            <w:szCs w:val="22"/>
            <w:lang w:eastAsia="pl-PL"/>
          </w:rPr>
          <w:tab/>
        </w:r>
        <w:r w:rsidR="00280442" w:rsidRPr="00280442">
          <w:rPr>
            <w:rStyle w:val="Hipercze"/>
            <w:rFonts w:ascii="Arial" w:hAnsi="Arial" w:cs="Arial"/>
            <w:noProof/>
            <w:color w:val="auto"/>
          </w:rPr>
          <w:t>Ocena trafności w kontekście podstawowych warunków dalszego rozwoju województwa podkarpackiego</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_Toc101904111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68</w:t>
        </w:r>
        <w:r w:rsidR="00280442" w:rsidRPr="00280442">
          <w:rPr>
            <w:noProof/>
            <w:webHidden/>
            <w:color w:val="auto"/>
          </w:rPr>
          <w:fldChar w:fldCharType="end"/>
        </w:r>
      </w:hyperlink>
    </w:p>
    <w:p w14:paraId="05D5A361" w14:textId="24B0B3C7" w:rsidR="00280442" w:rsidRPr="00280442" w:rsidRDefault="0014299C">
      <w:pPr>
        <w:pStyle w:val="Spistreci4"/>
        <w:tabs>
          <w:tab w:val="right" w:leader="underscore" w:pos="9062"/>
        </w:tabs>
        <w:rPr>
          <w:rFonts w:eastAsiaTheme="minorEastAsia" w:cstheme="minorBidi"/>
          <w:noProof/>
          <w:color w:val="auto"/>
          <w:sz w:val="22"/>
          <w:szCs w:val="22"/>
          <w:lang w:eastAsia="pl-PL"/>
        </w:rPr>
      </w:pPr>
      <w:hyperlink w:anchor="_Toc101904112" w:history="1">
        <w:r w:rsidR="00280442" w:rsidRPr="00280442">
          <w:rPr>
            <w:rStyle w:val="Hipercze"/>
            <w:rFonts w:ascii="Arial" w:hAnsi="Arial" w:cs="Arial"/>
            <w:noProof/>
            <w:color w:val="auto"/>
          </w:rPr>
          <w:t>Synteza</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_Toc101904112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68</w:t>
        </w:r>
        <w:r w:rsidR="00280442" w:rsidRPr="00280442">
          <w:rPr>
            <w:noProof/>
            <w:webHidden/>
            <w:color w:val="auto"/>
          </w:rPr>
          <w:fldChar w:fldCharType="end"/>
        </w:r>
      </w:hyperlink>
    </w:p>
    <w:p w14:paraId="6FE97882" w14:textId="72AB9376" w:rsidR="00280442" w:rsidRPr="00280442" w:rsidRDefault="0014299C">
      <w:pPr>
        <w:pStyle w:val="Spistreci4"/>
        <w:tabs>
          <w:tab w:val="right" w:leader="underscore" w:pos="9062"/>
        </w:tabs>
        <w:rPr>
          <w:rFonts w:eastAsiaTheme="minorEastAsia" w:cstheme="minorBidi"/>
          <w:noProof/>
          <w:color w:val="auto"/>
          <w:sz w:val="22"/>
          <w:szCs w:val="22"/>
          <w:lang w:eastAsia="pl-PL"/>
        </w:rPr>
      </w:pPr>
      <w:hyperlink w:anchor="_Toc101904113" w:history="1">
        <w:r w:rsidR="00280442" w:rsidRPr="00280442">
          <w:rPr>
            <w:rStyle w:val="Hipercze"/>
            <w:rFonts w:ascii="Arial" w:hAnsi="Arial" w:cs="Arial"/>
            <w:noProof/>
            <w:color w:val="auto"/>
          </w:rPr>
          <w:t>Analiza</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_Toc101904113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68</w:t>
        </w:r>
        <w:r w:rsidR="00280442" w:rsidRPr="00280442">
          <w:rPr>
            <w:noProof/>
            <w:webHidden/>
            <w:color w:val="auto"/>
          </w:rPr>
          <w:fldChar w:fldCharType="end"/>
        </w:r>
      </w:hyperlink>
    </w:p>
    <w:p w14:paraId="6AC0FCE0" w14:textId="3100BFB6" w:rsidR="00280442" w:rsidRPr="00280442" w:rsidRDefault="0014299C">
      <w:pPr>
        <w:pStyle w:val="Spistreci2"/>
        <w:tabs>
          <w:tab w:val="left" w:pos="880"/>
          <w:tab w:val="right" w:leader="underscore" w:pos="9062"/>
        </w:tabs>
        <w:rPr>
          <w:rFonts w:eastAsiaTheme="minorEastAsia" w:cstheme="minorBidi"/>
          <w:smallCaps w:val="0"/>
          <w:noProof/>
          <w:color w:val="auto"/>
          <w:sz w:val="22"/>
          <w:szCs w:val="22"/>
          <w:lang w:eastAsia="pl-PL"/>
        </w:rPr>
      </w:pPr>
      <w:hyperlink w:anchor="_Toc101904114" w:history="1">
        <w:r w:rsidR="00280442" w:rsidRPr="00280442">
          <w:rPr>
            <w:rStyle w:val="Hipercze"/>
            <w:rFonts w:ascii="Arial" w:hAnsi="Arial" w:cs="Arial"/>
            <w:noProof/>
            <w:color w:val="auto"/>
          </w:rPr>
          <w:t>3.4.</w:t>
        </w:r>
        <w:r w:rsidR="00280442" w:rsidRPr="00280442">
          <w:rPr>
            <w:rFonts w:eastAsiaTheme="minorEastAsia" w:cstheme="minorBidi"/>
            <w:smallCaps w:val="0"/>
            <w:noProof/>
            <w:color w:val="auto"/>
            <w:sz w:val="22"/>
            <w:szCs w:val="22"/>
            <w:lang w:eastAsia="pl-PL"/>
          </w:rPr>
          <w:tab/>
        </w:r>
        <w:r w:rsidR="00280442" w:rsidRPr="00280442">
          <w:rPr>
            <w:rStyle w:val="Hipercze"/>
            <w:rFonts w:ascii="Arial" w:hAnsi="Arial" w:cs="Arial"/>
            <w:noProof/>
            <w:color w:val="auto"/>
          </w:rPr>
          <w:t>Ocena trafności w zakresie wskazanych ewentualnych czynników ryzyka</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_Toc101904114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74</w:t>
        </w:r>
        <w:r w:rsidR="00280442" w:rsidRPr="00280442">
          <w:rPr>
            <w:noProof/>
            <w:webHidden/>
            <w:color w:val="auto"/>
          </w:rPr>
          <w:fldChar w:fldCharType="end"/>
        </w:r>
      </w:hyperlink>
    </w:p>
    <w:p w14:paraId="08B1FBB7" w14:textId="706169C9" w:rsidR="00280442" w:rsidRPr="00280442" w:rsidRDefault="0014299C">
      <w:pPr>
        <w:pStyle w:val="Spistreci4"/>
        <w:tabs>
          <w:tab w:val="right" w:leader="underscore" w:pos="9062"/>
        </w:tabs>
        <w:rPr>
          <w:rFonts w:eastAsiaTheme="minorEastAsia" w:cstheme="minorBidi"/>
          <w:noProof/>
          <w:color w:val="auto"/>
          <w:sz w:val="22"/>
          <w:szCs w:val="22"/>
          <w:lang w:eastAsia="pl-PL"/>
        </w:rPr>
      </w:pPr>
      <w:hyperlink w:anchor="_Toc101904115" w:history="1">
        <w:r w:rsidR="00280442" w:rsidRPr="00280442">
          <w:rPr>
            <w:rStyle w:val="Hipercze"/>
            <w:rFonts w:ascii="Arial" w:hAnsi="Arial" w:cs="Arial"/>
            <w:noProof/>
            <w:color w:val="auto"/>
          </w:rPr>
          <w:t>Synteza</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_Toc101904115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74</w:t>
        </w:r>
        <w:r w:rsidR="00280442" w:rsidRPr="00280442">
          <w:rPr>
            <w:noProof/>
            <w:webHidden/>
            <w:color w:val="auto"/>
          </w:rPr>
          <w:fldChar w:fldCharType="end"/>
        </w:r>
      </w:hyperlink>
    </w:p>
    <w:p w14:paraId="2F1242E5" w14:textId="593B0F94" w:rsidR="00280442" w:rsidRPr="00280442" w:rsidRDefault="0014299C">
      <w:pPr>
        <w:pStyle w:val="Spistreci4"/>
        <w:tabs>
          <w:tab w:val="right" w:leader="underscore" w:pos="9062"/>
        </w:tabs>
        <w:rPr>
          <w:rFonts w:eastAsiaTheme="minorEastAsia" w:cstheme="minorBidi"/>
          <w:noProof/>
          <w:color w:val="auto"/>
          <w:sz w:val="22"/>
          <w:szCs w:val="22"/>
          <w:lang w:eastAsia="pl-PL"/>
        </w:rPr>
      </w:pPr>
      <w:hyperlink w:anchor="_Toc101904116" w:history="1">
        <w:r w:rsidR="00280442" w:rsidRPr="00280442">
          <w:rPr>
            <w:rStyle w:val="Hipercze"/>
            <w:rFonts w:ascii="Arial" w:hAnsi="Arial" w:cs="Arial"/>
            <w:noProof/>
            <w:color w:val="auto"/>
          </w:rPr>
          <w:t>Analiza</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_Toc101904116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74</w:t>
        </w:r>
        <w:r w:rsidR="00280442" w:rsidRPr="00280442">
          <w:rPr>
            <w:noProof/>
            <w:webHidden/>
            <w:color w:val="auto"/>
          </w:rPr>
          <w:fldChar w:fldCharType="end"/>
        </w:r>
      </w:hyperlink>
    </w:p>
    <w:p w14:paraId="6A9D137F" w14:textId="224A36E6" w:rsidR="00280442" w:rsidRPr="00280442" w:rsidRDefault="0014299C">
      <w:pPr>
        <w:pStyle w:val="Spistreci2"/>
        <w:tabs>
          <w:tab w:val="left" w:pos="880"/>
          <w:tab w:val="right" w:leader="underscore" w:pos="9062"/>
        </w:tabs>
        <w:rPr>
          <w:rFonts w:eastAsiaTheme="minorEastAsia" w:cstheme="minorBidi"/>
          <w:smallCaps w:val="0"/>
          <w:noProof/>
          <w:color w:val="auto"/>
          <w:sz w:val="22"/>
          <w:szCs w:val="22"/>
          <w:lang w:eastAsia="pl-PL"/>
        </w:rPr>
      </w:pPr>
      <w:hyperlink w:anchor="_Toc101904117" w:history="1">
        <w:r w:rsidR="00280442" w:rsidRPr="00280442">
          <w:rPr>
            <w:rStyle w:val="Hipercze"/>
            <w:rFonts w:ascii="Arial" w:hAnsi="Arial" w:cs="Arial"/>
            <w:noProof/>
            <w:color w:val="auto"/>
          </w:rPr>
          <w:t>3.5.</w:t>
        </w:r>
        <w:r w:rsidR="00280442" w:rsidRPr="00280442">
          <w:rPr>
            <w:rFonts w:eastAsiaTheme="minorEastAsia" w:cstheme="minorBidi"/>
            <w:smallCaps w:val="0"/>
            <w:noProof/>
            <w:color w:val="auto"/>
            <w:sz w:val="22"/>
            <w:szCs w:val="22"/>
            <w:lang w:eastAsia="pl-PL"/>
          </w:rPr>
          <w:tab/>
        </w:r>
        <w:r w:rsidR="00280442" w:rsidRPr="00280442">
          <w:rPr>
            <w:rStyle w:val="Hipercze"/>
            <w:rFonts w:ascii="Arial" w:hAnsi="Arial" w:cs="Arial"/>
            <w:noProof/>
            <w:color w:val="auto"/>
          </w:rPr>
          <w:t>Ocena trafności w zakresie systemu wdrażania i realizacji</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_Toc101904117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80</w:t>
        </w:r>
        <w:r w:rsidR="00280442" w:rsidRPr="00280442">
          <w:rPr>
            <w:noProof/>
            <w:webHidden/>
            <w:color w:val="auto"/>
          </w:rPr>
          <w:fldChar w:fldCharType="end"/>
        </w:r>
      </w:hyperlink>
    </w:p>
    <w:p w14:paraId="2701D3D8" w14:textId="366F24DA" w:rsidR="00280442" w:rsidRPr="00280442" w:rsidRDefault="0014299C">
      <w:pPr>
        <w:pStyle w:val="Spistreci4"/>
        <w:tabs>
          <w:tab w:val="right" w:leader="underscore" w:pos="9062"/>
        </w:tabs>
        <w:rPr>
          <w:rFonts w:eastAsiaTheme="minorEastAsia" w:cstheme="minorBidi"/>
          <w:noProof/>
          <w:color w:val="auto"/>
          <w:sz w:val="22"/>
          <w:szCs w:val="22"/>
          <w:lang w:eastAsia="pl-PL"/>
        </w:rPr>
      </w:pPr>
      <w:hyperlink w:anchor="_Toc101904118" w:history="1">
        <w:r w:rsidR="00280442" w:rsidRPr="00280442">
          <w:rPr>
            <w:rStyle w:val="Hipercze"/>
            <w:rFonts w:ascii="Arial" w:hAnsi="Arial" w:cs="Arial"/>
            <w:noProof/>
            <w:color w:val="auto"/>
          </w:rPr>
          <w:t>Synteza</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_Toc101904118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80</w:t>
        </w:r>
        <w:r w:rsidR="00280442" w:rsidRPr="00280442">
          <w:rPr>
            <w:noProof/>
            <w:webHidden/>
            <w:color w:val="auto"/>
          </w:rPr>
          <w:fldChar w:fldCharType="end"/>
        </w:r>
      </w:hyperlink>
    </w:p>
    <w:p w14:paraId="0C28BDBE" w14:textId="531FA0FA" w:rsidR="00280442" w:rsidRPr="00280442" w:rsidRDefault="0014299C">
      <w:pPr>
        <w:pStyle w:val="Spistreci4"/>
        <w:tabs>
          <w:tab w:val="right" w:leader="underscore" w:pos="9062"/>
        </w:tabs>
        <w:rPr>
          <w:rFonts w:eastAsiaTheme="minorEastAsia" w:cstheme="minorBidi"/>
          <w:noProof/>
          <w:color w:val="auto"/>
          <w:sz w:val="22"/>
          <w:szCs w:val="22"/>
          <w:lang w:eastAsia="pl-PL"/>
        </w:rPr>
      </w:pPr>
      <w:hyperlink w:anchor="_Toc101904119" w:history="1">
        <w:r w:rsidR="00280442" w:rsidRPr="00280442">
          <w:rPr>
            <w:rStyle w:val="Hipercze"/>
            <w:rFonts w:ascii="Arial" w:hAnsi="Arial" w:cs="Arial"/>
            <w:noProof/>
            <w:color w:val="auto"/>
          </w:rPr>
          <w:t>Analiza</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_Toc101904119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80</w:t>
        </w:r>
        <w:r w:rsidR="00280442" w:rsidRPr="00280442">
          <w:rPr>
            <w:noProof/>
            <w:webHidden/>
            <w:color w:val="auto"/>
          </w:rPr>
          <w:fldChar w:fldCharType="end"/>
        </w:r>
      </w:hyperlink>
    </w:p>
    <w:p w14:paraId="1203E550" w14:textId="66C1B991" w:rsidR="00280442" w:rsidRPr="00280442" w:rsidRDefault="0014299C">
      <w:pPr>
        <w:pStyle w:val="Spistreci1"/>
        <w:rPr>
          <w:rFonts w:eastAsiaTheme="minorEastAsia" w:cstheme="minorBidi"/>
          <w:b w:val="0"/>
          <w:bCs w:val="0"/>
          <w:caps w:val="0"/>
          <w:noProof/>
          <w:color w:val="auto"/>
          <w:sz w:val="22"/>
          <w:szCs w:val="22"/>
          <w:lang w:eastAsia="pl-PL"/>
        </w:rPr>
      </w:pPr>
      <w:hyperlink w:anchor="_Toc101904120" w:history="1">
        <w:r w:rsidR="00280442" w:rsidRPr="00280442">
          <w:rPr>
            <w:rStyle w:val="Hipercze"/>
            <w:rFonts w:ascii="Arial" w:hAnsi="Arial" w:cs="Arial"/>
            <w:noProof/>
            <w:color w:val="auto"/>
          </w:rPr>
          <w:t>4.</w:t>
        </w:r>
        <w:r w:rsidR="00280442" w:rsidRPr="00280442">
          <w:rPr>
            <w:rFonts w:eastAsiaTheme="minorEastAsia" w:cstheme="minorBidi"/>
            <w:b w:val="0"/>
            <w:bCs w:val="0"/>
            <w:caps w:val="0"/>
            <w:noProof/>
            <w:color w:val="auto"/>
            <w:sz w:val="22"/>
            <w:szCs w:val="22"/>
            <w:lang w:eastAsia="pl-PL"/>
          </w:rPr>
          <w:tab/>
        </w:r>
        <w:r w:rsidR="00280442" w:rsidRPr="00280442">
          <w:rPr>
            <w:rStyle w:val="Hipercze"/>
            <w:rFonts w:ascii="Arial" w:hAnsi="Arial" w:cs="Arial"/>
            <w:noProof/>
            <w:color w:val="auto"/>
          </w:rPr>
          <w:t>Ocena przewidywanej/potencjalnej skuteczności i efektywności założeń projektu</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_Toc101904120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87</w:t>
        </w:r>
        <w:r w:rsidR="00280442" w:rsidRPr="00280442">
          <w:rPr>
            <w:noProof/>
            <w:webHidden/>
            <w:color w:val="auto"/>
          </w:rPr>
          <w:fldChar w:fldCharType="end"/>
        </w:r>
      </w:hyperlink>
    </w:p>
    <w:p w14:paraId="3A80E5E2" w14:textId="0589ABE6" w:rsidR="00280442" w:rsidRPr="00280442" w:rsidRDefault="0014299C">
      <w:pPr>
        <w:pStyle w:val="Spistreci2"/>
        <w:tabs>
          <w:tab w:val="left" w:pos="880"/>
          <w:tab w:val="right" w:leader="underscore" w:pos="9062"/>
        </w:tabs>
        <w:rPr>
          <w:rFonts w:eastAsiaTheme="minorEastAsia" w:cstheme="minorBidi"/>
          <w:smallCaps w:val="0"/>
          <w:noProof/>
          <w:color w:val="auto"/>
          <w:sz w:val="22"/>
          <w:szCs w:val="22"/>
          <w:lang w:eastAsia="pl-PL"/>
        </w:rPr>
      </w:pPr>
      <w:hyperlink w:anchor="_Toc101904121" w:history="1">
        <w:r w:rsidR="00280442" w:rsidRPr="00280442">
          <w:rPr>
            <w:rStyle w:val="Hipercze"/>
            <w:rFonts w:ascii="Arial" w:hAnsi="Arial" w:cs="Arial"/>
            <w:noProof/>
            <w:color w:val="auto"/>
          </w:rPr>
          <w:t>4.1.</w:t>
        </w:r>
        <w:r w:rsidR="00280442" w:rsidRPr="00280442">
          <w:rPr>
            <w:rFonts w:eastAsiaTheme="minorEastAsia" w:cstheme="minorBidi"/>
            <w:smallCaps w:val="0"/>
            <w:noProof/>
            <w:color w:val="auto"/>
            <w:sz w:val="22"/>
            <w:szCs w:val="22"/>
            <w:lang w:eastAsia="pl-PL"/>
          </w:rPr>
          <w:tab/>
        </w:r>
        <w:r w:rsidR="00280442" w:rsidRPr="00280442">
          <w:rPr>
            <w:rStyle w:val="Hipercze"/>
            <w:rFonts w:ascii="Arial" w:hAnsi="Arial" w:cs="Arial"/>
            <w:noProof/>
            <w:color w:val="auto"/>
          </w:rPr>
          <w:t>Ocena logiki interwencji</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_Toc101904121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87</w:t>
        </w:r>
        <w:r w:rsidR="00280442" w:rsidRPr="00280442">
          <w:rPr>
            <w:noProof/>
            <w:webHidden/>
            <w:color w:val="auto"/>
          </w:rPr>
          <w:fldChar w:fldCharType="end"/>
        </w:r>
      </w:hyperlink>
    </w:p>
    <w:p w14:paraId="7DFFF54D" w14:textId="105569A4" w:rsidR="00280442" w:rsidRPr="00280442" w:rsidRDefault="0014299C">
      <w:pPr>
        <w:pStyle w:val="Spistreci4"/>
        <w:tabs>
          <w:tab w:val="right" w:leader="underscore" w:pos="9062"/>
        </w:tabs>
        <w:rPr>
          <w:rFonts w:eastAsiaTheme="minorEastAsia" w:cstheme="minorBidi"/>
          <w:noProof/>
          <w:color w:val="auto"/>
          <w:sz w:val="22"/>
          <w:szCs w:val="22"/>
          <w:lang w:eastAsia="pl-PL"/>
        </w:rPr>
      </w:pPr>
      <w:hyperlink w:anchor="_Toc101904122" w:history="1">
        <w:r w:rsidR="00280442" w:rsidRPr="00280442">
          <w:rPr>
            <w:rStyle w:val="Hipercze"/>
            <w:rFonts w:ascii="Arial" w:hAnsi="Arial" w:cs="Arial"/>
            <w:noProof/>
            <w:color w:val="auto"/>
          </w:rPr>
          <w:t>Synteza</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_Toc101904122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87</w:t>
        </w:r>
        <w:r w:rsidR="00280442" w:rsidRPr="00280442">
          <w:rPr>
            <w:noProof/>
            <w:webHidden/>
            <w:color w:val="auto"/>
          </w:rPr>
          <w:fldChar w:fldCharType="end"/>
        </w:r>
      </w:hyperlink>
    </w:p>
    <w:p w14:paraId="5F7281E2" w14:textId="650ED31F" w:rsidR="00280442" w:rsidRPr="00280442" w:rsidRDefault="0014299C">
      <w:pPr>
        <w:pStyle w:val="Spistreci4"/>
        <w:tabs>
          <w:tab w:val="right" w:leader="underscore" w:pos="9062"/>
        </w:tabs>
        <w:rPr>
          <w:rFonts w:eastAsiaTheme="minorEastAsia" w:cstheme="minorBidi"/>
          <w:noProof/>
          <w:color w:val="auto"/>
          <w:sz w:val="22"/>
          <w:szCs w:val="22"/>
          <w:lang w:eastAsia="pl-PL"/>
        </w:rPr>
      </w:pPr>
      <w:hyperlink w:anchor="_Toc101904123" w:history="1">
        <w:r w:rsidR="00280442" w:rsidRPr="00280442">
          <w:rPr>
            <w:rStyle w:val="Hipercze"/>
            <w:rFonts w:ascii="Arial" w:hAnsi="Arial" w:cs="Arial"/>
            <w:noProof/>
            <w:color w:val="auto"/>
          </w:rPr>
          <w:t>Analiza</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_Toc101904123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87</w:t>
        </w:r>
        <w:r w:rsidR="00280442" w:rsidRPr="00280442">
          <w:rPr>
            <w:noProof/>
            <w:webHidden/>
            <w:color w:val="auto"/>
          </w:rPr>
          <w:fldChar w:fldCharType="end"/>
        </w:r>
      </w:hyperlink>
    </w:p>
    <w:p w14:paraId="46ED9F21" w14:textId="696E7F72" w:rsidR="00280442" w:rsidRPr="00280442" w:rsidRDefault="0014299C">
      <w:pPr>
        <w:pStyle w:val="Spistreci2"/>
        <w:tabs>
          <w:tab w:val="left" w:pos="880"/>
          <w:tab w:val="right" w:leader="underscore" w:pos="9062"/>
        </w:tabs>
        <w:rPr>
          <w:rFonts w:eastAsiaTheme="minorEastAsia" w:cstheme="minorBidi"/>
          <w:smallCaps w:val="0"/>
          <w:noProof/>
          <w:color w:val="auto"/>
          <w:sz w:val="22"/>
          <w:szCs w:val="22"/>
          <w:lang w:eastAsia="pl-PL"/>
        </w:rPr>
      </w:pPr>
      <w:hyperlink w:anchor="_Toc101904124" w:history="1">
        <w:r w:rsidR="00280442" w:rsidRPr="00280442">
          <w:rPr>
            <w:rStyle w:val="Hipercze"/>
            <w:rFonts w:ascii="Arial" w:hAnsi="Arial" w:cs="Arial"/>
            <w:noProof/>
            <w:color w:val="auto"/>
          </w:rPr>
          <w:t>4.2.</w:t>
        </w:r>
        <w:r w:rsidR="00280442" w:rsidRPr="00280442">
          <w:rPr>
            <w:rFonts w:eastAsiaTheme="minorEastAsia" w:cstheme="minorBidi"/>
            <w:smallCaps w:val="0"/>
            <w:noProof/>
            <w:color w:val="auto"/>
            <w:sz w:val="22"/>
            <w:szCs w:val="22"/>
            <w:lang w:eastAsia="pl-PL"/>
          </w:rPr>
          <w:tab/>
        </w:r>
        <w:r w:rsidR="00280442" w:rsidRPr="00280442">
          <w:rPr>
            <w:rStyle w:val="Hipercze"/>
            <w:rFonts w:ascii="Arial" w:hAnsi="Arial" w:cs="Arial"/>
            <w:noProof/>
            <w:color w:val="auto"/>
          </w:rPr>
          <w:t>Ocena systemu wdrażania, wskazanych źródeł i instrumentów finansowania</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_Toc101904124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97</w:t>
        </w:r>
        <w:r w:rsidR="00280442" w:rsidRPr="00280442">
          <w:rPr>
            <w:noProof/>
            <w:webHidden/>
            <w:color w:val="auto"/>
          </w:rPr>
          <w:fldChar w:fldCharType="end"/>
        </w:r>
      </w:hyperlink>
    </w:p>
    <w:p w14:paraId="24FEA1A3" w14:textId="105AA24F" w:rsidR="00280442" w:rsidRPr="00280442" w:rsidRDefault="0014299C">
      <w:pPr>
        <w:pStyle w:val="Spistreci4"/>
        <w:tabs>
          <w:tab w:val="right" w:leader="underscore" w:pos="9062"/>
        </w:tabs>
        <w:rPr>
          <w:rFonts w:eastAsiaTheme="minorEastAsia" w:cstheme="minorBidi"/>
          <w:noProof/>
          <w:color w:val="auto"/>
          <w:sz w:val="22"/>
          <w:szCs w:val="22"/>
          <w:lang w:eastAsia="pl-PL"/>
        </w:rPr>
      </w:pPr>
      <w:hyperlink w:anchor="_Toc101904125" w:history="1">
        <w:r w:rsidR="00280442" w:rsidRPr="00280442">
          <w:rPr>
            <w:rStyle w:val="Hipercze"/>
            <w:rFonts w:ascii="Arial" w:hAnsi="Arial" w:cs="Arial"/>
            <w:noProof/>
            <w:color w:val="auto"/>
          </w:rPr>
          <w:t>Synteza</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_Toc101904125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97</w:t>
        </w:r>
        <w:r w:rsidR="00280442" w:rsidRPr="00280442">
          <w:rPr>
            <w:noProof/>
            <w:webHidden/>
            <w:color w:val="auto"/>
          </w:rPr>
          <w:fldChar w:fldCharType="end"/>
        </w:r>
      </w:hyperlink>
    </w:p>
    <w:p w14:paraId="578BAC3A" w14:textId="7C311657" w:rsidR="00280442" w:rsidRPr="00280442" w:rsidRDefault="0014299C">
      <w:pPr>
        <w:pStyle w:val="Spistreci4"/>
        <w:tabs>
          <w:tab w:val="right" w:leader="underscore" w:pos="9062"/>
        </w:tabs>
        <w:rPr>
          <w:rFonts w:eastAsiaTheme="minorEastAsia" w:cstheme="minorBidi"/>
          <w:noProof/>
          <w:color w:val="auto"/>
          <w:sz w:val="22"/>
          <w:szCs w:val="22"/>
          <w:lang w:eastAsia="pl-PL"/>
        </w:rPr>
      </w:pPr>
      <w:hyperlink w:anchor="_Toc101904126" w:history="1">
        <w:r w:rsidR="00280442" w:rsidRPr="00280442">
          <w:rPr>
            <w:rStyle w:val="Hipercze"/>
            <w:rFonts w:ascii="Arial" w:hAnsi="Arial" w:cs="Arial"/>
            <w:noProof/>
            <w:color w:val="auto"/>
          </w:rPr>
          <w:t>Analiza</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_Toc101904126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97</w:t>
        </w:r>
        <w:r w:rsidR="00280442" w:rsidRPr="00280442">
          <w:rPr>
            <w:noProof/>
            <w:webHidden/>
            <w:color w:val="auto"/>
          </w:rPr>
          <w:fldChar w:fldCharType="end"/>
        </w:r>
      </w:hyperlink>
    </w:p>
    <w:p w14:paraId="245B07E3" w14:textId="4EA1930A" w:rsidR="00280442" w:rsidRPr="00280442" w:rsidRDefault="0014299C">
      <w:pPr>
        <w:pStyle w:val="Spistreci2"/>
        <w:tabs>
          <w:tab w:val="left" w:pos="880"/>
          <w:tab w:val="right" w:leader="underscore" w:pos="9062"/>
        </w:tabs>
        <w:rPr>
          <w:rFonts w:eastAsiaTheme="minorEastAsia" w:cstheme="minorBidi"/>
          <w:smallCaps w:val="0"/>
          <w:noProof/>
          <w:color w:val="auto"/>
          <w:sz w:val="22"/>
          <w:szCs w:val="22"/>
          <w:lang w:eastAsia="pl-PL"/>
        </w:rPr>
      </w:pPr>
      <w:hyperlink w:anchor="_Toc101904127" w:history="1">
        <w:r w:rsidR="00280442" w:rsidRPr="00280442">
          <w:rPr>
            <w:rStyle w:val="Hipercze"/>
            <w:rFonts w:ascii="Arial" w:hAnsi="Arial" w:cs="Arial"/>
            <w:noProof/>
            <w:color w:val="auto"/>
          </w:rPr>
          <w:t>4.3.</w:t>
        </w:r>
        <w:r w:rsidR="00280442" w:rsidRPr="00280442">
          <w:rPr>
            <w:rFonts w:eastAsiaTheme="minorEastAsia" w:cstheme="minorBidi"/>
            <w:smallCaps w:val="0"/>
            <w:noProof/>
            <w:color w:val="auto"/>
            <w:sz w:val="22"/>
            <w:szCs w:val="22"/>
            <w:lang w:eastAsia="pl-PL"/>
          </w:rPr>
          <w:tab/>
        </w:r>
        <w:r w:rsidR="00280442" w:rsidRPr="00280442">
          <w:rPr>
            <w:rStyle w:val="Hipercze"/>
            <w:rFonts w:ascii="Arial" w:hAnsi="Arial" w:cs="Arial"/>
            <w:noProof/>
            <w:color w:val="auto"/>
          </w:rPr>
          <w:t>Ocena systemu monitorowania i ewaluacji</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_Toc101904127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99</w:t>
        </w:r>
        <w:r w:rsidR="00280442" w:rsidRPr="00280442">
          <w:rPr>
            <w:noProof/>
            <w:webHidden/>
            <w:color w:val="auto"/>
          </w:rPr>
          <w:fldChar w:fldCharType="end"/>
        </w:r>
      </w:hyperlink>
    </w:p>
    <w:p w14:paraId="534A48A2" w14:textId="53AE5637" w:rsidR="00280442" w:rsidRPr="00280442" w:rsidRDefault="0014299C">
      <w:pPr>
        <w:pStyle w:val="Spistreci4"/>
        <w:tabs>
          <w:tab w:val="right" w:leader="underscore" w:pos="9062"/>
        </w:tabs>
        <w:rPr>
          <w:rFonts w:eastAsiaTheme="minorEastAsia" w:cstheme="minorBidi"/>
          <w:noProof/>
          <w:color w:val="auto"/>
          <w:sz w:val="22"/>
          <w:szCs w:val="22"/>
          <w:lang w:eastAsia="pl-PL"/>
        </w:rPr>
      </w:pPr>
      <w:hyperlink w:anchor="_Toc101904128" w:history="1">
        <w:r w:rsidR="00280442" w:rsidRPr="00280442">
          <w:rPr>
            <w:rStyle w:val="Hipercze"/>
            <w:rFonts w:ascii="Arial" w:hAnsi="Arial" w:cs="Arial"/>
            <w:noProof/>
            <w:color w:val="auto"/>
          </w:rPr>
          <w:t>Synteza</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_Toc101904128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99</w:t>
        </w:r>
        <w:r w:rsidR="00280442" w:rsidRPr="00280442">
          <w:rPr>
            <w:noProof/>
            <w:webHidden/>
            <w:color w:val="auto"/>
          </w:rPr>
          <w:fldChar w:fldCharType="end"/>
        </w:r>
      </w:hyperlink>
    </w:p>
    <w:p w14:paraId="63D15F64" w14:textId="7299BDB9" w:rsidR="00280442" w:rsidRPr="00280442" w:rsidRDefault="0014299C">
      <w:pPr>
        <w:pStyle w:val="Spistreci4"/>
        <w:tabs>
          <w:tab w:val="right" w:leader="underscore" w:pos="9062"/>
        </w:tabs>
        <w:rPr>
          <w:rFonts w:eastAsiaTheme="minorEastAsia" w:cstheme="minorBidi"/>
          <w:noProof/>
          <w:color w:val="auto"/>
          <w:sz w:val="22"/>
          <w:szCs w:val="22"/>
          <w:lang w:eastAsia="pl-PL"/>
        </w:rPr>
      </w:pPr>
      <w:hyperlink w:anchor="_Toc101904129" w:history="1">
        <w:r w:rsidR="00280442" w:rsidRPr="00280442">
          <w:rPr>
            <w:rStyle w:val="Hipercze"/>
            <w:rFonts w:ascii="Arial" w:hAnsi="Arial" w:cs="Arial"/>
            <w:noProof/>
            <w:color w:val="auto"/>
          </w:rPr>
          <w:t>Analiza</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_Toc101904129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99</w:t>
        </w:r>
        <w:r w:rsidR="00280442" w:rsidRPr="00280442">
          <w:rPr>
            <w:noProof/>
            <w:webHidden/>
            <w:color w:val="auto"/>
          </w:rPr>
          <w:fldChar w:fldCharType="end"/>
        </w:r>
      </w:hyperlink>
    </w:p>
    <w:p w14:paraId="724578C9" w14:textId="61EEB81E" w:rsidR="00280442" w:rsidRPr="00280442" w:rsidRDefault="0014299C">
      <w:pPr>
        <w:pStyle w:val="Spistreci1"/>
        <w:rPr>
          <w:rFonts w:eastAsiaTheme="minorEastAsia" w:cstheme="minorBidi"/>
          <w:b w:val="0"/>
          <w:bCs w:val="0"/>
          <w:caps w:val="0"/>
          <w:noProof/>
          <w:color w:val="auto"/>
          <w:sz w:val="22"/>
          <w:szCs w:val="22"/>
          <w:lang w:eastAsia="pl-PL"/>
        </w:rPr>
      </w:pPr>
      <w:hyperlink w:anchor="_Toc101904130" w:history="1">
        <w:r w:rsidR="00280442" w:rsidRPr="00280442">
          <w:rPr>
            <w:rStyle w:val="Hipercze"/>
            <w:rFonts w:ascii="Arial" w:hAnsi="Arial" w:cs="Arial"/>
            <w:noProof/>
            <w:color w:val="auto"/>
          </w:rPr>
          <w:t>5.</w:t>
        </w:r>
        <w:r w:rsidR="00280442" w:rsidRPr="00280442">
          <w:rPr>
            <w:rFonts w:eastAsiaTheme="minorEastAsia" w:cstheme="minorBidi"/>
            <w:b w:val="0"/>
            <w:bCs w:val="0"/>
            <w:caps w:val="0"/>
            <w:noProof/>
            <w:color w:val="auto"/>
            <w:sz w:val="22"/>
            <w:szCs w:val="22"/>
            <w:lang w:eastAsia="pl-PL"/>
          </w:rPr>
          <w:tab/>
        </w:r>
        <w:r w:rsidR="00280442" w:rsidRPr="00280442">
          <w:rPr>
            <w:rStyle w:val="Hipercze"/>
            <w:rFonts w:ascii="Arial" w:hAnsi="Arial" w:cs="Arial"/>
            <w:noProof/>
            <w:color w:val="auto"/>
          </w:rPr>
          <w:t>Ocena spójności</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_Toc101904130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109</w:t>
        </w:r>
        <w:r w:rsidR="00280442" w:rsidRPr="00280442">
          <w:rPr>
            <w:noProof/>
            <w:webHidden/>
            <w:color w:val="auto"/>
          </w:rPr>
          <w:fldChar w:fldCharType="end"/>
        </w:r>
      </w:hyperlink>
    </w:p>
    <w:p w14:paraId="6E37A1B7" w14:textId="164F9FE6" w:rsidR="00280442" w:rsidRPr="00280442" w:rsidRDefault="0014299C">
      <w:pPr>
        <w:pStyle w:val="Spistreci2"/>
        <w:tabs>
          <w:tab w:val="left" w:pos="880"/>
          <w:tab w:val="right" w:leader="underscore" w:pos="9062"/>
        </w:tabs>
        <w:rPr>
          <w:rFonts w:eastAsiaTheme="minorEastAsia" w:cstheme="minorBidi"/>
          <w:smallCaps w:val="0"/>
          <w:noProof/>
          <w:color w:val="auto"/>
          <w:sz w:val="22"/>
          <w:szCs w:val="22"/>
          <w:lang w:eastAsia="pl-PL"/>
        </w:rPr>
      </w:pPr>
      <w:hyperlink w:anchor="_Toc101904131" w:history="1">
        <w:r w:rsidR="00280442" w:rsidRPr="00280442">
          <w:rPr>
            <w:rStyle w:val="Hipercze"/>
            <w:rFonts w:ascii="Arial" w:hAnsi="Arial" w:cs="Arial"/>
            <w:noProof/>
            <w:color w:val="auto"/>
          </w:rPr>
          <w:t>5.1.</w:t>
        </w:r>
        <w:r w:rsidR="00280442" w:rsidRPr="00280442">
          <w:rPr>
            <w:rFonts w:eastAsiaTheme="minorEastAsia" w:cstheme="minorBidi"/>
            <w:smallCaps w:val="0"/>
            <w:noProof/>
            <w:color w:val="auto"/>
            <w:sz w:val="22"/>
            <w:szCs w:val="22"/>
            <w:lang w:eastAsia="pl-PL"/>
          </w:rPr>
          <w:tab/>
        </w:r>
        <w:r w:rsidR="00280442" w:rsidRPr="00280442">
          <w:rPr>
            <w:rStyle w:val="Hipercze"/>
            <w:rFonts w:ascii="Arial" w:hAnsi="Arial" w:cs="Arial"/>
            <w:noProof/>
            <w:color w:val="auto"/>
          </w:rPr>
          <w:t>Ocena spójności z uwarunkowaniami europejskimi</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_Toc101904131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109</w:t>
        </w:r>
        <w:r w:rsidR="00280442" w:rsidRPr="00280442">
          <w:rPr>
            <w:noProof/>
            <w:webHidden/>
            <w:color w:val="auto"/>
          </w:rPr>
          <w:fldChar w:fldCharType="end"/>
        </w:r>
      </w:hyperlink>
    </w:p>
    <w:p w14:paraId="6743DC7E" w14:textId="598C0CDB" w:rsidR="00280442" w:rsidRPr="00280442" w:rsidRDefault="0014299C">
      <w:pPr>
        <w:pStyle w:val="Spistreci4"/>
        <w:tabs>
          <w:tab w:val="right" w:leader="underscore" w:pos="9062"/>
        </w:tabs>
        <w:rPr>
          <w:rFonts w:eastAsiaTheme="minorEastAsia" w:cstheme="minorBidi"/>
          <w:noProof/>
          <w:color w:val="auto"/>
          <w:sz w:val="22"/>
          <w:szCs w:val="22"/>
          <w:lang w:eastAsia="pl-PL"/>
        </w:rPr>
      </w:pPr>
      <w:hyperlink w:anchor="_Toc101904132" w:history="1">
        <w:r w:rsidR="00280442" w:rsidRPr="00280442">
          <w:rPr>
            <w:rStyle w:val="Hipercze"/>
            <w:rFonts w:ascii="Arial" w:hAnsi="Arial" w:cs="Arial"/>
            <w:noProof/>
            <w:color w:val="auto"/>
          </w:rPr>
          <w:t>Synteza</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_Toc101904132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109</w:t>
        </w:r>
        <w:r w:rsidR="00280442" w:rsidRPr="00280442">
          <w:rPr>
            <w:noProof/>
            <w:webHidden/>
            <w:color w:val="auto"/>
          </w:rPr>
          <w:fldChar w:fldCharType="end"/>
        </w:r>
      </w:hyperlink>
    </w:p>
    <w:p w14:paraId="316EC715" w14:textId="35B8ED78" w:rsidR="00280442" w:rsidRPr="00280442" w:rsidRDefault="0014299C">
      <w:pPr>
        <w:pStyle w:val="Spistreci4"/>
        <w:tabs>
          <w:tab w:val="right" w:leader="underscore" w:pos="9062"/>
        </w:tabs>
        <w:rPr>
          <w:rFonts w:eastAsiaTheme="minorEastAsia" w:cstheme="minorBidi"/>
          <w:noProof/>
          <w:color w:val="auto"/>
          <w:sz w:val="22"/>
          <w:szCs w:val="22"/>
          <w:lang w:eastAsia="pl-PL"/>
        </w:rPr>
      </w:pPr>
      <w:hyperlink w:anchor="_Toc101904133" w:history="1">
        <w:r w:rsidR="00280442" w:rsidRPr="00280442">
          <w:rPr>
            <w:rStyle w:val="Hipercze"/>
            <w:rFonts w:ascii="Arial" w:hAnsi="Arial" w:cs="Arial"/>
            <w:noProof/>
            <w:color w:val="auto"/>
          </w:rPr>
          <w:t>Analiza</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_Toc101904133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109</w:t>
        </w:r>
        <w:r w:rsidR="00280442" w:rsidRPr="00280442">
          <w:rPr>
            <w:noProof/>
            <w:webHidden/>
            <w:color w:val="auto"/>
          </w:rPr>
          <w:fldChar w:fldCharType="end"/>
        </w:r>
      </w:hyperlink>
    </w:p>
    <w:p w14:paraId="01D84D65" w14:textId="061D1A37" w:rsidR="00280442" w:rsidRPr="00280442" w:rsidRDefault="0014299C">
      <w:pPr>
        <w:pStyle w:val="Spistreci3"/>
        <w:tabs>
          <w:tab w:val="left" w:pos="1320"/>
          <w:tab w:val="right" w:leader="underscore" w:pos="9062"/>
        </w:tabs>
        <w:rPr>
          <w:rFonts w:eastAsiaTheme="minorEastAsia" w:cstheme="minorBidi"/>
          <w:i w:val="0"/>
          <w:iCs w:val="0"/>
          <w:noProof/>
          <w:color w:val="auto"/>
          <w:sz w:val="22"/>
          <w:szCs w:val="22"/>
          <w:lang w:eastAsia="pl-PL"/>
        </w:rPr>
      </w:pPr>
      <w:hyperlink w:anchor="_Toc101904134" w:history="1">
        <w:r w:rsidR="00280442" w:rsidRPr="00280442">
          <w:rPr>
            <w:rStyle w:val="Hipercze"/>
            <w:rFonts w:ascii="Arial" w:hAnsi="Arial" w:cs="Arial"/>
            <w:noProof/>
            <w:color w:val="auto"/>
          </w:rPr>
          <w:t>5.1.1.</w:t>
        </w:r>
        <w:r w:rsidR="00280442" w:rsidRPr="00280442">
          <w:rPr>
            <w:rFonts w:eastAsiaTheme="minorEastAsia" w:cstheme="minorBidi"/>
            <w:i w:val="0"/>
            <w:iCs w:val="0"/>
            <w:noProof/>
            <w:color w:val="auto"/>
            <w:sz w:val="22"/>
            <w:szCs w:val="22"/>
            <w:lang w:eastAsia="pl-PL"/>
          </w:rPr>
          <w:tab/>
        </w:r>
        <w:r w:rsidR="00280442" w:rsidRPr="00280442">
          <w:rPr>
            <w:rStyle w:val="Hipercze"/>
            <w:rFonts w:ascii="Arial" w:hAnsi="Arial" w:cs="Arial"/>
            <w:noProof/>
            <w:color w:val="auto"/>
          </w:rPr>
          <w:t>Zgodność z Ustawą o zasadach prowadzenia polityki rozwoju</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_Toc101904134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109</w:t>
        </w:r>
        <w:r w:rsidR="00280442" w:rsidRPr="00280442">
          <w:rPr>
            <w:noProof/>
            <w:webHidden/>
            <w:color w:val="auto"/>
          </w:rPr>
          <w:fldChar w:fldCharType="end"/>
        </w:r>
      </w:hyperlink>
    </w:p>
    <w:p w14:paraId="621DCA38" w14:textId="0F284374" w:rsidR="00280442" w:rsidRPr="00280442" w:rsidRDefault="0014299C">
      <w:pPr>
        <w:pStyle w:val="Spistreci3"/>
        <w:tabs>
          <w:tab w:val="left" w:pos="1320"/>
          <w:tab w:val="right" w:leader="underscore" w:pos="9062"/>
        </w:tabs>
        <w:rPr>
          <w:rFonts w:eastAsiaTheme="minorEastAsia" w:cstheme="minorBidi"/>
          <w:i w:val="0"/>
          <w:iCs w:val="0"/>
          <w:noProof/>
          <w:color w:val="auto"/>
          <w:sz w:val="22"/>
          <w:szCs w:val="22"/>
          <w:lang w:eastAsia="pl-PL"/>
        </w:rPr>
      </w:pPr>
      <w:hyperlink w:anchor="_Toc101904135" w:history="1">
        <w:r w:rsidR="00280442" w:rsidRPr="00280442">
          <w:rPr>
            <w:rStyle w:val="Hipercze"/>
            <w:rFonts w:ascii="Arial" w:hAnsi="Arial" w:cs="Arial"/>
            <w:noProof/>
            <w:color w:val="auto"/>
          </w:rPr>
          <w:t>5.1.2.</w:t>
        </w:r>
        <w:r w:rsidR="00280442" w:rsidRPr="00280442">
          <w:rPr>
            <w:rFonts w:eastAsiaTheme="minorEastAsia" w:cstheme="minorBidi"/>
            <w:i w:val="0"/>
            <w:iCs w:val="0"/>
            <w:noProof/>
            <w:color w:val="auto"/>
            <w:sz w:val="22"/>
            <w:szCs w:val="22"/>
            <w:lang w:eastAsia="pl-PL"/>
          </w:rPr>
          <w:tab/>
        </w:r>
        <w:r w:rsidR="00280442" w:rsidRPr="00280442">
          <w:rPr>
            <w:rStyle w:val="Hipercze"/>
            <w:rFonts w:ascii="Arial" w:hAnsi="Arial" w:cs="Arial"/>
            <w:noProof/>
            <w:color w:val="auto"/>
          </w:rPr>
          <w:t>Zgodność z pakietem rozporządzeń dla polityki spójności na lata 2021-2027 oraz programami operacyjnymi poziomu krajowego</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_Toc101904135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114</w:t>
        </w:r>
        <w:r w:rsidR="00280442" w:rsidRPr="00280442">
          <w:rPr>
            <w:noProof/>
            <w:webHidden/>
            <w:color w:val="auto"/>
          </w:rPr>
          <w:fldChar w:fldCharType="end"/>
        </w:r>
      </w:hyperlink>
    </w:p>
    <w:p w14:paraId="2BE3BED5" w14:textId="5B0099BB" w:rsidR="00280442" w:rsidRPr="00280442" w:rsidRDefault="0014299C">
      <w:pPr>
        <w:pStyle w:val="Spistreci3"/>
        <w:tabs>
          <w:tab w:val="left" w:pos="1320"/>
          <w:tab w:val="right" w:leader="underscore" w:pos="9062"/>
        </w:tabs>
        <w:rPr>
          <w:rFonts w:eastAsiaTheme="minorEastAsia" w:cstheme="minorBidi"/>
          <w:i w:val="0"/>
          <w:iCs w:val="0"/>
          <w:noProof/>
          <w:color w:val="auto"/>
          <w:sz w:val="22"/>
          <w:szCs w:val="22"/>
          <w:lang w:eastAsia="pl-PL"/>
        </w:rPr>
      </w:pPr>
      <w:hyperlink w:anchor="_Toc101904136" w:history="1">
        <w:r w:rsidR="00280442" w:rsidRPr="00280442">
          <w:rPr>
            <w:rStyle w:val="Hipercze"/>
            <w:rFonts w:ascii="Arial" w:hAnsi="Arial" w:cs="Arial"/>
            <w:noProof/>
            <w:color w:val="auto"/>
          </w:rPr>
          <w:t>5.1.3.</w:t>
        </w:r>
        <w:r w:rsidR="00280442" w:rsidRPr="00280442">
          <w:rPr>
            <w:rFonts w:eastAsiaTheme="minorEastAsia" w:cstheme="minorBidi"/>
            <w:i w:val="0"/>
            <w:iCs w:val="0"/>
            <w:noProof/>
            <w:color w:val="auto"/>
            <w:sz w:val="22"/>
            <w:szCs w:val="22"/>
            <w:lang w:eastAsia="pl-PL"/>
          </w:rPr>
          <w:tab/>
        </w:r>
        <w:r w:rsidR="00280442" w:rsidRPr="00280442">
          <w:rPr>
            <w:rStyle w:val="Hipercze"/>
            <w:rFonts w:ascii="Arial" w:hAnsi="Arial" w:cs="Arial"/>
            <w:noProof/>
            <w:color w:val="auto"/>
          </w:rPr>
          <w:t>Zgodność z Umową Partnerstwa</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_Toc101904136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122</w:t>
        </w:r>
        <w:r w:rsidR="00280442" w:rsidRPr="00280442">
          <w:rPr>
            <w:noProof/>
            <w:webHidden/>
            <w:color w:val="auto"/>
          </w:rPr>
          <w:fldChar w:fldCharType="end"/>
        </w:r>
      </w:hyperlink>
    </w:p>
    <w:p w14:paraId="5B1CBEDA" w14:textId="1E80E9A2" w:rsidR="00280442" w:rsidRPr="00280442" w:rsidRDefault="0014299C">
      <w:pPr>
        <w:pStyle w:val="Spistreci3"/>
        <w:tabs>
          <w:tab w:val="left" w:pos="1320"/>
          <w:tab w:val="right" w:leader="underscore" w:pos="9062"/>
        </w:tabs>
        <w:rPr>
          <w:rFonts w:eastAsiaTheme="minorEastAsia" w:cstheme="minorBidi"/>
          <w:i w:val="0"/>
          <w:iCs w:val="0"/>
          <w:noProof/>
          <w:color w:val="auto"/>
          <w:sz w:val="22"/>
          <w:szCs w:val="22"/>
          <w:lang w:eastAsia="pl-PL"/>
        </w:rPr>
      </w:pPr>
      <w:hyperlink w:anchor="_Toc101904137" w:history="1">
        <w:r w:rsidR="00280442" w:rsidRPr="00280442">
          <w:rPr>
            <w:rStyle w:val="Hipercze"/>
            <w:rFonts w:ascii="Arial" w:hAnsi="Arial" w:cs="Arial"/>
            <w:noProof/>
            <w:color w:val="auto"/>
          </w:rPr>
          <w:t>5.1.4.</w:t>
        </w:r>
        <w:r w:rsidR="00280442" w:rsidRPr="00280442">
          <w:rPr>
            <w:rFonts w:eastAsiaTheme="minorEastAsia" w:cstheme="minorBidi"/>
            <w:i w:val="0"/>
            <w:iCs w:val="0"/>
            <w:noProof/>
            <w:color w:val="auto"/>
            <w:sz w:val="22"/>
            <w:szCs w:val="22"/>
            <w:lang w:eastAsia="pl-PL"/>
          </w:rPr>
          <w:tab/>
        </w:r>
        <w:r w:rsidR="00280442" w:rsidRPr="00280442">
          <w:rPr>
            <w:rStyle w:val="Hipercze"/>
            <w:rFonts w:ascii="Arial" w:hAnsi="Arial" w:cs="Arial"/>
            <w:noProof/>
            <w:color w:val="auto"/>
          </w:rPr>
          <w:t>Zgodność z wytycznymi dotyczącymi spełnienia warunkowości podstawowej dla Celu Polityki 3 – „Lepiej połączona Europa”</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_Toc101904137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125</w:t>
        </w:r>
        <w:r w:rsidR="00280442" w:rsidRPr="00280442">
          <w:rPr>
            <w:noProof/>
            <w:webHidden/>
            <w:color w:val="auto"/>
          </w:rPr>
          <w:fldChar w:fldCharType="end"/>
        </w:r>
      </w:hyperlink>
    </w:p>
    <w:p w14:paraId="78D2AA5A" w14:textId="36E6E73E" w:rsidR="00280442" w:rsidRPr="00280442" w:rsidRDefault="0014299C">
      <w:pPr>
        <w:pStyle w:val="Spistreci3"/>
        <w:tabs>
          <w:tab w:val="left" w:pos="1320"/>
          <w:tab w:val="right" w:leader="underscore" w:pos="9062"/>
        </w:tabs>
        <w:rPr>
          <w:rFonts w:eastAsiaTheme="minorEastAsia" w:cstheme="minorBidi"/>
          <w:i w:val="0"/>
          <w:iCs w:val="0"/>
          <w:noProof/>
          <w:color w:val="auto"/>
          <w:sz w:val="22"/>
          <w:szCs w:val="22"/>
          <w:lang w:eastAsia="pl-PL"/>
        </w:rPr>
      </w:pPr>
      <w:hyperlink w:anchor="_Toc101904138" w:history="1">
        <w:r w:rsidR="00280442" w:rsidRPr="00280442">
          <w:rPr>
            <w:rStyle w:val="Hipercze"/>
            <w:rFonts w:ascii="Arial" w:hAnsi="Arial" w:cs="Arial"/>
            <w:noProof/>
            <w:color w:val="auto"/>
          </w:rPr>
          <w:t>5.1.5.</w:t>
        </w:r>
        <w:r w:rsidR="00280442" w:rsidRPr="00280442">
          <w:rPr>
            <w:rFonts w:eastAsiaTheme="minorEastAsia" w:cstheme="minorBidi"/>
            <w:i w:val="0"/>
            <w:iCs w:val="0"/>
            <w:noProof/>
            <w:color w:val="auto"/>
            <w:sz w:val="22"/>
            <w:szCs w:val="22"/>
            <w:lang w:eastAsia="pl-PL"/>
          </w:rPr>
          <w:tab/>
        </w:r>
        <w:r w:rsidR="00280442" w:rsidRPr="00280442">
          <w:rPr>
            <w:rStyle w:val="Hipercze"/>
            <w:rFonts w:ascii="Arial" w:hAnsi="Arial" w:cs="Arial"/>
            <w:noProof/>
            <w:color w:val="auto"/>
          </w:rPr>
          <w:t>Zgodność z dokumentami prawymi regulującymi kwestie zarządzania infrastrukturą transportową oraz przewozem osób i towarów</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_Toc101904138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133</w:t>
        </w:r>
        <w:r w:rsidR="00280442" w:rsidRPr="00280442">
          <w:rPr>
            <w:noProof/>
            <w:webHidden/>
            <w:color w:val="auto"/>
          </w:rPr>
          <w:fldChar w:fldCharType="end"/>
        </w:r>
      </w:hyperlink>
    </w:p>
    <w:p w14:paraId="44DE33E2" w14:textId="3508CAFA" w:rsidR="00280442" w:rsidRPr="00280442" w:rsidRDefault="0014299C">
      <w:pPr>
        <w:pStyle w:val="Spistreci3"/>
        <w:tabs>
          <w:tab w:val="left" w:pos="1320"/>
          <w:tab w:val="right" w:leader="underscore" w:pos="9062"/>
        </w:tabs>
        <w:rPr>
          <w:rFonts w:eastAsiaTheme="minorEastAsia" w:cstheme="minorBidi"/>
          <w:i w:val="0"/>
          <w:iCs w:val="0"/>
          <w:noProof/>
          <w:color w:val="auto"/>
          <w:sz w:val="22"/>
          <w:szCs w:val="22"/>
          <w:lang w:eastAsia="pl-PL"/>
        </w:rPr>
      </w:pPr>
      <w:hyperlink w:anchor="_Toc101904139" w:history="1">
        <w:r w:rsidR="00280442" w:rsidRPr="00280442">
          <w:rPr>
            <w:rStyle w:val="Hipercze"/>
            <w:rFonts w:ascii="Arial" w:hAnsi="Arial" w:cs="Arial"/>
            <w:noProof/>
            <w:color w:val="auto"/>
          </w:rPr>
          <w:t>5.1.6.</w:t>
        </w:r>
        <w:r w:rsidR="00280442" w:rsidRPr="00280442">
          <w:rPr>
            <w:rFonts w:eastAsiaTheme="minorEastAsia" w:cstheme="minorBidi"/>
            <w:i w:val="0"/>
            <w:iCs w:val="0"/>
            <w:noProof/>
            <w:color w:val="auto"/>
            <w:sz w:val="22"/>
            <w:szCs w:val="22"/>
            <w:lang w:eastAsia="pl-PL"/>
          </w:rPr>
          <w:tab/>
        </w:r>
        <w:r w:rsidR="00280442" w:rsidRPr="00280442">
          <w:rPr>
            <w:rStyle w:val="Hipercze"/>
            <w:rFonts w:ascii="Arial" w:hAnsi="Arial" w:cs="Arial"/>
            <w:noProof/>
            <w:color w:val="auto"/>
          </w:rPr>
          <w:t>Zgodność z wytycznymi JASPERS dla metodyki opracowania regionalnych planów transportowych</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_Toc101904139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135</w:t>
        </w:r>
        <w:r w:rsidR="00280442" w:rsidRPr="00280442">
          <w:rPr>
            <w:noProof/>
            <w:webHidden/>
            <w:color w:val="auto"/>
          </w:rPr>
          <w:fldChar w:fldCharType="end"/>
        </w:r>
      </w:hyperlink>
    </w:p>
    <w:p w14:paraId="1B79423D" w14:textId="37899BFC" w:rsidR="00280442" w:rsidRPr="00280442" w:rsidRDefault="0014299C">
      <w:pPr>
        <w:pStyle w:val="Spistreci2"/>
        <w:tabs>
          <w:tab w:val="left" w:pos="880"/>
          <w:tab w:val="right" w:leader="underscore" w:pos="9062"/>
        </w:tabs>
        <w:rPr>
          <w:rFonts w:eastAsiaTheme="minorEastAsia" w:cstheme="minorBidi"/>
          <w:smallCaps w:val="0"/>
          <w:noProof/>
          <w:color w:val="auto"/>
          <w:sz w:val="22"/>
          <w:szCs w:val="22"/>
          <w:lang w:eastAsia="pl-PL"/>
        </w:rPr>
      </w:pPr>
      <w:hyperlink w:anchor="_Toc101904140" w:history="1">
        <w:r w:rsidR="00280442" w:rsidRPr="00280442">
          <w:rPr>
            <w:rStyle w:val="Hipercze"/>
            <w:rFonts w:ascii="Arial" w:hAnsi="Arial" w:cs="Arial"/>
            <w:noProof/>
            <w:color w:val="auto"/>
          </w:rPr>
          <w:t>5.2.</w:t>
        </w:r>
        <w:r w:rsidR="00280442" w:rsidRPr="00280442">
          <w:rPr>
            <w:rFonts w:eastAsiaTheme="minorEastAsia" w:cstheme="minorBidi"/>
            <w:smallCaps w:val="0"/>
            <w:noProof/>
            <w:color w:val="auto"/>
            <w:sz w:val="22"/>
            <w:szCs w:val="22"/>
            <w:lang w:eastAsia="pl-PL"/>
          </w:rPr>
          <w:tab/>
        </w:r>
        <w:r w:rsidR="00280442" w:rsidRPr="00280442">
          <w:rPr>
            <w:rStyle w:val="Hipercze"/>
            <w:rFonts w:ascii="Arial" w:hAnsi="Arial" w:cs="Arial"/>
            <w:noProof/>
            <w:color w:val="auto"/>
          </w:rPr>
          <w:t>Ocena spójności z najważniejszymi politykami i strategiami na poziomie unijnym i krajowym</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_Toc101904140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145</w:t>
        </w:r>
        <w:r w:rsidR="00280442" w:rsidRPr="00280442">
          <w:rPr>
            <w:noProof/>
            <w:webHidden/>
            <w:color w:val="auto"/>
          </w:rPr>
          <w:fldChar w:fldCharType="end"/>
        </w:r>
      </w:hyperlink>
    </w:p>
    <w:p w14:paraId="15EEEF89" w14:textId="46818CF8" w:rsidR="00280442" w:rsidRPr="00280442" w:rsidRDefault="0014299C">
      <w:pPr>
        <w:pStyle w:val="Spistreci4"/>
        <w:tabs>
          <w:tab w:val="right" w:leader="underscore" w:pos="9062"/>
        </w:tabs>
        <w:rPr>
          <w:rFonts w:eastAsiaTheme="minorEastAsia" w:cstheme="minorBidi"/>
          <w:noProof/>
          <w:color w:val="auto"/>
          <w:sz w:val="22"/>
          <w:szCs w:val="22"/>
          <w:lang w:eastAsia="pl-PL"/>
        </w:rPr>
      </w:pPr>
      <w:hyperlink w:anchor="_Toc101904141" w:history="1">
        <w:r w:rsidR="00280442" w:rsidRPr="00280442">
          <w:rPr>
            <w:rStyle w:val="Hipercze"/>
            <w:rFonts w:ascii="Arial" w:hAnsi="Arial" w:cs="Arial"/>
            <w:noProof/>
            <w:color w:val="auto"/>
          </w:rPr>
          <w:t>Synteza</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_Toc101904141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145</w:t>
        </w:r>
        <w:r w:rsidR="00280442" w:rsidRPr="00280442">
          <w:rPr>
            <w:noProof/>
            <w:webHidden/>
            <w:color w:val="auto"/>
          </w:rPr>
          <w:fldChar w:fldCharType="end"/>
        </w:r>
      </w:hyperlink>
    </w:p>
    <w:p w14:paraId="0A68184A" w14:textId="557228DF" w:rsidR="00280442" w:rsidRPr="00280442" w:rsidRDefault="0014299C">
      <w:pPr>
        <w:pStyle w:val="Spistreci4"/>
        <w:tabs>
          <w:tab w:val="right" w:leader="underscore" w:pos="9062"/>
        </w:tabs>
        <w:rPr>
          <w:rFonts w:eastAsiaTheme="minorEastAsia" w:cstheme="minorBidi"/>
          <w:noProof/>
          <w:color w:val="auto"/>
          <w:sz w:val="22"/>
          <w:szCs w:val="22"/>
          <w:lang w:eastAsia="pl-PL"/>
        </w:rPr>
      </w:pPr>
      <w:hyperlink w:anchor="_Toc101904142" w:history="1">
        <w:r w:rsidR="00280442" w:rsidRPr="00280442">
          <w:rPr>
            <w:rStyle w:val="Hipercze"/>
            <w:rFonts w:ascii="Arial" w:hAnsi="Arial" w:cs="Arial"/>
            <w:noProof/>
            <w:color w:val="auto"/>
          </w:rPr>
          <w:t>Analiza</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_Toc101904142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145</w:t>
        </w:r>
        <w:r w:rsidR="00280442" w:rsidRPr="00280442">
          <w:rPr>
            <w:noProof/>
            <w:webHidden/>
            <w:color w:val="auto"/>
          </w:rPr>
          <w:fldChar w:fldCharType="end"/>
        </w:r>
      </w:hyperlink>
    </w:p>
    <w:p w14:paraId="5678873A" w14:textId="0FF2130E" w:rsidR="00280442" w:rsidRPr="00280442" w:rsidRDefault="0014299C">
      <w:pPr>
        <w:pStyle w:val="Spistreci3"/>
        <w:tabs>
          <w:tab w:val="left" w:pos="1320"/>
          <w:tab w:val="right" w:leader="underscore" w:pos="9062"/>
        </w:tabs>
        <w:rPr>
          <w:rFonts w:eastAsiaTheme="minorEastAsia" w:cstheme="minorBidi"/>
          <w:i w:val="0"/>
          <w:iCs w:val="0"/>
          <w:noProof/>
          <w:color w:val="auto"/>
          <w:sz w:val="22"/>
          <w:szCs w:val="22"/>
          <w:lang w:eastAsia="pl-PL"/>
        </w:rPr>
      </w:pPr>
      <w:hyperlink w:anchor="_Toc101904143" w:history="1">
        <w:r w:rsidR="00280442" w:rsidRPr="00280442">
          <w:rPr>
            <w:rStyle w:val="Hipercze"/>
            <w:rFonts w:ascii="Arial" w:hAnsi="Arial" w:cs="Arial"/>
            <w:noProof/>
            <w:color w:val="auto"/>
          </w:rPr>
          <w:t>5.2.1.</w:t>
        </w:r>
        <w:r w:rsidR="00280442" w:rsidRPr="00280442">
          <w:rPr>
            <w:rFonts w:eastAsiaTheme="minorEastAsia" w:cstheme="minorBidi"/>
            <w:i w:val="0"/>
            <w:iCs w:val="0"/>
            <w:noProof/>
            <w:color w:val="auto"/>
            <w:sz w:val="22"/>
            <w:szCs w:val="22"/>
            <w:lang w:eastAsia="pl-PL"/>
          </w:rPr>
          <w:tab/>
        </w:r>
        <w:r w:rsidR="00280442" w:rsidRPr="00280442">
          <w:rPr>
            <w:rStyle w:val="Hipercze"/>
            <w:rFonts w:ascii="Arial" w:hAnsi="Arial" w:cs="Arial"/>
            <w:noProof/>
            <w:color w:val="auto"/>
          </w:rPr>
          <w:t>Europejski Zielony Ład</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_Toc101904143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146</w:t>
        </w:r>
        <w:r w:rsidR="00280442" w:rsidRPr="00280442">
          <w:rPr>
            <w:noProof/>
            <w:webHidden/>
            <w:color w:val="auto"/>
          </w:rPr>
          <w:fldChar w:fldCharType="end"/>
        </w:r>
      </w:hyperlink>
    </w:p>
    <w:p w14:paraId="68E8ACAF" w14:textId="075AE835" w:rsidR="00280442" w:rsidRPr="00280442" w:rsidRDefault="0014299C">
      <w:pPr>
        <w:pStyle w:val="Spistreci3"/>
        <w:tabs>
          <w:tab w:val="left" w:pos="1320"/>
          <w:tab w:val="right" w:leader="underscore" w:pos="9062"/>
        </w:tabs>
        <w:rPr>
          <w:rFonts w:eastAsiaTheme="minorEastAsia" w:cstheme="minorBidi"/>
          <w:i w:val="0"/>
          <w:iCs w:val="0"/>
          <w:noProof/>
          <w:color w:val="auto"/>
          <w:sz w:val="22"/>
          <w:szCs w:val="22"/>
          <w:lang w:eastAsia="pl-PL"/>
        </w:rPr>
      </w:pPr>
      <w:hyperlink w:anchor="_Toc101904144" w:history="1">
        <w:r w:rsidR="00280442" w:rsidRPr="00280442">
          <w:rPr>
            <w:rStyle w:val="Hipercze"/>
            <w:rFonts w:ascii="Arial" w:hAnsi="Arial" w:cs="Arial"/>
            <w:noProof/>
            <w:color w:val="auto"/>
          </w:rPr>
          <w:t>5.2.2.</w:t>
        </w:r>
        <w:r w:rsidR="00280442" w:rsidRPr="00280442">
          <w:rPr>
            <w:rFonts w:eastAsiaTheme="minorEastAsia" w:cstheme="minorBidi"/>
            <w:i w:val="0"/>
            <w:iCs w:val="0"/>
            <w:noProof/>
            <w:color w:val="auto"/>
            <w:sz w:val="22"/>
            <w:szCs w:val="22"/>
            <w:lang w:eastAsia="pl-PL"/>
          </w:rPr>
          <w:tab/>
        </w:r>
        <w:r w:rsidR="00280442" w:rsidRPr="00280442">
          <w:rPr>
            <w:rStyle w:val="Hipercze"/>
            <w:rFonts w:ascii="Arial" w:hAnsi="Arial" w:cs="Arial"/>
            <w:noProof/>
            <w:color w:val="auto"/>
          </w:rPr>
          <w:t>Rozporządzenie Parlamentu Europejskiego i Rady (UE) 2021/1060 z dnia 24 czerwca 2021 r.</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_Toc101904144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148</w:t>
        </w:r>
        <w:r w:rsidR="00280442" w:rsidRPr="00280442">
          <w:rPr>
            <w:noProof/>
            <w:webHidden/>
            <w:color w:val="auto"/>
          </w:rPr>
          <w:fldChar w:fldCharType="end"/>
        </w:r>
      </w:hyperlink>
    </w:p>
    <w:p w14:paraId="4135B600" w14:textId="356D15BD" w:rsidR="00280442" w:rsidRPr="00280442" w:rsidRDefault="0014299C">
      <w:pPr>
        <w:pStyle w:val="Spistreci3"/>
        <w:tabs>
          <w:tab w:val="left" w:pos="1320"/>
          <w:tab w:val="right" w:leader="underscore" w:pos="9062"/>
        </w:tabs>
        <w:rPr>
          <w:rFonts w:eastAsiaTheme="minorEastAsia" w:cstheme="minorBidi"/>
          <w:i w:val="0"/>
          <w:iCs w:val="0"/>
          <w:noProof/>
          <w:color w:val="auto"/>
          <w:sz w:val="22"/>
          <w:szCs w:val="22"/>
          <w:lang w:eastAsia="pl-PL"/>
        </w:rPr>
      </w:pPr>
      <w:hyperlink w:anchor="_Toc101904145" w:history="1">
        <w:r w:rsidR="00280442" w:rsidRPr="00280442">
          <w:rPr>
            <w:rStyle w:val="Hipercze"/>
            <w:rFonts w:ascii="Arial" w:hAnsi="Arial" w:cs="Arial"/>
            <w:noProof/>
            <w:color w:val="auto"/>
          </w:rPr>
          <w:t>5.2.3.</w:t>
        </w:r>
        <w:r w:rsidR="00280442" w:rsidRPr="00280442">
          <w:rPr>
            <w:rFonts w:eastAsiaTheme="minorEastAsia" w:cstheme="minorBidi"/>
            <w:i w:val="0"/>
            <w:iCs w:val="0"/>
            <w:noProof/>
            <w:color w:val="auto"/>
            <w:sz w:val="22"/>
            <w:szCs w:val="22"/>
            <w:lang w:eastAsia="pl-PL"/>
          </w:rPr>
          <w:tab/>
        </w:r>
        <w:r w:rsidR="00280442" w:rsidRPr="00280442">
          <w:rPr>
            <w:rStyle w:val="Hipercze"/>
            <w:rFonts w:ascii="Arial" w:hAnsi="Arial" w:cs="Arial"/>
            <w:noProof/>
            <w:color w:val="auto"/>
          </w:rPr>
          <w:t>Czysta energia dla transportu: europejska strategia w zakresie paliw alternatywnych</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_Toc101904145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150</w:t>
        </w:r>
        <w:r w:rsidR="00280442" w:rsidRPr="00280442">
          <w:rPr>
            <w:noProof/>
            <w:webHidden/>
            <w:color w:val="auto"/>
          </w:rPr>
          <w:fldChar w:fldCharType="end"/>
        </w:r>
      </w:hyperlink>
    </w:p>
    <w:p w14:paraId="44940494" w14:textId="776B2509" w:rsidR="00280442" w:rsidRPr="00280442" w:rsidRDefault="0014299C">
      <w:pPr>
        <w:pStyle w:val="Spistreci3"/>
        <w:tabs>
          <w:tab w:val="left" w:pos="1320"/>
          <w:tab w:val="right" w:leader="underscore" w:pos="9062"/>
        </w:tabs>
        <w:rPr>
          <w:rFonts w:eastAsiaTheme="minorEastAsia" w:cstheme="minorBidi"/>
          <w:i w:val="0"/>
          <w:iCs w:val="0"/>
          <w:noProof/>
          <w:color w:val="auto"/>
          <w:sz w:val="22"/>
          <w:szCs w:val="22"/>
          <w:lang w:eastAsia="pl-PL"/>
        </w:rPr>
      </w:pPr>
      <w:hyperlink w:anchor="_Toc101904146" w:history="1">
        <w:r w:rsidR="00280442" w:rsidRPr="00280442">
          <w:rPr>
            <w:rStyle w:val="Hipercze"/>
            <w:rFonts w:ascii="Arial" w:hAnsi="Arial" w:cs="Arial"/>
            <w:noProof/>
            <w:color w:val="auto"/>
          </w:rPr>
          <w:t>5.2.4.</w:t>
        </w:r>
        <w:r w:rsidR="00280442" w:rsidRPr="00280442">
          <w:rPr>
            <w:rFonts w:eastAsiaTheme="minorEastAsia" w:cstheme="minorBidi"/>
            <w:i w:val="0"/>
            <w:iCs w:val="0"/>
            <w:noProof/>
            <w:color w:val="auto"/>
            <w:sz w:val="22"/>
            <w:szCs w:val="22"/>
            <w:lang w:eastAsia="pl-PL"/>
          </w:rPr>
          <w:tab/>
        </w:r>
        <w:r w:rsidR="00280442" w:rsidRPr="00280442">
          <w:rPr>
            <w:rStyle w:val="Hipercze"/>
            <w:rFonts w:ascii="Arial" w:hAnsi="Arial" w:cs="Arial"/>
            <w:noProof/>
            <w:color w:val="auto"/>
          </w:rPr>
          <w:t>Strategia na rzecz Odpowiedzialnego Rozwoju do roku 2020 (z perspektywą do 2030 r.)</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_Toc101904146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151</w:t>
        </w:r>
        <w:r w:rsidR="00280442" w:rsidRPr="00280442">
          <w:rPr>
            <w:noProof/>
            <w:webHidden/>
            <w:color w:val="auto"/>
          </w:rPr>
          <w:fldChar w:fldCharType="end"/>
        </w:r>
      </w:hyperlink>
    </w:p>
    <w:p w14:paraId="7D806ECA" w14:textId="6D4C40F3" w:rsidR="00280442" w:rsidRPr="00280442" w:rsidRDefault="0014299C">
      <w:pPr>
        <w:pStyle w:val="Spistreci3"/>
        <w:tabs>
          <w:tab w:val="left" w:pos="1320"/>
          <w:tab w:val="right" w:leader="underscore" w:pos="9062"/>
        </w:tabs>
        <w:rPr>
          <w:rFonts w:eastAsiaTheme="minorEastAsia" w:cstheme="minorBidi"/>
          <w:i w:val="0"/>
          <w:iCs w:val="0"/>
          <w:noProof/>
          <w:color w:val="auto"/>
          <w:sz w:val="22"/>
          <w:szCs w:val="22"/>
          <w:lang w:eastAsia="pl-PL"/>
        </w:rPr>
      </w:pPr>
      <w:hyperlink w:anchor="_Toc101904147" w:history="1">
        <w:r w:rsidR="00280442" w:rsidRPr="00280442">
          <w:rPr>
            <w:rStyle w:val="Hipercze"/>
            <w:rFonts w:ascii="Arial" w:hAnsi="Arial" w:cs="Arial"/>
            <w:noProof/>
            <w:color w:val="auto"/>
          </w:rPr>
          <w:t>5.2.5.</w:t>
        </w:r>
        <w:r w:rsidR="00280442" w:rsidRPr="00280442">
          <w:rPr>
            <w:rFonts w:eastAsiaTheme="minorEastAsia" w:cstheme="minorBidi"/>
            <w:i w:val="0"/>
            <w:iCs w:val="0"/>
            <w:noProof/>
            <w:color w:val="auto"/>
            <w:sz w:val="22"/>
            <w:szCs w:val="22"/>
            <w:lang w:eastAsia="pl-PL"/>
          </w:rPr>
          <w:tab/>
        </w:r>
        <w:r w:rsidR="00280442" w:rsidRPr="00280442">
          <w:rPr>
            <w:rStyle w:val="Hipercze"/>
            <w:rFonts w:ascii="Arial" w:hAnsi="Arial" w:cs="Arial"/>
            <w:noProof/>
            <w:color w:val="auto"/>
          </w:rPr>
          <w:t>Krajowy Plan Odbudowy i Zwiększania Odporności</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_Toc101904147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151</w:t>
        </w:r>
        <w:r w:rsidR="00280442" w:rsidRPr="00280442">
          <w:rPr>
            <w:noProof/>
            <w:webHidden/>
            <w:color w:val="auto"/>
          </w:rPr>
          <w:fldChar w:fldCharType="end"/>
        </w:r>
      </w:hyperlink>
    </w:p>
    <w:p w14:paraId="43273118" w14:textId="04168EE1" w:rsidR="00280442" w:rsidRPr="00280442" w:rsidRDefault="0014299C">
      <w:pPr>
        <w:pStyle w:val="Spistreci3"/>
        <w:tabs>
          <w:tab w:val="left" w:pos="1320"/>
          <w:tab w:val="right" w:leader="underscore" w:pos="9062"/>
        </w:tabs>
        <w:rPr>
          <w:rFonts w:eastAsiaTheme="minorEastAsia" w:cstheme="minorBidi"/>
          <w:i w:val="0"/>
          <w:iCs w:val="0"/>
          <w:noProof/>
          <w:color w:val="auto"/>
          <w:sz w:val="22"/>
          <w:szCs w:val="22"/>
          <w:lang w:eastAsia="pl-PL"/>
        </w:rPr>
      </w:pPr>
      <w:hyperlink w:anchor="_Toc101904148" w:history="1">
        <w:r w:rsidR="00280442" w:rsidRPr="00280442">
          <w:rPr>
            <w:rStyle w:val="Hipercze"/>
            <w:rFonts w:ascii="Arial" w:hAnsi="Arial" w:cs="Arial"/>
            <w:noProof/>
            <w:color w:val="auto"/>
          </w:rPr>
          <w:t>5.2.6.</w:t>
        </w:r>
        <w:r w:rsidR="00280442" w:rsidRPr="00280442">
          <w:rPr>
            <w:rFonts w:eastAsiaTheme="minorEastAsia" w:cstheme="minorBidi"/>
            <w:i w:val="0"/>
            <w:iCs w:val="0"/>
            <w:noProof/>
            <w:color w:val="auto"/>
            <w:sz w:val="22"/>
            <w:szCs w:val="22"/>
            <w:lang w:eastAsia="pl-PL"/>
          </w:rPr>
          <w:tab/>
        </w:r>
        <w:r w:rsidR="00280442" w:rsidRPr="00280442">
          <w:rPr>
            <w:rStyle w:val="Hipercze"/>
            <w:rFonts w:ascii="Arial" w:hAnsi="Arial" w:cs="Arial"/>
            <w:noProof/>
            <w:color w:val="auto"/>
          </w:rPr>
          <w:t>Krajowa Strategia Rozwoju Regionalnego 2030</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_Toc101904148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152</w:t>
        </w:r>
        <w:r w:rsidR="00280442" w:rsidRPr="00280442">
          <w:rPr>
            <w:noProof/>
            <w:webHidden/>
            <w:color w:val="auto"/>
          </w:rPr>
          <w:fldChar w:fldCharType="end"/>
        </w:r>
      </w:hyperlink>
    </w:p>
    <w:p w14:paraId="51934D58" w14:textId="275778D4" w:rsidR="00280442" w:rsidRPr="00280442" w:rsidRDefault="0014299C">
      <w:pPr>
        <w:pStyle w:val="Spistreci3"/>
        <w:tabs>
          <w:tab w:val="left" w:pos="1320"/>
          <w:tab w:val="right" w:leader="underscore" w:pos="9062"/>
        </w:tabs>
        <w:rPr>
          <w:rFonts w:eastAsiaTheme="minorEastAsia" w:cstheme="minorBidi"/>
          <w:i w:val="0"/>
          <w:iCs w:val="0"/>
          <w:noProof/>
          <w:color w:val="auto"/>
          <w:sz w:val="22"/>
          <w:szCs w:val="22"/>
          <w:lang w:eastAsia="pl-PL"/>
        </w:rPr>
      </w:pPr>
      <w:hyperlink w:anchor="_Toc101904149" w:history="1">
        <w:r w:rsidR="00280442" w:rsidRPr="00280442">
          <w:rPr>
            <w:rStyle w:val="Hipercze"/>
            <w:rFonts w:ascii="Arial" w:hAnsi="Arial" w:cs="Arial"/>
            <w:noProof/>
            <w:color w:val="auto"/>
          </w:rPr>
          <w:t>5.2.7.</w:t>
        </w:r>
        <w:r w:rsidR="00280442" w:rsidRPr="00280442">
          <w:rPr>
            <w:rFonts w:eastAsiaTheme="minorEastAsia" w:cstheme="minorBidi"/>
            <w:i w:val="0"/>
            <w:iCs w:val="0"/>
            <w:noProof/>
            <w:color w:val="auto"/>
            <w:sz w:val="22"/>
            <w:szCs w:val="22"/>
            <w:lang w:eastAsia="pl-PL"/>
          </w:rPr>
          <w:tab/>
        </w:r>
        <w:r w:rsidR="00280442" w:rsidRPr="00280442">
          <w:rPr>
            <w:rStyle w:val="Hipercze"/>
            <w:rFonts w:ascii="Arial" w:hAnsi="Arial" w:cs="Arial"/>
            <w:noProof/>
            <w:color w:val="auto"/>
          </w:rPr>
          <w:t>Strategia Zrównoważonego Rozwoju Transportu do 2030 roku</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_Toc101904149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154</w:t>
        </w:r>
        <w:r w:rsidR="00280442" w:rsidRPr="00280442">
          <w:rPr>
            <w:noProof/>
            <w:webHidden/>
            <w:color w:val="auto"/>
          </w:rPr>
          <w:fldChar w:fldCharType="end"/>
        </w:r>
      </w:hyperlink>
    </w:p>
    <w:p w14:paraId="1B0B0AD4" w14:textId="37E21795" w:rsidR="00280442" w:rsidRPr="00280442" w:rsidRDefault="0014299C">
      <w:pPr>
        <w:pStyle w:val="Spistreci3"/>
        <w:tabs>
          <w:tab w:val="left" w:pos="1320"/>
          <w:tab w:val="right" w:leader="underscore" w:pos="9062"/>
        </w:tabs>
        <w:rPr>
          <w:rFonts w:eastAsiaTheme="minorEastAsia" w:cstheme="minorBidi"/>
          <w:i w:val="0"/>
          <w:iCs w:val="0"/>
          <w:noProof/>
          <w:color w:val="auto"/>
          <w:sz w:val="22"/>
          <w:szCs w:val="22"/>
          <w:lang w:eastAsia="pl-PL"/>
        </w:rPr>
      </w:pPr>
      <w:hyperlink w:anchor="_Toc101904150" w:history="1">
        <w:r w:rsidR="00280442" w:rsidRPr="00280442">
          <w:rPr>
            <w:rStyle w:val="Hipercze"/>
            <w:rFonts w:ascii="Arial" w:hAnsi="Arial" w:cs="Arial"/>
            <w:noProof/>
            <w:color w:val="auto"/>
          </w:rPr>
          <w:t>5.2.8.</w:t>
        </w:r>
        <w:r w:rsidR="00280442" w:rsidRPr="00280442">
          <w:rPr>
            <w:rFonts w:eastAsiaTheme="minorEastAsia" w:cstheme="minorBidi"/>
            <w:i w:val="0"/>
            <w:iCs w:val="0"/>
            <w:noProof/>
            <w:color w:val="auto"/>
            <w:sz w:val="22"/>
            <w:szCs w:val="22"/>
            <w:lang w:eastAsia="pl-PL"/>
          </w:rPr>
          <w:tab/>
        </w:r>
        <w:r w:rsidR="00280442" w:rsidRPr="00280442">
          <w:rPr>
            <w:rStyle w:val="Hipercze"/>
            <w:rFonts w:ascii="Arial" w:hAnsi="Arial" w:cs="Arial"/>
            <w:noProof/>
            <w:color w:val="auto"/>
          </w:rPr>
          <w:t>Dokument Implementacyjny do Strategii Rozwoju Transportu do 2020 r. (z perspektywą do 2030 r.), 2014</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_Toc101904150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154</w:t>
        </w:r>
        <w:r w:rsidR="00280442" w:rsidRPr="00280442">
          <w:rPr>
            <w:noProof/>
            <w:webHidden/>
            <w:color w:val="auto"/>
          </w:rPr>
          <w:fldChar w:fldCharType="end"/>
        </w:r>
      </w:hyperlink>
    </w:p>
    <w:p w14:paraId="11AB2309" w14:textId="470BECD1" w:rsidR="00280442" w:rsidRPr="00280442" w:rsidRDefault="0014299C">
      <w:pPr>
        <w:pStyle w:val="Spistreci3"/>
        <w:tabs>
          <w:tab w:val="left" w:pos="1320"/>
          <w:tab w:val="right" w:leader="underscore" w:pos="9062"/>
        </w:tabs>
        <w:rPr>
          <w:rFonts w:eastAsiaTheme="minorEastAsia" w:cstheme="minorBidi"/>
          <w:i w:val="0"/>
          <w:iCs w:val="0"/>
          <w:noProof/>
          <w:color w:val="auto"/>
          <w:sz w:val="22"/>
          <w:szCs w:val="22"/>
          <w:lang w:eastAsia="pl-PL"/>
        </w:rPr>
      </w:pPr>
      <w:hyperlink w:anchor="_Toc101904151" w:history="1">
        <w:r w:rsidR="00280442" w:rsidRPr="00280442">
          <w:rPr>
            <w:rStyle w:val="Hipercze"/>
            <w:rFonts w:ascii="Arial" w:hAnsi="Arial" w:cs="Arial"/>
            <w:noProof/>
            <w:color w:val="auto"/>
          </w:rPr>
          <w:t>5.2.9.</w:t>
        </w:r>
        <w:r w:rsidR="00280442" w:rsidRPr="00280442">
          <w:rPr>
            <w:rFonts w:eastAsiaTheme="minorEastAsia" w:cstheme="minorBidi"/>
            <w:i w:val="0"/>
            <w:iCs w:val="0"/>
            <w:noProof/>
            <w:color w:val="auto"/>
            <w:sz w:val="22"/>
            <w:szCs w:val="22"/>
            <w:lang w:eastAsia="pl-PL"/>
          </w:rPr>
          <w:tab/>
        </w:r>
        <w:r w:rsidR="00280442" w:rsidRPr="00280442">
          <w:rPr>
            <w:rStyle w:val="Hipercze"/>
            <w:rFonts w:ascii="Arial" w:hAnsi="Arial" w:cs="Arial"/>
            <w:noProof/>
            <w:color w:val="auto"/>
          </w:rPr>
          <w:t>Program Budowy Dróg Krajowych na lata 2014-2023 (z perspektywą do 2025 r.)</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_Toc101904151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155</w:t>
        </w:r>
        <w:r w:rsidR="00280442" w:rsidRPr="00280442">
          <w:rPr>
            <w:noProof/>
            <w:webHidden/>
            <w:color w:val="auto"/>
          </w:rPr>
          <w:fldChar w:fldCharType="end"/>
        </w:r>
      </w:hyperlink>
    </w:p>
    <w:p w14:paraId="6D6BD6B3" w14:textId="532CB339" w:rsidR="00280442" w:rsidRPr="00280442" w:rsidRDefault="0014299C">
      <w:pPr>
        <w:pStyle w:val="Spistreci3"/>
        <w:tabs>
          <w:tab w:val="left" w:pos="1320"/>
          <w:tab w:val="right" w:leader="underscore" w:pos="9062"/>
        </w:tabs>
        <w:rPr>
          <w:rFonts w:eastAsiaTheme="minorEastAsia" w:cstheme="minorBidi"/>
          <w:i w:val="0"/>
          <w:iCs w:val="0"/>
          <w:noProof/>
          <w:color w:val="auto"/>
          <w:sz w:val="22"/>
          <w:szCs w:val="22"/>
          <w:lang w:eastAsia="pl-PL"/>
        </w:rPr>
      </w:pPr>
      <w:hyperlink w:anchor="_Toc101904152" w:history="1">
        <w:r w:rsidR="00280442" w:rsidRPr="00280442">
          <w:rPr>
            <w:rStyle w:val="Hipercze"/>
            <w:rFonts w:ascii="Arial" w:hAnsi="Arial" w:cs="Arial"/>
            <w:noProof/>
            <w:color w:val="auto"/>
          </w:rPr>
          <w:t>5.2.10.</w:t>
        </w:r>
        <w:r w:rsidR="00280442" w:rsidRPr="00280442">
          <w:rPr>
            <w:rFonts w:eastAsiaTheme="minorEastAsia" w:cstheme="minorBidi"/>
            <w:i w:val="0"/>
            <w:iCs w:val="0"/>
            <w:noProof/>
            <w:color w:val="auto"/>
            <w:sz w:val="22"/>
            <w:szCs w:val="22"/>
            <w:lang w:eastAsia="pl-PL"/>
          </w:rPr>
          <w:tab/>
        </w:r>
        <w:r w:rsidR="00280442" w:rsidRPr="00280442">
          <w:rPr>
            <w:rStyle w:val="Hipercze"/>
            <w:rFonts w:ascii="Arial" w:hAnsi="Arial" w:cs="Arial"/>
            <w:noProof/>
            <w:color w:val="auto"/>
          </w:rPr>
          <w:t>Program Budowy Dróg Krajowych do 2030 r. (z perspektywą do 2033 r.)</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_Toc101904152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156</w:t>
        </w:r>
        <w:r w:rsidR="00280442" w:rsidRPr="00280442">
          <w:rPr>
            <w:noProof/>
            <w:webHidden/>
            <w:color w:val="auto"/>
          </w:rPr>
          <w:fldChar w:fldCharType="end"/>
        </w:r>
      </w:hyperlink>
    </w:p>
    <w:p w14:paraId="5D188756" w14:textId="01EF4C09" w:rsidR="00280442" w:rsidRPr="00280442" w:rsidRDefault="0014299C">
      <w:pPr>
        <w:pStyle w:val="Spistreci3"/>
        <w:tabs>
          <w:tab w:val="left" w:pos="1320"/>
          <w:tab w:val="right" w:leader="underscore" w:pos="9062"/>
        </w:tabs>
        <w:rPr>
          <w:rFonts w:eastAsiaTheme="minorEastAsia" w:cstheme="minorBidi"/>
          <w:i w:val="0"/>
          <w:iCs w:val="0"/>
          <w:noProof/>
          <w:color w:val="auto"/>
          <w:sz w:val="22"/>
          <w:szCs w:val="22"/>
          <w:lang w:eastAsia="pl-PL"/>
        </w:rPr>
      </w:pPr>
      <w:hyperlink w:anchor="_Toc101904153" w:history="1">
        <w:r w:rsidR="00280442" w:rsidRPr="00280442">
          <w:rPr>
            <w:rStyle w:val="Hipercze"/>
            <w:rFonts w:ascii="Arial" w:hAnsi="Arial" w:cs="Arial"/>
            <w:noProof/>
            <w:color w:val="auto"/>
          </w:rPr>
          <w:t>5.2.11.</w:t>
        </w:r>
        <w:r w:rsidR="00280442" w:rsidRPr="00280442">
          <w:rPr>
            <w:rFonts w:eastAsiaTheme="minorEastAsia" w:cstheme="minorBidi"/>
            <w:i w:val="0"/>
            <w:iCs w:val="0"/>
            <w:noProof/>
            <w:color w:val="auto"/>
            <w:sz w:val="22"/>
            <w:szCs w:val="22"/>
            <w:lang w:eastAsia="pl-PL"/>
          </w:rPr>
          <w:tab/>
        </w:r>
        <w:r w:rsidR="00280442" w:rsidRPr="00280442">
          <w:rPr>
            <w:rStyle w:val="Hipercze"/>
            <w:rFonts w:ascii="Arial" w:hAnsi="Arial" w:cs="Arial"/>
            <w:noProof/>
            <w:color w:val="auto"/>
          </w:rPr>
          <w:t>Strategie sektorowe</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_Toc101904153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156</w:t>
        </w:r>
        <w:r w:rsidR="00280442" w:rsidRPr="00280442">
          <w:rPr>
            <w:noProof/>
            <w:webHidden/>
            <w:color w:val="auto"/>
          </w:rPr>
          <w:fldChar w:fldCharType="end"/>
        </w:r>
      </w:hyperlink>
    </w:p>
    <w:p w14:paraId="110CE741" w14:textId="3B799EC8" w:rsidR="00280442" w:rsidRPr="00280442" w:rsidRDefault="0014299C">
      <w:pPr>
        <w:pStyle w:val="Spistreci3"/>
        <w:tabs>
          <w:tab w:val="left" w:pos="1320"/>
          <w:tab w:val="right" w:leader="underscore" w:pos="9062"/>
        </w:tabs>
        <w:rPr>
          <w:rFonts w:eastAsiaTheme="minorEastAsia" w:cstheme="minorBidi"/>
          <w:i w:val="0"/>
          <w:iCs w:val="0"/>
          <w:noProof/>
          <w:color w:val="auto"/>
          <w:sz w:val="22"/>
          <w:szCs w:val="22"/>
          <w:lang w:eastAsia="pl-PL"/>
        </w:rPr>
      </w:pPr>
      <w:hyperlink w:anchor="_Toc101904154" w:history="1">
        <w:r w:rsidR="00280442" w:rsidRPr="00280442">
          <w:rPr>
            <w:rStyle w:val="Hipercze"/>
            <w:rFonts w:ascii="Arial" w:hAnsi="Arial" w:cs="Arial"/>
            <w:noProof/>
            <w:color w:val="auto"/>
          </w:rPr>
          <w:t>5.2.12.</w:t>
        </w:r>
        <w:r w:rsidR="00280442" w:rsidRPr="00280442">
          <w:rPr>
            <w:rFonts w:eastAsiaTheme="minorEastAsia" w:cstheme="minorBidi"/>
            <w:i w:val="0"/>
            <w:iCs w:val="0"/>
            <w:noProof/>
            <w:color w:val="auto"/>
            <w:sz w:val="22"/>
            <w:szCs w:val="22"/>
            <w:lang w:eastAsia="pl-PL"/>
          </w:rPr>
          <w:tab/>
        </w:r>
        <w:r w:rsidR="00280442" w:rsidRPr="00280442">
          <w:rPr>
            <w:rStyle w:val="Hipercze"/>
            <w:rFonts w:ascii="Arial" w:hAnsi="Arial" w:cs="Arial"/>
            <w:noProof/>
            <w:color w:val="auto"/>
          </w:rPr>
          <w:t>Krajowy plan na rzecz energii i klimatu na lata 2021-2030</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_Toc101904154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159</w:t>
        </w:r>
        <w:r w:rsidR="00280442" w:rsidRPr="00280442">
          <w:rPr>
            <w:noProof/>
            <w:webHidden/>
            <w:color w:val="auto"/>
          </w:rPr>
          <w:fldChar w:fldCharType="end"/>
        </w:r>
      </w:hyperlink>
    </w:p>
    <w:p w14:paraId="37106981" w14:textId="672EC037" w:rsidR="00280442" w:rsidRPr="00280442" w:rsidRDefault="0014299C">
      <w:pPr>
        <w:pStyle w:val="Spistreci3"/>
        <w:tabs>
          <w:tab w:val="left" w:pos="1320"/>
          <w:tab w:val="right" w:leader="underscore" w:pos="9062"/>
        </w:tabs>
        <w:rPr>
          <w:rFonts w:eastAsiaTheme="minorEastAsia" w:cstheme="minorBidi"/>
          <w:i w:val="0"/>
          <w:iCs w:val="0"/>
          <w:noProof/>
          <w:color w:val="auto"/>
          <w:sz w:val="22"/>
          <w:szCs w:val="22"/>
          <w:lang w:eastAsia="pl-PL"/>
        </w:rPr>
      </w:pPr>
      <w:hyperlink w:anchor="_Toc101904155" w:history="1">
        <w:r w:rsidR="00280442" w:rsidRPr="00280442">
          <w:rPr>
            <w:rStyle w:val="Hipercze"/>
            <w:rFonts w:ascii="Arial" w:hAnsi="Arial" w:cs="Arial"/>
            <w:noProof/>
            <w:color w:val="auto"/>
          </w:rPr>
          <w:t>5.2.13.</w:t>
        </w:r>
        <w:r w:rsidR="00280442" w:rsidRPr="00280442">
          <w:rPr>
            <w:rFonts w:eastAsiaTheme="minorEastAsia" w:cstheme="minorBidi"/>
            <w:i w:val="0"/>
            <w:iCs w:val="0"/>
            <w:noProof/>
            <w:color w:val="auto"/>
            <w:sz w:val="22"/>
            <w:szCs w:val="22"/>
            <w:lang w:eastAsia="pl-PL"/>
          </w:rPr>
          <w:tab/>
        </w:r>
        <w:r w:rsidR="00280442" w:rsidRPr="00280442">
          <w:rPr>
            <w:rStyle w:val="Hipercze"/>
            <w:rFonts w:ascii="Arial" w:hAnsi="Arial" w:cs="Arial"/>
            <w:noProof/>
            <w:color w:val="auto"/>
          </w:rPr>
          <w:t>Europa 2020. Strategia na rzecz inteligentnego i zrównoważonego rozwoju sprzyjającego włączeniu społecznemu</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_Toc101904155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159</w:t>
        </w:r>
        <w:r w:rsidR="00280442" w:rsidRPr="00280442">
          <w:rPr>
            <w:noProof/>
            <w:webHidden/>
            <w:color w:val="auto"/>
          </w:rPr>
          <w:fldChar w:fldCharType="end"/>
        </w:r>
      </w:hyperlink>
    </w:p>
    <w:p w14:paraId="0BAC38E2" w14:textId="408E2408" w:rsidR="00280442" w:rsidRPr="00280442" w:rsidRDefault="0014299C">
      <w:pPr>
        <w:pStyle w:val="Spistreci3"/>
        <w:tabs>
          <w:tab w:val="left" w:pos="1320"/>
          <w:tab w:val="right" w:leader="underscore" w:pos="9062"/>
        </w:tabs>
        <w:rPr>
          <w:rFonts w:eastAsiaTheme="minorEastAsia" w:cstheme="minorBidi"/>
          <w:i w:val="0"/>
          <w:iCs w:val="0"/>
          <w:noProof/>
          <w:color w:val="auto"/>
          <w:sz w:val="22"/>
          <w:szCs w:val="22"/>
          <w:lang w:eastAsia="pl-PL"/>
        </w:rPr>
      </w:pPr>
      <w:hyperlink w:anchor="_Toc101904156" w:history="1">
        <w:r w:rsidR="00280442" w:rsidRPr="00280442">
          <w:rPr>
            <w:rStyle w:val="Hipercze"/>
            <w:rFonts w:ascii="Arial" w:hAnsi="Arial" w:cs="Arial"/>
            <w:noProof/>
            <w:color w:val="auto"/>
          </w:rPr>
          <w:t>5.2.14.</w:t>
        </w:r>
        <w:r w:rsidR="00280442" w:rsidRPr="00280442">
          <w:rPr>
            <w:rFonts w:eastAsiaTheme="minorEastAsia" w:cstheme="minorBidi"/>
            <w:i w:val="0"/>
            <w:iCs w:val="0"/>
            <w:noProof/>
            <w:color w:val="auto"/>
            <w:sz w:val="22"/>
            <w:szCs w:val="22"/>
            <w:lang w:eastAsia="pl-PL"/>
          </w:rPr>
          <w:tab/>
        </w:r>
        <w:r w:rsidR="00280442" w:rsidRPr="00280442">
          <w:rPr>
            <w:rStyle w:val="Hipercze"/>
            <w:rFonts w:ascii="Arial" w:hAnsi="Arial" w:cs="Arial"/>
            <w:noProof/>
            <w:color w:val="auto"/>
          </w:rPr>
          <w:t>Kontrakt Terytorialny dla Województwa Podkarpackiego</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_Toc101904156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161</w:t>
        </w:r>
        <w:r w:rsidR="00280442" w:rsidRPr="00280442">
          <w:rPr>
            <w:noProof/>
            <w:webHidden/>
            <w:color w:val="auto"/>
          </w:rPr>
          <w:fldChar w:fldCharType="end"/>
        </w:r>
      </w:hyperlink>
    </w:p>
    <w:p w14:paraId="690EE05C" w14:textId="1E0E2FCE" w:rsidR="00280442" w:rsidRPr="00280442" w:rsidRDefault="0014299C">
      <w:pPr>
        <w:pStyle w:val="Spistreci3"/>
        <w:tabs>
          <w:tab w:val="left" w:pos="1320"/>
          <w:tab w:val="right" w:leader="underscore" w:pos="9062"/>
        </w:tabs>
        <w:rPr>
          <w:rFonts w:eastAsiaTheme="minorEastAsia" w:cstheme="minorBidi"/>
          <w:i w:val="0"/>
          <w:iCs w:val="0"/>
          <w:noProof/>
          <w:color w:val="auto"/>
          <w:sz w:val="22"/>
          <w:szCs w:val="22"/>
          <w:lang w:eastAsia="pl-PL"/>
        </w:rPr>
      </w:pPr>
      <w:hyperlink w:anchor="_Toc101904157" w:history="1">
        <w:r w:rsidR="00280442" w:rsidRPr="00280442">
          <w:rPr>
            <w:rStyle w:val="Hipercze"/>
            <w:rFonts w:ascii="Arial" w:hAnsi="Arial" w:cs="Arial"/>
            <w:noProof/>
            <w:color w:val="auto"/>
          </w:rPr>
          <w:t>5.2.15.</w:t>
        </w:r>
        <w:r w:rsidR="00280442" w:rsidRPr="00280442">
          <w:rPr>
            <w:rFonts w:eastAsiaTheme="minorEastAsia" w:cstheme="minorBidi"/>
            <w:i w:val="0"/>
            <w:iCs w:val="0"/>
            <w:noProof/>
            <w:color w:val="auto"/>
            <w:sz w:val="22"/>
            <w:szCs w:val="22"/>
            <w:lang w:eastAsia="pl-PL"/>
          </w:rPr>
          <w:tab/>
        </w:r>
        <w:r w:rsidR="00280442" w:rsidRPr="00280442">
          <w:rPr>
            <w:rStyle w:val="Hipercze"/>
            <w:rFonts w:ascii="Arial" w:hAnsi="Arial" w:cs="Arial"/>
            <w:noProof/>
            <w:color w:val="auto"/>
          </w:rPr>
          <w:t>Kontrakt Programowy dla Województwa Podkarpackiego</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_Toc101904157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162</w:t>
        </w:r>
        <w:r w:rsidR="00280442" w:rsidRPr="00280442">
          <w:rPr>
            <w:noProof/>
            <w:webHidden/>
            <w:color w:val="auto"/>
          </w:rPr>
          <w:fldChar w:fldCharType="end"/>
        </w:r>
      </w:hyperlink>
    </w:p>
    <w:p w14:paraId="7AC21457" w14:textId="45E48973" w:rsidR="00280442" w:rsidRPr="00280442" w:rsidRDefault="0014299C">
      <w:pPr>
        <w:pStyle w:val="Spistreci3"/>
        <w:tabs>
          <w:tab w:val="left" w:pos="1320"/>
          <w:tab w:val="right" w:leader="underscore" w:pos="9062"/>
        </w:tabs>
        <w:rPr>
          <w:rFonts w:eastAsiaTheme="minorEastAsia" w:cstheme="minorBidi"/>
          <w:i w:val="0"/>
          <w:iCs w:val="0"/>
          <w:noProof/>
          <w:color w:val="auto"/>
          <w:sz w:val="22"/>
          <w:szCs w:val="22"/>
          <w:lang w:eastAsia="pl-PL"/>
        </w:rPr>
      </w:pPr>
      <w:hyperlink w:anchor="_Toc101904158" w:history="1">
        <w:r w:rsidR="00280442" w:rsidRPr="00280442">
          <w:rPr>
            <w:rStyle w:val="Hipercze"/>
            <w:rFonts w:ascii="Arial" w:hAnsi="Arial" w:cs="Arial"/>
            <w:noProof/>
            <w:color w:val="auto"/>
          </w:rPr>
          <w:t>5.2.16.</w:t>
        </w:r>
        <w:r w:rsidR="00280442" w:rsidRPr="00280442">
          <w:rPr>
            <w:rFonts w:eastAsiaTheme="minorEastAsia" w:cstheme="minorBidi"/>
            <w:i w:val="0"/>
            <w:iCs w:val="0"/>
            <w:noProof/>
            <w:color w:val="auto"/>
            <w:sz w:val="22"/>
            <w:szCs w:val="22"/>
            <w:lang w:eastAsia="pl-PL"/>
          </w:rPr>
          <w:tab/>
        </w:r>
        <w:r w:rsidR="00280442" w:rsidRPr="00280442">
          <w:rPr>
            <w:rStyle w:val="Hipercze"/>
            <w:rFonts w:ascii="Arial" w:hAnsi="Arial" w:cs="Arial"/>
            <w:noProof/>
            <w:color w:val="auto"/>
          </w:rPr>
          <w:t>Krajowy Program Kolejowy do 2023 roku</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_Toc101904158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162</w:t>
        </w:r>
        <w:r w:rsidR="00280442" w:rsidRPr="00280442">
          <w:rPr>
            <w:noProof/>
            <w:webHidden/>
            <w:color w:val="auto"/>
          </w:rPr>
          <w:fldChar w:fldCharType="end"/>
        </w:r>
      </w:hyperlink>
    </w:p>
    <w:p w14:paraId="02935588" w14:textId="30C04F7A" w:rsidR="00280442" w:rsidRPr="00280442" w:rsidRDefault="0014299C">
      <w:pPr>
        <w:pStyle w:val="Spistreci3"/>
        <w:tabs>
          <w:tab w:val="left" w:pos="1320"/>
          <w:tab w:val="right" w:leader="underscore" w:pos="9062"/>
        </w:tabs>
        <w:rPr>
          <w:rFonts w:eastAsiaTheme="minorEastAsia" w:cstheme="minorBidi"/>
          <w:i w:val="0"/>
          <w:iCs w:val="0"/>
          <w:noProof/>
          <w:color w:val="auto"/>
          <w:sz w:val="22"/>
          <w:szCs w:val="22"/>
          <w:lang w:eastAsia="pl-PL"/>
        </w:rPr>
      </w:pPr>
      <w:hyperlink w:anchor="_Toc101904159" w:history="1">
        <w:r w:rsidR="00280442" w:rsidRPr="00280442">
          <w:rPr>
            <w:rStyle w:val="Hipercze"/>
            <w:rFonts w:ascii="Arial" w:hAnsi="Arial" w:cs="Arial"/>
            <w:noProof/>
            <w:color w:val="auto"/>
          </w:rPr>
          <w:t>5.2.17.</w:t>
        </w:r>
        <w:r w:rsidR="00280442" w:rsidRPr="00280442">
          <w:rPr>
            <w:rFonts w:eastAsiaTheme="minorEastAsia" w:cstheme="minorBidi"/>
            <w:i w:val="0"/>
            <w:iCs w:val="0"/>
            <w:noProof/>
            <w:color w:val="auto"/>
            <w:sz w:val="22"/>
            <w:szCs w:val="22"/>
            <w:lang w:eastAsia="pl-PL"/>
          </w:rPr>
          <w:tab/>
        </w:r>
        <w:r w:rsidR="00280442" w:rsidRPr="00280442">
          <w:rPr>
            <w:rStyle w:val="Hipercze"/>
            <w:rFonts w:ascii="Arial" w:hAnsi="Arial" w:cs="Arial"/>
            <w:noProof/>
            <w:color w:val="auto"/>
          </w:rPr>
          <w:t>Narodowy Program Bezpieczeństwa Ruchu Drogowego 2021-2030</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_Toc101904159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164</w:t>
        </w:r>
        <w:r w:rsidR="00280442" w:rsidRPr="00280442">
          <w:rPr>
            <w:noProof/>
            <w:webHidden/>
            <w:color w:val="auto"/>
          </w:rPr>
          <w:fldChar w:fldCharType="end"/>
        </w:r>
      </w:hyperlink>
    </w:p>
    <w:p w14:paraId="6944E2B3" w14:textId="348F18F9" w:rsidR="00280442" w:rsidRPr="00280442" w:rsidRDefault="0014299C">
      <w:pPr>
        <w:pStyle w:val="Spistreci3"/>
        <w:tabs>
          <w:tab w:val="left" w:pos="1320"/>
          <w:tab w:val="right" w:leader="underscore" w:pos="9062"/>
        </w:tabs>
        <w:rPr>
          <w:rFonts w:eastAsiaTheme="minorEastAsia" w:cstheme="minorBidi"/>
          <w:i w:val="0"/>
          <w:iCs w:val="0"/>
          <w:noProof/>
          <w:color w:val="auto"/>
          <w:sz w:val="22"/>
          <w:szCs w:val="22"/>
          <w:lang w:eastAsia="pl-PL"/>
        </w:rPr>
      </w:pPr>
      <w:hyperlink w:anchor="_Toc101904160" w:history="1">
        <w:r w:rsidR="00280442" w:rsidRPr="00280442">
          <w:rPr>
            <w:rStyle w:val="Hipercze"/>
            <w:rFonts w:ascii="Arial" w:hAnsi="Arial" w:cs="Arial"/>
            <w:noProof/>
            <w:color w:val="auto"/>
          </w:rPr>
          <w:t>5.2.18.</w:t>
        </w:r>
        <w:r w:rsidR="00280442" w:rsidRPr="00280442">
          <w:rPr>
            <w:rFonts w:eastAsiaTheme="minorEastAsia" w:cstheme="minorBidi"/>
            <w:i w:val="0"/>
            <w:iCs w:val="0"/>
            <w:noProof/>
            <w:color w:val="auto"/>
            <w:sz w:val="22"/>
            <w:szCs w:val="22"/>
            <w:lang w:eastAsia="pl-PL"/>
          </w:rPr>
          <w:tab/>
        </w:r>
        <w:r w:rsidR="00280442" w:rsidRPr="00280442">
          <w:rPr>
            <w:rStyle w:val="Hipercze"/>
            <w:rFonts w:ascii="Arial" w:hAnsi="Arial" w:cs="Arial"/>
            <w:noProof/>
            <w:color w:val="auto"/>
          </w:rPr>
          <w:t>Programy operacyjne</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_Toc101904160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165</w:t>
        </w:r>
        <w:r w:rsidR="00280442" w:rsidRPr="00280442">
          <w:rPr>
            <w:noProof/>
            <w:webHidden/>
            <w:color w:val="auto"/>
          </w:rPr>
          <w:fldChar w:fldCharType="end"/>
        </w:r>
      </w:hyperlink>
    </w:p>
    <w:p w14:paraId="12B9D1E3" w14:textId="7C91DFB8" w:rsidR="00280442" w:rsidRPr="00280442" w:rsidRDefault="0014299C">
      <w:pPr>
        <w:pStyle w:val="Spistreci3"/>
        <w:tabs>
          <w:tab w:val="left" w:pos="1320"/>
          <w:tab w:val="right" w:leader="underscore" w:pos="9062"/>
        </w:tabs>
        <w:rPr>
          <w:rFonts w:eastAsiaTheme="minorEastAsia" w:cstheme="minorBidi"/>
          <w:i w:val="0"/>
          <w:iCs w:val="0"/>
          <w:noProof/>
          <w:color w:val="auto"/>
          <w:sz w:val="22"/>
          <w:szCs w:val="22"/>
          <w:lang w:eastAsia="pl-PL"/>
        </w:rPr>
      </w:pPr>
      <w:hyperlink w:anchor="_Toc101904161" w:history="1">
        <w:r w:rsidR="00280442" w:rsidRPr="00280442">
          <w:rPr>
            <w:rStyle w:val="Hipercze"/>
            <w:rFonts w:ascii="Arial" w:hAnsi="Arial" w:cs="Arial"/>
            <w:noProof/>
            <w:color w:val="auto"/>
          </w:rPr>
          <w:t>5.2.19.</w:t>
        </w:r>
        <w:r w:rsidR="00280442" w:rsidRPr="00280442">
          <w:rPr>
            <w:rFonts w:eastAsiaTheme="minorEastAsia" w:cstheme="minorBidi"/>
            <w:i w:val="0"/>
            <w:iCs w:val="0"/>
            <w:noProof/>
            <w:color w:val="auto"/>
            <w:sz w:val="22"/>
            <w:szCs w:val="22"/>
            <w:lang w:eastAsia="pl-PL"/>
          </w:rPr>
          <w:tab/>
        </w:r>
        <w:r w:rsidR="00280442" w:rsidRPr="00280442">
          <w:rPr>
            <w:rStyle w:val="Hipercze"/>
            <w:rFonts w:ascii="Arial" w:hAnsi="Arial" w:cs="Arial"/>
            <w:noProof/>
            <w:color w:val="auto"/>
          </w:rPr>
          <w:t>Polska 2030. Wyzwania rozwojowe</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_Toc101904161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167</w:t>
        </w:r>
        <w:r w:rsidR="00280442" w:rsidRPr="00280442">
          <w:rPr>
            <w:noProof/>
            <w:webHidden/>
            <w:color w:val="auto"/>
          </w:rPr>
          <w:fldChar w:fldCharType="end"/>
        </w:r>
      </w:hyperlink>
    </w:p>
    <w:p w14:paraId="7DB5A84F" w14:textId="3B5D465B" w:rsidR="00280442" w:rsidRPr="00280442" w:rsidRDefault="0014299C">
      <w:pPr>
        <w:pStyle w:val="Spistreci2"/>
        <w:tabs>
          <w:tab w:val="left" w:pos="880"/>
          <w:tab w:val="right" w:leader="underscore" w:pos="9062"/>
        </w:tabs>
        <w:rPr>
          <w:rFonts w:eastAsiaTheme="minorEastAsia" w:cstheme="minorBidi"/>
          <w:smallCaps w:val="0"/>
          <w:noProof/>
          <w:color w:val="auto"/>
          <w:sz w:val="22"/>
          <w:szCs w:val="22"/>
          <w:lang w:eastAsia="pl-PL"/>
        </w:rPr>
      </w:pPr>
      <w:hyperlink w:anchor="_Toc101904162" w:history="1">
        <w:r w:rsidR="00280442" w:rsidRPr="00280442">
          <w:rPr>
            <w:rStyle w:val="Hipercze"/>
            <w:rFonts w:ascii="Arial" w:hAnsi="Arial" w:cs="Arial"/>
            <w:noProof/>
            <w:color w:val="auto"/>
          </w:rPr>
          <w:t>5.3.</w:t>
        </w:r>
        <w:r w:rsidR="00280442" w:rsidRPr="00280442">
          <w:rPr>
            <w:rFonts w:eastAsiaTheme="minorEastAsia" w:cstheme="minorBidi"/>
            <w:smallCaps w:val="0"/>
            <w:noProof/>
            <w:color w:val="auto"/>
            <w:sz w:val="22"/>
            <w:szCs w:val="22"/>
            <w:lang w:eastAsia="pl-PL"/>
          </w:rPr>
          <w:tab/>
        </w:r>
        <w:r w:rsidR="00280442" w:rsidRPr="00280442">
          <w:rPr>
            <w:rStyle w:val="Hipercze"/>
            <w:rFonts w:ascii="Arial" w:hAnsi="Arial" w:cs="Arial"/>
            <w:noProof/>
            <w:color w:val="auto"/>
          </w:rPr>
          <w:t>Ocena spójności ze strategią województwa i programem operacyjnym</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_Toc101904162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168</w:t>
        </w:r>
        <w:r w:rsidR="00280442" w:rsidRPr="00280442">
          <w:rPr>
            <w:noProof/>
            <w:webHidden/>
            <w:color w:val="auto"/>
          </w:rPr>
          <w:fldChar w:fldCharType="end"/>
        </w:r>
      </w:hyperlink>
    </w:p>
    <w:p w14:paraId="3D06DD67" w14:textId="6AAF340A" w:rsidR="00280442" w:rsidRPr="00280442" w:rsidRDefault="0014299C">
      <w:pPr>
        <w:pStyle w:val="Spistreci4"/>
        <w:tabs>
          <w:tab w:val="right" w:leader="underscore" w:pos="9062"/>
        </w:tabs>
        <w:rPr>
          <w:rFonts w:eastAsiaTheme="minorEastAsia" w:cstheme="minorBidi"/>
          <w:noProof/>
          <w:color w:val="auto"/>
          <w:sz w:val="22"/>
          <w:szCs w:val="22"/>
          <w:lang w:eastAsia="pl-PL"/>
        </w:rPr>
      </w:pPr>
      <w:hyperlink w:anchor="_Toc101904163" w:history="1">
        <w:r w:rsidR="00280442" w:rsidRPr="00280442">
          <w:rPr>
            <w:rStyle w:val="Hipercze"/>
            <w:rFonts w:ascii="Arial" w:hAnsi="Arial" w:cs="Arial"/>
            <w:noProof/>
            <w:color w:val="auto"/>
          </w:rPr>
          <w:t>Synteza</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_Toc101904163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168</w:t>
        </w:r>
        <w:r w:rsidR="00280442" w:rsidRPr="00280442">
          <w:rPr>
            <w:noProof/>
            <w:webHidden/>
            <w:color w:val="auto"/>
          </w:rPr>
          <w:fldChar w:fldCharType="end"/>
        </w:r>
      </w:hyperlink>
    </w:p>
    <w:p w14:paraId="4B689840" w14:textId="7772843E" w:rsidR="00280442" w:rsidRPr="00280442" w:rsidRDefault="0014299C">
      <w:pPr>
        <w:pStyle w:val="Spistreci4"/>
        <w:tabs>
          <w:tab w:val="right" w:leader="underscore" w:pos="9062"/>
        </w:tabs>
        <w:rPr>
          <w:rFonts w:eastAsiaTheme="minorEastAsia" w:cstheme="minorBidi"/>
          <w:noProof/>
          <w:color w:val="auto"/>
          <w:sz w:val="22"/>
          <w:szCs w:val="22"/>
          <w:lang w:eastAsia="pl-PL"/>
        </w:rPr>
      </w:pPr>
      <w:hyperlink w:anchor="_Toc101904164" w:history="1">
        <w:r w:rsidR="00280442" w:rsidRPr="00280442">
          <w:rPr>
            <w:rStyle w:val="Hipercze"/>
            <w:rFonts w:ascii="Arial" w:hAnsi="Arial" w:cs="Arial"/>
            <w:noProof/>
            <w:color w:val="auto"/>
          </w:rPr>
          <w:t>Analiza</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_Toc101904164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168</w:t>
        </w:r>
        <w:r w:rsidR="00280442" w:rsidRPr="00280442">
          <w:rPr>
            <w:noProof/>
            <w:webHidden/>
            <w:color w:val="auto"/>
          </w:rPr>
          <w:fldChar w:fldCharType="end"/>
        </w:r>
      </w:hyperlink>
    </w:p>
    <w:p w14:paraId="06A5B54E" w14:textId="342CBA6B" w:rsidR="00280442" w:rsidRPr="00280442" w:rsidRDefault="0014299C">
      <w:pPr>
        <w:pStyle w:val="Spistreci2"/>
        <w:tabs>
          <w:tab w:val="left" w:pos="880"/>
          <w:tab w:val="right" w:leader="underscore" w:pos="9062"/>
        </w:tabs>
        <w:rPr>
          <w:rFonts w:eastAsiaTheme="minorEastAsia" w:cstheme="minorBidi"/>
          <w:smallCaps w:val="0"/>
          <w:noProof/>
          <w:color w:val="auto"/>
          <w:sz w:val="22"/>
          <w:szCs w:val="22"/>
          <w:lang w:eastAsia="pl-PL"/>
        </w:rPr>
      </w:pPr>
      <w:hyperlink w:anchor="_Toc101904165" w:history="1">
        <w:r w:rsidR="00280442" w:rsidRPr="00280442">
          <w:rPr>
            <w:rStyle w:val="Hipercze"/>
            <w:rFonts w:ascii="Arial" w:hAnsi="Arial" w:cs="Arial"/>
            <w:noProof/>
            <w:color w:val="auto"/>
          </w:rPr>
          <w:t>5.4.</w:t>
        </w:r>
        <w:r w:rsidR="00280442" w:rsidRPr="00280442">
          <w:rPr>
            <w:rFonts w:eastAsiaTheme="minorEastAsia" w:cstheme="minorBidi"/>
            <w:smallCaps w:val="0"/>
            <w:noProof/>
            <w:color w:val="auto"/>
            <w:sz w:val="22"/>
            <w:szCs w:val="22"/>
            <w:lang w:eastAsia="pl-PL"/>
          </w:rPr>
          <w:tab/>
        </w:r>
        <w:r w:rsidR="00280442" w:rsidRPr="00280442">
          <w:rPr>
            <w:rStyle w:val="Hipercze"/>
            <w:rFonts w:ascii="Arial" w:hAnsi="Arial" w:cs="Arial"/>
            <w:noProof/>
            <w:color w:val="auto"/>
          </w:rPr>
          <w:t>Ocena spójności analizy SWOT, diagnozy i celów</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_Toc101904165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175</w:t>
        </w:r>
        <w:r w:rsidR="00280442" w:rsidRPr="00280442">
          <w:rPr>
            <w:noProof/>
            <w:webHidden/>
            <w:color w:val="auto"/>
          </w:rPr>
          <w:fldChar w:fldCharType="end"/>
        </w:r>
      </w:hyperlink>
    </w:p>
    <w:p w14:paraId="1E2933F3" w14:textId="128E632D" w:rsidR="00280442" w:rsidRPr="00280442" w:rsidRDefault="0014299C">
      <w:pPr>
        <w:pStyle w:val="Spistreci4"/>
        <w:tabs>
          <w:tab w:val="right" w:leader="underscore" w:pos="9062"/>
        </w:tabs>
        <w:rPr>
          <w:rFonts w:eastAsiaTheme="minorEastAsia" w:cstheme="minorBidi"/>
          <w:noProof/>
          <w:color w:val="auto"/>
          <w:sz w:val="22"/>
          <w:szCs w:val="22"/>
          <w:lang w:eastAsia="pl-PL"/>
        </w:rPr>
      </w:pPr>
      <w:hyperlink w:anchor="_Toc101904166" w:history="1">
        <w:r w:rsidR="00280442" w:rsidRPr="00280442">
          <w:rPr>
            <w:rStyle w:val="Hipercze"/>
            <w:rFonts w:ascii="Arial" w:hAnsi="Arial" w:cs="Arial"/>
            <w:noProof/>
            <w:color w:val="auto"/>
          </w:rPr>
          <w:t>Synteza</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_Toc101904166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175</w:t>
        </w:r>
        <w:r w:rsidR="00280442" w:rsidRPr="00280442">
          <w:rPr>
            <w:noProof/>
            <w:webHidden/>
            <w:color w:val="auto"/>
          </w:rPr>
          <w:fldChar w:fldCharType="end"/>
        </w:r>
      </w:hyperlink>
    </w:p>
    <w:p w14:paraId="2DBAB71D" w14:textId="4CEE419B" w:rsidR="00280442" w:rsidRPr="00280442" w:rsidRDefault="0014299C">
      <w:pPr>
        <w:pStyle w:val="Spistreci4"/>
        <w:tabs>
          <w:tab w:val="right" w:leader="underscore" w:pos="9062"/>
        </w:tabs>
        <w:rPr>
          <w:rFonts w:eastAsiaTheme="minorEastAsia" w:cstheme="minorBidi"/>
          <w:noProof/>
          <w:color w:val="auto"/>
          <w:sz w:val="22"/>
          <w:szCs w:val="22"/>
          <w:lang w:eastAsia="pl-PL"/>
        </w:rPr>
      </w:pPr>
      <w:hyperlink w:anchor="_Toc101904167" w:history="1">
        <w:r w:rsidR="00280442" w:rsidRPr="00280442">
          <w:rPr>
            <w:rStyle w:val="Hipercze"/>
            <w:rFonts w:ascii="Arial" w:hAnsi="Arial" w:cs="Arial"/>
            <w:noProof/>
            <w:color w:val="auto"/>
          </w:rPr>
          <w:t>Analiza</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_Toc101904167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175</w:t>
        </w:r>
        <w:r w:rsidR="00280442" w:rsidRPr="00280442">
          <w:rPr>
            <w:noProof/>
            <w:webHidden/>
            <w:color w:val="auto"/>
          </w:rPr>
          <w:fldChar w:fldCharType="end"/>
        </w:r>
      </w:hyperlink>
    </w:p>
    <w:p w14:paraId="6F0F9219" w14:textId="6B7E7E37" w:rsidR="00280442" w:rsidRPr="00280442" w:rsidRDefault="0014299C">
      <w:pPr>
        <w:pStyle w:val="Spistreci2"/>
        <w:tabs>
          <w:tab w:val="left" w:pos="880"/>
          <w:tab w:val="right" w:leader="underscore" w:pos="9062"/>
        </w:tabs>
        <w:rPr>
          <w:rFonts w:eastAsiaTheme="minorEastAsia" w:cstheme="minorBidi"/>
          <w:smallCaps w:val="0"/>
          <w:noProof/>
          <w:color w:val="auto"/>
          <w:sz w:val="22"/>
          <w:szCs w:val="22"/>
          <w:lang w:eastAsia="pl-PL"/>
        </w:rPr>
      </w:pPr>
      <w:hyperlink w:anchor="_Toc101904168" w:history="1">
        <w:r w:rsidR="00280442" w:rsidRPr="00280442">
          <w:rPr>
            <w:rStyle w:val="Hipercze"/>
            <w:rFonts w:ascii="Arial" w:hAnsi="Arial" w:cs="Arial"/>
            <w:noProof/>
            <w:color w:val="auto"/>
          </w:rPr>
          <w:t>5.5.</w:t>
        </w:r>
        <w:r w:rsidR="00280442" w:rsidRPr="00280442">
          <w:rPr>
            <w:rFonts w:eastAsiaTheme="minorEastAsia" w:cstheme="minorBidi"/>
            <w:smallCaps w:val="0"/>
            <w:noProof/>
            <w:color w:val="auto"/>
            <w:sz w:val="22"/>
            <w:szCs w:val="22"/>
            <w:lang w:eastAsia="pl-PL"/>
          </w:rPr>
          <w:tab/>
        </w:r>
        <w:r w:rsidR="00280442" w:rsidRPr="00280442">
          <w:rPr>
            <w:rStyle w:val="Hipercze"/>
            <w:rFonts w:ascii="Arial" w:hAnsi="Arial" w:cs="Arial"/>
            <w:noProof/>
            <w:color w:val="auto"/>
          </w:rPr>
          <w:t>Ocena spójności wewnętrznej dokumentu</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_Toc101904168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189</w:t>
        </w:r>
        <w:r w:rsidR="00280442" w:rsidRPr="00280442">
          <w:rPr>
            <w:noProof/>
            <w:webHidden/>
            <w:color w:val="auto"/>
          </w:rPr>
          <w:fldChar w:fldCharType="end"/>
        </w:r>
      </w:hyperlink>
    </w:p>
    <w:p w14:paraId="4364BC9F" w14:textId="1F396C71" w:rsidR="00280442" w:rsidRPr="00280442" w:rsidRDefault="0014299C">
      <w:pPr>
        <w:pStyle w:val="Spistreci4"/>
        <w:tabs>
          <w:tab w:val="right" w:leader="underscore" w:pos="9062"/>
        </w:tabs>
        <w:rPr>
          <w:rFonts w:eastAsiaTheme="minorEastAsia" w:cstheme="minorBidi"/>
          <w:noProof/>
          <w:color w:val="auto"/>
          <w:sz w:val="22"/>
          <w:szCs w:val="22"/>
          <w:lang w:eastAsia="pl-PL"/>
        </w:rPr>
      </w:pPr>
      <w:hyperlink w:anchor="_Toc101904169" w:history="1">
        <w:r w:rsidR="00280442" w:rsidRPr="00280442">
          <w:rPr>
            <w:rStyle w:val="Hipercze"/>
            <w:rFonts w:ascii="Arial" w:hAnsi="Arial" w:cs="Arial"/>
            <w:noProof/>
            <w:color w:val="auto"/>
          </w:rPr>
          <w:t>Synteza</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_Toc101904169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189</w:t>
        </w:r>
        <w:r w:rsidR="00280442" w:rsidRPr="00280442">
          <w:rPr>
            <w:noProof/>
            <w:webHidden/>
            <w:color w:val="auto"/>
          </w:rPr>
          <w:fldChar w:fldCharType="end"/>
        </w:r>
      </w:hyperlink>
    </w:p>
    <w:p w14:paraId="0AA4FD33" w14:textId="16421B82" w:rsidR="00280442" w:rsidRPr="00280442" w:rsidRDefault="0014299C">
      <w:pPr>
        <w:pStyle w:val="Spistreci4"/>
        <w:tabs>
          <w:tab w:val="right" w:leader="underscore" w:pos="9062"/>
        </w:tabs>
        <w:rPr>
          <w:rFonts w:eastAsiaTheme="minorEastAsia" w:cstheme="minorBidi"/>
          <w:noProof/>
          <w:color w:val="auto"/>
          <w:sz w:val="22"/>
          <w:szCs w:val="22"/>
          <w:lang w:eastAsia="pl-PL"/>
        </w:rPr>
      </w:pPr>
      <w:hyperlink w:anchor="_Toc101904170" w:history="1">
        <w:r w:rsidR="00280442" w:rsidRPr="00280442">
          <w:rPr>
            <w:rStyle w:val="Hipercze"/>
            <w:rFonts w:ascii="Arial" w:hAnsi="Arial" w:cs="Arial"/>
            <w:noProof/>
            <w:color w:val="auto"/>
          </w:rPr>
          <w:t>Analiza</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_Toc101904170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189</w:t>
        </w:r>
        <w:r w:rsidR="00280442" w:rsidRPr="00280442">
          <w:rPr>
            <w:noProof/>
            <w:webHidden/>
            <w:color w:val="auto"/>
          </w:rPr>
          <w:fldChar w:fldCharType="end"/>
        </w:r>
      </w:hyperlink>
    </w:p>
    <w:p w14:paraId="76925468" w14:textId="40E43774" w:rsidR="00280442" w:rsidRPr="00280442" w:rsidRDefault="0014299C">
      <w:pPr>
        <w:pStyle w:val="Spistreci1"/>
        <w:rPr>
          <w:rFonts w:eastAsiaTheme="minorEastAsia" w:cstheme="minorBidi"/>
          <w:b w:val="0"/>
          <w:bCs w:val="0"/>
          <w:caps w:val="0"/>
          <w:noProof/>
          <w:color w:val="auto"/>
          <w:sz w:val="22"/>
          <w:szCs w:val="22"/>
          <w:lang w:eastAsia="pl-PL"/>
        </w:rPr>
      </w:pPr>
      <w:hyperlink w:anchor="_Toc101904171" w:history="1">
        <w:r w:rsidR="00280442" w:rsidRPr="00280442">
          <w:rPr>
            <w:rStyle w:val="Hipercze"/>
            <w:rFonts w:ascii="Arial" w:hAnsi="Arial" w:cs="Arial"/>
            <w:noProof/>
            <w:color w:val="auto"/>
          </w:rPr>
          <w:t>6.</w:t>
        </w:r>
        <w:r w:rsidR="00280442" w:rsidRPr="00280442">
          <w:rPr>
            <w:rFonts w:eastAsiaTheme="minorEastAsia" w:cstheme="minorBidi"/>
            <w:b w:val="0"/>
            <w:bCs w:val="0"/>
            <w:caps w:val="0"/>
            <w:noProof/>
            <w:color w:val="auto"/>
            <w:sz w:val="22"/>
            <w:szCs w:val="22"/>
            <w:lang w:eastAsia="pl-PL"/>
          </w:rPr>
          <w:tab/>
        </w:r>
        <w:r w:rsidR="00280442" w:rsidRPr="00280442">
          <w:rPr>
            <w:rStyle w:val="Hipercze"/>
            <w:rFonts w:ascii="Arial" w:hAnsi="Arial" w:cs="Arial"/>
            <w:noProof/>
            <w:color w:val="auto"/>
          </w:rPr>
          <w:t>Wnioski i rekomendacje</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_Toc101904171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191</w:t>
        </w:r>
        <w:r w:rsidR="00280442" w:rsidRPr="00280442">
          <w:rPr>
            <w:noProof/>
            <w:webHidden/>
            <w:color w:val="auto"/>
          </w:rPr>
          <w:fldChar w:fldCharType="end"/>
        </w:r>
      </w:hyperlink>
    </w:p>
    <w:p w14:paraId="66BD138A" w14:textId="4B6602F7" w:rsidR="00280442" w:rsidRPr="00280442" w:rsidRDefault="0014299C">
      <w:pPr>
        <w:pStyle w:val="Spistreci1"/>
        <w:rPr>
          <w:rFonts w:eastAsiaTheme="minorEastAsia" w:cstheme="minorBidi"/>
          <w:b w:val="0"/>
          <w:bCs w:val="0"/>
          <w:caps w:val="0"/>
          <w:noProof/>
          <w:color w:val="auto"/>
          <w:sz w:val="22"/>
          <w:szCs w:val="22"/>
          <w:lang w:eastAsia="pl-PL"/>
        </w:rPr>
      </w:pPr>
      <w:hyperlink w:anchor="_Toc101904172" w:history="1">
        <w:r w:rsidR="00280442" w:rsidRPr="00280442">
          <w:rPr>
            <w:rStyle w:val="Hipercze"/>
            <w:rFonts w:ascii="Arial" w:hAnsi="Arial" w:cs="Arial"/>
            <w:noProof/>
            <w:color w:val="auto"/>
          </w:rPr>
          <w:t>7.</w:t>
        </w:r>
        <w:r w:rsidR="00280442" w:rsidRPr="00280442">
          <w:rPr>
            <w:rFonts w:eastAsiaTheme="minorEastAsia" w:cstheme="minorBidi"/>
            <w:b w:val="0"/>
            <w:bCs w:val="0"/>
            <w:caps w:val="0"/>
            <w:noProof/>
            <w:color w:val="auto"/>
            <w:sz w:val="22"/>
            <w:szCs w:val="22"/>
            <w:lang w:eastAsia="pl-PL"/>
          </w:rPr>
          <w:tab/>
        </w:r>
        <w:r w:rsidR="00280442" w:rsidRPr="00280442">
          <w:rPr>
            <w:rStyle w:val="Hipercze"/>
            <w:rFonts w:ascii="Arial" w:hAnsi="Arial" w:cs="Arial"/>
            <w:noProof/>
            <w:color w:val="auto"/>
          </w:rPr>
          <w:t>Literatura</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_Toc101904172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195</w:t>
        </w:r>
        <w:r w:rsidR="00280442" w:rsidRPr="00280442">
          <w:rPr>
            <w:noProof/>
            <w:webHidden/>
            <w:color w:val="auto"/>
          </w:rPr>
          <w:fldChar w:fldCharType="end"/>
        </w:r>
      </w:hyperlink>
    </w:p>
    <w:p w14:paraId="7EA3756A" w14:textId="7AB6B3B2" w:rsidR="00280442" w:rsidRPr="00280442" w:rsidRDefault="0014299C">
      <w:pPr>
        <w:pStyle w:val="Spistreci1"/>
        <w:rPr>
          <w:rFonts w:eastAsiaTheme="minorEastAsia" w:cstheme="minorBidi"/>
          <w:b w:val="0"/>
          <w:bCs w:val="0"/>
          <w:caps w:val="0"/>
          <w:noProof/>
          <w:color w:val="auto"/>
          <w:sz w:val="22"/>
          <w:szCs w:val="22"/>
          <w:lang w:eastAsia="pl-PL"/>
        </w:rPr>
      </w:pPr>
      <w:hyperlink w:anchor="_Toc101904173" w:history="1">
        <w:r w:rsidR="00280442" w:rsidRPr="00280442">
          <w:rPr>
            <w:rStyle w:val="Hipercze"/>
            <w:rFonts w:ascii="Arial" w:hAnsi="Arial" w:cs="Arial"/>
            <w:noProof/>
            <w:color w:val="auto"/>
          </w:rPr>
          <w:t>8.</w:t>
        </w:r>
        <w:r w:rsidR="00280442" w:rsidRPr="00280442">
          <w:rPr>
            <w:rFonts w:eastAsiaTheme="minorEastAsia" w:cstheme="minorBidi"/>
            <w:b w:val="0"/>
            <w:bCs w:val="0"/>
            <w:caps w:val="0"/>
            <w:noProof/>
            <w:color w:val="auto"/>
            <w:sz w:val="22"/>
            <w:szCs w:val="22"/>
            <w:lang w:eastAsia="pl-PL"/>
          </w:rPr>
          <w:tab/>
        </w:r>
        <w:r w:rsidR="00280442" w:rsidRPr="00280442">
          <w:rPr>
            <w:rStyle w:val="Hipercze"/>
            <w:rFonts w:ascii="Arial" w:hAnsi="Arial" w:cs="Arial"/>
            <w:noProof/>
            <w:color w:val="auto"/>
          </w:rPr>
          <w:t>Załączniki</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_Toc101904173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202</w:t>
        </w:r>
        <w:r w:rsidR="00280442" w:rsidRPr="00280442">
          <w:rPr>
            <w:noProof/>
            <w:webHidden/>
            <w:color w:val="auto"/>
          </w:rPr>
          <w:fldChar w:fldCharType="end"/>
        </w:r>
      </w:hyperlink>
    </w:p>
    <w:p w14:paraId="5FDC4D01" w14:textId="518D2911" w:rsidR="00280442" w:rsidRDefault="0014299C">
      <w:pPr>
        <w:pStyle w:val="Spistreci1"/>
        <w:rPr>
          <w:rFonts w:eastAsiaTheme="minorEastAsia" w:cstheme="minorBidi"/>
          <w:b w:val="0"/>
          <w:bCs w:val="0"/>
          <w:caps w:val="0"/>
          <w:noProof/>
          <w:color w:val="auto"/>
          <w:sz w:val="22"/>
          <w:szCs w:val="22"/>
          <w:lang w:eastAsia="pl-PL"/>
        </w:rPr>
      </w:pPr>
      <w:hyperlink w:anchor="_Toc101904174" w:history="1">
        <w:r w:rsidR="00280442" w:rsidRPr="00280442">
          <w:rPr>
            <w:rStyle w:val="Hipercze"/>
            <w:rFonts w:ascii="Arial" w:hAnsi="Arial" w:cs="Arial"/>
            <w:noProof/>
            <w:color w:val="auto"/>
          </w:rPr>
          <w:t>9.</w:t>
        </w:r>
        <w:r w:rsidR="00280442" w:rsidRPr="00280442">
          <w:rPr>
            <w:rFonts w:eastAsiaTheme="minorEastAsia" w:cstheme="minorBidi"/>
            <w:b w:val="0"/>
            <w:bCs w:val="0"/>
            <w:caps w:val="0"/>
            <w:noProof/>
            <w:color w:val="auto"/>
            <w:sz w:val="22"/>
            <w:szCs w:val="22"/>
            <w:lang w:eastAsia="pl-PL"/>
          </w:rPr>
          <w:tab/>
        </w:r>
        <w:r w:rsidR="00280442" w:rsidRPr="00280442">
          <w:rPr>
            <w:rStyle w:val="Hipercze"/>
            <w:rFonts w:ascii="Arial" w:hAnsi="Arial" w:cs="Arial"/>
            <w:noProof/>
            <w:color w:val="auto"/>
          </w:rPr>
          <w:t>Spisy</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_Toc101904174 \h </w:instrText>
        </w:r>
        <w:r w:rsidR="00280442" w:rsidRPr="00280442">
          <w:rPr>
            <w:noProof/>
            <w:webHidden/>
            <w:color w:val="auto"/>
          </w:rPr>
        </w:r>
        <w:r w:rsidR="00280442" w:rsidRPr="00280442">
          <w:rPr>
            <w:noProof/>
            <w:webHidden/>
            <w:color w:val="auto"/>
          </w:rPr>
          <w:fldChar w:fldCharType="separate"/>
        </w:r>
        <w:r w:rsidR="0081461D">
          <w:rPr>
            <w:noProof/>
            <w:webHidden/>
            <w:color w:val="auto"/>
          </w:rPr>
          <w:t>210</w:t>
        </w:r>
        <w:r w:rsidR="00280442" w:rsidRPr="00280442">
          <w:rPr>
            <w:noProof/>
            <w:webHidden/>
            <w:color w:val="auto"/>
          </w:rPr>
          <w:fldChar w:fldCharType="end"/>
        </w:r>
      </w:hyperlink>
    </w:p>
    <w:p w14:paraId="0F309E2C" w14:textId="218315FA" w:rsidR="00A273D8" w:rsidRPr="00237760" w:rsidRDefault="00E304AF" w:rsidP="00280442">
      <w:pPr>
        <w:jc w:val="left"/>
        <w:rPr>
          <w:rFonts w:ascii="Arial" w:hAnsi="Arial" w:cs="Arial"/>
          <w:b/>
          <w:bCs/>
          <w:color w:val="auto"/>
          <w:sz w:val="24"/>
          <w:szCs w:val="24"/>
        </w:rPr>
      </w:pPr>
      <w:r w:rsidRPr="00237760">
        <w:rPr>
          <w:rFonts w:ascii="Arial" w:hAnsi="Arial" w:cs="Arial"/>
          <w:color w:val="auto"/>
          <w:sz w:val="24"/>
          <w:szCs w:val="24"/>
        </w:rPr>
        <w:fldChar w:fldCharType="end"/>
      </w:r>
      <w:r w:rsidR="00A273D8" w:rsidRPr="00237760">
        <w:rPr>
          <w:rFonts w:ascii="Arial" w:hAnsi="Arial" w:cs="Arial"/>
          <w:color w:val="auto"/>
          <w:sz w:val="24"/>
          <w:szCs w:val="24"/>
        </w:rPr>
        <w:br w:type="page"/>
      </w:r>
      <w:r w:rsidR="00BA0DB6" w:rsidRPr="00237760">
        <w:rPr>
          <w:rFonts w:ascii="Arial" w:hAnsi="Arial" w:cs="Arial"/>
          <w:b/>
          <w:bCs/>
          <w:color w:val="auto"/>
          <w:sz w:val="24"/>
          <w:szCs w:val="24"/>
        </w:rPr>
        <w:lastRenderedPageBreak/>
        <w:t>Spis użytych skrótów</w:t>
      </w:r>
    </w:p>
    <w:tbl>
      <w:tblPr>
        <w:tblStyle w:val="Tabela-Siatka"/>
        <w:tblW w:w="9219" w:type="dxa"/>
        <w:tblInd w:w="-5"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57" w:type="dxa"/>
          <w:right w:w="57" w:type="dxa"/>
        </w:tblCellMar>
        <w:tblLook w:val="04A0" w:firstRow="1" w:lastRow="0" w:firstColumn="1" w:lastColumn="0" w:noHBand="0" w:noVBand="1"/>
        <w:tblCaption w:val="Spis użytych skrótów"/>
        <w:tblDescription w:val="Tabela zawiera Skrót i Rozwinięcie"/>
      </w:tblPr>
      <w:tblGrid>
        <w:gridCol w:w="1281"/>
        <w:gridCol w:w="7938"/>
      </w:tblGrid>
      <w:tr w:rsidR="00237760" w:rsidRPr="00237760" w14:paraId="67534524" w14:textId="6E4FE192" w:rsidTr="00280442">
        <w:trPr>
          <w:trHeight w:val="124"/>
          <w:tblHeader/>
        </w:trPr>
        <w:tc>
          <w:tcPr>
            <w:tcW w:w="1281" w:type="dxa"/>
            <w:tcBorders>
              <w:top w:val="single" w:sz="12" w:space="0" w:color="002060"/>
              <w:left w:val="nil"/>
              <w:bottom w:val="single" w:sz="4" w:space="0" w:color="BDD6EE" w:themeColor="accent1" w:themeTint="66"/>
              <w:right w:val="nil"/>
            </w:tcBorders>
            <w:shd w:val="clear" w:color="auto" w:fill="auto"/>
            <w:vAlign w:val="center"/>
          </w:tcPr>
          <w:p w14:paraId="070509BD" w14:textId="6E84705C" w:rsidR="005736D8" w:rsidRPr="00237760" w:rsidRDefault="00C01CD9" w:rsidP="009367B4">
            <w:pPr>
              <w:spacing w:after="0"/>
              <w:jc w:val="left"/>
              <w:rPr>
                <w:rFonts w:ascii="Arial" w:hAnsi="Arial" w:cs="Arial"/>
                <w:b/>
                <w:color w:val="auto"/>
                <w:sz w:val="24"/>
                <w:szCs w:val="24"/>
              </w:rPr>
            </w:pPr>
            <w:r w:rsidRPr="00237760">
              <w:rPr>
                <w:rFonts w:ascii="Arial" w:hAnsi="Arial" w:cs="Arial"/>
                <w:b/>
                <w:color w:val="auto"/>
                <w:sz w:val="24"/>
                <w:szCs w:val="24"/>
              </w:rPr>
              <w:t>Skrót</w:t>
            </w:r>
          </w:p>
        </w:tc>
        <w:tc>
          <w:tcPr>
            <w:tcW w:w="7938" w:type="dxa"/>
            <w:tcBorders>
              <w:top w:val="single" w:sz="12" w:space="0" w:color="002060"/>
              <w:left w:val="nil"/>
              <w:bottom w:val="single" w:sz="4" w:space="0" w:color="BDD6EE" w:themeColor="accent1" w:themeTint="66"/>
              <w:right w:val="nil"/>
            </w:tcBorders>
            <w:shd w:val="clear" w:color="auto" w:fill="auto"/>
            <w:vAlign w:val="center"/>
          </w:tcPr>
          <w:p w14:paraId="098D8931" w14:textId="40135F05" w:rsidR="005736D8" w:rsidRPr="00237760" w:rsidRDefault="00C01CD9" w:rsidP="009367B4">
            <w:pPr>
              <w:spacing w:after="0"/>
              <w:jc w:val="left"/>
              <w:rPr>
                <w:rFonts w:ascii="Arial" w:hAnsi="Arial" w:cs="Arial"/>
                <w:b/>
                <w:color w:val="auto"/>
                <w:sz w:val="24"/>
                <w:szCs w:val="24"/>
              </w:rPr>
            </w:pPr>
            <w:r w:rsidRPr="00237760">
              <w:rPr>
                <w:rFonts w:ascii="Arial" w:hAnsi="Arial" w:cs="Arial"/>
                <w:b/>
                <w:color w:val="auto"/>
                <w:sz w:val="24"/>
                <w:szCs w:val="24"/>
              </w:rPr>
              <w:t>Rozwinięcie</w:t>
            </w:r>
          </w:p>
        </w:tc>
      </w:tr>
      <w:tr w:rsidR="00237760" w:rsidRPr="00237760" w14:paraId="0B2D209E" w14:textId="77777777" w:rsidTr="00280442">
        <w:trPr>
          <w:trHeight w:val="151"/>
        </w:trPr>
        <w:tc>
          <w:tcPr>
            <w:tcW w:w="1281" w:type="dxa"/>
            <w:tcBorders>
              <w:top w:val="single" w:sz="4" w:space="0" w:color="BDD6EE" w:themeColor="accent1" w:themeTint="66"/>
              <w:left w:val="nil"/>
              <w:right w:val="nil"/>
            </w:tcBorders>
            <w:vAlign w:val="center"/>
          </w:tcPr>
          <w:p w14:paraId="45B3A3BD"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CH</w:t>
            </w:r>
          </w:p>
        </w:tc>
        <w:tc>
          <w:tcPr>
            <w:tcW w:w="7938" w:type="dxa"/>
            <w:tcBorders>
              <w:top w:val="single" w:sz="4" w:space="0" w:color="BDD6EE" w:themeColor="accent1" w:themeTint="66"/>
              <w:left w:val="nil"/>
              <w:right w:val="nil"/>
            </w:tcBorders>
          </w:tcPr>
          <w:p w14:paraId="179D5E08"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cel horyzontalny</w:t>
            </w:r>
          </w:p>
        </w:tc>
      </w:tr>
      <w:tr w:rsidR="00237760" w:rsidRPr="00237760" w14:paraId="06FDA044" w14:textId="77777777" w:rsidTr="0006153C">
        <w:trPr>
          <w:trHeight w:val="151"/>
        </w:trPr>
        <w:tc>
          <w:tcPr>
            <w:tcW w:w="1281" w:type="dxa"/>
            <w:tcBorders>
              <w:top w:val="single" w:sz="4" w:space="0" w:color="BDD6EE" w:themeColor="accent1" w:themeTint="66"/>
              <w:left w:val="nil"/>
              <w:right w:val="nil"/>
            </w:tcBorders>
            <w:vAlign w:val="center"/>
          </w:tcPr>
          <w:p w14:paraId="5D48FA5B"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CO</w:t>
            </w:r>
          </w:p>
        </w:tc>
        <w:tc>
          <w:tcPr>
            <w:tcW w:w="7938" w:type="dxa"/>
            <w:tcBorders>
              <w:top w:val="single" w:sz="4" w:space="0" w:color="BDD6EE" w:themeColor="accent1" w:themeTint="66"/>
              <w:left w:val="nil"/>
              <w:right w:val="nil"/>
            </w:tcBorders>
          </w:tcPr>
          <w:p w14:paraId="53B94E4C"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cel operacyjny</w:t>
            </w:r>
          </w:p>
        </w:tc>
      </w:tr>
      <w:tr w:rsidR="00237760" w:rsidRPr="00237760" w14:paraId="34158785" w14:textId="77777777" w:rsidTr="0006153C">
        <w:trPr>
          <w:trHeight w:val="151"/>
        </w:trPr>
        <w:tc>
          <w:tcPr>
            <w:tcW w:w="1281" w:type="dxa"/>
            <w:tcBorders>
              <w:top w:val="single" w:sz="4" w:space="0" w:color="BDD6EE" w:themeColor="accent1" w:themeTint="66"/>
              <w:left w:val="nil"/>
              <w:bottom w:val="single" w:sz="4" w:space="0" w:color="BDD6EE" w:themeColor="accent1" w:themeTint="66"/>
              <w:right w:val="nil"/>
            </w:tcBorders>
            <w:vAlign w:val="center"/>
          </w:tcPr>
          <w:p w14:paraId="4AF9FE56"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CP</w:t>
            </w:r>
          </w:p>
        </w:tc>
        <w:tc>
          <w:tcPr>
            <w:tcW w:w="7938" w:type="dxa"/>
            <w:tcBorders>
              <w:top w:val="single" w:sz="4" w:space="0" w:color="BDD6EE" w:themeColor="accent1" w:themeTint="66"/>
              <w:left w:val="nil"/>
              <w:bottom w:val="single" w:sz="4" w:space="0" w:color="BDD6EE" w:themeColor="accent1" w:themeTint="66"/>
              <w:right w:val="nil"/>
            </w:tcBorders>
          </w:tcPr>
          <w:p w14:paraId="739EF478"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cel polityki spójności </w:t>
            </w:r>
          </w:p>
        </w:tc>
      </w:tr>
      <w:tr w:rsidR="00237760" w:rsidRPr="00237760" w14:paraId="4645A2C7" w14:textId="77777777" w:rsidTr="0006153C">
        <w:trPr>
          <w:trHeight w:val="151"/>
        </w:trPr>
        <w:tc>
          <w:tcPr>
            <w:tcW w:w="1281" w:type="dxa"/>
            <w:tcBorders>
              <w:top w:val="single" w:sz="4" w:space="0" w:color="BDD6EE" w:themeColor="accent1" w:themeTint="66"/>
              <w:left w:val="nil"/>
              <w:bottom w:val="single" w:sz="4" w:space="0" w:color="BDD6EE" w:themeColor="accent1" w:themeTint="66"/>
              <w:right w:val="nil"/>
            </w:tcBorders>
            <w:vAlign w:val="center"/>
          </w:tcPr>
          <w:p w14:paraId="38FCD0C2"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CS</w:t>
            </w:r>
          </w:p>
        </w:tc>
        <w:tc>
          <w:tcPr>
            <w:tcW w:w="7938" w:type="dxa"/>
            <w:tcBorders>
              <w:top w:val="single" w:sz="4" w:space="0" w:color="BDD6EE" w:themeColor="accent1" w:themeTint="66"/>
              <w:left w:val="nil"/>
              <w:bottom w:val="single" w:sz="4" w:space="0" w:color="BDD6EE" w:themeColor="accent1" w:themeTint="66"/>
              <w:right w:val="nil"/>
            </w:tcBorders>
          </w:tcPr>
          <w:p w14:paraId="55E17B57"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cel strategiczny</w:t>
            </w:r>
          </w:p>
        </w:tc>
      </w:tr>
      <w:tr w:rsidR="00237760" w:rsidRPr="00237760" w14:paraId="6AE4741A" w14:textId="77777777" w:rsidTr="0006153C">
        <w:trPr>
          <w:trHeight w:val="151"/>
        </w:trPr>
        <w:tc>
          <w:tcPr>
            <w:tcW w:w="1281" w:type="dxa"/>
            <w:tcBorders>
              <w:top w:val="single" w:sz="4" w:space="0" w:color="BDD6EE" w:themeColor="accent1" w:themeTint="66"/>
              <w:left w:val="nil"/>
              <w:right w:val="nil"/>
            </w:tcBorders>
            <w:vAlign w:val="center"/>
          </w:tcPr>
          <w:p w14:paraId="788294E4"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EFRR</w:t>
            </w:r>
          </w:p>
        </w:tc>
        <w:tc>
          <w:tcPr>
            <w:tcW w:w="7938" w:type="dxa"/>
            <w:tcBorders>
              <w:top w:val="single" w:sz="4" w:space="0" w:color="BDD6EE" w:themeColor="accent1" w:themeTint="66"/>
              <w:left w:val="nil"/>
              <w:right w:val="nil"/>
            </w:tcBorders>
          </w:tcPr>
          <w:p w14:paraId="4496DE8C"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Europejski Fundusz Rozwoju Regionalnego</w:t>
            </w:r>
          </w:p>
        </w:tc>
      </w:tr>
      <w:tr w:rsidR="00237760" w:rsidRPr="00237760" w14:paraId="4FD2A6FE" w14:textId="77777777" w:rsidTr="0006153C">
        <w:trPr>
          <w:trHeight w:val="151"/>
        </w:trPr>
        <w:tc>
          <w:tcPr>
            <w:tcW w:w="1281" w:type="dxa"/>
            <w:tcBorders>
              <w:top w:val="single" w:sz="4" w:space="0" w:color="BDD6EE" w:themeColor="accent1" w:themeTint="66"/>
              <w:left w:val="nil"/>
              <w:right w:val="nil"/>
            </w:tcBorders>
            <w:vAlign w:val="center"/>
          </w:tcPr>
          <w:p w14:paraId="59470214"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EFS+</w:t>
            </w:r>
          </w:p>
        </w:tc>
        <w:tc>
          <w:tcPr>
            <w:tcW w:w="7938" w:type="dxa"/>
            <w:tcBorders>
              <w:top w:val="single" w:sz="4" w:space="0" w:color="BDD6EE" w:themeColor="accent1" w:themeTint="66"/>
              <w:left w:val="nil"/>
              <w:right w:val="nil"/>
            </w:tcBorders>
          </w:tcPr>
          <w:p w14:paraId="1427A431"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Europejski Fundusz Społeczny Plus</w:t>
            </w:r>
          </w:p>
        </w:tc>
      </w:tr>
      <w:tr w:rsidR="00237760" w:rsidRPr="00237760" w14:paraId="60F314DF" w14:textId="77777777" w:rsidTr="0006153C">
        <w:trPr>
          <w:trHeight w:val="151"/>
        </w:trPr>
        <w:tc>
          <w:tcPr>
            <w:tcW w:w="1281" w:type="dxa"/>
            <w:tcBorders>
              <w:top w:val="single" w:sz="4" w:space="0" w:color="BDD6EE" w:themeColor="accent1" w:themeTint="66"/>
              <w:left w:val="nil"/>
              <w:right w:val="nil"/>
            </w:tcBorders>
            <w:vAlign w:val="center"/>
          </w:tcPr>
          <w:p w14:paraId="5F5D4B25"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EFSI</w:t>
            </w:r>
          </w:p>
        </w:tc>
        <w:tc>
          <w:tcPr>
            <w:tcW w:w="7938" w:type="dxa"/>
            <w:tcBorders>
              <w:top w:val="single" w:sz="4" w:space="0" w:color="BDD6EE" w:themeColor="accent1" w:themeTint="66"/>
              <w:left w:val="nil"/>
              <w:right w:val="nil"/>
            </w:tcBorders>
          </w:tcPr>
          <w:p w14:paraId="1918A15C"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Europejskie Fundusze Strukturalne i Inwestycyjne</w:t>
            </w:r>
          </w:p>
        </w:tc>
      </w:tr>
      <w:tr w:rsidR="00237760" w:rsidRPr="00237760" w14:paraId="720A9616" w14:textId="77777777" w:rsidTr="0006153C">
        <w:trPr>
          <w:trHeight w:val="151"/>
        </w:trPr>
        <w:tc>
          <w:tcPr>
            <w:tcW w:w="1281" w:type="dxa"/>
            <w:tcBorders>
              <w:top w:val="single" w:sz="4" w:space="0" w:color="BDD6EE" w:themeColor="accent1" w:themeTint="66"/>
              <w:left w:val="nil"/>
              <w:right w:val="nil"/>
            </w:tcBorders>
            <w:vAlign w:val="center"/>
          </w:tcPr>
          <w:p w14:paraId="68748FAB"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FE</w:t>
            </w:r>
          </w:p>
        </w:tc>
        <w:tc>
          <w:tcPr>
            <w:tcW w:w="7938" w:type="dxa"/>
            <w:tcBorders>
              <w:top w:val="single" w:sz="4" w:space="0" w:color="BDD6EE" w:themeColor="accent1" w:themeTint="66"/>
              <w:left w:val="nil"/>
              <w:right w:val="nil"/>
            </w:tcBorders>
          </w:tcPr>
          <w:p w14:paraId="5AB87919"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Fundusz Europejski</w:t>
            </w:r>
          </w:p>
        </w:tc>
      </w:tr>
      <w:tr w:rsidR="00237760" w:rsidRPr="00237760" w14:paraId="4047672F" w14:textId="77777777" w:rsidTr="0006153C">
        <w:trPr>
          <w:trHeight w:val="151"/>
        </w:trPr>
        <w:tc>
          <w:tcPr>
            <w:tcW w:w="1281" w:type="dxa"/>
            <w:tcBorders>
              <w:top w:val="single" w:sz="4" w:space="0" w:color="BDD6EE" w:themeColor="accent1" w:themeTint="66"/>
              <w:left w:val="nil"/>
              <w:right w:val="nil"/>
            </w:tcBorders>
            <w:vAlign w:val="center"/>
          </w:tcPr>
          <w:p w14:paraId="1B2CBA50"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FEP</w:t>
            </w:r>
          </w:p>
        </w:tc>
        <w:tc>
          <w:tcPr>
            <w:tcW w:w="7938" w:type="dxa"/>
            <w:tcBorders>
              <w:top w:val="single" w:sz="4" w:space="0" w:color="BDD6EE" w:themeColor="accent1" w:themeTint="66"/>
              <w:left w:val="nil"/>
              <w:right w:val="nil"/>
            </w:tcBorders>
          </w:tcPr>
          <w:p w14:paraId="1DF44D55"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Fundusze Europejskie dla Podkarpacia 2021-2027</w:t>
            </w:r>
          </w:p>
        </w:tc>
      </w:tr>
      <w:tr w:rsidR="00237760" w:rsidRPr="00237760" w14:paraId="1C3D4C80" w14:textId="77777777" w:rsidTr="0006153C">
        <w:trPr>
          <w:trHeight w:val="151"/>
        </w:trPr>
        <w:tc>
          <w:tcPr>
            <w:tcW w:w="1281" w:type="dxa"/>
            <w:tcBorders>
              <w:top w:val="single" w:sz="4" w:space="0" w:color="BDD6EE" w:themeColor="accent1" w:themeTint="66"/>
              <w:left w:val="nil"/>
              <w:right w:val="nil"/>
            </w:tcBorders>
            <w:vAlign w:val="center"/>
          </w:tcPr>
          <w:p w14:paraId="0E4E3D7C"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FS</w:t>
            </w:r>
          </w:p>
        </w:tc>
        <w:tc>
          <w:tcPr>
            <w:tcW w:w="7938" w:type="dxa"/>
            <w:tcBorders>
              <w:top w:val="single" w:sz="4" w:space="0" w:color="BDD6EE" w:themeColor="accent1" w:themeTint="66"/>
              <w:left w:val="nil"/>
              <w:right w:val="nil"/>
            </w:tcBorders>
          </w:tcPr>
          <w:p w14:paraId="6A99757E"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Fundusz Spójności</w:t>
            </w:r>
          </w:p>
        </w:tc>
      </w:tr>
      <w:tr w:rsidR="00237760" w:rsidRPr="00237760" w14:paraId="47537DBA" w14:textId="77777777" w:rsidTr="0006153C">
        <w:trPr>
          <w:trHeight w:val="151"/>
        </w:trPr>
        <w:tc>
          <w:tcPr>
            <w:tcW w:w="1281" w:type="dxa"/>
            <w:tcBorders>
              <w:top w:val="single" w:sz="4" w:space="0" w:color="BDD6EE" w:themeColor="accent1" w:themeTint="66"/>
              <w:left w:val="nil"/>
              <w:right w:val="nil"/>
            </w:tcBorders>
            <w:vAlign w:val="center"/>
          </w:tcPr>
          <w:p w14:paraId="76AC8949"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GUS</w:t>
            </w:r>
          </w:p>
        </w:tc>
        <w:tc>
          <w:tcPr>
            <w:tcW w:w="7938" w:type="dxa"/>
            <w:tcBorders>
              <w:top w:val="single" w:sz="4" w:space="0" w:color="BDD6EE" w:themeColor="accent1" w:themeTint="66"/>
              <w:left w:val="nil"/>
              <w:right w:val="nil"/>
            </w:tcBorders>
          </w:tcPr>
          <w:p w14:paraId="541BBDF7"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Główny Urząd Statystyczny</w:t>
            </w:r>
          </w:p>
        </w:tc>
      </w:tr>
      <w:tr w:rsidR="00237760" w:rsidRPr="00237760" w14:paraId="3919F487" w14:textId="77777777" w:rsidTr="0006153C">
        <w:trPr>
          <w:trHeight w:val="151"/>
        </w:trPr>
        <w:tc>
          <w:tcPr>
            <w:tcW w:w="1281" w:type="dxa"/>
            <w:tcBorders>
              <w:top w:val="single" w:sz="4" w:space="0" w:color="BDD6EE" w:themeColor="accent1" w:themeTint="66"/>
              <w:left w:val="nil"/>
              <w:right w:val="nil"/>
            </w:tcBorders>
            <w:vAlign w:val="center"/>
          </w:tcPr>
          <w:p w14:paraId="690B2FF8"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IDI</w:t>
            </w:r>
          </w:p>
        </w:tc>
        <w:tc>
          <w:tcPr>
            <w:tcW w:w="7938" w:type="dxa"/>
            <w:tcBorders>
              <w:top w:val="single" w:sz="4" w:space="0" w:color="BDD6EE" w:themeColor="accent1" w:themeTint="66"/>
              <w:left w:val="nil"/>
              <w:right w:val="nil"/>
            </w:tcBorders>
          </w:tcPr>
          <w:p w14:paraId="6D3C3068"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Indywidualne wywiady pogłębione</w:t>
            </w:r>
          </w:p>
        </w:tc>
      </w:tr>
      <w:tr w:rsidR="00237760" w:rsidRPr="00237760" w14:paraId="63280E0F" w14:textId="77777777" w:rsidTr="0006153C">
        <w:trPr>
          <w:trHeight w:val="151"/>
        </w:trPr>
        <w:tc>
          <w:tcPr>
            <w:tcW w:w="1281" w:type="dxa"/>
            <w:tcBorders>
              <w:top w:val="single" w:sz="4" w:space="0" w:color="BDD6EE" w:themeColor="accent1" w:themeTint="66"/>
              <w:left w:val="nil"/>
              <w:right w:val="nil"/>
            </w:tcBorders>
            <w:vAlign w:val="center"/>
          </w:tcPr>
          <w:p w14:paraId="33C6A481"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JST</w:t>
            </w:r>
          </w:p>
        </w:tc>
        <w:tc>
          <w:tcPr>
            <w:tcW w:w="7938" w:type="dxa"/>
            <w:tcBorders>
              <w:top w:val="single" w:sz="4" w:space="0" w:color="BDD6EE" w:themeColor="accent1" w:themeTint="66"/>
              <w:left w:val="nil"/>
              <w:right w:val="nil"/>
            </w:tcBorders>
          </w:tcPr>
          <w:p w14:paraId="66A1AAF3"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jednostki samorządu terytorialnego</w:t>
            </w:r>
          </w:p>
        </w:tc>
      </w:tr>
      <w:tr w:rsidR="00237760" w:rsidRPr="00237760" w14:paraId="5B0FFFAE" w14:textId="77777777" w:rsidTr="0006153C">
        <w:trPr>
          <w:trHeight w:val="151"/>
        </w:trPr>
        <w:tc>
          <w:tcPr>
            <w:tcW w:w="1281" w:type="dxa"/>
            <w:tcBorders>
              <w:top w:val="single" w:sz="4" w:space="0" w:color="BDD6EE" w:themeColor="accent1" w:themeTint="66"/>
              <w:left w:val="nil"/>
              <w:right w:val="nil"/>
            </w:tcBorders>
            <w:vAlign w:val="center"/>
          </w:tcPr>
          <w:p w14:paraId="12B030DD"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KPO</w:t>
            </w:r>
          </w:p>
        </w:tc>
        <w:tc>
          <w:tcPr>
            <w:tcW w:w="7938" w:type="dxa"/>
            <w:tcBorders>
              <w:top w:val="single" w:sz="4" w:space="0" w:color="BDD6EE" w:themeColor="accent1" w:themeTint="66"/>
              <w:left w:val="nil"/>
              <w:right w:val="nil"/>
            </w:tcBorders>
          </w:tcPr>
          <w:p w14:paraId="0C4F58D8"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Krajowy Plan Odbudowy</w:t>
            </w:r>
          </w:p>
        </w:tc>
      </w:tr>
      <w:tr w:rsidR="00237760" w:rsidRPr="00237760" w14:paraId="6BE1918C" w14:textId="77777777" w:rsidTr="0006153C">
        <w:trPr>
          <w:trHeight w:val="151"/>
        </w:trPr>
        <w:tc>
          <w:tcPr>
            <w:tcW w:w="1281" w:type="dxa"/>
            <w:tcBorders>
              <w:top w:val="single" w:sz="4" w:space="0" w:color="BDD6EE" w:themeColor="accent1" w:themeTint="66"/>
              <w:left w:val="nil"/>
              <w:right w:val="nil"/>
            </w:tcBorders>
            <w:vAlign w:val="center"/>
          </w:tcPr>
          <w:p w14:paraId="0FD08C4F"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KSRR</w:t>
            </w:r>
          </w:p>
        </w:tc>
        <w:tc>
          <w:tcPr>
            <w:tcW w:w="7938" w:type="dxa"/>
            <w:tcBorders>
              <w:top w:val="single" w:sz="4" w:space="0" w:color="BDD6EE" w:themeColor="accent1" w:themeTint="66"/>
              <w:left w:val="nil"/>
              <w:right w:val="nil"/>
            </w:tcBorders>
          </w:tcPr>
          <w:p w14:paraId="4EA35ADC"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Krajowa Strategia Rozwoju Regionalnego</w:t>
            </w:r>
          </w:p>
        </w:tc>
      </w:tr>
      <w:tr w:rsidR="00237760" w:rsidRPr="00237760" w14:paraId="3D1D8B76" w14:textId="77777777" w:rsidTr="0006153C">
        <w:trPr>
          <w:trHeight w:val="151"/>
        </w:trPr>
        <w:tc>
          <w:tcPr>
            <w:tcW w:w="1281" w:type="dxa"/>
            <w:tcBorders>
              <w:top w:val="single" w:sz="4" w:space="0" w:color="BDD6EE" w:themeColor="accent1" w:themeTint="66"/>
              <w:left w:val="nil"/>
              <w:bottom w:val="single" w:sz="4" w:space="0" w:color="BDD6EE" w:themeColor="accent1" w:themeTint="66"/>
              <w:right w:val="nil"/>
            </w:tcBorders>
            <w:vAlign w:val="center"/>
          </w:tcPr>
          <w:p w14:paraId="479989B7"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MOF</w:t>
            </w:r>
          </w:p>
        </w:tc>
        <w:tc>
          <w:tcPr>
            <w:tcW w:w="7938" w:type="dxa"/>
            <w:tcBorders>
              <w:top w:val="single" w:sz="4" w:space="0" w:color="BDD6EE" w:themeColor="accent1" w:themeTint="66"/>
              <w:left w:val="nil"/>
              <w:bottom w:val="single" w:sz="4" w:space="0" w:color="BDD6EE" w:themeColor="accent1" w:themeTint="66"/>
              <w:right w:val="nil"/>
            </w:tcBorders>
          </w:tcPr>
          <w:p w14:paraId="68451402"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miejski obszar funkcjonalny</w:t>
            </w:r>
          </w:p>
        </w:tc>
      </w:tr>
      <w:tr w:rsidR="00237760" w:rsidRPr="00237760" w14:paraId="4C622172" w14:textId="77777777" w:rsidTr="0006153C">
        <w:trPr>
          <w:trHeight w:val="151"/>
        </w:trPr>
        <w:tc>
          <w:tcPr>
            <w:tcW w:w="1281" w:type="dxa"/>
            <w:tcBorders>
              <w:top w:val="single" w:sz="4" w:space="0" w:color="BDD6EE" w:themeColor="accent1" w:themeTint="66"/>
              <w:left w:val="nil"/>
              <w:bottom w:val="single" w:sz="4" w:space="0" w:color="BDD6EE" w:themeColor="accent1" w:themeTint="66"/>
              <w:right w:val="nil"/>
            </w:tcBorders>
            <w:vAlign w:val="center"/>
          </w:tcPr>
          <w:p w14:paraId="317BF593"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MŚP</w:t>
            </w:r>
          </w:p>
        </w:tc>
        <w:tc>
          <w:tcPr>
            <w:tcW w:w="7938" w:type="dxa"/>
            <w:tcBorders>
              <w:top w:val="single" w:sz="4" w:space="0" w:color="BDD6EE" w:themeColor="accent1" w:themeTint="66"/>
              <w:left w:val="nil"/>
              <w:bottom w:val="single" w:sz="4" w:space="0" w:color="BDD6EE" w:themeColor="accent1" w:themeTint="66"/>
              <w:right w:val="nil"/>
            </w:tcBorders>
          </w:tcPr>
          <w:p w14:paraId="7B88DBB8"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małe i średnie przedsiębiorstwa</w:t>
            </w:r>
          </w:p>
        </w:tc>
      </w:tr>
      <w:tr w:rsidR="00237760" w:rsidRPr="00237760" w14:paraId="72792E40" w14:textId="77777777" w:rsidTr="0006153C">
        <w:trPr>
          <w:trHeight w:val="151"/>
        </w:trPr>
        <w:tc>
          <w:tcPr>
            <w:tcW w:w="1281" w:type="dxa"/>
            <w:tcBorders>
              <w:top w:val="single" w:sz="4" w:space="0" w:color="BDD6EE" w:themeColor="accent1" w:themeTint="66"/>
              <w:left w:val="nil"/>
              <w:bottom w:val="single" w:sz="4" w:space="0" w:color="BDD6EE" w:themeColor="accent1" w:themeTint="66"/>
              <w:right w:val="nil"/>
            </w:tcBorders>
            <w:vAlign w:val="center"/>
          </w:tcPr>
          <w:p w14:paraId="6BA9F923"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MW</w:t>
            </w:r>
          </w:p>
        </w:tc>
        <w:tc>
          <w:tcPr>
            <w:tcW w:w="7938" w:type="dxa"/>
            <w:tcBorders>
              <w:top w:val="single" w:sz="4" w:space="0" w:color="BDD6EE" w:themeColor="accent1" w:themeTint="66"/>
              <w:left w:val="nil"/>
              <w:bottom w:val="single" w:sz="4" w:space="0" w:color="BDD6EE" w:themeColor="accent1" w:themeTint="66"/>
              <w:right w:val="nil"/>
            </w:tcBorders>
          </w:tcPr>
          <w:p w14:paraId="72C7B50A"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Marszałek Województwa</w:t>
            </w:r>
          </w:p>
        </w:tc>
      </w:tr>
      <w:tr w:rsidR="00237760" w:rsidRPr="00237760" w14:paraId="01F04742" w14:textId="77777777" w:rsidTr="0006153C">
        <w:trPr>
          <w:trHeight w:val="151"/>
        </w:trPr>
        <w:tc>
          <w:tcPr>
            <w:tcW w:w="1281" w:type="dxa"/>
            <w:tcBorders>
              <w:top w:val="single" w:sz="4" w:space="0" w:color="BDD6EE" w:themeColor="accent1" w:themeTint="66"/>
              <w:left w:val="nil"/>
              <w:bottom w:val="single" w:sz="4" w:space="0" w:color="BDD6EE" w:themeColor="accent1" w:themeTint="66"/>
              <w:right w:val="nil"/>
            </w:tcBorders>
            <w:vAlign w:val="center"/>
          </w:tcPr>
          <w:p w14:paraId="2DF04390"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NGO</w:t>
            </w:r>
          </w:p>
        </w:tc>
        <w:tc>
          <w:tcPr>
            <w:tcW w:w="7938" w:type="dxa"/>
            <w:tcBorders>
              <w:top w:val="single" w:sz="4" w:space="0" w:color="BDD6EE" w:themeColor="accent1" w:themeTint="66"/>
              <w:left w:val="nil"/>
              <w:bottom w:val="single" w:sz="4" w:space="0" w:color="BDD6EE" w:themeColor="accent1" w:themeTint="66"/>
              <w:right w:val="nil"/>
            </w:tcBorders>
          </w:tcPr>
          <w:p w14:paraId="755CBDF5"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Organizacje pozarządowe (</w:t>
            </w:r>
            <w:r w:rsidRPr="00237760">
              <w:rPr>
                <w:rFonts w:ascii="Arial" w:hAnsi="Arial" w:cs="Arial"/>
                <w:i/>
                <w:color w:val="auto"/>
                <w:sz w:val="24"/>
                <w:szCs w:val="24"/>
              </w:rPr>
              <w:t>non-government organization</w:t>
            </w:r>
            <w:r w:rsidRPr="00237760">
              <w:rPr>
                <w:rFonts w:ascii="Arial" w:hAnsi="Arial" w:cs="Arial"/>
                <w:color w:val="auto"/>
                <w:sz w:val="24"/>
                <w:szCs w:val="24"/>
              </w:rPr>
              <w:t>)</w:t>
            </w:r>
          </w:p>
        </w:tc>
      </w:tr>
      <w:tr w:rsidR="00237760" w:rsidRPr="00237760" w14:paraId="05001BFA" w14:textId="77777777" w:rsidTr="0006153C">
        <w:trPr>
          <w:trHeight w:val="151"/>
        </w:trPr>
        <w:tc>
          <w:tcPr>
            <w:tcW w:w="1281" w:type="dxa"/>
            <w:tcBorders>
              <w:top w:val="single" w:sz="4" w:space="0" w:color="BDD6EE" w:themeColor="accent1" w:themeTint="66"/>
              <w:left w:val="nil"/>
              <w:right w:val="nil"/>
            </w:tcBorders>
            <w:vAlign w:val="center"/>
          </w:tcPr>
          <w:p w14:paraId="79EA6E23"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OZE</w:t>
            </w:r>
          </w:p>
        </w:tc>
        <w:tc>
          <w:tcPr>
            <w:tcW w:w="7938" w:type="dxa"/>
            <w:tcBorders>
              <w:top w:val="single" w:sz="4" w:space="0" w:color="BDD6EE" w:themeColor="accent1" w:themeTint="66"/>
              <w:left w:val="nil"/>
              <w:right w:val="nil"/>
            </w:tcBorders>
          </w:tcPr>
          <w:p w14:paraId="319039A4"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odnawialne źródła energii</w:t>
            </w:r>
          </w:p>
        </w:tc>
      </w:tr>
      <w:tr w:rsidR="00237760" w:rsidRPr="00237760" w14:paraId="509F8E54" w14:textId="77777777" w:rsidTr="0006153C">
        <w:trPr>
          <w:trHeight w:val="151"/>
        </w:trPr>
        <w:tc>
          <w:tcPr>
            <w:tcW w:w="1281" w:type="dxa"/>
            <w:tcBorders>
              <w:top w:val="single" w:sz="4" w:space="0" w:color="BDD6EE" w:themeColor="accent1" w:themeTint="66"/>
              <w:left w:val="nil"/>
              <w:right w:val="nil"/>
            </w:tcBorders>
            <w:vAlign w:val="center"/>
          </w:tcPr>
          <w:p w14:paraId="703DFFAA"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P</w:t>
            </w:r>
          </w:p>
        </w:tc>
        <w:tc>
          <w:tcPr>
            <w:tcW w:w="7938" w:type="dxa"/>
            <w:tcBorders>
              <w:top w:val="single" w:sz="4" w:space="0" w:color="BDD6EE" w:themeColor="accent1" w:themeTint="66"/>
              <w:left w:val="nil"/>
              <w:right w:val="nil"/>
            </w:tcBorders>
          </w:tcPr>
          <w:p w14:paraId="1585FF4B"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Priorytet Funduszy Europejskich dla Podkarpacia 2021- 2027</w:t>
            </w:r>
          </w:p>
        </w:tc>
      </w:tr>
      <w:tr w:rsidR="00237760" w:rsidRPr="00237760" w14:paraId="14B8179E" w14:textId="77777777" w:rsidTr="0006153C">
        <w:trPr>
          <w:trHeight w:val="151"/>
        </w:trPr>
        <w:tc>
          <w:tcPr>
            <w:tcW w:w="1281" w:type="dxa"/>
            <w:tcBorders>
              <w:top w:val="single" w:sz="4" w:space="0" w:color="BDD6EE" w:themeColor="accent1" w:themeTint="66"/>
              <w:left w:val="nil"/>
              <w:bottom w:val="single" w:sz="4" w:space="0" w:color="BDD6EE" w:themeColor="accent1" w:themeTint="66"/>
              <w:right w:val="nil"/>
            </w:tcBorders>
            <w:vAlign w:val="center"/>
          </w:tcPr>
          <w:p w14:paraId="1423FB31"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PSRT WP</w:t>
            </w:r>
          </w:p>
        </w:tc>
        <w:tc>
          <w:tcPr>
            <w:tcW w:w="7938" w:type="dxa"/>
            <w:tcBorders>
              <w:top w:val="single" w:sz="4" w:space="0" w:color="BDD6EE" w:themeColor="accent1" w:themeTint="66"/>
              <w:left w:val="nil"/>
              <w:bottom w:val="single" w:sz="4" w:space="0" w:color="BDD6EE" w:themeColor="accent1" w:themeTint="66"/>
              <w:right w:val="nil"/>
            </w:tcBorders>
          </w:tcPr>
          <w:p w14:paraId="43685600"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Program Strategicznego Rozwoju Transportu Województwa Podkarpackiego</w:t>
            </w:r>
          </w:p>
        </w:tc>
      </w:tr>
      <w:tr w:rsidR="00237760" w:rsidRPr="00237760" w14:paraId="40B5BA57" w14:textId="77777777" w:rsidTr="0006153C">
        <w:trPr>
          <w:trHeight w:val="151"/>
        </w:trPr>
        <w:tc>
          <w:tcPr>
            <w:tcW w:w="1281" w:type="dxa"/>
            <w:tcBorders>
              <w:top w:val="single" w:sz="4" w:space="0" w:color="BDD6EE" w:themeColor="accent1" w:themeTint="66"/>
              <w:left w:val="nil"/>
              <w:right w:val="nil"/>
            </w:tcBorders>
            <w:vAlign w:val="center"/>
          </w:tcPr>
          <w:p w14:paraId="756EC52A"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RP</w:t>
            </w:r>
          </w:p>
        </w:tc>
        <w:tc>
          <w:tcPr>
            <w:tcW w:w="7938" w:type="dxa"/>
            <w:tcBorders>
              <w:top w:val="single" w:sz="4" w:space="0" w:color="BDD6EE" w:themeColor="accent1" w:themeTint="66"/>
              <w:left w:val="nil"/>
              <w:right w:val="nil"/>
            </w:tcBorders>
          </w:tcPr>
          <w:p w14:paraId="358EC203"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Rzeczpospolita Polska</w:t>
            </w:r>
          </w:p>
        </w:tc>
      </w:tr>
      <w:tr w:rsidR="00237760" w:rsidRPr="00237760" w14:paraId="11396C30" w14:textId="77777777" w:rsidTr="0006153C">
        <w:trPr>
          <w:trHeight w:val="151"/>
        </w:trPr>
        <w:tc>
          <w:tcPr>
            <w:tcW w:w="1281" w:type="dxa"/>
            <w:tcBorders>
              <w:top w:val="single" w:sz="4" w:space="0" w:color="BDD6EE" w:themeColor="accent1" w:themeTint="66"/>
              <w:left w:val="nil"/>
              <w:right w:val="nil"/>
            </w:tcBorders>
            <w:vAlign w:val="center"/>
          </w:tcPr>
          <w:p w14:paraId="16BA7FDD"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RPO</w:t>
            </w:r>
          </w:p>
        </w:tc>
        <w:tc>
          <w:tcPr>
            <w:tcW w:w="7938" w:type="dxa"/>
            <w:tcBorders>
              <w:top w:val="single" w:sz="4" w:space="0" w:color="BDD6EE" w:themeColor="accent1" w:themeTint="66"/>
              <w:left w:val="nil"/>
              <w:right w:val="nil"/>
            </w:tcBorders>
          </w:tcPr>
          <w:p w14:paraId="0BC7F61D"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Regionalny Program Operacyjny</w:t>
            </w:r>
          </w:p>
        </w:tc>
      </w:tr>
      <w:tr w:rsidR="00237760" w:rsidRPr="00237760" w14:paraId="6B3CBB89" w14:textId="77777777" w:rsidTr="0006153C">
        <w:trPr>
          <w:trHeight w:val="151"/>
        </w:trPr>
        <w:tc>
          <w:tcPr>
            <w:tcW w:w="1281" w:type="dxa"/>
            <w:tcBorders>
              <w:top w:val="single" w:sz="4" w:space="0" w:color="BDD6EE" w:themeColor="accent1" w:themeTint="66"/>
              <w:left w:val="nil"/>
              <w:bottom w:val="single" w:sz="4" w:space="0" w:color="BDD6EE" w:themeColor="accent1" w:themeTint="66"/>
              <w:right w:val="nil"/>
            </w:tcBorders>
            <w:vAlign w:val="center"/>
          </w:tcPr>
          <w:p w14:paraId="62F82302"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RSI WP</w:t>
            </w:r>
          </w:p>
        </w:tc>
        <w:tc>
          <w:tcPr>
            <w:tcW w:w="7938" w:type="dxa"/>
            <w:tcBorders>
              <w:top w:val="single" w:sz="4" w:space="0" w:color="BDD6EE" w:themeColor="accent1" w:themeTint="66"/>
              <w:left w:val="nil"/>
              <w:bottom w:val="single" w:sz="4" w:space="0" w:color="BDD6EE" w:themeColor="accent1" w:themeTint="66"/>
              <w:right w:val="nil"/>
            </w:tcBorders>
          </w:tcPr>
          <w:p w14:paraId="6463FF0E"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Regionalna Strategia Innowacji Województwa Podkarpackiego na lata 2021-2030 (projekt)</w:t>
            </w:r>
          </w:p>
        </w:tc>
      </w:tr>
      <w:tr w:rsidR="00237760" w:rsidRPr="00237760" w14:paraId="69799704" w14:textId="77777777" w:rsidTr="0006153C">
        <w:trPr>
          <w:trHeight w:val="151"/>
        </w:trPr>
        <w:tc>
          <w:tcPr>
            <w:tcW w:w="1281" w:type="dxa"/>
            <w:tcBorders>
              <w:top w:val="single" w:sz="4" w:space="0" w:color="BDD6EE" w:themeColor="accent1" w:themeTint="66"/>
              <w:left w:val="nil"/>
              <w:bottom w:val="single" w:sz="4" w:space="0" w:color="BDD6EE" w:themeColor="accent1" w:themeTint="66"/>
              <w:right w:val="nil"/>
            </w:tcBorders>
            <w:vAlign w:val="center"/>
          </w:tcPr>
          <w:p w14:paraId="13F375DA"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SOOŚ</w:t>
            </w:r>
          </w:p>
        </w:tc>
        <w:tc>
          <w:tcPr>
            <w:tcW w:w="7938" w:type="dxa"/>
            <w:tcBorders>
              <w:top w:val="single" w:sz="4" w:space="0" w:color="BDD6EE" w:themeColor="accent1" w:themeTint="66"/>
              <w:left w:val="nil"/>
              <w:bottom w:val="single" w:sz="4" w:space="0" w:color="BDD6EE" w:themeColor="accent1" w:themeTint="66"/>
              <w:right w:val="nil"/>
            </w:tcBorders>
          </w:tcPr>
          <w:p w14:paraId="7DFCE211"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strategiczne oceny oddziaływania na środowisko</w:t>
            </w:r>
          </w:p>
        </w:tc>
      </w:tr>
      <w:tr w:rsidR="00237760" w:rsidRPr="00237760" w14:paraId="55ECDDDC" w14:textId="77777777" w:rsidTr="0006153C">
        <w:trPr>
          <w:trHeight w:val="151"/>
        </w:trPr>
        <w:tc>
          <w:tcPr>
            <w:tcW w:w="1281" w:type="dxa"/>
            <w:tcBorders>
              <w:top w:val="single" w:sz="4" w:space="0" w:color="BDD6EE" w:themeColor="accent1" w:themeTint="66"/>
              <w:left w:val="nil"/>
              <w:right w:val="nil"/>
            </w:tcBorders>
            <w:vAlign w:val="center"/>
          </w:tcPr>
          <w:p w14:paraId="78A36392"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lang w:eastAsia="pl-PL"/>
              </w:rPr>
              <w:t>SOPZ</w:t>
            </w:r>
          </w:p>
        </w:tc>
        <w:tc>
          <w:tcPr>
            <w:tcW w:w="7938" w:type="dxa"/>
            <w:tcBorders>
              <w:top w:val="single" w:sz="4" w:space="0" w:color="BDD6EE" w:themeColor="accent1" w:themeTint="66"/>
              <w:left w:val="nil"/>
              <w:right w:val="nil"/>
            </w:tcBorders>
          </w:tcPr>
          <w:p w14:paraId="2F2FC031"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szczegółowy opis przedmiotu zamówienia </w:t>
            </w:r>
          </w:p>
        </w:tc>
      </w:tr>
      <w:tr w:rsidR="00237760" w:rsidRPr="00237760" w14:paraId="140F5E5A" w14:textId="77777777" w:rsidTr="0006153C">
        <w:trPr>
          <w:trHeight w:val="151"/>
        </w:trPr>
        <w:tc>
          <w:tcPr>
            <w:tcW w:w="1281" w:type="dxa"/>
            <w:tcBorders>
              <w:top w:val="single" w:sz="4" w:space="0" w:color="BDD6EE" w:themeColor="accent1" w:themeTint="66"/>
              <w:left w:val="nil"/>
              <w:bottom w:val="single" w:sz="4" w:space="0" w:color="BDD6EE" w:themeColor="accent1" w:themeTint="66"/>
              <w:right w:val="nil"/>
            </w:tcBorders>
            <w:vAlign w:val="center"/>
          </w:tcPr>
          <w:p w14:paraId="7B081464"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SOR</w:t>
            </w:r>
          </w:p>
        </w:tc>
        <w:tc>
          <w:tcPr>
            <w:tcW w:w="7938" w:type="dxa"/>
            <w:tcBorders>
              <w:top w:val="single" w:sz="4" w:space="0" w:color="BDD6EE" w:themeColor="accent1" w:themeTint="66"/>
              <w:left w:val="nil"/>
              <w:bottom w:val="single" w:sz="4" w:space="0" w:color="BDD6EE" w:themeColor="accent1" w:themeTint="66"/>
              <w:right w:val="nil"/>
            </w:tcBorders>
          </w:tcPr>
          <w:p w14:paraId="00032782"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Strategia na rzecz Odpowiedzialnego Rozwoju</w:t>
            </w:r>
          </w:p>
        </w:tc>
      </w:tr>
      <w:tr w:rsidR="00237760" w:rsidRPr="00237760" w14:paraId="667860D3" w14:textId="77777777" w:rsidTr="0006153C">
        <w:trPr>
          <w:trHeight w:val="151"/>
        </w:trPr>
        <w:tc>
          <w:tcPr>
            <w:tcW w:w="1281" w:type="dxa"/>
            <w:tcBorders>
              <w:top w:val="single" w:sz="4" w:space="0" w:color="BDD6EE" w:themeColor="accent1" w:themeTint="66"/>
              <w:left w:val="nil"/>
              <w:bottom w:val="single" w:sz="4" w:space="0" w:color="BDD6EE" w:themeColor="accent1" w:themeTint="66"/>
              <w:right w:val="nil"/>
            </w:tcBorders>
            <w:vAlign w:val="center"/>
          </w:tcPr>
          <w:p w14:paraId="2CA3580C"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SRWP</w:t>
            </w:r>
          </w:p>
        </w:tc>
        <w:tc>
          <w:tcPr>
            <w:tcW w:w="7938" w:type="dxa"/>
            <w:tcBorders>
              <w:top w:val="single" w:sz="4" w:space="0" w:color="BDD6EE" w:themeColor="accent1" w:themeTint="66"/>
              <w:left w:val="nil"/>
              <w:bottom w:val="single" w:sz="4" w:space="0" w:color="BDD6EE" w:themeColor="accent1" w:themeTint="66"/>
              <w:right w:val="nil"/>
            </w:tcBorders>
          </w:tcPr>
          <w:p w14:paraId="11759240"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Strategia Rozwoju Województwa Podkarpackiego </w:t>
            </w:r>
          </w:p>
        </w:tc>
      </w:tr>
      <w:tr w:rsidR="00237760" w:rsidRPr="00237760" w14:paraId="3AA95C0C" w14:textId="77777777" w:rsidTr="0006153C">
        <w:trPr>
          <w:trHeight w:val="151"/>
        </w:trPr>
        <w:tc>
          <w:tcPr>
            <w:tcW w:w="1281" w:type="dxa"/>
            <w:tcBorders>
              <w:top w:val="single" w:sz="4" w:space="0" w:color="BDD6EE" w:themeColor="accent1" w:themeTint="66"/>
              <w:left w:val="nil"/>
              <w:right w:val="nil"/>
            </w:tcBorders>
            <w:vAlign w:val="center"/>
          </w:tcPr>
          <w:p w14:paraId="3327705B"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SWOT</w:t>
            </w:r>
          </w:p>
        </w:tc>
        <w:tc>
          <w:tcPr>
            <w:tcW w:w="7938" w:type="dxa"/>
            <w:tcBorders>
              <w:top w:val="single" w:sz="4" w:space="0" w:color="BDD6EE" w:themeColor="accent1" w:themeTint="66"/>
              <w:left w:val="nil"/>
              <w:right w:val="nil"/>
            </w:tcBorders>
          </w:tcPr>
          <w:p w14:paraId="0B0E3239"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analiza strategiczna obejmująca: mocne strony; słabe strony; szanse i zagrożenia</w:t>
            </w:r>
          </w:p>
        </w:tc>
      </w:tr>
      <w:tr w:rsidR="00237760" w:rsidRPr="00237760" w14:paraId="51533BAB" w14:textId="77777777" w:rsidTr="0006153C">
        <w:trPr>
          <w:trHeight w:val="151"/>
        </w:trPr>
        <w:tc>
          <w:tcPr>
            <w:tcW w:w="1281" w:type="dxa"/>
            <w:tcBorders>
              <w:top w:val="single" w:sz="4" w:space="0" w:color="BDD6EE" w:themeColor="accent1" w:themeTint="66"/>
              <w:left w:val="nil"/>
              <w:right w:val="nil"/>
            </w:tcBorders>
            <w:vAlign w:val="center"/>
          </w:tcPr>
          <w:p w14:paraId="0E3CF9B3"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TEN-T</w:t>
            </w:r>
          </w:p>
        </w:tc>
        <w:tc>
          <w:tcPr>
            <w:tcW w:w="7938" w:type="dxa"/>
            <w:tcBorders>
              <w:top w:val="single" w:sz="4" w:space="0" w:color="BDD6EE" w:themeColor="accent1" w:themeTint="66"/>
              <w:left w:val="nil"/>
              <w:right w:val="nil"/>
            </w:tcBorders>
          </w:tcPr>
          <w:p w14:paraId="54440A7D"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Transeuropejska sieć transportowa</w:t>
            </w:r>
          </w:p>
        </w:tc>
      </w:tr>
      <w:tr w:rsidR="00237760" w:rsidRPr="00237760" w14:paraId="3C4DCBD1" w14:textId="77777777" w:rsidTr="0006153C">
        <w:trPr>
          <w:trHeight w:val="151"/>
        </w:trPr>
        <w:tc>
          <w:tcPr>
            <w:tcW w:w="1281" w:type="dxa"/>
            <w:tcBorders>
              <w:top w:val="single" w:sz="4" w:space="0" w:color="BDD6EE" w:themeColor="accent1" w:themeTint="66"/>
              <w:left w:val="nil"/>
              <w:bottom w:val="single" w:sz="4" w:space="0" w:color="BDD6EE" w:themeColor="accent1" w:themeTint="66"/>
              <w:right w:val="nil"/>
            </w:tcBorders>
            <w:vAlign w:val="center"/>
          </w:tcPr>
          <w:p w14:paraId="0124FC4C"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UE</w:t>
            </w:r>
          </w:p>
        </w:tc>
        <w:tc>
          <w:tcPr>
            <w:tcW w:w="7938" w:type="dxa"/>
            <w:tcBorders>
              <w:top w:val="single" w:sz="4" w:space="0" w:color="BDD6EE" w:themeColor="accent1" w:themeTint="66"/>
              <w:left w:val="nil"/>
              <w:bottom w:val="single" w:sz="4" w:space="0" w:color="BDD6EE" w:themeColor="accent1" w:themeTint="66"/>
              <w:right w:val="nil"/>
            </w:tcBorders>
          </w:tcPr>
          <w:p w14:paraId="02EF95AD"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Unia Europejska</w:t>
            </w:r>
          </w:p>
        </w:tc>
      </w:tr>
      <w:tr w:rsidR="00237760" w:rsidRPr="00237760" w14:paraId="67A72C76" w14:textId="77777777" w:rsidTr="0006153C">
        <w:trPr>
          <w:trHeight w:val="151"/>
        </w:trPr>
        <w:tc>
          <w:tcPr>
            <w:tcW w:w="1281" w:type="dxa"/>
            <w:tcBorders>
              <w:top w:val="single" w:sz="4" w:space="0" w:color="BDD6EE" w:themeColor="accent1" w:themeTint="66"/>
              <w:left w:val="nil"/>
              <w:bottom w:val="single" w:sz="4" w:space="0" w:color="BDD6EE" w:themeColor="accent1" w:themeTint="66"/>
              <w:right w:val="nil"/>
            </w:tcBorders>
            <w:vAlign w:val="center"/>
          </w:tcPr>
          <w:p w14:paraId="0F90D839"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UMWP</w:t>
            </w:r>
          </w:p>
        </w:tc>
        <w:tc>
          <w:tcPr>
            <w:tcW w:w="7938" w:type="dxa"/>
            <w:tcBorders>
              <w:top w:val="single" w:sz="4" w:space="0" w:color="BDD6EE" w:themeColor="accent1" w:themeTint="66"/>
              <w:left w:val="nil"/>
              <w:bottom w:val="single" w:sz="4" w:space="0" w:color="BDD6EE" w:themeColor="accent1" w:themeTint="66"/>
              <w:right w:val="nil"/>
            </w:tcBorders>
          </w:tcPr>
          <w:p w14:paraId="42C3ABEB"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Urząd Marszałkowski Województwa Podkarpackiego</w:t>
            </w:r>
          </w:p>
        </w:tc>
      </w:tr>
      <w:tr w:rsidR="00237760" w:rsidRPr="00237760" w14:paraId="19B5B285" w14:textId="77777777" w:rsidTr="0006153C">
        <w:trPr>
          <w:trHeight w:val="151"/>
        </w:trPr>
        <w:tc>
          <w:tcPr>
            <w:tcW w:w="1281" w:type="dxa"/>
            <w:tcBorders>
              <w:top w:val="single" w:sz="4" w:space="0" w:color="BDD6EE" w:themeColor="accent1" w:themeTint="66"/>
              <w:left w:val="nil"/>
              <w:right w:val="nil"/>
            </w:tcBorders>
            <w:vAlign w:val="center"/>
          </w:tcPr>
          <w:p w14:paraId="13619FC2"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UP</w:t>
            </w:r>
          </w:p>
        </w:tc>
        <w:tc>
          <w:tcPr>
            <w:tcW w:w="7938" w:type="dxa"/>
            <w:tcBorders>
              <w:top w:val="single" w:sz="4" w:space="0" w:color="BDD6EE" w:themeColor="accent1" w:themeTint="66"/>
              <w:left w:val="nil"/>
              <w:right w:val="nil"/>
            </w:tcBorders>
          </w:tcPr>
          <w:p w14:paraId="233A96BE"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Umowa Partnerstwa</w:t>
            </w:r>
          </w:p>
        </w:tc>
      </w:tr>
      <w:tr w:rsidR="00237760" w:rsidRPr="00237760" w14:paraId="2C5315CC" w14:textId="77777777" w:rsidTr="0006153C">
        <w:trPr>
          <w:trHeight w:val="151"/>
        </w:trPr>
        <w:tc>
          <w:tcPr>
            <w:tcW w:w="1281" w:type="dxa"/>
            <w:tcBorders>
              <w:top w:val="single" w:sz="4" w:space="0" w:color="BDD6EE" w:themeColor="accent1" w:themeTint="66"/>
              <w:left w:val="nil"/>
              <w:right w:val="nil"/>
            </w:tcBorders>
            <w:vAlign w:val="center"/>
          </w:tcPr>
          <w:p w14:paraId="6A8E5455"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WE</w:t>
            </w:r>
          </w:p>
        </w:tc>
        <w:tc>
          <w:tcPr>
            <w:tcW w:w="7938" w:type="dxa"/>
            <w:tcBorders>
              <w:top w:val="single" w:sz="4" w:space="0" w:color="BDD6EE" w:themeColor="accent1" w:themeTint="66"/>
              <w:left w:val="nil"/>
              <w:right w:val="nil"/>
            </w:tcBorders>
          </w:tcPr>
          <w:p w14:paraId="71462DAC"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Wspólnota Europejska</w:t>
            </w:r>
          </w:p>
        </w:tc>
      </w:tr>
      <w:tr w:rsidR="00237760" w:rsidRPr="00237760" w14:paraId="3D8B692A" w14:textId="77777777" w:rsidTr="0006153C">
        <w:trPr>
          <w:trHeight w:val="151"/>
        </w:trPr>
        <w:tc>
          <w:tcPr>
            <w:tcW w:w="1281" w:type="dxa"/>
            <w:tcBorders>
              <w:top w:val="single" w:sz="4" w:space="0" w:color="BDD6EE" w:themeColor="accent1" w:themeTint="66"/>
              <w:left w:val="nil"/>
              <w:right w:val="nil"/>
            </w:tcBorders>
            <w:vAlign w:val="center"/>
          </w:tcPr>
          <w:p w14:paraId="0A7805C2"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WP</w:t>
            </w:r>
          </w:p>
        </w:tc>
        <w:tc>
          <w:tcPr>
            <w:tcW w:w="7938" w:type="dxa"/>
            <w:tcBorders>
              <w:top w:val="single" w:sz="4" w:space="0" w:color="BDD6EE" w:themeColor="accent1" w:themeTint="66"/>
              <w:left w:val="nil"/>
              <w:right w:val="nil"/>
            </w:tcBorders>
          </w:tcPr>
          <w:p w14:paraId="3981A45D"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województwo podkarpackie</w:t>
            </w:r>
          </w:p>
        </w:tc>
      </w:tr>
      <w:tr w:rsidR="00237760" w:rsidRPr="00237760" w14:paraId="11D34EF4" w14:textId="77777777" w:rsidTr="0006153C">
        <w:trPr>
          <w:trHeight w:val="151"/>
        </w:trPr>
        <w:tc>
          <w:tcPr>
            <w:tcW w:w="1281" w:type="dxa"/>
            <w:tcBorders>
              <w:top w:val="single" w:sz="4" w:space="0" w:color="BDD6EE" w:themeColor="accent1" w:themeTint="66"/>
              <w:left w:val="nil"/>
              <w:bottom w:val="single" w:sz="4" w:space="0" w:color="BDD6EE" w:themeColor="accent1" w:themeTint="66"/>
              <w:right w:val="nil"/>
            </w:tcBorders>
            <w:vAlign w:val="center"/>
          </w:tcPr>
          <w:p w14:paraId="284E40E2"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ws.</w:t>
            </w:r>
          </w:p>
        </w:tc>
        <w:tc>
          <w:tcPr>
            <w:tcW w:w="7938" w:type="dxa"/>
            <w:tcBorders>
              <w:top w:val="single" w:sz="4" w:space="0" w:color="BDD6EE" w:themeColor="accent1" w:themeTint="66"/>
              <w:left w:val="nil"/>
              <w:bottom w:val="single" w:sz="4" w:space="0" w:color="BDD6EE" w:themeColor="accent1" w:themeTint="66"/>
              <w:right w:val="nil"/>
            </w:tcBorders>
          </w:tcPr>
          <w:p w14:paraId="5D1BE2A9"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w sprawie</w:t>
            </w:r>
          </w:p>
        </w:tc>
      </w:tr>
      <w:tr w:rsidR="00237760" w:rsidRPr="00237760" w14:paraId="191CC4A9" w14:textId="77777777" w:rsidTr="0006153C">
        <w:trPr>
          <w:trHeight w:val="151"/>
        </w:trPr>
        <w:tc>
          <w:tcPr>
            <w:tcW w:w="1281" w:type="dxa"/>
            <w:tcBorders>
              <w:top w:val="single" w:sz="4" w:space="0" w:color="BDD6EE" w:themeColor="accent1" w:themeTint="66"/>
              <w:left w:val="nil"/>
              <w:right w:val="nil"/>
            </w:tcBorders>
            <w:vAlign w:val="center"/>
          </w:tcPr>
          <w:p w14:paraId="7288AD25"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ZIT</w:t>
            </w:r>
          </w:p>
        </w:tc>
        <w:tc>
          <w:tcPr>
            <w:tcW w:w="7938" w:type="dxa"/>
            <w:tcBorders>
              <w:top w:val="single" w:sz="4" w:space="0" w:color="BDD6EE" w:themeColor="accent1" w:themeTint="66"/>
              <w:left w:val="nil"/>
              <w:right w:val="nil"/>
            </w:tcBorders>
          </w:tcPr>
          <w:p w14:paraId="006761BA" w14:textId="77777777" w:rsidR="004E3A2E" w:rsidRPr="00237760" w:rsidRDefault="004E3A2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zintegrowane inwestycje terytorialne</w:t>
            </w:r>
          </w:p>
        </w:tc>
      </w:tr>
    </w:tbl>
    <w:p w14:paraId="399C5407" w14:textId="2F54F73F" w:rsidR="00CC32C0" w:rsidRPr="00237760" w:rsidRDefault="00CC32C0" w:rsidP="009367B4">
      <w:pPr>
        <w:spacing w:after="160" w:line="259" w:lineRule="auto"/>
        <w:jc w:val="left"/>
        <w:rPr>
          <w:rFonts w:ascii="Arial" w:hAnsi="Arial" w:cs="Arial"/>
          <w:color w:val="auto"/>
          <w:sz w:val="24"/>
          <w:szCs w:val="24"/>
        </w:rPr>
      </w:pPr>
    </w:p>
    <w:p w14:paraId="043639D3" w14:textId="03E3EB46" w:rsidR="000A31F6" w:rsidRPr="00237760" w:rsidRDefault="00CC32C0" w:rsidP="009367B4">
      <w:pPr>
        <w:spacing w:after="160" w:line="259" w:lineRule="auto"/>
        <w:jc w:val="left"/>
        <w:rPr>
          <w:rFonts w:ascii="Arial" w:hAnsi="Arial" w:cs="Arial"/>
          <w:color w:val="auto"/>
          <w:sz w:val="24"/>
          <w:szCs w:val="24"/>
        </w:rPr>
      </w:pPr>
      <w:r w:rsidRPr="00237760">
        <w:rPr>
          <w:rFonts w:ascii="Arial" w:hAnsi="Arial" w:cs="Arial"/>
          <w:color w:val="auto"/>
          <w:sz w:val="24"/>
          <w:szCs w:val="24"/>
        </w:rPr>
        <w:br w:type="page"/>
      </w:r>
    </w:p>
    <w:p w14:paraId="6CA497A1" w14:textId="77777777" w:rsidR="00C40CCB" w:rsidRPr="00237760" w:rsidRDefault="00C40CCB" w:rsidP="009367B4">
      <w:pPr>
        <w:pStyle w:val="Nagwek1"/>
        <w:rPr>
          <w:rFonts w:ascii="Arial" w:hAnsi="Arial" w:cs="Arial"/>
          <w:color w:val="auto"/>
          <w:sz w:val="24"/>
          <w:szCs w:val="24"/>
        </w:rPr>
      </w:pPr>
      <w:bookmarkStart w:id="1" w:name="_Toc89524123"/>
      <w:bookmarkStart w:id="2" w:name="_Toc89589712"/>
      <w:bookmarkStart w:id="3" w:name="_Toc90226431"/>
      <w:bookmarkStart w:id="4" w:name="_Toc101904098"/>
      <w:bookmarkStart w:id="5" w:name="_Toc89524125"/>
      <w:bookmarkStart w:id="6" w:name="_Toc89589713"/>
      <w:bookmarkStart w:id="7" w:name="_Toc90226432"/>
      <w:r w:rsidRPr="00237760">
        <w:rPr>
          <w:rFonts w:ascii="Arial" w:hAnsi="Arial" w:cs="Arial"/>
          <w:color w:val="auto"/>
          <w:sz w:val="24"/>
          <w:szCs w:val="24"/>
        </w:rPr>
        <w:lastRenderedPageBreak/>
        <w:t>Streszczenie raportu</w:t>
      </w:r>
      <w:bookmarkEnd w:id="1"/>
      <w:bookmarkEnd w:id="2"/>
      <w:bookmarkEnd w:id="3"/>
      <w:bookmarkEnd w:id="4"/>
    </w:p>
    <w:p w14:paraId="0159DB7A" w14:textId="77777777" w:rsidR="00C40CCB" w:rsidRPr="00237760" w:rsidRDefault="00C40CCB"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 xml:space="preserve">Ewaluacja ex ante projektu </w:t>
      </w:r>
      <w:r w:rsidRPr="00237760">
        <w:rPr>
          <w:rFonts w:ascii="Arial" w:hAnsi="Arial" w:cs="Arial"/>
          <w:i/>
          <w:iCs/>
          <w:color w:val="auto"/>
          <w:sz w:val="24"/>
          <w:szCs w:val="24"/>
          <w:lang w:eastAsia="pl-PL"/>
        </w:rPr>
        <w:t>Programu Strategicznego Rozwoju Transportu Województwa Podkarpackiego do roku 2030</w:t>
      </w:r>
      <w:r w:rsidRPr="00237760">
        <w:rPr>
          <w:rFonts w:ascii="Arial" w:hAnsi="Arial" w:cs="Arial"/>
          <w:color w:val="auto"/>
          <w:sz w:val="24"/>
          <w:szCs w:val="24"/>
          <w:lang w:eastAsia="pl-PL"/>
        </w:rPr>
        <w:t xml:space="preserve"> miała na celu sformułowanie wniosków i rekomendacji, umożliwiających podniesienie jakości ocenianego dokumentu i zwiększenie efektywności podejmowanej w jego ramach interwencji.</w:t>
      </w:r>
    </w:p>
    <w:p w14:paraId="6F457EA8" w14:textId="77777777" w:rsidR="00C40CCB" w:rsidRPr="00237760" w:rsidRDefault="00C40CCB"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W ewaluacji zastosowano następujące kryteria:</w:t>
      </w:r>
    </w:p>
    <w:p w14:paraId="5818DABB" w14:textId="77777777" w:rsidR="00C40CCB" w:rsidRPr="00237760" w:rsidRDefault="00C40CCB" w:rsidP="009367B4">
      <w:pPr>
        <w:pStyle w:val="Akapitzlist"/>
        <w:numPr>
          <w:ilvl w:val="0"/>
          <w:numId w:val="43"/>
        </w:numPr>
        <w:ind w:left="426"/>
        <w:contextualSpacing/>
        <w:jc w:val="left"/>
        <w:rPr>
          <w:rFonts w:ascii="Arial" w:hAnsi="Arial" w:cs="Arial"/>
          <w:color w:val="auto"/>
          <w:sz w:val="24"/>
          <w:szCs w:val="24"/>
        </w:rPr>
      </w:pPr>
      <w:r w:rsidRPr="00237760">
        <w:rPr>
          <w:rFonts w:ascii="Arial" w:hAnsi="Arial" w:cs="Arial"/>
          <w:b/>
          <w:bCs/>
          <w:color w:val="auto"/>
          <w:sz w:val="24"/>
          <w:szCs w:val="24"/>
        </w:rPr>
        <w:t>kryterium trafności</w:t>
      </w:r>
      <w:r w:rsidRPr="00237760">
        <w:rPr>
          <w:rFonts w:ascii="Arial" w:hAnsi="Arial" w:cs="Arial"/>
          <w:color w:val="auto"/>
          <w:sz w:val="24"/>
          <w:szCs w:val="24"/>
        </w:rPr>
        <w:t xml:space="preserve"> – w ramach tego kryterium analizowana będzie </w:t>
      </w:r>
      <w:r w:rsidRPr="00237760">
        <w:rPr>
          <w:rFonts w:ascii="Arial" w:hAnsi="Arial" w:cs="Arial"/>
          <w:b/>
          <w:bCs/>
          <w:color w:val="auto"/>
          <w:sz w:val="24"/>
          <w:szCs w:val="24"/>
        </w:rPr>
        <w:t>zasadność</w:t>
      </w:r>
      <w:r w:rsidRPr="00237760">
        <w:rPr>
          <w:rFonts w:ascii="Arial" w:hAnsi="Arial" w:cs="Arial"/>
          <w:color w:val="auto"/>
          <w:sz w:val="24"/>
          <w:szCs w:val="24"/>
        </w:rPr>
        <w:t xml:space="preserve"> sformułowanych celów i kierunków działań oraz Rozdziału IV Programu (obejmującego założenia ogólne, strukturę podmiotową realizacji Programu; ramy finansowe oraz system monitoringu i ewaluacji). Temu kryterium poddana zostanie również analiza ryzyka zamieszczona w projekcie Programu;</w:t>
      </w:r>
    </w:p>
    <w:p w14:paraId="4C8C2C4C" w14:textId="7E9C966D" w:rsidR="00C40CCB" w:rsidRPr="00237760" w:rsidRDefault="00C40CCB" w:rsidP="009367B4">
      <w:pPr>
        <w:pStyle w:val="Akapitzlist"/>
        <w:numPr>
          <w:ilvl w:val="0"/>
          <w:numId w:val="43"/>
        </w:numPr>
        <w:ind w:left="426"/>
        <w:contextualSpacing/>
        <w:jc w:val="left"/>
        <w:rPr>
          <w:rFonts w:ascii="Arial" w:hAnsi="Arial" w:cs="Arial"/>
          <w:color w:val="auto"/>
          <w:sz w:val="24"/>
          <w:szCs w:val="24"/>
        </w:rPr>
      </w:pPr>
      <w:r w:rsidRPr="00237760">
        <w:rPr>
          <w:rFonts w:ascii="Arial" w:hAnsi="Arial" w:cs="Arial"/>
          <w:b/>
          <w:bCs/>
          <w:color w:val="auto"/>
          <w:sz w:val="24"/>
          <w:szCs w:val="24"/>
        </w:rPr>
        <w:t>kryterium spójności</w:t>
      </w:r>
      <w:r w:rsidRPr="00237760">
        <w:rPr>
          <w:rFonts w:ascii="Arial" w:hAnsi="Arial" w:cs="Arial"/>
          <w:color w:val="auto"/>
          <w:sz w:val="24"/>
          <w:szCs w:val="24"/>
        </w:rPr>
        <w:t xml:space="preserve"> – to kryterium posłuży ocenie relacji między Projektem Programu </w:t>
      </w:r>
      <w:r w:rsidR="00A45330" w:rsidRPr="00237760">
        <w:rPr>
          <w:rFonts w:ascii="Arial" w:hAnsi="Arial" w:cs="Arial"/>
          <w:color w:val="auto"/>
          <w:sz w:val="24"/>
          <w:szCs w:val="24"/>
        </w:rPr>
        <w:br/>
      </w:r>
      <w:r w:rsidRPr="00237760">
        <w:rPr>
          <w:rFonts w:ascii="Arial" w:hAnsi="Arial" w:cs="Arial"/>
          <w:color w:val="auto"/>
          <w:sz w:val="24"/>
          <w:szCs w:val="24"/>
        </w:rPr>
        <w:t xml:space="preserve">a kluczowymi dokumentami unijnymi, krajowymi i regionalnymi (w tym lokalnymi) ze szczególnym uwzględnieniem </w:t>
      </w:r>
      <w:r w:rsidRPr="00237760">
        <w:rPr>
          <w:rFonts w:ascii="Arial" w:hAnsi="Arial" w:cs="Arial"/>
          <w:i/>
          <w:color w:val="auto"/>
          <w:sz w:val="24"/>
          <w:szCs w:val="24"/>
        </w:rPr>
        <w:t>Strategii Rozwoju Województwa – Podkarpackie 2030</w:t>
      </w:r>
      <w:r w:rsidRPr="00237760">
        <w:rPr>
          <w:rFonts w:ascii="Arial" w:hAnsi="Arial" w:cs="Arial"/>
          <w:color w:val="auto"/>
          <w:sz w:val="24"/>
          <w:szCs w:val="24"/>
        </w:rPr>
        <w:t>. W ramach tego kryterium będzie oceniona również spójność wewnętrzna ewaluowanego dokumentu;</w:t>
      </w:r>
    </w:p>
    <w:p w14:paraId="388C3CD2" w14:textId="77777777" w:rsidR="00C40CCB" w:rsidRPr="00237760" w:rsidRDefault="00C40CCB" w:rsidP="009367B4">
      <w:pPr>
        <w:pStyle w:val="Akapitzlist"/>
        <w:numPr>
          <w:ilvl w:val="0"/>
          <w:numId w:val="43"/>
        </w:numPr>
        <w:ind w:left="426"/>
        <w:contextualSpacing/>
        <w:jc w:val="left"/>
        <w:rPr>
          <w:rFonts w:ascii="Arial" w:hAnsi="Arial" w:cs="Arial"/>
          <w:color w:val="auto"/>
          <w:sz w:val="24"/>
          <w:szCs w:val="24"/>
        </w:rPr>
      </w:pPr>
      <w:r w:rsidRPr="00237760">
        <w:rPr>
          <w:rFonts w:ascii="Arial" w:hAnsi="Arial" w:cs="Arial"/>
          <w:b/>
          <w:bCs/>
          <w:color w:val="auto"/>
          <w:sz w:val="24"/>
          <w:szCs w:val="24"/>
        </w:rPr>
        <w:t>kryterium skuteczności</w:t>
      </w:r>
      <w:r w:rsidRPr="00237760">
        <w:rPr>
          <w:rStyle w:val="Odwoanieprzypisudolnego"/>
          <w:rFonts w:ascii="Arial" w:hAnsi="Arial" w:cs="Arial"/>
          <w:color w:val="auto"/>
          <w:sz w:val="24"/>
          <w:szCs w:val="24"/>
        </w:rPr>
        <w:footnoteReference w:id="2"/>
      </w:r>
      <w:r w:rsidRPr="00237760">
        <w:rPr>
          <w:rFonts w:ascii="Arial" w:hAnsi="Arial" w:cs="Arial"/>
          <w:color w:val="auto"/>
          <w:sz w:val="24"/>
          <w:szCs w:val="24"/>
        </w:rPr>
        <w:t xml:space="preserve"> – w przypadku tego kryterium kluczowa będzie ocena logiki interwencji w kontekście zakładanych celów Programu oraz przełożenia realizacji Programu na osiąganie celów rozwoju społeczno-gospodarczego określonych w </w:t>
      </w:r>
      <w:r w:rsidRPr="00237760">
        <w:rPr>
          <w:rFonts w:ascii="Arial" w:hAnsi="Arial" w:cs="Arial"/>
          <w:i/>
          <w:color w:val="auto"/>
          <w:sz w:val="24"/>
          <w:szCs w:val="24"/>
        </w:rPr>
        <w:t>Strategii Rozwoju Województwa – Podkarpackie 2030</w:t>
      </w:r>
      <w:r w:rsidRPr="00237760">
        <w:rPr>
          <w:rFonts w:ascii="Arial" w:hAnsi="Arial" w:cs="Arial"/>
          <w:color w:val="auto"/>
          <w:sz w:val="24"/>
          <w:szCs w:val="24"/>
        </w:rPr>
        <w:t>. Kryterium skuteczności pozwoli również ocenić system wdrażania (założenia dot. finansowania, monitoringu i ewaluacji);</w:t>
      </w:r>
    </w:p>
    <w:p w14:paraId="77061CA0" w14:textId="77777777" w:rsidR="00C40CCB" w:rsidRPr="00237760" w:rsidRDefault="00C40CCB" w:rsidP="009367B4">
      <w:pPr>
        <w:pStyle w:val="Akapitzlist"/>
        <w:numPr>
          <w:ilvl w:val="0"/>
          <w:numId w:val="43"/>
        </w:numPr>
        <w:ind w:left="426"/>
        <w:contextualSpacing/>
        <w:jc w:val="left"/>
        <w:rPr>
          <w:rFonts w:ascii="Arial" w:hAnsi="Arial" w:cs="Arial"/>
          <w:color w:val="auto"/>
          <w:sz w:val="24"/>
          <w:szCs w:val="24"/>
        </w:rPr>
      </w:pPr>
      <w:r w:rsidRPr="00237760">
        <w:rPr>
          <w:rFonts w:ascii="Arial" w:hAnsi="Arial" w:cs="Arial"/>
          <w:b/>
          <w:bCs/>
          <w:color w:val="auto"/>
          <w:sz w:val="24"/>
          <w:szCs w:val="24"/>
        </w:rPr>
        <w:t>kryterium</w:t>
      </w:r>
      <w:r w:rsidRPr="00237760">
        <w:rPr>
          <w:rFonts w:ascii="Arial" w:hAnsi="Arial" w:cs="Arial"/>
          <w:color w:val="auto"/>
          <w:sz w:val="24"/>
          <w:szCs w:val="24"/>
        </w:rPr>
        <w:t xml:space="preserve"> </w:t>
      </w:r>
      <w:r w:rsidRPr="00237760">
        <w:rPr>
          <w:rFonts w:ascii="Arial" w:hAnsi="Arial" w:cs="Arial"/>
          <w:b/>
          <w:bCs/>
          <w:color w:val="auto"/>
          <w:sz w:val="24"/>
          <w:szCs w:val="24"/>
        </w:rPr>
        <w:t>efektywności</w:t>
      </w:r>
      <w:r w:rsidRPr="00237760">
        <w:rPr>
          <w:rFonts w:ascii="Arial" w:hAnsi="Arial" w:cs="Arial"/>
          <w:color w:val="auto"/>
          <w:sz w:val="24"/>
          <w:szCs w:val="24"/>
        </w:rPr>
        <w:t xml:space="preserve"> – zgodnie z zapisami SOPZ to kryterium będzie stosowane do oceny zapisów dotyczących monitoringu i ewaluacji. </w:t>
      </w:r>
    </w:p>
    <w:p w14:paraId="40852C3F" w14:textId="77777777" w:rsidR="00C40CCB" w:rsidRPr="00237760" w:rsidRDefault="00C40CCB"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Ewaluacja była prowadzona równolegle do procesu konsultacji społecznych Programu. Ewaluator na etapie przygotowywania Raportu z konsultacji społecznych podzielił się z Zamawiającym wstępnymi wnioskami oraz przekazał wstępne uwagi zarówno do projektu Programu, jak i zastosowanych rozstrzygnięć dotyczących uwag z konsultacji społecznych. Zatem końcowa ewaluacja odnosi się do dokumentu, który zawiera uzupełnienia i poprawki zastosowane, także w wyniku wstępnych uwag ewaluatora. Usprawiedliwia to relatywnie małą liczbę szczegółowych wniosków i rekomendacji.</w:t>
      </w:r>
    </w:p>
    <w:p w14:paraId="4FFF4C1F" w14:textId="1E5A1E9D" w:rsidR="00C40CCB" w:rsidRPr="00237760" w:rsidRDefault="00C40CCB"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 xml:space="preserve">Zastosowanie kilku metod badawczych (desk research, wywiady pogłębione oraz panel ekspertów) pozwoliło sformułować wnioski i rekomendacje, bazując na udzielonych odpowiedziach na stawiane przed ewaluatorem pytania. Na wszystkie z </w:t>
      </w:r>
      <w:r w:rsidRPr="00237760">
        <w:rPr>
          <w:rFonts w:ascii="Arial" w:hAnsi="Arial" w:cs="Arial"/>
          <w:color w:val="auto"/>
          <w:sz w:val="24"/>
          <w:szCs w:val="24"/>
          <w:lang w:eastAsia="pl-PL"/>
        </w:rPr>
        <w:lastRenderedPageBreak/>
        <w:t>trzynastu pytań ewaluacyjnych udzielono odpowiedzi pozytywnej (</w:t>
      </w:r>
      <w:r w:rsidRPr="00237760">
        <w:rPr>
          <w:rFonts w:ascii="Arial" w:hAnsi="Arial" w:cs="Arial"/>
          <w:color w:val="auto"/>
          <w:sz w:val="24"/>
          <w:szCs w:val="24"/>
          <w:lang w:eastAsia="pl-PL"/>
        </w:rPr>
        <w:fldChar w:fldCharType="begin"/>
      </w:r>
      <w:r w:rsidRPr="00237760">
        <w:rPr>
          <w:rFonts w:ascii="Arial" w:hAnsi="Arial" w:cs="Arial"/>
          <w:color w:val="auto"/>
          <w:sz w:val="24"/>
          <w:szCs w:val="24"/>
          <w:lang w:eastAsia="pl-PL"/>
        </w:rPr>
        <w:instrText xml:space="preserve"> REF _Ref89626500 \h  \* MERGEFORMAT </w:instrText>
      </w:r>
      <w:r w:rsidRPr="00237760">
        <w:rPr>
          <w:rFonts w:ascii="Arial" w:hAnsi="Arial" w:cs="Arial"/>
          <w:color w:val="auto"/>
          <w:sz w:val="24"/>
          <w:szCs w:val="24"/>
          <w:lang w:eastAsia="pl-PL"/>
        </w:rPr>
      </w:r>
      <w:r w:rsidRPr="00237760">
        <w:rPr>
          <w:rFonts w:ascii="Arial" w:hAnsi="Arial" w:cs="Arial"/>
          <w:color w:val="auto"/>
          <w:sz w:val="24"/>
          <w:szCs w:val="24"/>
          <w:lang w:eastAsia="pl-PL"/>
        </w:rPr>
        <w:fldChar w:fldCharType="separate"/>
      </w:r>
      <w:r w:rsidR="00E52C19" w:rsidRPr="00237760">
        <w:rPr>
          <w:rFonts w:ascii="Arial" w:hAnsi="Arial" w:cs="Arial"/>
          <w:color w:val="auto"/>
          <w:sz w:val="24"/>
          <w:szCs w:val="24"/>
        </w:rPr>
        <w:t xml:space="preserve">Tabela </w:t>
      </w:r>
      <w:r w:rsidR="00E52C19" w:rsidRPr="00237760">
        <w:rPr>
          <w:rFonts w:ascii="Arial" w:hAnsi="Arial" w:cs="Arial"/>
          <w:noProof/>
          <w:color w:val="auto"/>
          <w:sz w:val="24"/>
          <w:szCs w:val="24"/>
        </w:rPr>
        <w:t>1</w:t>
      </w:r>
      <w:r w:rsidRPr="00237760">
        <w:rPr>
          <w:rFonts w:ascii="Arial" w:hAnsi="Arial" w:cs="Arial"/>
          <w:color w:val="auto"/>
          <w:sz w:val="24"/>
          <w:szCs w:val="24"/>
          <w:lang w:eastAsia="pl-PL"/>
        </w:rPr>
        <w:fldChar w:fldCharType="end"/>
      </w:r>
      <w:r w:rsidRPr="00237760">
        <w:rPr>
          <w:rFonts w:ascii="Arial" w:hAnsi="Arial" w:cs="Arial"/>
          <w:color w:val="auto"/>
          <w:sz w:val="24"/>
          <w:szCs w:val="24"/>
          <w:lang w:eastAsia="pl-PL"/>
        </w:rPr>
        <w:t>). Świadczy to o wysokiej jakości przygotowanego dokumentu.</w:t>
      </w:r>
    </w:p>
    <w:p w14:paraId="101815EF" w14:textId="77777777" w:rsidR="00C40CCB" w:rsidRPr="00237760" w:rsidRDefault="00C40CCB"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 xml:space="preserve">Jako kluczowe cechy </w:t>
      </w:r>
      <w:r w:rsidRPr="00237760">
        <w:rPr>
          <w:rFonts w:ascii="Arial" w:hAnsi="Arial" w:cs="Arial"/>
          <w:i/>
          <w:color w:val="auto"/>
          <w:sz w:val="24"/>
          <w:szCs w:val="24"/>
          <w:lang w:eastAsia="pl-PL"/>
        </w:rPr>
        <w:t>Programu Strategicznego Rozwoju Transportu Województwa Podkarpackiego do roku 2030</w:t>
      </w:r>
      <w:r w:rsidRPr="00237760">
        <w:rPr>
          <w:rFonts w:ascii="Arial" w:hAnsi="Arial" w:cs="Arial"/>
          <w:color w:val="auto"/>
          <w:sz w:val="24"/>
          <w:szCs w:val="24"/>
          <w:lang w:eastAsia="pl-PL"/>
        </w:rPr>
        <w:t xml:space="preserve"> można wskazać:</w:t>
      </w:r>
    </w:p>
    <w:p w14:paraId="070E2F0B" w14:textId="1EE06B5D" w:rsidR="00C40CCB" w:rsidRPr="00237760" w:rsidRDefault="00C40CCB" w:rsidP="009367B4">
      <w:pPr>
        <w:pStyle w:val="Akapitzlist"/>
        <w:numPr>
          <w:ilvl w:val="0"/>
          <w:numId w:val="55"/>
        </w:numPr>
        <w:jc w:val="left"/>
        <w:rPr>
          <w:rFonts w:ascii="Arial" w:hAnsi="Arial" w:cs="Arial"/>
          <w:color w:val="auto"/>
          <w:sz w:val="24"/>
          <w:szCs w:val="24"/>
        </w:rPr>
      </w:pPr>
      <w:r w:rsidRPr="00237760">
        <w:rPr>
          <w:rFonts w:ascii="Arial" w:hAnsi="Arial" w:cs="Arial"/>
          <w:b/>
          <w:bCs/>
          <w:color w:val="auto"/>
          <w:sz w:val="24"/>
          <w:szCs w:val="24"/>
        </w:rPr>
        <w:t xml:space="preserve">Spójność z politykami i dokumentami przygotowywanymi na poziomie Unii Europejskiej </w:t>
      </w:r>
      <w:r w:rsidR="00A45330" w:rsidRPr="00237760">
        <w:rPr>
          <w:rFonts w:ascii="Arial" w:hAnsi="Arial" w:cs="Arial"/>
          <w:b/>
          <w:bCs/>
          <w:color w:val="auto"/>
          <w:sz w:val="24"/>
          <w:szCs w:val="24"/>
        </w:rPr>
        <w:br/>
      </w:r>
      <w:r w:rsidRPr="00237760">
        <w:rPr>
          <w:rFonts w:ascii="Arial" w:hAnsi="Arial" w:cs="Arial"/>
          <w:b/>
          <w:bCs/>
          <w:color w:val="auto"/>
          <w:sz w:val="24"/>
          <w:szCs w:val="24"/>
        </w:rPr>
        <w:t>i w Polsce</w:t>
      </w:r>
      <w:r w:rsidRPr="00237760">
        <w:rPr>
          <w:rFonts w:ascii="Arial" w:hAnsi="Arial" w:cs="Arial"/>
          <w:color w:val="auto"/>
          <w:sz w:val="24"/>
          <w:szCs w:val="24"/>
        </w:rPr>
        <w:t xml:space="preserve"> – analiza wykazała, że Program spełnia wymogi stawiane tego typu dokumentom </w:t>
      </w:r>
      <w:r w:rsidR="00A45330" w:rsidRPr="00237760">
        <w:rPr>
          <w:rFonts w:ascii="Arial" w:hAnsi="Arial" w:cs="Arial"/>
          <w:color w:val="auto"/>
          <w:sz w:val="24"/>
          <w:szCs w:val="24"/>
        </w:rPr>
        <w:br/>
      </w:r>
      <w:r w:rsidRPr="00237760">
        <w:rPr>
          <w:rFonts w:ascii="Arial" w:hAnsi="Arial" w:cs="Arial"/>
          <w:color w:val="auto"/>
          <w:sz w:val="24"/>
          <w:szCs w:val="24"/>
        </w:rPr>
        <w:t>i powinien przyczynić się do pozyskiwania zasobów zewnętrznych na podniesienie jakości szeroko rozumianego transportu w województwie;</w:t>
      </w:r>
    </w:p>
    <w:p w14:paraId="7F654CC1" w14:textId="6C3E78CE" w:rsidR="009F6BD4" w:rsidRPr="009F6BD4" w:rsidRDefault="00C40CCB" w:rsidP="009F6BD4">
      <w:pPr>
        <w:pStyle w:val="Legenda"/>
        <w:spacing w:after="0"/>
        <w:jc w:val="left"/>
        <w:rPr>
          <w:rFonts w:ascii="Arial" w:hAnsi="Arial" w:cs="Arial"/>
          <w:color w:val="auto"/>
          <w:sz w:val="24"/>
          <w:szCs w:val="24"/>
        </w:rPr>
      </w:pPr>
      <w:bookmarkStart w:id="8" w:name="_Ref89626500"/>
      <w:bookmarkStart w:id="9" w:name="_Toc90222975"/>
      <w:bookmarkStart w:id="10" w:name="_Toc101904242"/>
      <w:r w:rsidRPr="00237760">
        <w:rPr>
          <w:rFonts w:ascii="Arial" w:hAnsi="Arial" w:cs="Arial"/>
          <w:color w:val="auto"/>
          <w:sz w:val="24"/>
          <w:szCs w:val="24"/>
        </w:rPr>
        <w:t xml:space="preserve">Tabela </w:t>
      </w:r>
      <w:r w:rsidRPr="00237760">
        <w:rPr>
          <w:rFonts w:ascii="Arial" w:hAnsi="Arial" w:cs="Arial"/>
          <w:noProof/>
          <w:color w:val="auto"/>
          <w:sz w:val="24"/>
          <w:szCs w:val="24"/>
        </w:rPr>
        <w:fldChar w:fldCharType="begin"/>
      </w:r>
      <w:r w:rsidRPr="00237760">
        <w:rPr>
          <w:rFonts w:ascii="Arial" w:hAnsi="Arial" w:cs="Arial"/>
          <w:noProof/>
          <w:color w:val="auto"/>
          <w:sz w:val="24"/>
          <w:szCs w:val="24"/>
        </w:rPr>
        <w:instrText xml:space="preserve"> SEQ Tabela \* ARABIC </w:instrText>
      </w:r>
      <w:r w:rsidRPr="00237760">
        <w:rPr>
          <w:rFonts w:ascii="Arial" w:hAnsi="Arial" w:cs="Arial"/>
          <w:noProof/>
          <w:color w:val="auto"/>
          <w:sz w:val="24"/>
          <w:szCs w:val="24"/>
        </w:rPr>
        <w:fldChar w:fldCharType="separate"/>
      </w:r>
      <w:r w:rsidR="00762B20" w:rsidRPr="00237760">
        <w:rPr>
          <w:rFonts w:ascii="Arial" w:hAnsi="Arial" w:cs="Arial"/>
          <w:noProof/>
          <w:color w:val="auto"/>
          <w:sz w:val="24"/>
          <w:szCs w:val="24"/>
        </w:rPr>
        <w:t>1</w:t>
      </w:r>
      <w:r w:rsidRPr="00237760">
        <w:rPr>
          <w:rFonts w:ascii="Arial" w:hAnsi="Arial" w:cs="Arial"/>
          <w:noProof/>
          <w:color w:val="auto"/>
          <w:sz w:val="24"/>
          <w:szCs w:val="24"/>
        </w:rPr>
        <w:fldChar w:fldCharType="end"/>
      </w:r>
      <w:bookmarkEnd w:id="8"/>
      <w:r w:rsidRPr="00237760">
        <w:rPr>
          <w:rFonts w:ascii="Arial" w:hAnsi="Arial" w:cs="Arial"/>
          <w:color w:val="auto"/>
          <w:sz w:val="24"/>
          <w:szCs w:val="24"/>
        </w:rPr>
        <w:t>. Pytania ewaluacyjne i syntetyczne odpowiedzi</w:t>
      </w:r>
      <w:bookmarkEnd w:id="9"/>
      <w:bookmarkEnd w:id="10"/>
    </w:p>
    <w:tbl>
      <w:tblPr>
        <w:tblStyle w:val="Tabela-Siatka"/>
        <w:tblpPr w:leftFromText="141" w:rightFromText="141" w:vertAnchor="text" w:tblpY="104"/>
        <w:tblW w:w="9137"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ook w:val="04A0" w:firstRow="1" w:lastRow="0" w:firstColumn="1" w:lastColumn="0" w:noHBand="0" w:noVBand="1"/>
        <w:tblCaption w:val="Tabela 1. Pytania ewaluacyjne i syntetyczne odpowiedzi"/>
        <w:tblDescription w:val="Tabela zawiera Pytania i Syntetyczne odpowiedzi*"/>
      </w:tblPr>
      <w:tblGrid>
        <w:gridCol w:w="7613"/>
        <w:gridCol w:w="1524"/>
      </w:tblGrid>
      <w:tr w:rsidR="00237760" w:rsidRPr="00237760" w14:paraId="79B01B87" w14:textId="77777777" w:rsidTr="009F6BD4">
        <w:trPr>
          <w:tblHeader/>
        </w:trPr>
        <w:tc>
          <w:tcPr>
            <w:tcW w:w="7881" w:type="dxa"/>
            <w:tcBorders>
              <w:top w:val="single" w:sz="12" w:space="0" w:color="002060"/>
              <w:bottom w:val="single" w:sz="4" w:space="0" w:color="BDD6EE" w:themeColor="accent1" w:themeTint="66"/>
            </w:tcBorders>
            <w:shd w:val="clear" w:color="auto" w:fill="auto"/>
            <w:vAlign w:val="center"/>
          </w:tcPr>
          <w:p w14:paraId="26AE751E" w14:textId="77777777" w:rsidR="00C40CCB" w:rsidRPr="00237760" w:rsidRDefault="00C40CCB" w:rsidP="009367B4">
            <w:pPr>
              <w:spacing w:after="0" w:line="240" w:lineRule="auto"/>
              <w:jc w:val="left"/>
              <w:rPr>
                <w:rFonts w:ascii="Arial" w:eastAsiaTheme="minorHAnsi" w:hAnsi="Arial" w:cs="Arial"/>
                <w:color w:val="auto"/>
                <w:sz w:val="24"/>
                <w:szCs w:val="24"/>
                <w:lang w:eastAsia="pl-PL"/>
              </w:rPr>
            </w:pPr>
            <w:r w:rsidRPr="00237760">
              <w:rPr>
                <w:rFonts w:ascii="Arial" w:eastAsiaTheme="minorHAnsi" w:hAnsi="Arial" w:cs="Arial"/>
                <w:color w:val="auto"/>
                <w:sz w:val="24"/>
                <w:szCs w:val="24"/>
                <w:lang w:eastAsia="pl-PL"/>
              </w:rPr>
              <w:t>Pytania</w:t>
            </w:r>
          </w:p>
        </w:tc>
        <w:tc>
          <w:tcPr>
            <w:tcW w:w="1256" w:type="dxa"/>
            <w:tcBorders>
              <w:top w:val="single" w:sz="12" w:space="0" w:color="002060"/>
              <w:bottom w:val="single" w:sz="4" w:space="0" w:color="BDD6EE" w:themeColor="accent1" w:themeTint="66"/>
            </w:tcBorders>
            <w:shd w:val="clear" w:color="auto" w:fill="auto"/>
            <w:vAlign w:val="center"/>
          </w:tcPr>
          <w:p w14:paraId="0DCFD878" w14:textId="77777777" w:rsidR="00C40CCB" w:rsidRPr="00237760" w:rsidRDefault="00C40CCB" w:rsidP="009367B4">
            <w:pPr>
              <w:spacing w:after="0" w:line="240" w:lineRule="auto"/>
              <w:jc w:val="left"/>
              <w:rPr>
                <w:rFonts w:ascii="Arial" w:eastAsiaTheme="minorHAnsi" w:hAnsi="Arial" w:cs="Arial"/>
                <w:color w:val="auto"/>
                <w:sz w:val="24"/>
                <w:szCs w:val="24"/>
                <w:lang w:eastAsia="pl-PL"/>
              </w:rPr>
            </w:pPr>
            <w:r w:rsidRPr="00237760">
              <w:rPr>
                <w:rFonts w:ascii="Arial" w:eastAsiaTheme="minorHAnsi" w:hAnsi="Arial" w:cs="Arial"/>
                <w:color w:val="auto"/>
                <w:sz w:val="24"/>
                <w:szCs w:val="24"/>
                <w:lang w:eastAsia="pl-PL"/>
              </w:rPr>
              <w:t>Syntetyczne odpowiedzi*</w:t>
            </w:r>
          </w:p>
        </w:tc>
      </w:tr>
      <w:tr w:rsidR="00237760" w:rsidRPr="00237760" w14:paraId="6511CFCC" w14:textId="77777777" w:rsidTr="009F6BD4">
        <w:tc>
          <w:tcPr>
            <w:tcW w:w="7881" w:type="dxa"/>
            <w:tcBorders>
              <w:top w:val="single" w:sz="4" w:space="0" w:color="BDD6EE" w:themeColor="accent1" w:themeTint="66"/>
            </w:tcBorders>
            <w:vAlign w:val="center"/>
          </w:tcPr>
          <w:p w14:paraId="741D0320" w14:textId="77777777" w:rsidR="00C40CCB" w:rsidRPr="00237760" w:rsidRDefault="00C40CCB" w:rsidP="009367B4">
            <w:pPr>
              <w:spacing w:after="0"/>
              <w:jc w:val="left"/>
              <w:rPr>
                <w:rFonts w:ascii="Arial" w:eastAsiaTheme="minorHAnsi" w:hAnsi="Arial" w:cs="Arial"/>
                <w:color w:val="auto"/>
                <w:sz w:val="24"/>
                <w:szCs w:val="24"/>
                <w:lang w:eastAsia="pl-PL"/>
              </w:rPr>
            </w:pPr>
            <w:r w:rsidRPr="00237760">
              <w:rPr>
                <w:rFonts w:ascii="Arial" w:hAnsi="Arial" w:cs="Arial"/>
                <w:b/>
                <w:color w:val="auto"/>
                <w:sz w:val="24"/>
                <w:szCs w:val="24"/>
              </w:rPr>
              <w:t>Ocena trafności założeń projektu PSRT WP</w:t>
            </w:r>
          </w:p>
        </w:tc>
        <w:tc>
          <w:tcPr>
            <w:tcW w:w="1256" w:type="dxa"/>
            <w:tcBorders>
              <w:top w:val="single" w:sz="4" w:space="0" w:color="BDD6EE" w:themeColor="accent1" w:themeTint="66"/>
            </w:tcBorders>
            <w:vAlign w:val="center"/>
          </w:tcPr>
          <w:p w14:paraId="180DD0D9" w14:textId="77777777" w:rsidR="00C40CCB" w:rsidRPr="00237760" w:rsidRDefault="00C40CCB" w:rsidP="009367B4">
            <w:pPr>
              <w:spacing w:after="0"/>
              <w:jc w:val="left"/>
              <w:rPr>
                <w:rFonts w:ascii="Arial" w:eastAsiaTheme="minorHAnsi" w:hAnsi="Arial" w:cs="Arial"/>
                <w:snapToGrid w:val="0"/>
                <w:color w:val="auto"/>
                <w:sz w:val="24"/>
                <w:szCs w:val="24"/>
              </w:rPr>
            </w:pPr>
          </w:p>
        </w:tc>
      </w:tr>
      <w:tr w:rsidR="00237760" w:rsidRPr="00237760" w14:paraId="4AF0317F" w14:textId="77777777" w:rsidTr="003173A4">
        <w:tc>
          <w:tcPr>
            <w:tcW w:w="7881" w:type="dxa"/>
            <w:vAlign w:val="center"/>
          </w:tcPr>
          <w:p w14:paraId="775DC36F" w14:textId="77777777" w:rsidR="00C40CCB" w:rsidRPr="00237760" w:rsidRDefault="00C40CCB" w:rsidP="009367B4">
            <w:pPr>
              <w:spacing w:after="0"/>
              <w:jc w:val="left"/>
              <w:rPr>
                <w:rFonts w:ascii="Arial" w:eastAsiaTheme="minorHAnsi" w:hAnsi="Arial" w:cs="Arial"/>
                <w:color w:val="auto"/>
                <w:sz w:val="24"/>
                <w:szCs w:val="24"/>
                <w:lang w:eastAsia="pl-PL"/>
              </w:rPr>
            </w:pPr>
            <w:r w:rsidRPr="00237760">
              <w:rPr>
                <w:rFonts w:ascii="Arial" w:hAnsi="Arial" w:cs="Arial"/>
                <w:snapToGrid w:val="0"/>
                <w:color w:val="auto"/>
                <w:sz w:val="24"/>
                <w:szCs w:val="24"/>
              </w:rPr>
              <w:t>Czy projekt Programu trafnie odpowiada na wyzwania i potrzeby społeczno-ekonomiczne obszaru nim objętego?</w:t>
            </w:r>
          </w:p>
        </w:tc>
        <w:tc>
          <w:tcPr>
            <w:tcW w:w="1256" w:type="dxa"/>
            <w:vAlign w:val="center"/>
          </w:tcPr>
          <w:p w14:paraId="631F82F7" w14:textId="77777777" w:rsidR="00C40CCB" w:rsidRPr="00237760" w:rsidRDefault="00C40CCB" w:rsidP="009367B4">
            <w:pPr>
              <w:spacing w:after="0"/>
              <w:jc w:val="left"/>
              <w:rPr>
                <w:rFonts w:ascii="Arial" w:eastAsiaTheme="minorHAnsi" w:hAnsi="Arial" w:cs="Arial"/>
                <w:snapToGrid w:val="0"/>
                <w:color w:val="auto"/>
                <w:sz w:val="24"/>
                <w:szCs w:val="24"/>
              </w:rPr>
            </w:pPr>
            <w:r w:rsidRPr="00237760">
              <w:rPr>
                <w:rFonts w:ascii="Arial" w:eastAsiaTheme="minorHAnsi" w:hAnsi="Arial" w:cs="Arial"/>
                <w:snapToGrid w:val="0"/>
                <w:color w:val="auto"/>
                <w:sz w:val="24"/>
                <w:szCs w:val="24"/>
              </w:rPr>
              <w:t>Tak</w:t>
            </w:r>
          </w:p>
        </w:tc>
      </w:tr>
      <w:tr w:rsidR="00237760" w:rsidRPr="00237760" w14:paraId="19C227B0" w14:textId="77777777" w:rsidTr="003173A4">
        <w:tc>
          <w:tcPr>
            <w:tcW w:w="7881" w:type="dxa"/>
            <w:vAlign w:val="center"/>
          </w:tcPr>
          <w:p w14:paraId="7BA7A0F6" w14:textId="77777777" w:rsidR="00C40CCB" w:rsidRPr="00237760" w:rsidRDefault="00C40CCB" w:rsidP="009367B4">
            <w:pPr>
              <w:spacing w:after="0"/>
              <w:jc w:val="left"/>
              <w:rPr>
                <w:rFonts w:ascii="Arial" w:eastAsiaTheme="minorHAnsi" w:hAnsi="Arial" w:cs="Arial"/>
                <w:color w:val="auto"/>
                <w:sz w:val="24"/>
                <w:szCs w:val="24"/>
                <w:lang w:eastAsia="pl-PL"/>
              </w:rPr>
            </w:pPr>
            <w:r w:rsidRPr="00237760">
              <w:rPr>
                <w:rFonts w:ascii="Arial" w:eastAsiaTheme="minorHAnsi" w:hAnsi="Arial" w:cs="Arial"/>
                <w:color w:val="auto"/>
                <w:sz w:val="24"/>
                <w:szCs w:val="24"/>
                <w:lang w:eastAsia="pl-PL"/>
              </w:rPr>
              <w:t>Czy projekt Programu trafnie odpowiada na rozwijające się i prawdopodobne do zaistnienia w przyszłości trendy, które mogą mieć istotny wpływ na zmiany w sektorze transportu?</w:t>
            </w:r>
          </w:p>
        </w:tc>
        <w:tc>
          <w:tcPr>
            <w:tcW w:w="1256" w:type="dxa"/>
            <w:vAlign w:val="center"/>
          </w:tcPr>
          <w:p w14:paraId="68D6F6AD" w14:textId="77777777" w:rsidR="00C40CCB" w:rsidRPr="00237760" w:rsidRDefault="00C40CCB" w:rsidP="009367B4">
            <w:pPr>
              <w:spacing w:after="0"/>
              <w:jc w:val="left"/>
              <w:rPr>
                <w:rFonts w:ascii="Arial" w:eastAsiaTheme="minorHAnsi" w:hAnsi="Arial" w:cs="Arial"/>
                <w:color w:val="auto"/>
                <w:sz w:val="24"/>
                <w:szCs w:val="24"/>
                <w:lang w:eastAsia="pl-PL"/>
              </w:rPr>
            </w:pPr>
            <w:r w:rsidRPr="00237760">
              <w:rPr>
                <w:rFonts w:ascii="Arial" w:eastAsiaTheme="minorHAnsi" w:hAnsi="Arial" w:cs="Arial"/>
                <w:color w:val="auto"/>
                <w:sz w:val="24"/>
                <w:szCs w:val="24"/>
                <w:lang w:eastAsia="pl-PL"/>
              </w:rPr>
              <w:t>Tak</w:t>
            </w:r>
          </w:p>
        </w:tc>
      </w:tr>
      <w:tr w:rsidR="00237760" w:rsidRPr="00237760" w14:paraId="049DFB27" w14:textId="77777777" w:rsidTr="003173A4">
        <w:tc>
          <w:tcPr>
            <w:tcW w:w="7881" w:type="dxa"/>
            <w:vAlign w:val="center"/>
          </w:tcPr>
          <w:p w14:paraId="48794070" w14:textId="77777777" w:rsidR="00C40CCB" w:rsidRPr="00237760" w:rsidRDefault="00C40CCB" w:rsidP="009367B4">
            <w:pPr>
              <w:spacing w:after="0"/>
              <w:jc w:val="left"/>
              <w:rPr>
                <w:rFonts w:ascii="Arial" w:eastAsiaTheme="minorHAnsi" w:hAnsi="Arial" w:cs="Arial"/>
                <w:color w:val="auto"/>
                <w:sz w:val="24"/>
                <w:szCs w:val="24"/>
                <w:lang w:eastAsia="pl-PL"/>
              </w:rPr>
            </w:pPr>
            <w:r w:rsidRPr="00237760">
              <w:rPr>
                <w:rFonts w:ascii="Arial" w:hAnsi="Arial" w:cs="Arial"/>
                <w:snapToGrid w:val="0"/>
                <w:color w:val="auto"/>
                <w:sz w:val="24"/>
                <w:szCs w:val="24"/>
              </w:rPr>
              <w:t>Czy wskazane w projekcie Programu przedsięwzięcia priorytetowe dla rozwoju systemu transportowego w województwie stanowią podstawowe warunki dalszego rozwoju tego obszaru?</w:t>
            </w:r>
          </w:p>
        </w:tc>
        <w:tc>
          <w:tcPr>
            <w:tcW w:w="1256" w:type="dxa"/>
            <w:vAlign w:val="center"/>
          </w:tcPr>
          <w:p w14:paraId="6EA9D6AF" w14:textId="77777777" w:rsidR="00C40CCB" w:rsidRPr="00237760" w:rsidRDefault="00C40CCB" w:rsidP="009367B4">
            <w:pPr>
              <w:spacing w:after="0"/>
              <w:jc w:val="left"/>
              <w:rPr>
                <w:rFonts w:ascii="Arial" w:eastAsiaTheme="minorHAnsi" w:hAnsi="Arial" w:cs="Arial"/>
                <w:color w:val="auto"/>
                <w:sz w:val="24"/>
                <w:szCs w:val="24"/>
                <w:lang w:eastAsia="pl-PL"/>
              </w:rPr>
            </w:pPr>
            <w:r w:rsidRPr="00237760">
              <w:rPr>
                <w:rFonts w:ascii="Arial" w:eastAsiaTheme="minorHAnsi" w:hAnsi="Arial" w:cs="Arial"/>
                <w:color w:val="auto"/>
                <w:sz w:val="24"/>
                <w:szCs w:val="24"/>
                <w:lang w:eastAsia="pl-PL"/>
              </w:rPr>
              <w:t>Tak</w:t>
            </w:r>
          </w:p>
        </w:tc>
      </w:tr>
      <w:tr w:rsidR="00237760" w:rsidRPr="00237760" w14:paraId="7845A39C" w14:textId="77777777" w:rsidTr="003173A4">
        <w:tc>
          <w:tcPr>
            <w:tcW w:w="7881" w:type="dxa"/>
            <w:vAlign w:val="center"/>
          </w:tcPr>
          <w:p w14:paraId="3BB8B925" w14:textId="77777777" w:rsidR="00C40CCB" w:rsidRPr="00237760" w:rsidRDefault="00C40CCB" w:rsidP="009367B4">
            <w:pPr>
              <w:spacing w:after="0"/>
              <w:jc w:val="left"/>
              <w:rPr>
                <w:rFonts w:ascii="Arial" w:eastAsiaTheme="minorHAnsi" w:hAnsi="Arial" w:cs="Arial"/>
                <w:color w:val="auto"/>
                <w:sz w:val="24"/>
                <w:szCs w:val="24"/>
                <w:lang w:eastAsia="pl-PL"/>
              </w:rPr>
            </w:pPr>
            <w:r w:rsidRPr="00237760">
              <w:rPr>
                <w:rFonts w:ascii="Arial" w:hAnsi="Arial" w:cs="Arial"/>
                <w:snapToGrid w:val="0"/>
                <w:color w:val="auto"/>
                <w:sz w:val="24"/>
                <w:szCs w:val="24"/>
              </w:rPr>
              <w:t>Czy wskazane ewentualne czynniki ryzyka, mogące wystąpić podczas realizacji Programu są trafnie sprecyzowane?</w:t>
            </w:r>
          </w:p>
        </w:tc>
        <w:tc>
          <w:tcPr>
            <w:tcW w:w="1256" w:type="dxa"/>
            <w:vAlign w:val="center"/>
          </w:tcPr>
          <w:p w14:paraId="38A3A033" w14:textId="77777777" w:rsidR="00C40CCB" w:rsidRPr="00237760" w:rsidRDefault="00C40CCB" w:rsidP="009367B4">
            <w:pPr>
              <w:spacing w:after="0"/>
              <w:jc w:val="left"/>
              <w:rPr>
                <w:rFonts w:ascii="Arial" w:eastAsiaTheme="minorHAnsi" w:hAnsi="Arial" w:cs="Arial"/>
                <w:color w:val="auto"/>
                <w:sz w:val="24"/>
                <w:szCs w:val="24"/>
                <w:lang w:eastAsia="pl-PL"/>
              </w:rPr>
            </w:pPr>
            <w:r w:rsidRPr="00237760">
              <w:rPr>
                <w:rFonts w:ascii="Arial" w:eastAsiaTheme="minorHAnsi" w:hAnsi="Arial" w:cs="Arial"/>
                <w:color w:val="auto"/>
                <w:sz w:val="24"/>
                <w:szCs w:val="24"/>
                <w:lang w:eastAsia="pl-PL"/>
              </w:rPr>
              <w:t>Tak*</w:t>
            </w:r>
          </w:p>
        </w:tc>
      </w:tr>
      <w:tr w:rsidR="00237760" w:rsidRPr="00237760" w14:paraId="699AB1A1" w14:textId="77777777" w:rsidTr="003173A4">
        <w:tc>
          <w:tcPr>
            <w:tcW w:w="7881" w:type="dxa"/>
            <w:vAlign w:val="center"/>
          </w:tcPr>
          <w:p w14:paraId="22A284C5" w14:textId="77777777" w:rsidR="00C40CCB" w:rsidRPr="00237760" w:rsidRDefault="00C40CCB" w:rsidP="009367B4">
            <w:pPr>
              <w:spacing w:after="0"/>
              <w:jc w:val="left"/>
              <w:rPr>
                <w:rFonts w:ascii="Arial" w:eastAsiaTheme="minorHAnsi" w:hAnsi="Arial" w:cs="Arial"/>
                <w:color w:val="auto"/>
                <w:sz w:val="24"/>
                <w:szCs w:val="24"/>
                <w:lang w:eastAsia="pl-PL"/>
              </w:rPr>
            </w:pPr>
            <w:r w:rsidRPr="00237760">
              <w:rPr>
                <w:rFonts w:ascii="Arial" w:hAnsi="Arial" w:cs="Arial"/>
                <w:snapToGrid w:val="0"/>
                <w:color w:val="auto"/>
                <w:sz w:val="24"/>
                <w:szCs w:val="24"/>
              </w:rPr>
              <w:t>Czy wskazane w Programie elementy systemu wdrażania i realizacji dokumentu zostały dobrane i sformułowane trafnie?</w:t>
            </w:r>
          </w:p>
        </w:tc>
        <w:tc>
          <w:tcPr>
            <w:tcW w:w="1256" w:type="dxa"/>
            <w:vAlign w:val="center"/>
          </w:tcPr>
          <w:p w14:paraId="4FCC3F06" w14:textId="77777777" w:rsidR="00C40CCB" w:rsidRPr="00237760" w:rsidRDefault="00C40CCB" w:rsidP="009367B4">
            <w:pPr>
              <w:spacing w:after="0"/>
              <w:jc w:val="left"/>
              <w:rPr>
                <w:rFonts w:ascii="Arial" w:eastAsiaTheme="minorHAnsi" w:hAnsi="Arial" w:cs="Arial"/>
                <w:color w:val="auto"/>
                <w:sz w:val="24"/>
                <w:szCs w:val="24"/>
                <w:lang w:eastAsia="pl-PL"/>
              </w:rPr>
            </w:pPr>
            <w:r w:rsidRPr="00237760">
              <w:rPr>
                <w:rFonts w:ascii="Arial" w:eastAsiaTheme="minorHAnsi" w:hAnsi="Arial" w:cs="Arial"/>
                <w:color w:val="auto"/>
                <w:sz w:val="24"/>
                <w:szCs w:val="24"/>
                <w:lang w:eastAsia="pl-PL"/>
              </w:rPr>
              <w:t>Tak</w:t>
            </w:r>
          </w:p>
        </w:tc>
      </w:tr>
      <w:tr w:rsidR="00237760" w:rsidRPr="00237760" w14:paraId="51CE6A3D" w14:textId="77777777" w:rsidTr="003173A4">
        <w:tc>
          <w:tcPr>
            <w:tcW w:w="7881" w:type="dxa"/>
            <w:vAlign w:val="center"/>
          </w:tcPr>
          <w:p w14:paraId="6E9D4F44" w14:textId="77777777" w:rsidR="00C40CCB" w:rsidRPr="00237760" w:rsidRDefault="00C40CCB" w:rsidP="009367B4">
            <w:pPr>
              <w:spacing w:after="0"/>
              <w:jc w:val="left"/>
              <w:rPr>
                <w:rFonts w:ascii="Arial" w:eastAsiaTheme="minorHAnsi" w:hAnsi="Arial" w:cs="Arial"/>
                <w:color w:val="auto"/>
                <w:sz w:val="24"/>
                <w:szCs w:val="24"/>
                <w:lang w:eastAsia="pl-PL"/>
              </w:rPr>
            </w:pPr>
            <w:r w:rsidRPr="00237760">
              <w:rPr>
                <w:rFonts w:ascii="Arial" w:hAnsi="Arial" w:cs="Arial"/>
                <w:b/>
                <w:snapToGrid w:val="0"/>
                <w:color w:val="auto"/>
                <w:sz w:val="24"/>
                <w:szCs w:val="24"/>
              </w:rPr>
              <w:t xml:space="preserve">Ocena przewidywanej skuteczności i efektywności </w:t>
            </w:r>
            <w:r w:rsidRPr="00237760">
              <w:rPr>
                <w:rFonts w:ascii="Arial" w:hAnsi="Arial" w:cs="Arial"/>
                <w:b/>
                <w:color w:val="auto"/>
                <w:sz w:val="24"/>
                <w:szCs w:val="24"/>
              </w:rPr>
              <w:t>założeń projektu PSRT WP</w:t>
            </w:r>
          </w:p>
        </w:tc>
        <w:tc>
          <w:tcPr>
            <w:tcW w:w="1256" w:type="dxa"/>
            <w:vAlign w:val="center"/>
          </w:tcPr>
          <w:p w14:paraId="23F6E57B" w14:textId="77777777" w:rsidR="00C40CCB" w:rsidRPr="00237760" w:rsidRDefault="00C40CCB" w:rsidP="009367B4">
            <w:pPr>
              <w:spacing w:after="0"/>
              <w:jc w:val="left"/>
              <w:rPr>
                <w:rFonts w:ascii="Arial" w:eastAsiaTheme="minorHAnsi" w:hAnsi="Arial" w:cs="Arial"/>
                <w:color w:val="auto"/>
                <w:sz w:val="24"/>
                <w:szCs w:val="24"/>
                <w:lang w:eastAsia="pl-PL"/>
              </w:rPr>
            </w:pPr>
          </w:p>
        </w:tc>
      </w:tr>
      <w:tr w:rsidR="00237760" w:rsidRPr="00237760" w14:paraId="0EC861EE" w14:textId="77777777" w:rsidTr="003173A4">
        <w:tc>
          <w:tcPr>
            <w:tcW w:w="7881" w:type="dxa"/>
            <w:vAlign w:val="center"/>
          </w:tcPr>
          <w:p w14:paraId="76CE75BB" w14:textId="77777777" w:rsidR="00C40CCB" w:rsidRPr="00237760" w:rsidRDefault="00C40CCB" w:rsidP="009367B4">
            <w:pPr>
              <w:spacing w:after="0"/>
              <w:jc w:val="left"/>
              <w:rPr>
                <w:rFonts w:ascii="Arial" w:eastAsiaTheme="minorHAnsi" w:hAnsi="Arial" w:cs="Arial"/>
                <w:color w:val="auto"/>
                <w:sz w:val="24"/>
                <w:szCs w:val="24"/>
                <w:lang w:eastAsia="pl-PL"/>
              </w:rPr>
            </w:pPr>
            <w:r w:rsidRPr="00237760">
              <w:rPr>
                <w:rFonts w:ascii="Arial" w:hAnsi="Arial" w:cs="Arial"/>
                <w:snapToGrid w:val="0"/>
                <w:color w:val="auto"/>
                <w:sz w:val="24"/>
                <w:szCs w:val="24"/>
              </w:rPr>
              <w:t>Czy zaproponowana logika interwencji umożliwi zrealizowanie założonych celów?</w:t>
            </w:r>
          </w:p>
        </w:tc>
        <w:tc>
          <w:tcPr>
            <w:tcW w:w="1256" w:type="dxa"/>
            <w:vAlign w:val="center"/>
          </w:tcPr>
          <w:p w14:paraId="69878363" w14:textId="77777777" w:rsidR="00C40CCB" w:rsidRPr="00237760" w:rsidRDefault="00C40CCB" w:rsidP="009367B4">
            <w:pPr>
              <w:spacing w:after="0"/>
              <w:jc w:val="left"/>
              <w:rPr>
                <w:rFonts w:ascii="Arial" w:eastAsiaTheme="minorHAnsi" w:hAnsi="Arial" w:cs="Arial"/>
                <w:color w:val="auto"/>
                <w:sz w:val="24"/>
                <w:szCs w:val="24"/>
                <w:lang w:eastAsia="pl-PL"/>
              </w:rPr>
            </w:pPr>
            <w:r w:rsidRPr="00237760">
              <w:rPr>
                <w:rFonts w:ascii="Arial" w:eastAsiaTheme="minorHAnsi" w:hAnsi="Arial" w:cs="Arial"/>
                <w:color w:val="auto"/>
                <w:sz w:val="24"/>
                <w:szCs w:val="24"/>
                <w:lang w:eastAsia="pl-PL"/>
              </w:rPr>
              <w:t>Tak</w:t>
            </w:r>
          </w:p>
        </w:tc>
      </w:tr>
      <w:tr w:rsidR="00237760" w:rsidRPr="00237760" w14:paraId="451AF706" w14:textId="77777777" w:rsidTr="003173A4">
        <w:tc>
          <w:tcPr>
            <w:tcW w:w="7881" w:type="dxa"/>
            <w:vAlign w:val="center"/>
          </w:tcPr>
          <w:p w14:paraId="3861AFB1" w14:textId="77777777" w:rsidR="00C40CCB" w:rsidRPr="00237760" w:rsidRDefault="00C40CCB" w:rsidP="009367B4">
            <w:pPr>
              <w:spacing w:after="0"/>
              <w:jc w:val="left"/>
              <w:rPr>
                <w:rFonts w:ascii="Arial" w:hAnsi="Arial" w:cs="Arial"/>
                <w:snapToGrid w:val="0"/>
                <w:color w:val="auto"/>
                <w:sz w:val="24"/>
                <w:szCs w:val="24"/>
              </w:rPr>
            </w:pPr>
            <w:r w:rsidRPr="00237760">
              <w:rPr>
                <w:rFonts w:ascii="Arial" w:hAnsi="Arial" w:cs="Arial"/>
                <w:snapToGrid w:val="0"/>
                <w:color w:val="auto"/>
                <w:sz w:val="24"/>
                <w:szCs w:val="24"/>
              </w:rPr>
              <w:t xml:space="preserve">Czy przyjęty system wdrażania oraz wskazane źródła i instrumenty finansowania pozwolą na skuteczną realizację Programu? </w:t>
            </w:r>
          </w:p>
        </w:tc>
        <w:tc>
          <w:tcPr>
            <w:tcW w:w="1256" w:type="dxa"/>
            <w:vAlign w:val="center"/>
          </w:tcPr>
          <w:p w14:paraId="169DF70A" w14:textId="77777777" w:rsidR="00C40CCB" w:rsidRPr="00237760" w:rsidRDefault="00C40CCB" w:rsidP="009367B4">
            <w:pPr>
              <w:spacing w:after="0"/>
              <w:jc w:val="left"/>
              <w:rPr>
                <w:rFonts w:ascii="Arial" w:eastAsiaTheme="minorHAnsi" w:hAnsi="Arial" w:cs="Arial"/>
                <w:color w:val="auto"/>
                <w:sz w:val="24"/>
                <w:szCs w:val="24"/>
                <w:lang w:eastAsia="pl-PL"/>
              </w:rPr>
            </w:pPr>
            <w:r w:rsidRPr="00237760">
              <w:rPr>
                <w:rFonts w:ascii="Arial" w:eastAsiaTheme="minorHAnsi" w:hAnsi="Arial" w:cs="Arial"/>
                <w:color w:val="auto"/>
                <w:sz w:val="24"/>
                <w:szCs w:val="24"/>
                <w:lang w:eastAsia="pl-PL"/>
              </w:rPr>
              <w:t>Tak</w:t>
            </w:r>
          </w:p>
        </w:tc>
      </w:tr>
      <w:tr w:rsidR="00237760" w:rsidRPr="00237760" w14:paraId="53470A46" w14:textId="77777777" w:rsidTr="003173A4">
        <w:tc>
          <w:tcPr>
            <w:tcW w:w="7881" w:type="dxa"/>
            <w:vAlign w:val="center"/>
          </w:tcPr>
          <w:p w14:paraId="36838A74" w14:textId="77777777" w:rsidR="00C40CCB" w:rsidRPr="00237760" w:rsidRDefault="00C40CCB" w:rsidP="009367B4">
            <w:pPr>
              <w:spacing w:after="0"/>
              <w:jc w:val="left"/>
              <w:rPr>
                <w:rFonts w:ascii="Arial" w:hAnsi="Arial" w:cs="Arial"/>
                <w:snapToGrid w:val="0"/>
                <w:color w:val="auto"/>
                <w:sz w:val="24"/>
                <w:szCs w:val="24"/>
              </w:rPr>
            </w:pPr>
            <w:r w:rsidRPr="00237760">
              <w:rPr>
                <w:rFonts w:ascii="Arial" w:hAnsi="Arial" w:cs="Arial"/>
                <w:snapToGrid w:val="0"/>
                <w:color w:val="auto"/>
                <w:sz w:val="24"/>
                <w:szCs w:val="24"/>
              </w:rPr>
              <w:t>Czy ustalony w projekcie Programu system monitoringu i ewaluacji, umożliwia skuteczną i efektywną rejestrację i ocenę efektów jego realizacji, w odniesieniu do systemu transportowego poszczególnych JST z regionu jak i obszaru całego województwa podkarpackiego?</w:t>
            </w:r>
          </w:p>
        </w:tc>
        <w:tc>
          <w:tcPr>
            <w:tcW w:w="1256" w:type="dxa"/>
            <w:vAlign w:val="center"/>
          </w:tcPr>
          <w:p w14:paraId="6F6365D8" w14:textId="77777777" w:rsidR="00C40CCB" w:rsidRPr="00237760" w:rsidRDefault="00C40CCB" w:rsidP="009367B4">
            <w:pPr>
              <w:spacing w:after="0"/>
              <w:jc w:val="left"/>
              <w:rPr>
                <w:rFonts w:ascii="Arial" w:eastAsiaTheme="minorHAnsi" w:hAnsi="Arial" w:cs="Arial"/>
                <w:color w:val="auto"/>
                <w:sz w:val="24"/>
                <w:szCs w:val="24"/>
                <w:lang w:eastAsia="pl-PL"/>
              </w:rPr>
            </w:pPr>
            <w:r w:rsidRPr="00237760">
              <w:rPr>
                <w:rFonts w:ascii="Arial" w:eastAsiaTheme="minorHAnsi" w:hAnsi="Arial" w:cs="Arial"/>
                <w:color w:val="auto"/>
                <w:sz w:val="24"/>
                <w:szCs w:val="24"/>
                <w:lang w:eastAsia="pl-PL"/>
              </w:rPr>
              <w:t>Tak</w:t>
            </w:r>
          </w:p>
        </w:tc>
      </w:tr>
      <w:tr w:rsidR="00237760" w:rsidRPr="00237760" w14:paraId="7662C53F" w14:textId="77777777" w:rsidTr="003173A4">
        <w:tc>
          <w:tcPr>
            <w:tcW w:w="7881" w:type="dxa"/>
            <w:vAlign w:val="center"/>
          </w:tcPr>
          <w:p w14:paraId="6762148A" w14:textId="77777777" w:rsidR="00C40CCB" w:rsidRPr="00237760" w:rsidRDefault="00C40CCB" w:rsidP="009367B4">
            <w:pPr>
              <w:spacing w:after="0"/>
              <w:jc w:val="left"/>
              <w:rPr>
                <w:rFonts w:ascii="Arial" w:hAnsi="Arial" w:cs="Arial"/>
                <w:snapToGrid w:val="0"/>
                <w:color w:val="auto"/>
                <w:sz w:val="24"/>
                <w:szCs w:val="24"/>
              </w:rPr>
            </w:pPr>
            <w:r w:rsidRPr="00237760">
              <w:rPr>
                <w:rFonts w:ascii="Arial" w:hAnsi="Arial" w:cs="Arial"/>
                <w:b/>
                <w:color w:val="auto"/>
                <w:sz w:val="24"/>
                <w:szCs w:val="24"/>
              </w:rPr>
              <w:t>Ocena spójności projektu PSRT WP w wymiarze wewnętrznym i zewnętrznym</w:t>
            </w:r>
          </w:p>
        </w:tc>
        <w:tc>
          <w:tcPr>
            <w:tcW w:w="1256" w:type="dxa"/>
            <w:vAlign w:val="center"/>
          </w:tcPr>
          <w:p w14:paraId="38BAEEAA" w14:textId="77777777" w:rsidR="00C40CCB" w:rsidRPr="00237760" w:rsidRDefault="00C40CCB" w:rsidP="009367B4">
            <w:pPr>
              <w:spacing w:after="0"/>
              <w:jc w:val="left"/>
              <w:rPr>
                <w:rFonts w:ascii="Arial" w:eastAsiaTheme="minorHAnsi" w:hAnsi="Arial" w:cs="Arial"/>
                <w:color w:val="auto"/>
                <w:sz w:val="24"/>
                <w:szCs w:val="24"/>
                <w:lang w:eastAsia="pl-PL"/>
              </w:rPr>
            </w:pPr>
          </w:p>
        </w:tc>
      </w:tr>
      <w:tr w:rsidR="00237760" w:rsidRPr="00237760" w14:paraId="696B87D3" w14:textId="77777777" w:rsidTr="003173A4">
        <w:tc>
          <w:tcPr>
            <w:tcW w:w="7881" w:type="dxa"/>
            <w:vAlign w:val="center"/>
          </w:tcPr>
          <w:p w14:paraId="46360BC1" w14:textId="77777777" w:rsidR="00C40CCB" w:rsidRPr="00237760" w:rsidRDefault="00C40CCB" w:rsidP="009367B4">
            <w:pPr>
              <w:spacing w:after="0"/>
              <w:jc w:val="left"/>
              <w:rPr>
                <w:rFonts w:ascii="Arial" w:hAnsi="Arial" w:cs="Arial"/>
                <w:snapToGrid w:val="0"/>
                <w:color w:val="auto"/>
                <w:sz w:val="24"/>
                <w:szCs w:val="24"/>
              </w:rPr>
            </w:pPr>
            <w:r w:rsidRPr="00237760">
              <w:rPr>
                <w:rFonts w:ascii="Arial" w:hAnsi="Arial" w:cs="Arial"/>
                <w:snapToGrid w:val="0"/>
                <w:color w:val="auto"/>
                <w:sz w:val="24"/>
                <w:szCs w:val="24"/>
              </w:rPr>
              <w:t xml:space="preserve">Czy projekt Programu jest zgodny i komplementarny z obowiązującymi regulacjami prawa, wytycznymi MFiPR dotyczącymi spełnienia warunkowości podstawowej, wytycznymi JASPERS </w:t>
            </w:r>
            <w:r w:rsidRPr="00237760">
              <w:rPr>
                <w:rFonts w:ascii="Arial" w:hAnsi="Arial" w:cs="Arial"/>
                <w:snapToGrid w:val="0"/>
                <w:color w:val="auto"/>
                <w:sz w:val="24"/>
                <w:szCs w:val="24"/>
              </w:rPr>
              <w:lastRenderedPageBreak/>
              <w:t>dotyczącymi metodologii opracowania regionalnych planów transportowych oraz właściwymi dokumentami krajowymi i unijnymi dotyczącymi nowego systemu programowania i wdrażania Europejskich Funduszy Strukturalnych i Inwestycyjnych (EFSI) w perspektywie finansowej 2021-2027 oraz aktualnie obowiązującymi zasadami polityki regionalnej?</w:t>
            </w:r>
          </w:p>
        </w:tc>
        <w:tc>
          <w:tcPr>
            <w:tcW w:w="1256" w:type="dxa"/>
            <w:vAlign w:val="center"/>
          </w:tcPr>
          <w:p w14:paraId="226DCD59" w14:textId="77777777" w:rsidR="00C40CCB" w:rsidRPr="00237760" w:rsidRDefault="00C40CCB" w:rsidP="009367B4">
            <w:pPr>
              <w:spacing w:after="0"/>
              <w:jc w:val="left"/>
              <w:rPr>
                <w:rFonts w:ascii="Arial" w:eastAsiaTheme="minorHAnsi" w:hAnsi="Arial" w:cs="Arial"/>
                <w:color w:val="auto"/>
                <w:sz w:val="24"/>
                <w:szCs w:val="24"/>
                <w:lang w:eastAsia="pl-PL"/>
              </w:rPr>
            </w:pPr>
            <w:r w:rsidRPr="00237760">
              <w:rPr>
                <w:rFonts w:ascii="Arial" w:eastAsiaTheme="minorHAnsi" w:hAnsi="Arial" w:cs="Arial"/>
                <w:color w:val="auto"/>
                <w:sz w:val="24"/>
                <w:szCs w:val="24"/>
                <w:lang w:eastAsia="pl-PL"/>
              </w:rPr>
              <w:lastRenderedPageBreak/>
              <w:t>Tak</w:t>
            </w:r>
          </w:p>
        </w:tc>
      </w:tr>
      <w:tr w:rsidR="00237760" w:rsidRPr="00237760" w14:paraId="450E7F3A" w14:textId="77777777" w:rsidTr="003173A4">
        <w:tc>
          <w:tcPr>
            <w:tcW w:w="7881" w:type="dxa"/>
            <w:vAlign w:val="center"/>
          </w:tcPr>
          <w:p w14:paraId="5D46A834" w14:textId="77777777" w:rsidR="00C40CCB" w:rsidRPr="00237760" w:rsidRDefault="00C40CCB" w:rsidP="009367B4">
            <w:pPr>
              <w:spacing w:after="0"/>
              <w:jc w:val="left"/>
              <w:rPr>
                <w:rFonts w:ascii="Arial" w:hAnsi="Arial" w:cs="Arial"/>
                <w:snapToGrid w:val="0"/>
                <w:color w:val="auto"/>
                <w:sz w:val="24"/>
                <w:szCs w:val="24"/>
              </w:rPr>
            </w:pPr>
            <w:r w:rsidRPr="00237760">
              <w:rPr>
                <w:rFonts w:ascii="Arial" w:hAnsi="Arial" w:cs="Arial"/>
                <w:snapToGrid w:val="0"/>
                <w:color w:val="auto"/>
                <w:sz w:val="24"/>
                <w:szCs w:val="24"/>
              </w:rPr>
              <w:t xml:space="preserve">Czy cele i kierunki rozwoju przyjęte w projekcie Programu są zgodne z najważniejszymi politykami i strategiami na poziomie unijnym i krajowym? </w:t>
            </w:r>
          </w:p>
        </w:tc>
        <w:tc>
          <w:tcPr>
            <w:tcW w:w="1256" w:type="dxa"/>
            <w:vAlign w:val="center"/>
          </w:tcPr>
          <w:p w14:paraId="7AAFCB13" w14:textId="77777777" w:rsidR="00C40CCB" w:rsidRPr="00237760" w:rsidRDefault="00C40CCB" w:rsidP="009367B4">
            <w:pPr>
              <w:spacing w:after="0"/>
              <w:jc w:val="left"/>
              <w:rPr>
                <w:rFonts w:ascii="Arial" w:eastAsiaTheme="minorHAnsi" w:hAnsi="Arial" w:cs="Arial"/>
                <w:color w:val="auto"/>
                <w:sz w:val="24"/>
                <w:szCs w:val="24"/>
                <w:lang w:eastAsia="pl-PL"/>
              </w:rPr>
            </w:pPr>
            <w:r w:rsidRPr="00237760">
              <w:rPr>
                <w:rFonts w:ascii="Arial" w:eastAsiaTheme="minorHAnsi" w:hAnsi="Arial" w:cs="Arial"/>
                <w:color w:val="auto"/>
                <w:sz w:val="24"/>
                <w:szCs w:val="24"/>
                <w:lang w:eastAsia="pl-PL"/>
              </w:rPr>
              <w:t>Tak</w:t>
            </w:r>
          </w:p>
        </w:tc>
      </w:tr>
      <w:tr w:rsidR="00237760" w:rsidRPr="00237760" w14:paraId="5FDAB2B3" w14:textId="77777777" w:rsidTr="003173A4">
        <w:tc>
          <w:tcPr>
            <w:tcW w:w="7881" w:type="dxa"/>
            <w:vAlign w:val="center"/>
          </w:tcPr>
          <w:p w14:paraId="5833C07E" w14:textId="77777777" w:rsidR="00C40CCB" w:rsidRPr="00237760" w:rsidRDefault="00C40CCB" w:rsidP="009367B4">
            <w:pPr>
              <w:spacing w:after="0"/>
              <w:jc w:val="left"/>
              <w:rPr>
                <w:rFonts w:ascii="Arial" w:hAnsi="Arial" w:cs="Arial"/>
                <w:snapToGrid w:val="0"/>
                <w:color w:val="auto"/>
                <w:sz w:val="24"/>
                <w:szCs w:val="24"/>
              </w:rPr>
            </w:pPr>
            <w:r w:rsidRPr="00237760">
              <w:rPr>
                <w:rFonts w:ascii="Arial" w:hAnsi="Arial" w:cs="Arial"/>
                <w:snapToGrid w:val="0"/>
                <w:color w:val="auto"/>
                <w:sz w:val="24"/>
                <w:szCs w:val="24"/>
              </w:rPr>
              <w:t>Czy cele i kierunki rozwoju przyjęte w projekcie Programu są zgodne z zapisami Strategii rozwoju województwa - Podkarpackie 2030 oraz programu regionalnego Fundusze Europejskie dla Podkarpacia 2021-2027 (projekt)?</w:t>
            </w:r>
          </w:p>
        </w:tc>
        <w:tc>
          <w:tcPr>
            <w:tcW w:w="1256" w:type="dxa"/>
            <w:vAlign w:val="center"/>
          </w:tcPr>
          <w:p w14:paraId="546C753E" w14:textId="77777777" w:rsidR="00C40CCB" w:rsidRPr="00237760" w:rsidRDefault="00C40CCB" w:rsidP="009367B4">
            <w:pPr>
              <w:spacing w:after="0"/>
              <w:jc w:val="left"/>
              <w:rPr>
                <w:rFonts w:ascii="Arial" w:eastAsiaTheme="minorHAnsi" w:hAnsi="Arial" w:cs="Arial"/>
                <w:color w:val="auto"/>
                <w:sz w:val="24"/>
                <w:szCs w:val="24"/>
                <w:lang w:eastAsia="pl-PL"/>
              </w:rPr>
            </w:pPr>
            <w:r w:rsidRPr="00237760">
              <w:rPr>
                <w:rFonts w:ascii="Arial" w:eastAsiaTheme="minorHAnsi" w:hAnsi="Arial" w:cs="Arial"/>
                <w:color w:val="auto"/>
                <w:sz w:val="24"/>
                <w:szCs w:val="24"/>
                <w:lang w:eastAsia="pl-PL"/>
              </w:rPr>
              <w:t>Tak</w:t>
            </w:r>
          </w:p>
        </w:tc>
      </w:tr>
      <w:tr w:rsidR="00237760" w:rsidRPr="00237760" w14:paraId="7959E281" w14:textId="77777777" w:rsidTr="003173A4">
        <w:tc>
          <w:tcPr>
            <w:tcW w:w="7881" w:type="dxa"/>
            <w:vAlign w:val="center"/>
          </w:tcPr>
          <w:p w14:paraId="64065B6F" w14:textId="77777777" w:rsidR="00C40CCB" w:rsidRPr="00237760" w:rsidRDefault="00C40CCB" w:rsidP="009367B4">
            <w:pPr>
              <w:spacing w:after="0"/>
              <w:jc w:val="left"/>
              <w:rPr>
                <w:rFonts w:ascii="Arial" w:hAnsi="Arial" w:cs="Arial"/>
                <w:snapToGrid w:val="0"/>
                <w:color w:val="auto"/>
                <w:sz w:val="24"/>
                <w:szCs w:val="24"/>
              </w:rPr>
            </w:pPr>
            <w:r w:rsidRPr="00237760">
              <w:rPr>
                <w:rFonts w:ascii="Arial" w:hAnsi="Arial" w:cs="Arial"/>
                <w:snapToGrid w:val="0"/>
                <w:color w:val="auto"/>
                <w:sz w:val="24"/>
                <w:szCs w:val="24"/>
              </w:rPr>
              <w:t>Czy występuje zgodność pomiędzy analizą SWOT a diagnozą i celami wskazanymi w Programie?</w:t>
            </w:r>
          </w:p>
        </w:tc>
        <w:tc>
          <w:tcPr>
            <w:tcW w:w="1256" w:type="dxa"/>
            <w:vAlign w:val="center"/>
          </w:tcPr>
          <w:p w14:paraId="62EEAC6E" w14:textId="77777777" w:rsidR="00C40CCB" w:rsidRPr="00237760" w:rsidRDefault="00C40CCB" w:rsidP="009367B4">
            <w:pPr>
              <w:spacing w:after="0"/>
              <w:jc w:val="left"/>
              <w:rPr>
                <w:rFonts w:ascii="Arial" w:eastAsiaTheme="minorHAnsi" w:hAnsi="Arial" w:cs="Arial"/>
                <w:color w:val="auto"/>
                <w:sz w:val="24"/>
                <w:szCs w:val="24"/>
                <w:lang w:eastAsia="pl-PL"/>
              </w:rPr>
            </w:pPr>
            <w:r w:rsidRPr="00237760">
              <w:rPr>
                <w:rFonts w:ascii="Arial" w:eastAsiaTheme="minorHAnsi" w:hAnsi="Arial" w:cs="Arial"/>
                <w:color w:val="auto"/>
                <w:sz w:val="24"/>
                <w:szCs w:val="24"/>
                <w:lang w:eastAsia="pl-PL"/>
              </w:rPr>
              <w:t>Tak</w:t>
            </w:r>
          </w:p>
        </w:tc>
      </w:tr>
      <w:tr w:rsidR="00237760" w:rsidRPr="00237760" w14:paraId="484A39B1" w14:textId="77777777" w:rsidTr="003173A4">
        <w:tc>
          <w:tcPr>
            <w:tcW w:w="7881" w:type="dxa"/>
            <w:vAlign w:val="center"/>
          </w:tcPr>
          <w:p w14:paraId="08537A4F" w14:textId="77777777" w:rsidR="00C40CCB" w:rsidRPr="00237760" w:rsidRDefault="00C40CCB" w:rsidP="009367B4">
            <w:pPr>
              <w:spacing w:after="0"/>
              <w:jc w:val="left"/>
              <w:rPr>
                <w:rFonts w:ascii="Arial" w:eastAsiaTheme="minorHAnsi" w:hAnsi="Arial" w:cs="Arial"/>
                <w:color w:val="auto"/>
                <w:sz w:val="24"/>
                <w:szCs w:val="24"/>
                <w:lang w:eastAsia="pl-PL"/>
              </w:rPr>
            </w:pPr>
            <w:r w:rsidRPr="00237760">
              <w:rPr>
                <w:rFonts w:ascii="Arial" w:hAnsi="Arial" w:cs="Arial"/>
                <w:snapToGrid w:val="0"/>
                <w:color w:val="auto"/>
                <w:sz w:val="24"/>
                <w:szCs w:val="24"/>
              </w:rPr>
              <w:t>Czy projekt Programu jest wewnętrznie spójny, czytelny, logicznie powiązany oraz napisany zrozumiałym językiem?</w:t>
            </w:r>
          </w:p>
        </w:tc>
        <w:tc>
          <w:tcPr>
            <w:tcW w:w="1256" w:type="dxa"/>
            <w:vAlign w:val="center"/>
          </w:tcPr>
          <w:p w14:paraId="0587DD87" w14:textId="77777777" w:rsidR="00C40CCB" w:rsidRPr="00237760" w:rsidRDefault="00C40CCB" w:rsidP="009367B4">
            <w:pPr>
              <w:spacing w:after="0"/>
              <w:jc w:val="left"/>
              <w:rPr>
                <w:rFonts w:ascii="Arial" w:eastAsiaTheme="minorHAnsi" w:hAnsi="Arial" w:cs="Arial"/>
                <w:color w:val="auto"/>
                <w:sz w:val="24"/>
                <w:szCs w:val="24"/>
                <w:lang w:eastAsia="pl-PL"/>
              </w:rPr>
            </w:pPr>
            <w:r w:rsidRPr="00237760">
              <w:rPr>
                <w:rFonts w:ascii="Arial" w:eastAsiaTheme="minorHAnsi" w:hAnsi="Arial" w:cs="Arial"/>
                <w:color w:val="auto"/>
                <w:sz w:val="24"/>
                <w:szCs w:val="24"/>
                <w:lang w:eastAsia="pl-PL"/>
              </w:rPr>
              <w:t>Tak</w:t>
            </w:r>
          </w:p>
        </w:tc>
      </w:tr>
    </w:tbl>
    <w:p w14:paraId="6294173C" w14:textId="77777777" w:rsidR="00C40CCB" w:rsidRPr="00237760" w:rsidRDefault="00C40CCB"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 – w tabeli zamieszczono odpowiedzi bez rozwiniętego komentarza (zob. tekst główny ewaluacji). Część odpowiedzi zawiera w istocie rozwinięcie, w którym wskazywane są drobne zastrzeżenia. Pytania, na które odpowiedź brzmi „tak, z pewnymi zastrzeżeniami” oznaczono gwiazdką.</w:t>
      </w:r>
    </w:p>
    <w:p w14:paraId="664C5420" w14:textId="77777777" w:rsidR="00C40CCB" w:rsidRPr="00237760" w:rsidRDefault="00C40CCB"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Źródło: opracowanie własne.</w:t>
      </w:r>
    </w:p>
    <w:p w14:paraId="19444F15" w14:textId="632AEA8B" w:rsidR="00C40CCB" w:rsidRPr="00237760" w:rsidRDefault="00C40CCB" w:rsidP="009367B4">
      <w:pPr>
        <w:pStyle w:val="Akapitzlist"/>
        <w:numPr>
          <w:ilvl w:val="0"/>
          <w:numId w:val="55"/>
        </w:numPr>
        <w:jc w:val="left"/>
        <w:rPr>
          <w:rFonts w:ascii="Arial" w:hAnsi="Arial" w:cs="Arial"/>
          <w:color w:val="auto"/>
          <w:sz w:val="24"/>
          <w:szCs w:val="24"/>
        </w:rPr>
      </w:pPr>
      <w:r w:rsidRPr="00237760">
        <w:rPr>
          <w:rFonts w:ascii="Arial" w:hAnsi="Arial" w:cs="Arial"/>
          <w:b/>
          <w:bCs/>
          <w:color w:val="auto"/>
          <w:sz w:val="24"/>
          <w:szCs w:val="24"/>
        </w:rPr>
        <w:t>Pozytywna implementacja wytycznych JASPERS</w:t>
      </w:r>
      <w:r w:rsidRPr="00237760">
        <w:rPr>
          <w:rFonts w:ascii="Arial" w:hAnsi="Arial" w:cs="Arial"/>
          <w:color w:val="auto"/>
          <w:sz w:val="24"/>
          <w:szCs w:val="24"/>
        </w:rPr>
        <w:t xml:space="preserve"> – cecha wymaga szczególnego podkreślenia, ponieważ wdrożenie wytycznych gwarantuje nie tylko właściwe podejście do planowania rozwiązań dotyczących transportu, ale również pozwala zadbać, z uwzględnieniem specyfiki regionu i kraju, w którym program jest przygotowywany, o jak najlepsze pozytywne efekty oddziaływania transportu na rozwój społeczno-gospodarczy, jakość życia i stan środowiska przyrodniczego poprzez ograniczanie emisji. Zgodnie z oczekiwaniami JASPERS PSRT WP </w:t>
      </w:r>
      <w:r w:rsidR="009D3AFB" w:rsidRPr="00237760">
        <w:rPr>
          <w:rFonts w:ascii="Arial" w:hAnsi="Arial" w:cs="Arial"/>
          <w:color w:val="auto"/>
          <w:sz w:val="24"/>
          <w:szCs w:val="24"/>
        </w:rPr>
        <w:t>odnosi się do wszystkich wytycznych w zakresie metodyki opracowania regionalnych planów transportowych</w:t>
      </w:r>
      <w:r w:rsidRPr="00237760">
        <w:rPr>
          <w:rFonts w:ascii="Arial" w:hAnsi="Arial" w:cs="Arial"/>
          <w:color w:val="auto"/>
          <w:sz w:val="24"/>
          <w:szCs w:val="24"/>
        </w:rPr>
        <w:t>;</w:t>
      </w:r>
    </w:p>
    <w:p w14:paraId="6C9A8AFA" w14:textId="22839D03" w:rsidR="00C40CCB" w:rsidRPr="00237760" w:rsidRDefault="00C40CCB" w:rsidP="009367B4">
      <w:pPr>
        <w:pStyle w:val="Akapitzlist"/>
        <w:numPr>
          <w:ilvl w:val="0"/>
          <w:numId w:val="55"/>
        </w:numPr>
        <w:jc w:val="left"/>
        <w:rPr>
          <w:rFonts w:ascii="Arial" w:hAnsi="Arial" w:cs="Arial"/>
          <w:color w:val="auto"/>
          <w:sz w:val="24"/>
          <w:szCs w:val="24"/>
        </w:rPr>
      </w:pPr>
      <w:r w:rsidRPr="00237760">
        <w:rPr>
          <w:rFonts w:ascii="Arial" w:hAnsi="Arial" w:cs="Arial"/>
          <w:b/>
          <w:bCs/>
          <w:color w:val="auto"/>
          <w:sz w:val="24"/>
          <w:szCs w:val="24"/>
        </w:rPr>
        <w:t>Silny związek ze Strategią rozwoju województwa – Podkarpackie 2030</w:t>
      </w:r>
      <w:r w:rsidRPr="00237760">
        <w:rPr>
          <w:rFonts w:ascii="Arial" w:hAnsi="Arial" w:cs="Arial"/>
          <w:color w:val="auto"/>
          <w:sz w:val="24"/>
          <w:szCs w:val="24"/>
        </w:rPr>
        <w:t xml:space="preserve">. Program właściwie </w:t>
      </w:r>
      <w:r w:rsidR="00A45330" w:rsidRPr="00237760">
        <w:rPr>
          <w:rFonts w:ascii="Arial" w:hAnsi="Arial" w:cs="Arial"/>
          <w:color w:val="auto"/>
          <w:sz w:val="24"/>
          <w:szCs w:val="24"/>
        </w:rPr>
        <w:br/>
      </w:r>
      <w:r w:rsidRPr="00237760">
        <w:rPr>
          <w:rFonts w:ascii="Arial" w:hAnsi="Arial" w:cs="Arial"/>
          <w:color w:val="auto"/>
          <w:sz w:val="24"/>
          <w:szCs w:val="24"/>
        </w:rPr>
        <w:t>i szczegółowo podejmuje kluczowe zagadnienia sformułowane w najważniejszym dokumencie samorządu województwa. Realizacja programu wpłynie na ograniczanie słabości regionu wskazanych w Strategii, a jednocześnie odpowiada na zewnętrzne uwarunkowania rozwoju województwa (określone w szansach i zagrożeniach);</w:t>
      </w:r>
    </w:p>
    <w:p w14:paraId="11566EF2" w14:textId="3C51DC61" w:rsidR="00C1295D" w:rsidRPr="00237760" w:rsidRDefault="00C40CCB" w:rsidP="009367B4">
      <w:pPr>
        <w:pStyle w:val="Akapitzlist"/>
        <w:numPr>
          <w:ilvl w:val="0"/>
          <w:numId w:val="55"/>
        </w:numPr>
        <w:jc w:val="left"/>
        <w:rPr>
          <w:rFonts w:ascii="Arial" w:hAnsi="Arial" w:cs="Arial"/>
          <w:color w:val="auto"/>
          <w:sz w:val="24"/>
          <w:szCs w:val="24"/>
        </w:rPr>
      </w:pPr>
      <w:r w:rsidRPr="00237760">
        <w:rPr>
          <w:rFonts w:ascii="Arial" w:hAnsi="Arial" w:cs="Arial"/>
          <w:b/>
          <w:bCs/>
          <w:color w:val="auto"/>
          <w:sz w:val="24"/>
          <w:szCs w:val="24"/>
        </w:rPr>
        <w:t>Wyjście naprzeciw oczekiwaniom samorządów lokalnych</w:t>
      </w:r>
      <w:r w:rsidRPr="00237760">
        <w:rPr>
          <w:rFonts w:ascii="Arial" w:hAnsi="Arial" w:cs="Arial"/>
          <w:color w:val="auto"/>
          <w:sz w:val="24"/>
          <w:szCs w:val="24"/>
        </w:rPr>
        <w:t xml:space="preserve">. Zarówno w układach miejskich obszarów funkcjonalnych, jak i innych obszarów funkcjonalnych, jak Bieszczady, czy „Błękitny San”, a także na poziomie </w:t>
      </w:r>
      <w:r w:rsidRPr="00237760">
        <w:rPr>
          <w:rFonts w:ascii="Arial" w:hAnsi="Arial" w:cs="Arial"/>
          <w:color w:val="auto"/>
          <w:sz w:val="24"/>
          <w:szCs w:val="24"/>
        </w:rPr>
        <w:lastRenderedPageBreak/>
        <w:t xml:space="preserve">pojedynczych gmin zagadnienia transportu jako czynnika umożliwiającego rozwój należą do kluczowych podejmowanych w strategiach rozwoju. Należy podkreślić, że cele Programu będą umożliwiały również realizację </w:t>
      </w:r>
      <w:r w:rsidR="00C1295D" w:rsidRPr="00237760">
        <w:rPr>
          <w:rFonts w:ascii="Arial" w:hAnsi="Arial" w:cs="Arial"/>
          <w:i/>
          <w:color w:val="auto"/>
          <w:sz w:val="24"/>
          <w:szCs w:val="24"/>
        </w:rPr>
        <w:t>Planów zrównoważonego rozwoju publicznego transportu zbiorowego</w:t>
      </w:r>
      <w:r w:rsidR="00C1295D" w:rsidRPr="00237760">
        <w:rPr>
          <w:rFonts w:ascii="Arial" w:hAnsi="Arial" w:cs="Arial"/>
          <w:color w:val="auto"/>
          <w:sz w:val="24"/>
          <w:szCs w:val="24"/>
        </w:rPr>
        <w:t xml:space="preserve"> dla powiatów województwa podkarpackiego.</w:t>
      </w:r>
    </w:p>
    <w:p w14:paraId="4DA148CA" w14:textId="77777777" w:rsidR="00C40CCB" w:rsidRPr="00237760" w:rsidRDefault="00C40CCB" w:rsidP="009367B4">
      <w:pPr>
        <w:pStyle w:val="Akapitzlist"/>
        <w:numPr>
          <w:ilvl w:val="0"/>
          <w:numId w:val="55"/>
        </w:numPr>
        <w:jc w:val="left"/>
        <w:rPr>
          <w:rFonts w:ascii="Arial" w:hAnsi="Arial" w:cs="Arial"/>
          <w:color w:val="auto"/>
          <w:sz w:val="24"/>
          <w:szCs w:val="24"/>
        </w:rPr>
      </w:pPr>
      <w:r w:rsidRPr="00237760">
        <w:rPr>
          <w:rFonts w:ascii="Arial" w:hAnsi="Arial" w:cs="Arial"/>
          <w:b/>
          <w:bCs/>
          <w:color w:val="auto"/>
          <w:sz w:val="24"/>
          <w:szCs w:val="24"/>
        </w:rPr>
        <w:t>Zachowaną logikę interwencji uwzględniającą uwarunkowania prawne w Polsce</w:t>
      </w:r>
      <w:r w:rsidRPr="00237760">
        <w:rPr>
          <w:rFonts w:ascii="Arial" w:hAnsi="Arial" w:cs="Arial"/>
          <w:color w:val="auto"/>
          <w:sz w:val="24"/>
          <w:szCs w:val="24"/>
        </w:rPr>
        <w:t>. Program koncentruje się na działaniach, które leżą w gestii samorządu województwa, otwierając jednocześnie możliwości pośredniego oddziaływania na te działania, których realizacja zależy od instytucji centralnych;</w:t>
      </w:r>
    </w:p>
    <w:p w14:paraId="3F723D08" w14:textId="77777777" w:rsidR="00C40CCB" w:rsidRPr="00237760" w:rsidRDefault="00C40CCB" w:rsidP="009367B4">
      <w:pPr>
        <w:pStyle w:val="Akapitzlist"/>
        <w:numPr>
          <w:ilvl w:val="0"/>
          <w:numId w:val="55"/>
        </w:numPr>
        <w:jc w:val="left"/>
        <w:rPr>
          <w:rFonts w:ascii="Arial" w:hAnsi="Arial" w:cs="Arial"/>
          <w:color w:val="auto"/>
          <w:sz w:val="24"/>
          <w:szCs w:val="24"/>
        </w:rPr>
      </w:pPr>
      <w:r w:rsidRPr="00237760">
        <w:rPr>
          <w:rFonts w:ascii="Arial" w:hAnsi="Arial" w:cs="Arial"/>
          <w:b/>
          <w:bCs/>
          <w:color w:val="auto"/>
          <w:sz w:val="24"/>
          <w:szCs w:val="24"/>
        </w:rPr>
        <w:t>Jasno sprecyzowane kryteria wyboru projektów</w:t>
      </w:r>
      <w:r w:rsidRPr="00237760">
        <w:rPr>
          <w:rFonts w:ascii="Arial" w:hAnsi="Arial" w:cs="Arial"/>
          <w:color w:val="auto"/>
          <w:sz w:val="24"/>
          <w:szCs w:val="24"/>
        </w:rPr>
        <w:t xml:space="preserve"> – pomimo różnych ocen przyjętego systemu kryteriów wyboru projektów priorytetowych dokonane rozstrzygnięcie preferujące projekty powiązane z siecią TEN-T oraz projekty już rozpoczęte jest logiczne i uzasadnione z punktu widzenia efektywności osiągania celów i szerszego oddziaływania Programu; </w:t>
      </w:r>
    </w:p>
    <w:p w14:paraId="1C9C38F8" w14:textId="33DFFF53" w:rsidR="00C40CCB" w:rsidRPr="00237760" w:rsidRDefault="00C40CCB" w:rsidP="009367B4">
      <w:pPr>
        <w:pStyle w:val="Akapitzlist"/>
        <w:numPr>
          <w:ilvl w:val="0"/>
          <w:numId w:val="55"/>
        </w:numPr>
        <w:jc w:val="left"/>
        <w:rPr>
          <w:rFonts w:ascii="Arial" w:hAnsi="Arial" w:cs="Arial"/>
          <w:color w:val="auto"/>
          <w:sz w:val="24"/>
          <w:szCs w:val="24"/>
        </w:rPr>
      </w:pPr>
      <w:r w:rsidRPr="00237760">
        <w:rPr>
          <w:rFonts w:ascii="Arial" w:hAnsi="Arial" w:cs="Arial"/>
          <w:b/>
          <w:bCs/>
          <w:color w:val="auto"/>
          <w:sz w:val="24"/>
          <w:szCs w:val="24"/>
        </w:rPr>
        <w:t>Wysoka spójność wewnętrzna dokumentu</w:t>
      </w:r>
      <w:r w:rsidRPr="00237760">
        <w:rPr>
          <w:rFonts w:ascii="Arial" w:hAnsi="Arial" w:cs="Arial"/>
          <w:color w:val="auto"/>
          <w:sz w:val="24"/>
          <w:szCs w:val="24"/>
        </w:rPr>
        <w:t>. Podkreślenia wymaga fakt, że za część Programu należy traktować dokument diagnostyczny, w którym sprecyzowano problemy i wyzwania transportowe. Te zagadnienia znalazły swoje odzwierciedlenie w dokumencie głównym.</w:t>
      </w:r>
      <w:r w:rsidR="00BB0A72" w:rsidRPr="00237760">
        <w:rPr>
          <w:rFonts w:ascii="Arial" w:hAnsi="Arial" w:cs="Arial"/>
          <w:color w:val="auto"/>
          <w:sz w:val="24"/>
          <w:szCs w:val="24"/>
        </w:rPr>
        <w:t xml:space="preserve"> Odnotowano także wysoką spójność w układzie diagnoza – analiza SWOT – cele Programu.</w:t>
      </w:r>
    </w:p>
    <w:p w14:paraId="30424C80" w14:textId="2E2B47D8" w:rsidR="00C40CCB" w:rsidRPr="00237760" w:rsidRDefault="00C40CCB" w:rsidP="009367B4">
      <w:pPr>
        <w:pStyle w:val="Akapitzlist"/>
        <w:numPr>
          <w:ilvl w:val="0"/>
          <w:numId w:val="55"/>
        </w:numPr>
        <w:jc w:val="left"/>
        <w:rPr>
          <w:rFonts w:ascii="Arial" w:hAnsi="Arial" w:cs="Arial"/>
          <w:color w:val="auto"/>
          <w:sz w:val="24"/>
          <w:szCs w:val="24"/>
        </w:rPr>
      </w:pPr>
      <w:r w:rsidRPr="00237760">
        <w:rPr>
          <w:rFonts w:ascii="Arial" w:hAnsi="Arial" w:cs="Arial"/>
          <w:b/>
          <w:bCs/>
          <w:color w:val="auto"/>
          <w:sz w:val="24"/>
          <w:szCs w:val="24"/>
        </w:rPr>
        <w:t>Właściwie określone ryzyka realizacji Programu</w:t>
      </w:r>
      <w:r w:rsidRPr="00237760">
        <w:rPr>
          <w:rFonts w:ascii="Arial" w:hAnsi="Arial" w:cs="Arial"/>
          <w:color w:val="auto"/>
          <w:sz w:val="24"/>
          <w:szCs w:val="24"/>
        </w:rPr>
        <w:t xml:space="preserve">. Z wyjątkiem kilku propozycji doprecyzowania zapisów, wszystkie ryzyka są realne i uwzględniają również ostatnie wydarzenia związane </w:t>
      </w:r>
      <w:r w:rsidR="00A45330" w:rsidRPr="00237760">
        <w:rPr>
          <w:rFonts w:ascii="Arial" w:hAnsi="Arial" w:cs="Arial"/>
          <w:color w:val="auto"/>
          <w:sz w:val="24"/>
          <w:szCs w:val="24"/>
        </w:rPr>
        <w:br/>
      </w:r>
      <w:r w:rsidRPr="00237760">
        <w:rPr>
          <w:rFonts w:ascii="Arial" w:hAnsi="Arial" w:cs="Arial"/>
          <w:color w:val="auto"/>
          <w:sz w:val="24"/>
          <w:szCs w:val="24"/>
        </w:rPr>
        <w:t>z wojną w Ukrainie.</w:t>
      </w:r>
    </w:p>
    <w:p w14:paraId="7A7D8C22" w14:textId="5B27F74C" w:rsidR="00C40CCB" w:rsidRPr="00237760" w:rsidRDefault="00C40CCB" w:rsidP="009367B4">
      <w:pPr>
        <w:pStyle w:val="Akapitzlist"/>
        <w:numPr>
          <w:ilvl w:val="0"/>
          <w:numId w:val="55"/>
        </w:numPr>
        <w:jc w:val="left"/>
        <w:rPr>
          <w:rFonts w:ascii="Arial" w:hAnsi="Arial" w:cs="Arial"/>
          <w:color w:val="auto"/>
          <w:sz w:val="24"/>
          <w:szCs w:val="24"/>
        </w:rPr>
      </w:pPr>
      <w:r w:rsidRPr="00237760">
        <w:rPr>
          <w:rFonts w:ascii="Arial" w:hAnsi="Arial" w:cs="Arial"/>
          <w:b/>
          <w:bCs/>
          <w:color w:val="auto"/>
          <w:sz w:val="24"/>
          <w:szCs w:val="24"/>
        </w:rPr>
        <w:t>Właściwe założenia dotyczące wdrażania Programu</w:t>
      </w:r>
      <w:r w:rsidRPr="00237760">
        <w:rPr>
          <w:rFonts w:ascii="Arial" w:hAnsi="Arial" w:cs="Arial"/>
          <w:color w:val="auto"/>
          <w:sz w:val="24"/>
          <w:szCs w:val="24"/>
        </w:rPr>
        <w:t xml:space="preserve"> – w szczególności precyzyjnie wskazano podmiot odpowiedzialny za wdrażanie Programu, którym będzie Zespół ds. Monitorowania </w:t>
      </w:r>
      <w:r w:rsidR="00A45330" w:rsidRPr="00237760">
        <w:rPr>
          <w:rFonts w:ascii="Arial" w:hAnsi="Arial" w:cs="Arial"/>
          <w:color w:val="auto"/>
          <w:sz w:val="24"/>
          <w:szCs w:val="24"/>
        </w:rPr>
        <w:br/>
      </w:r>
      <w:r w:rsidRPr="00237760">
        <w:rPr>
          <w:rFonts w:ascii="Arial" w:hAnsi="Arial" w:cs="Arial"/>
          <w:color w:val="auto"/>
          <w:sz w:val="24"/>
          <w:szCs w:val="24"/>
        </w:rPr>
        <w:t xml:space="preserve">i Koordynowania Programu, w skład którego mają wejść przedstawiciele podstawowych jednostek Urzędu Marszałkowskiego oraz interesariuszy zewnętrznych. Istotne jest również połączenie monitorowania Programu z systemem monitoringu funduszy europejskich </w:t>
      </w:r>
      <w:r w:rsidR="00A45330" w:rsidRPr="00237760">
        <w:rPr>
          <w:rFonts w:ascii="Arial" w:hAnsi="Arial" w:cs="Arial"/>
          <w:color w:val="auto"/>
          <w:sz w:val="24"/>
          <w:szCs w:val="24"/>
        </w:rPr>
        <w:br/>
      </w:r>
      <w:r w:rsidRPr="00237760">
        <w:rPr>
          <w:rFonts w:ascii="Arial" w:hAnsi="Arial" w:cs="Arial"/>
          <w:color w:val="auto"/>
          <w:sz w:val="24"/>
          <w:szCs w:val="24"/>
        </w:rPr>
        <w:t>w województwie.</w:t>
      </w:r>
    </w:p>
    <w:p w14:paraId="3D75F90D" w14:textId="77777777" w:rsidR="00C40CCB" w:rsidRPr="00237760" w:rsidRDefault="00C40CCB" w:rsidP="009367B4">
      <w:pPr>
        <w:spacing w:after="160" w:line="259" w:lineRule="auto"/>
        <w:jc w:val="left"/>
        <w:rPr>
          <w:rFonts w:ascii="Arial" w:hAnsi="Arial" w:cs="Arial"/>
          <w:color w:val="auto"/>
          <w:sz w:val="24"/>
          <w:szCs w:val="24"/>
          <w:lang w:eastAsia="pl-PL"/>
        </w:rPr>
      </w:pPr>
      <w:r w:rsidRPr="00237760">
        <w:rPr>
          <w:rFonts w:ascii="Arial" w:hAnsi="Arial" w:cs="Arial"/>
          <w:color w:val="auto"/>
          <w:sz w:val="24"/>
          <w:szCs w:val="24"/>
          <w:lang w:eastAsia="pl-PL"/>
        </w:rPr>
        <w:t>Szczegółowe rekomendacje dotyczące ocenianego dokumentu odnoszą się do:</w:t>
      </w:r>
    </w:p>
    <w:p w14:paraId="71E03592" w14:textId="77777777" w:rsidR="00C40CCB" w:rsidRPr="00237760" w:rsidRDefault="00C40CCB" w:rsidP="009367B4">
      <w:pPr>
        <w:pStyle w:val="Akapitzlist"/>
        <w:numPr>
          <w:ilvl w:val="0"/>
          <w:numId w:val="62"/>
        </w:numPr>
        <w:spacing w:after="160" w:line="259" w:lineRule="auto"/>
        <w:jc w:val="left"/>
        <w:rPr>
          <w:rFonts w:ascii="Arial" w:hAnsi="Arial" w:cs="Arial"/>
          <w:color w:val="auto"/>
          <w:sz w:val="24"/>
          <w:szCs w:val="24"/>
        </w:rPr>
      </w:pPr>
      <w:r w:rsidRPr="00237760">
        <w:rPr>
          <w:rFonts w:ascii="Arial" w:hAnsi="Arial" w:cs="Arial"/>
          <w:color w:val="auto"/>
          <w:sz w:val="24"/>
          <w:szCs w:val="24"/>
        </w:rPr>
        <w:t>Wprowadzenia celu głównego, jakim jest: „Efektywne i skuteczne wdrażanie działań, przyczyniających się do realizacji celów Strategii rozwoju województwa – Podkarpackie 2030, w obrębie transportu”;</w:t>
      </w:r>
    </w:p>
    <w:p w14:paraId="417417AD" w14:textId="5BA7C4DA" w:rsidR="00C40CCB" w:rsidRPr="00237760" w:rsidRDefault="00C40CCB" w:rsidP="009367B4">
      <w:pPr>
        <w:pStyle w:val="Akapitzlist"/>
        <w:numPr>
          <w:ilvl w:val="0"/>
          <w:numId w:val="62"/>
        </w:numPr>
        <w:spacing w:after="160" w:line="259" w:lineRule="auto"/>
        <w:jc w:val="left"/>
        <w:rPr>
          <w:rFonts w:ascii="Arial" w:hAnsi="Arial" w:cs="Arial"/>
          <w:color w:val="auto"/>
          <w:sz w:val="24"/>
          <w:szCs w:val="24"/>
        </w:rPr>
      </w:pPr>
      <w:r w:rsidRPr="00237760">
        <w:rPr>
          <w:rFonts w:ascii="Arial" w:hAnsi="Arial" w:cs="Arial"/>
          <w:color w:val="auto"/>
          <w:sz w:val="24"/>
          <w:szCs w:val="24"/>
        </w:rPr>
        <w:t>Modyfikacji nazwy celu horyzontalnego „Transport publiczny” na „Rozwój transportu publicznego”;</w:t>
      </w:r>
    </w:p>
    <w:p w14:paraId="1DBD2895" w14:textId="77777777" w:rsidR="00C40CCB" w:rsidRPr="00237760" w:rsidRDefault="00C40CCB" w:rsidP="009367B4">
      <w:pPr>
        <w:pStyle w:val="Akapitzlist"/>
        <w:numPr>
          <w:ilvl w:val="0"/>
          <w:numId w:val="62"/>
        </w:numPr>
        <w:spacing w:after="160" w:line="259" w:lineRule="auto"/>
        <w:jc w:val="left"/>
        <w:rPr>
          <w:rFonts w:ascii="Arial" w:hAnsi="Arial" w:cs="Arial"/>
          <w:color w:val="auto"/>
          <w:sz w:val="24"/>
          <w:szCs w:val="24"/>
        </w:rPr>
      </w:pPr>
      <w:r w:rsidRPr="00237760">
        <w:rPr>
          <w:rFonts w:ascii="Arial" w:hAnsi="Arial" w:cs="Arial"/>
          <w:color w:val="auto"/>
          <w:sz w:val="24"/>
          <w:szCs w:val="24"/>
        </w:rPr>
        <w:t>Doprecyzowania nazw i pomiaru części wskaźników monitorowania wraz ze wskazaniem oczekiwanego trendu zmiany;</w:t>
      </w:r>
    </w:p>
    <w:p w14:paraId="7CCAA2B5" w14:textId="77777777" w:rsidR="00C40CCB" w:rsidRPr="00237760" w:rsidRDefault="00C40CCB" w:rsidP="009367B4">
      <w:pPr>
        <w:pStyle w:val="Akapitzlist"/>
        <w:numPr>
          <w:ilvl w:val="0"/>
          <w:numId w:val="62"/>
        </w:numPr>
        <w:spacing w:after="160" w:line="259" w:lineRule="auto"/>
        <w:jc w:val="left"/>
        <w:rPr>
          <w:rFonts w:ascii="Arial" w:hAnsi="Arial" w:cs="Arial"/>
          <w:color w:val="auto"/>
          <w:sz w:val="24"/>
          <w:szCs w:val="24"/>
        </w:rPr>
      </w:pPr>
      <w:r w:rsidRPr="00237760">
        <w:rPr>
          <w:rFonts w:ascii="Arial" w:hAnsi="Arial" w:cs="Arial"/>
          <w:color w:val="auto"/>
          <w:sz w:val="24"/>
          <w:szCs w:val="24"/>
        </w:rPr>
        <w:lastRenderedPageBreak/>
        <w:t>Uzupełnienia informacji dotyczących przyszłego procesu ewaluacji Programu;</w:t>
      </w:r>
    </w:p>
    <w:p w14:paraId="04D0FE02" w14:textId="77777777" w:rsidR="00C40CCB" w:rsidRPr="00237760" w:rsidRDefault="00C40CCB" w:rsidP="009367B4">
      <w:pPr>
        <w:pStyle w:val="Akapitzlist"/>
        <w:numPr>
          <w:ilvl w:val="0"/>
          <w:numId w:val="62"/>
        </w:numPr>
        <w:spacing w:after="160" w:line="259" w:lineRule="auto"/>
        <w:jc w:val="left"/>
        <w:rPr>
          <w:rFonts w:ascii="Arial" w:hAnsi="Arial" w:cs="Arial"/>
          <w:color w:val="auto"/>
          <w:sz w:val="24"/>
          <w:szCs w:val="24"/>
        </w:rPr>
      </w:pPr>
      <w:r w:rsidRPr="00237760">
        <w:rPr>
          <w:rFonts w:ascii="Arial" w:hAnsi="Arial" w:cs="Arial"/>
          <w:color w:val="auto"/>
          <w:sz w:val="24"/>
          <w:szCs w:val="24"/>
        </w:rPr>
        <w:t>Określenia zakresu planowanej interwencji, która będzie realizowana w ujęciu terytorialnym, możliwym do objęcia kontraktem sektorowym.</w:t>
      </w:r>
    </w:p>
    <w:p w14:paraId="60AD36C4" w14:textId="2746F321" w:rsidR="00C40CCB" w:rsidRPr="00237760" w:rsidRDefault="00C40CCB"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 xml:space="preserve">Na zakończenie należy podkreślić, że oceniany Program we właściwy sposób odpowiada na większość wyzwań, przed jakimi stoi województwo podkarpackie. Problem, jakim jest dostępność transportowa może być rozwiązywany przez działania określone w Programie, ale poprawa dostępności powinna również pozytywnie wpływać na bezpieczeństwo uczestników ruchu oraz na jakość środowiska. Zatem istotne będą możliwości w realizacji inwestycji, a także efektywność podejmowanych działań, które gwarantując likwidację wykluczenia komunikacyjnego, będą przyczyniały się do poprawy bezpieczeństwa i zmniejszania presji na środowisko. Dotyczy to np. inwestycji i zakupów taboru, jak </w:t>
      </w:r>
      <w:r w:rsidR="00A45330" w:rsidRPr="00237760">
        <w:rPr>
          <w:rFonts w:ascii="Arial" w:hAnsi="Arial" w:cs="Arial"/>
          <w:color w:val="auto"/>
          <w:sz w:val="24"/>
          <w:szCs w:val="24"/>
          <w:lang w:eastAsia="pl-PL"/>
        </w:rPr>
        <w:br/>
      </w:r>
      <w:r w:rsidRPr="00237760">
        <w:rPr>
          <w:rFonts w:ascii="Arial" w:hAnsi="Arial" w:cs="Arial"/>
          <w:color w:val="auto"/>
          <w:sz w:val="24"/>
          <w:szCs w:val="24"/>
          <w:lang w:eastAsia="pl-PL"/>
        </w:rPr>
        <w:t xml:space="preserve">i promocji transportu zbiorowego w celu odchodzenia od transportu indywidualnego. </w:t>
      </w:r>
    </w:p>
    <w:p w14:paraId="701AE533" w14:textId="312A9A5B" w:rsidR="00C40CCB" w:rsidRPr="00237760" w:rsidRDefault="00C40CCB" w:rsidP="009367B4">
      <w:pPr>
        <w:tabs>
          <w:tab w:val="left" w:pos="3705"/>
        </w:tabs>
        <w:spacing w:after="160" w:line="259" w:lineRule="auto"/>
        <w:jc w:val="left"/>
        <w:rPr>
          <w:rFonts w:ascii="Arial" w:hAnsi="Arial" w:cs="Arial"/>
          <w:color w:val="auto"/>
          <w:sz w:val="24"/>
          <w:szCs w:val="24"/>
          <w:lang w:eastAsia="pl-PL"/>
        </w:rPr>
      </w:pPr>
      <w:r w:rsidRPr="00237760">
        <w:rPr>
          <w:rFonts w:ascii="Arial" w:hAnsi="Arial" w:cs="Arial"/>
          <w:color w:val="auto"/>
          <w:sz w:val="24"/>
          <w:szCs w:val="24"/>
          <w:lang w:eastAsia="pl-PL"/>
        </w:rPr>
        <w:br w:type="page"/>
      </w:r>
    </w:p>
    <w:p w14:paraId="128E86AA" w14:textId="1999A33D" w:rsidR="00C917B4" w:rsidRPr="00237760" w:rsidRDefault="001477FB" w:rsidP="009367B4">
      <w:pPr>
        <w:pStyle w:val="Nagwek1"/>
        <w:rPr>
          <w:rFonts w:ascii="Arial" w:hAnsi="Arial" w:cs="Arial"/>
          <w:color w:val="auto"/>
          <w:sz w:val="24"/>
          <w:szCs w:val="24"/>
        </w:rPr>
      </w:pPr>
      <w:bookmarkStart w:id="11" w:name="_Toc101904099"/>
      <w:r w:rsidRPr="00237760">
        <w:rPr>
          <w:rFonts w:ascii="Arial" w:hAnsi="Arial" w:cs="Arial"/>
          <w:color w:val="auto"/>
          <w:sz w:val="24"/>
          <w:szCs w:val="24"/>
        </w:rPr>
        <w:lastRenderedPageBreak/>
        <w:t>Cel i zakres ewaluacji</w:t>
      </w:r>
      <w:bookmarkEnd w:id="5"/>
      <w:bookmarkEnd w:id="6"/>
      <w:bookmarkEnd w:id="7"/>
      <w:bookmarkEnd w:id="11"/>
    </w:p>
    <w:p w14:paraId="739AB311" w14:textId="77777777" w:rsidR="001333A3" w:rsidRPr="00237760" w:rsidRDefault="001333A3"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Zgodnie z zaprezentowanym w SOPZ oczekiwaniem, celem głównym badania jest:</w:t>
      </w:r>
    </w:p>
    <w:p w14:paraId="10D484B2" w14:textId="77777777" w:rsidR="001333A3" w:rsidRPr="00237760" w:rsidRDefault="001333A3" w:rsidP="009367B4">
      <w:pPr>
        <w:jc w:val="left"/>
        <w:rPr>
          <w:rFonts w:ascii="Arial" w:hAnsi="Arial" w:cs="Arial"/>
          <w:b/>
          <w:i/>
          <w:color w:val="auto"/>
          <w:sz w:val="24"/>
          <w:szCs w:val="24"/>
          <w:lang w:eastAsia="pl-PL"/>
        </w:rPr>
      </w:pPr>
      <w:r w:rsidRPr="00237760">
        <w:rPr>
          <w:rFonts w:ascii="Arial" w:hAnsi="Arial" w:cs="Arial"/>
          <w:b/>
          <w:i/>
          <w:color w:val="auto"/>
          <w:sz w:val="24"/>
          <w:szCs w:val="24"/>
          <w:lang w:eastAsia="pl-PL"/>
        </w:rPr>
        <w:t>ocena ex-ante projektu Programu Strategicznego Rozwoju Transportu Województwa Podkarpackiego do roku 2030, a na jej podstawie sformułowanie wniosków i rekomendacji, umożliwiających podniesienie jakości dokumentu i zwiększenie efektywności podejmowanej w jego ramach interwencji.</w:t>
      </w:r>
    </w:p>
    <w:p w14:paraId="43F35B55" w14:textId="77777777" w:rsidR="001333A3" w:rsidRPr="00237760" w:rsidRDefault="001333A3" w:rsidP="009367B4">
      <w:pPr>
        <w:pStyle w:val="Nagwek2"/>
        <w:rPr>
          <w:rFonts w:ascii="Arial" w:hAnsi="Arial" w:cs="Arial"/>
          <w:color w:val="auto"/>
          <w:sz w:val="24"/>
          <w:szCs w:val="24"/>
        </w:rPr>
      </w:pPr>
      <w:bookmarkStart w:id="12" w:name="_Toc101904100"/>
      <w:r w:rsidRPr="00237760">
        <w:rPr>
          <w:rFonts w:ascii="Arial" w:hAnsi="Arial" w:cs="Arial"/>
          <w:color w:val="auto"/>
          <w:sz w:val="24"/>
          <w:szCs w:val="24"/>
        </w:rPr>
        <w:t>Zakres przedmiotowy badania</w:t>
      </w:r>
      <w:bookmarkEnd w:id="12"/>
    </w:p>
    <w:p w14:paraId="6A03AE55" w14:textId="77777777" w:rsidR="001333A3" w:rsidRPr="00237760" w:rsidRDefault="001333A3"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 xml:space="preserve">Przedmiotem niniejszego badania jest projekt </w:t>
      </w:r>
      <w:r w:rsidRPr="00237760">
        <w:rPr>
          <w:rFonts w:ascii="Arial" w:hAnsi="Arial" w:cs="Arial"/>
          <w:i/>
          <w:color w:val="auto"/>
          <w:sz w:val="24"/>
          <w:szCs w:val="24"/>
          <w:lang w:eastAsia="pl-PL"/>
        </w:rPr>
        <w:t>Programu Strategicznego Rozwoju Transportu Województwa Podkarpackiego do roku 2030</w:t>
      </w:r>
      <w:r w:rsidRPr="00237760">
        <w:rPr>
          <w:rFonts w:ascii="Arial" w:hAnsi="Arial" w:cs="Arial"/>
          <w:color w:val="auto"/>
          <w:sz w:val="24"/>
          <w:szCs w:val="24"/>
          <w:lang w:eastAsia="pl-PL"/>
        </w:rPr>
        <w:t>, w tym w szczególności wskazane w SOPZ jego następujące elementy:</w:t>
      </w:r>
    </w:p>
    <w:p w14:paraId="2A43E6A5" w14:textId="6C64EB43" w:rsidR="001333A3" w:rsidRPr="00237760" w:rsidRDefault="007F205A" w:rsidP="009367B4">
      <w:pPr>
        <w:pStyle w:val="Akapitzlist"/>
        <w:numPr>
          <w:ilvl w:val="0"/>
          <w:numId w:val="2"/>
        </w:numPr>
        <w:spacing w:line="240" w:lineRule="auto"/>
        <w:ind w:left="426" w:hanging="357"/>
        <w:contextualSpacing/>
        <w:jc w:val="left"/>
        <w:rPr>
          <w:rFonts w:ascii="Arial" w:hAnsi="Arial" w:cs="Arial"/>
          <w:color w:val="auto"/>
          <w:sz w:val="24"/>
          <w:szCs w:val="24"/>
        </w:rPr>
      </w:pPr>
      <w:r w:rsidRPr="00237760">
        <w:rPr>
          <w:rFonts w:ascii="Arial" w:hAnsi="Arial" w:cs="Arial"/>
          <w:color w:val="auto"/>
          <w:sz w:val="24"/>
          <w:szCs w:val="24"/>
        </w:rPr>
        <w:t>D</w:t>
      </w:r>
      <w:r w:rsidR="001333A3" w:rsidRPr="00237760">
        <w:rPr>
          <w:rFonts w:ascii="Arial" w:hAnsi="Arial" w:cs="Arial"/>
          <w:color w:val="auto"/>
          <w:sz w:val="24"/>
          <w:szCs w:val="24"/>
        </w:rPr>
        <w:t>iagnoza stanu systemu transportowego w województwie podkarpackim,</w:t>
      </w:r>
    </w:p>
    <w:p w14:paraId="09F413C6" w14:textId="4F0B5300" w:rsidR="001333A3" w:rsidRPr="00237760" w:rsidRDefault="007F205A" w:rsidP="009367B4">
      <w:pPr>
        <w:pStyle w:val="Akapitzlist"/>
        <w:numPr>
          <w:ilvl w:val="0"/>
          <w:numId w:val="2"/>
        </w:numPr>
        <w:spacing w:line="240" w:lineRule="auto"/>
        <w:ind w:left="426" w:hanging="357"/>
        <w:contextualSpacing/>
        <w:jc w:val="left"/>
        <w:rPr>
          <w:rFonts w:ascii="Arial" w:hAnsi="Arial" w:cs="Arial"/>
          <w:color w:val="auto"/>
          <w:sz w:val="24"/>
          <w:szCs w:val="24"/>
        </w:rPr>
      </w:pPr>
      <w:r w:rsidRPr="00237760">
        <w:rPr>
          <w:rFonts w:ascii="Arial" w:hAnsi="Arial" w:cs="Arial"/>
          <w:color w:val="auto"/>
          <w:sz w:val="24"/>
          <w:szCs w:val="24"/>
        </w:rPr>
        <w:t>P</w:t>
      </w:r>
      <w:r w:rsidR="001333A3" w:rsidRPr="00237760">
        <w:rPr>
          <w:rFonts w:ascii="Arial" w:hAnsi="Arial" w:cs="Arial"/>
          <w:color w:val="auto"/>
          <w:sz w:val="24"/>
          <w:szCs w:val="24"/>
        </w:rPr>
        <w:t>roblemy wynikające z diagnozy i wariantów planistycznych w kontekście różnych możliwości realizacji systemu transportowego,</w:t>
      </w:r>
    </w:p>
    <w:p w14:paraId="73A73F82" w14:textId="33C560E9" w:rsidR="001333A3" w:rsidRPr="00237760" w:rsidRDefault="007F205A" w:rsidP="009367B4">
      <w:pPr>
        <w:pStyle w:val="Akapitzlist"/>
        <w:numPr>
          <w:ilvl w:val="0"/>
          <w:numId w:val="2"/>
        </w:numPr>
        <w:spacing w:line="240" w:lineRule="auto"/>
        <w:ind w:left="426" w:hanging="357"/>
        <w:contextualSpacing/>
        <w:jc w:val="left"/>
        <w:rPr>
          <w:rFonts w:ascii="Arial" w:hAnsi="Arial" w:cs="Arial"/>
          <w:color w:val="auto"/>
          <w:sz w:val="24"/>
          <w:szCs w:val="24"/>
        </w:rPr>
      </w:pPr>
      <w:r w:rsidRPr="00237760">
        <w:rPr>
          <w:rFonts w:ascii="Arial" w:hAnsi="Arial" w:cs="Arial"/>
          <w:color w:val="auto"/>
          <w:sz w:val="24"/>
          <w:szCs w:val="24"/>
        </w:rPr>
        <w:t>K</w:t>
      </w:r>
      <w:r w:rsidR="001333A3" w:rsidRPr="00237760">
        <w:rPr>
          <w:rFonts w:ascii="Arial" w:hAnsi="Arial" w:cs="Arial"/>
          <w:color w:val="auto"/>
          <w:sz w:val="24"/>
          <w:szCs w:val="24"/>
        </w:rPr>
        <w:t>ierunkowa perspektywa rozwoju systemu transportowego regionu, w szczególności opisy celów, kierunków i działań inwestycyjnych,</w:t>
      </w:r>
    </w:p>
    <w:p w14:paraId="723C6159" w14:textId="10A94361" w:rsidR="001333A3" w:rsidRPr="00237760" w:rsidRDefault="007F205A" w:rsidP="009367B4">
      <w:pPr>
        <w:pStyle w:val="Akapitzlist"/>
        <w:numPr>
          <w:ilvl w:val="0"/>
          <w:numId w:val="2"/>
        </w:numPr>
        <w:spacing w:line="240" w:lineRule="auto"/>
        <w:ind w:left="426" w:hanging="357"/>
        <w:contextualSpacing/>
        <w:jc w:val="left"/>
        <w:rPr>
          <w:rFonts w:ascii="Arial" w:hAnsi="Arial" w:cs="Arial"/>
          <w:color w:val="auto"/>
          <w:sz w:val="24"/>
          <w:szCs w:val="24"/>
        </w:rPr>
      </w:pPr>
      <w:r w:rsidRPr="00237760">
        <w:rPr>
          <w:rFonts w:ascii="Arial" w:hAnsi="Arial" w:cs="Arial"/>
          <w:color w:val="auto"/>
          <w:sz w:val="24"/>
          <w:szCs w:val="24"/>
        </w:rPr>
        <w:t>S</w:t>
      </w:r>
      <w:r w:rsidR="001333A3" w:rsidRPr="00237760">
        <w:rPr>
          <w:rFonts w:ascii="Arial" w:hAnsi="Arial" w:cs="Arial"/>
          <w:color w:val="auto"/>
          <w:sz w:val="24"/>
          <w:szCs w:val="24"/>
        </w:rPr>
        <w:t>ystem wdrażania i realizacji (m.in. kryteria wyboru projektów, ramy finansowe, system monitoringu i ewaluacji),</w:t>
      </w:r>
    </w:p>
    <w:p w14:paraId="116F8EBE" w14:textId="075A44C5" w:rsidR="001333A3" w:rsidRPr="00237760" w:rsidRDefault="007F205A" w:rsidP="009367B4">
      <w:pPr>
        <w:pStyle w:val="Akapitzlist"/>
        <w:numPr>
          <w:ilvl w:val="0"/>
          <w:numId w:val="2"/>
        </w:numPr>
        <w:spacing w:line="240" w:lineRule="auto"/>
        <w:ind w:left="426" w:hanging="357"/>
        <w:contextualSpacing/>
        <w:jc w:val="left"/>
        <w:rPr>
          <w:rFonts w:ascii="Arial" w:hAnsi="Arial" w:cs="Arial"/>
          <w:color w:val="auto"/>
          <w:sz w:val="24"/>
          <w:szCs w:val="24"/>
        </w:rPr>
      </w:pPr>
      <w:r w:rsidRPr="00237760">
        <w:rPr>
          <w:rFonts w:ascii="Arial" w:hAnsi="Arial" w:cs="Arial"/>
          <w:color w:val="auto"/>
          <w:sz w:val="24"/>
          <w:szCs w:val="24"/>
        </w:rPr>
        <w:t>A</w:t>
      </w:r>
      <w:r w:rsidR="001333A3" w:rsidRPr="00237760">
        <w:rPr>
          <w:rFonts w:ascii="Arial" w:hAnsi="Arial" w:cs="Arial"/>
          <w:color w:val="auto"/>
          <w:sz w:val="24"/>
          <w:szCs w:val="24"/>
        </w:rPr>
        <w:t>naliza ryzyka.</w:t>
      </w:r>
    </w:p>
    <w:p w14:paraId="7FC3C8CA" w14:textId="77777777" w:rsidR="001333A3" w:rsidRPr="00237760" w:rsidRDefault="001333A3"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Ewaluacja w części zasadniczej obejmie dwa dokumenty:</w:t>
      </w:r>
    </w:p>
    <w:p w14:paraId="14FAEF50" w14:textId="5E9587DF" w:rsidR="001333A3" w:rsidRPr="00237760" w:rsidRDefault="0010103C" w:rsidP="009367B4">
      <w:pPr>
        <w:pStyle w:val="Akapitzlist"/>
        <w:numPr>
          <w:ilvl w:val="0"/>
          <w:numId w:val="54"/>
        </w:numPr>
        <w:spacing w:line="240" w:lineRule="auto"/>
        <w:ind w:left="426"/>
        <w:contextualSpacing/>
        <w:jc w:val="left"/>
        <w:rPr>
          <w:rFonts w:ascii="Arial" w:hAnsi="Arial" w:cs="Arial"/>
          <w:color w:val="auto"/>
          <w:sz w:val="24"/>
          <w:szCs w:val="24"/>
        </w:rPr>
      </w:pPr>
      <w:r w:rsidRPr="00237760">
        <w:rPr>
          <w:rFonts w:ascii="Arial" w:hAnsi="Arial" w:cs="Arial"/>
          <w:color w:val="auto"/>
          <w:sz w:val="24"/>
          <w:szCs w:val="24"/>
        </w:rPr>
        <w:t>p</w:t>
      </w:r>
      <w:r w:rsidR="001333A3" w:rsidRPr="00237760">
        <w:rPr>
          <w:rFonts w:ascii="Arial" w:hAnsi="Arial" w:cs="Arial"/>
          <w:color w:val="auto"/>
          <w:sz w:val="24"/>
          <w:szCs w:val="24"/>
        </w:rPr>
        <w:t>rojekt dokumentu PSRT WP podlegający konsultacjom społecznym,</w:t>
      </w:r>
    </w:p>
    <w:p w14:paraId="79BB8256" w14:textId="6A5ADB85" w:rsidR="001333A3" w:rsidRPr="00237760" w:rsidRDefault="001333A3" w:rsidP="009367B4">
      <w:pPr>
        <w:pStyle w:val="Akapitzlist"/>
        <w:numPr>
          <w:ilvl w:val="0"/>
          <w:numId w:val="54"/>
        </w:numPr>
        <w:spacing w:line="240" w:lineRule="auto"/>
        <w:ind w:left="426"/>
        <w:jc w:val="left"/>
        <w:rPr>
          <w:rFonts w:ascii="Arial" w:hAnsi="Arial" w:cs="Arial"/>
          <w:color w:val="auto"/>
          <w:sz w:val="24"/>
          <w:szCs w:val="24"/>
        </w:rPr>
      </w:pPr>
      <w:r w:rsidRPr="00237760">
        <w:rPr>
          <w:rFonts w:ascii="Arial" w:hAnsi="Arial" w:cs="Arial"/>
          <w:color w:val="auto"/>
          <w:sz w:val="24"/>
          <w:szCs w:val="24"/>
        </w:rPr>
        <w:t>projekt dokumentu PSRT</w:t>
      </w:r>
      <w:r w:rsidR="00524B6A" w:rsidRPr="00237760">
        <w:rPr>
          <w:rFonts w:ascii="Arial" w:hAnsi="Arial" w:cs="Arial"/>
          <w:color w:val="auto"/>
          <w:sz w:val="24"/>
          <w:szCs w:val="24"/>
        </w:rPr>
        <w:t xml:space="preserve"> WP</w:t>
      </w:r>
      <w:r w:rsidRPr="00237760">
        <w:rPr>
          <w:rFonts w:ascii="Arial" w:hAnsi="Arial" w:cs="Arial"/>
          <w:color w:val="auto"/>
          <w:sz w:val="24"/>
          <w:szCs w:val="24"/>
        </w:rPr>
        <w:t xml:space="preserve"> po uwzględnieniu uwag zgłoszonych na konsultacjach społecznych.</w:t>
      </w:r>
    </w:p>
    <w:p w14:paraId="298418E0" w14:textId="77777777" w:rsidR="001333A3" w:rsidRPr="00237760" w:rsidRDefault="001333A3" w:rsidP="009367B4">
      <w:pPr>
        <w:pStyle w:val="Nagwek2"/>
        <w:rPr>
          <w:rFonts w:ascii="Arial" w:hAnsi="Arial" w:cs="Arial"/>
          <w:color w:val="auto"/>
          <w:sz w:val="24"/>
          <w:szCs w:val="24"/>
        </w:rPr>
      </w:pPr>
      <w:bookmarkStart w:id="13" w:name="_Toc25447812"/>
      <w:bookmarkStart w:id="14" w:name="_Toc101904101"/>
      <w:r w:rsidRPr="00237760">
        <w:rPr>
          <w:rFonts w:ascii="Arial" w:hAnsi="Arial" w:cs="Arial"/>
          <w:color w:val="auto"/>
          <w:sz w:val="24"/>
          <w:szCs w:val="24"/>
        </w:rPr>
        <w:t xml:space="preserve">Kryteria ewaluacyjne i </w:t>
      </w:r>
      <w:bookmarkEnd w:id="13"/>
      <w:r w:rsidRPr="00237760">
        <w:rPr>
          <w:rFonts w:ascii="Arial" w:hAnsi="Arial" w:cs="Arial"/>
          <w:color w:val="auto"/>
          <w:sz w:val="24"/>
          <w:szCs w:val="24"/>
        </w:rPr>
        <w:t>logiczna struktura ewaluacji</w:t>
      </w:r>
      <w:bookmarkEnd w:id="14"/>
    </w:p>
    <w:p w14:paraId="639959CA" w14:textId="79D37107" w:rsidR="001333A3" w:rsidRPr="00237760" w:rsidRDefault="001333A3"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Mając na uwadze charakter ewaluacji ex ante</w:t>
      </w:r>
      <w:r w:rsidR="00450D82" w:rsidRPr="00237760">
        <w:rPr>
          <w:rFonts w:ascii="Arial" w:hAnsi="Arial" w:cs="Arial"/>
          <w:color w:val="auto"/>
          <w:sz w:val="24"/>
          <w:szCs w:val="24"/>
          <w:lang w:eastAsia="pl-PL"/>
        </w:rPr>
        <w:t xml:space="preserve">, zastosowano </w:t>
      </w:r>
      <w:r w:rsidRPr="00237760">
        <w:rPr>
          <w:rFonts w:ascii="Arial" w:hAnsi="Arial" w:cs="Arial"/>
          <w:color w:val="auto"/>
          <w:sz w:val="24"/>
          <w:szCs w:val="24"/>
          <w:lang w:eastAsia="pl-PL"/>
        </w:rPr>
        <w:t>następując</w:t>
      </w:r>
      <w:r w:rsidR="00450D82" w:rsidRPr="00237760">
        <w:rPr>
          <w:rFonts w:ascii="Arial" w:hAnsi="Arial" w:cs="Arial"/>
          <w:color w:val="auto"/>
          <w:sz w:val="24"/>
          <w:szCs w:val="24"/>
          <w:lang w:eastAsia="pl-PL"/>
        </w:rPr>
        <w:t>e</w:t>
      </w:r>
      <w:r w:rsidRPr="00237760">
        <w:rPr>
          <w:rFonts w:ascii="Arial" w:hAnsi="Arial" w:cs="Arial"/>
          <w:color w:val="auto"/>
          <w:sz w:val="24"/>
          <w:szCs w:val="24"/>
          <w:lang w:eastAsia="pl-PL"/>
        </w:rPr>
        <w:t xml:space="preserve"> kryteri</w:t>
      </w:r>
      <w:r w:rsidR="00450D82" w:rsidRPr="00237760">
        <w:rPr>
          <w:rFonts w:ascii="Arial" w:hAnsi="Arial" w:cs="Arial"/>
          <w:color w:val="auto"/>
          <w:sz w:val="24"/>
          <w:szCs w:val="24"/>
          <w:lang w:eastAsia="pl-PL"/>
        </w:rPr>
        <w:t>a:</w:t>
      </w:r>
    </w:p>
    <w:p w14:paraId="0D16963E" w14:textId="029B5F63" w:rsidR="001333A3" w:rsidRPr="00237760" w:rsidRDefault="001333A3" w:rsidP="009367B4">
      <w:pPr>
        <w:pStyle w:val="Akapitzlist"/>
        <w:numPr>
          <w:ilvl w:val="0"/>
          <w:numId w:val="44"/>
        </w:numPr>
        <w:ind w:left="426"/>
        <w:contextualSpacing/>
        <w:jc w:val="left"/>
        <w:rPr>
          <w:rFonts w:ascii="Arial" w:hAnsi="Arial" w:cs="Arial"/>
          <w:color w:val="auto"/>
          <w:sz w:val="24"/>
          <w:szCs w:val="24"/>
        </w:rPr>
      </w:pPr>
      <w:r w:rsidRPr="00237760">
        <w:rPr>
          <w:rFonts w:ascii="Arial" w:hAnsi="Arial" w:cs="Arial"/>
          <w:b/>
          <w:bCs/>
          <w:color w:val="auto"/>
          <w:sz w:val="24"/>
          <w:szCs w:val="24"/>
        </w:rPr>
        <w:t>kryterium trafności</w:t>
      </w:r>
      <w:r w:rsidRPr="00237760">
        <w:rPr>
          <w:rFonts w:ascii="Arial" w:hAnsi="Arial" w:cs="Arial"/>
          <w:color w:val="auto"/>
          <w:sz w:val="24"/>
          <w:szCs w:val="24"/>
        </w:rPr>
        <w:t xml:space="preserve"> – w ramach tego kryterium analizowana b</w:t>
      </w:r>
      <w:r w:rsidR="00450D82" w:rsidRPr="00237760">
        <w:rPr>
          <w:rFonts w:ascii="Arial" w:hAnsi="Arial" w:cs="Arial"/>
          <w:color w:val="auto"/>
          <w:sz w:val="24"/>
          <w:szCs w:val="24"/>
        </w:rPr>
        <w:t xml:space="preserve">yła </w:t>
      </w:r>
      <w:r w:rsidRPr="00237760">
        <w:rPr>
          <w:rFonts w:ascii="Arial" w:hAnsi="Arial" w:cs="Arial"/>
          <w:b/>
          <w:bCs/>
          <w:color w:val="auto"/>
          <w:sz w:val="24"/>
          <w:szCs w:val="24"/>
        </w:rPr>
        <w:t>zasadność</w:t>
      </w:r>
      <w:r w:rsidRPr="00237760">
        <w:rPr>
          <w:rFonts w:ascii="Arial" w:hAnsi="Arial" w:cs="Arial"/>
          <w:color w:val="auto"/>
          <w:sz w:val="24"/>
          <w:szCs w:val="24"/>
        </w:rPr>
        <w:t xml:space="preserve"> sformułowanych celów i kierunków działań oraz Rozdziału IV Programu (obejmującego założenia ogólne, strukturę podmiotową realizacji Programu; ramy finansowe oraz system monitoringu i ewaluacji). Temu kryterium poddana zosta</w:t>
      </w:r>
      <w:r w:rsidR="00F86B45" w:rsidRPr="00237760">
        <w:rPr>
          <w:rFonts w:ascii="Arial" w:hAnsi="Arial" w:cs="Arial"/>
          <w:color w:val="auto"/>
          <w:sz w:val="24"/>
          <w:szCs w:val="24"/>
        </w:rPr>
        <w:t>ła</w:t>
      </w:r>
      <w:r w:rsidRPr="00237760">
        <w:rPr>
          <w:rFonts w:ascii="Arial" w:hAnsi="Arial" w:cs="Arial"/>
          <w:color w:val="auto"/>
          <w:sz w:val="24"/>
          <w:szCs w:val="24"/>
        </w:rPr>
        <w:t xml:space="preserve"> również analiza ryzyka zamieszczona w projekcie Programu;</w:t>
      </w:r>
    </w:p>
    <w:p w14:paraId="368E85AA" w14:textId="67EA0EA1" w:rsidR="001333A3" w:rsidRPr="00237760" w:rsidRDefault="001333A3" w:rsidP="009367B4">
      <w:pPr>
        <w:pStyle w:val="Akapitzlist"/>
        <w:numPr>
          <w:ilvl w:val="0"/>
          <w:numId w:val="44"/>
        </w:numPr>
        <w:ind w:left="426"/>
        <w:contextualSpacing/>
        <w:jc w:val="left"/>
        <w:rPr>
          <w:rFonts w:ascii="Arial" w:hAnsi="Arial" w:cs="Arial"/>
          <w:color w:val="auto"/>
          <w:sz w:val="24"/>
          <w:szCs w:val="24"/>
        </w:rPr>
      </w:pPr>
      <w:r w:rsidRPr="00237760">
        <w:rPr>
          <w:rFonts w:ascii="Arial" w:hAnsi="Arial" w:cs="Arial"/>
          <w:b/>
          <w:bCs/>
          <w:color w:val="auto"/>
          <w:sz w:val="24"/>
          <w:szCs w:val="24"/>
        </w:rPr>
        <w:t>kryterium spójności</w:t>
      </w:r>
      <w:r w:rsidRPr="00237760">
        <w:rPr>
          <w:rFonts w:ascii="Arial" w:hAnsi="Arial" w:cs="Arial"/>
          <w:color w:val="auto"/>
          <w:sz w:val="24"/>
          <w:szCs w:val="24"/>
        </w:rPr>
        <w:t xml:space="preserve"> – to kryterium posłuży</w:t>
      </w:r>
      <w:r w:rsidR="00AD6BA7" w:rsidRPr="00237760">
        <w:rPr>
          <w:rFonts w:ascii="Arial" w:hAnsi="Arial" w:cs="Arial"/>
          <w:color w:val="auto"/>
          <w:sz w:val="24"/>
          <w:szCs w:val="24"/>
        </w:rPr>
        <w:t>ło</w:t>
      </w:r>
      <w:r w:rsidRPr="00237760">
        <w:rPr>
          <w:rFonts w:ascii="Arial" w:hAnsi="Arial" w:cs="Arial"/>
          <w:color w:val="auto"/>
          <w:sz w:val="24"/>
          <w:szCs w:val="24"/>
        </w:rPr>
        <w:t xml:space="preserve"> ocenie relacji między </w:t>
      </w:r>
      <w:r w:rsidR="00AD6BA7" w:rsidRPr="00237760">
        <w:rPr>
          <w:rFonts w:ascii="Arial" w:hAnsi="Arial" w:cs="Arial"/>
          <w:color w:val="auto"/>
          <w:sz w:val="24"/>
          <w:szCs w:val="24"/>
        </w:rPr>
        <w:t>p</w:t>
      </w:r>
      <w:r w:rsidRPr="00237760">
        <w:rPr>
          <w:rFonts w:ascii="Arial" w:hAnsi="Arial" w:cs="Arial"/>
          <w:color w:val="auto"/>
          <w:sz w:val="24"/>
          <w:szCs w:val="24"/>
        </w:rPr>
        <w:t xml:space="preserve">rojektem Programu </w:t>
      </w:r>
      <w:r w:rsidR="00A45330" w:rsidRPr="00237760">
        <w:rPr>
          <w:rFonts w:ascii="Arial" w:hAnsi="Arial" w:cs="Arial"/>
          <w:color w:val="auto"/>
          <w:sz w:val="24"/>
          <w:szCs w:val="24"/>
        </w:rPr>
        <w:br/>
      </w:r>
      <w:r w:rsidRPr="00237760">
        <w:rPr>
          <w:rFonts w:ascii="Arial" w:hAnsi="Arial" w:cs="Arial"/>
          <w:color w:val="auto"/>
          <w:sz w:val="24"/>
          <w:szCs w:val="24"/>
        </w:rPr>
        <w:t xml:space="preserve">a kluczowymi dokumentami unijnymi, krajowymi i regionalnymi (w tym lokalnymi) ze szczególnym uwzględnieniem </w:t>
      </w:r>
      <w:r w:rsidRPr="00237760">
        <w:rPr>
          <w:rFonts w:ascii="Arial" w:hAnsi="Arial" w:cs="Arial"/>
          <w:i/>
          <w:color w:val="auto"/>
          <w:sz w:val="24"/>
          <w:szCs w:val="24"/>
        </w:rPr>
        <w:t>Strategii Rozwoju Województwa – Podkarpackie 2030</w:t>
      </w:r>
      <w:r w:rsidRPr="00237760">
        <w:rPr>
          <w:rFonts w:ascii="Arial" w:hAnsi="Arial" w:cs="Arial"/>
          <w:color w:val="auto"/>
          <w:sz w:val="24"/>
          <w:szCs w:val="24"/>
        </w:rPr>
        <w:t xml:space="preserve">. W ramach tego kryterium oceniona </w:t>
      </w:r>
      <w:r w:rsidR="00AD6BA7" w:rsidRPr="00237760">
        <w:rPr>
          <w:rFonts w:ascii="Arial" w:hAnsi="Arial" w:cs="Arial"/>
          <w:color w:val="auto"/>
          <w:sz w:val="24"/>
          <w:szCs w:val="24"/>
        </w:rPr>
        <w:t>była ró</w:t>
      </w:r>
      <w:r w:rsidRPr="00237760">
        <w:rPr>
          <w:rFonts w:ascii="Arial" w:hAnsi="Arial" w:cs="Arial"/>
          <w:color w:val="auto"/>
          <w:sz w:val="24"/>
          <w:szCs w:val="24"/>
        </w:rPr>
        <w:t>wnież spójność wewnętrzna ewaluowanego dokumentu;</w:t>
      </w:r>
    </w:p>
    <w:p w14:paraId="14AAACFE" w14:textId="194027EF" w:rsidR="001333A3" w:rsidRPr="00237760" w:rsidRDefault="001333A3" w:rsidP="009367B4">
      <w:pPr>
        <w:pStyle w:val="Akapitzlist"/>
        <w:numPr>
          <w:ilvl w:val="0"/>
          <w:numId w:val="44"/>
        </w:numPr>
        <w:ind w:left="426"/>
        <w:contextualSpacing/>
        <w:jc w:val="left"/>
        <w:rPr>
          <w:rFonts w:ascii="Arial" w:hAnsi="Arial" w:cs="Arial"/>
          <w:color w:val="auto"/>
          <w:sz w:val="24"/>
          <w:szCs w:val="24"/>
        </w:rPr>
      </w:pPr>
      <w:r w:rsidRPr="00237760">
        <w:rPr>
          <w:rFonts w:ascii="Arial" w:hAnsi="Arial" w:cs="Arial"/>
          <w:b/>
          <w:bCs/>
          <w:color w:val="auto"/>
          <w:sz w:val="24"/>
          <w:szCs w:val="24"/>
        </w:rPr>
        <w:lastRenderedPageBreak/>
        <w:t>kryterium skuteczności</w:t>
      </w:r>
      <w:r w:rsidRPr="00237760">
        <w:rPr>
          <w:rStyle w:val="Odwoanieprzypisudolnego"/>
          <w:rFonts w:ascii="Arial" w:hAnsi="Arial" w:cs="Arial"/>
          <w:color w:val="auto"/>
          <w:sz w:val="24"/>
          <w:szCs w:val="24"/>
        </w:rPr>
        <w:footnoteReference w:id="3"/>
      </w:r>
      <w:r w:rsidRPr="00237760">
        <w:rPr>
          <w:rFonts w:ascii="Arial" w:hAnsi="Arial" w:cs="Arial"/>
          <w:color w:val="auto"/>
          <w:sz w:val="24"/>
          <w:szCs w:val="24"/>
        </w:rPr>
        <w:t xml:space="preserve"> – w przypadku tego kryterium kluczowa b</w:t>
      </w:r>
      <w:r w:rsidR="00AD6BA7" w:rsidRPr="00237760">
        <w:rPr>
          <w:rFonts w:ascii="Arial" w:hAnsi="Arial" w:cs="Arial"/>
          <w:color w:val="auto"/>
          <w:sz w:val="24"/>
          <w:szCs w:val="24"/>
        </w:rPr>
        <w:t xml:space="preserve">yła </w:t>
      </w:r>
      <w:r w:rsidRPr="00237760">
        <w:rPr>
          <w:rFonts w:ascii="Arial" w:hAnsi="Arial" w:cs="Arial"/>
          <w:color w:val="auto"/>
          <w:sz w:val="24"/>
          <w:szCs w:val="24"/>
        </w:rPr>
        <w:t xml:space="preserve">ocena logiki interwencji </w:t>
      </w:r>
      <w:r w:rsidR="00A45330" w:rsidRPr="00237760">
        <w:rPr>
          <w:rFonts w:ascii="Arial" w:hAnsi="Arial" w:cs="Arial"/>
          <w:color w:val="auto"/>
          <w:sz w:val="24"/>
          <w:szCs w:val="24"/>
        </w:rPr>
        <w:br/>
      </w:r>
      <w:r w:rsidRPr="00237760">
        <w:rPr>
          <w:rFonts w:ascii="Arial" w:hAnsi="Arial" w:cs="Arial"/>
          <w:color w:val="auto"/>
          <w:sz w:val="24"/>
          <w:szCs w:val="24"/>
        </w:rPr>
        <w:t xml:space="preserve">w kontekście zakładanych celów Programu oraz przełożenia realizacji Programu na osiąganie celów rozwoju społeczno-gospodarczego określonych w </w:t>
      </w:r>
      <w:r w:rsidRPr="00237760">
        <w:rPr>
          <w:rFonts w:ascii="Arial" w:hAnsi="Arial" w:cs="Arial"/>
          <w:i/>
          <w:color w:val="auto"/>
          <w:sz w:val="24"/>
          <w:szCs w:val="24"/>
        </w:rPr>
        <w:t>Strategii Rozwoju Województwa – Podkarpackie 2030</w:t>
      </w:r>
      <w:r w:rsidRPr="00237760">
        <w:rPr>
          <w:rFonts w:ascii="Arial" w:hAnsi="Arial" w:cs="Arial"/>
          <w:color w:val="auto"/>
          <w:sz w:val="24"/>
          <w:szCs w:val="24"/>
        </w:rPr>
        <w:t>. Kryterium skuteczności pozwoli</w:t>
      </w:r>
      <w:r w:rsidR="001D5629" w:rsidRPr="00237760">
        <w:rPr>
          <w:rFonts w:ascii="Arial" w:hAnsi="Arial" w:cs="Arial"/>
          <w:color w:val="auto"/>
          <w:sz w:val="24"/>
          <w:szCs w:val="24"/>
        </w:rPr>
        <w:t>ło</w:t>
      </w:r>
      <w:r w:rsidRPr="00237760">
        <w:rPr>
          <w:rFonts w:ascii="Arial" w:hAnsi="Arial" w:cs="Arial"/>
          <w:color w:val="auto"/>
          <w:sz w:val="24"/>
          <w:szCs w:val="24"/>
        </w:rPr>
        <w:t xml:space="preserve"> również ocenić system wdrażania (założenia dot. finansowania, monitoringu i ewaluacji);</w:t>
      </w:r>
    </w:p>
    <w:p w14:paraId="72BB44C4" w14:textId="56941A34" w:rsidR="001333A3" w:rsidRPr="00237760" w:rsidRDefault="001333A3" w:rsidP="009367B4">
      <w:pPr>
        <w:pStyle w:val="Akapitzlist"/>
        <w:numPr>
          <w:ilvl w:val="0"/>
          <w:numId w:val="44"/>
        </w:numPr>
        <w:ind w:left="426"/>
        <w:contextualSpacing/>
        <w:jc w:val="left"/>
        <w:rPr>
          <w:rFonts w:ascii="Arial" w:hAnsi="Arial" w:cs="Arial"/>
          <w:color w:val="auto"/>
          <w:sz w:val="24"/>
          <w:szCs w:val="24"/>
        </w:rPr>
      </w:pPr>
      <w:r w:rsidRPr="00237760">
        <w:rPr>
          <w:rFonts w:ascii="Arial" w:hAnsi="Arial" w:cs="Arial"/>
          <w:b/>
          <w:bCs/>
          <w:color w:val="auto"/>
          <w:sz w:val="24"/>
          <w:szCs w:val="24"/>
        </w:rPr>
        <w:t>kryterium</w:t>
      </w:r>
      <w:r w:rsidRPr="00237760">
        <w:rPr>
          <w:rFonts w:ascii="Arial" w:hAnsi="Arial" w:cs="Arial"/>
          <w:color w:val="auto"/>
          <w:sz w:val="24"/>
          <w:szCs w:val="24"/>
        </w:rPr>
        <w:t xml:space="preserve"> </w:t>
      </w:r>
      <w:r w:rsidRPr="00237760">
        <w:rPr>
          <w:rFonts w:ascii="Arial" w:hAnsi="Arial" w:cs="Arial"/>
          <w:b/>
          <w:bCs/>
          <w:color w:val="auto"/>
          <w:sz w:val="24"/>
          <w:szCs w:val="24"/>
        </w:rPr>
        <w:t>efektywności</w:t>
      </w:r>
      <w:r w:rsidRPr="00237760">
        <w:rPr>
          <w:rFonts w:ascii="Arial" w:hAnsi="Arial" w:cs="Arial"/>
          <w:color w:val="auto"/>
          <w:sz w:val="24"/>
          <w:szCs w:val="24"/>
        </w:rPr>
        <w:t xml:space="preserve"> – zgodnie z zapisami SOPZ to kryterium </w:t>
      </w:r>
      <w:r w:rsidR="001D5629" w:rsidRPr="00237760">
        <w:rPr>
          <w:rFonts w:ascii="Arial" w:hAnsi="Arial" w:cs="Arial"/>
          <w:color w:val="auto"/>
          <w:sz w:val="24"/>
          <w:szCs w:val="24"/>
        </w:rPr>
        <w:t>było</w:t>
      </w:r>
      <w:r w:rsidRPr="00237760">
        <w:rPr>
          <w:rFonts w:ascii="Arial" w:hAnsi="Arial" w:cs="Arial"/>
          <w:color w:val="auto"/>
          <w:sz w:val="24"/>
          <w:szCs w:val="24"/>
        </w:rPr>
        <w:t xml:space="preserve"> stosowane do oceny zapisów dotyczących monitoringu i ewaluacji. </w:t>
      </w:r>
    </w:p>
    <w:p w14:paraId="154A11C3" w14:textId="6F6AE6DA" w:rsidR="001333A3" w:rsidRPr="00237760" w:rsidRDefault="001333A3" w:rsidP="009367B4">
      <w:pPr>
        <w:jc w:val="left"/>
        <w:rPr>
          <w:rFonts w:ascii="Arial" w:hAnsi="Arial" w:cs="Arial"/>
          <w:color w:val="auto"/>
          <w:sz w:val="24"/>
          <w:szCs w:val="24"/>
        </w:rPr>
      </w:pPr>
      <w:r w:rsidRPr="00237760">
        <w:rPr>
          <w:rFonts w:ascii="Arial" w:hAnsi="Arial" w:cs="Arial"/>
          <w:color w:val="auto"/>
          <w:sz w:val="24"/>
          <w:szCs w:val="24"/>
        </w:rPr>
        <w:t>Kryteria ewaluacyj</w:t>
      </w:r>
      <w:r w:rsidR="00121693" w:rsidRPr="00237760">
        <w:rPr>
          <w:rFonts w:ascii="Arial" w:hAnsi="Arial" w:cs="Arial"/>
          <w:color w:val="auto"/>
          <w:sz w:val="24"/>
          <w:szCs w:val="24"/>
        </w:rPr>
        <w:t xml:space="preserve">ne </w:t>
      </w:r>
      <w:r w:rsidR="0099066C" w:rsidRPr="00237760">
        <w:rPr>
          <w:rFonts w:ascii="Arial" w:hAnsi="Arial" w:cs="Arial"/>
          <w:color w:val="auto"/>
          <w:sz w:val="24"/>
          <w:szCs w:val="24"/>
        </w:rPr>
        <w:t xml:space="preserve">stanowiły </w:t>
      </w:r>
      <w:r w:rsidR="00121693" w:rsidRPr="00237760">
        <w:rPr>
          <w:rFonts w:ascii="Arial" w:hAnsi="Arial" w:cs="Arial"/>
          <w:color w:val="auto"/>
          <w:sz w:val="24"/>
          <w:szCs w:val="24"/>
        </w:rPr>
        <w:t>częś</w:t>
      </w:r>
      <w:r w:rsidR="0099066C" w:rsidRPr="00237760">
        <w:rPr>
          <w:rFonts w:ascii="Arial" w:hAnsi="Arial" w:cs="Arial"/>
          <w:color w:val="auto"/>
          <w:sz w:val="24"/>
          <w:szCs w:val="24"/>
        </w:rPr>
        <w:t>ć</w:t>
      </w:r>
      <w:r w:rsidR="00121693" w:rsidRPr="00237760">
        <w:rPr>
          <w:rFonts w:ascii="Arial" w:hAnsi="Arial" w:cs="Arial"/>
          <w:color w:val="auto"/>
          <w:sz w:val="24"/>
          <w:szCs w:val="24"/>
        </w:rPr>
        <w:t xml:space="preserve"> </w:t>
      </w:r>
      <w:r w:rsidR="00E877D2" w:rsidRPr="00237760">
        <w:rPr>
          <w:rFonts w:ascii="Arial" w:hAnsi="Arial" w:cs="Arial"/>
          <w:color w:val="auto"/>
          <w:sz w:val="24"/>
          <w:szCs w:val="24"/>
        </w:rPr>
        <w:t>s</w:t>
      </w:r>
      <w:r w:rsidRPr="00237760">
        <w:rPr>
          <w:rFonts w:ascii="Arial" w:hAnsi="Arial" w:cs="Arial"/>
          <w:color w:val="auto"/>
          <w:sz w:val="24"/>
          <w:szCs w:val="24"/>
        </w:rPr>
        <w:t>truktur</w:t>
      </w:r>
      <w:r w:rsidR="00121693" w:rsidRPr="00237760">
        <w:rPr>
          <w:rFonts w:ascii="Arial" w:hAnsi="Arial" w:cs="Arial"/>
          <w:color w:val="auto"/>
          <w:sz w:val="24"/>
          <w:szCs w:val="24"/>
        </w:rPr>
        <w:t>y</w:t>
      </w:r>
      <w:r w:rsidRPr="00237760">
        <w:rPr>
          <w:rFonts w:ascii="Arial" w:hAnsi="Arial" w:cs="Arial"/>
          <w:color w:val="auto"/>
          <w:sz w:val="24"/>
          <w:szCs w:val="24"/>
        </w:rPr>
        <w:t xml:space="preserve"> ewaluacji (</w:t>
      </w:r>
      <w:r w:rsidR="00333925" w:rsidRPr="00237760">
        <w:rPr>
          <w:rFonts w:ascii="Arial" w:hAnsi="Arial" w:cs="Arial"/>
          <w:color w:val="auto"/>
          <w:sz w:val="24"/>
          <w:szCs w:val="24"/>
        </w:rPr>
        <w:fldChar w:fldCharType="begin"/>
      </w:r>
      <w:r w:rsidR="00333925" w:rsidRPr="00237760">
        <w:rPr>
          <w:rFonts w:ascii="Arial" w:hAnsi="Arial" w:cs="Arial"/>
          <w:color w:val="auto"/>
          <w:sz w:val="24"/>
          <w:szCs w:val="24"/>
        </w:rPr>
        <w:instrText xml:space="preserve"> REF _Ref96180358 \h </w:instrText>
      </w:r>
      <w:r w:rsidR="00BD2C03" w:rsidRPr="00237760">
        <w:rPr>
          <w:rFonts w:ascii="Arial" w:hAnsi="Arial" w:cs="Arial"/>
          <w:color w:val="auto"/>
          <w:sz w:val="24"/>
          <w:szCs w:val="24"/>
        </w:rPr>
        <w:instrText xml:space="preserve"> \* MERGEFORMAT </w:instrText>
      </w:r>
      <w:r w:rsidR="00333925" w:rsidRPr="00237760">
        <w:rPr>
          <w:rFonts w:ascii="Arial" w:hAnsi="Arial" w:cs="Arial"/>
          <w:color w:val="auto"/>
          <w:sz w:val="24"/>
          <w:szCs w:val="24"/>
        </w:rPr>
      </w:r>
      <w:r w:rsidR="00333925" w:rsidRPr="00237760">
        <w:rPr>
          <w:rFonts w:ascii="Arial" w:hAnsi="Arial" w:cs="Arial"/>
          <w:color w:val="auto"/>
          <w:sz w:val="24"/>
          <w:szCs w:val="24"/>
        </w:rPr>
        <w:fldChar w:fldCharType="separate"/>
      </w:r>
      <w:r w:rsidR="00E52C19" w:rsidRPr="00237760">
        <w:rPr>
          <w:rFonts w:ascii="Arial" w:hAnsi="Arial" w:cs="Arial"/>
          <w:color w:val="auto"/>
          <w:sz w:val="24"/>
          <w:szCs w:val="24"/>
        </w:rPr>
        <w:t xml:space="preserve">Rysunek </w:t>
      </w:r>
      <w:r w:rsidR="00E52C19" w:rsidRPr="00237760">
        <w:rPr>
          <w:rFonts w:ascii="Arial" w:hAnsi="Arial" w:cs="Arial"/>
          <w:noProof/>
          <w:color w:val="auto"/>
          <w:sz w:val="24"/>
          <w:szCs w:val="24"/>
        </w:rPr>
        <w:t>1</w:t>
      </w:r>
      <w:r w:rsidR="00333925" w:rsidRPr="00237760">
        <w:rPr>
          <w:rFonts w:ascii="Arial" w:hAnsi="Arial" w:cs="Arial"/>
          <w:color w:val="auto"/>
          <w:sz w:val="24"/>
          <w:szCs w:val="24"/>
        </w:rPr>
        <w:fldChar w:fldCharType="end"/>
      </w:r>
      <w:r w:rsidRPr="00237760">
        <w:rPr>
          <w:rFonts w:ascii="Arial" w:hAnsi="Arial" w:cs="Arial"/>
          <w:color w:val="auto"/>
          <w:sz w:val="24"/>
          <w:szCs w:val="24"/>
        </w:rPr>
        <w:t>)</w:t>
      </w:r>
      <w:r w:rsidR="0099066C" w:rsidRPr="00237760">
        <w:rPr>
          <w:rFonts w:ascii="Arial" w:hAnsi="Arial" w:cs="Arial"/>
          <w:color w:val="auto"/>
          <w:sz w:val="24"/>
          <w:szCs w:val="24"/>
        </w:rPr>
        <w:t xml:space="preserve">, z nimi zostały powiązane </w:t>
      </w:r>
      <w:r w:rsidR="009F740E" w:rsidRPr="00237760">
        <w:rPr>
          <w:rFonts w:ascii="Arial" w:hAnsi="Arial" w:cs="Arial"/>
          <w:color w:val="auto"/>
          <w:sz w:val="24"/>
          <w:szCs w:val="24"/>
        </w:rPr>
        <w:t>p</w:t>
      </w:r>
      <w:r w:rsidR="0099066C" w:rsidRPr="00237760">
        <w:rPr>
          <w:rFonts w:ascii="Arial" w:hAnsi="Arial" w:cs="Arial"/>
          <w:color w:val="auto"/>
          <w:sz w:val="24"/>
          <w:szCs w:val="24"/>
        </w:rPr>
        <w:t>ytania ewaluacyjne</w:t>
      </w:r>
      <w:r w:rsidR="00F22CDE" w:rsidRPr="00237760">
        <w:rPr>
          <w:rFonts w:ascii="Arial" w:hAnsi="Arial" w:cs="Arial"/>
          <w:color w:val="auto"/>
          <w:sz w:val="24"/>
          <w:szCs w:val="24"/>
        </w:rPr>
        <w:t xml:space="preserve"> oraz metody</w:t>
      </w:r>
      <w:r w:rsidR="0099066C" w:rsidRPr="00237760">
        <w:rPr>
          <w:rFonts w:ascii="Arial" w:hAnsi="Arial" w:cs="Arial"/>
          <w:color w:val="auto"/>
          <w:sz w:val="24"/>
          <w:szCs w:val="24"/>
        </w:rPr>
        <w:t xml:space="preserve">. </w:t>
      </w:r>
    </w:p>
    <w:p w14:paraId="5598115F" w14:textId="18EDE0AB" w:rsidR="001333A3" w:rsidRPr="00237760" w:rsidRDefault="00CA237C" w:rsidP="009367B4">
      <w:pPr>
        <w:pStyle w:val="Legenda"/>
        <w:jc w:val="left"/>
        <w:rPr>
          <w:rFonts w:ascii="Arial" w:hAnsi="Arial" w:cs="Arial"/>
          <w:b w:val="0"/>
          <w:color w:val="auto"/>
          <w:sz w:val="24"/>
          <w:szCs w:val="24"/>
        </w:rPr>
      </w:pPr>
      <w:bookmarkStart w:id="15" w:name="_Ref96180358"/>
      <w:bookmarkStart w:id="16" w:name="_Toc101904240"/>
      <w:r w:rsidRPr="00237760">
        <w:rPr>
          <w:rFonts w:ascii="Arial" w:hAnsi="Arial" w:cs="Arial"/>
          <w:color w:val="auto"/>
          <w:sz w:val="24"/>
          <w:szCs w:val="24"/>
        </w:rPr>
        <w:t xml:space="preserve">Rysunek </w:t>
      </w:r>
      <w:r w:rsidRPr="00237760">
        <w:rPr>
          <w:rFonts w:ascii="Arial" w:hAnsi="Arial" w:cs="Arial"/>
          <w:color w:val="auto"/>
          <w:sz w:val="24"/>
          <w:szCs w:val="24"/>
        </w:rPr>
        <w:fldChar w:fldCharType="begin"/>
      </w:r>
      <w:r w:rsidRPr="00237760">
        <w:rPr>
          <w:rFonts w:ascii="Arial" w:hAnsi="Arial" w:cs="Arial"/>
          <w:color w:val="auto"/>
          <w:sz w:val="24"/>
          <w:szCs w:val="24"/>
        </w:rPr>
        <w:instrText>SEQ Rysunek \* ARABIC</w:instrText>
      </w:r>
      <w:r w:rsidRPr="00237760">
        <w:rPr>
          <w:rFonts w:ascii="Arial" w:hAnsi="Arial" w:cs="Arial"/>
          <w:color w:val="auto"/>
          <w:sz w:val="24"/>
          <w:szCs w:val="24"/>
        </w:rPr>
        <w:fldChar w:fldCharType="separate"/>
      </w:r>
      <w:r w:rsidR="00E52C19" w:rsidRPr="00237760">
        <w:rPr>
          <w:rFonts w:ascii="Arial" w:hAnsi="Arial" w:cs="Arial"/>
          <w:noProof/>
          <w:color w:val="auto"/>
          <w:sz w:val="24"/>
          <w:szCs w:val="24"/>
        </w:rPr>
        <w:t>1</w:t>
      </w:r>
      <w:r w:rsidRPr="00237760">
        <w:rPr>
          <w:rFonts w:ascii="Arial" w:hAnsi="Arial" w:cs="Arial"/>
          <w:color w:val="auto"/>
          <w:sz w:val="24"/>
          <w:szCs w:val="24"/>
        </w:rPr>
        <w:fldChar w:fldCharType="end"/>
      </w:r>
      <w:bookmarkEnd w:id="15"/>
      <w:r w:rsidR="00333925" w:rsidRPr="00237760">
        <w:rPr>
          <w:rFonts w:ascii="Arial" w:hAnsi="Arial" w:cs="Arial"/>
          <w:color w:val="auto"/>
          <w:sz w:val="24"/>
          <w:szCs w:val="24"/>
        </w:rPr>
        <w:t xml:space="preserve">. </w:t>
      </w:r>
      <w:r w:rsidR="001333A3" w:rsidRPr="00237760">
        <w:rPr>
          <w:rFonts w:ascii="Arial" w:hAnsi="Arial" w:cs="Arial"/>
          <w:color w:val="auto"/>
          <w:sz w:val="24"/>
          <w:szCs w:val="24"/>
        </w:rPr>
        <w:t>Logiczna struktura ewaluacji ex ante Programu Strategicznego Rozwoju Transportu Województwa Podkarpackiego do roku 2030</w:t>
      </w:r>
      <w:bookmarkEnd w:id="16"/>
    </w:p>
    <w:p w14:paraId="45DF57CE" w14:textId="77777777" w:rsidR="001333A3" w:rsidRPr="00237760" w:rsidRDefault="001333A3" w:rsidP="009367B4">
      <w:pPr>
        <w:jc w:val="left"/>
        <w:rPr>
          <w:rFonts w:ascii="Arial" w:hAnsi="Arial" w:cs="Arial"/>
          <w:color w:val="auto"/>
          <w:sz w:val="24"/>
          <w:szCs w:val="24"/>
          <w:highlight w:val="cyan"/>
        </w:rPr>
      </w:pPr>
      <w:r w:rsidRPr="00237760">
        <w:rPr>
          <w:rFonts w:ascii="Arial" w:hAnsi="Arial" w:cs="Arial"/>
          <w:noProof/>
          <w:color w:val="auto"/>
          <w:sz w:val="24"/>
          <w:szCs w:val="24"/>
          <w:highlight w:val="cyan"/>
          <w:lang w:eastAsia="pl-PL"/>
        </w:rPr>
        <w:drawing>
          <wp:inline distT="0" distB="0" distL="0" distR="0" wp14:anchorId="3BE67C0F" wp14:editId="66EAA518">
            <wp:extent cx="4284000" cy="3793267"/>
            <wp:effectExtent l="0" t="0" r="2540" b="0"/>
            <wp:docPr id="6" name="Obraz 6" descr="Rysunek prezentuje schemat procesu ewaluacji. Są tu wskazane kryteria i metody ewaluacyjne i źródła da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Rysunek prezentuje schemat procesu ewaluacji. Są tu wskazane kryteria i metody ewaluacyjne i źródła danyc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4000" cy="3793267"/>
                    </a:xfrm>
                    <a:prstGeom prst="rect">
                      <a:avLst/>
                    </a:prstGeom>
                    <a:noFill/>
                  </pic:spPr>
                </pic:pic>
              </a:graphicData>
            </a:graphic>
          </wp:inline>
        </w:drawing>
      </w:r>
    </w:p>
    <w:p w14:paraId="24386210" w14:textId="77777777" w:rsidR="001333A3" w:rsidRPr="00237760" w:rsidRDefault="001333A3"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Źródło: opracowanie własne na podstawie SOPZ.</w:t>
      </w:r>
    </w:p>
    <w:p w14:paraId="0EF60C8C" w14:textId="20D6ADAF" w:rsidR="00F22CDE" w:rsidRPr="00237760" w:rsidRDefault="00F22CDE" w:rsidP="009367B4">
      <w:pPr>
        <w:spacing w:after="160" w:line="259" w:lineRule="auto"/>
        <w:jc w:val="left"/>
        <w:rPr>
          <w:rFonts w:ascii="Arial" w:hAnsi="Arial" w:cs="Arial"/>
          <w:color w:val="auto"/>
          <w:sz w:val="24"/>
          <w:szCs w:val="24"/>
          <w:lang w:eastAsia="pl-PL"/>
        </w:rPr>
      </w:pPr>
      <w:r w:rsidRPr="00237760">
        <w:rPr>
          <w:rFonts w:ascii="Arial" w:hAnsi="Arial" w:cs="Arial"/>
          <w:color w:val="auto"/>
          <w:sz w:val="24"/>
          <w:szCs w:val="24"/>
          <w:lang w:eastAsia="pl-PL"/>
        </w:rPr>
        <w:br w:type="page"/>
      </w:r>
    </w:p>
    <w:p w14:paraId="2216CCB1" w14:textId="77777777" w:rsidR="001333A3" w:rsidRPr="00237760" w:rsidRDefault="001333A3" w:rsidP="009367B4">
      <w:pPr>
        <w:pStyle w:val="Nagwek2"/>
        <w:rPr>
          <w:rFonts w:ascii="Arial" w:hAnsi="Arial" w:cs="Arial"/>
          <w:color w:val="auto"/>
          <w:sz w:val="24"/>
          <w:szCs w:val="24"/>
        </w:rPr>
      </w:pPr>
      <w:bookmarkStart w:id="17" w:name="_Toc101904102"/>
      <w:r w:rsidRPr="00237760">
        <w:rPr>
          <w:rFonts w:ascii="Arial" w:hAnsi="Arial" w:cs="Arial"/>
          <w:color w:val="auto"/>
          <w:sz w:val="24"/>
          <w:szCs w:val="24"/>
        </w:rPr>
        <w:lastRenderedPageBreak/>
        <w:t>Pytania ewaluacyjne</w:t>
      </w:r>
      <w:bookmarkEnd w:id="17"/>
    </w:p>
    <w:p w14:paraId="5FB763B6" w14:textId="6F8E1FD9" w:rsidR="001333A3" w:rsidRPr="00237760" w:rsidRDefault="001333A3"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Do poszczególnych kryteriów ewaluacyjnych przyporządkowane zostały odpowiadające im pytania ewaluacyjne oraz problemy badawcze (</w:t>
      </w:r>
      <w:r w:rsidR="00333925" w:rsidRPr="00237760">
        <w:rPr>
          <w:rFonts w:ascii="Arial" w:hAnsi="Arial" w:cs="Arial"/>
          <w:color w:val="auto"/>
          <w:sz w:val="24"/>
          <w:szCs w:val="24"/>
          <w:lang w:eastAsia="pl-PL"/>
        </w:rPr>
        <w:fldChar w:fldCharType="begin"/>
      </w:r>
      <w:r w:rsidR="00333925" w:rsidRPr="00237760">
        <w:rPr>
          <w:rFonts w:ascii="Arial" w:hAnsi="Arial" w:cs="Arial"/>
          <w:color w:val="auto"/>
          <w:sz w:val="24"/>
          <w:szCs w:val="24"/>
          <w:lang w:eastAsia="pl-PL"/>
        </w:rPr>
        <w:instrText xml:space="preserve"> REF _Ref96180415 \h </w:instrText>
      </w:r>
      <w:r w:rsidR="00BD2C03" w:rsidRPr="00237760">
        <w:rPr>
          <w:rFonts w:ascii="Arial" w:hAnsi="Arial" w:cs="Arial"/>
          <w:color w:val="auto"/>
          <w:sz w:val="24"/>
          <w:szCs w:val="24"/>
          <w:lang w:eastAsia="pl-PL"/>
        </w:rPr>
        <w:instrText xml:space="preserve"> \* MERGEFORMAT </w:instrText>
      </w:r>
      <w:r w:rsidR="00333925" w:rsidRPr="00237760">
        <w:rPr>
          <w:rFonts w:ascii="Arial" w:hAnsi="Arial" w:cs="Arial"/>
          <w:color w:val="auto"/>
          <w:sz w:val="24"/>
          <w:szCs w:val="24"/>
          <w:lang w:eastAsia="pl-PL"/>
        </w:rPr>
      </w:r>
      <w:r w:rsidR="00333925" w:rsidRPr="00237760">
        <w:rPr>
          <w:rFonts w:ascii="Arial" w:hAnsi="Arial" w:cs="Arial"/>
          <w:color w:val="auto"/>
          <w:sz w:val="24"/>
          <w:szCs w:val="24"/>
          <w:lang w:eastAsia="pl-PL"/>
        </w:rPr>
        <w:fldChar w:fldCharType="separate"/>
      </w:r>
      <w:r w:rsidR="00E52C19" w:rsidRPr="00237760">
        <w:rPr>
          <w:rFonts w:ascii="Arial" w:hAnsi="Arial" w:cs="Arial"/>
          <w:color w:val="auto"/>
          <w:sz w:val="24"/>
          <w:szCs w:val="24"/>
        </w:rPr>
        <w:t xml:space="preserve">Tabela </w:t>
      </w:r>
      <w:r w:rsidR="00E52C19" w:rsidRPr="00237760">
        <w:rPr>
          <w:rFonts w:ascii="Arial" w:hAnsi="Arial" w:cs="Arial"/>
          <w:noProof/>
          <w:color w:val="auto"/>
          <w:sz w:val="24"/>
          <w:szCs w:val="24"/>
        </w:rPr>
        <w:t>2</w:t>
      </w:r>
      <w:r w:rsidR="00333925" w:rsidRPr="00237760">
        <w:rPr>
          <w:rFonts w:ascii="Arial" w:hAnsi="Arial" w:cs="Arial"/>
          <w:color w:val="auto"/>
          <w:sz w:val="24"/>
          <w:szCs w:val="24"/>
          <w:lang w:eastAsia="pl-PL"/>
        </w:rPr>
        <w:fldChar w:fldCharType="end"/>
      </w:r>
      <w:r w:rsidRPr="00237760">
        <w:rPr>
          <w:rFonts w:ascii="Arial" w:hAnsi="Arial" w:cs="Arial"/>
          <w:color w:val="auto"/>
          <w:sz w:val="24"/>
          <w:szCs w:val="24"/>
          <w:lang w:eastAsia="pl-PL"/>
        </w:rPr>
        <w:t xml:space="preserve">). Zagadnienia zostały uszczegółowione poprzez wskazanie podejścia zastosowanego do odpowiedzi na poszczególne pytania oraz charakterystykę najistotniejszych elementów składowych danego zagadnienia. </w:t>
      </w:r>
    </w:p>
    <w:p w14:paraId="19792CEA" w14:textId="41EAD8E1" w:rsidR="001333A3" w:rsidRPr="00237760" w:rsidRDefault="001333A3" w:rsidP="009367B4">
      <w:pPr>
        <w:pStyle w:val="Legenda"/>
        <w:jc w:val="left"/>
        <w:rPr>
          <w:rFonts w:ascii="Arial" w:hAnsi="Arial" w:cs="Arial"/>
          <w:color w:val="auto"/>
          <w:sz w:val="24"/>
          <w:szCs w:val="24"/>
        </w:rPr>
      </w:pPr>
      <w:bookmarkStart w:id="18" w:name="_Ref96180415"/>
      <w:bookmarkStart w:id="19" w:name="_Toc101904243"/>
      <w:r w:rsidRPr="00237760">
        <w:rPr>
          <w:rFonts w:ascii="Arial" w:hAnsi="Arial" w:cs="Arial"/>
          <w:color w:val="auto"/>
          <w:sz w:val="24"/>
          <w:szCs w:val="24"/>
        </w:rPr>
        <w:t xml:space="preserve">Tabela </w:t>
      </w:r>
      <w:r w:rsidRPr="00237760">
        <w:rPr>
          <w:rFonts w:ascii="Arial" w:hAnsi="Arial" w:cs="Arial"/>
          <w:noProof/>
          <w:color w:val="auto"/>
          <w:sz w:val="24"/>
          <w:szCs w:val="24"/>
        </w:rPr>
        <w:fldChar w:fldCharType="begin"/>
      </w:r>
      <w:r w:rsidRPr="00237760">
        <w:rPr>
          <w:rFonts w:ascii="Arial" w:hAnsi="Arial" w:cs="Arial"/>
          <w:noProof/>
          <w:color w:val="auto"/>
          <w:sz w:val="24"/>
          <w:szCs w:val="24"/>
        </w:rPr>
        <w:instrText xml:space="preserve"> SEQ Tabela \* ARABIC </w:instrText>
      </w:r>
      <w:r w:rsidRPr="00237760">
        <w:rPr>
          <w:rFonts w:ascii="Arial" w:hAnsi="Arial" w:cs="Arial"/>
          <w:noProof/>
          <w:color w:val="auto"/>
          <w:sz w:val="24"/>
          <w:szCs w:val="24"/>
        </w:rPr>
        <w:fldChar w:fldCharType="separate"/>
      </w:r>
      <w:r w:rsidR="00762B20" w:rsidRPr="00237760">
        <w:rPr>
          <w:rFonts w:ascii="Arial" w:hAnsi="Arial" w:cs="Arial"/>
          <w:noProof/>
          <w:color w:val="auto"/>
          <w:sz w:val="24"/>
          <w:szCs w:val="24"/>
        </w:rPr>
        <w:t>2</w:t>
      </w:r>
      <w:r w:rsidRPr="00237760">
        <w:rPr>
          <w:rFonts w:ascii="Arial" w:hAnsi="Arial" w:cs="Arial"/>
          <w:noProof/>
          <w:color w:val="auto"/>
          <w:sz w:val="24"/>
          <w:szCs w:val="24"/>
        </w:rPr>
        <w:fldChar w:fldCharType="end"/>
      </w:r>
      <w:bookmarkEnd w:id="18"/>
      <w:r w:rsidRPr="00237760">
        <w:rPr>
          <w:rFonts w:ascii="Arial" w:hAnsi="Arial" w:cs="Arial"/>
          <w:color w:val="auto"/>
          <w:sz w:val="24"/>
          <w:szCs w:val="24"/>
        </w:rPr>
        <w:t xml:space="preserve">. </w:t>
      </w:r>
      <w:r w:rsidRPr="00237760">
        <w:rPr>
          <w:rFonts w:ascii="Arial" w:hAnsi="Arial" w:cs="Arial"/>
          <w:noProof/>
          <w:color w:val="auto"/>
          <w:sz w:val="24"/>
          <w:szCs w:val="24"/>
        </w:rPr>
        <w:t>Pytania ewaluacyjne i problemy badawcze w kontekście kryteriów ewaluacyjnych</w:t>
      </w:r>
      <w:bookmarkEnd w:id="19"/>
    </w:p>
    <w:tbl>
      <w:tblPr>
        <w:tblStyle w:val="Tabela-Siatka1"/>
        <w:tblW w:w="9146" w:type="dxa"/>
        <w:tblLayout w:type="fixed"/>
        <w:tblLook w:val="04A0" w:firstRow="1" w:lastRow="0" w:firstColumn="1" w:lastColumn="0" w:noHBand="0" w:noVBand="1"/>
        <w:tblCaption w:val="Tabela 2. Pytania ewaluacyjne i problemy badawcze w kontekście kryteriów ewaluacyjnych"/>
        <w:tblDescription w:val="Tabela zawiera Pytanie ewaluacyjne, Problem badawczy Uszczegółowienie pytania ewaluacyjnego/problemu badawczego i/lub jego uzasadnienie&#10;"/>
      </w:tblPr>
      <w:tblGrid>
        <w:gridCol w:w="3251"/>
        <w:gridCol w:w="1842"/>
        <w:gridCol w:w="4053"/>
      </w:tblGrid>
      <w:tr w:rsidR="00237760" w:rsidRPr="00237760" w14:paraId="0BE2B569" w14:textId="77777777" w:rsidTr="00D352FD">
        <w:trPr>
          <w:trHeight w:val="176"/>
          <w:tblHeader/>
        </w:trPr>
        <w:tc>
          <w:tcPr>
            <w:tcW w:w="3251" w:type="dxa"/>
          </w:tcPr>
          <w:p w14:paraId="58BCC0C8" w14:textId="77777777" w:rsidR="001333A3" w:rsidRPr="00237760" w:rsidRDefault="001333A3" w:rsidP="009367B4">
            <w:pPr>
              <w:spacing w:after="0" w:line="240" w:lineRule="auto"/>
              <w:ind w:left="-19"/>
              <w:jc w:val="left"/>
              <w:rPr>
                <w:rFonts w:ascii="Arial" w:hAnsi="Arial" w:cs="Arial"/>
                <w:b/>
                <w:color w:val="auto"/>
                <w:sz w:val="24"/>
                <w:szCs w:val="24"/>
              </w:rPr>
            </w:pPr>
            <w:r w:rsidRPr="00237760">
              <w:rPr>
                <w:rFonts w:ascii="Arial" w:hAnsi="Arial" w:cs="Arial"/>
                <w:b/>
                <w:color w:val="auto"/>
                <w:sz w:val="24"/>
                <w:szCs w:val="24"/>
              </w:rPr>
              <w:t>Pytanie ewaluacyjne</w:t>
            </w:r>
          </w:p>
        </w:tc>
        <w:tc>
          <w:tcPr>
            <w:tcW w:w="1842" w:type="dxa"/>
          </w:tcPr>
          <w:p w14:paraId="5C3CA633" w14:textId="77777777" w:rsidR="001333A3" w:rsidRPr="00237760" w:rsidRDefault="001333A3"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Problem badawczy</w:t>
            </w:r>
          </w:p>
        </w:tc>
        <w:tc>
          <w:tcPr>
            <w:tcW w:w="4053" w:type="dxa"/>
          </w:tcPr>
          <w:p w14:paraId="0BA31ED6" w14:textId="44B32D66" w:rsidR="001333A3" w:rsidRPr="00237760" w:rsidRDefault="001333A3"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Uszczegółowienie pytania ewa</w:t>
            </w:r>
            <w:r w:rsidR="00D352FD">
              <w:rPr>
                <w:rFonts w:ascii="Arial" w:hAnsi="Arial" w:cs="Arial"/>
                <w:b/>
                <w:color w:val="auto"/>
                <w:sz w:val="24"/>
                <w:szCs w:val="24"/>
              </w:rPr>
              <w:t xml:space="preserve">luacyjnego/problemu badawczego </w:t>
            </w:r>
            <w:r w:rsidRPr="00237760">
              <w:rPr>
                <w:rFonts w:ascii="Arial" w:hAnsi="Arial" w:cs="Arial"/>
                <w:b/>
                <w:color w:val="auto"/>
                <w:sz w:val="24"/>
                <w:szCs w:val="24"/>
              </w:rPr>
              <w:t>i/lub jego uzasadnienie</w:t>
            </w:r>
          </w:p>
        </w:tc>
      </w:tr>
      <w:tr w:rsidR="00237760" w:rsidRPr="00237760" w14:paraId="6F6594F8" w14:textId="77777777" w:rsidTr="00D352FD">
        <w:trPr>
          <w:trHeight w:val="176"/>
        </w:trPr>
        <w:tc>
          <w:tcPr>
            <w:tcW w:w="9143" w:type="dxa"/>
            <w:gridSpan w:val="3"/>
          </w:tcPr>
          <w:p w14:paraId="1356436E" w14:textId="77777777" w:rsidR="001333A3" w:rsidRPr="00237760" w:rsidRDefault="001333A3"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Część I. Ocena trafności założeń projektu PSRT WP</w:t>
            </w:r>
          </w:p>
        </w:tc>
      </w:tr>
      <w:tr w:rsidR="00237760" w:rsidRPr="00237760" w14:paraId="773155B8" w14:textId="77777777" w:rsidTr="00D352FD">
        <w:trPr>
          <w:trHeight w:val="176"/>
        </w:trPr>
        <w:tc>
          <w:tcPr>
            <w:tcW w:w="3251" w:type="dxa"/>
          </w:tcPr>
          <w:p w14:paraId="2710EF46" w14:textId="77777777" w:rsidR="001333A3" w:rsidRPr="00237760" w:rsidRDefault="001333A3" w:rsidP="009367B4">
            <w:pPr>
              <w:pStyle w:val="Akapitzlist"/>
              <w:numPr>
                <w:ilvl w:val="0"/>
                <w:numId w:val="3"/>
              </w:numPr>
              <w:spacing w:after="0" w:line="240" w:lineRule="auto"/>
              <w:ind w:left="274" w:hanging="218"/>
              <w:jc w:val="left"/>
              <w:rPr>
                <w:rFonts w:ascii="Arial" w:hAnsi="Arial" w:cs="Arial"/>
                <w:snapToGrid w:val="0"/>
                <w:color w:val="auto"/>
                <w:sz w:val="24"/>
                <w:szCs w:val="24"/>
              </w:rPr>
            </w:pPr>
            <w:r w:rsidRPr="00237760">
              <w:rPr>
                <w:rFonts w:ascii="Arial" w:hAnsi="Arial" w:cs="Arial"/>
                <w:snapToGrid w:val="0"/>
                <w:color w:val="auto"/>
                <w:sz w:val="24"/>
                <w:szCs w:val="24"/>
              </w:rPr>
              <w:t>Czy projekt Programu trafnie odpowiada na wyzwania i potrzeby społeczno-ekonomiczne obszaru nim objętego?</w:t>
            </w:r>
          </w:p>
        </w:tc>
        <w:tc>
          <w:tcPr>
            <w:tcW w:w="1842" w:type="dxa"/>
          </w:tcPr>
          <w:p w14:paraId="4FB80999" w14:textId="77777777" w:rsidR="001333A3" w:rsidRPr="00237760" w:rsidRDefault="001333A3" w:rsidP="009367B4">
            <w:pPr>
              <w:pStyle w:val="Akapitzlist"/>
              <w:numPr>
                <w:ilvl w:val="0"/>
                <w:numId w:val="0"/>
              </w:numPr>
              <w:tabs>
                <w:tab w:val="left" w:pos="276"/>
              </w:tabs>
              <w:spacing w:after="0" w:line="240" w:lineRule="auto"/>
              <w:ind w:left="57"/>
              <w:contextualSpacing/>
              <w:jc w:val="left"/>
              <w:rPr>
                <w:rFonts w:ascii="Arial" w:hAnsi="Arial" w:cs="Arial"/>
                <w:snapToGrid w:val="0"/>
                <w:color w:val="auto"/>
                <w:sz w:val="24"/>
                <w:szCs w:val="24"/>
              </w:rPr>
            </w:pPr>
            <w:r w:rsidRPr="00237760">
              <w:rPr>
                <w:rFonts w:ascii="Arial" w:hAnsi="Arial" w:cs="Arial"/>
                <w:snapToGrid w:val="0"/>
                <w:color w:val="auto"/>
                <w:sz w:val="24"/>
                <w:szCs w:val="24"/>
              </w:rPr>
              <w:t>trafność założeń projektu w kontekście potrzeb i wyzwań województwa</w:t>
            </w:r>
          </w:p>
        </w:tc>
        <w:tc>
          <w:tcPr>
            <w:tcW w:w="4053" w:type="dxa"/>
          </w:tcPr>
          <w:p w14:paraId="6255231F" w14:textId="77777777" w:rsidR="001333A3" w:rsidRPr="00237760" w:rsidRDefault="001333A3" w:rsidP="009367B4">
            <w:pPr>
              <w:pStyle w:val="Akapitzlist"/>
              <w:numPr>
                <w:ilvl w:val="0"/>
                <w:numId w:val="0"/>
              </w:numPr>
              <w:tabs>
                <w:tab w:val="left" w:pos="276"/>
              </w:tabs>
              <w:spacing w:after="0" w:line="240" w:lineRule="auto"/>
              <w:ind w:left="57"/>
              <w:contextualSpacing/>
              <w:jc w:val="left"/>
              <w:rPr>
                <w:rFonts w:ascii="Arial" w:hAnsi="Arial" w:cs="Arial"/>
                <w:snapToGrid w:val="0"/>
                <w:color w:val="auto"/>
                <w:sz w:val="24"/>
                <w:szCs w:val="24"/>
              </w:rPr>
            </w:pPr>
            <w:r w:rsidRPr="00237760">
              <w:rPr>
                <w:rFonts w:ascii="Arial" w:hAnsi="Arial" w:cs="Arial"/>
                <w:snapToGrid w:val="0"/>
                <w:color w:val="auto"/>
                <w:sz w:val="24"/>
                <w:szCs w:val="24"/>
              </w:rPr>
              <w:t>Pytanie służy weryfikacji adekwatności/trafności założeń projektu, w tym zwłaszcza części kierunkowej dokumentu (cele i kierunki działań) i przyjętego wariantu planistycznego, w kontekście zidentyfikowanych potrzeb i wyzwań społeczno-ekonomicznych obszaru województwa podkarpackiego.</w:t>
            </w:r>
          </w:p>
        </w:tc>
      </w:tr>
      <w:tr w:rsidR="00237760" w:rsidRPr="00237760" w14:paraId="69A8F5A3" w14:textId="77777777" w:rsidTr="00D352FD">
        <w:trPr>
          <w:trHeight w:val="176"/>
        </w:trPr>
        <w:tc>
          <w:tcPr>
            <w:tcW w:w="3251" w:type="dxa"/>
          </w:tcPr>
          <w:p w14:paraId="3AB25E8B" w14:textId="77777777" w:rsidR="001333A3" w:rsidRPr="00237760" w:rsidRDefault="001333A3" w:rsidP="009367B4">
            <w:pPr>
              <w:pStyle w:val="Akapitzlist"/>
              <w:numPr>
                <w:ilvl w:val="0"/>
                <w:numId w:val="3"/>
              </w:numPr>
              <w:spacing w:after="0" w:line="240" w:lineRule="auto"/>
              <w:ind w:left="274" w:hanging="218"/>
              <w:jc w:val="left"/>
              <w:rPr>
                <w:rFonts w:ascii="Arial" w:hAnsi="Arial" w:cs="Arial"/>
                <w:bCs/>
                <w:snapToGrid w:val="0"/>
                <w:color w:val="auto"/>
                <w:sz w:val="24"/>
                <w:szCs w:val="24"/>
              </w:rPr>
            </w:pPr>
            <w:r w:rsidRPr="00237760">
              <w:rPr>
                <w:rFonts w:ascii="Arial" w:hAnsi="Arial" w:cs="Arial"/>
                <w:bCs/>
                <w:snapToGrid w:val="0"/>
                <w:color w:val="auto"/>
                <w:sz w:val="24"/>
                <w:szCs w:val="24"/>
              </w:rPr>
              <w:t>Czy projekt Programu trafnie odpowiada na rozwijające się i prawdopodobne do zaistnienia w przyszłości trendy, które mogą mieć istotny wpływ na zmiany w sektorze transportu?</w:t>
            </w:r>
          </w:p>
        </w:tc>
        <w:tc>
          <w:tcPr>
            <w:tcW w:w="1842" w:type="dxa"/>
          </w:tcPr>
          <w:p w14:paraId="67E1C725" w14:textId="77777777" w:rsidR="001333A3" w:rsidRPr="00237760" w:rsidRDefault="001333A3" w:rsidP="009367B4">
            <w:pPr>
              <w:pStyle w:val="Akapitzlist"/>
              <w:numPr>
                <w:ilvl w:val="0"/>
                <w:numId w:val="0"/>
              </w:numPr>
              <w:tabs>
                <w:tab w:val="left" w:pos="276"/>
              </w:tabs>
              <w:spacing w:after="0" w:line="240" w:lineRule="auto"/>
              <w:ind w:left="57"/>
              <w:contextualSpacing/>
              <w:jc w:val="left"/>
              <w:rPr>
                <w:rFonts w:ascii="Arial" w:hAnsi="Arial" w:cs="Arial"/>
                <w:bCs/>
                <w:snapToGrid w:val="0"/>
                <w:color w:val="auto"/>
                <w:sz w:val="24"/>
                <w:szCs w:val="24"/>
              </w:rPr>
            </w:pPr>
            <w:r w:rsidRPr="00237760">
              <w:rPr>
                <w:rFonts w:ascii="Arial" w:hAnsi="Arial" w:cs="Arial"/>
                <w:bCs/>
                <w:snapToGrid w:val="0"/>
                <w:color w:val="auto"/>
                <w:sz w:val="24"/>
                <w:szCs w:val="24"/>
              </w:rPr>
              <w:t>trafność założeń projektu w kontekście ogólnych trendów związanych z transportem</w:t>
            </w:r>
          </w:p>
        </w:tc>
        <w:tc>
          <w:tcPr>
            <w:tcW w:w="4053" w:type="dxa"/>
          </w:tcPr>
          <w:p w14:paraId="5BA1CFAD" w14:textId="77777777" w:rsidR="001333A3" w:rsidRPr="00237760" w:rsidRDefault="001333A3" w:rsidP="009367B4">
            <w:pPr>
              <w:pStyle w:val="Akapitzlist"/>
              <w:numPr>
                <w:ilvl w:val="0"/>
                <w:numId w:val="0"/>
              </w:numPr>
              <w:tabs>
                <w:tab w:val="left" w:pos="276"/>
              </w:tabs>
              <w:spacing w:after="0" w:line="240" w:lineRule="auto"/>
              <w:ind w:left="57"/>
              <w:contextualSpacing/>
              <w:jc w:val="left"/>
              <w:rPr>
                <w:rFonts w:ascii="Arial" w:hAnsi="Arial" w:cs="Arial"/>
                <w:bCs/>
                <w:snapToGrid w:val="0"/>
                <w:color w:val="auto"/>
                <w:sz w:val="24"/>
                <w:szCs w:val="24"/>
              </w:rPr>
            </w:pPr>
            <w:r w:rsidRPr="00237760">
              <w:rPr>
                <w:rFonts w:ascii="Arial" w:hAnsi="Arial" w:cs="Arial"/>
                <w:bCs/>
                <w:snapToGrid w:val="0"/>
                <w:color w:val="auto"/>
                <w:sz w:val="24"/>
                <w:szCs w:val="24"/>
              </w:rPr>
              <w:t>Pytanie służy weryfikacji adekwatności/trafności założeń projektu, w tym zwłaszcza części kierunkowej dokumentu (cele i kierunki działań) i przyjętego wariantu planistycznego, w kontekście zidentyfikowanych trendów mogących mieć istotny wpływ na zmiany w sektorze transportu. Tak sformułowane dodatkowe pytanie ewaluacyjne pozwoli na szersze spojrzenie na dokument poprzez uwzględnienie zewnętrznych uwarunkowań rozwoju obszaru.</w:t>
            </w:r>
          </w:p>
        </w:tc>
      </w:tr>
      <w:tr w:rsidR="00237760" w:rsidRPr="00237760" w14:paraId="4DB45A64" w14:textId="77777777" w:rsidTr="00D352FD">
        <w:trPr>
          <w:trHeight w:val="435"/>
        </w:trPr>
        <w:tc>
          <w:tcPr>
            <w:tcW w:w="3251" w:type="dxa"/>
          </w:tcPr>
          <w:p w14:paraId="11E46D99" w14:textId="77777777" w:rsidR="001333A3" w:rsidRPr="00237760" w:rsidRDefault="001333A3" w:rsidP="009367B4">
            <w:pPr>
              <w:pStyle w:val="Akapitzlist"/>
              <w:numPr>
                <w:ilvl w:val="0"/>
                <w:numId w:val="3"/>
              </w:numPr>
              <w:spacing w:after="0" w:line="240" w:lineRule="auto"/>
              <w:ind w:left="274" w:hanging="218"/>
              <w:jc w:val="left"/>
              <w:rPr>
                <w:rFonts w:ascii="Arial" w:hAnsi="Arial" w:cs="Arial"/>
                <w:snapToGrid w:val="0"/>
                <w:color w:val="auto"/>
                <w:sz w:val="24"/>
                <w:szCs w:val="24"/>
              </w:rPr>
            </w:pPr>
            <w:r w:rsidRPr="00237760">
              <w:rPr>
                <w:rFonts w:ascii="Arial" w:hAnsi="Arial" w:cs="Arial"/>
                <w:snapToGrid w:val="0"/>
                <w:color w:val="auto"/>
                <w:sz w:val="24"/>
                <w:szCs w:val="24"/>
              </w:rPr>
              <w:t xml:space="preserve">Czy wskazane w projekcie Programu przedsięwzięcia priorytetowe dla rozwoju systemu transportowego w województwie stanowią podstawowe warunki </w:t>
            </w:r>
            <w:r w:rsidRPr="00237760">
              <w:rPr>
                <w:rFonts w:ascii="Arial" w:hAnsi="Arial" w:cs="Arial"/>
                <w:snapToGrid w:val="0"/>
                <w:color w:val="auto"/>
                <w:sz w:val="24"/>
                <w:szCs w:val="24"/>
              </w:rPr>
              <w:lastRenderedPageBreak/>
              <w:t>dalszego rozwoju tego obszaru?</w:t>
            </w:r>
          </w:p>
        </w:tc>
        <w:tc>
          <w:tcPr>
            <w:tcW w:w="1842" w:type="dxa"/>
          </w:tcPr>
          <w:p w14:paraId="034D31F8" w14:textId="77777777" w:rsidR="001333A3" w:rsidRPr="00237760" w:rsidRDefault="001333A3" w:rsidP="009367B4">
            <w:pPr>
              <w:pStyle w:val="Akapitzlist"/>
              <w:numPr>
                <w:ilvl w:val="0"/>
                <w:numId w:val="0"/>
              </w:numPr>
              <w:tabs>
                <w:tab w:val="left" w:pos="276"/>
              </w:tabs>
              <w:spacing w:after="0" w:line="240" w:lineRule="auto"/>
              <w:ind w:left="57"/>
              <w:contextualSpacing/>
              <w:jc w:val="left"/>
              <w:rPr>
                <w:rFonts w:ascii="Arial" w:hAnsi="Arial" w:cs="Arial"/>
                <w:snapToGrid w:val="0"/>
                <w:color w:val="auto"/>
                <w:sz w:val="24"/>
                <w:szCs w:val="24"/>
              </w:rPr>
            </w:pPr>
            <w:r w:rsidRPr="00237760">
              <w:rPr>
                <w:rFonts w:ascii="Arial" w:hAnsi="Arial" w:cs="Arial"/>
                <w:snapToGrid w:val="0"/>
                <w:color w:val="auto"/>
                <w:sz w:val="24"/>
                <w:szCs w:val="24"/>
              </w:rPr>
              <w:lastRenderedPageBreak/>
              <w:t>trafność przedsięwzięć priorytetowych</w:t>
            </w:r>
          </w:p>
        </w:tc>
        <w:tc>
          <w:tcPr>
            <w:tcW w:w="4053" w:type="dxa"/>
          </w:tcPr>
          <w:p w14:paraId="4382B117" w14:textId="77777777" w:rsidR="001333A3" w:rsidRPr="00237760" w:rsidRDefault="001333A3" w:rsidP="009367B4">
            <w:pPr>
              <w:pStyle w:val="Akapitzlist"/>
              <w:numPr>
                <w:ilvl w:val="0"/>
                <w:numId w:val="0"/>
              </w:numPr>
              <w:tabs>
                <w:tab w:val="left" w:pos="276"/>
              </w:tabs>
              <w:spacing w:after="0" w:line="240" w:lineRule="auto"/>
              <w:ind w:left="57"/>
              <w:contextualSpacing/>
              <w:jc w:val="left"/>
              <w:rPr>
                <w:rFonts w:ascii="Arial" w:hAnsi="Arial" w:cs="Arial"/>
                <w:snapToGrid w:val="0"/>
                <w:color w:val="auto"/>
                <w:sz w:val="24"/>
                <w:szCs w:val="24"/>
              </w:rPr>
            </w:pPr>
            <w:r w:rsidRPr="00237760">
              <w:rPr>
                <w:rFonts w:ascii="Arial" w:hAnsi="Arial" w:cs="Arial"/>
                <w:snapToGrid w:val="0"/>
                <w:color w:val="auto"/>
                <w:sz w:val="24"/>
                <w:szCs w:val="24"/>
              </w:rPr>
              <w:t>Pytanie służy weryfikacji wskazanych w Programie przedsięwzięć priorytetowych w zakresie:</w:t>
            </w:r>
          </w:p>
          <w:p w14:paraId="07D08977" w14:textId="77777777" w:rsidR="001333A3" w:rsidRPr="00237760" w:rsidRDefault="001333A3" w:rsidP="009367B4">
            <w:pPr>
              <w:pStyle w:val="Akapitzlist"/>
              <w:spacing w:after="0" w:line="240" w:lineRule="auto"/>
              <w:ind w:left="284" w:hanging="207"/>
              <w:jc w:val="left"/>
              <w:rPr>
                <w:rFonts w:ascii="Arial" w:hAnsi="Arial" w:cs="Arial"/>
                <w:snapToGrid w:val="0"/>
                <w:color w:val="auto"/>
                <w:sz w:val="24"/>
                <w:szCs w:val="24"/>
              </w:rPr>
            </w:pPr>
            <w:r w:rsidRPr="00237760">
              <w:rPr>
                <w:rFonts w:ascii="Arial" w:hAnsi="Arial" w:cs="Arial"/>
                <w:snapToGrid w:val="0"/>
                <w:color w:val="auto"/>
                <w:sz w:val="24"/>
                <w:szCs w:val="24"/>
              </w:rPr>
              <w:t>ich trafności względem zidentyfikowanych w diagnozie potrzeb i problemów regionu,</w:t>
            </w:r>
          </w:p>
          <w:p w14:paraId="663656FF" w14:textId="77777777" w:rsidR="001333A3" w:rsidRPr="00237760" w:rsidRDefault="001333A3" w:rsidP="009367B4">
            <w:pPr>
              <w:pStyle w:val="Akapitzlist"/>
              <w:spacing w:after="0" w:line="240" w:lineRule="auto"/>
              <w:ind w:left="284" w:hanging="207"/>
              <w:jc w:val="left"/>
              <w:rPr>
                <w:rFonts w:ascii="Arial" w:hAnsi="Arial" w:cs="Arial"/>
                <w:snapToGrid w:val="0"/>
                <w:color w:val="auto"/>
                <w:sz w:val="24"/>
                <w:szCs w:val="24"/>
              </w:rPr>
            </w:pPr>
            <w:r w:rsidRPr="00237760">
              <w:rPr>
                <w:rFonts w:ascii="Arial" w:hAnsi="Arial" w:cs="Arial"/>
                <w:snapToGrid w:val="0"/>
                <w:color w:val="auto"/>
                <w:sz w:val="24"/>
                <w:szCs w:val="24"/>
              </w:rPr>
              <w:lastRenderedPageBreak/>
              <w:t xml:space="preserve">ich ważności w kontekście innych, potencjalnych inwestycji dla rozwoju systemu transportowego. </w:t>
            </w:r>
          </w:p>
        </w:tc>
      </w:tr>
      <w:tr w:rsidR="00237760" w:rsidRPr="00237760" w14:paraId="43AEAA30" w14:textId="77777777" w:rsidTr="00D352FD">
        <w:trPr>
          <w:trHeight w:val="176"/>
        </w:trPr>
        <w:tc>
          <w:tcPr>
            <w:tcW w:w="3251" w:type="dxa"/>
          </w:tcPr>
          <w:p w14:paraId="1AFC7B6F" w14:textId="77777777" w:rsidR="001333A3" w:rsidRPr="00237760" w:rsidRDefault="001333A3" w:rsidP="009367B4">
            <w:pPr>
              <w:pStyle w:val="Akapitzlist"/>
              <w:numPr>
                <w:ilvl w:val="0"/>
                <w:numId w:val="3"/>
              </w:numPr>
              <w:spacing w:after="0" w:line="240" w:lineRule="auto"/>
              <w:ind w:left="274" w:hanging="218"/>
              <w:jc w:val="left"/>
              <w:rPr>
                <w:rFonts w:ascii="Arial" w:hAnsi="Arial" w:cs="Arial"/>
                <w:snapToGrid w:val="0"/>
                <w:color w:val="auto"/>
                <w:sz w:val="24"/>
                <w:szCs w:val="24"/>
              </w:rPr>
            </w:pPr>
            <w:r w:rsidRPr="00237760">
              <w:rPr>
                <w:rFonts w:ascii="Arial" w:hAnsi="Arial" w:cs="Arial"/>
                <w:snapToGrid w:val="0"/>
                <w:color w:val="auto"/>
                <w:sz w:val="24"/>
                <w:szCs w:val="24"/>
              </w:rPr>
              <w:lastRenderedPageBreak/>
              <w:t>Czy wskazane ewentualne czynniki ryzyka, mogące wystąpić podczas realizacji Programu są trafnie sprecyzowane?</w:t>
            </w:r>
          </w:p>
        </w:tc>
        <w:tc>
          <w:tcPr>
            <w:tcW w:w="1842" w:type="dxa"/>
          </w:tcPr>
          <w:p w14:paraId="63180147" w14:textId="77777777" w:rsidR="001333A3" w:rsidRPr="00237760" w:rsidRDefault="001333A3" w:rsidP="009367B4">
            <w:pPr>
              <w:tabs>
                <w:tab w:val="left" w:pos="289"/>
              </w:tabs>
              <w:spacing w:after="0" w:line="240" w:lineRule="auto"/>
              <w:contextualSpacing/>
              <w:jc w:val="left"/>
              <w:rPr>
                <w:rFonts w:ascii="Arial" w:hAnsi="Arial" w:cs="Arial"/>
                <w:snapToGrid w:val="0"/>
                <w:color w:val="auto"/>
                <w:sz w:val="24"/>
                <w:szCs w:val="24"/>
              </w:rPr>
            </w:pPr>
            <w:r w:rsidRPr="00237760">
              <w:rPr>
                <w:rFonts w:ascii="Arial" w:hAnsi="Arial" w:cs="Arial"/>
                <w:snapToGrid w:val="0"/>
                <w:color w:val="auto"/>
                <w:sz w:val="24"/>
                <w:szCs w:val="24"/>
              </w:rPr>
              <w:t xml:space="preserve">trafność </w:t>
            </w:r>
          </w:p>
          <w:p w14:paraId="2AF5E439" w14:textId="77777777" w:rsidR="001333A3" w:rsidRPr="00237760" w:rsidRDefault="001333A3" w:rsidP="009367B4">
            <w:pPr>
              <w:tabs>
                <w:tab w:val="left" w:pos="289"/>
              </w:tabs>
              <w:spacing w:after="0" w:line="240" w:lineRule="auto"/>
              <w:contextualSpacing/>
              <w:jc w:val="left"/>
              <w:rPr>
                <w:rFonts w:ascii="Arial" w:hAnsi="Arial" w:cs="Arial"/>
                <w:snapToGrid w:val="0"/>
                <w:color w:val="auto"/>
                <w:sz w:val="24"/>
                <w:szCs w:val="24"/>
              </w:rPr>
            </w:pPr>
            <w:r w:rsidRPr="00237760">
              <w:rPr>
                <w:rFonts w:ascii="Arial" w:hAnsi="Arial" w:cs="Arial"/>
                <w:snapToGrid w:val="0"/>
                <w:color w:val="auto"/>
                <w:sz w:val="24"/>
                <w:szCs w:val="24"/>
              </w:rPr>
              <w:t>czynników ryzyka</w:t>
            </w:r>
          </w:p>
        </w:tc>
        <w:tc>
          <w:tcPr>
            <w:tcW w:w="4053" w:type="dxa"/>
          </w:tcPr>
          <w:p w14:paraId="364139F8" w14:textId="77777777" w:rsidR="001333A3" w:rsidRPr="00237760" w:rsidRDefault="001333A3" w:rsidP="009367B4">
            <w:pPr>
              <w:spacing w:after="0"/>
              <w:jc w:val="left"/>
              <w:rPr>
                <w:rFonts w:ascii="Arial" w:hAnsi="Arial" w:cs="Arial"/>
                <w:snapToGrid w:val="0"/>
                <w:color w:val="auto"/>
                <w:sz w:val="24"/>
                <w:szCs w:val="24"/>
              </w:rPr>
            </w:pPr>
            <w:r w:rsidRPr="00237760">
              <w:rPr>
                <w:rFonts w:ascii="Arial" w:hAnsi="Arial" w:cs="Arial"/>
                <w:snapToGrid w:val="0"/>
                <w:color w:val="auto"/>
                <w:sz w:val="24"/>
                <w:szCs w:val="24"/>
              </w:rPr>
              <w:t>Pytanie służy weryfikacji czynników ryzyka w kontekście:</w:t>
            </w:r>
          </w:p>
          <w:p w14:paraId="7F59C212" w14:textId="77777777" w:rsidR="001333A3" w:rsidRPr="00237760" w:rsidRDefault="001333A3" w:rsidP="009367B4">
            <w:pPr>
              <w:pStyle w:val="Akapitzlist"/>
              <w:spacing w:after="0" w:line="240" w:lineRule="auto"/>
              <w:ind w:left="284" w:hanging="207"/>
              <w:jc w:val="left"/>
              <w:rPr>
                <w:rFonts w:ascii="Arial" w:hAnsi="Arial" w:cs="Arial"/>
                <w:snapToGrid w:val="0"/>
                <w:color w:val="auto"/>
                <w:sz w:val="24"/>
                <w:szCs w:val="24"/>
              </w:rPr>
            </w:pPr>
            <w:r w:rsidRPr="00237760">
              <w:rPr>
                <w:rFonts w:ascii="Arial" w:hAnsi="Arial" w:cs="Arial"/>
                <w:snapToGrid w:val="0"/>
                <w:color w:val="auto"/>
                <w:sz w:val="24"/>
                <w:szCs w:val="24"/>
              </w:rPr>
              <w:t xml:space="preserve">ich trafności względem założeń części kierunkowej (cele, kierunki działań) dokumentu, </w:t>
            </w:r>
          </w:p>
          <w:p w14:paraId="31772AB8" w14:textId="77777777" w:rsidR="001333A3" w:rsidRPr="00237760" w:rsidRDefault="001333A3" w:rsidP="009367B4">
            <w:pPr>
              <w:pStyle w:val="Akapitzlist"/>
              <w:spacing w:after="0" w:line="240" w:lineRule="auto"/>
              <w:ind w:left="284" w:hanging="207"/>
              <w:jc w:val="left"/>
              <w:rPr>
                <w:rFonts w:ascii="Arial" w:hAnsi="Arial" w:cs="Arial"/>
                <w:snapToGrid w:val="0"/>
                <w:color w:val="auto"/>
                <w:sz w:val="24"/>
                <w:szCs w:val="24"/>
              </w:rPr>
            </w:pPr>
            <w:r w:rsidRPr="00237760">
              <w:rPr>
                <w:rFonts w:ascii="Arial" w:hAnsi="Arial" w:cs="Arial"/>
                <w:snapToGrid w:val="0"/>
                <w:color w:val="auto"/>
                <w:sz w:val="24"/>
                <w:szCs w:val="24"/>
              </w:rPr>
              <w:t>trafności wskazanej siły oddziaływania i prawdopodobieństwa wystąpienia danego czynnika.</w:t>
            </w:r>
          </w:p>
        </w:tc>
      </w:tr>
      <w:tr w:rsidR="00237760" w:rsidRPr="00237760" w14:paraId="0889CACE" w14:textId="77777777" w:rsidTr="00D352FD">
        <w:trPr>
          <w:trHeight w:val="176"/>
        </w:trPr>
        <w:tc>
          <w:tcPr>
            <w:tcW w:w="3251" w:type="dxa"/>
          </w:tcPr>
          <w:p w14:paraId="1EC3C902" w14:textId="77777777" w:rsidR="001333A3" w:rsidRPr="00237760" w:rsidRDefault="001333A3" w:rsidP="009367B4">
            <w:pPr>
              <w:pStyle w:val="Akapitzlist"/>
              <w:numPr>
                <w:ilvl w:val="0"/>
                <w:numId w:val="3"/>
              </w:numPr>
              <w:spacing w:after="0" w:line="240" w:lineRule="auto"/>
              <w:ind w:left="274" w:hanging="218"/>
              <w:jc w:val="left"/>
              <w:rPr>
                <w:rFonts w:ascii="Arial" w:hAnsi="Arial" w:cs="Arial"/>
                <w:bCs/>
                <w:snapToGrid w:val="0"/>
                <w:color w:val="auto"/>
                <w:sz w:val="24"/>
                <w:szCs w:val="24"/>
              </w:rPr>
            </w:pPr>
            <w:r w:rsidRPr="00237760">
              <w:rPr>
                <w:rFonts w:ascii="Arial" w:hAnsi="Arial" w:cs="Arial"/>
                <w:bCs/>
                <w:snapToGrid w:val="0"/>
                <w:color w:val="auto"/>
                <w:sz w:val="24"/>
                <w:szCs w:val="24"/>
              </w:rPr>
              <w:t xml:space="preserve">Czy wskazane w Programie elementy systemu wdrażania i realizacji dokumentu zostały dobrane i sformułowane trafnie? </w:t>
            </w:r>
          </w:p>
        </w:tc>
        <w:tc>
          <w:tcPr>
            <w:tcW w:w="1842" w:type="dxa"/>
          </w:tcPr>
          <w:p w14:paraId="580315D6" w14:textId="77777777" w:rsidR="001333A3" w:rsidRPr="00237760" w:rsidRDefault="001333A3" w:rsidP="009367B4">
            <w:pPr>
              <w:tabs>
                <w:tab w:val="left" w:pos="289"/>
              </w:tabs>
              <w:spacing w:after="0" w:line="240" w:lineRule="auto"/>
              <w:contextualSpacing/>
              <w:jc w:val="left"/>
              <w:rPr>
                <w:rFonts w:ascii="Arial" w:hAnsi="Arial" w:cs="Arial"/>
                <w:bCs/>
                <w:snapToGrid w:val="0"/>
                <w:color w:val="auto"/>
                <w:sz w:val="24"/>
                <w:szCs w:val="24"/>
              </w:rPr>
            </w:pPr>
            <w:r w:rsidRPr="00237760">
              <w:rPr>
                <w:rFonts w:ascii="Arial" w:hAnsi="Arial" w:cs="Arial"/>
                <w:bCs/>
                <w:snapToGrid w:val="0"/>
                <w:color w:val="auto"/>
                <w:sz w:val="24"/>
                <w:szCs w:val="24"/>
              </w:rPr>
              <w:t>trafność systemu wdrażania i realizacji</w:t>
            </w:r>
          </w:p>
        </w:tc>
        <w:tc>
          <w:tcPr>
            <w:tcW w:w="4053" w:type="dxa"/>
          </w:tcPr>
          <w:p w14:paraId="096990DB" w14:textId="77777777" w:rsidR="001333A3" w:rsidRPr="00237760" w:rsidRDefault="001333A3" w:rsidP="009367B4">
            <w:pPr>
              <w:spacing w:after="0" w:line="240" w:lineRule="auto"/>
              <w:jc w:val="left"/>
              <w:rPr>
                <w:rFonts w:ascii="Arial" w:hAnsi="Arial" w:cs="Arial"/>
                <w:bCs/>
                <w:snapToGrid w:val="0"/>
                <w:color w:val="auto"/>
                <w:sz w:val="24"/>
                <w:szCs w:val="24"/>
              </w:rPr>
            </w:pPr>
            <w:r w:rsidRPr="00237760">
              <w:rPr>
                <w:rFonts w:ascii="Arial" w:hAnsi="Arial" w:cs="Arial"/>
                <w:bCs/>
                <w:snapToGrid w:val="0"/>
                <w:color w:val="auto"/>
                <w:sz w:val="24"/>
                <w:szCs w:val="24"/>
              </w:rPr>
              <w:t>Pytanie służy weryfikacji systemu wdrażania i realizacji, w kontekście:</w:t>
            </w:r>
          </w:p>
          <w:p w14:paraId="31E6DA6E" w14:textId="77777777" w:rsidR="001333A3" w:rsidRPr="00237760" w:rsidRDefault="001333A3" w:rsidP="009367B4">
            <w:pPr>
              <w:pStyle w:val="Akapitzlist"/>
              <w:spacing w:after="0" w:line="240" w:lineRule="auto"/>
              <w:ind w:left="284" w:hanging="207"/>
              <w:jc w:val="left"/>
              <w:rPr>
                <w:rFonts w:ascii="Arial" w:hAnsi="Arial" w:cs="Arial"/>
                <w:bCs/>
                <w:snapToGrid w:val="0"/>
                <w:color w:val="auto"/>
                <w:sz w:val="24"/>
                <w:szCs w:val="24"/>
              </w:rPr>
            </w:pPr>
            <w:r w:rsidRPr="00237760">
              <w:rPr>
                <w:rFonts w:ascii="Arial" w:hAnsi="Arial" w:cs="Arial"/>
                <w:bCs/>
                <w:snapToGrid w:val="0"/>
                <w:color w:val="auto"/>
                <w:sz w:val="24"/>
                <w:szCs w:val="24"/>
              </w:rPr>
              <w:t>trafności doboru (i jego przesłanek) wskaźników systemu monitoringu w zakresie dopasowania tematycznego do celów,</w:t>
            </w:r>
          </w:p>
          <w:p w14:paraId="005682A2" w14:textId="77777777" w:rsidR="001333A3" w:rsidRPr="00237760" w:rsidRDefault="001333A3" w:rsidP="009367B4">
            <w:pPr>
              <w:pStyle w:val="Akapitzlist"/>
              <w:spacing w:after="0" w:line="240" w:lineRule="auto"/>
              <w:ind w:left="284" w:hanging="207"/>
              <w:jc w:val="left"/>
              <w:rPr>
                <w:rFonts w:ascii="Arial" w:hAnsi="Arial" w:cs="Arial"/>
                <w:bCs/>
                <w:snapToGrid w:val="0"/>
                <w:color w:val="auto"/>
                <w:sz w:val="24"/>
                <w:szCs w:val="24"/>
              </w:rPr>
            </w:pPr>
            <w:r w:rsidRPr="00237760">
              <w:rPr>
                <w:rFonts w:ascii="Arial" w:hAnsi="Arial" w:cs="Arial"/>
                <w:bCs/>
                <w:snapToGrid w:val="0"/>
                <w:color w:val="auto"/>
                <w:sz w:val="24"/>
                <w:szCs w:val="24"/>
              </w:rPr>
              <w:t>trafności wskazania poszczególnych podmiotów zaangażowanych w realizację Programu w zakresie merytorycznym i prawnym,</w:t>
            </w:r>
          </w:p>
          <w:p w14:paraId="11DE3E12" w14:textId="77777777" w:rsidR="001333A3" w:rsidRPr="00237760" w:rsidRDefault="001333A3" w:rsidP="009367B4">
            <w:pPr>
              <w:pStyle w:val="Akapitzlist"/>
              <w:spacing w:after="0" w:line="240" w:lineRule="auto"/>
              <w:ind w:left="284" w:hanging="207"/>
              <w:jc w:val="left"/>
              <w:rPr>
                <w:rFonts w:ascii="Arial" w:hAnsi="Arial" w:cs="Arial"/>
                <w:bCs/>
                <w:snapToGrid w:val="0"/>
                <w:color w:val="auto"/>
                <w:sz w:val="24"/>
                <w:szCs w:val="24"/>
              </w:rPr>
            </w:pPr>
            <w:r w:rsidRPr="00237760">
              <w:rPr>
                <w:rFonts w:ascii="Arial" w:hAnsi="Arial" w:cs="Arial"/>
                <w:bCs/>
                <w:snapToGrid w:val="0"/>
                <w:color w:val="auto"/>
                <w:sz w:val="24"/>
                <w:szCs w:val="24"/>
              </w:rPr>
              <w:t>trafności kryteriów wyboru projektów,</w:t>
            </w:r>
          </w:p>
          <w:p w14:paraId="15FFFB61" w14:textId="77777777" w:rsidR="001333A3" w:rsidRPr="00237760" w:rsidRDefault="001333A3" w:rsidP="009367B4">
            <w:pPr>
              <w:pStyle w:val="Akapitzlist"/>
              <w:spacing w:after="0" w:line="240" w:lineRule="auto"/>
              <w:ind w:left="284" w:hanging="207"/>
              <w:jc w:val="left"/>
              <w:rPr>
                <w:rFonts w:ascii="Arial" w:hAnsi="Arial" w:cs="Arial"/>
                <w:bCs/>
                <w:snapToGrid w:val="0"/>
                <w:color w:val="auto"/>
                <w:sz w:val="24"/>
                <w:szCs w:val="24"/>
              </w:rPr>
            </w:pPr>
            <w:r w:rsidRPr="00237760">
              <w:rPr>
                <w:rFonts w:ascii="Arial" w:hAnsi="Arial" w:cs="Arial"/>
                <w:bCs/>
                <w:snapToGrid w:val="0"/>
                <w:color w:val="auto"/>
                <w:sz w:val="24"/>
                <w:szCs w:val="24"/>
              </w:rPr>
              <w:t>dopasowania do celów wskazanych źródeł finansowania, w zakresie prawnym, tematycznym i merytorycznym.</w:t>
            </w:r>
          </w:p>
          <w:p w14:paraId="185B7AFC" w14:textId="77777777" w:rsidR="001333A3" w:rsidRPr="00237760" w:rsidRDefault="001333A3" w:rsidP="009367B4">
            <w:pPr>
              <w:spacing w:after="0" w:line="240" w:lineRule="auto"/>
              <w:jc w:val="left"/>
              <w:rPr>
                <w:rFonts w:ascii="Arial" w:hAnsi="Arial" w:cs="Arial"/>
                <w:bCs/>
                <w:snapToGrid w:val="0"/>
                <w:color w:val="auto"/>
                <w:sz w:val="24"/>
                <w:szCs w:val="24"/>
              </w:rPr>
            </w:pPr>
            <w:r w:rsidRPr="00237760">
              <w:rPr>
                <w:rFonts w:ascii="Arial" w:hAnsi="Arial" w:cs="Arial"/>
                <w:bCs/>
                <w:snapToGrid w:val="0"/>
                <w:color w:val="auto"/>
                <w:sz w:val="24"/>
                <w:szCs w:val="24"/>
              </w:rPr>
              <w:t>Tak sformułowane dodatkowe pytanie ewaluacyjne pozwoli na rozwinięcie zagadnienia potencjalnej skuteczności systemu wdrażania i monitorowania, która zostanie zweryfikowana w dalszej części badania.</w:t>
            </w:r>
          </w:p>
        </w:tc>
      </w:tr>
      <w:tr w:rsidR="00237760" w:rsidRPr="00237760" w14:paraId="17EF237E" w14:textId="77777777" w:rsidTr="00D352FD">
        <w:trPr>
          <w:trHeight w:val="176"/>
        </w:trPr>
        <w:tc>
          <w:tcPr>
            <w:tcW w:w="9143" w:type="dxa"/>
            <w:gridSpan w:val="3"/>
          </w:tcPr>
          <w:p w14:paraId="293601C8" w14:textId="77777777" w:rsidR="001333A3" w:rsidRPr="00237760" w:rsidRDefault="001333A3" w:rsidP="009367B4">
            <w:pPr>
              <w:pStyle w:val="Akapitzlist"/>
              <w:numPr>
                <w:ilvl w:val="0"/>
                <w:numId w:val="0"/>
              </w:numPr>
              <w:tabs>
                <w:tab w:val="left" w:pos="289"/>
              </w:tabs>
              <w:spacing w:after="0" w:line="240" w:lineRule="auto"/>
              <w:ind w:left="57"/>
              <w:contextualSpacing/>
              <w:jc w:val="left"/>
              <w:rPr>
                <w:rFonts w:ascii="Arial" w:hAnsi="Arial" w:cs="Arial"/>
                <w:snapToGrid w:val="0"/>
                <w:color w:val="auto"/>
                <w:sz w:val="24"/>
                <w:szCs w:val="24"/>
              </w:rPr>
            </w:pPr>
            <w:r w:rsidRPr="00237760">
              <w:rPr>
                <w:rFonts w:ascii="Arial" w:hAnsi="Arial" w:cs="Arial"/>
                <w:b/>
                <w:snapToGrid w:val="0"/>
                <w:color w:val="auto"/>
                <w:sz w:val="24"/>
                <w:szCs w:val="24"/>
              </w:rPr>
              <w:t xml:space="preserve">Część II. Ocena przewidywanej/potencjalnej skuteczności i efektywności </w:t>
            </w:r>
            <w:r w:rsidRPr="00237760">
              <w:rPr>
                <w:rFonts w:ascii="Arial" w:hAnsi="Arial" w:cs="Arial"/>
                <w:b/>
                <w:color w:val="auto"/>
                <w:sz w:val="24"/>
                <w:szCs w:val="24"/>
              </w:rPr>
              <w:t>założeń projektu PSRT WP</w:t>
            </w:r>
          </w:p>
        </w:tc>
      </w:tr>
      <w:tr w:rsidR="00237760" w:rsidRPr="00237760" w14:paraId="38BA718D" w14:textId="77777777" w:rsidTr="00D352FD">
        <w:trPr>
          <w:trHeight w:val="176"/>
        </w:trPr>
        <w:tc>
          <w:tcPr>
            <w:tcW w:w="3251" w:type="dxa"/>
          </w:tcPr>
          <w:p w14:paraId="4C31498D" w14:textId="77777777" w:rsidR="001333A3" w:rsidRPr="00237760" w:rsidRDefault="001333A3" w:rsidP="009367B4">
            <w:pPr>
              <w:pStyle w:val="Akapitzlist"/>
              <w:numPr>
                <w:ilvl w:val="0"/>
                <w:numId w:val="3"/>
              </w:numPr>
              <w:spacing w:after="0" w:line="240" w:lineRule="auto"/>
              <w:ind w:left="274" w:hanging="218"/>
              <w:jc w:val="left"/>
              <w:rPr>
                <w:rFonts w:ascii="Arial" w:hAnsi="Arial" w:cs="Arial"/>
                <w:snapToGrid w:val="0"/>
                <w:color w:val="auto"/>
                <w:sz w:val="24"/>
                <w:szCs w:val="24"/>
              </w:rPr>
            </w:pPr>
            <w:r w:rsidRPr="00237760">
              <w:rPr>
                <w:rFonts w:ascii="Arial" w:hAnsi="Arial" w:cs="Arial"/>
                <w:snapToGrid w:val="0"/>
                <w:color w:val="auto"/>
                <w:sz w:val="24"/>
                <w:szCs w:val="24"/>
              </w:rPr>
              <w:t xml:space="preserve">Czy zaproponowana logika interwencji </w:t>
            </w:r>
            <w:r w:rsidRPr="00237760">
              <w:rPr>
                <w:rFonts w:ascii="Arial" w:hAnsi="Arial" w:cs="Arial"/>
                <w:snapToGrid w:val="0"/>
                <w:color w:val="auto"/>
                <w:sz w:val="24"/>
                <w:szCs w:val="24"/>
              </w:rPr>
              <w:lastRenderedPageBreak/>
              <w:t>umożliwi zrealizowanie założonych celów?</w:t>
            </w:r>
          </w:p>
        </w:tc>
        <w:tc>
          <w:tcPr>
            <w:tcW w:w="1842" w:type="dxa"/>
          </w:tcPr>
          <w:p w14:paraId="19DF8995" w14:textId="77777777" w:rsidR="001333A3" w:rsidRPr="00237760" w:rsidRDefault="001333A3" w:rsidP="009367B4">
            <w:pPr>
              <w:tabs>
                <w:tab w:val="left" w:pos="289"/>
              </w:tabs>
              <w:spacing w:after="0" w:line="240" w:lineRule="auto"/>
              <w:contextualSpacing/>
              <w:jc w:val="left"/>
              <w:rPr>
                <w:rFonts w:ascii="Arial" w:hAnsi="Arial" w:cs="Arial"/>
                <w:snapToGrid w:val="0"/>
                <w:color w:val="auto"/>
                <w:sz w:val="24"/>
                <w:szCs w:val="24"/>
              </w:rPr>
            </w:pPr>
            <w:r w:rsidRPr="00237760">
              <w:rPr>
                <w:rFonts w:ascii="Arial" w:hAnsi="Arial" w:cs="Arial"/>
                <w:snapToGrid w:val="0"/>
                <w:color w:val="auto"/>
                <w:sz w:val="24"/>
                <w:szCs w:val="24"/>
              </w:rPr>
              <w:lastRenderedPageBreak/>
              <w:t>skuteczność logiki interwencji</w:t>
            </w:r>
          </w:p>
        </w:tc>
        <w:tc>
          <w:tcPr>
            <w:tcW w:w="4053" w:type="dxa"/>
          </w:tcPr>
          <w:p w14:paraId="2FADC710" w14:textId="77777777" w:rsidR="001333A3" w:rsidRPr="00237760" w:rsidRDefault="001333A3" w:rsidP="009367B4">
            <w:pPr>
              <w:spacing w:after="0" w:line="240" w:lineRule="auto"/>
              <w:jc w:val="left"/>
              <w:rPr>
                <w:rFonts w:ascii="Arial" w:hAnsi="Arial" w:cs="Arial"/>
                <w:snapToGrid w:val="0"/>
                <w:color w:val="auto"/>
                <w:sz w:val="24"/>
                <w:szCs w:val="24"/>
              </w:rPr>
            </w:pPr>
            <w:r w:rsidRPr="00237760">
              <w:rPr>
                <w:rFonts w:ascii="Arial" w:hAnsi="Arial" w:cs="Arial"/>
                <w:snapToGrid w:val="0"/>
                <w:color w:val="auto"/>
                <w:sz w:val="24"/>
                <w:szCs w:val="24"/>
              </w:rPr>
              <w:t xml:space="preserve">Pytanie służy weryfikacji skuteczności logiki interwencji w kontekście zakładanych celów i </w:t>
            </w:r>
            <w:r w:rsidRPr="00237760">
              <w:rPr>
                <w:rFonts w:ascii="Arial" w:hAnsi="Arial" w:cs="Arial"/>
                <w:snapToGrid w:val="0"/>
                <w:color w:val="auto"/>
                <w:sz w:val="24"/>
                <w:szCs w:val="24"/>
              </w:rPr>
              <w:lastRenderedPageBreak/>
              <w:t>relacji pomiędzy tymi celami, a także wpływu Programu na realizację celów Strategii Województwa.</w:t>
            </w:r>
          </w:p>
        </w:tc>
      </w:tr>
      <w:tr w:rsidR="00237760" w:rsidRPr="00237760" w14:paraId="5575B5FB" w14:textId="77777777" w:rsidTr="00D352FD">
        <w:trPr>
          <w:trHeight w:val="176"/>
        </w:trPr>
        <w:tc>
          <w:tcPr>
            <w:tcW w:w="3251" w:type="dxa"/>
          </w:tcPr>
          <w:p w14:paraId="63A305AA" w14:textId="77777777" w:rsidR="001333A3" w:rsidRPr="00237760" w:rsidRDefault="001333A3" w:rsidP="009367B4">
            <w:pPr>
              <w:pStyle w:val="Akapitzlist"/>
              <w:numPr>
                <w:ilvl w:val="0"/>
                <w:numId w:val="3"/>
              </w:numPr>
              <w:tabs>
                <w:tab w:val="left" w:pos="289"/>
              </w:tabs>
              <w:spacing w:after="0" w:line="240" w:lineRule="auto"/>
              <w:ind w:left="274" w:hanging="218"/>
              <w:contextualSpacing/>
              <w:jc w:val="left"/>
              <w:rPr>
                <w:rFonts w:ascii="Arial" w:hAnsi="Arial" w:cs="Arial"/>
                <w:snapToGrid w:val="0"/>
                <w:color w:val="auto"/>
                <w:sz w:val="24"/>
                <w:szCs w:val="24"/>
              </w:rPr>
            </w:pPr>
            <w:r w:rsidRPr="00237760">
              <w:rPr>
                <w:rFonts w:ascii="Arial" w:hAnsi="Arial" w:cs="Arial"/>
                <w:snapToGrid w:val="0"/>
                <w:color w:val="auto"/>
                <w:sz w:val="24"/>
                <w:szCs w:val="24"/>
              </w:rPr>
              <w:lastRenderedPageBreak/>
              <w:t xml:space="preserve">Czy przyjęty system wdrażania oraz wskazane źródła i instrumenty finansowania pozwolą na skuteczną realizację Programu? </w:t>
            </w:r>
          </w:p>
        </w:tc>
        <w:tc>
          <w:tcPr>
            <w:tcW w:w="1842" w:type="dxa"/>
          </w:tcPr>
          <w:p w14:paraId="001D23A1" w14:textId="77777777" w:rsidR="001333A3" w:rsidRPr="00237760" w:rsidRDefault="001333A3" w:rsidP="009367B4">
            <w:pPr>
              <w:tabs>
                <w:tab w:val="left" w:pos="289"/>
              </w:tabs>
              <w:spacing w:after="0" w:line="240" w:lineRule="auto"/>
              <w:contextualSpacing/>
              <w:jc w:val="left"/>
              <w:rPr>
                <w:rFonts w:ascii="Arial" w:hAnsi="Arial" w:cs="Arial"/>
                <w:snapToGrid w:val="0"/>
                <w:color w:val="auto"/>
                <w:sz w:val="24"/>
                <w:szCs w:val="24"/>
              </w:rPr>
            </w:pPr>
            <w:r w:rsidRPr="00237760">
              <w:rPr>
                <w:rFonts w:ascii="Arial" w:hAnsi="Arial" w:cs="Arial"/>
                <w:snapToGrid w:val="0"/>
                <w:color w:val="auto"/>
                <w:sz w:val="24"/>
                <w:szCs w:val="24"/>
              </w:rPr>
              <w:t>skuteczność systemu wdrażania i finansowania</w:t>
            </w:r>
          </w:p>
        </w:tc>
        <w:tc>
          <w:tcPr>
            <w:tcW w:w="4053" w:type="dxa"/>
          </w:tcPr>
          <w:p w14:paraId="78EC74EF" w14:textId="77777777" w:rsidR="001333A3" w:rsidRPr="00237760" w:rsidRDefault="001333A3" w:rsidP="009367B4">
            <w:pPr>
              <w:spacing w:after="0"/>
              <w:jc w:val="left"/>
              <w:rPr>
                <w:rFonts w:ascii="Arial" w:hAnsi="Arial" w:cs="Arial"/>
                <w:snapToGrid w:val="0"/>
                <w:color w:val="auto"/>
                <w:sz w:val="24"/>
                <w:szCs w:val="24"/>
              </w:rPr>
            </w:pPr>
            <w:r w:rsidRPr="00237760">
              <w:rPr>
                <w:rFonts w:ascii="Arial" w:hAnsi="Arial" w:cs="Arial"/>
                <w:snapToGrid w:val="0"/>
                <w:color w:val="auto"/>
                <w:sz w:val="24"/>
                <w:szCs w:val="24"/>
              </w:rPr>
              <w:t>Pytanie służy weryfikacji systemu wdrażania i finansowania w kontekście jego potencjalnej skuteczności, czemu służyć ma analiza:</w:t>
            </w:r>
          </w:p>
          <w:p w14:paraId="224EDD6D" w14:textId="77777777" w:rsidR="001333A3" w:rsidRPr="00237760" w:rsidRDefault="001333A3" w:rsidP="009367B4">
            <w:pPr>
              <w:pStyle w:val="Akapitzlist"/>
              <w:spacing w:after="0" w:line="240" w:lineRule="auto"/>
              <w:ind w:left="284" w:hanging="207"/>
              <w:jc w:val="left"/>
              <w:rPr>
                <w:rFonts w:ascii="Arial" w:hAnsi="Arial" w:cs="Arial"/>
                <w:snapToGrid w:val="0"/>
                <w:color w:val="auto"/>
                <w:sz w:val="24"/>
                <w:szCs w:val="24"/>
              </w:rPr>
            </w:pPr>
            <w:r w:rsidRPr="00237760">
              <w:rPr>
                <w:rFonts w:ascii="Arial" w:hAnsi="Arial" w:cs="Arial"/>
                <w:snapToGrid w:val="0"/>
                <w:color w:val="auto"/>
                <w:sz w:val="24"/>
                <w:szCs w:val="24"/>
              </w:rPr>
              <w:t>potencjalnych zagrożeń związanych z dostępnością i wielkością źródeł finansowania,</w:t>
            </w:r>
          </w:p>
          <w:p w14:paraId="46917657" w14:textId="77777777" w:rsidR="001333A3" w:rsidRPr="00237760" w:rsidRDefault="001333A3" w:rsidP="009367B4">
            <w:pPr>
              <w:pStyle w:val="Akapitzlist"/>
              <w:spacing w:after="0" w:line="240" w:lineRule="auto"/>
              <w:ind w:left="284" w:hanging="207"/>
              <w:jc w:val="left"/>
              <w:rPr>
                <w:rFonts w:ascii="Arial" w:hAnsi="Arial" w:cs="Arial"/>
                <w:snapToGrid w:val="0"/>
                <w:color w:val="auto"/>
                <w:sz w:val="24"/>
                <w:szCs w:val="24"/>
              </w:rPr>
            </w:pPr>
            <w:r w:rsidRPr="00237760">
              <w:rPr>
                <w:rFonts w:ascii="Arial" w:hAnsi="Arial" w:cs="Arial"/>
                <w:snapToGrid w:val="0"/>
                <w:color w:val="auto"/>
                <w:sz w:val="24"/>
                <w:szCs w:val="24"/>
              </w:rPr>
              <w:t>potencjalnych zagrożeń związanych z funkcjonowaniem poszczególnych podmiotów zaangażowanych w realizację Programu.</w:t>
            </w:r>
          </w:p>
        </w:tc>
      </w:tr>
      <w:tr w:rsidR="00237760" w:rsidRPr="00237760" w14:paraId="7A52B4BE" w14:textId="77777777" w:rsidTr="00D352FD">
        <w:trPr>
          <w:trHeight w:val="1133"/>
        </w:trPr>
        <w:tc>
          <w:tcPr>
            <w:tcW w:w="3251" w:type="dxa"/>
          </w:tcPr>
          <w:p w14:paraId="1FD337E0" w14:textId="77777777" w:rsidR="001333A3" w:rsidRPr="00237760" w:rsidRDefault="001333A3" w:rsidP="009367B4">
            <w:pPr>
              <w:pStyle w:val="Akapitzlist"/>
              <w:numPr>
                <w:ilvl w:val="0"/>
                <w:numId w:val="3"/>
              </w:numPr>
              <w:tabs>
                <w:tab w:val="left" w:pos="289"/>
              </w:tabs>
              <w:spacing w:after="0" w:line="240" w:lineRule="auto"/>
              <w:ind w:left="274" w:hanging="218"/>
              <w:contextualSpacing/>
              <w:jc w:val="left"/>
              <w:rPr>
                <w:rFonts w:ascii="Arial" w:hAnsi="Arial" w:cs="Arial"/>
                <w:snapToGrid w:val="0"/>
                <w:color w:val="auto"/>
                <w:sz w:val="24"/>
                <w:szCs w:val="24"/>
              </w:rPr>
            </w:pPr>
            <w:r w:rsidRPr="00237760">
              <w:rPr>
                <w:rFonts w:ascii="Arial" w:hAnsi="Arial" w:cs="Arial"/>
                <w:snapToGrid w:val="0"/>
                <w:color w:val="auto"/>
                <w:sz w:val="24"/>
                <w:szCs w:val="24"/>
              </w:rPr>
              <w:t>Czy ustalony w projekcie Programu system monitoringu i ewaluacji, umożliwia skuteczną i efektywną rejestrację i ocenę efektów jego realizacji, w odniesieniu do systemu transportowego poszczególnych JST z regionu jak i obszaru całego województwa podkarpackiego?</w:t>
            </w:r>
          </w:p>
        </w:tc>
        <w:tc>
          <w:tcPr>
            <w:tcW w:w="1842" w:type="dxa"/>
          </w:tcPr>
          <w:p w14:paraId="0513501D" w14:textId="77777777" w:rsidR="001333A3" w:rsidRPr="00237760" w:rsidRDefault="001333A3" w:rsidP="009367B4">
            <w:pPr>
              <w:pStyle w:val="Akapitzlist"/>
              <w:numPr>
                <w:ilvl w:val="0"/>
                <w:numId w:val="0"/>
              </w:numPr>
              <w:tabs>
                <w:tab w:val="left" w:pos="289"/>
              </w:tabs>
              <w:spacing w:after="0" w:line="240" w:lineRule="auto"/>
              <w:ind w:left="57"/>
              <w:contextualSpacing/>
              <w:jc w:val="left"/>
              <w:rPr>
                <w:rFonts w:ascii="Arial" w:hAnsi="Arial" w:cs="Arial"/>
                <w:snapToGrid w:val="0"/>
                <w:color w:val="auto"/>
                <w:sz w:val="24"/>
                <w:szCs w:val="24"/>
              </w:rPr>
            </w:pPr>
            <w:r w:rsidRPr="00237760">
              <w:rPr>
                <w:rFonts w:ascii="Arial" w:hAnsi="Arial" w:cs="Arial"/>
                <w:snapToGrid w:val="0"/>
                <w:color w:val="auto"/>
                <w:sz w:val="24"/>
                <w:szCs w:val="24"/>
              </w:rPr>
              <w:t>skuteczność i efektywność systemu monitorowania i ewaluacji</w:t>
            </w:r>
          </w:p>
        </w:tc>
        <w:tc>
          <w:tcPr>
            <w:tcW w:w="4053" w:type="dxa"/>
          </w:tcPr>
          <w:p w14:paraId="50F523CD" w14:textId="77777777" w:rsidR="001333A3" w:rsidRPr="00237760" w:rsidRDefault="001333A3" w:rsidP="009367B4">
            <w:pPr>
              <w:pStyle w:val="Akapitzlist"/>
              <w:tabs>
                <w:tab w:val="left" w:pos="289"/>
              </w:tabs>
              <w:spacing w:after="0" w:line="240" w:lineRule="auto"/>
              <w:ind w:left="57"/>
              <w:contextualSpacing/>
              <w:jc w:val="left"/>
              <w:rPr>
                <w:rFonts w:ascii="Arial" w:hAnsi="Arial" w:cs="Arial"/>
                <w:snapToGrid w:val="0"/>
                <w:color w:val="auto"/>
                <w:sz w:val="24"/>
                <w:szCs w:val="24"/>
              </w:rPr>
            </w:pPr>
            <w:r w:rsidRPr="00237760">
              <w:rPr>
                <w:rFonts w:ascii="Arial" w:hAnsi="Arial" w:cs="Arial"/>
                <w:snapToGrid w:val="0"/>
                <w:color w:val="auto"/>
                <w:sz w:val="24"/>
                <w:szCs w:val="24"/>
              </w:rPr>
              <w:t>Pytanie ewaluacyjne służy weryfikacji potencjalnej skuteczności systemu monitorowania i ewaluacji Programu m.in. w zakresie:</w:t>
            </w:r>
          </w:p>
          <w:p w14:paraId="676B634F" w14:textId="77777777" w:rsidR="001333A3" w:rsidRPr="00237760" w:rsidRDefault="001333A3" w:rsidP="009367B4">
            <w:pPr>
              <w:pStyle w:val="Akapitzlist"/>
              <w:spacing w:after="0" w:line="240" w:lineRule="auto"/>
              <w:ind w:left="284" w:hanging="207"/>
              <w:jc w:val="left"/>
              <w:rPr>
                <w:rFonts w:ascii="Arial" w:hAnsi="Arial" w:cs="Arial"/>
                <w:snapToGrid w:val="0"/>
                <w:color w:val="auto"/>
                <w:sz w:val="24"/>
                <w:szCs w:val="24"/>
              </w:rPr>
            </w:pPr>
            <w:r w:rsidRPr="00237760">
              <w:rPr>
                <w:rFonts w:ascii="Arial" w:hAnsi="Arial" w:cs="Arial"/>
                <w:snapToGrid w:val="0"/>
                <w:color w:val="auto"/>
                <w:sz w:val="24"/>
                <w:szCs w:val="24"/>
              </w:rPr>
              <w:t>weryfikacji wartości docelowych wskaźników pochodzących z ogólnodostępnych danych,</w:t>
            </w:r>
          </w:p>
          <w:p w14:paraId="1DCDC6DC" w14:textId="77777777" w:rsidR="001333A3" w:rsidRPr="00237760" w:rsidRDefault="001333A3" w:rsidP="009367B4">
            <w:pPr>
              <w:pStyle w:val="Akapitzlist"/>
              <w:spacing w:after="0" w:line="240" w:lineRule="auto"/>
              <w:ind w:left="284" w:hanging="207"/>
              <w:jc w:val="left"/>
              <w:rPr>
                <w:rFonts w:ascii="Arial" w:hAnsi="Arial" w:cs="Arial"/>
                <w:snapToGrid w:val="0"/>
                <w:color w:val="auto"/>
                <w:sz w:val="24"/>
                <w:szCs w:val="24"/>
              </w:rPr>
            </w:pPr>
            <w:r w:rsidRPr="00237760">
              <w:rPr>
                <w:rFonts w:ascii="Arial" w:hAnsi="Arial" w:cs="Arial"/>
                <w:snapToGrid w:val="0"/>
                <w:color w:val="auto"/>
                <w:sz w:val="24"/>
                <w:szCs w:val="24"/>
              </w:rPr>
              <w:t>ew. propozycji innych/dodatkowych wskaźników, które mogłyby podnieść skuteczność systemu monitorowania Programu.</w:t>
            </w:r>
          </w:p>
        </w:tc>
      </w:tr>
      <w:tr w:rsidR="00237760" w:rsidRPr="00237760" w14:paraId="076E4621" w14:textId="77777777" w:rsidTr="00D352FD">
        <w:trPr>
          <w:trHeight w:val="176"/>
        </w:trPr>
        <w:tc>
          <w:tcPr>
            <w:tcW w:w="9143" w:type="dxa"/>
            <w:gridSpan w:val="3"/>
          </w:tcPr>
          <w:p w14:paraId="51ECE086" w14:textId="77777777" w:rsidR="001333A3" w:rsidRPr="00237760" w:rsidRDefault="001333A3"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Część III. Ocena spójności projektu PSRT WP w wymiarze wewnętrznym i zewnętrznym</w:t>
            </w:r>
          </w:p>
        </w:tc>
      </w:tr>
      <w:tr w:rsidR="00237760" w:rsidRPr="00237760" w14:paraId="38DC01EE" w14:textId="77777777" w:rsidTr="00D352FD">
        <w:trPr>
          <w:trHeight w:val="176"/>
        </w:trPr>
        <w:tc>
          <w:tcPr>
            <w:tcW w:w="3251" w:type="dxa"/>
          </w:tcPr>
          <w:p w14:paraId="2C852479" w14:textId="77777777" w:rsidR="001333A3" w:rsidRPr="00237760" w:rsidRDefault="001333A3" w:rsidP="009367B4">
            <w:pPr>
              <w:pStyle w:val="Akapitzlist"/>
              <w:numPr>
                <w:ilvl w:val="0"/>
                <w:numId w:val="3"/>
              </w:numPr>
              <w:spacing w:after="0" w:line="240" w:lineRule="auto"/>
              <w:ind w:left="274" w:hanging="218"/>
              <w:jc w:val="left"/>
              <w:rPr>
                <w:rFonts w:ascii="Arial" w:hAnsi="Arial" w:cs="Arial"/>
                <w:snapToGrid w:val="0"/>
                <w:color w:val="auto"/>
                <w:sz w:val="24"/>
                <w:szCs w:val="24"/>
              </w:rPr>
            </w:pPr>
            <w:r w:rsidRPr="00237760">
              <w:rPr>
                <w:rFonts w:ascii="Arial" w:hAnsi="Arial" w:cs="Arial"/>
                <w:snapToGrid w:val="0"/>
                <w:color w:val="auto"/>
                <w:sz w:val="24"/>
                <w:szCs w:val="24"/>
              </w:rPr>
              <w:t xml:space="preserve">Czy projekt Programu jest zgodny i komplementarny z obowiązującymi regulacjami prawa, wytycznymi MFiPR dotyczącymi spełnienia warunkowości podstawowej, wytycznymi JASPERS dotyczącymi metodologii opracowania regionalnych planów transportowych oraz </w:t>
            </w:r>
            <w:r w:rsidRPr="00237760">
              <w:rPr>
                <w:rFonts w:ascii="Arial" w:hAnsi="Arial" w:cs="Arial"/>
                <w:snapToGrid w:val="0"/>
                <w:color w:val="auto"/>
                <w:sz w:val="24"/>
                <w:szCs w:val="24"/>
              </w:rPr>
              <w:lastRenderedPageBreak/>
              <w:t>właściwymi dokumentami krajowymi i unijnymi dotyczącymi nowego systemu programowania i wdrażania Europejskich Funduszy Strukturalnych i Inwestycyjnych (EFSI) w perspektywie finansowej 2021-2027 oraz aktualnie obowiązującymi zasadami polityki regionalnej?</w:t>
            </w:r>
          </w:p>
        </w:tc>
        <w:tc>
          <w:tcPr>
            <w:tcW w:w="1842" w:type="dxa"/>
            <w:vMerge w:val="restart"/>
          </w:tcPr>
          <w:p w14:paraId="0AD5108D" w14:textId="77777777" w:rsidR="001333A3" w:rsidRPr="00237760" w:rsidRDefault="001333A3" w:rsidP="009367B4">
            <w:pPr>
              <w:tabs>
                <w:tab w:val="left" w:pos="284"/>
              </w:tabs>
              <w:spacing w:after="0" w:line="240" w:lineRule="auto"/>
              <w:contextualSpacing/>
              <w:jc w:val="left"/>
              <w:rPr>
                <w:rFonts w:ascii="Arial" w:hAnsi="Arial" w:cs="Arial"/>
                <w:snapToGrid w:val="0"/>
                <w:color w:val="auto"/>
                <w:sz w:val="24"/>
                <w:szCs w:val="24"/>
              </w:rPr>
            </w:pPr>
            <w:r w:rsidRPr="00237760">
              <w:rPr>
                <w:rFonts w:ascii="Arial" w:hAnsi="Arial" w:cs="Arial"/>
                <w:snapToGrid w:val="0"/>
                <w:color w:val="auto"/>
                <w:sz w:val="24"/>
                <w:szCs w:val="24"/>
              </w:rPr>
              <w:lastRenderedPageBreak/>
              <w:t>spójność w wymiarze zewnętrznym</w:t>
            </w:r>
          </w:p>
        </w:tc>
        <w:tc>
          <w:tcPr>
            <w:tcW w:w="4053" w:type="dxa"/>
            <w:vMerge w:val="restart"/>
          </w:tcPr>
          <w:p w14:paraId="2AE8957D" w14:textId="77777777" w:rsidR="001333A3" w:rsidRPr="00237760" w:rsidRDefault="001333A3" w:rsidP="009367B4">
            <w:pPr>
              <w:tabs>
                <w:tab w:val="left" w:pos="284"/>
              </w:tabs>
              <w:spacing w:after="0" w:line="240" w:lineRule="auto"/>
              <w:contextualSpacing/>
              <w:jc w:val="left"/>
              <w:rPr>
                <w:rFonts w:ascii="Arial" w:hAnsi="Arial" w:cs="Arial"/>
                <w:snapToGrid w:val="0"/>
                <w:color w:val="auto"/>
                <w:sz w:val="24"/>
                <w:szCs w:val="24"/>
              </w:rPr>
            </w:pPr>
            <w:r w:rsidRPr="00237760">
              <w:rPr>
                <w:rFonts w:ascii="Arial" w:hAnsi="Arial" w:cs="Arial"/>
                <w:snapToGrid w:val="0"/>
                <w:color w:val="auto"/>
                <w:sz w:val="24"/>
                <w:szCs w:val="24"/>
              </w:rPr>
              <w:t>Grupa pytań ewaluacyjnych ma służyć weryfikacji spójności dokumentu w wymiarze zewnętrznym, przede wszystkim w zakresie:</w:t>
            </w:r>
          </w:p>
          <w:p w14:paraId="37BBB2F4" w14:textId="77777777" w:rsidR="001333A3" w:rsidRPr="00237760" w:rsidRDefault="001333A3" w:rsidP="009367B4">
            <w:pPr>
              <w:pStyle w:val="Akapitzlist"/>
              <w:spacing w:after="0" w:line="240" w:lineRule="auto"/>
              <w:ind w:left="284" w:hanging="207"/>
              <w:jc w:val="left"/>
              <w:rPr>
                <w:rFonts w:ascii="Arial" w:hAnsi="Arial" w:cs="Arial"/>
                <w:snapToGrid w:val="0"/>
                <w:color w:val="auto"/>
                <w:sz w:val="24"/>
                <w:szCs w:val="24"/>
              </w:rPr>
            </w:pPr>
            <w:r w:rsidRPr="00237760">
              <w:rPr>
                <w:rFonts w:ascii="Arial" w:hAnsi="Arial" w:cs="Arial"/>
                <w:snapToGrid w:val="0"/>
                <w:color w:val="auto"/>
                <w:sz w:val="24"/>
                <w:szCs w:val="24"/>
              </w:rPr>
              <w:t xml:space="preserve">powiązań tematycznych celów i kierunków działań z zapisami dokumentów na poziomie unijnym, krajowym i wojewódzkim, zwłaszcza w kontekście możliwości uzyskania </w:t>
            </w:r>
            <w:r w:rsidRPr="00237760">
              <w:rPr>
                <w:rFonts w:ascii="Arial" w:hAnsi="Arial" w:cs="Arial"/>
                <w:snapToGrid w:val="0"/>
                <w:color w:val="auto"/>
                <w:sz w:val="24"/>
                <w:szCs w:val="24"/>
              </w:rPr>
              <w:lastRenderedPageBreak/>
              <w:t>finansowania z dedykowanych obszarowi funduszy (spełnienie warunkowości podstawowej, spójność ze strategią wojewódzką i programem regionalnym na lata 2021-2027),</w:t>
            </w:r>
          </w:p>
          <w:p w14:paraId="36CD0C9D" w14:textId="77777777" w:rsidR="001333A3" w:rsidRPr="00237760" w:rsidRDefault="001333A3" w:rsidP="009367B4">
            <w:pPr>
              <w:pStyle w:val="Akapitzlist"/>
              <w:spacing w:after="0" w:line="240" w:lineRule="auto"/>
              <w:ind w:left="284" w:hanging="207"/>
              <w:jc w:val="left"/>
              <w:rPr>
                <w:rFonts w:ascii="Arial" w:hAnsi="Arial" w:cs="Arial"/>
                <w:snapToGrid w:val="0"/>
                <w:color w:val="auto"/>
                <w:sz w:val="24"/>
                <w:szCs w:val="24"/>
              </w:rPr>
            </w:pPr>
            <w:r w:rsidRPr="00237760">
              <w:rPr>
                <w:rFonts w:ascii="Arial" w:hAnsi="Arial" w:cs="Arial"/>
                <w:snapToGrid w:val="0"/>
                <w:color w:val="auto"/>
                <w:sz w:val="24"/>
                <w:szCs w:val="24"/>
              </w:rPr>
              <w:t>zgodności z przepisami prawa, w tym w zakresie elementów, które Program powinien posiadać w swojej strukturze i przyjętej metodyce,</w:t>
            </w:r>
          </w:p>
          <w:p w14:paraId="7369B1EF" w14:textId="77777777" w:rsidR="001333A3" w:rsidRPr="00237760" w:rsidRDefault="001333A3" w:rsidP="009367B4">
            <w:pPr>
              <w:pStyle w:val="Akapitzlist"/>
              <w:spacing w:after="0" w:line="240" w:lineRule="auto"/>
              <w:ind w:left="284" w:hanging="207"/>
              <w:jc w:val="left"/>
              <w:rPr>
                <w:rFonts w:ascii="Arial" w:hAnsi="Arial" w:cs="Arial"/>
                <w:snapToGrid w:val="0"/>
                <w:color w:val="auto"/>
                <w:sz w:val="24"/>
                <w:szCs w:val="24"/>
              </w:rPr>
            </w:pPr>
            <w:r w:rsidRPr="00237760">
              <w:rPr>
                <w:rFonts w:ascii="Arial" w:hAnsi="Arial" w:cs="Arial"/>
                <w:snapToGrid w:val="0"/>
                <w:color w:val="auto"/>
                <w:sz w:val="24"/>
                <w:szCs w:val="24"/>
              </w:rPr>
              <w:t>zasad polityki regionalnej.</w:t>
            </w:r>
          </w:p>
        </w:tc>
      </w:tr>
      <w:tr w:rsidR="00237760" w:rsidRPr="00237760" w14:paraId="52E7E7DB" w14:textId="77777777" w:rsidTr="00D352FD">
        <w:trPr>
          <w:trHeight w:val="176"/>
        </w:trPr>
        <w:tc>
          <w:tcPr>
            <w:tcW w:w="3251" w:type="dxa"/>
          </w:tcPr>
          <w:p w14:paraId="6B42D4B6" w14:textId="77777777" w:rsidR="001333A3" w:rsidRPr="00237760" w:rsidRDefault="001333A3" w:rsidP="009367B4">
            <w:pPr>
              <w:pStyle w:val="Akapitzlist"/>
              <w:numPr>
                <w:ilvl w:val="0"/>
                <w:numId w:val="3"/>
              </w:numPr>
              <w:spacing w:after="0" w:line="240" w:lineRule="auto"/>
              <w:ind w:left="274" w:hanging="218"/>
              <w:jc w:val="left"/>
              <w:rPr>
                <w:rFonts w:ascii="Arial" w:hAnsi="Arial" w:cs="Arial"/>
                <w:snapToGrid w:val="0"/>
                <w:color w:val="auto"/>
                <w:sz w:val="24"/>
                <w:szCs w:val="24"/>
              </w:rPr>
            </w:pPr>
            <w:r w:rsidRPr="00237760">
              <w:rPr>
                <w:rFonts w:ascii="Arial" w:hAnsi="Arial" w:cs="Arial"/>
                <w:snapToGrid w:val="0"/>
                <w:color w:val="auto"/>
                <w:sz w:val="24"/>
                <w:szCs w:val="24"/>
              </w:rPr>
              <w:lastRenderedPageBreak/>
              <w:t xml:space="preserve">Czy cele i kierunki rozwoju przyjęte w projekcie Programu są zgodne z najważniejszymi politykami i strategiami na poziomie unijnym i krajowym? </w:t>
            </w:r>
          </w:p>
        </w:tc>
        <w:tc>
          <w:tcPr>
            <w:tcW w:w="1842" w:type="dxa"/>
            <w:vMerge/>
          </w:tcPr>
          <w:p w14:paraId="7DE72E5E" w14:textId="77777777" w:rsidR="001333A3" w:rsidRPr="00237760" w:rsidRDefault="001333A3" w:rsidP="009367B4">
            <w:pPr>
              <w:pStyle w:val="Akapitzlist"/>
              <w:numPr>
                <w:ilvl w:val="0"/>
                <w:numId w:val="0"/>
              </w:numPr>
              <w:tabs>
                <w:tab w:val="left" w:pos="284"/>
              </w:tabs>
              <w:spacing w:after="0" w:line="240" w:lineRule="auto"/>
              <w:ind w:left="284"/>
              <w:contextualSpacing/>
              <w:jc w:val="left"/>
              <w:rPr>
                <w:rFonts w:ascii="Arial" w:hAnsi="Arial" w:cs="Arial"/>
                <w:snapToGrid w:val="0"/>
                <w:color w:val="auto"/>
                <w:sz w:val="24"/>
                <w:szCs w:val="24"/>
              </w:rPr>
            </w:pPr>
          </w:p>
        </w:tc>
        <w:tc>
          <w:tcPr>
            <w:tcW w:w="4053" w:type="dxa"/>
            <w:vMerge/>
          </w:tcPr>
          <w:p w14:paraId="28EACDDA" w14:textId="77777777" w:rsidR="001333A3" w:rsidRPr="00237760" w:rsidRDefault="001333A3" w:rsidP="009367B4">
            <w:pPr>
              <w:pStyle w:val="Akapitzlist"/>
              <w:numPr>
                <w:ilvl w:val="0"/>
                <w:numId w:val="0"/>
              </w:numPr>
              <w:tabs>
                <w:tab w:val="left" w:pos="284"/>
              </w:tabs>
              <w:spacing w:after="0" w:line="240" w:lineRule="auto"/>
              <w:ind w:left="284"/>
              <w:contextualSpacing/>
              <w:jc w:val="left"/>
              <w:rPr>
                <w:rFonts w:ascii="Arial" w:hAnsi="Arial" w:cs="Arial"/>
                <w:snapToGrid w:val="0"/>
                <w:color w:val="auto"/>
                <w:sz w:val="24"/>
                <w:szCs w:val="24"/>
              </w:rPr>
            </w:pPr>
          </w:p>
        </w:tc>
      </w:tr>
      <w:tr w:rsidR="00237760" w:rsidRPr="00237760" w14:paraId="1A974DD3" w14:textId="77777777" w:rsidTr="00D352FD">
        <w:trPr>
          <w:trHeight w:val="176"/>
        </w:trPr>
        <w:tc>
          <w:tcPr>
            <w:tcW w:w="3251" w:type="dxa"/>
          </w:tcPr>
          <w:p w14:paraId="25B69739" w14:textId="77777777" w:rsidR="001333A3" w:rsidRPr="00237760" w:rsidRDefault="001333A3" w:rsidP="009367B4">
            <w:pPr>
              <w:pStyle w:val="Akapitzlist"/>
              <w:numPr>
                <w:ilvl w:val="0"/>
                <w:numId w:val="3"/>
              </w:numPr>
              <w:spacing w:after="0" w:line="240" w:lineRule="auto"/>
              <w:ind w:left="274" w:hanging="218"/>
              <w:jc w:val="left"/>
              <w:rPr>
                <w:rFonts w:ascii="Arial" w:hAnsi="Arial" w:cs="Arial"/>
                <w:snapToGrid w:val="0"/>
                <w:color w:val="auto"/>
                <w:sz w:val="24"/>
                <w:szCs w:val="24"/>
              </w:rPr>
            </w:pPr>
            <w:r w:rsidRPr="00237760">
              <w:rPr>
                <w:rFonts w:ascii="Arial" w:hAnsi="Arial" w:cs="Arial"/>
                <w:snapToGrid w:val="0"/>
                <w:color w:val="auto"/>
                <w:sz w:val="24"/>
                <w:szCs w:val="24"/>
              </w:rPr>
              <w:t>Czy cele i kierunki rozwoju przyjęte w projekcie Programu są zgodne z zapisami Strategii rozwoju województwa - Podkarpackie 2030 oraz programu regionalnego Fundusze Europejskie dla Podkarpacia 2021-2027 (projekt)?</w:t>
            </w:r>
          </w:p>
        </w:tc>
        <w:tc>
          <w:tcPr>
            <w:tcW w:w="1842" w:type="dxa"/>
            <w:vMerge/>
          </w:tcPr>
          <w:p w14:paraId="68D4374D" w14:textId="77777777" w:rsidR="001333A3" w:rsidRPr="00237760" w:rsidRDefault="001333A3" w:rsidP="009367B4">
            <w:pPr>
              <w:pStyle w:val="Akapitzlist"/>
              <w:numPr>
                <w:ilvl w:val="0"/>
                <w:numId w:val="0"/>
              </w:numPr>
              <w:tabs>
                <w:tab w:val="left" w:pos="284"/>
              </w:tabs>
              <w:spacing w:after="0" w:line="240" w:lineRule="auto"/>
              <w:ind w:left="284"/>
              <w:contextualSpacing/>
              <w:jc w:val="left"/>
              <w:rPr>
                <w:rFonts w:ascii="Arial" w:hAnsi="Arial" w:cs="Arial"/>
                <w:snapToGrid w:val="0"/>
                <w:color w:val="auto"/>
                <w:sz w:val="24"/>
                <w:szCs w:val="24"/>
              </w:rPr>
            </w:pPr>
          </w:p>
        </w:tc>
        <w:tc>
          <w:tcPr>
            <w:tcW w:w="4053" w:type="dxa"/>
            <w:vMerge/>
          </w:tcPr>
          <w:p w14:paraId="305A7DC2" w14:textId="77777777" w:rsidR="001333A3" w:rsidRPr="00237760" w:rsidRDefault="001333A3" w:rsidP="009367B4">
            <w:pPr>
              <w:pStyle w:val="Akapitzlist"/>
              <w:numPr>
                <w:ilvl w:val="0"/>
                <w:numId w:val="0"/>
              </w:numPr>
              <w:tabs>
                <w:tab w:val="left" w:pos="284"/>
              </w:tabs>
              <w:spacing w:after="0" w:line="240" w:lineRule="auto"/>
              <w:ind w:left="284"/>
              <w:contextualSpacing/>
              <w:jc w:val="left"/>
              <w:rPr>
                <w:rFonts w:ascii="Arial" w:hAnsi="Arial" w:cs="Arial"/>
                <w:snapToGrid w:val="0"/>
                <w:color w:val="auto"/>
                <w:sz w:val="24"/>
                <w:szCs w:val="24"/>
              </w:rPr>
            </w:pPr>
          </w:p>
        </w:tc>
      </w:tr>
      <w:tr w:rsidR="00237760" w:rsidRPr="00237760" w14:paraId="0B0E9FBE" w14:textId="77777777" w:rsidTr="00D352FD">
        <w:trPr>
          <w:trHeight w:val="176"/>
        </w:trPr>
        <w:tc>
          <w:tcPr>
            <w:tcW w:w="3251" w:type="dxa"/>
          </w:tcPr>
          <w:p w14:paraId="39916308" w14:textId="77777777" w:rsidR="001333A3" w:rsidRPr="00237760" w:rsidRDefault="001333A3" w:rsidP="009367B4">
            <w:pPr>
              <w:pStyle w:val="Akapitzlist"/>
              <w:numPr>
                <w:ilvl w:val="0"/>
                <w:numId w:val="3"/>
              </w:numPr>
              <w:spacing w:after="0" w:line="240" w:lineRule="auto"/>
              <w:ind w:left="274" w:hanging="218"/>
              <w:jc w:val="left"/>
              <w:rPr>
                <w:rFonts w:ascii="Arial" w:hAnsi="Arial" w:cs="Arial"/>
                <w:snapToGrid w:val="0"/>
                <w:color w:val="auto"/>
                <w:sz w:val="24"/>
                <w:szCs w:val="24"/>
              </w:rPr>
            </w:pPr>
            <w:r w:rsidRPr="00237760">
              <w:rPr>
                <w:rFonts w:ascii="Arial" w:hAnsi="Arial" w:cs="Arial"/>
                <w:snapToGrid w:val="0"/>
                <w:color w:val="auto"/>
                <w:sz w:val="24"/>
                <w:szCs w:val="24"/>
              </w:rPr>
              <w:t>Czy projekt Programu jest wewnętrznie spójny, czytelny, logicznie powiązany oraz napisany zrozumiałym językiem?</w:t>
            </w:r>
          </w:p>
        </w:tc>
        <w:tc>
          <w:tcPr>
            <w:tcW w:w="1842" w:type="dxa"/>
            <w:vMerge w:val="restart"/>
          </w:tcPr>
          <w:p w14:paraId="1990F968" w14:textId="77777777" w:rsidR="001333A3" w:rsidRPr="00237760" w:rsidRDefault="001333A3" w:rsidP="009367B4">
            <w:pPr>
              <w:tabs>
                <w:tab w:val="left" w:pos="289"/>
              </w:tabs>
              <w:spacing w:after="0" w:line="240" w:lineRule="auto"/>
              <w:ind w:left="57"/>
              <w:contextualSpacing/>
              <w:jc w:val="left"/>
              <w:rPr>
                <w:rFonts w:ascii="Arial" w:hAnsi="Arial" w:cs="Arial"/>
                <w:snapToGrid w:val="0"/>
                <w:color w:val="auto"/>
                <w:sz w:val="24"/>
                <w:szCs w:val="24"/>
              </w:rPr>
            </w:pPr>
            <w:r w:rsidRPr="00237760">
              <w:rPr>
                <w:rFonts w:ascii="Arial" w:hAnsi="Arial" w:cs="Arial"/>
                <w:snapToGrid w:val="0"/>
                <w:color w:val="auto"/>
                <w:sz w:val="24"/>
                <w:szCs w:val="24"/>
              </w:rPr>
              <w:t>spójność w wymiarze wewnętrznym</w:t>
            </w:r>
          </w:p>
        </w:tc>
        <w:tc>
          <w:tcPr>
            <w:tcW w:w="4053" w:type="dxa"/>
            <w:vMerge w:val="restart"/>
          </w:tcPr>
          <w:p w14:paraId="69BCD9E7" w14:textId="77777777" w:rsidR="001333A3" w:rsidRPr="00237760" w:rsidRDefault="001333A3" w:rsidP="009367B4">
            <w:pPr>
              <w:tabs>
                <w:tab w:val="left" w:pos="289"/>
              </w:tabs>
              <w:spacing w:after="0" w:line="240" w:lineRule="auto"/>
              <w:ind w:left="57"/>
              <w:contextualSpacing/>
              <w:jc w:val="left"/>
              <w:rPr>
                <w:rFonts w:ascii="Arial" w:hAnsi="Arial" w:cs="Arial"/>
                <w:snapToGrid w:val="0"/>
                <w:color w:val="auto"/>
                <w:sz w:val="24"/>
                <w:szCs w:val="24"/>
              </w:rPr>
            </w:pPr>
            <w:r w:rsidRPr="00237760">
              <w:rPr>
                <w:rFonts w:ascii="Arial" w:hAnsi="Arial" w:cs="Arial"/>
                <w:snapToGrid w:val="0"/>
                <w:color w:val="auto"/>
                <w:sz w:val="24"/>
                <w:szCs w:val="24"/>
              </w:rPr>
              <w:t>Grupa pytań ewaluacyjnych służy weryfikacji spójności wewnętrznej w zakresie:</w:t>
            </w:r>
          </w:p>
          <w:p w14:paraId="0D006BEE" w14:textId="77777777" w:rsidR="001333A3" w:rsidRPr="00237760" w:rsidRDefault="001333A3" w:rsidP="009367B4">
            <w:pPr>
              <w:pStyle w:val="Akapitzlist"/>
              <w:spacing w:after="0" w:line="240" w:lineRule="auto"/>
              <w:ind w:left="284" w:hanging="207"/>
              <w:jc w:val="left"/>
              <w:rPr>
                <w:rFonts w:ascii="Arial" w:hAnsi="Arial" w:cs="Arial"/>
                <w:snapToGrid w:val="0"/>
                <w:color w:val="auto"/>
                <w:sz w:val="24"/>
                <w:szCs w:val="24"/>
              </w:rPr>
            </w:pPr>
            <w:r w:rsidRPr="00237760">
              <w:rPr>
                <w:rFonts w:ascii="Arial" w:hAnsi="Arial" w:cs="Arial"/>
                <w:snapToGrid w:val="0"/>
                <w:color w:val="auto"/>
                <w:sz w:val="24"/>
                <w:szCs w:val="24"/>
              </w:rPr>
              <w:t>ogólnej poprawności językowej dokumentu,</w:t>
            </w:r>
          </w:p>
          <w:p w14:paraId="64394A59" w14:textId="77777777" w:rsidR="001333A3" w:rsidRPr="00237760" w:rsidRDefault="001333A3" w:rsidP="009367B4">
            <w:pPr>
              <w:pStyle w:val="Akapitzlist"/>
              <w:spacing w:after="0" w:line="240" w:lineRule="auto"/>
              <w:ind w:left="284" w:hanging="207"/>
              <w:jc w:val="left"/>
              <w:rPr>
                <w:rFonts w:ascii="Arial" w:hAnsi="Arial" w:cs="Arial"/>
                <w:snapToGrid w:val="0"/>
                <w:color w:val="auto"/>
                <w:sz w:val="24"/>
                <w:szCs w:val="24"/>
              </w:rPr>
            </w:pPr>
            <w:r w:rsidRPr="00237760">
              <w:rPr>
                <w:rFonts w:ascii="Arial" w:hAnsi="Arial" w:cs="Arial"/>
                <w:snapToGrid w:val="0"/>
                <w:color w:val="auto"/>
                <w:sz w:val="24"/>
                <w:szCs w:val="24"/>
              </w:rPr>
              <w:t>powiązań tematycznych i związków przyczynowo-skutkowych pomiędzy analizą SWOT a diagnozą, diagnozą i celami oraz analizą SWOT i celami, w kontekście identyfikacji ew. braków lub niespójnych zapisów,</w:t>
            </w:r>
          </w:p>
          <w:p w14:paraId="04E61DB7" w14:textId="77777777" w:rsidR="001333A3" w:rsidRPr="00237760" w:rsidRDefault="001333A3" w:rsidP="009367B4">
            <w:pPr>
              <w:pStyle w:val="Akapitzlist"/>
              <w:spacing w:after="0" w:line="240" w:lineRule="auto"/>
              <w:ind w:left="284" w:hanging="207"/>
              <w:jc w:val="left"/>
              <w:rPr>
                <w:rFonts w:ascii="Arial" w:hAnsi="Arial" w:cs="Arial"/>
                <w:snapToGrid w:val="0"/>
                <w:color w:val="auto"/>
                <w:sz w:val="24"/>
                <w:szCs w:val="24"/>
              </w:rPr>
            </w:pPr>
            <w:r w:rsidRPr="00237760">
              <w:rPr>
                <w:rFonts w:ascii="Arial" w:hAnsi="Arial" w:cs="Arial"/>
                <w:snapToGrid w:val="0"/>
                <w:color w:val="auto"/>
                <w:sz w:val="24"/>
                <w:szCs w:val="24"/>
              </w:rPr>
              <w:t>ogólnej logiki dokumentu.</w:t>
            </w:r>
          </w:p>
        </w:tc>
      </w:tr>
      <w:tr w:rsidR="00237760" w:rsidRPr="00237760" w14:paraId="6F1F5754" w14:textId="77777777" w:rsidTr="00D352FD">
        <w:trPr>
          <w:trHeight w:val="176"/>
        </w:trPr>
        <w:tc>
          <w:tcPr>
            <w:tcW w:w="3251" w:type="dxa"/>
          </w:tcPr>
          <w:p w14:paraId="4B130095" w14:textId="77777777" w:rsidR="001333A3" w:rsidRPr="00237760" w:rsidRDefault="001333A3" w:rsidP="009367B4">
            <w:pPr>
              <w:pStyle w:val="Akapitzlist"/>
              <w:numPr>
                <w:ilvl w:val="0"/>
                <w:numId w:val="3"/>
              </w:numPr>
              <w:spacing w:after="0" w:line="240" w:lineRule="auto"/>
              <w:ind w:left="274" w:hanging="218"/>
              <w:jc w:val="left"/>
              <w:rPr>
                <w:rFonts w:ascii="Arial" w:hAnsi="Arial" w:cs="Arial"/>
                <w:snapToGrid w:val="0"/>
                <w:color w:val="auto"/>
                <w:sz w:val="24"/>
                <w:szCs w:val="24"/>
              </w:rPr>
            </w:pPr>
            <w:r w:rsidRPr="00237760">
              <w:rPr>
                <w:rFonts w:ascii="Arial" w:hAnsi="Arial" w:cs="Arial"/>
                <w:snapToGrid w:val="0"/>
                <w:color w:val="auto"/>
                <w:sz w:val="24"/>
                <w:szCs w:val="24"/>
              </w:rPr>
              <w:t>Czy występuje zgodność pomiędzy analizą SWOT a diagnozą i celami wskazanymi w Programie?</w:t>
            </w:r>
          </w:p>
        </w:tc>
        <w:tc>
          <w:tcPr>
            <w:tcW w:w="1842" w:type="dxa"/>
            <w:vMerge/>
          </w:tcPr>
          <w:p w14:paraId="330A35B0" w14:textId="77777777" w:rsidR="001333A3" w:rsidRPr="00237760" w:rsidRDefault="001333A3" w:rsidP="009367B4">
            <w:pPr>
              <w:tabs>
                <w:tab w:val="left" w:pos="289"/>
              </w:tabs>
              <w:spacing w:after="0" w:line="240" w:lineRule="auto"/>
              <w:ind w:left="57"/>
              <w:contextualSpacing/>
              <w:jc w:val="left"/>
              <w:rPr>
                <w:rFonts w:ascii="Arial" w:hAnsi="Arial" w:cs="Arial"/>
                <w:snapToGrid w:val="0"/>
                <w:color w:val="auto"/>
                <w:sz w:val="24"/>
                <w:szCs w:val="24"/>
              </w:rPr>
            </w:pPr>
          </w:p>
        </w:tc>
        <w:tc>
          <w:tcPr>
            <w:tcW w:w="4053" w:type="dxa"/>
            <w:vMerge/>
          </w:tcPr>
          <w:p w14:paraId="29BA6772" w14:textId="77777777" w:rsidR="001333A3" w:rsidRPr="00237760" w:rsidRDefault="001333A3" w:rsidP="009367B4">
            <w:pPr>
              <w:tabs>
                <w:tab w:val="left" w:pos="289"/>
              </w:tabs>
              <w:spacing w:after="0" w:line="240" w:lineRule="auto"/>
              <w:ind w:left="57"/>
              <w:contextualSpacing/>
              <w:jc w:val="left"/>
              <w:rPr>
                <w:rFonts w:ascii="Arial" w:hAnsi="Arial" w:cs="Arial"/>
                <w:snapToGrid w:val="0"/>
                <w:color w:val="auto"/>
                <w:sz w:val="24"/>
                <w:szCs w:val="24"/>
              </w:rPr>
            </w:pPr>
          </w:p>
        </w:tc>
      </w:tr>
    </w:tbl>
    <w:p w14:paraId="09D94540" w14:textId="77777777" w:rsidR="001333A3" w:rsidRPr="00237760" w:rsidRDefault="001333A3"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lastRenderedPageBreak/>
        <w:t>Źródło: opracowanie własne na podstawie SOPZ.</w:t>
      </w:r>
    </w:p>
    <w:p w14:paraId="6F426ED4" w14:textId="77777777" w:rsidR="001333A3" w:rsidRPr="00237760" w:rsidRDefault="001333A3" w:rsidP="009367B4">
      <w:pPr>
        <w:spacing w:after="160" w:line="259" w:lineRule="auto"/>
        <w:jc w:val="left"/>
        <w:rPr>
          <w:rFonts w:ascii="Arial" w:hAnsi="Arial" w:cs="Arial"/>
          <w:color w:val="auto"/>
          <w:sz w:val="24"/>
          <w:szCs w:val="24"/>
          <w:lang w:eastAsia="pl-PL"/>
        </w:rPr>
      </w:pPr>
      <w:r w:rsidRPr="00237760">
        <w:rPr>
          <w:rFonts w:ascii="Arial" w:hAnsi="Arial" w:cs="Arial"/>
          <w:color w:val="auto"/>
          <w:sz w:val="24"/>
          <w:szCs w:val="24"/>
          <w:lang w:eastAsia="pl-PL"/>
        </w:rPr>
        <w:br w:type="page"/>
      </w:r>
    </w:p>
    <w:p w14:paraId="18905E1C" w14:textId="77777777" w:rsidR="001333A3" w:rsidRPr="00237760" w:rsidRDefault="001333A3" w:rsidP="009367B4">
      <w:pPr>
        <w:pStyle w:val="Nagwek2"/>
        <w:rPr>
          <w:rFonts w:ascii="Arial" w:hAnsi="Arial" w:cs="Arial"/>
          <w:color w:val="auto"/>
          <w:sz w:val="24"/>
          <w:szCs w:val="24"/>
        </w:rPr>
      </w:pPr>
      <w:bookmarkStart w:id="20" w:name="_Toc25447815"/>
      <w:bookmarkStart w:id="21" w:name="_Toc101904103"/>
      <w:r w:rsidRPr="00237760">
        <w:rPr>
          <w:rFonts w:ascii="Arial" w:hAnsi="Arial" w:cs="Arial"/>
          <w:color w:val="auto"/>
          <w:sz w:val="24"/>
          <w:szCs w:val="24"/>
        </w:rPr>
        <w:lastRenderedPageBreak/>
        <w:t>Metody badawcze</w:t>
      </w:r>
      <w:bookmarkEnd w:id="20"/>
      <w:bookmarkEnd w:id="21"/>
    </w:p>
    <w:p w14:paraId="757719CE" w14:textId="12B09DB7" w:rsidR="001333A3" w:rsidRPr="00237760" w:rsidRDefault="00AE71DD"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 xml:space="preserve">W ewaluacji </w:t>
      </w:r>
      <w:r w:rsidR="001333A3" w:rsidRPr="00237760">
        <w:rPr>
          <w:rFonts w:ascii="Arial" w:hAnsi="Arial" w:cs="Arial"/>
          <w:color w:val="auto"/>
          <w:sz w:val="24"/>
          <w:szCs w:val="24"/>
          <w:lang w:eastAsia="pl-PL"/>
        </w:rPr>
        <w:t>wykorzystan</w:t>
      </w:r>
      <w:r w:rsidRPr="00237760">
        <w:rPr>
          <w:rFonts w:ascii="Arial" w:hAnsi="Arial" w:cs="Arial"/>
          <w:color w:val="auto"/>
          <w:sz w:val="24"/>
          <w:szCs w:val="24"/>
          <w:lang w:eastAsia="pl-PL"/>
        </w:rPr>
        <w:t>o następujące me</w:t>
      </w:r>
      <w:r w:rsidR="00095EBC" w:rsidRPr="00237760">
        <w:rPr>
          <w:rFonts w:ascii="Arial" w:hAnsi="Arial" w:cs="Arial"/>
          <w:color w:val="auto"/>
          <w:sz w:val="24"/>
          <w:szCs w:val="24"/>
          <w:lang w:eastAsia="pl-PL"/>
        </w:rPr>
        <w:t>tody</w:t>
      </w:r>
      <w:r w:rsidR="001333A3" w:rsidRPr="00237760">
        <w:rPr>
          <w:rFonts w:ascii="Arial" w:hAnsi="Arial" w:cs="Arial"/>
          <w:color w:val="auto"/>
          <w:sz w:val="24"/>
          <w:szCs w:val="24"/>
          <w:lang w:eastAsia="pl-PL"/>
        </w:rPr>
        <w:t>:</w:t>
      </w:r>
    </w:p>
    <w:p w14:paraId="7525F888" w14:textId="4D48AF73" w:rsidR="001333A3" w:rsidRPr="00237760" w:rsidRDefault="001333A3" w:rsidP="009367B4">
      <w:pPr>
        <w:pStyle w:val="Akapitzlist"/>
        <w:numPr>
          <w:ilvl w:val="1"/>
          <w:numId w:val="6"/>
        </w:numPr>
        <w:ind w:left="426"/>
        <w:jc w:val="left"/>
        <w:rPr>
          <w:rFonts w:ascii="Arial" w:hAnsi="Arial" w:cs="Arial"/>
          <w:color w:val="auto"/>
          <w:sz w:val="24"/>
          <w:szCs w:val="24"/>
        </w:rPr>
      </w:pPr>
      <w:r w:rsidRPr="00237760">
        <w:rPr>
          <w:rFonts w:ascii="Arial" w:hAnsi="Arial" w:cs="Arial"/>
          <w:b/>
          <w:color w:val="auto"/>
          <w:sz w:val="24"/>
          <w:szCs w:val="24"/>
        </w:rPr>
        <w:t>Analiz</w:t>
      </w:r>
      <w:r w:rsidR="00095EBC" w:rsidRPr="00237760">
        <w:rPr>
          <w:rFonts w:ascii="Arial" w:hAnsi="Arial" w:cs="Arial"/>
          <w:b/>
          <w:color w:val="auto"/>
          <w:sz w:val="24"/>
          <w:szCs w:val="24"/>
        </w:rPr>
        <w:t>a</w:t>
      </w:r>
      <w:r w:rsidRPr="00237760">
        <w:rPr>
          <w:rFonts w:ascii="Arial" w:hAnsi="Arial" w:cs="Arial"/>
          <w:b/>
          <w:color w:val="auto"/>
          <w:sz w:val="24"/>
          <w:szCs w:val="24"/>
        </w:rPr>
        <w:t xml:space="preserve"> danych zastanych (desk research)</w:t>
      </w:r>
      <w:r w:rsidRPr="00237760">
        <w:rPr>
          <w:rFonts w:ascii="Arial" w:hAnsi="Arial" w:cs="Arial"/>
          <w:color w:val="auto"/>
          <w:sz w:val="24"/>
          <w:szCs w:val="24"/>
        </w:rPr>
        <w:t xml:space="preserve"> –</w:t>
      </w:r>
      <w:r w:rsidRPr="00237760">
        <w:rPr>
          <w:rFonts w:ascii="Arial" w:hAnsi="Arial" w:cs="Arial"/>
          <w:b/>
          <w:color w:val="auto"/>
          <w:sz w:val="24"/>
          <w:szCs w:val="24"/>
        </w:rPr>
        <w:t xml:space="preserve"> </w:t>
      </w:r>
      <w:r w:rsidRPr="00237760">
        <w:rPr>
          <w:rFonts w:ascii="Arial" w:hAnsi="Arial" w:cs="Arial"/>
          <w:color w:val="auto"/>
          <w:sz w:val="24"/>
          <w:szCs w:val="24"/>
        </w:rPr>
        <w:t xml:space="preserve">metoda stanowiła podstawowe narzędzie analizy </w:t>
      </w:r>
      <w:r w:rsidR="00A45330" w:rsidRPr="00237760">
        <w:rPr>
          <w:rFonts w:ascii="Arial" w:hAnsi="Arial" w:cs="Arial"/>
          <w:color w:val="auto"/>
          <w:sz w:val="24"/>
          <w:szCs w:val="24"/>
        </w:rPr>
        <w:br/>
      </w:r>
      <w:r w:rsidRPr="00237760">
        <w:rPr>
          <w:rFonts w:ascii="Arial" w:hAnsi="Arial" w:cs="Arial"/>
          <w:color w:val="auto"/>
          <w:sz w:val="24"/>
          <w:szCs w:val="24"/>
        </w:rPr>
        <w:t>i weryfikacji materiałów źródłowych. Krytyczna analiza źródeł zosta</w:t>
      </w:r>
      <w:r w:rsidR="00095EBC" w:rsidRPr="00237760">
        <w:rPr>
          <w:rFonts w:ascii="Arial" w:hAnsi="Arial" w:cs="Arial"/>
          <w:color w:val="auto"/>
          <w:sz w:val="24"/>
          <w:szCs w:val="24"/>
        </w:rPr>
        <w:t>ła</w:t>
      </w:r>
      <w:r w:rsidRPr="00237760">
        <w:rPr>
          <w:rFonts w:ascii="Arial" w:hAnsi="Arial" w:cs="Arial"/>
          <w:color w:val="auto"/>
          <w:sz w:val="24"/>
          <w:szCs w:val="24"/>
        </w:rPr>
        <w:t xml:space="preserve"> wykonana w szczególności w zakresie:</w:t>
      </w:r>
    </w:p>
    <w:p w14:paraId="4CBC6D9F" w14:textId="77777777" w:rsidR="001333A3" w:rsidRPr="00237760" w:rsidRDefault="001333A3" w:rsidP="009367B4">
      <w:pPr>
        <w:pStyle w:val="Akapitzlist"/>
        <w:numPr>
          <w:ilvl w:val="0"/>
          <w:numId w:val="45"/>
        </w:numPr>
        <w:spacing w:after="0"/>
        <w:ind w:left="851"/>
        <w:jc w:val="left"/>
        <w:rPr>
          <w:rFonts w:ascii="Arial" w:hAnsi="Arial" w:cs="Arial"/>
          <w:color w:val="auto"/>
          <w:sz w:val="24"/>
          <w:szCs w:val="24"/>
        </w:rPr>
      </w:pPr>
      <w:r w:rsidRPr="00237760">
        <w:rPr>
          <w:rFonts w:ascii="Arial" w:hAnsi="Arial" w:cs="Arial"/>
          <w:color w:val="auto"/>
          <w:sz w:val="24"/>
          <w:szCs w:val="24"/>
        </w:rPr>
        <w:t>identyfikacji powiązań Programu z innymi dokumentami na poziomie lokalnym, wojewódzkim, krajowym i europejskim,</w:t>
      </w:r>
    </w:p>
    <w:p w14:paraId="73C63C1C" w14:textId="787FAE62" w:rsidR="001333A3" w:rsidRPr="00237760" w:rsidRDefault="001333A3" w:rsidP="009367B4">
      <w:pPr>
        <w:pStyle w:val="Akapitzlist"/>
        <w:numPr>
          <w:ilvl w:val="0"/>
          <w:numId w:val="45"/>
        </w:numPr>
        <w:spacing w:after="0"/>
        <w:ind w:left="851"/>
        <w:jc w:val="left"/>
        <w:rPr>
          <w:rFonts w:ascii="Arial" w:hAnsi="Arial" w:cs="Arial"/>
          <w:color w:val="auto"/>
          <w:sz w:val="24"/>
          <w:szCs w:val="24"/>
        </w:rPr>
      </w:pPr>
      <w:r w:rsidRPr="00237760">
        <w:rPr>
          <w:rFonts w:ascii="Arial" w:hAnsi="Arial" w:cs="Arial"/>
          <w:color w:val="auto"/>
          <w:sz w:val="24"/>
          <w:szCs w:val="24"/>
        </w:rPr>
        <w:t xml:space="preserve">identyfikacji (i ewentualnego pozyskania) dostępnych/dodatkowych źródeł danych </w:t>
      </w:r>
      <w:r w:rsidR="00A45330" w:rsidRPr="00237760">
        <w:rPr>
          <w:rFonts w:ascii="Arial" w:hAnsi="Arial" w:cs="Arial"/>
          <w:color w:val="auto"/>
          <w:sz w:val="24"/>
          <w:szCs w:val="24"/>
        </w:rPr>
        <w:br/>
      </w:r>
      <w:r w:rsidRPr="00237760">
        <w:rPr>
          <w:rFonts w:ascii="Arial" w:hAnsi="Arial" w:cs="Arial"/>
          <w:color w:val="auto"/>
          <w:sz w:val="24"/>
          <w:szCs w:val="24"/>
        </w:rPr>
        <w:t>w zakresie analizy systemu transportowego w województwie podkarpackim,</w:t>
      </w:r>
    </w:p>
    <w:p w14:paraId="16FCE5BA" w14:textId="5551DD1C" w:rsidR="001333A3" w:rsidRPr="00237760" w:rsidRDefault="001333A3" w:rsidP="009367B4">
      <w:pPr>
        <w:pStyle w:val="Akapitzlist"/>
        <w:numPr>
          <w:ilvl w:val="0"/>
          <w:numId w:val="45"/>
        </w:numPr>
        <w:spacing w:after="0"/>
        <w:ind w:left="851"/>
        <w:jc w:val="left"/>
        <w:rPr>
          <w:rFonts w:ascii="Arial" w:hAnsi="Arial" w:cs="Arial"/>
          <w:color w:val="auto"/>
          <w:sz w:val="24"/>
          <w:szCs w:val="24"/>
        </w:rPr>
      </w:pPr>
      <w:r w:rsidRPr="00237760">
        <w:rPr>
          <w:rFonts w:ascii="Arial" w:hAnsi="Arial" w:cs="Arial"/>
          <w:color w:val="auto"/>
          <w:sz w:val="24"/>
          <w:szCs w:val="24"/>
        </w:rPr>
        <w:t xml:space="preserve">analizy systemu transportowego w województwie podkarpackim (poziom lokalny </w:t>
      </w:r>
      <w:r w:rsidR="00A45330" w:rsidRPr="00237760">
        <w:rPr>
          <w:rFonts w:ascii="Arial" w:hAnsi="Arial" w:cs="Arial"/>
          <w:color w:val="auto"/>
          <w:sz w:val="24"/>
          <w:szCs w:val="24"/>
        </w:rPr>
        <w:br/>
      </w:r>
      <w:r w:rsidRPr="00237760">
        <w:rPr>
          <w:rFonts w:ascii="Arial" w:hAnsi="Arial" w:cs="Arial"/>
          <w:color w:val="auto"/>
          <w:sz w:val="24"/>
          <w:szCs w:val="24"/>
        </w:rPr>
        <w:t>i regionalny),</w:t>
      </w:r>
    </w:p>
    <w:p w14:paraId="7F05C53E" w14:textId="77777777" w:rsidR="001333A3" w:rsidRPr="00237760" w:rsidRDefault="001333A3" w:rsidP="009367B4">
      <w:pPr>
        <w:pStyle w:val="Akapitzlist"/>
        <w:numPr>
          <w:ilvl w:val="0"/>
          <w:numId w:val="45"/>
        </w:numPr>
        <w:ind w:left="851"/>
        <w:jc w:val="left"/>
        <w:rPr>
          <w:rFonts w:ascii="Arial" w:hAnsi="Arial" w:cs="Arial"/>
          <w:color w:val="auto"/>
          <w:sz w:val="24"/>
          <w:szCs w:val="24"/>
        </w:rPr>
      </w:pPr>
      <w:r w:rsidRPr="00237760">
        <w:rPr>
          <w:rFonts w:ascii="Arial" w:hAnsi="Arial" w:cs="Arial"/>
          <w:color w:val="auto"/>
          <w:sz w:val="24"/>
          <w:szCs w:val="24"/>
        </w:rPr>
        <w:t>analizy poszczególnych elementów składowych Programu.</w:t>
      </w:r>
    </w:p>
    <w:p w14:paraId="1B6CCFF7" w14:textId="0A456A8E" w:rsidR="001333A3" w:rsidRPr="00237760" w:rsidRDefault="001333A3" w:rsidP="009367B4">
      <w:pPr>
        <w:jc w:val="left"/>
        <w:rPr>
          <w:rFonts w:ascii="Arial" w:hAnsi="Arial" w:cs="Arial"/>
          <w:color w:val="auto"/>
          <w:sz w:val="24"/>
          <w:szCs w:val="24"/>
        </w:rPr>
      </w:pPr>
      <w:r w:rsidRPr="00237760">
        <w:rPr>
          <w:rFonts w:ascii="Arial" w:hAnsi="Arial" w:cs="Arial"/>
          <w:color w:val="auto"/>
          <w:sz w:val="24"/>
          <w:szCs w:val="24"/>
        </w:rPr>
        <w:t>Analiza danych zastanych zosta</w:t>
      </w:r>
      <w:r w:rsidR="00645A19" w:rsidRPr="00237760">
        <w:rPr>
          <w:rFonts w:ascii="Arial" w:hAnsi="Arial" w:cs="Arial"/>
          <w:color w:val="auto"/>
          <w:sz w:val="24"/>
          <w:szCs w:val="24"/>
        </w:rPr>
        <w:t>ła</w:t>
      </w:r>
      <w:r w:rsidRPr="00237760">
        <w:rPr>
          <w:rFonts w:ascii="Arial" w:hAnsi="Arial" w:cs="Arial"/>
          <w:color w:val="auto"/>
          <w:sz w:val="24"/>
          <w:szCs w:val="24"/>
        </w:rPr>
        <w:t xml:space="preserve"> wykorzystana do weryfikacji spełnienia przez projekt Programu wszystkich kryteriów ewaluacyjnych. W celu realizacji wymienionych wyżej punktów, analiz</w:t>
      </w:r>
      <w:r w:rsidR="00645A19" w:rsidRPr="00237760">
        <w:rPr>
          <w:rFonts w:ascii="Arial" w:hAnsi="Arial" w:cs="Arial"/>
          <w:color w:val="auto"/>
          <w:sz w:val="24"/>
          <w:szCs w:val="24"/>
        </w:rPr>
        <w:t>ie poddano</w:t>
      </w:r>
      <w:r w:rsidRPr="00237760">
        <w:rPr>
          <w:rFonts w:ascii="Arial" w:hAnsi="Arial" w:cs="Arial"/>
          <w:color w:val="auto"/>
          <w:sz w:val="24"/>
          <w:szCs w:val="24"/>
        </w:rPr>
        <w:t>:</w:t>
      </w:r>
    </w:p>
    <w:p w14:paraId="3872F4B2" w14:textId="4CE2A7E3" w:rsidR="001333A3" w:rsidRPr="00237760" w:rsidRDefault="001333A3" w:rsidP="009367B4">
      <w:pPr>
        <w:pStyle w:val="Akapitzlist"/>
        <w:numPr>
          <w:ilvl w:val="0"/>
          <w:numId w:val="4"/>
        </w:numPr>
        <w:ind w:left="567"/>
        <w:jc w:val="left"/>
        <w:rPr>
          <w:rFonts w:ascii="Arial" w:hAnsi="Arial" w:cs="Arial"/>
          <w:b/>
          <w:color w:val="auto"/>
          <w:sz w:val="24"/>
          <w:szCs w:val="24"/>
        </w:rPr>
      </w:pPr>
      <w:r w:rsidRPr="00237760">
        <w:rPr>
          <w:rFonts w:ascii="Arial" w:hAnsi="Arial" w:cs="Arial"/>
          <w:b/>
          <w:color w:val="auto"/>
          <w:sz w:val="24"/>
          <w:szCs w:val="24"/>
        </w:rPr>
        <w:t>Dokumenty strategiczne i programowe</w:t>
      </w:r>
      <w:r w:rsidRPr="00237760">
        <w:rPr>
          <w:rFonts w:ascii="Arial" w:hAnsi="Arial" w:cs="Arial"/>
          <w:color w:val="auto"/>
          <w:sz w:val="24"/>
          <w:szCs w:val="24"/>
        </w:rPr>
        <w:t>:</w:t>
      </w:r>
    </w:p>
    <w:p w14:paraId="2D2232D2" w14:textId="77777777" w:rsidR="001333A3" w:rsidRPr="00237760" w:rsidRDefault="001333A3" w:rsidP="009367B4">
      <w:pPr>
        <w:pStyle w:val="Akapitzlist"/>
        <w:numPr>
          <w:ilvl w:val="0"/>
          <w:numId w:val="5"/>
        </w:numPr>
        <w:ind w:left="567"/>
        <w:jc w:val="left"/>
        <w:rPr>
          <w:rFonts w:ascii="Arial" w:hAnsi="Arial" w:cs="Arial"/>
          <w:color w:val="auto"/>
          <w:sz w:val="24"/>
          <w:szCs w:val="24"/>
        </w:rPr>
      </w:pPr>
      <w:r w:rsidRPr="00237760">
        <w:rPr>
          <w:rFonts w:ascii="Arial" w:hAnsi="Arial" w:cs="Arial"/>
          <w:color w:val="auto"/>
          <w:sz w:val="24"/>
          <w:szCs w:val="24"/>
        </w:rPr>
        <w:t>na szczeblu regionalnym:</w:t>
      </w:r>
    </w:p>
    <w:p w14:paraId="14047A2F" w14:textId="77777777" w:rsidR="001333A3" w:rsidRPr="00237760" w:rsidRDefault="001333A3" w:rsidP="009367B4">
      <w:pPr>
        <w:pStyle w:val="Akapitzlist"/>
        <w:numPr>
          <w:ilvl w:val="0"/>
          <w:numId w:val="45"/>
        </w:numPr>
        <w:spacing w:after="0"/>
        <w:ind w:left="851"/>
        <w:jc w:val="left"/>
        <w:rPr>
          <w:rFonts w:ascii="Arial" w:hAnsi="Arial" w:cs="Arial"/>
          <w:i/>
          <w:color w:val="auto"/>
          <w:sz w:val="24"/>
          <w:szCs w:val="24"/>
        </w:rPr>
      </w:pPr>
      <w:r w:rsidRPr="00237760">
        <w:rPr>
          <w:rFonts w:ascii="Arial" w:hAnsi="Arial" w:cs="Arial"/>
          <w:i/>
          <w:color w:val="auto"/>
          <w:sz w:val="24"/>
          <w:szCs w:val="24"/>
        </w:rPr>
        <w:t>Strategia rozwoju województwa – Podkarpackie 2030,</w:t>
      </w:r>
    </w:p>
    <w:p w14:paraId="0AD01307" w14:textId="77777777" w:rsidR="001333A3" w:rsidRPr="00237760" w:rsidRDefault="001333A3" w:rsidP="009367B4">
      <w:pPr>
        <w:pStyle w:val="Akapitzlist"/>
        <w:numPr>
          <w:ilvl w:val="0"/>
          <w:numId w:val="45"/>
        </w:numPr>
        <w:spacing w:after="0"/>
        <w:ind w:left="851"/>
        <w:jc w:val="left"/>
        <w:rPr>
          <w:rFonts w:ascii="Arial" w:hAnsi="Arial" w:cs="Arial"/>
          <w:color w:val="auto"/>
          <w:sz w:val="24"/>
          <w:szCs w:val="24"/>
        </w:rPr>
      </w:pPr>
      <w:r w:rsidRPr="00237760">
        <w:rPr>
          <w:rFonts w:ascii="Arial" w:hAnsi="Arial" w:cs="Arial"/>
          <w:i/>
          <w:color w:val="auto"/>
          <w:sz w:val="24"/>
          <w:szCs w:val="24"/>
        </w:rPr>
        <w:t>Program regionalny Fundusze Europejskie dla Podkarpacia 2021-2027</w:t>
      </w:r>
      <w:r w:rsidRPr="00237760">
        <w:rPr>
          <w:rFonts w:ascii="Arial" w:hAnsi="Arial" w:cs="Arial"/>
          <w:color w:val="auto"/>
          <w:sz w:val="24"/>
          <w:szCs w:val="24"/>
        </w:rPr>
        <w:t xml:space="preserve"> (projekt),</w:t>
      </w:r>
    </w:p>
    <w:p w14:paraId="6B769EA0" w14:textId="77777777" w:rsidR="001333A3" w:rsidRPr="00237760" w:rsidRDefault="001333A3" w:rsidP="009367B4">
      <w:pPr>
        <w:pStyle w:val="Akapitzlist"/>
        <w:numPr>
          <w:ilvl w:val="0"/>
          <w:numId w:val="45"/>
        </w:numPr>
        <w:spacing w:after="0"/>
        <w:ind w:left="851"/>
        <w:jc w:val="left"/>
        <w:rPr>
          <w:rFonts w:ascii="Arial" w:hAnsi="Arial" w:cs="Arial"/>
          <w:color w:val="auto"/>
          <w:sz w:val="24"/>
          <w:szCs w:val="24"/>
        </w:rPr>
      </w:pPr>
      <w:r w:rsidRPr="00237760">
        <w:rPr>
          <w:rFonts w:ascii="Arial" w:hAnsi="Arial" w:cs="Arial"/>
          <w:i/>
          <w:color w:val="auto"/>
          <w:sz w:val="24"/>
          <w:szCs w:val="24"/>
        </w:rPr>
        <w:t>Plan Zagospodarowania Przestrzennego Województwa Podkarpackiego – perspektywa 2030</w:t>
      </w:r>
      <w:r w:rsidRPr="00237760">
        <w:rPr>
          <w:rFonts w:ascii="Arial" w:hAnsi="Arial" w:cs="Arial"/>
          <w:color w:val="auto"/>
          <w:sz w:val="24"/>
          <w:szCs w:val="24"/>
        </w:rPr>
        <w:t>,</w:t>
      </w:r>
    </w:p>
    <w:p w14:paraId="40B04AF9" w14:textId="77777777" w:rsidR="001333A3" w:rsidRPr="00237760" w:rsidRDefault="001333A3" w:rsidP="009367B4">
      <w:pPr>
        <w:pStyle w:val="Akapitzlist"/>
        <w:numPr>
          <w:ilvl w:val="0"/>
          <w:numId w:val="45"/>
        </w:numPr>
        <w:spacing w:after="0"/>
        <w:ind w:left="851"/>
        <w:jc w:val="left"/>
        <w:rPr>
          <w:rFonts w:ascii="Arial" w:hAnsi="Arial" w:cs="Arial"/>
          <w:i/>
          <w:color w:val="auto"/>
          <w:sz w:val="24"/>
          <w:szCs w:val="24"/>
        </w:rPr>
      </w:pPr>
      <w:r w:rsidRPr="00237760">
        <w:rPr>
          <w:rFonts w:ascii="Arial" w:hAnsi="Arial" w:cs="Arial"/>
          <w:i/>
          <w:color w:val="auto"/>
          <w:sz w:val="24"/>
          <w:szCs w:val="24"/>
        </w:rPr>
        <w:t>Program Strategicznego Rozwoju Bieszczad,</w:t>
      </w:r>
    </w:p>
    <w:p w14:paraId="46390D32" w14:textId="77777777" w:rsidR="001333A3" w:rsidRPr="00237760" w:rsidRDefault="001333A3" w:rsidP="009367B4">
      <w:pPr>
        <w:pStyle w:val="Akapitzlist"/>
        <w:numPr>
          <w:ilvl w:val="0"/>
          <w:numId w:val="45"/>
        </w:numPr>
        <w:spacing w:after="0"/>
        <w:ind w:left="851"/>
        <w:jc w:val="left"/>
        <w:rPr>
          <w:rFonts w:ascii="Arial" w:hAnsi="Arial" w:cs="Arial"/>
          <w:color w:val="auto"/>
          <w:sz w:val="24"/>
          <w:szCs w:val="24"/>
        </w:rPr>
      </w:pPr>
      <w:r w:rsidRPr="00237760">
        <w:rPr>
          <w:rFonts w:ascii="Arial" w:hAnsi="Arial" w:cs="Arial"/>
          <w:i/>
          <w:color w:val="auto"/>
          <w:sz w:val="24"/>
          <w:szCs w:val="24"/>
        </w:rPr>
        <w:t>Program Strategiczny Błękitny San</w:t>
      </w:r>
      <w:r w:rsidRPr="00237760">
        <w:rPr>
          <w:rFonts w:ascii="Arial" w:hAnsi="Arial" w:cs="Arial"/>
          <w:color w:val="auto"/>
          <w:sz w:val="24"/>
          <w:szCs w:val="24"/>
        </w:rPr>
        <w:t>,</w:t>
      </w:r>
    </w:p>
    <w:p w14:paraId="15BC0FBB" w14:textId="77777777" w:rsidR="001333A3" w:rsidRPr="00237760" w:rsidRDefault="001333A3" w:rsidP="009367B4">
      <w:pPr>
        <w:pStyle w:val="Akapitzlist"/>
        <w:numPr>
          <w:ilvl w:val="0"/>
          <w:numId w:val="45"/>
        </w:numPr>
        <w:spacing w:after="0"/>
        <w:ind w:left="851"/>
        <w:jc w:val="left"/>
        <w:rPr>
          <w:rFonts w:ascii="Arial" w:hAnsi="Arial" w:cs="Arial"/>
          <w:color w:val="auto"/>
          <w:sz w:val="24"/>
          <w:szCs w:val="24"/>
        </w:rPr>
      </w:pPr>
      <w:r w:rsidRPr="00237760">
        <w:rPr>
          <w:rFonts w:ascii="Arial" w:hAnsi="Arial" w:cs="Arial"/>
          <w:i/>
          <w:color w:val="auto"/>
          <w:sz w:val="24"/>
          <w:szCs w:val="24"/>
        </w:rPr>
        <w:t>Diagnoza stanu systemu transportowego w województwie podkarpackim opracowana na potrzeby PSRT WP do roku 2030</w:t>
      </w:r>
      <w:r w:rsidRPr="00237760">
        <w:rPr>
          <w:rFonts w:ascii="Arial" w:hAnsi="Arial" w:cs="Arial"/>
          <w:color w:val="auto"/>
          <w:sz w:val="24"/>
          <w:szCs w:val="24"/>
        </w:rPr>
        <w:t>,</w:t>
      </w:r>
    </w:p>
    <w:p w14:paraId="6AB4473B" w14:textId="77777777" w:rsidR="001333A3" w:rsidRPr="00237760" w:rsidRDefault="001333A3" w:rsidP="009367B4">
      <w:pPr>
        <w:pStyle w:val="Akapitzlist"/>
        <w:numPr>
          <w:ilvl w:val="0"/>
          <w:numId w:val="45"/>
        </w:numPr>
        <w:spacing w:after="0"/>
        <w:ind w:left="851"/>
        <w:jc w:val="left"/>
        <w:rPr>
          <w:rFonts w:ascii="Arial" w:hAnsi="Arial" w:cs="Arial"/>
          <w:color w:val="auto"/>
          <w:sz w:val="24"/>
          <w:szCs w:val="24"/>
        </w:rPr>
      </w:pPr>
      <w:r w:rsidRPr="00237760">
        <w:rPr>
          <w:rFonts w:ascii="Arial" w:hAnsi="Arial" w:cs="Arial"/>
          <w:i/>
          <w:color w:val="auto"/>
          <w:sz w:val="24"/>
          <w:szCs w:val="24"/>
        </w:rPr>
        <w:t>Strategie lokalne</w:t>
      </w:r>
      <w:r w:rsidRPr="00237760">
        <w:rPr>
          <w:rFonts w:ascii="Arial" w:hAnsi="Arial" w:cs="Arial"/>
          <w:color w:val="auto"/>
          <w:sz w:val="24"/>
          <w:szCs w:val="24"/>
        </w:rPr>
        <w:t>,</w:t>
      </w:r>
    </w:p>
    <w:p w14:paraId="211D9B85" w14:textId="409C7096" w:rsidR="001333A3" w:rsidRPr="00237760" w:rsidRDefault="001333A3" w:rsidP="009367B4">
      <w:pPr>
        <w:pStyle w:val="Akapitzlist"/>
        <w:numPr>
          <w:ilvl w:val="0"/>
          <w:numId w:val="45"/>
        </w:numPr>
        <w:spacing w:after="0"/>
        <w:ind w:left="851"/>
        <w:jc w:val="left"/>
        <w:rPr>
          <w:rFonts w:ascii="Arial" w:hAnsi="Arial" w:cs="Arial"/>
          <w:color w:val="auto"/>
          <w:sz w:val="24"/>
          <w:szCs w:val="24"/>
        </w:rPr>
      </w:pPr>
      <w:r w:rsidRPr="00237760">
        <w:rPr>
          <w:rFonts w:ascii="Arial" w:hAnsi="Arial" w:cs="Arial"/>
          <w:i/>
          <w:color w:val="auto"/>
          <w:sz w:val="24"/>
          <w:szCs w:val="24"/>
        </w:rPr>
        <w:t xml:space="preserve">Plan Zrównoważonego Rozwoju Publicznego Transportu Zbiorowego na lata 2021-2030 </w:t>
      </w:r>
      <w:r w:rsidR="00A45330" w:rsidRPr="00237760">
        <w:rPr>
          <w:rFonts w:ascii="Arial" w:hAnsi="Arial" w:cs="Arial"/>
          <w:i/>
          <w:color w:val="auto"/>
          <w:sz w:val="24"/>
          <w:szCs w:val="24"/>
        </w:rPr>
        <w:br/>
      </w:r>
      <w:r w:rsidRPr="00237760">
        <w:rPr>
          <w:rFonts w:ascii="Arial" w:hAnsi="Arial" w:cs="Arial"/>
          <w:i/>
          <w:color w:val="auto"/>
          <w:sz w:val="24"/>
          <w:szCs w:val="24"/>
        </w:rPr>
        <w:t>(z elementami strategii rozwoju elektromobilności dla miasta Rzeszowa i gmin ościennych, które zawarły z Gminą Miasto Rzeszów porozumienia w zakresie organizacji transportu publicznego)</w:t>
      </w:r>
      <w:r w:rsidRPr="00237760">
        <w:rPr>
          <w:rFonts w:ascii="Arial" w:hAnsi="Arial" w:cs="Arial"/>
          <w:color w:val="auto"/>
          <w:sz w:val="24"/>
          <w:szCs w:val="24"/>
        </w:rPr>
        <w:t>,</w:t>
      </w:r>
    </w:p>
    <w:p w14:paraId="07E4052D" w14:textId="77777777" w:rsidR="001333A3" w:rsidRPr="00237760" w:rsidRDefault="001333A3" w:rsidP="009367B4">
      <w:pPr>
        <w:pStyle w:val="Akapitzlist"/>
        <w:numPr>
          <w:ilvl w:val="0"/>
          <w:numId w:val="45"/>
        </w:numPr>
        <w:spacing w:after="0"/>
        <w:ind w:left="851"/>
        <w:jc w:val="left"/>
        <w:rPr>
          <w:rFonts w:ascii="Arial" w:hAnsi="Arial" w:cs="Arial"/>
          <w:color w:val="auto"/>
          <w:sz w:val="24"/>
          <w:szCs w:val="24"/>
        </w:rPr>
      </w:pPr>
      <w:r w:rsidRPr="00237760">
        <w:rPr>
          <w:rFonts w:ascii="Arial" w:hAnsi="Arial" w:cs="Arial"/>
          <w:i/>
          <w:color w:val="auto"/>
          <w:sz w:val="24"/>
          <w:szCs w:val="24"/>
        </w:rPr>
        <w:t>Plany zrównoważonego rozwoju publicznego transportu zbiorowego dla Powiatów Województwa Podkarpackiego</w:t>
      </w:r>
      <w:r w:rsidRPr="00237760">
        <w:rPr>
          <w:rFonts w:ascii="Arial" w:hAnsi="Arial" w:cs="Arial"/>
          <w:color w:val="auto"/>
          <w:sz w:val="24"/>
          <w:szCs w:val="24"/>
        </w:rPr>
        <w:t>,</w:t>
      </w:r>
    </w:p>
    <w:p w14:paraId="51A74A3E" w14:textId="77777777" w:rsidR="001333A3" w:rsidRPr="00237760" w:rsidRDefault="001333A3" w:rsidP="009367B4">
      <w:pPr>
        <w:pStyle w:val="Akapitzlist"/>
        <w:numPr>
          <w:ilvl w:val="0"/>
          <w:numId w:val="45"/>
        </w:numPr>
        <w:spacing w:after="0"/>
        <w:ind w:left="851"/>
        <w:jc w:val="left"/>
        <w:rPr>
          <w:rFonts w:ascii="Arial" w:hAnsi="Arial" w:cs="Arial"/>
          <w:color w:val="auto"/>
          <w:sz w:val="24"/>
          <w:szCs w:val="24"/>
        </w:rPr>
      </w:pPr>
      <w:r w:rsidRPr="00237760">
        <w:rPr>
          <w:rFonts w:ascii="Arial" w:hAnsi="Arial" w:cs="Arial"/>
          <w:i/>
          <w:color w:val="auto"/>
          <w:sz w:val="24"/>
          <w:szCs w:val="24"/>
        </w:rPr>
        <w:t>Plan zrównoważonego rozwoju publicznego transportu zbiorowego dla Województwa Podkarpackiego</w:t>
      </w:r>
      <w:r w:rsidRPr="00237760">
        <w:rPr>
          <w:rFonts w:ascii="Arial" w:hAnsi="Arial" w:cs="Arial"/>
          <w:color w:val="auto"/>
          <w:sz w:val="24"/>
          <w:szCs w:val="24"/>
        </w:rPr>
        <w:t>,</w:t>
      </w:r>
    </w:p>
    <w:p w14:paraId="19D7FD86" w14:textId="373F82F0" w:rsidR="001333A3" w:rsidRPr="00237760" w:rsidRDefault="001333A3" w:rsidP="009367B4">
      <w:pPr>
        <w:pStyle w:val="Akapitzlist"/>
        <w:numPr>
          <w:ilvl w:val="0"/>
          <w:numId w:val="45"/>
        </w:numPr>
        <w:spacing w:after="0"/>
        <w:ind w:left="851"/>
        <w:jc w:val="left"/>
        <w:rPr>
          <w:rFonts w:ascii="Arial" w:hAnsi="Arial" w:cs="Arial"/>
          <w:color w:val="auto"/>
          <w:sz w:val="24"/>
          <w:szCs w:val="24"/>
        </w:rPr>
      </w:pPr>
      <w:r w:rsidRPr="00237760">
        <w:rPr>
          <w:rFonts w:ascii="Arial" w:hAnsi="Arial" w:cs="Arial"/>
          <w:i/>
          <w:color w:val="auto"/>
          <w:sz w:val="24"/>
          <w:szCs w:val="24"/>
        </w:rPr>
        <w:lastRenderedPageBreak/>
        <w:t xml:space="preserve">Plan zrównoważonego rozwoju publicznego transportu zbiorowego w międzywojewódzkich </w:t>
      </w:r>
      <w:r w:rsidR="00A45330" w:rsidRPr="00237760">
        <w:rPr>
          <w:rFonts w:ascii="Arial" w:hAnsi="Arial" w:cs="Arial"/>
          <w:i/>
          <w:color w:val="auto"/>
          <w:sz w:val="24"/>
          <w:szCs w:val="24"/>
        </w:rPr>
        <w:br/>
      </w:r>
      <w:r w:rsidRPr="00237760">
        <w:rPr>
          <w:rFonts w:ascii="Arial" w:hAnsi="Arial" w:cs="Arial"/>
          <w:i/>
          <w:color w:val="auto"/>
          <w:sz w:val="24"/>
          <w:szCs w:val="24"/>
        </w:rPr>
        <w:t>i międzynarodowych przewozach pasażerskich oraz w wojewódzkich przewozach pasażerskich w transporcie kolejowym</w:t>
      </w:r>
      <w:r w:rsidR="00237B2A" w:rsidRPr="00237760">
        <w:rPr>
          <w:rFonts w:ascii="Arial" w:hAnsi="Arial" w:cs="Arial"/>
          <w:color w:val="auto"/>
          <w:sz w:val="24"/>
          <w:szCs w:val="24"/>
        </w:rPr>
        <w:t xml:space="preserve"> – </w:t>
      </w:r>
      <w:r w:rsidRPr="00237760">
        <w:rPr>
          <w:rFonts w:ascii="Arial" w:hAnsi="Arial" w:cs="Arial"/>
          <w:color w:val="auto"/>
          <w:sz w:val="24"/>
          <w:szCs w:val="24"/>
        </w:rPr>
        <w:t xml:space="preserve">opracowany przez Ministra Infrastruktury </w:t>
      </w:r>
      <w:r w:rsidR="00A45330" w:rsidRPr="00237760">
        <w:rPr>
          <w:rFonts w:ascii="Arial" w:hAnsi="Arial" w:cs="Arial"/>
          <w:color w:val="auto"/>
          <w:sz w:val="24"/>
          <w:szCs w:val="24"/>
        </w:rPr>
        <w:br/>
      </w:r>
      <w:r w:rsidRPr="00237760">
        <w:rPr>
          <w:rFonts w:ascii="Arial" w:hAnsi="Arial" w:cs="Arial"/>
          <w:color w:val="auto"/>
          <w:sz w:val="24"/>
          <w:szCs w:val="24"/>
        </w:rPr>
        <w:t>– w zakresie odnoszącym się do Województwa Podkarpackiego.</w:t>
      </w:r>
    </w:p>
    <w:p w14:paraId="0E25BEB9" w14:textId="77777777" w:rsidR="001333A3" w:rsidRPr="00237760" w:rsidRDefault="001333A3" w:rsidP="009367B4">
      <w:pPr>
        <w:pStyle w:val="Akapitzlist"/>
        <w:numPr>
          <w:ilvl w:val="0"/>
          <w:numId w:val="5"/>
        </w:numPr>
        <w:ind w:left="567"/>
        <w:jc w:val="left"/>
        <w:rPr>
          <w:rFonts w:ascii="Arial" w:hAnsi="Arial" w:cs="Arial"/>
          <w:color w:val="auto"/>
          <w:sz w:val="24"/>
          <w:szCs w:val="24"/>
        </w:rPr>
      </w:pPr>
      <w:r w:rsidRPr="00237760">
        <w:rPr>
          <w:rFonts w:ascii="Arial" w:hAnsi="Arial" w:cs="Arial"/>
          <w:color w:val="auto"/>
          <w:sz w:val="24"/>
          <w:szCs w:val="24"/>
        </w:rPr>
        <w:t>na szczeblu krajowym i międzynarodowym:</w:t>
      </w:r>
    </w:p>
    <w:p w14:paraId="591265CB" w14:textId="77777777" w:rsidR="001333A3" w:rsidRPr="00237760" w:rsidRDefault="001333A3" w:rsidP="009367B4">
      <w:pPr>
        <w:pStyle w:val="Akapitzlist"/>
        <w:numPr>
          <w:ilvl w:val="0"/>
          <w:numId w:val="45"/>
        </w:numPr>
        <w:spacing w:after="0"/>
        <w:ind w:left="851"/>
        <w:jc w:val="left"/>
        <w:rPr>
          <w:rFonts w:ascii="Arial" w:hAnsi="Arial" w:cs="Arial"/>
          <w:color w:val="auto"/>
          <w:sz w:val="24"/>
          <w:szCs w:val="24"/>
        </w:rPr>
      </w:pPr>
      <w:r w:rsidRPr="00237760">
        <w:rPr>
          <w:rFonts w:ascii="Arial" w:hAnsi="Arial" w:cs="Arial"/>
          <w:i/>
          <w:color w:val="auto"/>
          <w:sz w:val="24"/>
          <w:szCs w:val="24"/>
        </w:rPr>
        <w:t>Rozporządzenia pakietu legislacyjnego polityki spójności na lata 2021-2027</w:t>
      </w:r>
      <w:r w:rsidRPr="00237760">
        <w:rPr>
          <w:rFonts w:ascii="Arial" w:hAnsi="Arial" w:cs="Arial"/>
          <w:color w:val="auto"/>
          <w:sz w:val="24"/>
          <w:szCs w:val="24"/>
        </w:rPr>
        <w:t>,</w:t>
      </w:r>
    </w:p>
    <w:p w14:paraId="31D80B7E" w14:textId="77777777" w:rsidR="001333A3" w:rsidRPr="00237760" w:rsidRDefault="001333A3" w:rsidP="009367B4">
      <w:pPr>
        <w:pStyle w:val="Akapitzlist"/>
        <w:numPr>
          <w:ilvl w:val="0"/>
          <w:numId w:val="45"/>
        </w:numPr>
        <w:spacing w:after="0"/>
        <w:ind w:left="851"/>
        <w:jc w:val="left"/>
        <w:rPr>
          <w:rFonts w:ascii="Arial" w:hAnsi="Arial" w:cs="Arial"/>
          <w:color w:val="auto"/>
          <w:sz w:val="24"/>
          <w:szCs w:val="24"/>
        </w:rPr>
      </w:pPr>
      <w:r w:rsidRPr="00237760">
        <w:rPr>
          <w:rFonts w:ascii="Arial" w:hAnsi="Arial" w:cs="Arial"/>
          <w:i/>
          <w:color w:val="auto"/>
          <w:sz w:val="24"/>
          <w:szCs w:val="24"/>
        </w:rPr>
        <w:t>Umowa partnerstwa 2021-2027</w:t>
      </w:r>
      <w:r w:rsidRPr="00237760">
        <w:rPr>
          <w:rFonts w:ascii="Arial" w:hAnsi="Arial" w:cs="Arial"/>
          <w:color w:val="auto"/>
          <w:sz w:val="24"/>
          <w:szCs w:val="24"/>
        </w:rPr>
        <w:t>,</w:t>
      </w:r>
    </w:p>
    <w:p w14:paraId="483DA615" w14:textId="77777777" w:rsidR="001333A3" w:rsidRPr="00237760" w:rsidRDefault="001333A3" w:rsidP="009367B4">
      <w:pPr>
        <w:pStyle w:val="Akapitzlist"/>
        <w:numPr>
          <w:ilvl w:val="0"/>
          <w:numId w:val="45"/>
        </w:numPr>
        <w:spacing w:after="0"/>
        <w:ind w:left="851"/>
        <w:jc w:val="left"/>
        <w:rPr>
          <w:rFonts w:ascii="Arial" w:hAnsi="Arial" w:cs="Arial"/>
          <w:i/>
          <w:color w:val="auto"/>
          <w:sz w:val="24"/>
          <w:szCs w:val="24"/>
        </w:rPr>
      </w:pPr>
      <w:r w:rsidRPr="00237760">
        <w:rPr>
          <w:rFonts w:ascii="Arial" w:hAnsi="Arial" w:cs="Arial"/>
          <w:i/>
          <w:color w:val="auto"/>
          <w:sz w:val="24"/>
          <w:szCs w:val="24"/>
        </w:rPr>
        <w:t>Ustawa z dnia 6 grudnia 2006 r. o zasadach prowadzenia polityki rozwoju,</w:t>
      </w:r>
    </w:p>
    <w:p w14:paraId="00194E26" w14:textId="2B6331A8" w:rsidR="001333A3" w:rsidRPr="00237760" w:rsidRDefault="001333A3" w:rsidP="009367B4">
      <w:pPr>
        <w:pStyle w:val="Akapitzlist"/>
        <w:numPr>
          <w:ilvl w:val="0"/>
          <w:numId w:val="45"/>
        </w:numPr>
        <w:spacing w:after="0"/>
        <w:ind w:left="851"/>
        <w:jc w:val="left"/>
        <w:rPr>
          <w:rFonts w:ascii="Arial" w:hAnsi="Arial" w:cs="Arial"/>
          <w:i/>
          <w:color w:val="auto"/>
          <w:sz w:val="24"/>
          <w:szCs w:val="24"/>
        </w:rPr>
      </w:pPr>
      <w:r w:rsidRPr="00237760">
        <w:rPr>
          <w:rFonts w:ascii="Arial" w:hAnsi="Arial" w:cs="Arial"/>
          <w:i/>
          <w:color w:val="auto"/>
          <w:sz w:val="24"/>
          <w:szCs w:val="24"/>
        </w:rPr>
        <w:t>Strategia na rzecz Odpowiedzialnego Rozwoju do roku 2020 (z perspektywą do 2030</w:t>
      </w:r>
      <w:r w:rsidR="007937B7" w:rsidRPr="00237760">
        <w:rPr>
          <w:rFonts w:ascii="Arial" w:hAnsi="Arial" w:cs="Arial"/>
          <w:i/>
          <w:color w:val="auto"/>
          <w:sz w:val="24"/>
          <w:szCs w:val="24"/>
        </w:rPr>
        <w:t xml:space="preserve"> </w:t>
      </w:r>
      <w:r w:rsidRPr="00237760">
        <w:rPr>
          <w:rFonts w:ascii="Arial" w:hAnsi="Arial" w:cs="Arial"/>
          <w:i/>
          <w:color w:val="auto"/>
          <w:sz w:val="24"/>
          <w:szCs w:val="24"/>
        </w:rPr>
        <w:t>r.),</w:t>
      </w:r>
    </w:p>
    <w:p w14:paraId="65D7A51A" w14:textId="360F02C8" w:rsidR="001333A3" w:rsidRPr="00237760" w:rsidRDefault="001333A3" w:rsidP="009367B4">
      <w:pPr>
        <w:pStyle w:val="Akapitzlist"/>
        <w:numPr>
          <w:ilvl w:val="0"/>
          <w:numId w:val="45"/>
        </w:numPr>
        <w:spacing w:after="0"/>
        <w:ind w:left="851"/>
        <w:jc w:val="left"/>
        <w:rPr>
          <w:rFonts w:ascii="Arial" w:hAnsi="Arial" w:cs="Arial"/>
          <w:color w:val="auto"/>
          <w:sz w:val="24"/>
          <w:szCs w:val="24"/>
        </w:rPr>
      </w:pPr>
      <w:r w:rsidRPr="00237760">
        <w:rPr>
          <w:rFonts w:ascii="Arial" w:hAnsi="Arial" w:cs="Arial"/>
          <w:i/>
          <w:color w:val="auto"/>
          <w:sz w:val="24"/>
          <w:szCs w:val="24"/>
        </w:rPr>
        <w:t>Kontrakt Terytorialny</w:t>
      </w:r>
      <w:r w:rsidR="00BE585E" w:rsidRPr="00237760">
        <w:rPr>
          <w:rFonts w:ascii="Arial" w:hAnsi="Arial" w:cs="Arial"/>
          <w:i/>
          <w:color w:val="auto"/>
          <w:sz w:val="24"/>
          <w:szCs w:val="24"/>
        </w:rPr>
        <w:t xml:space="preserve"> dla Województwa Podkarpackiego</w:t>
      </w:r>
      <w:r w:rsidR="00BE585E" w:rsidRPr="00237760">
        <w:rPr>
          <w:rFonts w:ascii="Arial" w:hAnsi="Arial" w:cs="Arial"/>
          <w:color w:val="auto"/>
          <w:sz w:val="24"/>
          <w:szCs w:val="24"/>
        </w:rPr>
        <w:t xml:space="preserve"> (2014)</w:t>
      </w:r>
      <w:r w:rsidR="00237B2A" w:rsidRPr="00237760">
        <w:rPr>
          <w:rFonts w:ascii="Arial" w:hAnsi="Arial" w:cs="Arial"/>
          <w:color w:val="auto"/>
          <w:sz w:val="24"/>
          <w:szCs w:val="24"/>
        </w:rPr>
        <w:t>,</w:t>
      </w:r>
    </w:p>
    <w:p w14:paraId="3D651F28" w14:textId="0090300D" w:rsidR="00524B6A" w:rsidRPr="00237760" w:rsidRDefault="00524B6A" w:rsidP="009367B4">
      <w:pPr>
        <w:pStyle w:val="Akapitzlist"/>
        <w:numPr>
          <w:ilvl w:val="0"/>
          <w:numId w:val="45"/>
        </w:numPr>
        <w:spacing w:after="0"/>
        <w:ind w:left="851"/>
        <w:jc w:val="left"/>
        <w:rPr>
          <w:rFonts w:ascii="Arial" w:hAnsi="Arial" w:cs="Arial"/>
          <w:color w:val="auto"/>
          <w:sz w:val="24"/>
          <w:szCs w:val="24"/>
        </w:rPr>
      </w:pPr>
      <w:r w:rsidRPr="00237760">
        <w:rPr>
          <w:rFonts w:ascii="Arial" w:hAnsi="Arial" w:cs="Arial"/>
          <w:i/>
          <w:color w:val="auto"/>
          <w:sz w:val="24"/>
          <w:szCs w:val="24"/>
        </w:rPr>
        <w:t>Kontrakt Programowy dla Województwa Podkarpackiego</w:t>
      </w:r>
      <w:r w:rsidRPr="00237760">
        <w:rPr>
          <w:rFonts w:ascii="Arial" w:hAnsi="Arial" w:cs="Arial"/>
          <w:color w:val="auto"/>
          <w:sz w:val="24"/>
          <w:szCs w:val="24"/>
        </w:rPr>
        <w:t xml:space="preserve"> (2022)</w:t>
      </w:r>
      <w:r w:rsidR="00237B2A" w:rsidRPr="00237760">
        <w:rPr>
          <w:rFonts w:ascii="Arial" w:hAnsi="Arial" w:cs="Arial"/>
          <w:color w:val="auto"/>
          <w:sz w:val="24"/>
          <w:szCs w:val="24"/>
        </w:rPr>
        <w:t>,</w:t>
      </w:r>
    </w:p>
    <w:p w14:paraId="1CE5B11D" w14:textId="58423FA3" w:rsidR="001333A3" w:rsidRPr="00237760" w:rsidRDefault="001333A3" w:rsidP="009367B4">
      <w:pPr>
        <w:pStyle w:val="Akapitzlist"/>
        <w:numPr>
          <w:ilvl w:val="0"/>
          <w:numId w:val="45"/>
        </w:numPr>
        <w:spacing w:after="0"/>
        <w:ind w:left="851"/>
        <w:jc w:val="left"/>
        <w:rPr>
          <w:rFonts w:ascii="Arial" w:hAnsi="Arial" w:cs="Arial"/>
          <w:color w:val="auto"/>
          <w:sz w:val="24"/>
          <w:szCs w:val="24"/>
        </w:rPr>
      </w:pPr>
      <w:r w:rsidRPr="00237760">
        <w:rPr>
          <w:rFonts w:ascii="Arial" w:hAnsi="Arial" w:cs="Arial"/>
          <w:i/>
          <w:color w:val="auto"/>
          <w:sz w:val="24"/>
          <w:szCs w:val="24"/>
        </w:rPr>
        <w:t>Europa 2020 – Strategia na rzecz inteligentnego i zrównoważonego rozwoju sprzyjającego włączeniu społecznemu</w:t>
      </w:r>
      <w:r w:rsidRPr="00237760">
        <w:rPr>
          <w:rFonts w:ascii="Arial" w:hAnsi="Arial" w:cs="Arial"/>
          <w:color w:val="auto"/>
          <w:sz w:val="24"/>
          <w:szCs w:val="24"/>
        </w:rPr>
        <w:t>,</w:t>
      </w:r>
    </w:p>
    <w:p w14:paraId="32C85E68" w14:textId="77777777" w:rsidR="001333A3" w:rsidRPr="00237760" w:rsidRDefault="001333A3" w:rsidP="009367B4">
      <w:pPr>
        <w:pStyle w:val="Akapitzlist"/>
        <w:numPr>
          <w:ilvl w:val="0"/>
          <w:numId w:val="45"/>
        </w:numPr>
        <w:spacing w:after="0"/>
        <w:ind w:left="851"/>
        <w:jc w:val="left"/>
        <w:rPr>
          <w:rFonts w:ascii="Arial" w:hAnsi="Arial" w:cs="Arial"/>
          <w:color w:val="auto"/>
          <w:sz w:val="24"/>
          <w:szCs w:val="24"/>
        </w:rPr>
      </w:pPr>
      <w:r w:rsidRPr="00237760">
        <w:rPr>
          <w:rFonts w:ascii="Arial" w:hAnsi="Arial" w:cs="Arial"/>
          <w:i/>
          <w:color w:val="auto"/>
          <w:sz w:val="24"/>
          <w:szCs w:val="24"/>
        </w:rPr>
        <w:t>Polska 2030. Wyzwania rozwojowe</w:t>
      </w:r>
      <w:r w:rsidRPr="00237760">
        <w:rPr>
          <w:rFonts w:ascii="Arial" w:hAnsi="Arial" w:cs="Arial"/>
          <w:color w:val="auto"/>
          <w:sz w:val="24"/>
          <w:szCs w:val="24"/>
        </w:rPr>
        <w:t>,</w:t>
      </w:r>
    </w:p>
    <w:p w14:paraId="4BDA9073" w14:textId="77777777" w:rsidR="001333A3" w:rsidRPr="00237760" w:rsidRDefault="001333A3" w:rsidP="009367B4">
      <w:pPr>
        <w:pStyle w:val="Akapitzlist"/>
        <w:numPr>
          <w:ilvl w:val="0"/>
          <w:numId w:val="45"/>
        </w:numPr>
        <w:spacing w:after="0"/>
        <w:ind w:left="851"/>
        <w:jc w:val="left"/>
        <w:rPr>
          <w:rFonts w:ascii="Arial" w:hAnsi="Arial" w:cs="Arial"/>
          <w:color w:val="auto"/>
          <w:sz w:val="24"/>
          <w:szCs w:val="24"/>
        </w:rPr>
      </w:pPr>
      <w:r w:rsidRPr="00237760">
        <w:rPr>
          <w:rFonts w:ascii="Arial" w:hAnsi="Arial" w:cs="Arial"/>
          <w:i/>
          <w:color w:val="auto"/>
          <w:sz w:val="24"/>
          <w:szCs w:val="24"/>
        </w:rPr>
        <w:t>Krajowa Strategia Rozwoju Regionalnego 2030</w:t>
      </w:r>
      <w:r w:rsidRPr="00237760">
        <w:rPr>
          <w:rFonts w:ascii="Arial" w:hAnsi="Arial" w:cs="Arial"/>
          <w:color w:val="auto"/>
          <w:sz w:val="24"/>
          <w:szCs w:val="24"/>
        </w:rPr>
        <w:t>,</w:t>
      </w:r>
    </w:p>
    <w:p w14:paraId="1AE46F5C" w14:textId="77777777" w:rsidR="001333A3" w:rsidRPr="00237760" w:rsidRDefault="001333A3" w:rsidP="009367B4">
      <w:pPr>
        <w:pStyle w:val="Akapitzlist"/>
        <w:numPr>
          <w:ilvl w:val="0"/>
          <w:numId w:val="45"/>
        </w:numPr>
        <w:spacing w:after="0"/>
        <w:ind w:left="851"/>
        <w:jc w:val="left"/>
        <w:rPr>
          <w:rFonts w:ascii="Arial" w:hAnsi="Arial" w:cs="Arial"/>
          <w:i/>
          <w:color w:val="auto"/>
          <w:sz w:val="24"/>
          <w:szCs w:val="24"/>
        </w:rPr>
      </w:pPr>
      <w:r w:rsidRPr="00237760">
        <w:rPr>
          <w:rFonts w:ascii="Arial" w:hAnsi="Arial" w:cs="Arial"/>
          <w:i/>
          <w:color w:val="auto"/>
          <w:sz w:val="24"/>
          <w:szCs w:val="24"/>
        </w:rPr>
        <w:t>Strategia Zrównoważonego Rozwoju Transportu do 2030 roku,</w:t>
      </w:r>
    </w:p>
    <w:p w14:paraId="4890DF42" w14:textId="77777777" w:rsidR="001333A3" w:rsidRPr="00237760" w:rsidRDefault="001333A3" w:rsidP="009367B4">
      <w:pPr>
        <w:pStyle w:val="Akapitzlist"/>
        <w:numPr>
          <w:ilvl w:val="0"/>
          <w:numId w:val="45"/>
        </w:numPr>
        <w:spacing w:after="0"/>
        <w:ind w:left="851"/>
        <w:jc w:val="left"/>
        <w:rPr>
          <w:rFonts w:ascii="Arial" w:hAnsi="Arial" w:cs="Arial"/>
          <w:i/>
          <w:color w:val="auto"/>
          <w:sz w:val="24"/>
          <w:szCs w:val="24"/>
        </w:rPr>
      </w:pPr>
      <w:r w:rsidRPr="00237760">
        <w:rPr>
          <w:rFonts w:ascii="Arial" w:hAnsi="Arial" w:cs="Arial"/>
          <w:i/>
          <w:color w:val="auto"/>
          <w:sz w:val="24"/>
          <w:szCs w:val="24"/>
        </w:rPr>
        <w:t>Program Budowy Dróg Krajowych na lata 2014-2023 (z perspektywą do 2025 r.),</w:t>
      </w:r>
    </w:p>
    <w:p w14:paraId="09F585FB" w14:textId="49E2AF4F" w:rsidR="00524B6A" w:rsidRPr="00237760" w:rsidRDefault="00524B6A" w:rsidP="009367B4">
      <w:pPr>
        <w:pStyle w:val="Akapitzlist"/>
        <w:numPr>
          <w:ilvl w:val="0"/>
          <w:numId w:val="45"/>
        </w:numPr>
        <w:spacing w:after="0"/>
        <w:ind w:left="851"/>
        <w:jc w:val="left"/>
        <w:rPr>
          <w:rFonts w:ascii="Arial" w:hAnsi="Arial" w:cs="Arial"/>
          <w:color w:val="auto"/>
          <w:sz w:val="24"/>
          <w:szCs w:val="24"/>
        </w:rPr>
      </w:pPr>
      <w:r w:rsidRPr="00237760">
        <w:rPr>
          <w:rFonts w:ascii="Arial" w:hAnsi="Arial" w:cs="Arial"/>
          <w:i/>
          <w:color w:val="auto"/>
          <w:sz w:val="24"/>
          <w:szCs w:val="24"/>
        </w:rPr>
        <w:t>Program Budowy Dróg Krajowych do 2030 roku (z perspektywą do 2033 r.),</w:t>
      </w:r>
    </w:p>
    <w:p w14:paraId="78D1C1B6" w14:textId="77777777" w:rsidR="001333A3" w:rsidRPr="00237760" w:rsidRDefault="001333A3" w:rsidP="009367B4">
      <w:pPr>
        <w:pStyle w:val="Akapitzlist"/>
        <w:numPr>
          <w:ilvl w:val="0"/>
          <w:numId w:val="45"/>
        </w:numPr>
        <w:spacing w:after="0"/>
        <w:ind w:left="851"/>
        <w:jc w:val="left"/>
        <w:rPr>
          <w:rFonts w:ascii="Arial" w:hAnsi="Arial" w:cs="Arial"/>
          <w:i/>
          <w:color w:val="auto"/>
          <w:sz w:val="24"/>
          <w:szCs w:val="24"/>
        </w:rPr>
      </w:pPr>
      <w:r w:rsidRPr="00237760">
        <w:rPr>
          <w:rFonts w:ascii="Arial" w:hAnsi="Arial" w:cs="Arial"/>
          <w:i/>
          <w:color w:val="auto"/>
          <w:sz w:val="24"/>
          <w:szCs w:val="24"/>
        </w:rPr>
        <w:t>Programy Rozwoju Kolei,</w:t>
      </w:r>
    </w:p>
    <w:p w14:paraId="2201620C" w14:textId="77777777" w:rsidR="001333A3" w:rsidRPr="00237760" w:rsidRDefault="001333A3" w:rsidP="009367B4">
      <w:pPr>
        <w:pStyle w:val="Akapitzlist"/>
        <w:numPr>
          <w:ilvl w:val="0"/>
          <w:numId w:val="45"/>
        </w:numPr>
        <w:spacing w:after="0"/>
        <w:ind w:left="851"/>
        <w:jc w:val="left"/>
        <w:rPr>
          <w:rFonts w:ascii="Arial" w:hAnsi="Arial" w:cs="Arial"/>
          <w:i/>
          <w:color w:val="auto"/>
          <w:sz w:val="24"/>
          <w:szCs w:val="24"/>
        </w:rPr>
      </w:pPr>
      <w:r w:rsidRPr="00237760">
        <w:rPr>
          <w:rFonts w:ascii="Arial" w:hAnsi="Arial" w:cs="Arial"/>
          <w:i/>
          <w:color w:val="auto"/>
          <w:sz w:val="24"/>
          <w:szCs w:val="24"/>
        </w:rPr>
        <w:t xml:space="preserve">Narodowy program BRD, </w:t>
      </w:r>
    </w:p>
    <w:p w14:paraId="2A1B34D0" w14:textId="77777777" w:rsidR="001333A3" w:rsidRPr="00237760" w:rsidRDefault="001333A3" w:rsidP="009367B4">
      <w:pPr>
        <w:pStyle w:val="Akapitzlist"/>
        <w:numPr>
          <w:ilvl w:val="0"/>
          <w:numId w:val="45"/>
        </w:numPr>
        <w:spacing w:after="0"/>
        <w:ind w:left="851"/>
        <w:jc w:val="left"/>
        <w:rPr>
          <w:rFonts w:ascii="Arial" w:hAnsi="Arial" w:cs="Arial"/>
          <w:i/>
          <w:color w:val="auto"/>
          <w:sz w:val="24"/>
          <w:szCs w:val="24"/>
        </w:rPr>
      </w:pPr>
      <w:r w:rsidRPr="00237760">
        <w:rPr>
          <w:rFonts w:ascii="Arial" w:hAnsi="Arial" w:cs="Arial"/>
          <w:i/>
          <w:color w:val="auto"/>
          <w:sz w:val="24"/>
          <w:szCs w:val="24"/>
        </w:rPr>
        <w:t>Programy operacyjne na poziomie krajowym,</w:t>
      </w:r>
    </w:p>
    <w:p w14:paraId="70C5C9DB" w14:textId="77777777" w:rsidR="001333A3" w:rsidRPr="00237760" w:rsidRDefault="001333A3" w:rsidP="009367B4">
      <w:pPr>
        <w:pStyle w:val="Akapitzlist"/>
        <w:numPr>
          <w:ilvl w:val="0"/>
          <w:numId w:val="45"/>
        </w:numPr>
        <w:spacing w:after="0"/>
        <w:ind w:left="851"/>
        <w:jc w:val="left"/>
        <w:rPr>
          <w:rFonts w:ascii="Arial" w:hAnsi="Arial" w:cs="Arial"/>
          <w:color w:val="auto"/>
          <w:sz w:val="24"/>
          <w:szCs w:val="24"/>
        </w:rPr>
      </w:pPr>
      <w:r w:rsidRPr="00237760">
        <w:rPr>
          <w:rFonts w:ascii="Arial" w:hAnsi="Arial" w:cs="Arial"/>
          <w:i/>
          <w:color w:val="auto"/>
          <w:sz w:val="24"/>
          <w:szCs w:val="24"/>
        </w:rPr>
        <w:t>Krajowy Plan Odbudowy</w:t>
      </w:r>
      <w:r w:rsidRPr="00237760">
        <w:rPr>
          <w:rFonts w:ascii="Arial" w:hAnsi="Arial" w:cs="Arial"/>
          <w:color w:val="auto"/>
          <w:sz w:val="24"/>
          <w:szCs w:val="24"/>
        </w:rPr>
        <w:t>,</w:t>
      </w:r>
    </w:p>
    <w:p w14:paraId="6EDDBC89" w14:textId="77777777" w:rsidR="001333A3" w:rsidRPr="00237760" w:rsidRDefault="001333A3" w:rsidP="009367B4">
      <w:pPr>
        <w:pStyle w:val="Akapitzlist"/>
        <w:numPr>
          <w:ilvl w:val="0"/>
          <w:numId w:val="45"/>
        </w:numPr>
        <w:spacing w:after="0"/>
        <w:ind w:left="851"/>
        <w:jc w:val="left"/>
        <w:rPr>
          <w:rFonts w:ascii="Arial" w:hAnsi="Arial" w:cs="Arial"/>
          <w:color w:val="auto"/>
          <w:sz w:val="24"/>
          <w:szCs w:val="24"/>
        </w:rPr>
      </w:pPr>
      <w:r w:rsidRPr="00237760">
        <w:rPr>
          <w:rFonts w:ascii="Arial" w:hAnsi="Arial" w:cs="Arial"/>
          <w:color w:val="auto"/>
          <w:sz w:val="24"/>
          <w:szCs w:val="24"/>
        </w:rPr>
        <w:t xml:space="preserve">powiązane z zakresem przedmiotowym badania Wytyczne i Rozporządzenia Rady, Parlamentu (WE) oraz Komisji Europejskiej, </w:t>
      </w:r>
    </w:p>
    <w:p w14:paraId="4B96B5DA" w14:textId="77777777" w:rsidR="001333A3" w:rsidRPr="00237760" w:rsidRDefault="001333A3" w:rsidP="009367B4">
      <w:pPr>
        <w:pStyle w:val="Akapitzlist"/>
        <w:numPr>
          <w:ilvl w:val="0"/>
          <w:numId w:val="45"/>
        </w:numPr>
        <w:spacing w:after="0"/>
        <w:ind w:left="851"/>
        <w:jc w:val="left"/>
        <w:rPr>
          <w:rFonts w:ascii="Arial" w:hAnsi="Arial" w:cs="Arial"/>
          <w:color w:val="auto"/>
          <w:sz w:val="24"/>
          <w:szCs w:val="24"/>
        </w:rPr>
      </w:pPr>
      <w:r w:rsidRPr="00237760">
        <w:rPr>
          <w:rFonts w:ascii="Arial" w:hAnsi="Arial" w:cs="Arial"/>
          <w:color w:val="auto"/>
          <w:sz w:val="24"/>
          <w:szCs w:val="24"/>
        </w:rPr>
        <w:t>powiązane z zakresem przedmiotowym badania Wytyczne i Rozporządzenia Ministra Funduszy i Polityki Regionalnej,</w:t>
      </w:r>
    </w:p>
    <w:p w14:paraId="6FCB3D31" w14:textId="77777777" w:rsidR="001333A3" w:rsidRPr="00237760" w:rsidRDefault="001333A3" w:rsidP="009367B4">
      <w:pPr>
        <w:pStyle w:val="Akapitzlist"/>
        <w:numPr>
          <w:ilvl w:val="0"/>
          <w:numId w:val="45"/>
        </w:numPr>
        <w:spacing w:after="0"/>
        <w:ind w:left="851"/>
        <w:jc w:val="left"/>
        <w:rPr>
          <w:rFonts w:ascii="Arial" w:hAnsi="Arial" w:cs="Arial"/>
          <w:color w:val="auto"/>
          <w:sz w:val="24"/>
          <w:szCs w:val="24"/>
        </w:rPr>
      </w:pPr>
      <w:r w:rsidRPr="00237760">
        <w:rPr>
          <w:rFonts w:ascii="Arial" w:hAnsi="Arial" w:cs="Arial"/>
          <w:color w:val="auto"/>
          <w:sz w:val="24"/>
          <w:szCs w:val="24"/>
        </w:rPr>
        <w:t>dokumenty prawne regulujące kwestie zarządzania infrastrukturą transportową oraz przewozem osób i towarów,</w:t>
      </w:r>
    </w:p>
    <w:p w14:paraId="62F76833" w14:textId="77777777" w:rsidR="001333A3" w:rsidRPr="00237760" w:rsidRDefault="001333A3" w:rsidP="009367B4">
      <w:pPr>
        <w:pStyle w:val="Akapitzlist"/>
        <w:numPr>
          <w:ilvl w:val="0"/>
          <w:numId w:val="45"/>
        </w:numPr>
        <w:spacing w:after="0"/>
        <w:ind w:left="851"/>
        <w:jc w:val="left"/>
        <w:rPr>
          <w:rFonts w:ascii="Arial" w:hAnsi="Arial" w:cs="Arial"/>
          <w:color w:val="auto"/>
          <w:sz w:val="24"/>
          <w:szCs w:val="24"/>
        </w:rPr>
      </w:pPr>
      <w:r w:rsidRPr="00237760">
        <w:rPr>
          <w:rFonts w:ascii="Arial" w:hAnsi="Arial" w:cs="Arial"/>
          <w:i/>
          <w:color w:val="auto"/>
          <w:sz w:val="24"/>
          <w:szCs w:val="24"/>
        </w:rPr>
        <w:t>Najlepsze praktyki w zakresie regionalnych planów transportowych</w:t>
      </w:r>
      <w:r w:rsidRPr="00237760">
        <w:rPr>
          <w:rFonts w:ascii="Arial" w:hAnsi="Arial" w:cs="Arial"/>
          <w:color w:val="auto"/>
          <w:sz w:val="24"/>
          <w:szCs w:val="24"/>
        </w:rPr>
        <w:t xml:space="preserve"> (Polska), Wytyczne JASPERS z dnia 24 kwietnia 2020 r.</w:t>
      </w:r>
    </w:p>
    <w:p w14:paraId="48655FD7" w14:textId="77777777" w:rsidR="001333A3" w:rsidRPr="00237760" w:rsidRDefault="001333A3" w:rsidP="009367B4">
      <w:pPr>
        <w:pStyle w:val="Akapitzlist"/>
        <w:numPr>
          <w:ilvl w:val="0"/>
          <w:numId w:val="0"/>
        </w:numPr>
        <w:spacing w:after="0" w:line="240" w:lineRule="auto"/>
        <w:ind w:left="720"/>
        <w:jc w:val="left"/>
        <w:rPr>
          <w:rFonts w:ascii="Arial" w:hAnsi="Arial" w:cs="Arial"/>
          <w:color w:val="auto"/>
          <w:sz w:val="24"/>
          <w:szCs w:val="24"/>
        </w:rPr>
      </w:pPr>
    </w:p>
    <w:p w14:paraId="741AA9D9" w14:textId="1A8F0A5B" w:rsidR="001333A3" w:rsidRPr="00237760" w:rsidRDefault="001333A3" w:rsidP="009367B4">
      <w:pPr>
        <w:pStyle w:val="Akapitzlist"/>
        <w:numPr>
          <w:ilvl w:val="0"/>
          <w:numId w:val="4"/>
        </w:numPr>
        <w:ind w:left="567"/>
        <w:jc w:val="left"/>
        <w:rPr>
          <w:rFonts w:ascii="Arial" w:hAnsi="Arial" w:cs="Arial"/>
          <w:b/>
          <w:color w:val="auto"/>
          <w:sz w:val="24"/>
          <w:szCs w:val="24"/>
        </w:rPr>
      </w:pPr>
      <w:r w:rsidRPr="00237760">
        <w:rPr>
          <w:rFonts w:ascii="Arial" w:hAnsi="Arial" w:cs="Arial"/>
          <w:b/>
          <w:color w:val="auto"/>
          <w:sz w:val="24"/>
          <w:szCs w:val="24"/>
        </w:rPr>
        <w:t xml:space="preserve">Dostępne dane statystyczne (np. GUS, Eurostat) i powiązane z nimi opracowania, analizy </w:t>
      </w:r>
      <w:r w:rsidR="00A45330" w:rsidRPr="00237760">
        <w:rPr>
          <w:rFonts w:ascii="Arial" w:hAnsi="Arial" w:cs="Arial"/>
          <w:b/>
          <w:color w:val="auto"/>
          <w:sz w:val="24"/>
          <w:szCs w:val="24"/>
        </w:rPr>
        <w:br/>
      </w:r>
      <w:r w:rsidRPr="00237760">
        <w:rPr>
          <w:rFonts w:ascii="Arial" w:hAnsi="Arial" w:cs="Arial"/>
          <w:b/>
          <w:color w:val="auto"/>
          <w:sz w:val="24"/>
          <w:szCs w:val="24"/>
        </w:rPr>
        <w:t>i informacje (m.in. MFiPR, PAN).</w:t>
      </w:r>
    </w:p>
    <w:p w14:paraId="3DF2D581" w14:textId="6C5D5C56" w:rsidR="001333A3" w:rsidRPr="00237760" w:rsidRDefault="001333A3" w:rsidP="009367B4">
      <w:pPr>
        <w:pStyle w:val="Akapitzlist"/>
        <w:numPr>
          <w:ilvl w:val="0"/>
          <w:numId w:val="4"/>
        </w:numPr>
        <w:ind w:left="567"/>
        <w:jc w:val="left"/>
        <w:rPr>
          <w:rFonts w:ascii="Arial" w:hAnsi="Arial" w:cs="Arial"/>
          <w:b/>
          <w:color w:val="auto"/>
          <w:sz w:val="24"/>
          <w:szCs w:val="24"/>
        </w:rPr>
      </w:pPr>
      <w:r w:rsidRPr="00237760">
        <w:rPr>
          <w:rFonts w:ascii="Arial" w:hAnsi="Arial" w:cs="Arial"/>
          <w:b/>
          <w:color w:val="auto"/>
          <w:sz w:val="24"/>
          <w:szCs w:val="24"/>
        </w:rPr>
        <w:t>Inne zidentyfikowane przez Wykonawcę obowiązujące dokumenty, akty prawne oraz źródła danych zastanych</w:t>
      </w:r>
      <w:r w:rsidR="008C0948" w:rsidRPr="00237760">
        <w:rPr>
          <w:rFonts w:ascii="Arial" w:hAnsi="Arial" w:cs="Arial"/>
          <w:b/>
          <w:color w:val="auto"/>
          <w:sz w:val="24"/>
          <w:szCs w:val="24"/>
        </w:rPr>
        <w:t>:</w:t>
      </w:r>
    </w:p>
    <w:p w14:paraId="6F03B618" w14:textId="49F40E99" w:rsidR="008C0948" w:rsidRPr="00237760" w:rsidRDefault="00A26CBA" w:rsidP="009367B4">
      <w:pPr>
        <w:pStyle w:val="Akapitzlist"/>
        <w:numPr>
          <w:ilvl w:val="0"/>
          <w:numId w:val="45"/>
        </w:numPr>
        <w:spacing w:after="0"/>
        <w:ind w:left="851"/>
        <w:jc w:val="left"/>
        <w:rPr>
          <w:rFonts w:ascii="Arial" w:hAnsi="Arial" w:cs="Arial"/>
          <w:i/>
          <w:color w:val="auto"/>
          <w:sz w:val="24"/>
          <w:szCs w:val="24"/>
        </w:rPr>
      </w:pPr>
      <w:r w:rsidRPr="00237760">
        <w:rPr>
          <w:rFonts w:ascii="Arial" w:hAnsi="Arial" w:cs="Arial"/>
          <w:i/>
          <w:color w:val="auto"/>
          <w:sz w:val="24"/>
          <w:szCs w:val="24"/>
        </w:rPr>
        <w:t>Europejski Zielony Ład (Strategia na rzecz zrównoważonej i inteligentnej mobilności,</w:t>
      </w:r>
    </w:p>
    <w:p w14:paraId="6D6454BD" w14:textId="76B27461" w:rsidR="00A26CBA" w:rsidRPr="00237760" w:rsidRDefault="00A26CBA" w:rsidP="009367B4">
      <w:pPr>
        <w:pStyle w:val="Akapitzlist"/>
        <w:numPr>
          <w:ilvl w:val="0"/>
          <w:numId w:val="45"/>
        </w:numPr>
        <w:spacing w:after="0"/>
        <w:ind w:left="851"/>
        <w:jc w:val="left"/>
        <w:rPr>
          <w:rFonts w:ascii="Arial" w:hAnsi="Arial" w:cs="Arial"/>
          <w:color w:val="auto"/>
          <w:sz w:val="24"/>
          <w:szCs w:val="24"/>
        </w:rPr>
      </w:pPr>
      <w:r w:rsidRPr="00237760">
        <w:rPr>
          <w:rFonts w:ascii="Arial" w:hAnsi="Arial" w:cs="Arial"/>
          <w:i/>
          <w:color w:val="auto"/>
          <w:sz w:val="24"/>
          <w:szCs w:val="24"/>
        </w:rPr>
        <w:lastRenderedPageBreak/>
        <w:t>Czysta energia dla transportu: europejska strategia w zakresie paliw alternatywnych</w:t>
      </w:r>
      <w:r w:rsidRPr="00237760">
        <w:rPr>
          <w:rFonts w:ascii="Arial" w:hAnsi="Arial" w:cs="Arial"/>
          <w:color w:val="auto"/>
          <w:sz w:val="24"/>
          <w:szCs w:val="24"/>
        </w:rPr>
        <w:t>,</w:t>
      </w:r>
    </w:p>
    <w:p w14:paraId="32E0D75A" w14:textId="517DBFC6" w:rsidR="00A26CBA" w:rsidRPr="00237760" w:rsidRDefault="00A26CBA" w:rsidP="009367B4">
      <w:pPr>
        <w:pStyle w:val="Akapitzlist"/>
        <w:numPr>
          <w:ilvl w:val="0"/>
          <w:numId w:val="45"/>
        </w:numPr>
        <w:spacing w:after="0"/>
        <w:ind w:left="851"/>
        <w:jc w:val="left"/>
        <w:rPr>
          <w:rFonts w:ascii="Arial" w:hAnsi="Arial" w:cs="Arial"/>
          <w:color w:val="auto"/>
          <w:sz w:val="24"/>
          <w:szCs w:val="24"/>
        </w:rPr>
      </w:pPr>
      <w:r w:rsidRPr="00237760">
        <w:rPr>
          <w:rFonts w:ascii="Arial" w:hAnsi="Arial" w:cs="Arial"/>
          <w:color w:val="auto"/>
          <w:sz w:val="24"/>
          <w:szCs w:val="24"/>
        </w:rPr>
        <w:t>8 zintegrowanych strategii tematycznych,</w:t>
      </w:r>
    </w:p>
    <w:p w14:paraId="01706FCD" w14:textId="42D672C9" w:rsidR="00A26CBA" w:rsidRPr="00237760" w:rsidRDefault="00A26CBA" w:rsidP="009367B4">
      <w:pPr>
        <w:pStyle w:val="Akapitzlist"/>
        <w:numPr>
          <w:ilvl w:val="0"/>
          <w:numId w:val="45"/>
        </w:numPr>
        <w:spacing w:after="0"/>
        <w:ind w:left="851"/>
        <w:jc w:val="left"/>
        <w:rPr>
          <w:rFonts w:ascii="Arial" w:hAnsi="Arial" w:cs="Arial"/>
          <w:i/>
          <w:color w:val="auto"/>
          <w:sz w:val="24"/>
          <w:szCs w:val="24"/>
        </w:rPr>
      </w:pPr>
      <w:r w:rsidRPr="00237760">
        <w:rPr>
          <w:rFonts w:ascii="Arial" w:hAnsi="Arial" w:cs="Arial"/>
          <w:i/>
          <w:color w:val="auto"/>
          <w:sz w:val="24"/>
          <w:szCs w:val="24"/>
        </w:rPr>
        <w:t>Dokument Implementacyjny do Strategii Rozwoju Transportu,</w:t>
      </w:r>
    </w:p>
    <w:p w14:paraId="15FDC0B4" w14:textId="7A867FB2" w:rsidR="00A26CBA" w:rsidRPr="00237760" w:rsidRDefault="00A26CBA" w:rsidP="009367B4">
      <w:pPr>
        <w:pStyle w:val="Akapitzlist"/>
        <w:numPr>
          <w:ilvl w:val="0"/>
          <w:numId w:val="45"/>
        </w:numPr>
        <w:ind w:left="851"/>
        <w:jc w:val="left"/>
        <w:rPr>
          <w:rFonts w:ascii="Arial" w:hAnsi="Arial" w:cs="Arial"/>
          <w:color w:val="auto"/>
          <w:sz w:val="24"/>
          <w:szCs w:val="24"/>
        </w:rPr>
      </w:pPr>
      <w:r w:rsidRPr="00237760">
        <w:rPr>
          <w:rFonts w:ascii="Arial" w:hAnsi="Arial" w:cs="Arial"/>
          <w:i/>
          <w:color w:val="auto"/>
          <w:sz w:val="24"/>
          <w:szCs w:val="24"/>
        </w:rPr>
        <w:t>Krajowy plan na rzecz energii i klimatu</w:t>
      </w:r>
      <w:r w:rsidR="00705702" w:rsidRPr="00237760">
        <w:rPr>
          <w:rFonts w:ascii="Arial" w:hAnsi="Arial" w:cs="Arial"/>
          <w:color w:val="auto"/>
          <w:sz w:val="24"/>
          <w:szCs w:val="24"/>
        </w:rPr>
        <w:t>.</w:t>
      </w:r>
    </w:p>
    <w:p w14:paraId="12B37CC6" w14:textId="7C8CFE60" w:rsidR="001333A3" w:rsidRPr="00237760" w:rsidRDefault="001333A3" w:rsidP="009367B4">
      <w:pPr>
        <w:pStyle w:val="Akapitzlist"/>
        <w:numPr>
          <w:ilvl w:val="1"/>
          <w:numId w:val="6"/>
        </w:numPr>
        <w:ind w:left="426"/>
        <w:jc w:val="left"/>
        <w:rPr>
          <w:rFonts w:ascii="Arial" w:hAnsi="Arial" w:cs="Arial"/>
          <w:b/>
          <w:color w:val="auto"/>
          <w:sz w:val="24"/>
          <w:szCs w:val="24"/>
        </w:rPr>
      </w:pPr>
      <w:r w:rsidRPr="00237760">
        <w:rPr>
          <w:rFonts w:ascii="Arial" w:hAnsi="Arial" w:cs="Arial"/>
          <w:b/>
          <w:color w:val="auto"/>
          <w:sz w:val="24"/>
          <w:szCs w:val="24"/>
        </w:rPr>
        <w:t>Analiz</w:t>
      </w:r>
      <w:r w:rsidR="00CC566A" w:rsidRPr="00237760">
        <w:rPr>
          <w:rFonts w:ascii="Arial" w:hAnsi="Arial" w:cs="Arial"/>
          <w:b/>
          <w:color w:val="auto"/>
          <w:sz w:val="24"/>
          <w:szCs w:val="24"/>
        </w:rPr>
        <w:t>a</w:t>
      </w:r>
      <w:r w:rsidRPr="00237760">
        <w:rPr>
          <w:rFonts w:ascii="Arial" w:hAnsi="Arial" w:cs="Arial"/>
          <w:b/>
          <w:color w:val="auto"/>
          <w:sz w:val="24"/>
          <w:szCs w:val="24"/>
        </w:rPr>
        <w:t xml:space="preserve"> statystyczn</w:t>
      </w:r>
      <w:r w:rsidR="00CC566A" w:rsidRPr="00237760">
        <w:rPr>
          <w:rFonts w:ascii="Arial" w:hAnsi="Arial" w:cs="Arial"/>
          <w:b/>
          <w:color w:val="auto"/>
          <w:sz w:val="24"/>
          <w:szCs w:val="24"/>
        </w:rPr>
        <w:t>a</w:t>
      </w:r>
      <w:r w:rsidRPr="00237760">
        <w:rPr>
          <w:rFonts w:ascii="Arial" w:hAnsi="Arial" w:cs="Arial"/>
          <w:b/>
          <w:color w:val="auto"/>
          <w:sz w:val="24"/>
          <w:szCs w:val="24"/>
        </w:rPr>
        <w:t xml:space="preserve"> </w:t>
      </w:r>
      <w:r w:rsidRPr="00237760">
        <w:rPr>
          <w:rFonts w:ascii="Arial" w:hAnsi="Arial" w:cs="Arial"/>
          <w:color w:val="auto"/>
          <w:sz w:val="24"/>
          <w:szCs w:val="24"/>
        </w:rPr>
        <w:t>–</w:t>
      </w:r>
      <w:r w:rsidRPr="00237760">
        <w:rPr>
          <w:rFonts w:ascii="Arial" w:hAnsi="Arial" w:cs="Arial"/>
          <w:b/>
          <w:color w:val="auto"/>
          <w:sz w:val="24"/>
          <w:szCs w:val="24"/>
        </w:rPr>
        <w:t xml:space="preserve"> </w:t>
      </w:r>
      <w:r w:rsidRPr="00237760">
        <w:rPr>
          <w:rFonts w:ascii="Arial" w:hAnsi="Arial" w:cs="Arial"/>
          <w:color w:val="auto"/>
          <w:sz w:val="24"/>
          <w:szCs w:val="24"/>
        </w:rPr>
        <w:t>metoda posłuży</w:t>
      </w:r>
      <w:r w:rsidR="00484751" w:rsidRPr="00237760">
        <w:rPr>
          <w:rFonts w:ascii="Arial" w:hAnsi="Arial" w:cs="Arial"/>
          <w:color w:val="auto"/>
          <w:sz w:val="24"/>
          <w:szCs w:val="24"/>
        </w:rPr>
        <w:t>ła</w:t>
      </w:r>
      <w:r w:rsidRPr="00237760">
        <w:rPr>
          <w:rFonts w:ascii="Arial" w:hAnsi="Arial" w:cs="Arial"/>
          <w:color w:val="auto"/>
          <w:sz w:val="24"/>
          <w:szCs w:val="24"/>
        </w:rPr>
        <w:t xml:space="preserve"> analiz</w:t>
      </w:r>
      <w:r w:rsidR="00484751" w:rsidRPr="00237760">
        <w:rPr>
          <w:rFonts w:ascii="Arial" w:hAnsi="Arial" w:cs="Arial"/>
          <w:color w:val="auto"/>
          <w:sz w:val="24"/>
          <w:szCs w:val="24"/>
        </w:rPr>
        <w:t>ie</w:t>
      </w:r>
      <w:r w:rsidRPr="00237760">
        <w:rPr>
          <w:rFonts w:ascii="Arial" w:hAnsi="Arial" w:cs="Arial"/>
          <w:color w:val="auto"/>
          <w:sz w:val="24"/>
          <w:szCs w:val="24"/>
        </w:rPr>
        <w:t xml:space="preserve"> systemu transportowego dla województwa podkarpackiego na podstawie </w:t>
      </w:r>
      <w:r w:rsidR="00484751" w:rsidRPr="00237760">
        <w:rPr>
          <w:rFonts w:ascii="Arial" w:hAnsi="Arial" w:cs="Arial"/>
          <w:color w:val="auto"/>
          <w:sz w:val="24"/>
          <w:szCs w:val="24"/>
        </w:rPr>
        <w:t xml:space="preserve">danych statystycznych </w:t>
      </w:r>
      <w:r w:rsidRPr="00237760">
        <w:rPr>
          <w:rFonts w:ascii="Arial" w:hAnsi="Arial" w:cs="Arial"/>
          <w:color w:val="auto"/>
          <w:sz w:val="24"/>
          <w:szCs w:val="24"/>
        </w:rPr>
        <w:t>zidentyfikowanych w analizie desk research. Metoda zosta</w:t>
      </w:r>
      <w:r w:rsidR="00C47839" w:rsidRPr="00237760">
        <w:rPr>
          <w:rFonts w:ascii="Arial" w:hAnsi="Arial" w:cs="Arial"/>
          <w:color w:val="auto"/>
          <w:sz w:val="24"/>
          <w:szCs w:val="24"/>
        </w:rPr>
        <w:t>ła</w:t>
      </w:r>
      <w:r w:rsidR="00A26CBA" w:rsidRPr="00237760">
        <w:rPr>
          <w:rFonts w:ascii="Arial" w:hAnsi="Arial" w:cs="Arial"/>
          <w:color w:val="auto"/>
          <w:sz w:val="24"/>
          <w:szCs w:val="24"/>
        </w:rPr>
        <w:t xml:space="preserve"> wykorzystana </w:t>
      </w:r>
      <w:r w:rsidRPr="00237760">
        <w:rPr>
          <w:rFonts w:ascii="Arial" w:hAnsi="Arial" w:cs="Arial"/>
          <w:color w:val="auto"/>
          <w:sz w:val="24"/>
          <w:szCs w:val="24"/>
        </w:rPr>
        <w:t xml:space="preserve">w kontekście oceny systemu monitorowania PSRT WP, w tym </w:t>
      </w:r>
      <w:r w:rsidR="00A45330" w:rsidRPr="00237760">
        <w:rPr>
          <w:rFonts w:ascii="Arial" w:hAnsi="Arial" w:cs="Arial"/>
          <w:color w:val="auto"/>
          <w:sz w:val="24"/>
          <w:szCs w:val="24"/>
        </w:rPr>
        <w:br/>
      </w:r>
      <w:r w:rsidRPr="00237760">
        <w:rPr>
          <w:rFonts w:ascii="Arial" w:hAnsi="Arial" w:cs="Arial"/>
          <w:color w:val="auto"/>
          <w:sz w:val="24"/>
          <w:szCs w:val="24"/>
        </w:rPr>
        <w:t>w zakresie:</w:t>
      </w:r>
    </w:p>
    <w:p w14:paraId="0AC6681D" w14:textId="77777777" w:rsidR="001333A3" w:rsidRPr="00237760" w:rsidRDefault="001333A3" w:rsidP="009367B4">
      <w:pPr>
        <w:pStyle w:val="Akapitzlist"/>
        <w:numPr>
          <w:ilvl w:val="0"/>
          <w:numId w:val="45"/>
        </w:numPr>
        <w:spacing w:after="0"/>
        <w:ind w:left="851"/>
        <w:jc w:val="left"/>
        <w:rPr>
          <w:rFonts w:ascii="Arial" w:hAnsi="Arial" w:cs="Arial"/>
          <w:color w:val="auto"/>
          <w:sz w:val="24"/>
          <w:szCs w:val="24"/>
        </w:rPr>
      </w:pPr>
      <w:r w:rsidRPr="00237760">
        <w:rPr>
          <w:rFonts w:ascii="Arial" w:hAnsi="Arial" w:cs="Arial"/>
          <w:color w:val="auto"/>
          <w:sz w:val="24"/>
          <w:szCs w:val="24"/>
        </w:rPr>
        <w:t>możliwości efektywnego monitorowania rozwoju systemu transportowego w województwie podkarpackim,</w:t>
      </w:r>
    </w:p>
    <w:p w14:paraId="7894CC24" w14:textId="52945517" w:rsidR="001333A3" w:rsidRPr="00237760" w:rsidRDefault="001333A3" w:rsidP="009367B4">
      <w:pPr>
        <w:pStyle w:val="Akapitzlist"/>
        <w:numPr>
          <w:ilvl w:val="0"/>
          <w:numId w:val="45"/>
        </w:numPr>
        <w:spacing w:after="0"/>
        <w:ind w:left="851"/>
        <w:jc w:val="left"/>
        <w:rPr>
          <w:rFonts w:ascii="Arial" w:hAnsi="Arial" w:cs="Arial"/>
          <w:color w:val="auto"/>
          <w:sz w:val="24"/>
          <w:szCs w:val="24"/>
        </w:rPr>
      </w:pPr>
      <w:r w:rsidRPr="00237760">
        <w:rPr>
          <w:rFonts w:ascii="Arial" w:hAnsi="Arial" w:cs="Arial"/>
          <w:color w:val="auto"/>
          <w:sz w:val="24"/>
          <w:szCs w:val="24"/>
        </w:rPr>
        <w:t>propozycji dodatkowych/innych wskaźników statystycznych,</w:t>
      </w:r>
    </w:p>
    <w:p w14:paraId="7F687656" w14:textId="4807A75B" w:rsidR="001333A3" w:rsidRPr="00237760" w:rsidRDefault="001333A3" w:rsidP="009367B4">
      <w:pPr>
        <w:pStyle w:val="Akapitzlist"/>
        <w:numPr>
          <w:ilvl w:val="0"/>
          <w:numId w:val="45"/>
        </w:numPr>
        <w:spacing w:after="0"/>
        <w:ind w:left="851"/>
        <w:jc w:val="left"/>
        <w:rPr>
          <w:rFonts w:ascii="Arial" w:hAnsi="Arial" w:cs="Arial"/>
          <w:color w:val="auto"/>
          <w:sz w:val="24"/>
          <w:szCs w:val="24"/>
        </w:rPr>
      </w:pPr>
      <w:r w:rsidRPr="00237760">
        <w:rPr>
          <w:rFonts w:ascii="Arial" w:hAnsi="Arial" w:cs="Arial"/>
          <w:color w:val="auto"/>
          <w:sz w:val="24"/>
          <w:szCs w:val="24"/>
        </w:rPr>
        <w:t xml:space="preserve">weryfikacji wartości docelowych wskaźników ogólnodostępnych danych statystycznych </w:t>
      </w:r>
      <w:r w:rsidR="00A45330" w:rsidRPr="00237760">
        <w:rPr>
          <w:rFonts w:ascii="Arial" w:hAnsi="Arial" w:cs="Arial"/>
          <w:color w:val="auto"/>
          <w:sz w:val="24"/>
          <w:szCs w:val="24"/>
        </w:rPr>
        <w:br/>
      </w:r>
      <w:r w:rsidRPr="00237760">
        <w:rPr>
          <w:rFonts w:ascii="Arial" w:hAnsi="Arial" w:cs="Arial"/>
          <w:color w:val="auto"/>
          <w:sz w:val="24"/>
          <w:szCs w:val="24"/>
        </w:rPr>
        <w:t>(w tym głównie GUS).</w:t>
      </w:r>
    </w:p>
    <w:p w14:paraId="6590CBC8" w14:textId="3396FC5E" w:rsidR="001333A3" w:rsidRPr="00237760" w:rsidRDefault="001333A3" w:rsidP="009367B4">
      <w:pPr>
        <w:ind w:left="426"/>
        <w:jc w:val="left"/>
        <w:rPr>
          <w:rFonts w:ascii="Arial" w:hAnsi="Arial" w:cs="Arial"/>
          <w:b/>
          <w:color w:val="auto"/>
          <w:sz w:val="24"/>
          <w:szCs w:val="24"/>
        </w:rPr>
      </w:pPr>
      <w:r w:rsidRPr="00237760">
        <w:rPr>
          <w:rFonts w:ascii="Arial" w:hAnsi="Arial" w:cs="Arial"/>
          <w:color w:val="auto"/>
          <w:sz w:val="24"/>
          <w:szCs w:val="24"/>
        </w:rPr>
        <w:t>Efektem końcowym zastosowanej metody b</w:t>
      </w:r>
      <w:r w:rsidR="00C47839" w:rsidRPr="00237760">
        <w:rPr>
          <w:rFonts w:ascii="Arial" w:hAnsi="Arial" w:cs="Arial"/>
          <w:color w:val="auto"/>
          <w:sz w:val="24"/>
          <w:szCs w:val="24"/>
        </w:rPr>
        <w:t xml:space="preserve">yła </w:t>
      </w:r>
      <w:r w:rsidRPr="00237760">
        <w:rPr>
          <w:rFonts w:ascii="Arial" w:hAnsi="Arial" w:cs="Arial"/>
          <w:color w:val="auto"/>
          <w:sz w:val="24"/>
          <w:szCs w:val="24"/>
        </w:rPr>
        <w:t>baz</w:t>
      </w:r>
      <w:r w:rsidR="00677411" w:rsidRPr="00237760">
        <w:rPr>
          <w:rFonts w:ascii="Arial" w:hAnsi="Arial" w:cs="Arial"/>
          <w:color w:val="auto"/>
          <w:sz w:val="24"/>
          <w:szCs w:val="24"/>
        </w:rPr>
        <w:t>a</w:t>
      </w:r>
      <w:r w:rsidRPr="00237760">
        <w:rPr>
          <w:rFonts w:ascii="Arial" w:hAnsi="Arial" w:cs="Arial"/>
          <w:color w:val="auto"/>
          <w:sz w:val="24"/>
          <w:szCs w:val="24"/>
        </w:rPr>
        <w:t xml:space="preserve"> danych zawierając</w:t>
      </w:r>
      <w:r w:rsidR="00677411" w:rsidRPr="00237760">
        <w:rPr>
          <w:rFonts w:ascii="Arial" w:hAnsi="Arial" w:cs="Arial"/>
          <w:color w:val="auto"/>
          <w:sz w:val="24"/>
          <w:szCs w:val="24"/>
        </w:rPr>
        <w:t>a</w:t>
      </w:r>
      <w:r w:rsidRPr="00237760">
        <w:rPr>
          <w:rFonts w:ascii="Arial" w:hAnsi="Arial" w:cs="Arial"/>
          <w:color w:val="auto"/>
          <w:sz w:val="24"/>
          <w:szCs w:val="24"/>
        </w:rPr>
        <w:t xml:space="preserve"> analizy służące realizacji wymienionych punktów. Analiza statystyczna zosta</w:t>
      </w:r>
      <w:r w:rsidR="00677411" w:rsidRPr="00237760">
        <w:rPr>
          <w:rFonts w:ascii="Arial" w:hAnsi="Arial" w:cs="Arial"/>
          <w:color w:val="auto"/>
          <w:sz w:val="24"/>
          <w:szCs w:val="24"/>
        </w:rPr>
        <w:t>ła</w:t>
      </w:r>
      <w:r w:rsidRPr="00237760">
        <w:rPr>
          <w:rFonts w:ascii="Arial" w:hAnsi="Arial" w:cs="Arial"/>
          <w:color w:val="auto"/>
          <w:sz w:val="24"/>
          <w:szCs w:val="24"/>
        </w:rPr>
        <w:t xml:space="preserve"> wykonana</w:t>
      </w:r>
      <w:r w:rsidR="00A26CBA" w:rsidRPr="00237760">
        <w:rPr>
          <w:rFonts w:ascii="Arial" w:hAnsi="Arial" w:cs="Arial"/>
          <w:color w:val="auto"/>
          <w:sz w:val="24"/>
          <w:szCs w:val="24"/>
        </w:rPr>
        <w:t xml:space="preserve"> dla województwa podkarpackiego, przy częściowym odniesieniu do kontekstu krajowego.</w:t>
      </w:r>
    </w:p>
    <w:p w14:paraId="7EE6B24F" w14:textId="526B37B4" w:rsidR="001333A3" w:rsidRPr="00237760" w:rsidRDefault="001333A3" w:rsidP="009367B4">
      <w:pPr>
        <w:pStyle w:val="Akapitzlist"/>
        <w:numPr>
          <w:ilvl w:val="1"/>
          <w:numId w:val="6"/>
        </w:numPr>
        <w:ind w:left="426"/>
        <w:jc w:val="left"/>
        <w:rPr>
          <w:rFonts w:ascii="Arial" w:hAnsi="Arial" w:cs="Arial"/>
          <w:b/>
          <w:color w:val="auto"/>
          <w:sz w:val="24"/>
          <w:szCs w:val="24"/>
        </w:rPr>
      </w:pPr>
      <w:r w:rsidRPr="00237760">
        <w:rPr>
          <w:rFonts w:ascii="Arial" w:hAnsi="Arial" w:cs="Arial"/>
          <w:b/>
          <w:color w:val="auto"/>
          <w:sz w:val="24"/>
          <w:szCs w:val="24"/>
        </w:rPr>
        <w:t>Indywidualn</w:t>
      </w:r>
      <w:r w:rsidR="00677411" w:rsidRPr="00237760">
        <w:rPr>
          <w:rFonts w:ascii="Arial" w:hAnsi="Arial" w:cs="Arial"/>
          <w:b/>
          <w:color w:val="auto"/>
          <w:sz w:val="24"/>
          <w:szCs w:val="24"/>
        </w:rPr>
        <w:t>e</w:t>
      </w:r>
      <w:r w:rsidRPr="00237760">
        <w:rPr>
          <w:rFonts w:ascii="Arial" w:hAnsi="Arial" w:cs="Arial"/>
          <w:b/>
          <w:color w:val="auto"/>
          <w:sz w:val="24"/>
          <w:szCs w:val="24"/>
        </w:rPr>
        <w:t xml:space="preserve"> wywiad</w:t>
      </w:r>
      <w:r w:rsidR="00677411" w:rsidRPr="00237760">
        <w:rPr>
          <w:rFonts w:ascii="Arial" w:hAnsi="Arial" w:cs="Arial"/>
          <w:b/>
          <w:color w:val="auto"/>
          <w:sz w:val="24"/>
          <w:szCs w:val="24"/>
        </w:rPr>
        <w:t>y</w:t>
      </w:r>
      <w:r w:rsidRPr="00237760">
        <w:rPr>
          <w:rFonts w:ascii="Arial" w:hAnsi="Arial" w:cs="Arial"/>
          <w:b/>
          <w:color w:val="auto"/>
          <w:sz w:val="24"/>
          <w:szCs w:val="24"/>
        </w:rPr>
        <w:t xml:space="preserve"> pogłębion</w:t>
      </w:r>
      <w:r w:rsidR="00677411" w:rsidRPr="00237760">
        <w:rPr>
          <w:rFonts w:ascii="Arial" w:hAnsi="Arial" w:cs="Arial"/>
          <w:b/>
          <w:color w:val="auto"/>
          <w:sz w:val="24"/>
          <w:szCs w:val="24"/>
        </w:rPr>
        <w:t>e</w:t>
      </w:r>
      <w:r w:rsidRPr="00237760">
        <w:rPr>
          <w:rFonts w:ascii="Arial" w:hAnsi="Arial" w:cs="Arial"/>
          <w:b/>
          <w:color w:val="auto"/>
          <w:sz w:val="24"/>
          <w:szCs w:val="24"/>
        </w:rPr>
        <w:t>/telefoniczn</w:t>
      </w:r>
      <w:r w:rsidR="00677411" w:rsidRPr="00237760">
        <w:rPr>
          <w:rFonts w:ascii="Arial" w:hAnsi="Arial" w:cs="Arial"/>
          <w:b/>
          <w:color w:val="auto"/>
          <w:sz w:val="24"/>
          <w:szCs w:val="24"/>
        </w:rPr>
        <w:t>e</w:t>
      </w:r>
      <w:r w:rsidRPr="00237760">
        <w:rPr>
          <w:rFonts w:ascii="Arial" w:hAnsi="Arial" w:cs="Arial"/>
          <w:b/>
          <w:color w:val="auto"/>
          <w:sz w:val="24"/>
          <w:szCs w:val="24"/>
        </w:rPr>
        <w:t xml:space="preserve"> wywiad</w:t>
      </w:r>
      <w:r w:rsidR="00677411" w:rsidRPr="00237760">
        <w:rPr>
          <w:rFonts w:ascii="Arial" w:hAnsi="Arial" w:cs="Arial"/>
          <w:b/>
          <w:color w:val="auto"/>
          <w:sz w:val="24"/>
          <w:szCs w:val="24"/>
        </w:rPr>
        <w:t>y</w:t>
      </w:r>
      <w:r w:rsidRPr="00237760">
        <w:rPr>
          <w:rFonts w:ascii="Arial" w:hAnsi="Arial" w:cs="Arial"/>
          <w:b/>
          <w:color w:val="auto"/>
          <w:sz w:val="24"/>
          <w:szCs w:val="24"/>
        </w:rPr>
        <w:t xml:space="preserve"> pogłębion</w:t>
      </w:r>
      <w:r w:rsidR="00677411" w:rsidRPr="00237760">
        <w:rPr>
          <w:rFonts w:ascii="Arial" w:hAnsi="Arial" w:cs="Arial"/>
          <w:b/>
          <w:color w:val="auto"/>
          <w:sz w:val="24"/>
          <w:szCs w:val="24"/>
        </w:rPr>
        <w:t>e</w:t>
      </w:r>
      <w:r w:rsidRPr="00237760">
        <w:rPr>
          <w:rFonts w:ascii="Arial" w:hAnsi="Arial" w:cs="Arial"/>
          <w:b/>
          <w:color w:val="auto"/>
          <w:sz w:val="24"/>
          <w:szCs w:val="24"/>
        </w:rPr>
        <w:t xml:space="preserve"> </w:t>
      </w:r>
      <w:r w:rsidRPr="00237760">
        <w:rPr>
          <w:rFonts w:ascii="Arial" w:hAnsi="Arial" w:cs="Arial"/>
          <w:color w:val="auto"/>
          <w:sz w:val="24"/>
          <w:szCs w:val="24"/>
        </w:rPr>
        <w:t>– każdy wywiad b</w:t>
      </w:r>
      <w:r w:rsidR="00A10777" w:rsidRPr="00237760">
        <w:rPr>
          <w:rFonts w:ascii="Arial" w:hAnsi="Arial" w:cs="Arial"/>
          <w:color w:val="auto"/>
          <w:sz w:val="24"/>
          <w:szCs w:val="24"/>
        </w:rPr>
        <w:t xml:space="preserve">ył </w:t>
      </w:r>
      <w:r w:rsidRPr="00237760">
        <w:rPr>
          <w:rFonts w:ascii="Arial" w:hAnsi="Arial" w:cs="Arial"/>
          <w:color w:val="auto"/>
          <w:sz w:val="24"/>
          <w:szCs w:val="24"/>
        </w:rPr>
        <w:t xml:space="preserve">oparty o ustrukturalizowany kwestionariusz. Podstawowym kluczem doboru osób do wywiadów </w:t>
      </w:r>
      <w:r w:rsidR="00A10777" w:rsidRPr="00237760">
        <w:rPr>
          <w:rFonts w:ascii="Arial" w:hAnsi="Arial" w:cs="Arial"/>
          <w:color w:val="auto"/>
          <w:sz w:val="24"/>
          <w:szCs w:val="24"/>
        </w:rPr>
        <w:t xml:space="preserve">było </w:t>
      </w:r>
      <w:r w:rsidRPr="00237760">
        <w:rPr>
          <w:rFonts w:ascii="Arial" w:hAnsi="Arial" w:cs="Arial"/>
          <w:color w:val="auto"/>
          <w:sz w:val="24"/>
          <w:szCs w:val="24"/>
        </w:rPr>
        <w:t xml:space="preserve">ich bezpośrednie lub pośrednie zaangażowanie w proces tworzenia Programu. </w:t>
      </w:r>
      <w:r w:rsidR="00A10777" w:rsidRPr="00237760">
        <w:rPr>
          <w:rFonts w:ascii="Arial" w:hAnsi="Arial" w:cs="Arial"/>
          <w:color w:val="auto"/>
          <w:sz w:val="24"/>
          <w:szCs w:val="24"/>
        </w:rPr>
        <w:t xml:space="preserve">Przeprowadzono siedem </w:t>
      </w:r>
      <w:r w:rsidRPr="00237760">
        <w:rPr>
          <w:rFonts w:ascii="Arial" w:hAnsi="Arial" w:cs="Arial"/>
          <w:color w:val="auto"/>
          <w:sz w:val="24"/>
          <w:szCs w:val="24"/>
        </w:rPr>
        <w:t>wywiadów pogłębionych z:</w:t>
      </w:r>
    </w:p>
    <w:p w14:paraId="73538E29" w14:textId="68AC18E9" w:rsidR="001333A3" w:rsidRPr="00237760" w:rsidRDefault="001333A3" w:rsidP="009367B4">
      <w:pPr>
        <w:pStyle w:val="Akapitzlist"/>
        <w:numPr>
          <w:ilvl w:val="0"/>
          <w:numId w:val="45"/>
        </w:numPr>
        <w:spacing w:after="0"/>
        <w:ind w:left="851"/>
        <w:jc w:val="left"/>
        <w:rPr>
          <w:rFonts w:ascii="Arial" w:hAnsi="Arial" w:cs="Arial"/>
          <w:color w:val="auto"/>
          <w:sz w:val="24"/>
          <w:szCs w:val="24"/>
        </w:rPr>
      </w:pPr>
      <w:r w:rsidRPr="00237760">
        <w:rPr>
          <w:rFonts w:ascii="Arial" w:hAnsi="Arial" w:cs="Arial"/>
          <w:color w:val="auto"/>
          <w:sz w:val="24"/>
          <w:szCs w:val="24"/>
        </w:rPr>
        <w:t>przedstawiciel</w:t>
      </w:r>
      <w:r w:rsidR="00E60FA6" w:rsidRPr="00237760">
        <w:rPr>
          <w:rFonts w:ascii="Arial" w:hAnsi="Arial" w:cs="Arial"/>
          <w:color w:val="auto"/>
          <w:sz w:val="24"/>
          <w:szCs w:val="24"/>
        </w:rPr>
        <w:t>em</w:t>
      </w:r>
      <w:r w:rsidRPr="00237760">
        <w:rPr>
          <w:rFonts w:ascii="Arial" w:hAnsi="Arial" w:cs="Arial"/>
          <w:color w:val="auto"/>
          <w:sz w:val="24"/>
          <w:szCs w:val="24"/>
        </w:rPr>
        <w:t xml:space="preserve"> Urzędu Marszałkowskiego</w:t>
      </w:r>
      <w:r w:rsidR="00E60FA6" w:rsidRPr="00237760">
        <w:rPr>
          <w:rFonts w:ascii="Arial" w:hAnsi="Arial" w:cs="Arial"/>
          <w:color w:val="auto"/>
          <w:sz w:val="24"/>
          <w:szCs w:val="24"/>
        </w:rPr>
        <w:t xml:space="preserve"> (jeden wywiad</w:t>
      </w:r>
      <w:r w:rsidR="00EE0696" w:rsidRPr="00237760">
        <w:rPr>
          <w:rFonts w:ascii="Arial" w:hAnsi="Arial" w:cs="Arial"/>
          <w:color w:val="auto"/>
          <w:sz w:val="24"/>
          <w:szCs w:val="24"/>
        </w:rPr>
        <w:t xml:space="preserve"> – wywiad był zrealizowany </w:t>
      </w:r>
      <w:r w:rsidR="00A45330" w:rsidRPr="00237760">
        <w:rPr>
          <w:rFonts w:ascii="Arial" w:hAnsi="Arial" w:cs="Arial"/>
          <w:color w:val="auto"/>
          <w:sz w:val="24"/>
          <w:szCs w:val="24"/>
        </w:rPr>
        <w:br/>
      </w:r>
      <w:r w:rsidR="00EE0696" w:rsidRPr="00237760">
        <w:rPr>
          <w:rFonts w:ascii="Arial" w:hAnsi="Arial" w:cs="Arial"/>
          <w:color w:val="auto"/>
          <w:sz w:val="24"/>
          <w:szCs w:val="24"/>
        </w:rPr>
        <w:t xml:space="preserve">z osobą, która jednocześnie </w:t>
      </w:r>
      <w:r w:rsidR="00D03BF6" w:rsidRPr="00237760">
        <w:rPr>
          <w:rFonts w:ascii="Arial" w:hAnsi="Arial" w:cs="Arial"/>
          <w:color w:val="auto"/>
          <w:sz w:val="24"/>
          <w:szCs w:val="24"/>
        </w:rPr>
        <w:t xml:space="preserve">jest </w:t>
      </w:r>
      <w:r w:rsidR="00EE0696" w:rsidRPr="00237760">
        <w:rPr>
          <w:rFonts w:ascii="Arial" w:hAnsi="Arial" w:cs="Arial"/>
          <w:color w:val="auto"/>
          <w:sz w:val="24"/>
          <w:szCs w:val="24"/>
        </w:rPr>
        <w:t>członkiem Zespołu Roboczego ds. opracowania Programu</w:t>
      </w:r>
      <w:r w:rsidR="00E60FA6" w:rsidRPr="00237760">
        <w:rPr>
          <w:rFonts w:ascii="Arial" w:hAnsi="Arial" w:cs="Arial"/>
          <w:color w:val="auto"/>
          <w:sz w:val="24"/>
          <w:szCs w:val="24"/>
        </w:rPr>
        <w:t>)</w:t>
      </w:r>
      <w:r w:rsidRPr="00237760">
        <w:rPr>
          <w:rFonts w:ascii="Arial" w:hAnsi="Arial" w:cs="Arial"/>
          <w:color w:val="auto"/>
          <w:sz w:val="24"/>
          <w:szCs w:val="24"/>
        </w:rPr>
        <w:t>;</w:t>
      </w:r>
    </w:p>
    <w:p w14:paraId="6781B8B2" w14:textId="62F20002" w:rsidR="001333A3" w:rsidRPr="00237760" w:rsidRDefault="001333A3" w:rsidP="009367B4">
      <w:pPr>
        <w:pStyle w:val="Akapitzlist"/>
        <w:numPr>
          <w:ilvl w:val="0"/>
          <w:numId w:val="45"/>
        </w:numPr>
        <w:spacing w:after="0"/>
        <w:ind w:left="851"/>
        <w:jc w:val="left"/>
        <w:rPr>
          <w:rFonts w:ascii="Arial" w:hAnsi="Arial" w:cs="Arial"/>
          <w:color w:val="auto"/>
          <w:sz w:val="24"/>
          <w:szCs w:val="24"/>
        </w:rPr>
      </w:pPr>
      <w:r w:rsidRPr="00237760">
        <w:rPr>
          <w:rFonts w:ascii="Arial" w:hAnsi="Arial" w:cs="Arial"/>
          <w:color w:val="auto"/>
          <w:sz w:val="24"/>
          <w:szCs w:val="24"/>
        </w:rPr>
        <w:t>przedstawiciel</w:t>
      </w:r>
      <w:r w:rsidR="00E60FA6" w:rsidRPr="00237760">
        <w:rPr>
          <w:rFonts w:ascii="Arial" w:hAnsi="Arial" w:cs="Arial"/>
          <w:color w:val="auto"/>
          <w:sz w:val="24"/>
          <w:szCs w:val="24"/>
        </w:rPr>
        <w:t>ami</w:t>
      </w:r>
      <w:r w:rsidRPr="00237760">
        <w:rPr>
          <w:rFonts w:ascii="Arial" w:hAnsi="Arial" w:cs="Arial"/>
          <w:color w:val="auto"/>
          <w:sz w:val="24"/>
          <w:szCs w:val="24"/>
        </w:rPr>
        <w:t xml:space="preserve"> Zespołu Roboczego ds. opracowania Programu (</w:t>
      </w:r>
      <w:r w:rsidR="00E60FA6" w:rsidRPr="00237760">
        <w:rPr>
          <w:rFonts w:ascii="Arial" w:hAnsi="Arial" w:cs="Arial"/>
          <w:color w:val="auto"/>
          <w:sz w:val="24"/>
          <w:szCs w:val="24"/>
        </w:rPr>
        <w:t>dwa</w:t>
      </w:r>
      <w:r w:rsidRPr="00237760">
        <w:rPr>
          <w:rFonts w:ascii="Arial" w:hAnsi="Arial" w:cs="Arial"/>
          <w:color w:val="auto"/>
          <w:sz w:val="24"/>
          <w:szCs w:val="24"/>
        </w:rPr>
        <w:t xml:space="preserve"> wywiady</w:t>
      </w:r>
      <w:r w:rsidR="00D03BF6" w:rsidRPr="00237760">
        <w:rPr>
          <w:rFonts w:ascii="Arial" w:hAnsi="Arial" w:cs="Arial"/>
          <w:color w:val="auto"/>
          <w:sz w:val="24"/>
          <w:szCs w:val="24"/>
        </w:rPr>
        <w:t>, z których jeden był przeprowadzony z osobą, która jest również przedstawicielem Urzędu Marszałkowskiego</w:t>
      </w:r>
      <w:r w:rsidRPr="00237760">
        <w:rPr>
          <w:rFonts w:ascii="Arial" w:hAnsi="Arial" w:cs="Arial"/>
          <w:color w:val="auto"/>
          <w:sz w:val="24"/>
          <w:szCs w:val="24"/>
        </w:rPr>
        <w:t>);</w:t>
      </w:r>
    </w:p>
    <w:p w14:paraId="769783F7" w14:textId="7E13E5E3" w:rsidR="001333A3" w:rsidRPr="00237760" w:rsidRDefault="001333A3" w:rsidP="009367B4">
      <w:pPr>
        <w:pStyle w:val="Akapitzlist"/>
        <w:numPr>
          <w:ilvl w:val="0"/>
          <w:numId w:val="45"/>
        </w:numPr>
        <w:spacing w:after="0"/>
        <w:ind w:left="851"/>
        <w:jc w:val="left"/>
        <w:rPr>
          <w:rFonts w:ascii="Arial" w:hAnsi="Arial" w:cs="Arial"/>
          <w:color w:val="auto"/>
          <w:sz w:val="24"/>
          <w:szCs w:val="24"/>
        </w:rPr>
      </w:pPr>
      <w:r w:rsidRPr="00237760">
        <w:rPr>
          <w:rFonts w:ascii="Arial" w:hAnsi="Arial" w:cs="Arial"/>
          <w:color w:val="auto"/>
          <w:sz w:val="24"/>
          <w:szCs w:val="24"/>
        </w:rPr>
        <w:t>przedstawiciel</w:t>
      </w:r>
      <w:r w:rsidR="00E60FA6" w:rsidRPr="00237760">
        <w:rPr>
          <w:rFonts w:ascii="Arial" w:hAnsi="Arial" w:cs="Arial"/>
          <w:color w:val="auto"/>
          <w:sz w:val="24"/>
          <w:szCs w:val="24"/>
        </w:rPr>
        <w:t>ami</w:t>
      </w:r>
      <w:r w:rsidR="00A32BE3" w:rsidRPr="00237760">
        <w:rPr>
          <w:rFonts w:ascii="Arial" w:hAnsi="Arial" w:cs="Arial"/>
          <w:color w:val="auto"/>
          <w:sz w:val="24"/>
          <w:szCs w:val="24"/>
        </w:rPr>
        <w:t xml:space="preserve"> samorządów lokalnych </w:t>
      </w:r>
      <w:r w:rsidRPr="00237760">
        <w:rPr>
          <w:rFonts w:ascii="Arial" w:hAnsi="Arial" w:cs="Arial"/>
          <w:color w:val="auto"/>
          <w:sz w:val="24"/>
          <w:szCs w:val="24"/>
        </w:rPr>
        <w:t>(</w:t>
      </w:r>
      <w:r w:rsidR="00D04D95" w:rsidRPr="00237760">
        <w:rPr>
          <w:rFonts w:ascii="Arial" w:hAnsi="Arial" w:cs="Arial"/>
          <w:color w:val="auto"/>
          <w:sz w:val="24"/>
          <w:szCs w:val="24"/>
        </w:rPr>
        <w:t xml:space="preserve">trzy </w:t>
      </w:r>
      <w:r w:rsidRPr="00237760">
        <w:rPr>
          <w:rFonts w:ascii="Arial" w:hAnsi="Arial" w:cs="Arial"/>
          <w:color w:val="auto"/>
          <w:sz w:val="24"/>
          <w:szCs w:val="24"/>
        </w:rPr>
        <w:t>wywiady);</w:t>
      </w:r>
    </w:p>
    <w:p w14:paraId="5D1F9873" w14:textId="05651478" w:rsidR="007D252E" w:rsidRPr="00237760" w:rsidRDefault="001333A3" w:rsidP="009367B4">
      <w:pPr>
        <w:pStyle w:val="Akapitzlist"/>
        <w:numPr>
          <w:ilvl w:val="0"/>
          <w:numId w:val="45"/>
        </w:numPr>
        <w:spacing w:after="0"/>
        <w:ind w:left="851"/>
        <w:jc w:val="left"/>
        <w:rPr>
          <w:rFonts w:ascii="Arial" w:hAnsi="Arial" w:cs="Arial"/>
          <w:color w:val="auto"/>
          <w:sz w:val="24"/>
          <w:szCs w:val="24"/>
        </w:rPr>
      </w:pPr>
      <w:r w:rsidRPr="00237760">
        <w:rPr>
          <w:rFonts w:ascii="Arial" w:hAnsi="Arial" w:cs="Arial"/>
          <w:color w:val="auto"/>
          <w:sz w:val="24"/>
          <w:szCs w:val="24"/>
        </w:rPr>
        <w:t>przedstawiciel</w:t>
      </w:r>
      <w:r w:rsidR="00BF17EA" w:rsidRPr="00237760">
        <w:rPr>
          <w:rFonts w:ascii="Arial" w:hAnsi="Arial" w:cs="Arial"/>
          <w:color w:val="auto"/>
          <w:sz w:val="24"/>
          <w:szCs w:val="24"/>
        </w:rPr>
        <w:t>e</w:t>
      </w:r>
      <w:r w:rsidR="00E60FA6" w:rsidRPr="00237760">
        <w:rPr>
          <w:rFonts w:ascii="Arial" w:hAnsi="Arial" w:cs="Arial"/>
          <w:color w:val="auto"/>
          <w:sz w:val="24"/>
          <w:szCs w:val="24"/>
        </w:rPr>
        <w:t>m</w:t>
      </w:r>
      <w:r w:rsidRPr="00237760">
        <w:rPr>
          <w:rFonts w:ascii="Arial" w:hAnsi="Arial" w:cs="Arial"/>
          <w:color w:val="auto"/>
          <w:sz w:val="24"/>
          <w:szCs w:val="24"/>
        </w:rPr>
        <w:t xml:space="preserve"> interesariuszy Programu, uczestniczący</w:t>
      </w:r>
      <w:r w:rsidR="007D252E" w:rsidRPr="00237760">
        <w:rPr>
          <w:rFonts w:ascii="Arial" w:hAnsi="Arial" w:cs="Arial"/>
          <w:color w:val="auto"/>
          <w:sz w:val="24"/>
          <w:szCs w:val="24"/>
        </w:rPr>
        <w:t xml:space="preserve">m w </w:t>
      </w:r>
      <w:r w:rsidRPr="00237760">
        <w:rPr>
          <w:rFonts w:ascii="Arial" w:hAnsi="Arial" w:cs="Arial"/>
          <w:color w:val="auto"/>
          <w:sz w:val="24"/>
          <w:szCs w:val="24"/>
        </w:rPr>
        <w:t>jego opracowani</w:t>
      </w:r>
      <w:r w:rsidR="007D252E" w:rsidRPr="00237760">
        <w:rPr>
          <w:rFonts w:ascii="Arial" w:hAnsi="Arial" w:cs="Arial"/>
          <w:color w:val="auto"/>
          <w:sz w:val="24"/>
          <w:szCs w:val="24"/>
        </w:rPr>
        <w:t xml:space="preserve">u </w:t>
      </w:r>
      <w:r w:rsidRPr="00237760">
        <w:rPr>
          <w:rFonts w:ascii="Arial" w:hAnsi="Arial" w:cs="Arial"/>
          <w:color w:val="auto"/>
          <w:sz w:val="24"/>
          <w:szCs w:val="24"/>
        </w:rPr>
        <w:t>(</w:t>
      </w:r>
      <w:r w:rsidR="006B2B91" w:rsidRPr="00237760">
        <w:rPr>
          <w:rFonts w:ascii="Arial" w:hAnsi="Arial" w:cs="Arial"/>
          <w:color w:val="auto"/>
          <w:sz w:val="24"/>
          <w:szCs w:val="24"/>
        </w:rPr>
        <w:t xml:space="preserve">jeden </w:t>
      </w:r>
      <w:r w:rsidRPr="00237760">
        <w:rPr>
          <w:rFonts w:ascii="Arial" w:hAnsi="Arial" w:cs="Arial"/>
          <w:color w:val="auto"/>
          <w:sz w:val="24"/>
          <w:szCs w:val="24"/>
        </w:rPr>
        <w:t>wywiad).</w:t>
      </w:r>
    </w:p>
    <w:p w14:paraId="66DCBB55" w14:textId="27841801" w:rsidR="008978A1" w:rsidRPr="00237760" w:rsidRDefault="001333A3" w:rsidP="00751D5A">
      <w:pPr>
        <w:pStyle w:val="Akapitzlist"/>
        <w:numPr>
          <w:ilvl w:val="1"/>
          <w:numId w:val="6"/>
        </w:numPr>
        <w:ind w:left="426"/>
        <w:jc w:val="left"/>
        <w:rPr>
          <w:rFonts w:ascii="Arial" w:hAnsi="Arial" w:cs="Arial"/>
          <w:color w:val="auto"/>
          <w:sz w:val="24"/>
          <w:szCs w:val="24"/>
        </w:rPr>
      </w:pPr>
      <w:r w:rsidRPr="00237760">
        <w:rPr>
          <w:rFonts w:ascii="Arial" w:hAnsi="Arial" w:cs="Arial"/>
          <w:b/>
          <w:color w:val="auto"/>
          <w:sz w:val="24"/>
          <w:szCs w:val="24"/>
        </w:rPr>
        <w:t xml:space="preserve">Panelu ekspertów </w:t>
      </w:r>
      <w:r w:rsidRPr="00237760">
        <w:rPr>
          <w:rFonts w:ascii="Arial" w:hAnsi="Arial" w:cs="Arial"/>
          <w:color w:val="auto"/>
          <w:sz w:val="24"/>
          <w:szCs w:val="24"/>
        </w:rPr>
        <w:t xml:space="preserve">– </w:t>
      </w:r>
      <w:r w:rsidR="00D04D95" w:rsidRPr="00237760">
        <w:rPr>
          <w:rFonts w:ascii="Arial" w:hAnsi="Arial" w:cs="Arial"/>
          <w:color w:val="auto"/>
          <w:sz w:val="24"/>
          <w:szCs w:val="24"/>
        </w:rPr>
        <w:t xml:space="preserve">przeprowadzono go w formie </w:t>
      </w:r>
      <w:r w:rsidRPr="00237760">
        <w:rPr>
          <w:rFonts w:ascii="Arial" w:hAnsi="Arial" w:cs="Arial"/>
          <w:color w:val="auto"/>
          <w:sz w:val="24"/>
          <w:szCs w:val="24"/>
        </w:rPr>
        <w:t>korespondencyjne</w:t>
      </w:r>
      <w:r w:rsidR="00D04D95" w:rsidRPr="00237760">
        <w:rPr>
          <w:rFonts w:ascii="Arial" w:hAnsi="Arial" w:cs="Arial"/>
          <w:color w:val="auto"/>
          <w:sz w:val="24"/>
          <w:szCs w:val="24"/>
        </w:rPr>
        <w:t>j</w:t>
      </w:r>
      <w:r w:rsidRPr="00237760">
        <w:rPr>
          <w:rFonts w:ascii="Arial" w:hAnsi="Arial" w:cs="Arial"/>
          <w:color w:val="auto"/>
          <w:sz w:val="24"/>
          <w:szCs w:val="24"/>
        </w:rPr>
        <w:t xml:space="preserve">, z udziałem </w:t>
      </w:r>
      <w:r w:rsidR="006B2B91" w:rsidRPr="00237760">
        <w:rPr>
          <w:rFonts w:ascii="Arial" w:hAnsi="Arial" w:cs="Arial"/>
          <w:color w:val="auto"/>
          <w:sz w:val="24"/>
          <w:szCs w:val="24"/>
        </w:rPr>
        <w:t xml:space="preserve">pięciu </w:t>
      </w:r>
      <w:r w:rsidRPr="00237760">
        <w:rPr>
          <w:rFonts w:ascii="Arial" w:hAnsi="Arial" w:cs="Arial"/>
          <w:color w:val="auto"/>
          <w:sz w:val="24"/>
          <w:szCs w:val="24"/>
        </w:rPr>
        <w:t xml:space="preserve">osób. </w:t>
      </w:r>
      <w:r w:rsidR="00A45330" w:rsidRPr="00237760">
        <w:rPr>
          <w:rFonts w:ascii="Arial" w:hAnsi="Arial" w:cs="Arial"/>
          <w:color w:val="auto"/>
          <w:sz w:val="24"/>
          <w:szCs w:val="24"/>
        </w:rPr>
        <w:br/>
      </w:r>
      <w:r w:rsidRPr="00237760">
        <w:rPr>
          <w:rFonts w:ascii="Arial" w:hAnsi="Arial" w:cs="Arial"/>
          <w:color w:val="auto"/>
          <w:sz w:val="24"/>
          <w:szCs w:val="24"/>
        </w:rPr>
        <w:t>W panelu</w:t>
      </w:r>
      <w:r w:rsidRPr="00237760">
        <w:rPr>
          <w:rFonts w:ascii="Arial" w:hAnsi="Arial" w:cs="Arial"/>
          <w:b/>
          <w:color w:val="auto"/>
          <w:sz w:val="24"/>
          <w:szCs w:val="24"/>
        </w:rPr>
        <w:t xml:space="preserve"> </w:t>
      </w:r>
      <w:r w:rsidRPr="00237760">
        <w:rPr>
          <w:rFonts w:ascii="Arial" w:hAnsi="Arial" w:cs="Arial"/>
          <w:color w:val="auto"/>
          <w:sz w:val="24"/>
          <w:szCs w:val="24"/>
        </w:rPr>
        <w:t>w</w:t>
      </w:r>
      <w:r w:rsidR="006B2B91" w:rsidRPr="00237760">
        <w:rPr>
          <w:rFonts w:ascii="Arial" w:hAnsi="Arial" w:cs="Arial"/>
          <w:color w:val="auto"/>
          <w:sz w:val="24"/>
          <w:szCs w:val="24"/>
        </w:rPr>
        <w:t xml:space="preserve">zięli </w:t>
      </w:r>
      <w:r w:rsidRPr="00237760">
        <w:rPr>
          <w:rFonts w:ascii="Arial" w:hAnsi="Arial" w:cs="Arial"/>
          <w:color w:val="auto"/>
          <w:sz w:val="24"/>
          <w:szCs w:val="24"/>
        </w:rPr>
        <w:t xml:space="preserve">udział eksperci zewnętrzni, powiązani tematycznie z pięcioma podsystemami systemu transportowego wskazanymi w projekcie PSRT WP. W ramach panelu ekspertów ocenie poddane </w:t>
      </w:r>
      <w:r w:rsidR="006B2B91" w:rsidRPr="00237760">
        <w:rPr>
          <w:rFonts w:ascii="Arial" w:hAnsi="Arial" w:cs="Arial"/>
          <w:color w:val="auto"/>
          <w:sz w:val="24"/>
          <w:szCs w:val="24"/>
        </w:rPr>
        <w:t xml:space="preserve">były </w:t>
      </w:r>
      <w:r w:rsidRPr="00237760">
        <w:rPr>
          <w:rFonts w:ascii="Arial" w:hAnsi="Arial" w:cs="Arial"/>
          <w:color w:val="auto"/>
          <w:sz w:val="24"/>
          <w:szCs w:val="24"/>
        </w:rPr>
        <w:t xml:space="preserve">przygotowane przez zespół </w:t>
      </w:r>
      <w:r w:rsidRPr="00237760">
        <w:rPr>
          <w:rFonts w:ascii="Arial" w:hAnsi="Arial" w:cs="Arial"/>
          <w:color w:val="auto"/>
          <w:sz w:val="24"/>
          <w:szCs w:val="24"/>
        </w:rPr>
        <w:lastRenderedPageBreak/>
        <w:t>Ewaluatora, matryce logiczne służące weryfikacji przyjętej w Programie logiki interwencji.</w:t>
      </w:r>
      <w:r w:rsidR="00751D5A" w:rsidRPr="00237760">
        <w:rPr>
          <w:rFonts w:ascii="Arial" w:hAnsi="Arial" w:cs="Arial"/>
          <w:color w:val="auto"/>
          <w:sz w:val="24"/>
          <w:szCs w:val="24"/>
        </w:rPr>
        <w:t xml:space="preserve"> </w:t>
      </w:r>
      <w:r w:rsidR="008978A1" w:rsidRPr="00237760">
        <w:rPr>
          <w:rFonts w:ascii="Arial" w:hAnsi="Arial" w:cs="Arial"/>
          <w:color w:val="auto"/>
          <w:sz w:val="24"/>
          <w:szCs w:val="24"/>
        </w:rPr>
        <w:br w:type="page"/>
      </w:r>
    </w:p>
    <w:p w14:paraId="7BCBEE91" w14:textId="1E4C35E4" w:rsidR="00DD3F90" w:rsidRPr="00237760" w:rsidRDefault="00DD3F90" w:rsidP="009367B4">
      <w:pPr>
        <w:pStyle w:val="Nagwek1"/>
        <w:rPr>
          <w:rFonts w:ascii="Arial" w:hAnsi="Arial" w:cs="Arial"/>
          <w:color w:val="auto"/>
          <w:sz w:val="24"/>
          <w:szCs w:val="24"/>
        </w:rPr>
      </w:pPr>
      <w:bookmarkStart w:id="22" w:name="_Ref89429010"/>
      <w:bookmarkStart w:id="23" w:name="_Toc89524137"/>
      <w:bookmarkStart w:id="24" w:name="_Toc89589725"/>
      <w:bookmarkStart w:id="25" w:name="_Toc90226444"/>
      <w:bookmarkStart w:id="26" w:name="_Toc101904104"/>
      <w:r w:rsidRPr="00237760">
        <w:rPr>
          <w:rFonts w:ascii="Arial" w:hAnsi="Arial" w:cs="Arial"/>
          <w:color w:val="auto"/>
          <w:sz w:val="24"/>
          <w:szCs w:val="24"/>
        </w:rPr>
        <w:lastRenderedPageBreak/>
        <w:t xml:space="preserve">Ocena </w:t>
      </w:r>
      <w:r w:rsidR="0059475D" w:rsidRPr="00237760">
        <w:rPr>
          <w:rFonts w:ascii="Arial" w:hAnsi="Arial" w:cs="Arial"/>
          <w:color w:val="auto"/>
          <w:sz w:val="24"/>
          <w:szCs w:val="24"/>
        </w:rPr>
        <w:t xml:space="preserve">trafności założeń </w:t>
      </w:r>
      <w:r w:rsidR="008B6FD9" w:rsidRPr="00237760">
        <w:rPr>
          <w:rFonts w:ascii="Arial" w:hAnsi="Arial" w:cs="Arial"/>
          <w:color w:val="auto"/>
          <w:sz w:val="24"/>
          <w:szCs w:val="24"/>
        </w:rPr>
        <w:t xml:space="preserve">projektu </w:t>
      </w:r>
      <w:r w:rsidR="00774878" w:rsidRPr="00237760">
        <w:rPr>
          <w:rFonts w:ascii="Arial" w:hAnsi="Arial" w:cs="Arial"/>
          <w:color w:val="auto"/>
          <w:sz w:val="24"/>
          <w:szCs w:val="24"/>
        </w:rPr>
        <w:t>PSRT WP</w:t>
      </w:r>
      <w:bookmarkEnd w:id="22"/>
      <w:bookmarkEnd w:id="23"/>
      <w:bookmarkEnd w:id="24"/>
      <w:bookmarkEnd w:id="25"/>
      <w:bookmarkEnd w:id="26"/>
    </w:p>
    <w:p w14:paraId="1AE46ABE" w14:textId="3DDD2CE8" w:rsidR="00FB2C89" w:rsidRPr="00237760" w:rsidRDefault="00FB2C89" w:rsidP="009367B4">
      <w:pPr>
        <w:pStyle w:val="Nagwek2"/>
        <w:rPr>
          <w:rFonts w:ascii="Arial" w:hAnsi="Arial" w:cs="Arial"/>
          <w:color w:val="auto"/>
          <w:sz w:val="24"/>
          <w:szCs w:val="24"/>
        </w:rPr>
      </w:pPr>
      <w:bookmarkStart w:id="27" w:name="_Toc101904105"/>
      <w:r w:rsidRPr="00237760">
        <w:rPr>
          <w:rFonts w:ascii="Arial" w:hAnsi="Arial" w:cs="Arial"/>
          <w:color w:val="auto"/>
          <w:sz w:val="24"/>
          <w:szCs w:val="24"/>
        </w:rPr>
        <w:t xml:space="preserve">Ocena trafności </w:t>
      </w:r>
      <w:r w:rsidR="0076710D" w:rsidRPr="00237760">
        <w:rPr>
          <w:rFonts w:ascii="Arial" w:hAnsi="Arial" w:cs="Arial"/>
          <w:color w:val="auto"/>
          <w:sz w:val="24"/>
          <w:szCs w:val="24"/>
        </w:rPr>
        <w:t>w kontekście wyzwań i potrzeb społeczno-ekonomicznych regionu</w:t>
      </w:r>
      <w:bookmarkEnd w:id="27"/>
    </w:p>
    <w:p w14:paraId="70506F86" w14:textId="38BB60EE" w:rsidR="00DD3F90" w:rsidRPr="00D352FD" w:rsidRDefault="00DD3F90" w:rsidP="00D352FD">
      <w:pPr>
        <w:pStyle w:val="Nagwek3"/>
        <w:numPr>
          <w:ilvl w:val="0"/>
          <w:numId w:val="0"/>
        </w:numPr>
        <w:ind w:left="851" w:hanging="851"/>
        <w:rPr>
          <w:rFonts w:ascii="Arial" w:hAnsi="Arial" w:cs="Arial"/>
          <w:color w:val="auto"/>
          <w:sz w:val="24"/>
          <w:szCs w:val="24"/>
        </w:rPr>
      </w:pPr>
      <w:bookmarkStart w:id="28" w:name="_Toc89524138"/>
      <w:bookmarkStart w:id="29" w:name="_Toc89589726"/>
      <w:bookmarkStart w:id="30" w:name="_Toc90226445"/>
      <w:bookmarkStart w:id="31" w:name="_Toc101904106"/>
      <w:r w:rsidRPr="00D352FD">
        <w:rPr>
          <w:rFonts w:ascii="Arial" w:hAnsi="Arial" w:cs="Arial"/>
          <w:color w:val="auto"/>
          <w:sz w:val="24"/>
          <w:szCs w:val="24"/>
        </w:rPr>
        <w:t>Synteza</w:t>
      </w:r>
      <w:bookmarkEnd w:id="28"/>
      <w:bookmarkEnd w:id="29"/>
      <w:bookmarkEnd w:id="30"/>
      <w:bookmarkEnd w:id="31"/>
    </w:p>
    <w:p w14:paraId="58D34F3B" w14:textId="77777777" w:rsidR="00DD3F90" w:rsidRPr="00237760" w:rsidRDefault="00DD3F90" w:rsidP="009367B4">
      <w:pPr>
        <w:jc w:val="left"/>
        <w:rPr>
          <w:rFonts w:ascii="Arial" w:hAnsi="Arial" w:cs="Arial"/>
          <w:b/>
          <w:i/>
          <w:color w:val="auto"/>
          <w:sz w:val="24"/>
          <w:szCs w:val="24"/>
        </w:rPr>
      </w:pPr>
      <w:r w:rsidRPr="00237760">
        <w:rPr>
          <w:rFonts w:ascii="Arial" w:hAnsi="Arial" w:cs="Arial"/>
          <w:color w:val="auto"/>
          <w:sz w:val="24"/>
          <w:szCs w:val="24"/>
        </w:rPr>
        <w:t>Pytanie ewaluacyjne:</w:t>
      </w:r>
      <w:r w:rsidRPr="00237760">
        <w:rPr>
          <w:rFonts w:ascii="Arial" w:hAnsi="Arial" w:cs="Arial"/>
          <w:b/>
          <w:i/>
          <w:color w:val="auto"/>
          <w:sz w:val="24"/>
          <w:szCs w:val="24"/>
        </w:rPr>
        <w:t xml:space="preserve"> </w:t>
      </w:r>
    </w:p>
    <w:p w14:paraId="6CB27620" w14:textId="656D381D" w:rsidR="000449AA" w:rsidRPr="00237760" w:rsidRDefault="0076710D" w:rsidP="009367B4">
      <w:pPr>
        <w:jc w:val="left"/>
        <w:rPr>
          <w:rFonts w:ascii="Arial" w:hAnsi="Arial" w:cs="Arial"/>
          <w:color w:val="auto"/>
          <w:sz w:val="24"/>
          <w:szCs w:val="24"/>
        </w:rPr>
      </w:pPr>
      <w:r w:rsidRPr="00237760">
        <w:rPr>
          <w:rFonts w:ascii="Arial" w:hAnsi="Arial" w:cs="Arial"/>
          <w:b/>
          <w:i/>
          <w:color w:val="auto"/>
          <w:sz w:val="24"/>
          <w:szCs w:val="24"/>
        </w:rPr>
        <w:t>Czy projekt Programu trafnie odpowiada na wyzwania i potrzeby społeczno-ekonomiczne obszaru nim objętego?</w:t>
      </w:r>
      <w:r w:rsidR="000449AA" w:rsidRPr="00237760">
        <w:rPr>
          <w:rFonts w:ascii="Arial" w:hAnsi="Arial" w:cs="Arial"/>
          <w:color w:val="auto"/>
          <w:sz w:val="24"/>
          <w:szCs w:val="24"/>
        </w:rPr>
        <w:t xml:space="preserve"> </w:t>
      </w:r>
    </w:p>
    <w:p w14:paraId="64A167FD" w14:textId="156A95C0" w:rsidR="000449AA" w:rsidRPr="00237760" w:rsidRDefault="000449AA" w:rsidP="009367B4">
      <w:pPr>
        <w:jc w:val="left"/>
        <w:rPr>
          <w:rFonts w:ascii="Arial" w:hAnsi="Arial" w:cs="Arial"/>
          <w:color w:val="auto"/>
          <w:sz w:val="24"/>
          <w:szCs w:val="24"/>
        </w:rPr>
      </w:pPr>
      <w:r w:rsidRPr="00237760">
        <w:rPr>
          <w:rFonts w:ascii="Arial" w:hAnsi="Arial" w:cs="Arial"/>
          <w:color w:val="auto"/>
          <w:sz w:val="24"/>
          <w:szCs w:val="24"/>
        </w:rPr>
        <w:t>Syntetyczna odpowiedź:</w:t>
      </w:r>
    </w:p>
    <w:p w14:paraId="1A51F869" w14:textId="3A0BF454" w:rsidR="0076710D" w:rsidRPr="00237760" w:rsidRDefault="000449AA" w:rsidP="009367B4">
      <w:pPr>
        <w:jc w:val="left"/>
        <w:rPr>
          <w:rFonts w:ascii="Arial" w:hAnsi="Arial" w:cs="Arial"/>
          <w:b/>
          <w:i/>
          <w:color w:val="auto"/>
          <w:sz w:val="24"/>
          <w:szCs w:val="24"/>
        </w:rPr>
      </w:pPr>
      <w:r w:rsidRPr="00237760">
        <w:rPr>
          <w:rFonts w:ascii="Arial" w:hAnsi="Arial" w:cs="Arial"/>
          <w:b/>
          <w:i/>
          <w:color w:val="auto"/>
          <w:sz w:val="24"/>
          <w:szCs w:val="24"/>
        </w:rPr>
        <w:t>Generalni</w:t>
      </w:r>
      <w:r w:rsidR="002A5865" w:rsidRPr="00237760">
        <w:rPr>
          <w:rFonts w:ascii="Arial" w:hAnsi="Arial" w:cs="Arial"/>
          <w:b/>
          <w:i/>
          <w:color w:val="auto"/>
          <w:sz w:val="24"/>
          <w:szCs w:val="24"/>
        </w:rPr>
        <w:t>e tak</w:t>
      </w:r>
      <w:r w:rsidR="00185BA6" w:rsidRPr="00237760">
        <w:rPr>
          <w:rFonts w:ascii="Arial" w:hAnsi="Arial" w:cs="Arial"/>
          <w:b/>
          <w:i/>
          <w:color w:val="auto"/>
          <w:sz w:val="24"/>
          <w:szCs w:val="24"/>
        </w:rPr>
        <w:t xml:space="preserve">, </w:t>
      </w:r>
      <w:r w:rsidR="00C8583C" w:rsidRPr="00237760">
        <w:rPr>
          <w:rFonts w:ascii="Arial" w:hAnsi="Arial" w:cs="Arial"/>
          <w:b/>
          <w:i/>
          <w:color w:val="auto"/>
          <w:sz w:val="24"/>
          <w:szCs w:val="24"/>
        </w:rPr>
        <w:t xml:space="preserve">projekt Programu </w:t>
      </w:r>
      <w:r w:rsidR="00185BA6" w:rsidRPr="00237760">
        <w:rPr>
          <w:rFonts w:ascii="Arial" w:hAnsi="Arial" w:cs="Arial"/>
          <w:b/>
          <w:i/>
          <w:color w:val="auto"/>
          <w:sz w:val="24"/>
          <w:szCs w:val="24"/>
        </w:rPr>
        <w:t xml:space="preserve">odpowiada na te czynniki, które </w:t>
      </w:r>
      <w:r w:rsidR="00363160" w:rsidRPr="00237760">
        <w:rPr>
          <w:rFonts w:ascii="Arial" w:hAnsi="Arial" w:cs="Arial"/>
          <w:b/>
          <w:i/>
          <w:color w:val="auto"/>
          <w:sz w:val="24"/>
          <w:szCs w:val="24"/>
        </w:rPr>
        <w:t xml:space="preserve">dotyczą systemu transportu </w:t>
      </w:r>
      <w:r w:rsidR="00A45330" w:rsidRPr="00237760">
        <w:rPr>
          <w:rFonts w:ascii="Arial" w:hAnsi="Arial" w:cs="Arial"/>
          <w:b/>
          <w:i/>
          <w:color w:val="auto"/>
          <w:sz w:val="24"/>
          <w:szCs w:val="24"/>
        </w:rPr>
        <w:br/>
      </w:r>
      <w:r w:rsidR="00CC0DBC" w:rsidRPr="00237760">
        <w:rPr>
          <w:rFonts w:ascii="Arial" w:hAnsi="Arial" w:cs="Arial"/>
          <w:b/>
          <w:i/>
          <w:color w:val="auto"/>
          <w:sz w:val="24"/>
          <w:szCs w:val="24"/>
        </w:rPr>
        <w:t>w sposób pośredni lub bezpośredni</w:t>
      </w:r>
      <w:r w:rsidR="0092312C" w:rsidRPr="00237760">
        <w:rPr>
          <w:rFonts w:ascii="Arial" w:hAnsi="Arial" w:cs="Arial"/>
          <w:b/>
          <w:i/>
          <w:color w:val="auto"/>
          <w:sz w:val="24"/>
          <w:szCs w:val="24"/>
        </w:rPr>
        <w:t xml:space="preserve">. </w:t>
      </w:r>
      <w:r w:rsidR="00EC7A62" w:rsidRPr="00237760">
        <w:rPr>
          <w:rFonts w:ascii="Arial" w:hAnsi="Arial" w:cs="Arial"/>
          <w:b/>
          <w:i/>
          <w:color w:val="auto"/>
          <w:sz w:val="24"/>
          <w:szCs w:val="24"/>
        </w:rPr>
        <w:t>Analizując dokumenty</w:t>
      </w:r>
      <w:r w:rsidR="00C8583C" w:rsidRPr="00237760">
        <w:rPr>
          <w:rFonts w:ascii="Arial" w:hAnsi="Arial" w:cs="Arial"/>
          <w:b/>
          <w:i/>
          <w:color w:val="auto"/>
          <w:sz w:val="24"/>
          <w:szCs w:val="24"/>
        </w:rPr>
        <w:t xml:space="preserve"> strategiczne i programowe</w:t>
      </w:r>
      <w:r w:rsidR="00AA3227" w:rsidRPr="00237760">
        <w:rPr>
          <w:rFonts w:ascii="Arial" w:hAnsi="Arial" w:cs="Arial"/>
          <w:b/>
          <w:i/>
          <w:color w:val="auto"/>
          <w:sz w:val="24"/>
          <w:szCs w:val="24"/>
        </w:rPr>
        <w:t xml:space="preserve">, które </w:t>
      </w:r>
      <w:r w:rsidR="00AA1C54" w:rsidRPr="00237760">
        <w:rPr>
          <w:rFonts w:ascii="Arial" w:hAnsi="Arial" w:cs="Arial"/>
          <w:b/>
          <w:i/>
          <w:color w:val="auto"/>
          <w:sz w:val="24"/>
          <w:szCs w:val="24"/>
        </w:rPr>
        <w:t>charakteryzują</w:t>
      </w:r>
      <w:r w:rsidR="00AA3227" w:rsidRPr="00237760">
        <w:rPr>
          <w:rFonts w:ascii="Arial" w:hAnsi="Arial" w:cs="Arial"/>
          <w:b/>
          <w:i/>
          <w:color w:val="auto"/>
          <w:sz w:val="24"/>
          <w:szCs w:val="24"/>
        </w:rPr>
        <w:t xml:space="preserve"> województw</w:t>
      </w:r>
      <w:r w:rsidR="00AA1C54" w:rsidRPr="00237760">
        <w:rPr>
          <w:rFonts w:ascii="Arial" w:hAnsi="Arial" w:cs="Arial"/>
          <w:b/>
          <w:i/>
          <w:color w:val="auto"/>
          <w:sz w:val="24"/>
          <w:szCs w:val="24"/>
        </w:rPr>
        <w:t>o</w:t>
      </w:r>
      <w:r w:rsidR="00AA3227" w:rsidRPr="00237760">
        <w:rPr>
          <w:rFonts w:ascii="Arial" w:hAnsi="Arial" w:cs="Arial"/>
          <w:b/>
          <w:i/>
          <w:color w:val="auto"/>
          <w:sz w:val="24"/>
          <w:szCs w:val="24"/>
        </w:rPr>
        <w:t xml:space="preserve"> podkarpackie</w:t>
      </w:r>
      <w:r w:rsidR="00C8583C" w:rsidRPr="00237760">
        <w:rPr>
          <w:rFonts w:ascii="Arial" w:hAnsi="Arial" w:cs="Arial"/>
          <w:b/>
          <w:i/>
          <w:color w:val="auto"/>
          <w:sz w:val="24"/>
          <w:szCs w:val="24"/>
        </w:rPr>
        <w:t xml:space="preserve"> pod względem wielu dziedzin społeczno-gospodarczych,</w:t>
      </w:r>
      <w:r w:rsidR="00AA3227" w:rsidRPr="00237760">
        <w:rPr>
          <w:rFonts w:ascii="Arial" w:hAnsi="Arial" w:cs="Arial"/>
          <w:b/>
          <w:i/>
          <w:color w:val="auto"/>
          <w:sz w:val="24"/>
          <w:szCs w:val="24"/>
        </w:rPr>
        <w:t xml:space="preserve"> warto podkreślić, że z</w:t>
      </w:r>
      <w:r w:rsidR="0092312C" w:rsidRPr="00237760">
        <w:rPr>
          <w:rFonts w:ascii="Arial" w:hAnsi="Arial" w:cs="Arial"/>
          <w:b/>
          <w:i/>
          <w:color w:val="auto"/>
          <w:sz w:val="24"/>
          <w:szCs w:val="24"/>
        </w:rPr>
        <w:t xml:space="preserve">naczna pula wyzwań i potrzeb dotyczy </w:t>
      </w:r>
      <w:r w:rsidR="00AC6332" w:rsidRPr="00237760">
        <w:rPr>
          <w:rFonts w:ascii="Arial" w:hAnsi="Arial" w:cs="Arial"/>
          <w:b/>
          <w:i/>
          <w:color w:val="auto"/>
          <w:sz w:val="24"/>
          <w:szCs w:val="24"/>
        </w:rPr>
        <w:t>obszarów tematycznych</w:t>
      </w:r>
      <w:r w:rsidR="00AA3227" w:rsidRPr="00237760">
        <w:rPr>
          <w:rFonts w:ascii="Arial" w:hAnsi="Arial" w:cs="Arial"/>
          <w:b/>
          <w:i/>
          <w:color w:val="auto"/>
          <w:sz w:val="24"/>
          <w:szCs w:val="24"/>
        </w:rPr>
        <w:t xml:space="preserve">, </w:t>
      </w:r>
      <w:r w:rsidR="00AC6332" w:rsidRPr="00237760">
        <w:rPr>
          <w:rFonts w:ascii="Arial" w:hAnsi="Arial" w:cs="Arial"/>
          <w:b/>
          <w:i/>
          <w:color w:val="auto"/>
          <w:sz w:val="24"/>
          <w:szCs w:val="24"/>
        </w:rPr>
        <w:t>których Program nie dotyczy</w:t>
      </w:r>
      <w:r w:rsidR="00AA1C54" w:rsidRPr="00237760">
        <w:rPr>
          <w:rFonts w:ascii="Arial" w:hAnsi="Arial" w:cs="Arial"/>
          <w:b/>
          <w:i/>
          <w:color w:val="auto"/>
          <w:sz w:val="24"/>
          <w:szCs w:val="24"/>
        </w:rPr>
        <w:t>. W</w:t>
      </w:r>
      <w:r w:rsidR="00C8583C" w:rsidRPr="00237760">
        <w:rPr>
          <w:rFonts w:ascii="Arial" w:hAnsi="Arial" w:cs="Arial"/>
          <w:b/>
          <w:i/>
          <w:color w:val="auto"/>
          <w:sz w:val="24"/>
          <w:szCs w:val="24"/>
        </w:rPr>
        <w:t xml:space="preserve"> przypadku dokumentów dotyczących</w:t>
      </w:r>
      <w:r w:rsidR="00AA3227" w:rsidRPr="00237760">
        <w:rPr>
          <w:rFonts w:ascii="Arial" w:hAnsi="Arial" w:cs="Arial"/>
          <w:b/>
          <w:i/>
          <w:color w:val="auto"/>
          <w:sz w:val="24"/>
          <w:szCs w:val="24"/>
        </w:rPr>
        <w:t xml:space="preserve"> wyłącznie transportu</w:t>
      </w:r>
      <w:r w:rsidR="00AA1C54" w:rsidRPr="00237760">
        <w:rPr>
          <w:rFonts w:ascii="Arial" w:hAnsi="Arial" w:cs="Arial"/>
          <w:b/>
          <w:i/>
          <w:color w:val="auto"/>
          <w:sz w:val="24"/>
          <w:szCs w:val="24"/>
        </w:rPr>
        <w:t>,</w:t>
      </w:r>
      <w:r w:rsidR="00AA3227" w:rsidRPr="00237760">
        <w:rPr>
          <w:rFonts w:ascii="Arial" w:hAnsi="Arial" w:cs="Arial"/>
          <w:b/>
          <w:i/>
          <w:color w:val="auto"/>
          <w:sz w:val="24"/>
          <w:szCs w:val="24"/>
        </w:rPr>
        <w:t xml:space="preserve"> Program trafnie odpowiada na niemalże wszystkie zawarte w nich wyzwania. </w:t>
      </w:r>
    </w:p>
    <w:p w14:paraId="71EB0C27" w14:textId="7627EA82" w:rsidR="000449AA" w:rsidRPr="00237760" w:rsidRDefault="00C95320" w:rsidP="009367B4">
      <w:pPr>
        <w:pStyle w:val="Nagwek4"/>
        <w:shd w:val="clear" w:color="auto" w:fill="auto"/>
        <w:rPr>
          <w:rFonts w:ascii="Arial" w:hAnsi="Arial" w:cs="Arial"/>
          <w:color w:val="auto"/>
        </w:rPr>
      </w:pPr>
      <w:bookmarkStart w:id="32" w:name="_Toc89589727"/>
      <w:r w:rsidRPr="00237760">
        <w:rPr>
          <w:rFonts w:ascii="Arial" w:hAnsi="Arial" w:cs="Arial"/>
          <w:color w:val="auto"/>
        </w:rPr>
        <w:t xml:space="preserve"> </w:t>
      </w:r>
      <w:bookmarkStart w:id="33" w:name="_Toc90226446"/>
      <w:bookmarkStart w:id="34" w:name="_Toc101904107"/>
      <w:r w:rsidR="000449AA" w:rsidRPr="00237760">
        <w:rPr>
          <w:rFonts w:ascii="Arial" w:hAnsi="Arial" w:cs="Arial"/>
          <w:color w:val="auto"/>
        </w:rPr>
        <w:t>Analiza</w:t>
      </w:r>
      <w:bookmarkEnd w:id="32"/>
      <w:bookmarkEnd w:id="33"/>
      <w:bookmarkEnd w:id="34"/>
    </w:p>
    <w:p w14:paraId="6A98DD5F" w14:textId="681CC776" w:rsidR="008450C8" w:rsidRPr="00237760" w:rsidRDefault="008450C8" w:rsidP="009367B4">
      <w:pPr>
        <w:jc w:val="left"/>
        <w:rPr>
          <w:rFonts w:ascii="Arial" w:hAnsi="Arial" w:cs="Arial"/>
          <w:color w:val="auto"/>
          <w:sz w:val="24"/>
          <w:szCs w:val="24"/>
        </w:rPr>
      </w:pPr>
      <w:bookmarkStart w:id="35" w:name="_Ref87803539"/>
      <w:bookmarkStart w:id="36" w:name="_Ref89598054"/>
      <w:bookmarkStart w:id="37" w:name="_Toc90222979"/>
      <w:bookmarkStart w:id="38" w:name="_Toc90333457"/>
      <w:r w:rsidRPr="00237760">
        <w:rPr>
          <w:rFonts w:ascii="Arial" w:hAnsi="Arial" w:cs="Arial"/>
          <w:color w:val="auto"/>
          <w:sz w:val="24"/>
          <w:szCs w:val="24"/>
        </w:rPr>
        <w:t>Postawione pytanie ewaluacyjne dotyczy wyzwań i potrzeb województwa podkarpackiego</w:t>
      </w:r>
      <w:r w:rsidR="00A974DD" w:rsidRPr="00237760">
        <w:rPr>
          <w:rFonts w:ascii="Arial" w:hAnsi="Arial" w:cs="Arial"/>
          <w:color w:val="auto"/>
          <w:sz w:val="24"/>
          <w:szCs w:val="24"/>
        </w:rPr>
        <w:t xml:space="preserve"> w zakresie gospodarczo-społecznym</w:t>
      </w:r>
      <w:r w:rsidRPr="00237760">
        <w:rPr>
          <w:rFonts w:ascii="Arial" w:hAnsi="Arial" w:cs="Arial"/>
          <w:color w:val="auto"/>
          <w:sz w:val="24"/>
          <w:szCs w:val="24"/>
        </w:rPr>
        <w:t xml:space="preserve">. </w:t>
      </w:r>
      <w:r w:rsidR="005F2C61" w:rsidRPr="00237760">
        <w:rPr>
          <w:rFonts w:ascii="Arial" w:hAnsi="Arial" w:cs="Arial"/>
          <w:color w:val="auto"/>
          <w:sz w:val="24"/>
          <w:szCs w:val="24"/>
        </w:rPr>
        <w:t xml:space="preserve">Zgodnie z </w:t>
      </w:r>
      <w:r w:rsidR="00AE16A4" w:rsidRPr="00237760">
        <w:rPr>
          <w:rFonts w:ascii="Arial" w:hAnsi="Arial" w:cs="Arial"/>
          <w:color w:val="auto"/>
          <w:sz w:val="24"/>
          <w:szCs w:val="24"/>
        </w:rPr>
        <w:t xml:space="preserve">ewaluacją ex ante </w:t>
      </w:r>
      <w:r w:rsidR="00C856A4" w:rsidRPr="00237760">
        <w:rPr>
          <w:rFonts w:ascii="Arial" w:hAnsi="Arial" w:cs="Arial"/>
          <w:i/>
          <w:color w:val="auto"/>
          <w:sz w:val="24"/>
          <w:szCs w:val="24"/>
        </w:rPr>
        <w:t>Strategi</w:t>
      </w:r>
      <w:r w:rsidR="007C37AF" w:rsidRPr="00237760">
        <w:rPr>
          <w:rFonts w:ascii="Arial" w:hAnsi="Arial" w:cs="Arial"/>
          <w:i/>
          <w:color w:val="auto"/>
          <w:sz w:val="24"/>
          <w:szCs w:val="24"/>
        </w:rPr>
        <w:t>i</w:t>
      </w:r>
      <w:r w:rsidR="00C856A4" w:rsidRPr="00237760">
        <w:rPr>
          <w:rFonts w:ascii="Arial" w:hAnsi="Arial" w:cs="Arial"/>
          <w:i/>
          <w:color w:val="auto"/>
          <w:sz w:val="24"/>
          <w:szCs w:val="24"/>
        </w:rPr>
        <w:t xml:space="preserve"> rozwoju </w:t>
      </w:r>
      <w:r w:rsidR="009C2FDC" w:rsidRPr="00237760">
        <w:rPr>
          <w:rFonts w:ascii="Arial" w:hAnsi="Arial" w:cs="Arial"/>
          <w:i/>
          <w:color w:val="auto"/>
          <w:sz w:val="24"/>
          <w:szCs w:val="24"/>
        </w:rPr>
        <w:t>województwa</w:t>
      </w:r>
      <w:r w:rsidR="00C856A4" w:rsidRPr="00237760">
        <w:rPr>
          <w:rFonts w:ascii="Arial" w:hAnsi="Arial" w:cs="Arial"/>
          <w:i/>
          <w:color w:val="auto"/>
          <w:sz w:val="24"/>
          <w:szCs w:val="24"/>
        </w:rPr>
        <w:t xml:space="preserve"> </w:t>
      </w:r>
      <w:r w:rsidR="00BF5691" w:rsidRPr="00237760">
        <w:rPr>
          <w:rFonts w:ascii="Arial" w:hAnsi="Arial" w:cs="Arial"/>
          <w:i/>
          <w:color w:val="auto"/>
          <w:sz w:val="24"/>
          <w:szCs w:val="24"/>
        </w:rPr>
        <w:t>– Podkarpackie 203</w:t>
      </w:r>
      <w:r w:rsidR="00181C9F" w:rsidRPr="00237760">
        <w:rPr>
          <w:rFonts w:ascii="Arial" w:hAnsi="Arial" w:cs="Arial"/>
          <w:i/>
          <w:color w:val="auto"/>
          <w:sz w:val="24"/>
          <w:szCs w:val="24"/>
        </w:rPr>
        <w:t>0</w:t>
      </w:r>
      <w:r w:rsidR="00AE16A4" w:rsidRPr="00237760">
        <w:rPr>
          <w:rFonts w:ascii="Arial" w:hAnsi="Arial" w:cs="Arial"/>
          <w:color w:val="auto"/>
          <w:sz w:val="24"/>
          <w:szCs w:val="24"/>
        </w:rPr>
        <w:t xml:space="preserve"> (</w:t>
      </w:r>
      <w:r w:rsidRPr="00237760">
        <w:rPr>
          <w:rFonts w:ascii="Arial" w:hAnsi="Arial" w:cs="Arial"/>
          <w:color w:val="auto"/>
          <w:sz w:val="24"/>
          <w:szCs w:val="24"/>
        </w:rPr>
        <w:t>Dziemianowicz, Jurkiewicz, Cybulska 2019</w:t>
      </w:r>
      <w:r w:rsidR="004F72D2" w:rsidRPr="00237760">
        <w:rPr>
          <w:rFonts w:ascii="Arial" w:hAnsi="Arial" w:cs="Arial"/>
          <w:color w:val="auto"/>
          <w:sz w:val="24"/>
          <w:szCs w:val="24"/>
        </w:rPr>
        <w:t>)</w:t>
      </w:r>
      <w:r w:rsidR="00D955CA" w:rsidRPr="00237760">
        <w:rPr>
          <w:rFonts w:ascii="Arial" w:hAnsi="Arial" w:cs="Arial"/>
          <w:color w:val="auto"/>
          <w:sz w:val="24"/>
          <w:szCs w:val="24"/>
        </w:rPr>
        <w:t xml:space="preserve">, uzasadnione jest założenie, że elementy analizy SWOT (słabości, szanse i zagrożenia) stanowią </w:t>
      </w:r>
      <w:r w:rsidR="00964A64" w:rsidRPr="00237760">
        <w:rPr>
          <w:rFonts w:ascii="Arial" w:hAnsi="Arial" w:cs="Arial"/>
          <w:color w:val="auto"/>
          <w:sz w:val="24"/>
          <w:szCs w:val="24"/>
        </w:rPr>
        <w:t>właściwy punkt odniesienia</w:t>
      </w:r>
      <w:r w:rsidR="00436DEA" w:rsidRPr="00237760">
        <w:rPr>
          <w:rFonts w:ascii="Arial" w:hAnsi="Arial" w:cs="Arial"/>
          <w:color w:val="auto"/>
          <w:sz w:val="24"/>
          <w:szCs w:val="24"/>
        </w:rPr>
        <w:t xml:space="preserve"> do wyjaśnienia tego zagadnienia</w:t>
      </w:r>
      <w:r w:rsidR="00964A64" w:rsidRPr="00237760">
        <w:rPr>
          <w:rFonts w:ascii="Arial" w:hAnsi="Arial" w:cs="Arial"/>
          <w:color w:val="auto"/>
          <w:sz w:val="24"/>
          <w:szCs w:val="24"/>
        </w:rPr>
        <w:t>. Słabości województwa można traktować jako p</w:t>
      </w:r>
      <w:r w:rsidR="008D7AB3" w:rsidRPr="00237760">
        <w:rPr>
          <w:rFonts w:ascii="Arial" w:hAnsi="Arial" w:cs="Arial"/>
          <w:color w:val="auto"/>
          <w:sz w:val="24"/>
          <w:szCs w:val="24"/>
        </w:rPr>
        <w:t>roblemy</w:t>
      </w:r>
      <w:r w:rsidR="00964A64" w:rsidRPr="00237760">
        <w:rPr>
          <w:rFonts w:ascii="Arial" w:hAnsi="Arial" w:cs="Arial"/>
          <w:color w:val="auto"/>
          <w:sz w:val="24"/>
          <w:szCs w:val="24"/>
        </w:rPr>
        <w:t xml:space="preserve">, zaś </w:t>
      </w:r>
      <w:r w:rsidR="00F25707" w:rsidRPr="00237760">
        <w:rPr>
          <w:rFonts w:ascii="Arial" w:hAnsi="Arial" w:cs="Arial"/>
          <w:color w:val="auto"/>
          <w:sz w:val="24"/>
          <w:szCs w:val="24"/>
        </w:rPr>
        <w:t>szanse i zagrożenia</w:t>
      </w:r>
      <w:r w:rsidR="004D6A7E" w:rsidRPr="00237760">
        <w:rPr>
          <w:rFonts w:ascii="Arial" w:hAnsi="Arial" w:cs="Arial"/>
          <w:color w:val="auto"/>
          <w:sz w:val="24"/>
          <w:szCs w:val="24"/>
        </w:rPr>
        <w:t xml:space="preserve"> jako</w:t>
      </w:r>
      <w:r w:rsidR="00964A64" w:rsidRPr="00237760">
        <w:rPr>
          <w:rFonts w:ascii="Arial" w:hAnsi="Arial" w:cs="Arial"/>
          <w:color w:val="auto"/>
          <w:sz w:val="24"/>
          <w:szCs w:val="24"/>
        </w:rPr>
        <w:t xml:space="preserve"> </w:t>
      </w:r>
      <w:r w:rsidR="00C04622" w:rsidRPr="00237760">
        <w:rPr>
          <w:rFonts w:ascii="Arial" w:hAnsi="Arial" w:cs="Arial"/>
          <w:color w:val="auto"/>
          <w:sz w:val="24"/>
          <w:szCs w:val="24"/>
        </w:rPr>
        <w:t>wyzw</w:t>
      </w:r>
      <w:r w:rsidR="00693CDD" w:rsidRPr="00237760">
        <w:rPr>
          <w:rFonts w:ascii="Arial" w:hAnsi="Arial" w:cs="Arial"/>
          <w:color w:val="auto"/>
          <w:sz w:val="24"/>
          <w:szCs w:val="24"/>
        </w:rPr>
        <w:t xml:space="preserve">ania. </w:t>
      </w:r>
      <w:r w:rsidR="008743FB" w:rsidRPr="00237760">
        <w:rPr>
          <w:rFonts w:ascii="Arial" w:hAnsi="Arial" w:cs="Arial"/>
          <w:color w:val="auto"/>
          <w:sz w:val="24"/>
          <w:szCs w:val="24"/>
        </w:rPr>
        <w:t>Zestawienie</w:t>
      </w:r>
      <w:r w:rsidR="002D758A" w:rsidRPr="00237760">
        <w:rPr>
          <w:rFonts w:ascii="Arial" w:hAnsi="Arial" w:cs="Arial"/>
          <w:color w:val="auto"/>
          <w:sz w:val="24"/>
          <w:szCs w:val="24"/>
        </w:rPr>
        <w:t xml:space="preserve"> </w:t>
      </w:r>
      <w:r w:rsidR="00E53952" w:rsidRPr="00237760">
        <w:rPr>
          <w:rFonts w:ascii="Arial" w:hAnsi="Arial" w:cs="Arial"/>
          <w:color w:val="auto"/>
          <w:sz w:val="24"/>
          <w:szCs w:val="24"/>
        </w:rPr>
        <w:t xml:space="preserve">tych elementów zapisanych w Strategii rozwoju województwa </w:t>
      </w:r>
      <w:r w:rsidR="002D758A" w:rsidRPr="00237760">
        <w:rPr>
          <w:rFonts w:ascii="Arial" w:hAnsi="Arial" w:cs="Arial"/>
          <w:color w:val="auto"/>
          <w:sz w:val="24"/>
          <w:szCs w:val="24"/>
        </w:rPr>
        <w:t xml:space="preserve">z </w:t>
      </w:r>
      <w:r w:rsidR="0002649C" w:rsidRPr="00237760">
        <w:rPr>
          <w:rFonts w:ascii="Arial" w:hAnsi="Arial" w:cs="Arial"/>
          <w:color w:val="auto"/>
          <w:sz w:val="24"/>
          <w:szCs w:val="24"/>
        </w:rPr>
        <w:t xml:space="preserve">celami PSRT WP </w:t>
      </w:r>
      <w:r w:rsidR="00D07B96" w:rsidRPr="00237760">
        <w:rPr>
          <w:rFonts w:ascii="Arial" w:hAnsi="Arial" w:cs="Arial"/>
          <w:color w:val="auto"/>
          <w:sz w:val="24"/>
          <w:szCs w:val="24"/>
        </w:rPr>
        <w:t xml:space="preserve">pozwala stwierdzić, iż </w:t>
      </w:r>
      <w:r w:rsidR="00510196" w:rsidRPr="00237760">
        <w:rPr>
          <w:rFonts w:ascii="Arial" w:hAnsi="Arial" w:cs="Arial"/>
          <w:color w:val="auto"/>
          <w:sz w:val="24"/>
          <w:szCs w:val="24"/>
        </w:rPr>
        <w:t xml:space="preserve">Program </w:t>
      </w:r>
      <w:r w:rsidR="00741118" w:rsidRPr="00237760">
        <w:rPr>
          <w:rFonts w:ascii="Arial" w:hAnsi="Arial" w:cs="Arial"/>
          <w:color w:val="auto"/>
          <w:sz w:val="24"/>
          <w:szCs w:val="24"/>
        </w:rPr>
        <w:t xml:space="preserve">odpowiada na </w:t>
      </w:r>
      <w:r w:rsidR="00D631EF" w:rsidRPr="00237760">
        <w:rPr>
          <w:rFonts w:ascii="Arial" w:hAnsi="Arial" w:cs="Arial"/>
          <w:color w:val="auto"/>
          <w:sz w:val="24"/>
          <w:szCs w:val="24"/>
        </w:rPr>
        <w:t>obecną sytuację społeczno-ekonomiczną</w:t>
      </w:r>
      <w:r w:rsidR="00436DEA" w:rsidRPr="00237760">
        <w:rPr>
          <w:rFonts w:ascii="Arial" w:hAnsi="Arial" w:cs="Arial"/>
          <w:color w:val="auto"/>
          <w:sz w:val="24"/>
          <w:szCs w:val="24"/>
        </w:rPr>
        <w:t xml:space="preserve"> regionu</w:t>
      </w:r>
      <w:r w:rsidR="00084248" w:rsidRPr="00237760">
        <w:rPr>
          <w:rFonts w:ascii="Arial" w:hAnsi="Arial" w:cs="Arial"/>
          <w:color w:val="auto"/>
          <w:sz w:val="24"/>
          <w:szCs w:val="24"/>
        </w:rPr>
        <w:t xml:space="preserve"> (</w:t>
      </w:r>
      <w:r w:rsidR="00084248" w:rsidRPr="00237760">
        <w:rPr>
          <w:rFonts w:ascii="Arial" w:hAnsi="Arial" w:cs="Arial"/>
          <w:color w:val="auto"/>
          <w:sz w:val="24"/>
          <w:szCs w:val="24"/>
        </w:rPr>
        <w:fldChar w:fldCharType="begin"/>
      </w:r>
      <w:r w:rsidR="00084248" w:rsidRPr="00237760">
        <w:rPr>
          <w:rFonts w:ascii="Arial" w:hAnsi="Arial" w:cs="Arial"/>
          <w:color w:val="auto"/>
          <w:sz w:val="24"/>
          <w:szCs w:val="24"/>
        </w:rPr>
        <w:instrText xml:space="preserve"> REF _Ref96355099 \h </w:instrText>
      </w:r>
      <w:r w:rsidR="00BD2C03" w:rsidRPr="00237760">
        <w:rPr>
          <w:rFonts w:ascii="Arial" w:hAnsi="Arial" w:cs="Arial"/>
          <w:color w:val="auto"/>
          <w:sz w:val="24"/>
          <w:szCs w:val="24"/>
        </w:rPr>
        <w:instrText xml:space="preserve"> \* MERGEFORMAT </w:instrText>
      </w:r>
      <w:r w:rsidR="00084248" w:rsidRPr="00237760">
        <w:rPr>
          <w:rFonts w:ascii="Arial" w:hAnsi="Arial" w:cs="Arial"/>
          <w:color w:val="auto"/>
          <w:sz w:val="24"/>
          <w:szCs w:val="24"/>
        </w:rPr>
      </w:r>
      <w:r w:rsidR="00084248" w:rsidRPr="00237760">
        <w:rPr>
          <w:rFonts w:ascii="Arial" w:hAnsi="Arial" w:cs="Arial"/>
          <w:color w:val="auto"/>
          <w:sz w:val="24"/>
          <w:szCs w:val="24"/>
        </w:rPr>
        <w:fldChar w:fldCharType="separate"/>
      </w:r>
      <w:r w:rsidR="00E52C19" w:rsidRPr="00237760">
        <w:rPr>
          <w:rFonts w:ascii="Arial" w:hAnsi="Arial" w:cs="Arial"/>
          <w:color w:val="auto"/>
          <w:sz w:val="24"/>
          <w:szCs w:val="24"/>
        </w:rPr>
        <w:t xml:space="preserve">Tabela </w:t>
      </w:r>
      <w:r w:rsidR="00E52C19" w:rsidRPr="00237760">
        <w:rPr>
          <w:rFonts w:ascii="Arial" w:hAnsi="Arial" w:cs="Arial"/>
          <w:noProof/>
          <w:color w:val="auto"/>
          <w:sz w:val="24"/>
          <w:szCs w:val="24"/>
        </w:rPr>
        <w:t>3</w:t>
      </w:r>
      <w:r w:rsidR="00084248" w:rsidRPr="00237760">
        <w:rPr>
          <w:rFonts w:ascii="Arial" w:hAnsi="Arial" w:cs="Arial"/>
          <w:color w:val="auto"/>
          <w:sz w:val="24"/>
          <w:szCs w:val="24"/>
        </w:rPr>
        <w:fldChar w:fldCharType="end"/>
      </w:r>
      <w:r w:rsidR="00084248" w:rsidRPr="00237760">
        <w:rPr>
          <w:rFonts w:ascii="Arial" w:hAnsi="Arial" w:cs="Arial"/>
          <w:color w:val="auto"/>
          <w:sz w:val="24"/>
          <w:szCs w:val="24"/>
        </w:rPr>
        <w:t>).</w:t>
      </w:r>
    </w:p>
    <w:p w14:paraId="2FD52699" w14:textId="5B6C926C" w:rsidR="00922AE1" w:rsidRPr="00237760" w:rsidRDefault="00922AE1" w:rsidP="009367B4">
      <w:pPr>
        <w:pStyle w:val="Legenda"/>
        <w:jc w:val="left"/>
        <w:rPr>
          <w:rFonts w:ascii="Arial" w:hAnsi="Arial" w:cs="Arial"/>
          <w:color w:val="auto"/>
          <w:sz w:val="24"/>
          <w:szCs w:val="24"/>
        </w:rPr>
      </w:pPr>
      <w:bookmarkStart w:id="39" w:name="_Ref96355099"/>
      <w:bookmarkStart w:id="40" w:name="_Toc101904244"/>
      <w:r w:rsidRPr="00237760">
        <w:rPr>
          <w:rFonts w:ascii="Arial" w:hAnsi="Arial" w:cs="Arial"/>
          <w:color w:val="auto"/>
          <w:sz w:val="24"/>
          <w:szCs w:val="24"/>
        </w:rPr>
        <w:t xml:space="preserve">Tabela </w:t>
      </w:r>
      <w:r w:rsidRPr="00237760">
        <w:rPr>
          <w:rFonts w:ascii="Arial" w:hAnsi="Arial" w:cs="Arial"/>
          <w:noProof/>
          <w:color w:val="auto"/>
          <w:sz w:val="24"/>
          <w:szCs w:val="24"/>
        </w:rPr>
        <w:fldChar w:fldCharType="begin"/>
      </w:r>
      <w:r w:rsidRPr="00237760">
        <w:rPr>
          <w:rFonts w:ascii="Arial" w:hAnsi="Arial" w:cs="Arial"/>
          <w:noProof/>
          <w:color w:val="auto"/>
          <w:sz w:val="24"/>
          <w:szCs w:val="24"/>
        </w:rPr>
        <w:instrText xml:space="preserve"> SEQ Tabela \* ARABIC </w:instrText>
      </w:r>
      <w:r w:rsidRPr="00237760">
        <w:rPr>
          <w:rFonts w:ascii="Arial" w:hAnsi="Arial" w:cs="Arial"/>
          <w:noProof/>
          <w:color w:val="auto"/>
          <w:sz w:val="24"/>
          <w:szCs w:val="24"/>
        </w:rPr>
        <w:fldChar w:fldCharType="separate"/>
      </w:r>
      <w:r w:rsidR="00762B20" w:rsidRPr="00237760">
        <w:rPr>
          <w:rFonts w:ascii="Arial" w:hAnsi="Arial" w:cs="Arial"/>
          <w:noProof/>
          <w:color w:val="auto"/>
          <w:sz w:val="24"/>
          <w:szCs w:val="24"/>
        </w:rPr>
        <w:t>3</w:t>
      </w:r>
      <w:r w:rsidRPr="00237760">
        <w:rPr>
          <w:rFonts w:ascii="Arial" w:hAnsi="Arial" w:cs="Arial"/>
          <w:noProof/>
          <w:color w:val="auto"/>
          <w:sz w:val="24"/>
          <w:szCs w:val="24"/>
        </w:rPr>
        <w:fldChar w:fldCharType="end"/>
      </w:r>
      <w:bookmarkEnd w:id="35"/>
      <w:bookmarkEnd w:id="36"/>
      <w:bookmarkEnd w:id="39"/>
      <w:r w:rsidRPr="00237760">
        <w:rPr>
          <w:rFonts w:ascii="Arial" w:hAnsi="Arial" w:cs="Arial"/>
          <w:color w:val="auto"/>
          <w:sz w:val="24"/>
          <w:szCs w:val="24"/>
        </w:rPr>
        <w:t>. Wyzwania i potrzeby społeczno-gospodarcze województwa a PSRT WP</w:t>
      </w:r>
      <w:bookmarkEnd w:id="37"/>
      <w:bookmarkEnd w:id="38"/>
      <w:bookmarkEnd w:id="40"/>
      <w:r w:rsidRPr="00237760">
        <w:rPr>
          <w:rFonts w:ascii="Arial" w:hAnsi="Arial" w:cs="Arial"/>
          <w:color w:val="auto"/>
          <w:sz w:val="24"/>
          <w:szCs w:val="24"/>
        </w:rPr>
        <w:t xml:space="preserve"> </w:t>
      </w:r>
    </w:p>
    <w:tbl>
      <w:tblPr>
        <w:tblStyle w:val="Tabela-Siatka"/>
        <w:tblW w:w="9072"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57" w:type="dxa"/>
          <w:right w:w="57" w:type="dxa"/>
        </w:tblCellMar>
        <w:tblLook w:val="04A0" w:firstRow="1" w:lastRow="0" w:firstColumn="1" w:lastColumn="0" w:noHBand="0" w:noVBand="1"/>
        <w:tblCaption w:val="Tabela 3. Wyzwania i potrzeby społeczno-gospodarcze województwa a PSRT WP "/>
        <w:tblDescription w:val="Tabela zawiera Wyzwania i potrzeby regionu sformułowane w SRWP 2030 i Cele PSRT WP wpływające na sprostanie wyzwaniom oraz zaspokojenie potrzeb regionu"/>
      </w:tblPr>
      <w:tblGrid>
        <w:gridCol w:w="5670"/>
        <w:gridCol w:w="3402"/>
      </w:tblGrid>
      <w:tr w:rsidR="00237760" w:rsidRPr="00237760" w14:paraId="25EE1F54" w14:textId="77777777" w:rsidTr="009F6BD4">
        <w:trPr>
          <w:trHeight w:val="502"/>
          <w:tblHeader/>
        </w:trPr>
        <w:tc>
          <w:tcPr>
            <w:tcW w:w="5670" w:type="dxa"/>
            <w:tcBorders>
              <w:top w:val="single" w:sz="12" w:space="0" w:color="002060"/>
              <w:left w:val="nil"/>
              <w:bottom w:val="single" w:sz="4" w:space="0" w:color="BDD6EE" w:themeColor="accent1" w:themeTint="66"/>
              <w:right w:val="nil"/>
            </w:tcBorders>
            <w:shd w:val="clear" w:color="auto" w:fill="auto"/>
            <w:tcMar>
              <w:left w:w="28" w:type="dxa"/>
              <w:right w:w="28" w:type="dxa"/>
            </w:tcMar>
            <w:vAlign w:val="center"/>
          </w:tcPr>
          <w:p w14:paraId="1F3694F9" w14:textId="77777777" w:rsidR="00922AE1" w:rsidRPr="00237760" w:rsidRDefault="00922AE1"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Wyzwania i potrzeby regionu sformułowane w SRWP 2030</w:t>
            </w:r>
          </w:p>
        </w:tc>
        <w:tc>
          <w:tcPr>
            <w:tcW w:w="3402" w:type="dxa"/>
            <w:tcBorders>
              <w:top w:val="single" w:sz="12" w:space="0" w:color="002060"/>
              <w:left w:val="nil"/>
              <w:bottom w:val="single" w:sz="4" w:space="0" w:color="BDD6EE" w:themeColor="accent1" w:themeTint="66"/>
              <w:right w:val="nil"/>
            </w:tcBorders>
            <w:shd w:val="clear" w:color="auto" w:fill="auto"/>
            <w:tcMar>
              <w:left w:w="28" w:type="dxa"/>
              <w:right w:w="28" w:type="dxa"/>
            </w:tcMar>
            <w:vAlign w:val="center"/>
          </w:tcPr>
          <w:p w14:paraId="0BFDE2B0" w14:textId="313F9A13" w:rsidR="00922AE1" w:rsidRPr="00237760" w:rsidRDefault="008D439F"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Cele</w:t>
            </w:r>
            <w:r w:rsidR="00922AE1" w:rsidRPr="00237760">
              <w:rPr>
                <w:rFonts w:ascii="Arial" w:hAnsi="Arial" w:cs="Arial"/>
                <w:b/>
                <w:color w:val="auto"/>
                <w:sz w:val="24"/>
                <w:szCs w:val="24"/>
              </w:rPr>
              <w:t xml:space="preserve"> PSRT WP </w:t>
            </w:r>
            <w:r w:rsidRPr="00237760">
              <w:rPr>
                <w:rFonts w:ascii="Arial" w:hAnsi="Arial" w:cs="Arial"/>
                <w:b/>
                <w:color w:val="auto"/>
                <w:sz w:val="24"/>
                <w:szCs w:val="24"/>
              </w:rPr>
              <w:t>wpływające</w:t>
            </w:r>
            <w:r w:rsidR="00922AE1" w:rsidRPr="00237760">
              <w:rPr>
                <w:rFonts w:ascii="Arial" w:hAnsi="Arial" w:cs="Arial"/>
                <w:b/>
                <w:color w:val="auto"/>
                <w:sz w:val="24"/>
                <w:szCs w:val="24"/>
              </w:rPr>
              <w:t xml:space="preserve"> na sprostanie wyzwaniom oraz </w:t>
            </w:r>
            <w:r w:rsidRPr="00237760">
              <w:rPr>
                <w:rFonts w:ascii="Arial" w:hAnsi="Arial" w:cs="Arial"/>
                <w:b/>
                <w:color w:val="auto"/>
                <w:sz w:val="24"/>
                <w:szCs w:val="24"/>
              </w:rPr>
              <w:t>zaspokojenie</w:t>
            </w:r>
            <w:r w:rsidR="00922AE1" w:rsidRPr="00237760">
              <w:rPr>
                <w:rFonts w:ascii="Arial" w:hAnsi="Arial" w:cs="Arial"/>
                <w:b/>
                <w:color w:val="auto"/>
                <w:sz w:val="24"/>
                <w:szCs w:val="24"/>
              </w:rPr>
              <w:t xml:space="preserve"> potrzeb regionu</w:t>
            </w:r>
          </w:p>
        </w:tc>
      </w:tr>
      <w:tr w:rsidR="00237760" w:rsidRPr="00237760" w14:paraId="21A2088D" w14:textId="77777777" w:rsidTr="009F6BD4">
        <w:trPr>
          <w:trHeight w:val="151"/>
        </w:trPr>
        <w:tc>
          <w:tcPr>
            <w:tcW w:w="5670" w:type="dxa"/>
            <w:tcBorders>
              <w:top w:val="single" w:sz="4" w:space="0" w:color="BDD6EE" w:themeColor="accent1" w:themeTint="66"/>
              <w:left w:val="nil"/>
              <w:right w:val="nil"/>
            </w:tcBorders>
            <w:shd w:val="clear" w:color="auto" w:fill="auto"/>
            <w:tcMar>
              <w:left w:w="28" w:type="dxa"/>
              <w:right w:w="28" w:type="dxa"/>
            </w:tcMar>
            <w:vAlign w:val="center"/>
          </w:tcPr>
          <w:p w14:paraId="3B34A57E" w14:textId="77777777" w:rsidR="00922AE1" w:rsidRPr="00237760" w:rsidRDefault="00922AE1"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SŁABOŚCI WOJEWÓDZTWA</w:t>
            </w:r>
          </w:p>
        </w:tc>
        <w:tc>
          <w:tcPr>
            <w:tcW w:w="3402" w:type="dxa"/>
            <w:tcBorders>
              <w:top w:val="single" w:sz="4" w:space="0" w:color="BDD6EE" w:themeColor="accent1" w:themeTint="66"/>
              <w:left w:val="nil"/>
              <w:right w:val="nil"/>
            </w:tcBorders>
            <w:shd w:val="clear" w:color="auto" w:fill="auto"/>
            <w:tcMar>
              <w:left w:w="28" w:type="dxa"/>
              <w:right w:w="28" w:type="dxa"/>
            </w:tcMar>
          </w:tcPr>
          <w:p w14:paraId="6DBDB3A7" w14:textId="77777777" w:rsidR="00922AE1" w:rsidRPr="00237760" w:rsidRDefault="00922AE1" w:rsidP="009367B4">
            <w:pPr>
              <w:spacing w:after="0" w:line="240" w:lineRule="auto"/>
              <w:ind w:left="57" w:right="57"/>
              <w:jc w:val="left"/>
              <w:rPr>
                <w:rFonts w:ascii="Arial" w:hAnsi="Arial" w:cs="Arial"/>
                <w:color w:val="auto"/>
                <w:sz w:val="24"/>
                <w:szCs w:val="24"/>
              </w:rPr>
            </w:pPr>
          </w:p>
        </w:tc>
      </w:tr>
      <w:tr w:rsidR="00237760" w:rsidRPr="00237760" w14:paraId="5F822574" w14:textId="77777777" w:rsidTr="00237760">
        <w:trPr>
          <w:trHeight w:val="151"/>
        </w:trPr>
        <w:tc>
          <w:tcPr>
            <w:tcW w:w="5670" w:type="dxa"/>
            <w:tcBorders>
              <w:top w:val="single" w:sz="4" w:space="0" w:color="BDD6EE" w:themeColor="accent1" w:themeTint="66"/>
              <w:left w:val="nil"/>
              <w:right w:val="nil"/>
            </w:tcBorders>
            <w:tcMar>
              <w:left w:w="28" w:type="dxa"/>
              <w:right w:w="28" w:type="dxa"/>
            </w:tcMar>
            <w:vAlign w:val="center"/>
          </w:tcPr>
          <w:p w14:paraId="68982AC8" w14:textId="39037AE5" w:rsidR="00922AE1" w:rsidRPr="00237760" w:rsidRDefault="00922AE1" w:rsidP="009367B4">
            <w:pPr>
              <w:spacing w:after="0" w:line="240" w:lineRule="auto"/>
              <w:ind w:left="57" w:right="57"/>
              <w:jc w:val="left"/>
              <w:rPr>
                <w:rFonts w:ascii="Arial" w:hAnsi="Arial" w:cs="Arial"/>
                <w:b/>
                <w:color w:val="auto"/>
                <w:sz w:val="24"/>
                <w:szCs w:val="24"/>
              </w:rPr>
            </w:pPr>
            <w:bookmarkStart w:id="41" w:name="_Hlk88513161"/>
            <w:r w:rsidRPr="00237760">
              <w:rPr>
                <w:rFonts w:ascii="Arial" w:hAnsi="Arial" w:cs="Arial"/>
                <w:color w:val="auto"/>
                <w:sz w:val="24"/>
                <w:szCs w:val="24"/>
              </w:rPr>
              <w:t>Niewystarczająca liczba markowych, wysokostandardowych produktów turystycznych oraz słaba infrastruktura turystyczna</w:t>
            </w:r>
            <w:bookmarkEnd w:id="41"/>
          </w:p>
        </w:tc>
        <w:tc>
          <w:tcPr>
            <w:tcW w:w="3402" w:type="dxa"/>
            <w:tcBorders>
              <w:top w:val="single" w:sz="4" w:space="0" w:color="BDD6EE" w:themeColor="accent1" w:themeTint="66"/>
              <w:left w:val="nil"/>
              <w:right w:val="nil"/>
            </w:tcBorders>
            <w:tcMar>
              <w:left w:w="28" w:type="dxa"/>
              <w:right w:w="28" w:type="dxa"/>
            </w:tcMar>
            <w:vAlign w:val="center"/>
          </w:tcPr>
          <w:p w14:paraId="30283F31" w14:textId="0BCBE053" w:rsidR="00DA10A7" w:rsidRPr="00237760" w:rsidRDefault="00AB5031"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Częściowo</w:t>
            </w:r>
            <w:r w:rsidR="003C71EF" w:rsidRPr="00237760">
              <w:rPr>
                <w:rFonts w:ascii="Arial" w:hAnsi="Arial" w:cs="Arial"/>
                <w:color w:val="auto"/>
                <w:sz w:val="24"/>
                <w:szCs w:val="24"/>
              </w:rPr>
              <w:t xml:space="preserve"> </w:t>
            </w:r>
            <w:r w:rsidR="00DA10A7" w:rsidRPr="00237760">
              <w:rPr>
                <w:rFonts w:ascii="Arial" w:hAnsi="Arial" w:cs="Arial"/>
                <w:color w:val="auto"/>
                <w:sz w:val="24"/>
                <w:szCs w:val="24"/>
              </w:rPr>
              <w:t xml:space="preserve">Cel podstawowy 2. Transportowa spójność wewnętrzna </w:t>
            </w:r>
          </w:p>
          <w:p w14:paraId="00873ED5" w14:textId="37B1366E" w:rsidR="00922AE1" w:rsidRPr="00237760" w:rsidRDefault="00DA10A7"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lastRenderedPageBreak/>
              <w:t xml:space="preserve">Częściowo </w:t>
            </w:r>
            <w:r w:rsidR="003C71EF" w:rsidRPr="00237760">
              <w:rPr>
                <w:rFonts w:ascii="Arial" w:hAnsi="Arial" w:cs="Arial"/>
                <w:color w:val="auto"/>
                <w:sz w:val="24"/>
                <w:szCs w:val="24"/>
              </w:rPr>
              <w:t>Cel horyzontalny 3. Transport publiczny</w:t>
            </w:r>
          </w:p>
        </w:tc>
      </w:tr>
      <w:tr w:rsidR="00237760" w:rsidRPr="00237760" w14:paraId="211E59B7" w14:textId="77777777" w:rsidTr="00237760">
        <w:trPr>
          <w:trHeight w:val="151"/>
        </w:trPr>
        <w:tc>
          <w:tcPr>
            <w:tcW w:w="5670" w:type="dxa"/>
            <w:tcBorders>
              <w:top w:val="single" w:sz="4" w:space="0" w:color="BDD6EE" w:themeColor="accent1" w:themeTint="66"/>
              <w:left w:val="nil"/>
              <w:right w:val="nil"/>
            </w:tcBorders>
            <w:tcMar>
              <w:left w:w="28" w:type="dxa"/>
              <w:right w:w="28" w:type="dxa"/>
            </w:tcMar>
            <w:vAlign w:val="center"/>
          </w:tcPr>
          <w:p w14:paraId="1EE3B633" w14:textId="77777777" w:rsidR="00922AE1" w:rsidRPr="00237760" w:rsidRDefault="00922AE1" w:rsidP="009367B4">
            <w:pPr>
              <w:spacing w:after="0" w:line="240" w:lineRule="auto"/>
              <w:ind w:left="57" w:right="57"/>
              <w:jc w:val="left"/>
              <w:rPr>
                <w:rFonts w:ascii="Arial" w:hAnsi="Arial" w:cs="Arial"/>
                <w:b/>
                <w:color w:val="auto"/>
                <w:sz w:val="24"/>
                <w:szCs w:val="24"/>
              </w:rPr>
            </w:pPr>
            <w:r w:rsidRPr="00237760">
              <w:rPr>
                <w:rFonts w:ascii="Arial" w:hAnsi="Arial" w:cs="Arial"/>
                <w:color w:val="auto"/>
                <w:sz w:val="24"/>
                <w:szCs w:val="24"/>
              </w:rPr>
              <w:lastRenderedPageBreak/>
              <w:t>Zróżnicowanie jakości życia (pod względem ekonomicznym i dostępu do usług publicznych) w układzie miasto-wieś i na poziomie subregionalnym (północ-południe)</w:t>
            </w:r>
          </w:p>
        </w:tc>
        <w:tc>
          <w:tcPr>
            <w:tcW w:w="3402" w:type="dxa"/>
            <w:tcBorders>
              <w:top w:val="single" w:sz="4" w:space="0" w:color="BDD6EE" w:themeColor="accent1" w:themeTint="66"/>
              <w:left w:val="nil"/>
              <w:right w:val="nil"/>
            </w:tcBorders>
            <w:tcMar>
              <w:left w:w="28" w:type="dxa"/>
              <w:right w:w="28" w:type="dxa"/>
            </w:tcMar>
            <w:vAlign w:val="center"/>
          </w:tcPr>
          <w:p w14:paraId="20D1866A" w14:textId="2A247C4F" w:rsidR="00922AE1" w:rsidRPr="00237760" w:rsidRDefault="000C6A97"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 xml:space="preserve">Częściowo Cel podstawowy 2. Transportowa spójność wewnętrzna </w:t>
            </w:r>
          </w:p>
        </w:tc>
      </w:tr>
      <w:tr w:rsidR="00237760" w:rsidRPr="00237760" w14:paraId="77182C70" w14:textId="77777777" w:rsidTr="00237760">
        <w:trPr>
          <w:trHeight w:val="151"/>
        </w:trPr>
        <w:tc>
          <w:tcPr>
            <w:tcW w:w="5670" w:type="dxa"/>
            <w:tcBorders>
              <w:top w:val="single" w:sz="4" w:space="0" w:color="BDD6EE" w:themeColor="accent1" w:themeTint="66"/>
              <w:left w:val="nil"/>
              <w:right w:val="nil"/>
            </w:tcBorders>
            <w:tcMar>
              <w:left w:w="28" w:type="dxa"/>
              <w:right w:w="28" w:type="dxa"/>
            </w:tcMar>
            <w:vAlign w:val="center"/>
          </w:tcPr>
          <w:p w14:paraId="246486B7" w14:textId="77777777" w:rsidR="00922AE1" w:rsidRPr="00237760" w:rsidRDefault="00922AE1"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Nierówne tempo rozwoju poszczególnych subregionów wewnątrz województwa</w:t>
            </w:r>
          </w:p>
        </w:tc>
        <w:tc>
          <w:tcPr>
            <w:tcW w:w="3402" w:type="dxa"/>
            <w:tcBorders>
              <w:top w:val="single" w:sz="4" w:space="0" w:color="BDD6EE" w:themeColor="accent1" w:themeTint="66"/>
              <w:left w:val="nil"/>
              <w:right w:val="nil"/>
            </w:tcBorders>
            <w:tcMar>
              <w:left w:w="28" w:type="dxa"/>
              <w:right w:w="28" w:type="dxa"/>
            </w:tcMar>
            <w:vAlign w:val="center"/>
          </w:tcPr>
          <w:p w14:paraId="2ACF1E91" w14:textId="77777777" w:rsidR="00922AE1" w:rsidRPr="00237760" w:rsidRDefault="000C6A97"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 xml:space="preserve">Częściowo Cel podstawowy 2. Transportowa spójność wewnętrzna </w:t>
            </w:r>
          </w:p>
          <w:p w14:paraId="36084A53" w14:textId="66D478CA" w:rsidR="0005210B" w:rsidRPr="00237760" w:rsidRDefault="0005210B"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Częściowo Cel podstawowy 3. Integracja MOF</w:t>
            </w:r>
          </w:p>
        </w:tc>
      </w:tr>
      <w:tr w:rsidR="00237760" w:rsidRPr="00237760" w14:paraId="31E7E9DD" w14:textId="77777777" w:rsidTr="00237760">
        <w:trPr>
          <w:trHeight w:val="151"/>
        </w:trPr>
        <w:tc>
          <w:tcPr>
            <w:tcW w:w="5670" w:type="dxa"/>
            <w:tcBorders>
              <w:top w:val="single" w:sz="4" w:space="0" w:color="BDD6EE" w:themeColor="accent1" w:themeTint="66"/>
              <w:left w:val="nil"/>
              <w:right w:val="nil"/>
            </w:tcBorders>
            <w:tcMar>
              <w:left w:w="28" w:type="dxa"/>
              <w:right w:w="28" w:type="dxa"/>
            </w:tcMar>
            <w:vAlign w:val="center"/>
          </w:tcPr>
          <w:p w14:paraId="67BD6E84" w14:textId="77777777" w:rsidR="00922AE1" w:rsidRPr="00237760" w:rsidRDefault="00922AE1" w:rsidP="009367B4">
            <w:pPr>
              <w:spacing w:after="0" w:line="240" w:lineRule="auto"/>
              <w:ind w:left="57" w:right="57"/>
              <w:jc w:val="left"/>
              <w:rPr>
                <w:rFonts w:ascii="Arial" w:hAnsi="Arial" w:cs="Arial"/>
                <w:b/>
                <w:color w:val="auto"/>
                <w:sz w:val="24"/>
                <w:szCs w:val="24"/>
              </w:rPr>
            </w:pPr>
            <w:r w:rsidRPr="00237760">
              <w:rPr>
                <w:rFonts w:ascii="Arial" w:hAnsi="Arial" w:cs="Arial"/>
                <w:color w:val="auto"/>
                <w:sz w:val="24"/>
                <w:szCs w:val="24"/>
              </w:rPr>
              <w:t>Brak bezpośredniego połączenia drogowego i kolejowego ze stolicą kraju oraz niewystarczająca sieć drogowa, szczególnie w kierunku południowym (słaba dostępność komunikacyjna tej części regionu)</w:t>
            </w:r>
          </w:p>
        </w:tc>
        <w:tc>
          <w:tcPr>
            <w:tcW w:w="3402" w:type="dxa"/>
            <w:tcBorders>
              <w:top w:val="single" w:sz="4" w:space="0" w:color="BDD6EE" w:themeColor="accent1" w:themeTint="66"/>
              <w:left w:val="nil"/>
              <w:right w:val="nil"/>
            </w:tcBorders>
            <w:tcMar>
              <w:left w:w="28" w:type="dxa"/>
              <w:right w:w="28" w:type="dxa"/>
            </w:tcMar>
            <w:vAlign w:val="center"/>
          </w:tcPr>
          <w:p w14:paraId="6B242559" w14:textId="77777777" w:rsidR="00922AE1" w:rsidRPr="00237760" w:rsidRDefault="003E7C65"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Cel podstawowy 1.Dostępność zewnętrzna</w:t>
            </w:r>
          </w:p>
          <w:p w14:paraId="6945B2C4" w14:textId="41F874D4" w:rsidR="0005210B" w:rsidRPr="00237760" w:rsidRDefault="0005210B"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 xml:space="preserve">Częściowo Cel podstawowy 2. Transportowa spójność wewnętrzna </w:t>
            </w:r>
          </w:p>
        </w:tc>
      </w:tr>
      <w:tr w:rsidR="00237760" w:rsidRPr="00237760" w14:paraId="4B46C544" w14:textId="77777777" w:rsidTr="00237760">
        <w:trPr>
          <w:trHeight w:val="151"/>
        </w:trPr>
        <w:tc>
          <w:tcPr>
            <w:tcW w:w="5670" w:type="dxa"/>
            <w:tcBorders>
              <w:top w:val="single" w:sz="4" w:space="0" w:color="BDD6EE" w:themeColor="accent1" w:themeTint="66"/>
              <w:left w:val="nil"/>
              <w:right w:val="nil"/>
            </w:tcBorders>
            <w:tcMar>
              <w:left w:w="28" w:type="dxa"/>
              <w:right w:w="28" w:type="dxa"/>
            </w:tcMar>
            <w:vAlign w:val="center"/>
          </w:tcPr>
          <w:p w14:paraId="290382E7" w14:textId="77777777" w:rsidR="00922AE1" w:rsidRPr="00237760" w:rsidRDefault="00922AE1" w:rsidP="009367B4">
            <w:pPr>
              <w:spacing w:after="0" w:line="240" w:lineRule="auto"/>
              <w:ind w:left="57" w:right="57"/>
              <w:jc w:val="left"/>
              <w:rPr>
                <w:rFonts w:ascii="Arial" w:hAnsi="Arial" w:cs="Arial"/>
                <w:b/>
                <w:color w:val="auto"/>
                <w:sz w:val="24"/>
                <w:szCs w:val="24"/>
              </w:rPr>
            </w:pPr>
            <w:r w:rsidRPr="00237760">
              <w:rPr>
                <w:rFonts w:ascii="Arial" w:hAnsi="Arial" w:cs="Arial"/>
                <w:color w:val="auto"/>
                <w:sz w:val="24"/>
                <w:szCs w:val="24"/>
              </w:rPr>
              <w:t>Niezadowalająca jakość lub brak transportu publicznego na obszarach wiejskich oraz słabe zintegrowanie różnych form transportu</w:t>
            </w:r>
          </w:p>
        </w:tc>
        <w:tc>
          <w:tcPr>
            <w:tcW w:w="3402" w:type="dxa"/>
            <w:tcBorders>
              <w:top w:val="single" w:sz="4" w:space="0" w:color="BDD6EE" w:themeColor="accent1" w:themeTint="66"/>
              <w:left w:val="nil"/>
              <w:right w:val="nil"/>
            </w:tcBorders>
            <w:tcMar>
              <w:left w:w="28" w:type="dxa"/>
              <w:right w:w="28" w:type="dxa"/>
            </w:tcMar>
            <w:vAlign w:val="center"/>
          </w:tcPr>
          <w:p w14:paraId="6914FDFB" w14:textId="6870B3A7" w:rsidR="00457134" w:rsidRPr="00237760" w:rsidRDefault="00457134"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3EFF933F" w14:textId="77777777" w:rsidR="00922AE1" w:rsidRPr="00237760" w:rsidRDefault="00397497"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p w14:paraId="06C19391" w14:textId="6DC09C12" w:rsidR="00187694" w:rsidRPr="00237760" w:rsidRDefault="00187694"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Częściowo Cel horyzontalny 2. Wzmocnienie rozwiązań multimodalnych</w:t>
            </w:r>
          </w:p>
        </w:tc>
      </w:tr>
      <w:tr w:rsidR="00237760" w:rsidRPr="00237760" w14:paraId="3EDF6D02" w14:textId="77777777" w:rsidTr="001E558C">
        <w:trPr>
          <w:trHeight w:val="151"/>
        </w:trPr>
        <w:tc>
          <w:tcPr>
            <w:tcW w:w="5670" w:type="dxa"/>
            <w:tcBorders>
              <w:top w:val="single" w:sz="4" w:space="0" w:color="BDD6EE" w:themeColor="accent1" w:themeTint="66"/>
              <w:left w:val="nil"/>
              <w:right w:val="nil"/>
            </w:tcBorders>
            <w:shd w:val="clear" w:color="auto" w:fill="auto"/>
            <w:tcMar>
              <w:left w:w="28" w:type="dxa"/>
              <w:right w:w="28" w:type="dxa"/>
            </w:tcMar>
            <w:vAlign w:val="center"/>
          </w:tcPr>
          <w:p w14:paraId="6C7EDCDB" w14:textId="77777777" w:rsidR="00922AE1" w:rsidRPr="00237760" w:rsidRDefault="00922AE1"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SZANSE</w:t>
            </w:r>
          </w:p>
        </w:tc>
        <w:tc>
          <w:tcPr>
            <w:tcW w:w="3402" w:type="dxa"/>
            <w:tcBorders>
              <w:top w:val="single" w:sz="4" w:space="0" w:color="BDD6EE" w:themeColor="accent1" w:themeTint="66"/>
              <w:left w:val="nil"/>
              <w:right w:val="nil"/>
            </w:tcBorders>
            <w:shd w:val="clear" w:color="auto" w:fill="auto"/>
            <w:tcMar>
              <w:left w:w="28" w:type="dxa"/>
              <w:right w:w="28" w:type="dxa"/>
            </w:tcMar>
            <w:vAlign w:val="center"/>
          </w:tcPr>
          <w:p w14:paraId="59EB9C7E" w14:textId="77777777" w:rsidR="00922AE1" w:rsidRPr="00237760" w:rsidRDefault="00922AE1" w:rsidP="009367B4">
            <w:pPr>
              <w:spacing w:after="0" w:line="240" w:lineRule="auto"/>
              <w:ind w:left="57" w:right="57"/>
              <w:jc w:val="left"/>
              <w:rPr>
                <w:rFonts w:ascii="Arial" w:hAnsi="Arial" w:cs="Arial"/>
                <w:color w:val="auto"/>
                <w:sz w:val="24"/>
                <w:szCs w:val="24"/>
              </w:rPr>
            </w:pPr>
          </w:p>
        </w:tc>
      </w:tr>
      <w:tr w:rsidR="00237760" w:rsidRPr="00237760" w14:paraId="7C2AC496" w14:textId="77777777" w:rsidTr="00237760">
        <w:trPr>
          <w:trHeight w:val="151"/>
        </w:trPr>
        <w:tc>
          <w:tcPr>
            <w:tcW w:w="5670" w:type="dxa"/>
            <w:tcBorders>
              <w:top w:val="single" w:sz="4" w:space="0" w:color="BDD6EE" w:themeColor="accent1" w:themeTint="66"/>
              <w:left w:val="nil"/>
              <w:right w:val="nil"/>
            </w:tcBorders>
            <w:tcMar>
              <w:left w:w="28" w:type="dxa"/>
              <w:right w:w="28" w:type="dxa"/>
            </w:tcMar>
            <w:vAlign w:val="center"/>
          </w:tcPr>
          <w:p w14:paraId="1632F4F8" w14:textId="77777777" w:rsidR="00922AE1" w:rsidRPr="00237760" w:rsidRDefault="00922AE1" w:rsidP="009367B4">
            <w:pPr>
              <w:spacing w:after="0" w:line="240" w:lineRule="auto"/>
              <w:ind w:left="57" w:right="57"/>
              <w:jc w:val="left"/>
              <w:rPr>
                <w:rFonts w:ascii="Arial" w:hAnsi="Arial" w:cs="Arial"/>
                <w:bCs/>
                <w:color w:val="auto"/>
                <w:sz w:val="24"/>
                <w:szCs w:val="24"/>
              </w:rPr>
            </w:pPr>
            <w:r w:rsidRPr="00237760">
              <w:rPr>
                <w:rFonts w:ascii="Arial" w:hAnsi="Arial" w:cs="Arial"/>
                <w:bCs/>
                <w:color w:val="auto"/>
                <w:sz w:val="24"/>
                <w:szCs w:val="24"/>
              </w:rPr>
              <w:t>Dobre skomunikowanie z województwami małopolskim, śląskim, opolskim i dolnośląskim – wzmocnienie współpracy pomiędzy firmami z województw południowych</w:t>
            </w:r>
          </w:p>
        </w:tc>
        <w:tc>
          <w:tcPr>
            <w:tcW w:w="3402" w:type="dxa"/>
            <w:tcBorders>
              <w:top w:val="single" w:sz="4" w:space="0" w:color="BDD6EE" w:themeColor="accent1" w:themeTint="66"/>
              <w:left w:val="nil"/>
              <w:right w:val="nil"/>
            </w:tcBorders>
            <w:tcMar>
              <w:left w:w="28" w:type="dxa"/>
              <w:right w:w="28" w:type="dxa"/>
            </w:tcMar>
            <w:vAlign w:val="center"/>
          </w:tcPr>
          <w:p w14:paraId="3BEC8804" w14:textId="4C156CDB" w:rsidR="00922AE1" w:rsidRPr="00237760" w:rsidRDefault="00216596"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 xml:space="preserve">Częściowo </w:t>
            </w:r>
            <w:r w:rsidR="00D93060" w:rsidRPr="00237760">
              <w:rPr>
                <w:rFonts w:ascii="Arial" w:hAnsi="Arial" w:cs="Arial"/>
                <w:color w:val="auto"/>
                <w:sz w:val="24"/>
                <w:szCs w:val="24"/>
              </w:rPr>
              <w:t>Cel podstawowy 1. Dostępność zewnętrzna</w:t>
            </w:r>
          </w:p>
        </w:tc>
      </w:tr>
      <w:tr w:rsidR="00237760" w:rsidRPr="00237760" w14:paraId="19D70E80" w14:textId="77777777" w:rsidTr="00237760">
        <w:trPr>
          <w:trHeight w:val="151"/>
        </w:trPr>
        <w:tc>
          <w:tcPr>
            <w:tcW w:w="5670" w:type="dxa"/>
            <w:tcBorders>
              <w:top w:val="single" w:sz="4" w:space="0" w:color="BDD6EE" w:themeColor="accent1" w:themeTint="66"/>
              <w:left w:val="nil"/>
              <w:right w:val="nil"/>
            </w:tcBorders>
            <w:tcMar>
              <w:left w:w="28" w:type="dxa"/>
              <w:right w:w="28" w:type="dxa"/>
            </w:tcMar>
            <w:vAlign w:val="center"/>
          </w:tcPr>
          <w:p w14:paraId="0FC4A51B" w14:textId="77777777" w:rsidR="00922AE1" w:rsidRPr="00237760" w:rsidRDefault="00922AE1" w:rsidP="009367B4">
            <w:pPr>
              <w:spacing w:after="0" w:line="240" w:lineRule="auto"/>
              <w:ind w:left="57" w:right="57"/>
              <w:jc w:val="left"/>
              <w:rPr>
                <w:rFonts w:ascii="Arial" w:hAnsi="Arial" w:cs="Arial"/>
                <w:bCs/>
                <w:color w:val="auto"/>
                <w:sz w:val="24"/>
                <w:szCs w:val="24"/>
              </w:rPr>
            </w:pPr>
            <w:r w:rsidRPr="00237760">
              <w:rPr>
                <w:rFonts w:ascii="Arial" w:hAnsi="Arial" w:cs="Arial"/>
                <w:bCs/>
                <w:color w:val="auto"/>
                <w:sz w:val="24"/>
                <w:szCs w:val="24"/>
              </w:rPr>
              <w:t>Rozwój powiązań gospodarczych w układzie północ-południe poprzez realizację szlaku komunikacyjnego Via Carpatia</w:t>
            </w:r>
          </w:p>
        </w:tc>
        <w:tc>
          <w:tcPr>
            <w:tcW w:w="3402" w:type="dxa"/>
            <w:tcBorders>
              <w:top w:val="single" w:sz="4" w:space="0" w:color="BDD6EE" w:themeColor="accent1" w:themeTint="66"/>
              <w:left w:val="nil"/>
              <w:right w:val="nil"/>
            </w:tcBorders>
            <w:tcMar>
              <w:left w:w="28" w:type="dxa"/>
              <w:right w:w="28" w:type="dxa"/>
            </w:tcMar>
            <w:vAlign w:val="center"/>
          </w:tcPr>
          <w:p w14:paraId="05FEC4F8" w14:textId="5051042E" w:rsidR="00922AE1" w:rsidRPr="00237760" w:rsidRDefault="00FD58D2"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tc>
      </w:tr>
      <w:tr w:rsidR="00237760" w:rsidRPr="00237760" w14:paraId="5C78E6C3" w14:textId="77777777" w:rsidTr="00237760">
        <w:trPr>
          <w:trHeight w:val="151"/>
        </w:trPr>
        <w:tc>
          <w:tcPr>
            <w:tcW w:w="5670" w:type="dxa"/>
            <w:tcBorders>
              <w:top w:val="single" w:sz="4" w:space="0" w:color="BDD6EE" w:themeColor="accent1" w:themeTint="66"/>
              <w:left w:val="nil"/>
              <w:right w:val="nil"/>
            </w:tcBorders>
            <w:tcMar>
              <w:left w:w="28" w:type="dxa"/>
              <w:right w:w="28" w:type="dxa"/>
            </w:tcMar>
            <w:vAlign w:val="center"/>
          </w:tcPr>
          <w:p w14:paraId="6A540503" w14:textId="77777777" w:rsidR="00922AE1" w:rsidRPr="00237760" w:rsidRDefault="00922AE1" w:rsidP="009367B4">
            <w:pPr>
              <w:spacing w:after="0" w:line="240" w:lineRule="auto"/>
              <w:ind w:left="57" w:right="57"/>
              <w:jc w:val="left"/>
              <w:rPr>
                <w:rFonts w:ascii="Arial" w:hAnsi="Arial" w:cs="Arial"/>
                <w:bCs/>
                <w:color w:val="auto"/>
                <w:sz w:val="24"/>
                <w:szCs w:val="24"/>
              </w:rPr>
            </w:pPr>
            <w:r w:rsidRPr="00237760">
              <w:rPr>
                <w:rFonts w:ascii="Arial" w:hAnsi="Arial" w:cs="Arial"/>
                <w:bCs/>
                <w:color w:val="auto"/>
                <w:sz w:val="24"/>
                <w:szCs w:val="24"/>
              </w:rPr>
              <w:t>Umiejętne wykorzystywanie dostępnych środków zewnętrznych (w tym europejskich) na cele rozwojowe województwa</w:t>
            </w:r>
          </w:p>
        </w:tc>
        <w:tc>
          <w:tcPr>
            <w:tcW w:w="3402" w:type="dxa"/>
            <w:tcBorders>
              <w:top w:val="single" w:sz="4" w:space="0" w:color="BDD6EE" w:themeColor="accent1" w:themeTint="66"/>
              <w:left w:val="nil"/>
              <w:right w:val="nil"/>
            </w:tcBorders>
            <w:tcMar>
              <w:left w:w="28" w:type="dxa"/>
              <w:right w:w="28" w:type="dxa"/>
            </w:tcMar>
            <w:vAlign w:val="center"/>
          </w:tcPr>
          <w:p w14:paraId="2937CB24" w14:textId="00E8037A" w:rsidR="00922AE1" w:rsidRPr="00237760" w:rsidRDefault="00CC37BA"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Wszystkie cele</w:t>
            </w:r>
          </w:p>
        </w:tc>
      </w:tr>
      <w:tr w:rsidR="00237760" w:rsidRPr="00237760" w14:paraId="7C7DFA88" w14:textId="77777777" w:rsidTr="00237760">
        <w:trPr>
          <w:trHeight w:val="151"/>
        </w:trPr>
        <w:tc>
          <w:tcPr>
            <w:tcW w:w="5670" w:type="dxa"/>
            <w:tcBorders>
              <w:top w:val="single" w:sz="4" w:space="0" w:color="BDD6EE" w:themeColor="accent1" w:themeTint="66"/>
              <w:left w:val="nil"/>
              <w:right w:val="nil"/>
            </w:tcBorders>
            <w:tcMar>
              <w:left w:w="28" w:type="dxa"/>
              <w:right w:w="28" w:type="dxa"/>
            </w:tcMar>
            <w:vAlign w:val="center"/>
          </w:tcPr>
          <w:p w14:paraId="2539BA02" w14:textId="77A9B722" w:rsidR="00187694" w:rsidRPr="00237760" w:rsidRDefault="00187694" w:rsidP="009367B4">
            <w:pPr>
              <w:spacing w:after="0" w:line="240" w:lineRule="auto"/>
              <w:ind w:left="57" w:right="57"/>
              <w:jc w:val="left"/>
              <w:rPr>
                <w:rFonts w:ascii="Arial" w:hAnsi="Arial" w:cs="Arial"/>
                <w:bCs/>
                <w:color w:val="auto"/>
                <w:sz w:val="24"/>
                <w:szCs w:val="24"/>
              </w:rPr>
            </w:pPr>
            <w:r w:rsidRPr="00237760">
              <w:rPr>
                <w:rFonts w:ascii="Arial" w:hAnsi="Arial" w:cs="Arial"/>
                <w:bCs/>
                <w:color w:val="auto"/>
                <w:sz w:val="24"/>
                <w:szCs w:val="24"/>
              </w:rPr>
              <w:t>Rozwój e-usług w oparciu o zasoby cyfrowe</w:t>
            </w:r>
            <w:r w:rsidRPr="00237760">
              <w:rPr>
                <w:rStyle w:val="Odwoanieprzypisudolnego"/>
                <w:rFonts w:ascii="Arial" w:hAnsi="Arial" w:cs="Arial"/>
                <w:bCs/>
                <w:color w:val="auto"/>
                <w:sz w:val="24"/>
                <w:szCs w:val="24"/>
              </w:rPr>
              <w:footnoteReference w:id="4"/>
            </w:r>
          </w:p>
        </w:tc>
        <w:tc>
          <w:tcPr>
            <w:tcW w:w="3402" w:type="dxa"/>
            <w:tcBorders>
              <w:top w:val="single" w:sz="4" w:space="0" w:color="BDD6EE" w:themeColor="accent1" w:themeTint="66"/>
              <w:left w:val="nil"/>
              <w:right w:val="nil"/>
            </w:tcBorders>
            <w:tcMar>
              <w:left w:w="28" w:type="dxa"/>
              <w:right w:w="28" w:type="dxa"/>
            </w:tcMar>
            <w:vAlign w:val="center"/>
          </w:tcPr>
          <w:p w14:paraId="5541E7B4" w14:textId="77777777" w:rsidR="00187694" w:rsidRPr="00237760" w:rsidRDefault="00187694"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Częściowo Cel podstawowy 2. Transportowa spójność wewnętrzna</w:t>
            </w:r>
          </w:p>
          <w:p w14:paraId="5C62DA1A" w14:textId="77777777" w:rsidR="00187694" w:rsidRPr="00237760" w:rsidRDefault="00187694"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Częściowo Cel horyzontalny 2. Wzmocnienie rozwiązań multimodalnych</w:t>
            </w:r>
          </w:p>
          <w:p w14:paraId="32A1992C" w14:textId="5755FEFF" w:rsidR="00187694" w:rsidRPr="00237760" w:rsidRDefault="00187694"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lastRenderedPageBreak/>
              <w:t>Częściowo Cel horyzontalny 3. Transport publiczny</w:t>
            </w:r>
          </w:p>
        </w:tc>
      </w:tr>
      <w:tr w:rsidR="00237760" w:rsidRPr="00237760" w14:paraId="2159A13A" w14:textId="77777777" w:rsidTr="00237760">
        <w:trPr>
          <w:trHeight w:val="151"/>
        </w:trPr>
        <w:tc>
          <w:tcPr>
            <w:tcW w:w="5670" w:type="dxa"/>
            <w:tcBorders>
              <w:top w:val="single" w:sz="4" w:space="0" w:color="BDD6EE" w:themeColor="accent1" w:themeTint="66"/>
              <w:left w:val="nil"/>
              <w:right w:val="nil"/>
            </w:tcBorders>
            <w:tcMar>
              <w:left w:w="28" w:type="dxa"/>
              <w:right w:w="28" w:type="dxa"/>
            </w:tcMar>
            <w:vAlign w:val="center"/>
          </w:tcPr>
          <w:p w14:paraId="0801338A" w14:textId="77777777" w:rsidR="00922AE1" w:rsidRPr="00237760" w:rsidRDefault="00922AE1" w:rsidP="009367B4">
            <w:pPr>
              <w:spacing w:after="0" w:line="240" w:lineRule="auto"/>
              <w:ind w:left="57" w:right="57"/>
              <w:jc w:val="left"/>
              <w:rPr>
                <w:rFonts w:ascii="Arial" w:hAnsi="Arial" w:cs="Arial"/>
                <w:bCs/>
                <w:color w:val="auto"/>
                <w:sz w:val="24"/>
                <w:szCs w:val="24"/>
              </w:rPr>
            </w:pPr>
            <w:r w:rsidRPr="00237760">
              <w:rPr>
                <w:rFonts w:ascii="Arial" w:hAnsi="Arial" w:cs="Arial"/>
                <w:bCs/>
                <w:color w:val="auto"/>
                <w:sz w:val="24"/>
                <w:szCs w:val="24"/>
              </w:rPr>
              <w:lastRenderedPageBreak/>
              <w:t>Otwierający się rynek usług w ramach „srebrnej gospodarki” (silver economy)</w:t>
            </w:r>
          </w:p>
        </w:tc>
        <w:tc>
          <w:tcPr>
            <w:tcW w:w="3402" w:type="dxa"/>
            <w:tcBorders>
              <w:top w:val="single" w:sz="4" w:space="0" w:color="BDD6EE" w:themeColor="accent1" w:themeTint="66"/>
              <w:left w:val="nil"/>
              <w:right w:val="nil"/>
            </w:tcBorders>
            <w:tcMar>
              <w:left w:w="28" w:type="dxa"/>
              <w:right w:w="28" w:type="dxa"/>
            </w:tcMar>
            <w:vAlign w:val="center"/>
          </w:tcPr>
          <w:p w14:paraId="21039436" w14:textId="7E8D604C" w:rsidR="00922AE1" w:rsidRPr="00237760" w:rsidRDefault="00670F6E"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Częściowo Cel horyzontalny 3. Transport publiczny</w:t>
            </w:r>
          </w:p>
        </w:tc>
      </w:tr>
      <w:tr w:rsidR="00237760" w:rsidRPr="00237760" w14:paraId="6BC87CBE" w14:textId="77777777" w:rsidTr="00237760">
        <w:trPr>
          <w:trHeight w:val="151"/>
        </w:trPr>
        <w:tc>
          <w:tcPr>
            <w:tcW w:w="5670" w:type="dxa"/>
            <w:tcBorders>
              <w:top w:val="single" w:sz="4" w:space="0" w:color="BDD6EE" w:themeColor="accent1" w:themeTint="66"/>
              <w:left w:val="nil"/>
              <w:right w:val="nil"/>
            </w:tcBorders>
            <w:tcMar>
              <w:left w:w="28" w:type="dxa"/>
              <w:right w:w="28" w:type="dxa"/>
            </w:tcMar>
            <w:vAlign w:val="center"/>
          </w:tcPr>
          <w:p w14:paraId="4D564D95" w14:textId="77777777" w:rsidR="00922AE1" w:rsidRPr="00237760" w:rsidRDefault="00922AE1" w:rsidP="009367B4">
            <w:pPr>
              <w:spacing w:after="0" w:line="240" w:lineRule="auto"/>
              <w:ind w:left="57" w:right="57"/>
              <w:jc w:val="left"/>
              <w:rPr>
                <w:rFonts w:ascii="Arial" w:hAnsi="Arial" w:cs="Arial"/>
                <w:bCs/>
                <w:color w:val="auto"/>
                <w:sz w:val="24"/>
                <w:szCs w:val="24"/>
              </w:rPr>
            </w:pPr>
            <w:r w:rsidRPr="00237760">
              <w:rPr>
                <w:rFonts w:ascii="Arial" w:hAnsi="Arial" w:cs="Arial"/>
                <w:bCs/>
                <w:color w:val="auto"/>
                <w:sz w:val="24"/>
                <w:szCs w:val="24"/>
              </w:rPr>
              <w:t>Rozwój badań, pojawianie się nowych technologii i wzrost świadomości społecznej w zakresie ochrony środowiska, energetyki i zrównoważonego rozwoju</w:t>
            </w:r>
          </w:p>
        </w:tc>
        <w:tc>
          <w:tcPr>
            <w:tcW w:w="3402" w:type="dxa"/>
            <w:tcBorders>
              <w:top w:val="single" w:sz="4" w:space="0" w:color="BDD6EE" w:themeColor="accent1" w:themeTint="66"/>
              <w:left w:val="nil"/>
              <w:right w:val="nil"/>
            </w:tcBorders>
            <w:tcMar>
              <w:left w:w="28" w:type="dxa"/>
              <w:right w:w="28" w:type="dxa"/>
            </w:tcMar>
            <w:vAlign w:val="center"/>
          </w:tcPr>
          <w:p w14:paraId="63F78090" w14:textId="77777777" w:rsidR="00922AE1" w:rsidRPr="00237760" w:rsidRDefault="00F3705C"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Częściowo Cel horyzontalny 1. Ograniczenie negatywnego oddziaływania sektora transportu na klimat oraz na regionalne środowisko naturalne</w:t>
            </w:r>
          </w:p>
          <w:p w14:paraId="50F540EC" w14:textId="22BDDF82" w:rsidR="00065C12" w:rsidRPr="00237760" w:rsidRDefault="00065C12"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Częściowo Cel horyzontalny 4. Poprawa bezpieczeństwa w transporcie</w:t>
            </w:r>
          </w:p>
        </w:tc>
      </w:tr>
      <w:tr w:rsidR="00237760" w:rsidRPr="00237760" w14:paraId="15DD6A93" w14:textId="77777777" w:rsidTr="00237760">
        <w:trPr>
          <w:trHeight w:val="151"/>
        </w:trPr>
        <w:tc>
          <w:tcPr>
            <w:tcW w:w="5670" w:type="dxa"/>
            <w:tcBorders>
              <w:top w:val="single" w:sz="4" w:space="0" w:color="BDD6EE" w:themeColor="accent1" w:themeTint="66"/>
              <w:left w:val="nil"/>
              <w:right w:val="nil"/>
            </w:tcBorders>
            <w:tcMar>
              <w:left w:w="28" w:type="dxa"/>
              <w:right w:w="28" w:type="dxa"/>
            </w:tcMar>
            <w:vAlign w:val="center"/>
          </w:tcPr>
          <w:p w14:paraId="5523F19E" w14:textId="77777777" w:rsidR="00922AE1" w:rsidRPr="00237760" w:rsidRDefault="00922AE1" w:rsidP="009367B4">
            <w:pPr>
              <w:spacing w:after="0" w:line="240" w:lineRule="auto"/>
              <w:ind w:left="57" w:right="57"/>
              <w:jc w:val="left"/>
              <w:rPr>
                <w:rFonts w:ascii="Arial" w:hAnsi="Arial" w:cs="Arial"/>
                <w:bCs/>
                <w:color w:val="auto"/>
                <w:sz w:val="24"/>
                <w:szCs w:val="24"/>
              </w:rPr>
            </w:pPr>
            <w:r w:rsidRPr="00237760">
              <w:rPr>
                <w:rFonts w:ascii="Arial" w:hAnsi="Arial" w:cs="Arial"/>
                <w:bCs/>
                <w:color w:val="auto"/>
                <w:sz w:val="24"/>
                <w:szCs w:val="24"/>
              </w:rPr>
              <w:t>Centralne położenie województwa na obszarze objętym Inicjatywą Trójmorza i rozwój współpracy transgranicznej</w:t>
            </w:r>
          </w:p>
        </w:tc>
        <w:tc>
          <w:tcPr>
            <w:tcW w:w="3402" w:type="dxa"/>
            <w:tcBorders>
              <w:top w:val="single" w:sz="4" w:space="0" w:color="BDD6EE" w:themeColor="accent1" w:themeTint="66"/>
              <w:left w:val="nil"/>
              <w:right w:val="nil"/>
            </w:tcBorders>
            <w:tcMar>
              <w:left w:w="28" w:type="dxa"/>
              <w:right w:w="28" w:type="dxa"/>
            </w:tcMar>
            <w:vAlign w:val="center"/>
          </w:tcPr>
          <w:p w14:paraId="5EF91D14" w14:textId="01BD64C7" w:rsidR="00922AE1" w:rsidRPr="00237760" w:rsidRDefault="00B62384"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Częściowo Cel podstawowy 1. Dostępność zewnętrzna</w:t>
            </w:r>
          </w:p>
        </w:tc>
      </w:tr>
      <w:tr w:rsidR="00237760" w:rsidRPr="00237760" w14:paraId="68B17DE6" w14:textId="77777777" w:rsidTr="001E558C">
        <w:trPr>
          <w:trHeight w:val="151"/>
        </w:trPr>
        <w:tc>
          <w:tcPr>
            <w:tcW w:w="5670" w:type="dxa"/>
            <w:tcBorders>
              <w:top w:val="single" w:sz="4" w:space="0" w:color="BDD6EE" w:themeColor="accent1" w:themeTint="66"/>
              <w:left w:val="nil"/>
              <w:right w:val="nil"/>
            </w:tcBorders>
            <w:shd w:val="clear" w:color="auto" w:fill="auto"/>
            <w:tcMar>
              <w:left w:w="28" w:type="dxa"/>
              <w:right w:w="28" w:type="dxa"/>
            </w:tcMar>
            <w:vAlign w:val="center"/>
          </w:tcPr>
          <w:p w14:paraId="17AB5147" w14:textId="77777777" w:rsidR="00922AE1" w:rsidRPr="00237760" w:rsidRDefault="00922AE1"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ZAGROŻENIA</w:t>
            </w:r>
          </w:p>
        </w:tc>
        <w:tc>
          <w:tcPr>
            <w:tcW w:w="3402" w:type="dxa"/>
            <w:tcBorders>
              <w:top w:val="single" w:sz="4" w:space="0" w:color="BDD6EE" w:themeColor="accent1" w:themeTint="66"/>
              <w:left w:val="nil"/>
              <w:right w:val="nil"/>
            </w:tcBorders>
            <w:shd w:val="clear" w:color="auto" w:fill="auto"/>
            <w:tcMar>
              <w:left w:w="28" w:type="dxa"/>
              <w:right w:w="28" w:type="dxa"/>
            </w:tcMar>
            <w:vAlign w:val="center"/>
          </w:tcPr>
          <w:p w14:paraId="2259C399" w14:textId="77777777" w:rsidR="00922AE1" w:rsidRPr="00237760" w:rsidRDefault="00922AE1" w:rsidP="009367B4">
            <w:pPr>
              <w:spacing w:after="0" w:line="240" w:lineRule="auto"/>
              <w:ind w:left="57" w:right="57"/>
              <w:jc w:val="left"/>
              <w:rPr>
                <w:rFonts w:ascii="Arial" w:hAnsi="Arial" w:cs="Arial"/>
                <w:color w:val="auto"/>
                <w:sz w:val="24"/>
                <w:szCs w:val="24"/>
              </w:rPr>
            </w:pPr>
          </w:p>
        </w:tc>
      </w:tr>
      <w:tr w:rsidR="00237760" w:rsidRPr="00237760" w14:paraId="310DBBC9" w14:textId="77777777" w:rsidTr="00237760">
        <w:trPr>
          <w:trHeight w:val="151"/>
        </w:trPr>
        <w:tc>
          <w:tcPr>
            <w:tcW w:w="5670" w:type="dxa"/>
            <w:tcBorders>
              <w:top w:val="single" w:sz="4" w:space="0" w:color="BDD6EE" w:themeColor="accent1" w:themeTint="66"/>
              <w:left w:val="nil"/>
              <w:right w:val="nil"/>
            </w:tcBorders>
            <w:tcMar>
              <w:left w:w="28" w:type="dxa"/>
              <w:right w:w="28" w:type="dxa"/>
            </w:tcMar>
            <w:vAlign w:val="center"/>
          </w:tcPr>
          <w:p w14:paraId="7C37DF08" w14:textId="77777777" w:rsidR="00922AE1" w:rsidRPr="00237760" w:rsidRDefault="00922AE1" w:rsidP="009367B4">
            <w:pPr>
              <w:spacing w:after="0" w:line="240" w:lineRule="auto"/>
              <w:ind w:left="57" w:right="57"/>
              <w:jc w:val="left"/>
              <w:rPr>
                <w:rFonts w:ascii="Arial" w:hAnsi="Arial" w:cs="Arial"/>
                <w:bCs/>
                <w:color w:val="auto"/>
                <w:sz w:val="24"/>
                <w:szCs w:val="24"/>
              </w:rPr>
            </w:pPr>
            <w:r w:rsidRPr="00237760">
              <w:rPr>
                <w:rFonts w:ascii="Arial" w:hAnsi="Arial" w:cs="Arial"/>
                <w:bCs/>
                <w:color w:val="auto"/>
                <w:sz w:val="24"/>
                <w:szCs w:val="24"/>
              </w:rPr>
              <w:t>Peryferyjne położenie i słabe skomunikowanie ze stolicą</w:t>
            </w:r>
          </w:p>
        </w:tc>
        <w:tc>
          <w:tcPr>
            <w:tcW w:w="3402" w:type="dxa"/>
            <w:tcBorders>
              <w:top w:val="single" w:sz="4" w:space="0" w:color="BDD6EE" w:themeColor="accent1" w:themeTint="66"/>
              <w:left w:val="nil"/>
              <w:right w:val="nil"/>
            </w:tcBorders>
            <w:tcMar>
              <w:left w:w="28" w:type="dxa"/>
              <w:right w:w="28" w:type="dxa"/>
            </w:tcMar>
            <w:vAlign w:val="center"/>
          </w:tcPr>
          <w:p w14:paraId="06742720" w14:textId="46A0B6C9" w:rsidR="00922AE1" w:rsidRPr="00237760" w:rsidRDefault="00B62384"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tc>
      </w:tr>
      <w:tr w:rsidR="00237760" w:rsidRPr="00237760" w14:paraId="46C29F4B" w14:textId="77777777" w:rsidTr="00237760">
        <w:trPr>
          <w:trHeight w:val="14"/>
        </w:trPr>
        <w:tc>
          <w:tcPr>
            <w:tcW w:w="5670" w:type="dxa"/>
            <w:tcBorders>
              <w:left w:val="nil"/>
              <w:right w:val="nil"/>
            </w:tcBorders>
            <w:tcMar>
              <w:left w:w="28" w:type="dxa"/>
              <w:right w:w="28" w:type="dxa"/>
            </w:tcMar>
            <w:vAlign w:val="center"/>
          </w:tcPr>
          <w:p w14:paraId="7BDF0523" w14:textId="77777777" w:rsidR="00922AE1" w:rsidRPr="00237760" w:rsidRDefault="00922AE1" w:rsidP="009367B4">
            <w:pPr>
              <w:spacing w:after="0" w:line="240" w:lineRule="auto"/>
              <w:ind w:left="57" w:right="57"/>
              <w:jc w:val="left"/>
              <w:rPr>
                <w:rFonts w:ascii="Arial" w:hAnsi="Arial" w:cs="Arial"/>
                <w:bCs/>
                <w:color w:val="auto"/>
                <w:sz w:val="24"/>
                <w:szCs w:val="24"/>
              </w:rPr>
            </w:pPr>
            <w:r w:rsidRPr="00237760">
              <w:rPr>
                <w:rFonts w:ascii="Arial" w:hAnsi="Arial" w:cs="Arial"/>
                <w:bCs/>
                <w:color w:val="auto"/>
                <w:sz w:val="24"/>
                <w:szCs w:val="24"/>
              </w:rPr>
              <w:t>Intensywna antropogenizacja środowiska przyrodniczego przejawiająca się: zanieczyszczeniami powietrza (szczególnie pyłowymi) oraz postępującą zabudową na terenach zalewowych i osuwiskowych (jako efekt braku regulacji prawnych w zakresie obowiązku sporządzania miejscowych planów zagospodarowania przestrzennego)</w:t>
            </w:r>
          </w:p>
        </w:tc>
        <w:tc>
          <w:tcPr>
            <w:tcW w:w="3402" w:type="dxa"/>
            <w:tcBorders>
              <w:left w:val="nil"/>
              <w:right w:val="nil"/>
            </w:tcBorders>
            <w:tcMar>
              <w:left w:w="28" w:type="dxa"/>
              <w:right w:w="28" w:type="dxa"/>
            </w:tcMar>
            <w:vAlign w:val="center"/>
          </w:tcPr>
          <w:p w14:paraId="67CC880F" w14:textId="77777777" w:rsidR="00922AE1" w:rsidRPr="00237760" w:rsidRDefault="007345AC"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Cel horyzontalny 1. Ograniczenie negatywnego oddziaływania sektora transportu na klimat oraz na regionalne środowisko naturalne</w:t>
            </w:r>
          </w:p>
          <w:p w14:paraId="35D4FB8A" w14:textId="2C8C996B" w:rsidR="00065C12" w:rsidRPr="00237760" w:rsidRDefault="00065C12"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Częściowo Cel horyzontalny 4. Poprawa bezpieczeństwa w transporcie</w:t>
            </w:r>
          </w:p>
        </w:tc>
      </w:tr>
    </w:tbl>
    <w:p w14:paraId="40A1B346" w14:textId="6E429EBC" w:rsidR="004B3A83" w:rsidRPr="00237760" w:rsidRDefault="004B3A83"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 xml:space="preserve">Uwaga: </w:t>
      </w:r>
      <w:r w:rsidR="00666251" w:rsidRPr="00237760">
        <w:rPr>
          <w:rFonts w:ascii="Arial" w:hAnsi="Arial" w:cs="Arial"/>
          <w:color w:val="auto"/>
          <w:sz w:val="24"/>
          <w:szCs w:val="24"/>
          <w:lang w:eastAsia="pl-PL"/>
        </w:rPr>
        <w:t xml:space="preserve">ocenie </w:t>
      </w:r>
      <w:r w:rsidR="00512A00" w:rsidRPr="00237760">
        <w:rPr>
          <w:rFonts w:ascii="Arial" w:hAnsi="Arial" w:cs="Arial"/>
          <w:color w:val="auto"/>
          <w:sz w:val="24"/>
          <w:szCs w:val="24"/>
          <w:lang w:eastAsia="pl-PL"/>
        </w:rPr>
        <w:t xml:space="preserve">poddano </w:t>
      </w:r>
      <w:r w:rsidR="00666251" w:rsidRPr="00237760">
        <w:rPr>
          <w:rFonts w:ascii="Arial" w:hAnsi="Arial" w:cs="Arial"/>
          <w:color w:val="auto"/>
          <w:sz w:val="24"/>
          <w:szCs w:val="24"/>
          <w:lang w:eastAsia="pl-PL"/>
        </w:rPr>
        <w:t>wszystkie elementy Strategii wskazane w analizie SWOT (w słabościach, szansach i zagrożeniach)</w:t>
      </w:r>
      <w:r w:rsidR="0069583C" w:rsidRPr="00237760">
        <w:rPr>
          <w:rFonts w:ascii="Arial" w:hAnsi="Arial" w:cs="Arial"/>
          <w:color w:val="auto"/>
          <w:sz w:val="24"/>
          <w:szCs w:val="24"/>
          <w:lang w:eastAsia="pl-PL"/>
        </w:rPr>
        <w:t xml:space="preserve">. W </w:t>
      </w:r>
      <w:r w:rsidRPr="00237760">
        <w:rPr>
          <w:rFonts w:ascii="Arial" w:hAnsi="Arial" w:cs="Arial"/>
          <w:color w:val="auto"/>
          <w:sz w:val="24"/>
          <w:szCs w:val="24"/>
          <w:lang w:eastAsia="pl-PL"/>
        </w:rPr>
        <w:t>tabeli wskazano tylko te elementy</w:t>
      </w:r>
      <w:r w:rsidR="00512A00" w:rsidRPr="00237760">
        <w:rPr>
          <w:rFonts w:ascii="Arial" w:hAnsi="Arial" w:cs="Arial"/>
          <w:color w:val="auto"/>
          <w:sz w:val="24"/>
          <w:szCs w:val="24"/>
          <w:lang w:eastAsia="pl-PL"/>
        </w:rPr>
        <w:t>, do których odnosi się Program.</w:t>
      </w:r>
    </w:p>
    <w:p w14:paraId="3365E8FF" w14:textId="5666CBB5" w:rsidR="00922AE1" w:rsidRPr="00237760" w:rsidRDefault="00922AE1"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 xml:space="preserve">Źródło: opracowanie własne na podstawie </w:t>
      </w:r>
      <w:r w:rsidR="0037041B" w:rsidRPr="00237760">
        <w:rPr>
          <w:rFonts w:ascii="Arial" w:hAnsi="Arial" w:cs="Arial"/>
          <w:color w:val="auto"/>
          <w:sz w:val="24"/>
          <w:szCs w:val="24"/>
          <w:lang w:eastAsia="pl-PL"/>
        </w:rPr>
        <w:t>PSRT</w:t>
      </w:r>
      <w:r w:rsidRPr="00237760">
        <w:rPr>
          <w:rFonts w:ascii="Arial" w:hAnsi="Arial" w:cs="Arial"/>
          <w:color w:val="auto"/>
          <w:sz w:val="24"/>
          <w:szCs w:val="24"/>
          <w:lang w:eastAsia="pl-PL"/>
        </w:rPr>
        <w:t xml:space="preserve"> WP oraz Strategii rozwoju województwa </w:t>
      </w:r>
      <w:r w:rsidR="00831F71" w:rsidRPr="00237760">
        <w:rPr>
          <w:rFonts w:ascii="Arial" w:hAnsi="Arial" w:cs="Arial"/>
          <w:color w:val="auto"/>
          <w:sz w:val="24"/>
          <w:szCs w:val="24"/>
          <w:lang w:eastAsia="pl-PL"/>
        </w:rPr>
        <w:t xml:space="preserve">– </w:t>
      </w:r>
      <w:r w:rsidRPr="00237760">
        <w:rPr>
          <w:rFonts w:ascii="Arial" w:hAnsi="Arial" w:cs="Arial"/>
          <w:color w:val="auto"/>
          <w:sz w:val="24"/>
          <w:szCs w:val="24"/>
          <w:lang w:eastAsia="pl-PL"/>
        </w:rPr>
        <w:t>Podkarpaci</w:t>
      </w:r>
      <w:r w:rsidR="00831F71" w:rsidRPr="00237760">
        <w:rPr>
          <w:rFonts w:ascii="Arial" w:hAnsi="Arial" w:cs="Arial"/>
          <w:color w:val="auto"/>
          <w:sz w:val="24"/>
          <w:szCs w:val="24"/>
          <w:lang w:eastAsia="pl-PL"/>
        </w:rPr>
        <w:t>e</w:t>
      </w:r>
      <w:r w:rsidRPr="00237760">
        <w:rPr>
          <w:rFonts w:ascii="Arial" w:hAnsi="Arial" w:cs="Arial"/>
          <w:color w:val="auto"/>
          <w:sz w:val="24"/>
          <w:szCs w:val="24"/>
          <w:lang w:eastAsia="pl-PL"/>
        </w:rPr>
        <w:t xml:space="preserve"> 2030.</w:t>
      </w:r>
    </w:p>
    <w:p w14:paraId="19DA4494" w14:textId="77A90A89" w:rsidR="00AF4B54" w:rsidRPr="00237760" w:rsidRDefault="005673B8" w:rsidP="009367B4">
      <w:pPr>
        <w:jc w:val="left"/>
        <w:rPr>
          <w:rFonts w:ascii="Arial" w:hAnsi="Arial" w:cs="Arial"/>
          <w:color w:val="auto"/>
          <w:sz w:val="24"/>
          <w:szCs w:val="24"/>
        </w:rPr>
      </w:pPr>
      <w:r w:rsidRPr="00237760">
        <w:rPr>
          <w:rFonts w:ascii="Arial" w:hAnsi="Arial" w:cs="Arial"/>
          <w:color w:val="auto"/>
          <w:sz w:val="24"/>
          <w:szCs w:val="24"/>
        </w:rPr>
        <w:t>Wyzwania</w:t>
      </w:r>
      <w:r w:rsidR="000B69D6" w:rsidRPr="00237760">
        <w:rPr>
          <w:rFonts w:ascii="Arial" w:hAnsi="Arial" w:cs="Arial"/>
          <w:color w:val="auto"/>
          <w:sz w:val="24"/>
          <w:szCs w:val="24"/>
        </w:rPr>
        <w:t xml:space="preserve"> i potrzeby</w:t>
      </w:r>
      <w:r w:rsidRPr="00237760">
        <w:rPr>
          <w:rFonts w:ascii="Arial" w:hAnsi="Arial" w:cs="Arial"/>
          <w:color w:val="auto"/>
          <w:sz w:val="24"/>
          <w:szCs w:val="24"/>
        </w:rPr>
        <w:t xml:space="preserve">, które zostały określone </w:t>
      </w:r>
      <w:r w:rsidR="0024687A" w:rsidRPr="00237760">
        <w:rPr>
          <w:rFonts w:ascii="Arial" w:hAnsi="Arial" w:cs="Arial"/>
          <w:color w:val="auto"/>
          <w:sz w:val="24"/>
          <w:szCs w:val="24"/>
        </w:rPr>
        <w:t>w</w:t>
      </w:r>
      <w:r w:rsidRPr="00237760">
        <w:rPr>
          <w:rFonts w:ascii="Arial" w:hAnsi="Arial" w:cs="Arial"/>
          <w:color w:val="auto"/>
          <w:sz w:val="24"/>
          <w:szCs w:val="24"/>
        </w:rPr>
        <w:t xml:space="preserve"> </w:t>
      </w:r>
      <w:r w:rsidRPr="00237760">
        <w:rPr>
          <w:rFonts w:ascii="Arial" w:hAnsi="Arial" w:cs="Arial"/>
          <w:i/>
          <w:color w:val="auto"/>
          <w:sz w:val="24"/>
          <w:szCs w:val="24"/>
        </w:rPr>
        <w:t xml:space="preserve">Strategii rozwoju województwa </w:t>
      </w:r>
      <w:r w:rsidR="00831F71" w:rsidRPr="00237760">
        <w:rPr>
          <w:rFonts w:ascii="Arial" w:hAnsi="Arial" w:cs="Arial"/>
          <w:i/>
          <w:color w:val="auto"/>
          <w:sz w:val="24"/>
          <w:szCs w:val="24"/>
        </w:rPr>
        <w:t xml:space="preserve">– </w:t>
      </w:r>
      <w:r w:rsidRPr="00237760">
        <w:rPr>
          <w:rFonts w:ascii="Arial" w:hAnsi="Arial" w:cs="Arial"/>
          <w:i/>
          <w:color w:val="auto"/>
          <w:sz w:val="24"/>
          <w:szCs w:val="24"/>
        </w:rPr>
        <w:t>Podkarpacie 2030</w:t>
      </w:r>
      <w:r w:rsidRPr="00237760">
        <w:rPr>
          <w:rFonts w:ascii="Arial" w:hAnsi="Arial" w:cs="Arial"/>
          <w:color w:val="auto"/>
          <w:sz w:val="24"/>
          <w:szCs w:val="24"/>
        </w:rPr>
        <w:t xml:space="preserve"> </w:t>
      </w:r>
      <w:r w:rsidR="00846808" w:rsidRPr="00237760">
        <w:rPr>
          <w:rFonts w:ascii="Arial" w:hAnsi="Arial" w:cs="Arial"/>
          <w:color w:val="auto"/>
          <w:sz w:val="24"/>
          <w:szCs w:val="24"/>
        </w:rPr>
        <w:t xml:space="preserve">okazują się </w:t>
      </w:r>
      <w:r w:rsidR="00184DE1" w:rsidRPr="00237760">
        <w:rPr>
          <w:rFonts w:ascii="Arial" w:hAnsi="Arial" w:cs="Arial"/>
          <w:color w:val="auto"/>
          <w:sz w:val="24"/>
          <w:szCs w:val="24"/>
        </w:rPr>
        <w:t xml:space="preserve">w znacznym stopniu </w:t>
      </w:r>
      <w:r w:rsidR="00846808" w:rsidRPr="00237760">
        <w:rPr>
          <w:rFonts w:ascii="Arial" w:hAnsi="Arial" w:cs="Arial"/>
          <w:color w:val="auto"/>
          <w:sz w:val="24"/>
          <w:szCs w:val="24"/>
        </w:rPr>
        <w:t xml:space="preserve">nie dotykać </w:t>
      </w:r>
      <w:r w:rsidR="00184DE1" w:rsidRPr="00237760">
        <w:rPr>
          <w:rFonts w:ascii="Arial" w:hAnsi="Arial" w:cs="Arial"/>
          <w:color w:val="auto"/>
          <w:sz w:val="24"/>
          <w:szCs w:val="24"/>
        </w:rPr>
        <w:t xml:space="preserve">tematyki transportowej i </w:t>
      </w:r>
      <w:r w:rsidR="003720BB" w:rsidRPr="00237760">
        <w:rPr>
          <w:rFonts w:ascii="Arial" w:hAnsi="Arial" w:cs="Arial"/>
          <w:color w:val="auto"/>
          <w:sz w:val="24"/>
          <w:szCs w:val="24"/>
        </w:rPr>
        <w:t>komunikacyjnego połączenia wewnątrz województwa</w:t>
      </w:r>
      <w:r w:rsidR="0024687A" w:rsidRPr="00237760">
        <w:rPr>
          <w:rFonts w:ascii="Arial" w:hAnsi="Arial" w:cs="Arial"/>
          <w:color w:val="auto"/>
          <w:sz w:val="24"/>
          <w:szCs w:val="24"/>
        </w:rPr>
        <w:t>,</w:t>
      </w:r>
      <w:r w:rsidR="003720BB" w:rsidRPr="00237760">
        <w:rPr>
          <w:rFonts w:ascii="Arial" w:hAnsi="Arial" w:cs="Arial"/>
          <w:color w:val="auto"/>
          <w:sz w:val="24"/>
          <w:szCs w:val="24"/>
        </w:rPr>
        <w:t xml:space="preserve"> jak i poza nim</w:t>
      </w:r>
      <w:r w:rsidR="00036A3B" w:rsidRPr="00237760">
        <w:rPr>
          <w:rFonts w:ascii="Arial" w:hAnsi="Arial" w:cs="Arial"/>
          <w:color w:val="auto"/>
          <w:sz w:val="24"/>
          <w:szCs w:val="24"/>
        </w:rPr>
        <w:t xml:space="preserve"> (</w:t>
      </w:r>
      <w:r w:rsidR="004A50A9" w:rsidRPr="00237760">
        <w:rPr>
          <w:rFonts w:ascii="Arial" w:hAnsi="Arial" w:cs="Arial"/>
          <w:color w:val="auto"/>
          <w:sz w:val="24"/>
          <w:szCs w:val="24"/>
        </w:rPr>
        <w:t xml:space="preserve">ok. </w:t>
      </w:r>
      <w:r w:rsidR="00345889" w:rsidRPr="00237760">
        <w:rPr>
          <w:rFonts w:ascii="Arial" w:hAnsi="Arial" w:cs="Arial"/>
          <w:color w:val="auto"/>
          <w:sz w:val="24"/>
          <w:szCs w:val="24"/>
        </w:rPr>
        <w:t>71%</w:t>
      </w:r>
      <w:r w:rsidR="00D437F8" w:rsidRPr="00237760">
        <w:rPr>
          <w:rFonts w:ascii="Arial" w:hAnsi="Arial" w:cs="Arial"/>
          <w:color w:val="auto"/>
          <w:sz w:val="24"/>
          <w:szCs w:val="24"/>
        </w:rPr>
        <w:t xml:space="preserve"> wszystkich czynników</w:t>
      </w:r>
      <w:r w:rsidR="00036A3B" w:rsidRPr="00237760">
        <w:rPr>
          <w:rFonts w:ascii="Arial" w:hAnsi="Arial" w:cs="Arial"/>
          <w:color w:val="auto"/>
          <w:sz w:val="24"/>
          <w:szCs w:val="24"/>
        </w:rPr>
        <w:t>)</w:t>
      </w:r>
      <w:r w:rsidR="003720BB" w:rsidRPr="00237760">
        <w:rPr>
          <w:rFonts w:ascii="Arial" w:hAnsi="Arial" w:cs="Arial"/>
          <w:color w:val="auto"/>
          <w:sz w:val="24"/>
          <w:szCs w:val="24"/>
        </w:rPr>
        <w:t xml:space="preserve">. </w:t>
      </w:r>
      <w:r w:rsidR="00641767" w:rsidRPr="00237760">
        <w:rPr>
          <w:rFonts w:ascii="Arial" w:hAnsi="Arial" w:cs="Arial"/>
          <w:color w:val="auto"/>
          <w:sz w:val="24"/>
          <w:szCs w:val="24"/>
        </w:rPr>
        <w:t xml:space="preserve">Czynniki te </w:t>
      </w:r>
      <w:r w:rsidR="008545E6" w:rsidRPr="00237760">
        <w:rPr>
          <w:rFonts w:ascii="Arial" w:hAnsi="Arial" w:cs="Arial"/>
          <w:color w:val="auto"/>
          <w:sz w:val="24"/>
          <w:szCs w:val="24"/>
        </w:rPr>
        <w:t xml:space="preserve">wpisują się </w:t>
      </w:r>
      <w:r w:rsidR="00A45330" w:rsidRPr="00237760">
        <w:rPr>
          <w:rFonts w:ascii="Arial" w:hAnsi="Arial" w:cs="Arial"/>
          <w:color w:val="auto"/>
          <w:sz w:val="24"/>
          <w:szCs w:val="24"/>
        </w:rPr>
        <w:br/>
      </w:r>
      <w:r w:rsidR="008545E6" w:rsidRPr="00237760">
        <w:rPr>
          <w:rFonts w:ascii="Arial" w:hAnsi="Arial" w:cs="Arial"/>
          <w:color w:val="auto"/>
          <w:sz w:val="24"/>
          <w:szCs w:val="24"/>
        </w:rPr>
        <w:t xml:space="preserve">w </w:t>
      </w:r>
      <w:r w:rsidR="008441A9" w:rsidRPr="00237760">
        <w:rPr>
          <w:rFonts w:ascii="Arial" w:hAnsi="Arial" w:cs="Arial"/>
          <w:color w:val="auto"/>
          <w:sz w:val="24"/>
          <w:szCs w:val="24"/>
        </w:rPr>
        <w:t xml:space="preserve">aspekty </w:t>
      </w:r>
      <w:r w:rsidR="004E4254" w:rsidRPr="00237760">
        <w:rPr>
          <w:rFonts w:ascii="Arial" w:hAnsi="Arial" w:cs="Arial"/>
          <w:color w:val="auto"/>
          <w:sz w:val="24"/>
          <w:szCs w:val="24"/>
        </w:rPr>
        <w:t xml:space="preserve">demograficzne, </w:t>
      </w:r>
      <w:r w:rsidR="000F6F19" w:rsidRPr="00237760">
        <w:rPr>
          <w:rFonts w:ascii="Arial" w:hAnsi="Arial" w:cs="Arial"/>
          <w:color w:val="auto"/>
          <w:sz w:val="24"/>
          <w:szCs w:val="24"/>
        </w:rPr>
        <w:t>dotyczące edukacji, zatrudnienia, współprac</w:t>
      </w:r>
      <w:r w:rsidR="00A63DEB" w:rsidRPr="00237760">
        <w:rPr>
          <w:rFonts w:ascii="Arial" w:hAnsi="Arial" w:cs="Arial"/>
          <w:color w:val="auto"/>
          <w:sz w:val="24"/>
          <w:szCs w:val="24"/>
        </w:rPr>
        <w:t xml:space="preserve">y na różnych poziomach czy </w:t>
      </w:r>
      <w:r w:rsidR="00FA0868" w:rsidRPr="00237760">
        <w:rPr>
          <w:rFonts w:ascii="Arial" w:hAnsi="Arial" w:cs="Arial"/>
          <w:color w:val="auto"/>
          <w:sz w:val="24"/>
          <w:szCs w:val="24"/>
        </w:rPr>
        <w:t>zmian klimatycznych.</w:t>
      </w:r>
      <w:r w:rsidR="005727ED" w:rsidRPr="00237760">
        <w:rPr>
          <w:rFonts w:ascii="Arial" w:hAnsi="Arial" w:cs="Arial"/>
          <w:color w:val="auto"/>
          <w:sz w:val="24"/>
          <w:szCs w:val="24"/>
        </w:rPr>
        <w:t xml:space="preserve"> </w:t>
      </w:r>
      <w:r w:rsidR="001832BE" w:rsidRPr="00237760">
        <w:rPr>
          <w:rFonts w:ascii="Arial" w:hAnsi="Arial" w:cs="Arial"/>
          <w:color w:val="auto"/>
          <w:sz w:val="24"/>
          <w:szCs w:val="24"/>
        </w:rPr>
        <w:t>Cele określone w Programie</w:t>
      </w:r>
      <w:r w:rsidR="00981AF2" w:rsidRPr="00237760">
        <w:rPr>
          <w:rFonts w:ascii="Arial" w:hAnsi="Arial" w:cs="Arial"/>
          <w:color w:val="auto"/>
          <w:sz w:val="24"/>
          <w:szCs w:val="24"/>
        </w:rPr>
        <w:t xml:space="preserve"> </w:t>
      </w:r>
      <w:r w:rsidR="0009600C" w:rsidRPr="00237760">
        <w:rPr>
          <w:rFonts w:ascii="Arial" w:hAnsi="Arial" w:cs="Arial"/>
          <w:color w:val="auto"/>
          <w:sz w:val="24"/>
          <w:szCs w:val="24"/>
        </w:rPr>
        <w:t xml:space="preserve">poprawnie </w:t>
      </w:r>
      <w:r w:rsidR="00EC0845" w:rsidRPr="00237760">
        <w:rPr>
          <w:rFonts w:ascii="Arial" w:hAnsi="Arial" w:cs="Arial"/>
          <w:color w:val="auto"/>
          <w:sz w:val="24"/>
          <w:szCs w:val="24"/>
        </w:rPr>
        <w:t>odpowiadają na</w:t>
      </w:r>
      <w:r w:rsidR="001832BE" w:rsidRPr="00237760">
        <w:rPr>
          <w:rFonts w:ascii="Arial" w:hAnsi="Arial" w:cs="Arial"/>
          <w:color w:val="auto"/>
          <w:sz w:val="24"/>
          <w:szCs w:val="24"/>
        </w:rPr>
        <w:t xml:space="preserve"> </w:t>
      </w:r>
      <w:r w:rsidR="00981AF2" w:rsidRPr="00237760">
        <w:rPr>
          <w:rFonts w:ascii="Arial" w:hAnsi="Arial" w:cs="Arial"/>
          <w:color w:val="auto"/>
          <w:sz w:val="24"/>
          <w:szCs w:val="24"/>
        </w:rPr>
        <w:t>pozostałe</w:t>
      </w:r>
      <w:r w:rsidR="001610A2" w:rsidRPr="00237760">
        <w:rPr>
          <w:rFonts w:ascii="Arial" w:hAnsi="Arial" w:cs="Arial"/>
          <w:color w:val="auto"/>
          <w:sz w:val="24"/>
          <w:szCs w:val="24"/>
        </w:rPr>
        <w:t xml:space="preserve"> czynniki, </w:t>
      </w:r>
      <w:r w:rsidR="00981AF2" w:rsidRPr="00237760">
        <w:rPr>
          <w:rFonts w:ascii="Arial" w:hAnsi="Arial" w:cs="Arial"/>
          <w:color w:val="auto"/>
          <w:sz w:val="24"/>
          <w:szCs w:val="24"/>
        </w:rPr>
        <w:t>czyli te</w:t>
      </w:r>
      <w:r w:rsidR="00C6352E" w:rsidRPr="00237760">
        <w:rPr>
          <w:rFonts w:ascii="Arial" w:hAnsi="Arial" w:cs="Arial"/>
          <w:color w:val="auto"/>
          <w:sz w:val="24"/>
          <w:szCs w:val="24"/>
        </w:rPr>
        <w:t xml:space="preserve"> </w:t>
      </w:r>
      <w:r w:rsidR="001610A2" w:rsidRPr="00237760">
        <w:rPr>
          <w:rFonts w:ascii="Arial" w:hAnsi="Arial" w:cs="Arial"/>
          <w:color w:val="auto"/>
          <w:sz w:val="24"/>
          <w:szCs w:val="24"/>
        </w:rPr>
        <w:t xml:space="preserve">które przynajmniej w sposób pośredni </w:t>
      </w:r>
      <w:r w:rsidR="00226C2E" w:rsidRPr="00237760">
        <w:rPr>
          <w:rFonts w:ascii="Arial" w:hAnsi="Arial" w:cs="Arial"/>
          <w:color w:val="auto"/>
          <w:sz w:val="24"/>
          <w:szCs w:val="24"/>
        </w:rPr>
        <w:t xml:space="preserve">nawiązują do </w:t>
      </w:r>
      <w:r w:rsidR="00ED7B43" w:rsidRPr="00237760">
        <w:rPr>
          <w:rFonts w:ascii="Arial" w:hAnsi="Arial" w:cs="Arial"/>
          <w:color w:val="auto"/>
          <w:sz w:val="24"/>
          <w:szCs w:val="24"/>
        </w:rPr>
        <w:t xml:space="preserve">systemu transportu w województwie. </w:t>
      </w:r>
      <w:r w:rsidR="00EC0845" w:rsidRPr="00237760">
        <w:rPr>
          <w:rFonts w:ascii="Arial" w:hAnsi="Arial" w:cs="Arial"/>
          <w:color w:val="auto"/>
          <w:sz w:val="24"/>
          <w:szCs w:val="24"/>
        </w:rPr>
        <w:t xml:space="preserve"> </w:t>
      </w:r>
    </w:p>
    <w:p w14:paraId="2A596A67" w14:textId="2A26C132" w:rsidR="00EA1C1E" w:rsidRPr="00237760" w:rsidRDefault="007140F3" w:rsidP="009367B4">
      <w:pPr>
        <w:jc w:val="left"/>
        <w:rPr>
          <w:rFonts w:ascii="Arial" w:hAnsi="Arial" w:cs="Arial"/>
          <w:color w:val="auto"/>
          <w:sz w:val="24"/>
          <w:szCs w:val="24"/>
        </w:rPr>
      </w:pPr>
      <w:r w:rsidRPr="00237760">
        <w:rPr>
          <w:rFonts w:ascii="Arial" w:hAnsi="Arial" w:cs="Arial"/>
          <w:color w:val="auto"/>
          <w:sz w:val="24"/>
          <w:szCs w:val="24"/>
        </w:rPr>
        <w:lastRenderedPageBreak/>
        <w:t xml:space="preserve">Wszystkie cele </w:t>
      </w:r>
      <w:r w:rsidR="009B21EB" w:rsidRPr="00237760">
        <w:rPr>
          <w:rFonts w:ascii="Arial" w:hAnsi="Arial" w:cs="Arial"/>
          <w:color w:val="auto"/>
          <w:sz w:val="24"/>
          <w:szCs w:val="24"/>
        </w:rPr>
        <w:t xml:space="preserve">PSRT WP </w:t>
      </w:r>
      <w:r w:rsidR="00CD2990" w:rsidRPr="00237760">
        <w:rPr>
          <w:rFonts w:ascii="Arial" w:hAnsi="Arial" w:cs="Arial"/>
          <w:color w:val="auto"/>
          <w:sz w:val="24"/>
          <w:szCs w:val="24"/>
        </w:rPr>
        <w:t xml:space="preserve">wpisują się w problemy </w:t>
      </w:r>
      <w:r w:rsidR="00CB1CCB" w:rsidRPr="00237760">
        <w:rPr>
          <w:rFonts w:ascii="Arial" w:hAnsi="Arial" w:cs="Arial"/>
          <w:color w:val="auto"/>
          <w:sz w:val="24"/>
          <w:szCs w:val="24"/>
        </w:rPr>
        <w:t xml:space="preserve">i wyzwania określone w </w:t>
      </w:r>
      <w:r w:rsidR="001A4CE1" w:rsidRPr="00237760">
        <w:rPr>
          <w:rFonts w:ascii="Arial" w:hAnsi="Arial" w:cs="Arial"/>
          <w:color w:val="auto"/>
          <w:sz w:val="24"/>
          <w:szCs w:val="24"/>
        </w:rPr>
        <w:t>SRWP. W sz</w:t>
      </w:r>
      <w:r w:rsidR="0044314C" w:rsidRPr="00237760">
        <w:rPr>
          <w:rFonts w:ascii="Arial" w:hAnsi="Arial" w:cs="Arial"/>
          <w:color w:val="auto"/>
          <w:sz w:val="24"/>
          <w:szCs w:val="24"/>
        </w:rPr>
        <w:t>czególn</w:t>
      </w:r>
      <w:r w:rsidR="001A4CE1" w:rsidRPr="00237760">
        <w:rPr>
          <w:rFonts w:ascii="Arial" w:hAnsi="Arial" w:cs="Arial"/>
          <w:color w:val="auto"/>
          <w:sz w:val="24"/>
          <w:szCs w:val="24"/>
        </w:rPr>
        <w:t>ości</w:t>
      </w:r>
      <w:r w:rsidR="006A0561" w:rsidRPr="00237760">
        <w:rPr>
          <w:rFonts w:ascii="Arial" w:hAnsi="Arial" w:cs="Arial"/>
          <w:color w:val="auto"/>
          <w:sz w:val="24"/>
          <w:szCs w:val="24"/>
        </w:rPr>
        <w:t xml:space="preserve"> cel podstawowy 1</w:t>
      </w:r>
      <w:r w:rsidR="008334F7" w:rsidRPr="00237760">
        <w:rPr>
          <w:rFonts w:ascii="Arial" w:hAnsi="Arial" w:cs="Arial"/>
          <w:color w:val="auto"/>
          <w:sz w:val="24"/>
          <w:szCs w:val="24"/>
        </w:rPr>
        <w:t>.</w:t>
      </w:r>
      <w:r w:rsidR="00B26FB9" w:rsidRPr="00237760">
        <w:rPr>
          <w:rFonts w:ascii="Arial" w:hAnsi="Arial" w:cs="Arial"/>
          <w:color w:val="auto"/>
          <w:sz w:val="24"/>
          <w:szCs w:val="24"/>
        </w:rPr>
        <w:t xml:space="preserve"> o</w:t>
      </w:r>
      <w:r w:rsidR="006544A7" w:rsidRPr="00237760">
        <w:rPr>
          <w:rFonts w:ascii="Arial" w:hAnsi="Arial" w:cs="Arial"/>
          <w:color w:val="auto"/>
          <w:sz w:val="24"/>
          <w:szCs w:val="24"/>
        </w:rPr>
        <w:t xml:space="preserve">dpowiada </w:t>
      </w:r>
      <w:r w:rsidR="003239E2" w:rsidRPr="00237760">
        <w:rPr>
          <w:rFonts w:ascii="Arial" w:hAnsi="Arial" w:cs="Arial"/>
          <w:color w:val="auto"/>
          <w:sz w:val="24"/>
          <w:szCs w:val="24"/>
        </w:rPr>
        <w:t xml:space="preserve">na </w:t>
      </w:r>
      <w:r w:rsidR="00682E71" w:rsidRPr="00237760">
        <w:rPr>
          <w:rFonts w:ascii="Arial" w:hAnsi="Arial" w:cs="Arial"/>
          <w:color w:val="auto"/>
          <w:sz w:val="24"/>
          <w:szCs w:val="24"/>
        </w:rPr>
        <w:t>6</w:t>
      </w:r>
      <w:r w:rsidR="00DA20C8" w:rsidRPr="00237760">
        <w:rPr>
          <w:rFonts w:ascii="Arial" w:hAnsi="Arial" w:cs="Arial"/>
          <w:color w:val="auto"/>
          <w:sz w:val="24"/>
          <w:szCs w:val="24"/>
        </w:rPr>
        <w:t xml:space="preserve"> z </w:t>
      </w:r>
      <w:r w:rsidR="00C14111" w:rsidRPr="00237760">
        <w:rPr>
          <w:rFonts w:ascii="Arial" w:hAnsi="Arial" w:cs="Arial"/>
          <w:color w:val="auto"/>
          <w:sz w:val="24"/>
          <w:szCs w:val="24"/>
        </w:rPr>
        <w:t>14</w:t>
      </w:r>
      <w:r w:rsidR="00034E8C" w:rsidRPr="00237760">
        <w:rPr>
          <w:rFonts w:ascii="Arial" w:hAnsi="Arial" w:cs="Arial"/>
          <w:color w:val="auto"/>
          <w:sz w:val="24"/>
          <w:szCs w:val="24"/>
        </w:rPr>
        <w:t xml:space="preserve"> </w:t>
      </w:r>
      <w:r w:rsidR="00FB3046" w:rsidRPr="00237760">
        <w:rPr>
          <w:rFonts w:ascii="Arial" w:hAnsi="Arial" w:cs="Arial"/>
          <w:color w:val="auto"/>
          <w:sz w:val="24"/>
          <w:szCs w:val="24"/>
        </w:rPr>
        <w:t>czynników</w:t>
      </w:r>
      <w:r w:rsidR="00C14111" w:rsidRPr="00237760">
        <w:rPr>
          <w:rFonts w:ascii="Arial" w:hAnsi="Arial" w:cs="Arial"/>
          <w:color w:val="auto"/>
          <w:sz w:val="24"/>
          <w:szCs w:val="24"/>
        </w:rPr>
        <w:t xml:space="preserve"> dot</w:t>
      </w:r>
      <w:r w:rsidR="0024687A" w:rsidRPr="00237760">
        <w:rPr>
          <w:rFonts w:ascii="Arial" w:hAnsi="Arial" w:cs="Arial"/>
          <w:color w:val="auto"/>
          <w:sz w:val="24"/>
          <w:szCs w:val="24"/>
        </w:rPr>
        <w:t>yczących</w:t>
      </w:r>
      <w:r w:rsidR="00C14111" w:rsidRPr="00237760">
        <w:rPr>
          <w:rFonts w:ascii="Arial" w:hAnsi="Arial" w:cs="Arial"/>
          <w:color w:val="auto"/>
          <w:sz w:val="24"/>
          <w:szCs w:val="24"/>
        </w:rPr>
        <w:t xml:space="preserve"> transportu</w:t>
      </w:r>
      <w:r w:rsidR="00B26FB9" w:rsidRPr="00237760">
        <w:rPr>
          <w:rFonts w:ascii="Arial" w:hAnsi="Arial" w:cs="Arial"/>
          <w:color w:val="auto"/>
          <w:sz w:val="24"/>
          <w:szCs w:val="24"/>
        </w:rPr>
        <w:t xml:space="preserve"> oraz cel podstawowy 2 </w:t>
      </w:r>
      <w:r w:rsidR="00681FE4" w:rsidRPr="00237760">
        <w:rPr>
          <w:rFonts w:ascii="Arial" w:hAnsi="Arial" w:cs="Arial"/>
          <w:color w:val="auto"/>
          <w:sz w:val="24"/>
          <w:szCs w:val="24"/>
        </w:rPr>
        <w:t>(5 z 14 czynników</w:t>
      </w:r>
      <w:r w:rsidR="00A7464B" w:rsidRPr="00237760">
        <w:rPr>
          <w:rFonts w:ascii="Arial" w:hAnsi="Arial" w:cs="Arial"/>
          <w:color w:val="auto"/>
          <w:sz w:val="24"/>
          <w:szCs w:val="24"/>
        </w:rPr>
        <w:t>) (</w:t>
      </w:r>
      <w:r w:rsidR="000771CB" w:rsidRPr="00237760">
        <w:rPr>
          <w:rFonts w:ascii="Arial" w:hAnsi="Arial" w:cs="Arial"/>
          <w:color w:val="auto"/>
          <w:sz w:val="24"/>
          <w:szCs w:val="24"/>
        </w:rPr>
        <w:fldChar w:fldCharType="begin"/>
      </w:r>
      <w:r w:rsidR="000771CB" w:rsidRPr="00237760">
        <w:rPr>
          <w:rFonts w:ascii="Arial" w:hAnsi="Arial" w:cs="Arial"/>
          <w:color w:val="auto"/>
          <w:sz w:val="24"/>
          <w:szCs w:val="24"/>
        </w:rPr>
        <w:instrText xml:space="preserve"> REF _Ref97303483 \h </w:instrText>
      </w:r>
      <w:r w:rsidR="00BD2C03" w:rsidRPr="00237760">
        <w:rPr>
          <w:rFonts w:ascii="Arial" w:hAnsi="Arial" w:cs="Arial"/>
          <w:color w:val="auto"/>
          <w:sz w:val="24"/>
          <w:szCs w:val="24"/>
        </w:rPr>
        <w:instrText xml:space="preserve"> \* MERGEFORMAT </w:instrText>
      </w:r>
      <w:r w:rsidR="000771CB" w:rsidRPr="00237760">
        <w:rPr>
          <w:rFonts w:ascii="Arial" w:hAnsi="Arial" w:cs="Arial"/>
          <w:color w:val="auto"/>
          <w:sz w:val="24"/>
          <w:szCs w:val="24"/>
        </w:rPr>
      </w:r>
      <w:r w:rsidR="000771CB" w:rsidRPr="00237760">
        <w:rPr>
          <w:rFonts w:ascii="Arial" w:hAnsi="Arial" w:cs="Arial"/>
          <w:color w:val="auto"/>
          <w:sz w:val="24"/>
          <w:szCs w:val="24"/>
        </w:rPr>
        <w:fldChar w:fldCharType="separate"/>
      </w:r>
      <w:r w:rsidR="00E52C19" w:rsidRPr="00237760">
        <w:rPr>
          <w:rFonts w:ascii="Arial" w:hAnsi="Arial" w:cs="Arial"/>
          <w:color w:val="auto"/>
          <w:sz w:val="24"/>
          <w:szCs w:val="24"/>
        </w:rPr>
        <w:t xml:space="preserve">Tabela </w:t>
      </w:r>
      <w:r w:rsidR="00E52C19" w:rsidRPr="00237760">
        <w:rPr>
          <w:rFonts w:ascii="Arial" w:hAnsi="Arial" w:cs="Arial"/>
          <w:noProof/>
          <w:color w:val="auto"/>
          <w:sz w:val="24"/>
          <w:szCs w:val="24"/>
        </w:rPr>
        <w:t>4</w:t>
      </w:r>
      <w:r w:rsidR="000771CB" w:rsidRPr="00237760">
        <w:rPr>
          <w:rFonts w:ascii="Arial" w:hAnsi="Arial" w:cs="Arial"/>
          <w:color w:val="auto"/>
          <w:sz w:val="24"/>
          <w:szCs w:val="24"/>
        </w:rPr>
        <w:fldChar w:fldCharType="end"/>
      </w:r>
      <w:r w:rsidR="000771CB" w:rsidRPr="00237760">
        <w:rPr>
          <w:rFonts w:ascii="Arial" w:hAnsi="Arial" w:cs="Arial"/>
          <w:color w:val="auto"/>
          <w:sz w:val="24"/>
          <w:szCs w:val="24"/>
        </w:rPr>
        <w:t>)</w:t>
      </w:r>
      <w:r w:rsidR="004801C1" w:rsidRPr="00237760">
        <w:rPr>
          <w:rFonts w:ascii="Arial" w:hAnsi="Arial" w:cs="Arial"/>
          <w:color w:val="auto"/>
          <w:sz w:val="24"/>
          <w:szCs w:val="24"/>
        </w:rPr>
        <w:t xml:space="preserve">. </w:t>
      </w:r>
      <w:r w:rsidR="00584663" w:rsidRPr="00237760">
        <w:rPr>
          <w:rFonts w:ascii="Arial" w:hAnsi="Arial" w:cs="Arial"/>
          <w:color w:val="auto"/>
          <w:sz w:val="24"/>
          <w:szCs w:val="24"/>
        </w:rPr>
        <w:t>Te cele</w:t>
      </w:r>
      <w:r w:rsidR="00A92BF9" w:rsidRPr="00237760">
        <w:rPr>
          <w:rFonts w:ascii="Arial" w:hAnsi="Arial" w:cs="Arial"/>
          <w:color w:val="auto"/>
          <w:sz w:val="24"/>
          <w:szCs w:val="24"/>
        </w:rPr>
        <w:t xml:space="preserve"> odpowiada</w:t>
      </w:r>
      <w:r w:rsidR="00584663" w:rsidRPr="00237760">
        <w:rPr>
          <w:rFonts w:ascii="Arial" w:hAnsi="Arial" w:cs="Arial"/>
          <w:color w:val="auto"/>
          <w:sz w:val="24"/>
          <w:szCs w:val="24"/>
        </w:rPr>
        <w:t>ją</w:t>
      </w:r>
      <w:r w:rsidR="00A92BF9" w:rsidRPr="00237760">
        <w:rPr>
          <w:rFonts w:ascii="Arial" w:hAnsi="Arial" w:cs="Arial"/>
          <w:color w:val="auto"/>
          <w:sz w:val="24"/>
          <w:szCs w:val="24"/>
        </w:rPr>
        <w:t xml:space="preserve"> na </w:t>
      </w:r>
      <w:r w:rsidR="00507CDE" w:rsidRPr="00237760">
        <w:rPr>
          <w:rFonts w:ascii="Arial" w:hAnsi="Arial" w:cs="Arial"/>
          <w:color w:val="auto"/>
          <w:sz w:val="24"/>
          <w:szCs w:val="24"/>
        </w:rPr>
        <w:t>kilk</w:t>
      </w:r>
      <w:r w:rsidR="0024687A" w:rsidRPr="00237760">
        <w:rPr>
          <w:rFonts w:ascii="Arial" w:hAnsi="Arial" w:cs="Arial"/>
          <w:color w:val="auto"/>
          <w:sz w:val="24"/>
          <w:szCs w:val="24"/>
        </w:rPr>
        <w:t>a</w:t>
      </w:r>
      <w:r w:rsidR="00507CDE" w:rsidRPr="00237760">
        <w:rPr>
          <w:rFonts w:ascii="Arial" w:hAnsi="Arial" w:cs="Arial"/>
          <w:color w:val="auto"/>
          <w:sz w:val="24"/>
          <w:szCs w:val="24"/>
        </w:rPr>
        <w:t xml:space="preserve">krotnie </w:t>
      </w:r>
      <w:r w:rsidR="00A92BF9" w:rsidRPr="00237760">
        <w:rPr>
          <w:rFonts w:ascii="Arial" w:hAnsi="Arial" w:cs="Arial"/>
          <w:color w:val="auto"/>
          <w:sz w:val="24"/>
          <w:szCs w:val="24"/>
        </w:rPr>
        <w:t xml:space="preserve">podkreślane wykluczenie transportowe, zarówno wewnątrz, jak i </w:t>
      </w:r>
      <w:r w:rsidR="00385A99" w:rsidRPr="00237760">
        <w:rPr>
          <w:rFonts w:ascii="Arial" w:hAnsi="Arial" w:cs="Arial"/>
          <w:color w:val="auto"/>
          <w:sz w:val="24"/>
          <w:szCs w:val="24"/>
        </w:rPr>
        <w:t xml:space="preserve">na zewnątrz województwa. </w:t>
      </w:r>
      <w:r w:rsidR="009D51DF" w:rsidRPr="00237760">
        <w:rPr>
          <w:rFonts w:ascii="Arial" w:hAnsi="Arial" w:cs="Arial"/>
          <w:color w:val="auto"/>
          <w:sz w:val="24"/>
          <w:szCs w:val="24"/>
        </w:rPr>
        <w:t xml:space="preserve">Najmniej rozwijającymi </w:t>
      </w:r>
      <w:r w:rsidR="00642971" w:rsidRPr="00237760">
        <w:rPr>
          <w:rFonts w:ascii="Arial" w:hAnsi="Arial" w:cs="Arial"/>
          <w:color w:val="auto"/>
          <w:sz w:val="24"/>
          <w:szCs w:val="24"/>
        </w:rPr>
        <w:t xml:space="preserve">czynniki celami są </w:t>
      </w:r>
      <w:r w:rsidR="008334F7" w:rsidRPr="00237760">
        <w:rPr>
          <w:rFonts w:ascii="Arial" w:hAnsi="Arial" w:cs="Arial"/>
          <w:color w:val="auto"/>
          <w:sz w:val="24"/>
          <w:szCs w:val="24"/>
        </w:rPr>
        <w:t>cel podstawowy 3.</w:t>
      </w:r>
      <w:r w:rsidR="00642971" w:rsidRPr="00237760">
        <w:rPr>
          <w:rFonts w:ascii="Arial" w:hAnsi="Arial" w:cs="Arial"/>
          <w:color w:val="auto"/>
          <w:sz w:val="24"/>
          <w:szCs w:val="24"/>
        </w:rPr>
        <w:t xml:space="preserve"> oraz cel horyzontalny 4. Nawiązują one do </w:t>
      </w:r>
      <w:r w:rsidR="009D4A86" w:rsidRPr="00237760">
        <w:rPr>
          <w:rFonts w:ascii="Arial" w:hAnsi="Arial" w:cs="Arial"/>
          <w:color w:val="auto"/>
          <w:sz w:val="24"/>
          <w:szCs w:val="24"/>
        </w:rPr>
        <w:t xml:space="preserve">prawidłowego finansowania </w:t>
      </w:r>
      <w:r w:rsidR="00D16B40" w:rsidRPr="00237760">
        <w:rPr>
          <w:rFonts w:ascii="Arial" w:hAnsi="Arial" w:cs="Arial"/>
          <w:color w:val="auto"/>
          <w:sz w:val="24"/>
          <w:szCs w:val="24"/>
        </w:rPr>
        <w:t xml:space="preserve">potrzeb województwa. </w:t>
      </w:r>
    </w:p>
    <w:p w14:paraId="606C2EFC" w14:textId="7BEDE4E5" w:rsidR="00EA1C1E" w:rsidRPr="00237760" w:rsidRDefault="00EA1C1E" w:rsidP="009367B4">
      <w:pPr>
        <w:pStyle w:val="Legenda"/>
        <w:keepNext/>
        <w:jc w:val="left"/>
        <w:rPr>
          <w:rFonts w:ascii="Arial" w:hAnsi="Arial" w:cs="Arial"/>
          <w:color w:val="auto"/>
          <w:sz w:val="24"/>
          <w:szCs w:val="24"/>
        </w:rPr>
      </w:pPr>
      <w:bookmarkStart w:id="42" w:name="_Ref97303483"/>
      <w:bookmarkStart w:id="43" w:name="_Toc101904245"/>
      <w:r w:rsidRPr="00237760">
        <w:rPr>
          <w:rFonts w:ascii="Arial" w:hAnsi="Arial" w:cs="Arial"/>
          <w:color w:val="auto"/>
          <w:sz w:val="24"/>
          <w:szCs w:val="24"/>
        </w:rPr>
        <w:t xml:space="preserve">Tabela </w:t>
      </w:r>
      <w:r w:rsidR="00072021" w:rsidRPr="00237760">
        <w:rPr>
          <w:rFonts w:ascii="Arial" w:hAnsi="Arial" w:cs="Arial"/>
          <w:noProof/>
          <w:color w:val="auto"/>
          <w:sz w:val="24"/>
          <w:szCs w:val="24"/>
        </w:rPr>
        <w:fldChar w:fldCharType="begin"/>
      </w:r>
      <w:r w:rsidR="00072021" w:rsidRPr="00237760">
        <w:rPr>
          <w:rFonts w:ascii="Arial" w:hAnsi="Arial" w:cs="Arial"/>
          <w:noProof/>
          <w:color w:val="auto"/>
          <w:sz w:val="24"/>
          <w:szCs w:val="24"/>
        </w:rPr>
        <w:instrText xml:space="preserve"> SEQ Tabela \* ARABIC </w:instrText>
      </w:r>
      <w:r w:rsidR="00072021" w:rsidRPr="00237760">
        <w:rPr>
          <w:rFonts w:ascii="Arial" w:hAnsi="Arial" w:cs="Arial"/>
          <w:noProof/>
          <w:color w:val="auto"/>
          <w:sz w:val="24"/>
          <w:szCs w:val="24"/>
        </w:rPr>
        <w:fldChar w:fldCharType="separate"/>
      </w:r>
      <w:r w:rsidR="00762B20" w:rsidRPr="00237760">
        <w:rPr>
          <w:rFonts w:ascii="Arial" w:hAnsi="Arial" w:cs="Arial"/>
          <w:noProof/>
          <w:color w:val="auto"/>
          <w:sz w:val="24"/>
          <w:szCs w:val="24"/>
        </w:rPr>
        <w:t>4</w:t>
      </w:r>
      <w:r w:rsidR="00072021" w:rsidRPr="00237760">
        <w:rPr>
          <w:rFonts w:ascii="Arial" w:hAnsi="Arial" w:cs="Arial"/>
          <w:noProof/>
          <w:color w:val="auto"/>
          <w:sz w:val="24"/>
          <w:szCs w:val="24"/>
        </w:rPr>
        <w:fldChar w:fldCharType="end"/>
      </w:r>
      <w:bookmarkEnd w:id="42"/>
      <w:r w:rsidRPr="00237760">
        <w:rPr>
          <w:rFonts w:ascii="Arial" w:hAnsi="Arial" w:cs="Arial"/>
          <w:color w:val="auto"/>
          <w:sz w:val="24"/>
          <w:szCs w:val="24"/>
        </w:rPr>
        <w:t xml:space="preserve">. </w:t>
      </w:r>
      <w:r w:rsidR="00484842" w:rsidRPr="00237760">
        <w:rPr>
          <w:rFonts w:ascii="Arial" w:hAnsi="Arial" w:cs="Arial"/>
          <w:color w:val="auto"/>
          <w:sz w:val="24"/>
          <w:szCs w:val="24"/>
        </w:rPr>
        <w:t xml:space="preserve">Siła odpowiedzi celów </w:t>
      </w:r>
      <w:r w:rsidR="005674AE" w:rsidRPr="00237760">
        <w:rPr>
          <w:rFonts w:ascii="Arial" w:hAnsi="Arial" w:cs="Arial"/>
          <w:color w:val="auto"/>
          <w:sz w:val="24"/>
          <w:szCs w:val="24"/>
        </w:rPr>
        <w:t xml:space="preserve">PSRT </w:t>
      </w:r>
      <w:r w:rsidR="00D61902" w:rsidRPr="00237760">
        <w:rPr>
          <w:rFonts w:ascii="Arial" w:hAnsi="Arial" w:cs="Arial"/>
          <w:color w:val="auto"/>
          <w:sz w:val="24"/>
          <w:szCs w:val="24"/>
        </w:rPr>
        <w:t xml:space="preserve">WP </w:t>
      </w:r>
      <w:r w:rsidR="005674AE" w:rsidRPr="00237760">
        <w:rPr>
          <w:rFonts w:ascii="Arial" w:hAnsi="Arial" w:cs="Arial"/>
          <w:color w:val="auto"/>
          <w:sz w:val="24"/>
          <w:szCs w:val="24"/>
        </w:rPr>
        <w:t>2030</w:t>
      </w:r>
      <w:r w:rsidR="00DC1D73" w:rsidRPr="00237760">
        <w:rPr>
          <w:rFonts w:ascii="Arial" w:hAnsi="Arial" w:cs="Arial"/>
          <w:color w:val="auto"/>
          <w:sz w:val="24"/>
          <w:szCs w:val="24"/>
        </w:rPr>
        <w:t xml:space="preserve"> w stosunku do wyzwań i potrzeb określonych w Strategii rozwoju województwa – Podkarpacie 2030</w:t>
      </w:r>
      <w:bookmarkEnd w:id="43"/>
    </w:p>
    <w:tbl>
      <w:tblPr>
        <w:tblStyle w:val="Tabela-Siatka"/>
        <w:tblW w:w="9072" w:type="dxa"/>
        <w:tblBorders>
          <w:top w:val="single" w:sz="12" w:space="0" w:color="002060"/>
          <w:left w:val="none" w:sz="0" w:space="0" w:color="auto"/>
          <w:bottom w:val="single" w:sz="12" w:space="0" w:color="002060"/>
          <w:right w:val="none" w:sz="0" w:space="0" w:color="auto"/>
          <w:insideH w:val="single" w:sz="4" w:space="0" w:color="9CC2E5" w:themeColor="accent1" w:themeTint="99"/>
          <w:insideV w:val="none" w:sz="0" w:space="0" w:color="auto"/>
        </w:tblBorders>
        <w:tblLayout w:type="fixed"/>
        <w:tblLook w:val="04A0" w:firstRow="1" w:lastRow="0" w:firstColumn="1" w:lastColumn="0" w:noHBand="0" w:noVBand="1"/>
        <w:tblCaption w:val="Tabela 4. Siła odpowiedzi celów PSRT WP 2030 w stosunku do wyzwań i potrzeb określonych w Strategii rozwoju województwa – Podkarpacie 2030"/>
        <w:tblDescription w:val="Tabela zawiera Cele Programu Strategicznego Rozwoju Transportu &#10;Województwa Podkarpackiego do roku 2030 i Siła odpowiedzi celów PSRT WP na wyzwania i potrzeby&#10;"/>
      </w:tblPr>
      <w:tblGrid>
        <w:gridCol w:w="6379"/>
        <w:gridCol w:w="2693"/>
      </w:tblGrid>
      <w:tr w:rsidR="00237760" w:rsidRPr="00237760" w14:paraId="27753994" w14:textId="77777777" w:rsidTr="009F6BD4">
        <w:trPr>
          <w:trHeight w:val="294"/>
          <w:tblHeader/>
        </w:trPr>
        <w:tc>
          <w:tcPr>
            <w:tcW w:w="6379" w:type="dxa"/>
            <w:shd w:val="clear" w:color="auto" w:fill="auto"/>
            <w:vAlign w:val="center"/>
            <w:hideMark/>
          </w:tcPr>
          <w:p w14:paraId="03F049D9" w14:textId="77777777" w:rsidR="004D40FE" w:rsidRPr="00237760" w:rsidRDefault="004D40FE" w:rsidP="009367B4">
            <w:pPr>
              <w:spacing w:after="0"/>
              <w:jc w:val="left"/>
              <w:rPr>
                <w:rFonts w:ascii="Arial" w:hAnsi="Arial" w:cs="Arial"/>
                <w:b/>
                <w:color w:val="auto"/>
                <w:sz w:val="24"/>
                <w:szCs w:val="24"/>
                <w:lang w:eastAsia="pl-PL"/>
              </w:rPr>
            </w:pPr>
            <w:r w:rsidRPr="00237760">
              <w:rPr>
                <w:rFonts w:ascii="Arial" w:eastAsiaTheme="minorHAnsi" w:hAnsi="Arial" w:cs="Arial"/>
                <w:b/>
                <w:color w:val="auto"/>
                <w:sz w:val="24"/>
                <w:szCs w:val="24"/>
              </w:rPr>
              <w:t xml:space="preserve">Cele Programu Strategicznego Rozwoju Transportu </w:t>
            </w:r>
            <w:r w:rsidRPr="00237760">
              <w:rPr>
                <w:rFonts w:ascii="Arial" w:eastAsiaTheme="minorHAnsi" w:hAnsi="Arial" w:cs="Arial"/>
                <w:b/>
                <w:color w:val="auto"/>
                <w:sz w:val="24"/>
                <w:szCs w:val="24"/>
              </w:rPr>
              <w:br/>
              <w:t>Województwa Podkarpackiego do roku 2030</w:t>
            </w:r>
          </w:p>
        </w:tc>
        <w:tc>
          <w:tcPr>
            <w:tcW w:w="2693" w:type="dxa"/>
            <w:shd w:val="clear" w:color="auto" w:fill="auto"/>
            <w:vAlign w:val="center"/>
          </w:tcPr>
          <w:p w14:paraId="344DCB18" w14:textId="3D62297F" w:rsidR="004D40FE" w:rsidRPr="00237760" w:rsidRDefault="004D40FE" w:rsidP="009367B4">
            <w:pPr>
              <w:spacing w:after="0"/>
              <w:jc w:val="left"/>
              <w:rPr>
                <w:rFonts w:ascii="Arial" w:eastAsiaTheme="minorHAnsi" w:hAnsi="Arial" w:cs="Arial"/>
                <w:b/>
                <w:color w:val="auto"/>
                <w:sz w:val="24"/>
                <w:szCs w:val="24"/>
              </w:rPr>
            </w:pPr>
            <w:r w:rsidRPr="00237760">
              <w:rPr>
                <w:rFonts w:ascii="Arial" w:eastAsiaTheme="minorHAnsi" w:hAnsi="Arial" w:cs="Arial"/>
                <w:b/>
                <w:color w:val="auto"/>
                <w:sz w:val="24"/>
                <w:szCs w:val="24"/>
              </w:rPr>
              <w:t xml:space="preserve">Siła odpowiedzi celów </w:t>
            </w:r>
            <w:r w:rsidR="00F311FF" w:rsidRPr="00237760">
              <w:rPr>
                <w:rFonts w:ascii="Arial" w:eastAsiaTheme="minorHAnsi" w:hAnsi="Arial" w:cs="Arial"/>
                <w:b/>
                <w:color w:val="auto"/>
                <w:sz w:val="24"/>
                <w:szCs w:val="24"/>
              </w:rPr>
              <w:t>PSRT WP</w:t>
            </w:r>
            <w:r w:rsidRPr="00237760">
              <w:rPr>
                <w:rFonts w:ascii="Arial" w:eastAsiaTheme="minorHAnsi" w:hAnsi="Arial" w:cs="Arial"/>
                <w:b/>
                <w:color w:val="auto"/>
                <w:sz w:val="24"/>
                <w:szCs w:val="24"/>
              </w:rPr>
              <w:t xml:space="preserve"> na wyzwania i potrzeby</w:t>
            </w:r>
          </w:p>
        </w:tc>
      </w:tr>
      <w:tr w:rsidR="00237760" w:rsidRPr="00237760" w14:paraId="17F17118" w14:textId="77777777" w:rsidTr="00076068">
        <w:trPr>
          <w:trHeight w:val="113"/>
        </w:trPr>
        <w:tc>
          <w:tcPr>
            <w:tcW w:w="6379" w:type="dxa"/>
            <w:shd w:val="clear" w:color="auto" w:fill="auto"/>
            <w:vAlign w:val="center"/>
          </w:tcPr>
          <w:p w14:paraId="572E9EC8" w14:textId="32E16B69" w:rsidR="00362986" w:rsidRPr="00237760" w:rsidRDefault="00362986" w:rsidP="009367B4">
            <w:pPr>
              <w:spacing w:after="0"/>
              <w:jc w:val="left"/>
              <w:rPr>
                <w:rFonts w:ascii="Arial" w:eastAsiaTheme="minorHAnsi" w:hAnsi="Arial" w:cs="Arial"/>
                <w:color w:val="auto"/>
                <w:sz w:val="24"/>
                <w:szCs w:val="24"/>
              </w:rPr>
            </w:pPr>
            <w:r w:rsidRPr="00237760">
              <w:rPr>
                <w:rFonts w:ascii="Arial" w:eastAsiaTheme="minorHAnsi" w:hAnsi="Arial" w:cs="Arial"/>
                <w:color w:val="auto"/>
                <w:sz w:val="24"/>
                <w:szCs w:val="24"/>
              </w:rPr>
              <w:t>Cel podstawowy 1. Dostępność zewnętrzna</w:t>
            </w:r>
          </w:p>
        </w:tc>
        <w:tc>
          <w:tcPr>
            <w:tcW w:w="2693" w:type="dxa"/>
            <w:shd w:val="clear" w:color="auto" w:fill="auto"/>
            <w:vAlign w:val="center"/>
          </w:tcPr>
          <w:p w14:paraId="328E4B74" w14:textId="674FB1F9" w:rsidR="00362986" w:rsidRPr="00237760" w:rsidRDefault="00362986" w:rsidP="009367B4">
            <w:pPr>
              <w:spacing w:after="0"/>
              <w:jc w:val="left"/>
              <w:rPr>
                <w:rFonts w:ascii="Arial" w:hAnsi="Arial" w:cs="Arial"/>
                <w:color w:val="auto"/>
                <w:sz w:val="24"/>
                <w:szCs w:val="24"/>
              </w:rPr>
            </w:pPr>
            <w:r w:rsidRPr="00237760">
              <w:rPr>
                <w:rFonts w:ascii="Arial" w:hAnsi="Arial" w:cs="Arial"/>
                <w:color w:val="auto"/>
                <w:sz w:val="24"/>
                <w:szCs w:val="24"/>
              </w:rPr>
              <w:t>+++</w:t>
            </w:r>
          </w:p>
        </w:tc>
      </w:tr>
      <w:tr w:rsidR="00237760" w:rsidRPr="00237760" w14:paraId="63805FBC" w14:textId="77777777" w:rsidTr="00076068">
        <w:trPr>
          <w:trHeight w:val="113"/>
        </w:trPr>
        <w:tc>
          <w:tcPr>
            <w:tcW w:w="6379" w:type="dxa"/>
            <w:shd w:val="clear" w:color="auto" w:fill="auto"/>
            <w:vAlign w:val="center"/>
          </w:tcPr>
          <w:p w14:paraId="248C51EE" w14:textId="7663EFE0" w:rsidR="00362986" w:rsidRPr="00237760" w:rsidRDefault="00362986" w:rsidP="009367B4">
            <w:pPr>
              <w:spacing w:after="0"/>
              <w:jc w:val="left"/>
              <w:rPr>
                <w:rFonts w:ascii="Arial" w:eastAsiaTheme="minorHAnsi" w:hAnsi="Arial" w:cs="Arial"/>
                <w:color w:val="auto"/>
                <w:sz w:val="24"/>
                <w:szCs w:val="24"/>
              </w:rPr>
            </w:pPr>
            <w:r w:rsidRPr="00237760">
              <w:rPr>
                <w:rFonts w:ascii="Arial" w:eastAsiaTheme="minorHAnsi" w:hAnsi="Arial" w:cs="Arial"/>
                <w:color w:val="auto"/>
                <w:sz w:val="24"/>
                <w:szCs w:val="24"/>
              </w:rPr>
              <w:t>Cel podstawowy 2. Transportowa spójność wewnętrzna</w:t>
            </w:r>
          </w:p>
        </w:tc>
        <w:tc>
          <w:tcPr>
            <w:tcW w:w="2693" w:type="dxa"/>
            <w:shd w:val="clear" w:color="auto" w:fill="auto"/>
            <w:vAlign w:val="center"/>
          </w:tcPr>
          <w:p w14:paraId="362FD162" w14:textId="6E91F522" w:rsidR="00362986" w:rsidRPr="00237760" w:rsidRDefault="00362986" w:rsidP="009367B4">
            <w:pPr>
              <w:spacing w:after="0"/>
              <w:jc w:val="left"/>
              <w:rPr>
                <w:rFonts w:ascii="Arial" w:hAnsi="Arial" w:cs="Arial"/>
                <w:color w:val="auto"/>
                <w:sz w:val="24"/>
                <w:szCs w:val="24"/>
              </w:rPr>
            </w:pPr>
            <w:r w:rsidRPr="00237760">
              <w:rPr>
                <w:rFonts w:ascii="Arial" w:hAnsi="Arial" w:cs="Arial"/>
                <w:color w:val="auto"/>
                <w:sz w:val="24"/>
                <w:szCs w:val="24"/>
              </w:rPr>
              <w:t>+++</w:t>
            </w:r>
          </w:p>
        </w:tc>
      </w:tr>
      <w:tr w:rsidR="00237760" w:rsidRPr="00237760" w14:paraId="2807E65F" w14:textId="77777777" w:rsidTr="00076068">
        <w:trPr>
          <w:trHeight w:val="113"/>
        </w:trPr>
        <w:tc>
          <w:tcPr>
            <w:tcW w:w="6379" w:type="dxa"/>
            <w:shd w:val="clear" w:color="auto" w:fill="auto"/>
            <w:vAlign w:val="center"/>
          </w:tcPr>
          <w:p w14:paraId="4EE5A5E8" w14:textId="7E54A79B" w:rsidR="00362986" w:rsidRPr="00237760" w:rsidRDefault="00362986" w:rsidP="009367B4">
            <w:pPr>
              <w:spacing w:after="0"/>
              <w:jc w:val="left"/>
              <w:rPr>
                <w:rFonts w:ascii="Arial" w:eastAsiaTheme="minorHAnsi" w:hAnsi="Arial" w:cs="Arial"/>
                <w:color w:val="auto"/>
                <w:sz w:val="24"/>
                <w:szCs w:val="24"/>
              </w:rPr>
            </w:pPr>
            <w:r w:rsidRPr="00237760">
              <w:rPr>
                <w:rFonts w:ascii="Arial" w:eastAsiaTheme="minorHAnsi" w:hAnsi="Arial" w:cs="Arial"/>
                <w:color w:val="auto"/>
                <w:sz w:val="24"/>
                <w:szCs w:val="24"/>
              </w:rPr>
              <w:t>Cel podstawowy 3. Integracja MOF</w:t>
            </w:r>
          </w:p>
        </w:tc>
        <w:tc>
          <w:tcPr>
            <w:tcW w:w="2693" w:type="dxa"/>
            <w:shd w:val="clear" w:color="auto" w:fill="auto"/>
            <w:vAlign w:val="center"/>
          </w:tcPr>
          <w:p w14:paraId="5B1AA3B9" w14:textId="1E463FC2" w:rsidR="00362986" w:rsidRPr="00237760" w:rsidRDefault="00362986" w:rsidP="009367B4">
            <w:pPr>
              <w:spacing w:after="0"/>
              <w:jc w:val="left"/>
              <w:rPr>
                <w:rFonts w:ascii="Arial" w:hAnsi="Arial" w:cs="Arial"/>
                <w:color w:val="auto"/>
                <w:sz w:val="24"/>
                <w:szCs w:val="24"/>
              </w:rPr>
            </w:pPr>
            <w:r w:rsidRPr="00237760">
              <w:rPr>
                <w:rFonts w:ascii="Arial" w:hAnsi="Arial" w:cs="Arial"/>
                <w:color w:val="auto"/>
                <w:sz w:val="24"/>
                <w:szCs w:val="24"/>
              </w:rPr>
              <w:t>+</w:t>
            </w:r>
          </w:p>
        </w:tc>
      </w:tr>
      <w:tr w:rsidR="00237760" w:rsidRPr="00237760" w14:paraId="2ABFFA7B" w14:textId="77777777" w:rsidTr="00076068">
        <w:trPr>
          <w:trHeight w:val="113"/>
        </w:trPr>
        <w:tc>
          <w:tcPr>
            <w:tcW w:w="6379" w:type="dxa"/>
            <w:shd w:val="clear" w:color="auto" w:fill="auto"/>
            <w:vAlign w:val="center"/>
          </w:tcPr>
          <w:p w14:paraId="521D8F25" w14:textId="4EF30E10" w:rsidR="00362986" w:rsidRPr="00237760" w:rsidRDefault="00362986" w:rsidP="009367B4">
            <w:pPr>
              <w:spacing w:after="0"/>
              <w:jc w:val="left"/>
              <w:rPr>
                <w:rFonts w:ascii="Arial" w:eastAsiaTheme="minorHAnsi" w:hAnsi="Arial" w:cs="Arial"/>
                <w:color w:val="auto"/>
                <w:sz w:val="24"/>
                <w:szCs w:val="24"/>
              </w:rPr>
            </w:pPr>
            <w:r w:rsidRPr="00237760">
              <w:rPr>
                <w:rFonts w:ascii="Arial" w:eastAsiaTheme="minorHAnsi" w:hAnsi="Arial" w:cs="Arial"/>
                <w:color w:val="auto"/>
                <w:sz w:val="24"/>
                <w:szCs w:val="24"/>
              </w:rPr>
              <w:t>Cel horyzontalny 1. Ograniczenie negatywnego oddziaływania sektora transportu na klimat oraz na regionalne środowisko naturalne</w:t>
            </w:r>
          </w:p>
        </w:tc>
        <w:tc>
          <w:tcPr>
            <w:tcW w:w="2693" w:type="dxa"/>
            <w:shd w:val="clear" w:color="auto" w:fill="auto"/>
            <w:vAlign w:val="center"/>
          </w:tcPr>
          <w:p w14:paraId="530966F7" w14:textId="13CE127D" w:rsidR="00362986" w:rsidRPr="00237760" w:rsidRDefault="00362986" w:rsidP="009367B4">
            <w:pPr>
              <w:spacing w:after="0"/>
              <w:jc w:val="left"/>
              <w:rPr>
                <w:rFonts w:ascii="Arial" w:hAnsi="Arial" w:cs="Arial"/>
                <w:color w:val="auto"/>
                <w:sz w:val="24"/>
                <w:szCs w:val="24"/>
              </w:rPr>
            </w:pPr>
            <w:r w:rsidRPr="00237760">
              <w:rPr>
                <w:rFonts w:ascii="Arial" w:hAnsi="Arial" w:cs="Arial"/>
                <w:color w:val="auto"/>
                <w:sz w:val="24"/>
                <w:szCs w:val="24"/>
              </w:rPr>
              <w:t>++</w:t>
            </w:r>
          </w:p>
        </w:tc>
      </w:tr>
      <w:tr w:rsidR="00237760" w:rsidRPr="00237760" w14:paraId="2D9F3DCE" w14:textId="77777777" w:rsidTr="00076068">
        <w:trPr>
          <w:trHeight w:val="113"/>
        </w:trPr>
        <w:tc>
          <w:tcPr>
            <w:tcW w:w="6379" w:type="dxa"/>
            <w:shd w:val="clear" w:color="auto" w:fill="auto"/>
            <w:vAlign w:val="center"/>
          </w:tcPr>
          <w:p w14:paraId="21F917FA" w14:textId="3FB5FA9C" w:rsidR="00362986" w:rsidRPr="00237760" w:rsidRDefault="00362986" w:rsidP="009367B4">
            <w:pPr>
              <w:spacing w:after="0"/>
              <w:jc w:val="left"/>
              <w:rPr>
                <w:rFonts w:ascii="Arial" w:eastAsiaTheme="minorHAnsi" w:hAnsi="Arial" w:cs="Arial"/>
                <w:color w:val="auto"/>
                <w:sz w:val="24"/>
                <w:szCs w:val="24"/>
              </w:rPr>
            </w:pPr>
            <w:r w:rsidRPr="00237760">
              <w:rPr>
                <w:rFonts w:ascii="Arial" w:eastAsiaTheme="minorHAnsi" w:hAnsi="Arial" w:cs="Arial"/>
                <w:color w:val="auto"/>
                <w:sz w:val="24"/>
                <w:szCs w:val="24"/>
              </w:rPr>
              <w:t>Cel horyzontalny 2. Wzmocnienie rozwiązań multimodalnych</w:t>
            </w:r>
          </w:p>
        </w:tc>
        <w:tc>
          <w:tcPr>
            <w:tcW w:w="2693" w:type="dxa"/>
            <w:shd w:val="clear" w:color="auto" w:fill="auto"/>
            <w:vAlign w:val="center"/>
          </w:tcPr>
          <w:p w14:paraId="6C199CBF" w14:textId="3C02BEA7" w:rsidR="00362986" w:rsidRPr="00237760" w:rsidRDefault="00362986" w:rsidP="009367B4">
            <w:pPr>
              <w:spacing w:after="0"/>
              <w:jc w:val="left"/>
              <w:rPr>
                <w:rFonts w:ascii="Arial" w:hAnsi="Arial" w:cs="Arial"/>
                <w:color w:val="auto"/>
                <w:sz w:val="24"/>
                <w:szCs w:val="24"/>
              </w:rPr>
            </w:pPr>
            <w:r w:rsidRPr="00237760">
              <w:rPr>
                <w:rFonts w:ascii="Arial" w:hAnsi="Arial" w:cs="Arial"/>
                <w:color w:val="auto"/>
                <w:sz w:val="24"/>
                <w:szCs w:val="24"/>
              </w:rPr>
              <w:t>++</w:t>
            </w:r>
          </w:p>
        </w:tc>
      </w:tr>
      <w:tr w:rsidR="00237760" w:rsidRPr="00237760" w14:paraId="1E397222" w14:textId="77777777" w:rsidTr="00076068">
        <w:trPr>
          <w:trHeight w:val="113"/>
        </w:trPr>
        <w:tc>
          <w:tcPr>
            <w:tcW w:w="6379" w:type="dxa"/>
            <w:shd w:val="clear" w:color="auto" w:fill="auto"/>
            <w:vAlign w:val="center"/>
          </w:tcPr>
          <w:p w14:paraId="5112C966" w14:textId="7C3F8A07" w:rsidR="00362986" w:rsidRPr="00237760" w:rsidRDefault="00362986" w:rsidP="009367B4">
            <w:pPr>
              <w:spacing w:after="0"/>
              <w:jc w:val="left"/>
              <w:rPr>
                <w:rFonts w:ascii="Arial" w:eastAsiaTheme="minorHAnsi" w:hAnsi="Arial" w:cs="Arial"/>
                <w:color w:val="auto"/>
                <w:sz w:val="24"/>
                <w:szCs w:val="24"/>
              </w:rPr>
            </w:pPr>
            <w:r w:rsidRPr="00237760">
              <w:rPr>
                <w:rFonts w:ascii="Arial" w:eastAsiaTheme="minorHAnsi" w:hAnsi="Arial" w:cs="Arial"/>
                <w:color w:val="auto"/>
                <w:sz w:val="24"/>
                <w:szCs w:val="24"/>
              </w:rPr>
              <w:t>Cel horyzontalny 3. Transport publiczny</w:t>
            </w:r>
          </w:p>
        </w:tc>
        <w:tc>
          <w:tcPr>
            <w:tcW w:w="2693" w:type="dxa"/>
            <w:shd w:val="clear" w:color="auto" w:fill="auto"/>
            <w:vAlign w:val="center"/>
          </w:tcPr>
          <w:p w14:paraId="58C5256B" w14:textId="6F44A46A" w:rsidR="00362986" w:rsidRPr="00237760" w:rsidRDefault="00362986" w:rsidP="009367B4">
            <w:pPr>
              <w:spacing w:after="0"/>
              <w:jc w:val="left"/>
              <w:rPr>
                <w:rFonts w:ascii="Arial" w:hAnsi="Arial" w:cs="Arial"/>
                <w:color w:val="auto"/>
                <w:sz w:val="24"/>
                <w:szCs w:val="24"/>
              </w:rPr>
            </w:pPr>
            <w:r w:rsidRPr="00237760">
              <w:rPr>
                <w:rFonts w:ascii="Arial" w:hAnsi="Arial" w:cs="Arial"/>
                <w:color w:val="auto"/>
                <w:sz w:val="24"/>
                <w:szCs w:val="24"/>
              </w:rPr>
              <w:t>++</w:t>
            </w:r>
          </w:p>
        </w:tc>
      </w:tr>
      <w:tr w:rsidR="00237760" w:rsidRPr="00237760" w14:paraId="78BB407A" w14:textId="77777777" w:rsidTr="00076068">
        <w:trPr>
          <w:trHeight w:val="113"/>
        </w:trPr>
        <w:tc>
          <w:tcPr>
            <w:tcW w:w="6379" w:type="dxa"/>
            <w:shd w:val="clear" w:color="auto" w:fill="auto"/>
            <w:vAlign w:val="center"/>
          </w:tcPr>
          <w:p w14:paraId="1CDC4A49" w14:textId="20903F74" w:rsidR="00362986" w:rsidRPr="00237760" w:rsidRDefault="00362986" w:rsidP="009367B4">
            <w:pPr>
              <w:spacing w:after="0"/>
              <w:jc w:val="left"/>
              <w:rPr>
                <w:rFonts w:ascii="Arial" w:eastAsiaTheme="minorHAnsi" w:hAnsi="Arial" w:cs="Arial"/>
                <w:color w:val="auto"/>
                <w:sz w:val="24"/>
                <w:szCs w:val="24"/>
              </w:rPr>
            </w:pPr>
            <w:r w:rsidRPr="00237760">
              <w:rPr>
                <w:rFonts w:ascii="Arial" w:eastAsiaTheme="minorHAnsi" w:hAnsi="Arial" w:cs="Arial"/>
                <w:color w:val="auto"/>
                <w:sz w:val="24"/>
                <w:szCs w:val="24"/>
              </w:rPr>
              <w:t>Cel horyzontalny 4. Poprawa bezpieczeństwa w transporcie</w:t>
            </w:r>
          </w:p>
        </w:tc>
        <w:tc>
          <w:tcPr>
            <w:tcW w:w="2693" w:type="dxa"/>
            <w:shd w:val="clear" w:color="auto" w:fill="auto"/>
            <w:vAlign w:val="center"/>
          </w:tcPr>
          <w:p w14:paraId="4A1A9462" w14:textId="01BFFFDA" w:rsidR="00362986" w:rsidRPr="00237760" w:rsidRDefault="00362986" w:rsidP="009367B4">
            <w:pPr>
              <w:spacing w:after="0"/>
              <w:jc w:val="left"/>
              <w:rPr>
                <w:rFonts w:ascii="Arial" w:hAnsi="Arial" w:cs="Arial"/>
                <w:color w:val="auto"/>
                <w:sz w:val="24"/>
                <w:szCs w:val="24"/>
              </w:rPr>
            </w:pPr>
            <w:r w:rsidRPr="00237760">
              <w:rPr>
                <w:rFonts w:ascii="Arial" w:hAnsi="Arial" w:cs="Arial"/>
                <w:color w:val="auto"/>
                <w:sz w:val="24"/>
                <w:szCs w:val="24"/>
              </w:rPr>
              <w:t>+</w:t>
            </w:r>
          </w:p>
        </w:tc>
      </w:tr>
    </w:tbl>
    <w:p w14:paraId="5FCA3896" w14:textId="51478B48" w:rsidR="004D40FE" w:rsidRPr="00237760" w:rsidRDefault="004D40FE" w:rsidP="009367B4">
      <w:pPr>
        <w:spacing w:after="0" w:line="240" w:lineRule="auto"/>
        <w:jc w:val="left"/>
        <w:rPr>
          <w:rFonts w:ascii="Arial" w:hAnsi="Arial" w:cs="Arial"/>
          <w:color w:val="auto"/>
          <w:sz w:val="24"/>
          <w:szCs w:val="24"/>
        </w:rPr>
      </w:pPr>
      <w:r w:rsidRPr="00237760">
        <w:rPr>
          <w:rFonts w:ascii="Arial" w:hAnsi="Arial" w:cs="Arial"/>
          <w:b/>
          <w:bCs/>
          <w:color w:val="auto"/>
          <w:sz w:val="24"/>
          <w:szCs w:val="24"/>
        </w:rPr>
        <w:t>++</w:t>
      </w:r>
      <w:r w:rsidRPr="00237760">
        <w:rPr>
          <w:rFonts w:ascii="Arial" w:hAnsi="Arial" w:cs="Arial"/>
          <w:color w:val="auto"/>
          <w:sz w:val="24"/>
          <w:szCs w:val="24"/>
        </w:rPr>
        <w:t xml:space="preserve"> duża siła, + mała siła, 0 n</w:t>
      </w:r>
      <w:r w:rsidR="008D439F" w:rsidRPr="00237760">
        <w:rPr>
          <w:rFonts w:ascii="Arial" w:hAnsi="Arial" w:cs="Arial"/>
          <w:color w:val="auto"/>
          <w:sz w:val="24"/>
          <w:szCs w:val="24"/>
        </w:rPr>
        <w:t>eutralność</w:t>
      </w:r>
    </w:p>
    <w:p w14:paraId="64E421F4" w14:textId="6B926FEE" w:rsidR="00621DED" w:rsidRPr="00237760" w:rsidRDefault="004D40FE"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Źródło: opracowanie własne na podstawie PSRT WP oraz Strategii rozwoju województwa – Podkarpacie 2030.</w:t>
      </w:r>
    </w:p>
    <w:p w14:paraId="3926D0FE" w14:textId="338B7A63" w:rsidR="004B2441" w:rsidRPr="00237760" w:rsidRDefault="000E1EE0" w:rsidP="009367B4">
      <w:pPr>
        <w:jc w:val="left"/>
        <w:rPr>
          <w:rFonts w:ascii="Arial" w:hAnsi="Arial" w:cs="Arial"/>
          <w:color w:val="auto"/>
          <w:sz w:val="24"/>
          <w:szCs w:val="24"/>
        </w:rPr>
      </w:pPr>
      <w:bookmarkStart w:id="44" w:name="_Ref98337715"/>
      <w:r w:rsidRPr="00237760">
        <w:rPr>
          <w:rFonts w:ascii="Arial" w:hAnsi="Arial" w:cs="Arial"/>
          <w:color w:val="auto"/>
          <w:sz w:val="24"/>
          <w:szCs w:val="24"/>
        </w:rPr>
        <w:t xml:space="preserve">Kolejnym dokumentem traktującym </w:t>
      </w:r>
      <w:r w:rsidR="00A4727A" w:rsidRPr="00237760">
        <w:rPr>
          <w:rFonts w:ascii="Arial" w:hAnsi="Arial" w:cs="Arial"/>
          <w:color w:val="auto"/>
          <w:sz w:val="24"/>
          <w:szCs w:val="24"/>
        </w:rPr>
        <w:t xml:space="preserve">m.in. </w:t>
      </w:r>
      <w:r w:rsidRPr="00237760">
        <w:rPr>
          <w:rFonts w:ascii="Arial" w:hAnsi="Arial" w:cs="Arial"/>
          <w:color w:val="auto"/>
          <w:sz w:val="24"/>
          <w:szCs w:val="24"/>
        </w:rPr>
        <w:t xml:space="preserve">o rozwoju transportu jest </w:t>
      </w:r>
      <w:r w:rsidRPr="00237760">
        <w:rPr>
          <w:rFonts w:ascii="Arial" w:hAnsi="Arial" w:cs="Arial"/>
          <w:i/>
          <w:iCs/>
          <w:color w:val="auto"/>
          <w:sz w:val="24"/>
          <w:szCs w:val="24"/>
        </w:rPr>
        <w:t xml:space="preserve">Plan Zagospodarowania </w:t>
      </w:r>
      <w:r w:rsidR="00F420A5" w:rsidRPr="00237760">
        <w:rPr>
          <w:rFonts w:ascii="Arial" w:hAnsi="Arial" w:cs="Arial"/>
          <w:i/>
          <w:iCs/>
          <w:color w:val="auto"/>
          <w:sz w:val="24"/>
          <w:szCs w:val="24"/>
        </w:rPr>
        <w:t>Przestrzennego Województwa Podkarpackiego</w:t>
      </w:r>
      <w:r w:rsidR="00564472" w:rsidRPr="00237760">
        <w:rPr>
          <w:rFonts w:ascii="Arial" w:hAnsi="Arial" w:cs="Arial"/>
          <w:color w:val="auto"/>
          <w:sz w:val="24"/>
          <w:szCs w:val="24"/>
        </w:rPr>
        <w:t xml:space="preserve"> z perspektywą do 2030 roku. </w:t>
      </w:r>
      <w:r w:rsidR="00C90B78" w:rsidRPr="00237760">
        <w:rPr>
          <w:rFonts w:ascii="Arial" w:hAnsi="Arial" w:cs="Arial"/>
          <w:color w:val="auto"/>
          <w:sz w:val="24"/>
          <w:szCs w:val="24"/>
        </w:rPr>
        <w:t>W</w:t>
      </w:r>
      <w:r w:rsidR="004B2441" w:rsidRPr="00237760">
        <w:rPr>
          <w:rFonts w:ascii="Arial" w:hAnsi="Arial" w:cs="Arial"/>
          <w:color w:val="auto"/>
          <w:sz w:val="24"/>
          <w:szCs w:val="24"/>
        </w:rPr>
        <w:t xml:space="preserve"> </w:t>
      </w:r>
      <w:r w:rsidR="00E27054" w:rsidRPr="00237760">
        <w:rPr>
          <w:rFonts w:ascii="Arial" w:hAnsi="Arial" w:cs="Arial"/>
          <w:color w:val="auto"/>
          <w:sz w:val="24"/>
          <w:szCs w:val="24"/>
        </w:rPr>
        <w:t>zapisanej w nim wizji</w:t>
      </w:r>
      <w:r w:rsidR="00A4727A" w:rsidRPr="00237760">
        <w:rPr>
          <w:rFonts w:ascii="Arial" w:hAnsi="Arial" w:cs="Arial"/>
          <w:color w:val="auto"/>
          <w:sz w:val="24"/>
          <w:szCs w:val="24"/>
        </w:rPr>
        <w:t xml:space="preserve"> znajd</w:t>
      </w:r>
      <w:r w:rsidR="00E27054" w:rsidRPr="00237760">
        <w:rPr>
          <w:rFonts w:ascii="Arial" w:hAnsi="Arial" w:cs="Arial"/>
          <w:color w:val="auto"/>
          <w:sz w:val="24"/>
          <w:szCs w:val="24"/>
        </w:rPr>
        <w:t>ują się</w:t>
      </w:r>
      <w:r w:rsidR="00A4727A" w:rsidRPr="00237760">
        <w:rPr>
          <w:rFonts w:ascii="Arial" w:hAnsi="Arial" w:cs="Arial"/>
          <w:color w:val="auto"/>
          <w:sz w:val="24"/>
          <w:szCs w:val="24"/>
        </w:rPr>
        <w:t xml:space="preserve"> informacje o</w:t>
      </w:r>
      <w:r w:rsidR="004B2441" w:rsidRPr="00237760">
        <w:rPr>
          <w:rFonts w:ascii="Arial" w:hAnsi="Arial" w:cs="Arial"/>
          <w:color w:val="auto"/>
          <w:sz w:val="24"/>
          <w:szCs w:val="24"/>
        </w:rPr>
        <w:t>:</w:t>
      </w:r>
    </w:p>
    <w:p w14:paraId="2714ED10" w14:textId="52DA9BBC" w:rsidR="00701C24" w:rsidRPr="00237760" w:rsidRDefault="003A17EA" w:rsidP="009367B4">
      <w:pPr>
        <w:pStyle w:val="Akapitzlist"/>
        <w:numPr>
          <w:ilvl w:val="0"/>
          <w:numId w:val="56"/>
        </w:numPr>
        <w:ind w:left="426"/>
        <w:contextualSpacing/>
        <w:jc w:val="left"/>
        <w:rPr>
          <w:rFonts w:ascii="Arial" w:hAnsi="Arial" w:cs="Arial"/>
          <w:color w:val="auto"/>
          <w:sz w:val="24"/>
          <w:szCs w:val="24"/>
        </w:rPr>
      </w:pPr>
      <w:r w:rsidRPr="00237760">
        <w:rPr>
          <w:rFonts w:ascii="Arial" w:hAnsi="Arial" w:cs="Arial"/>
          <w:color w:val="auto"/>
          <w:sz w:val="24"/>
          <w:szCs w:val="24"/>
        </w:rPr>
        <w:t xml:space="preserve">wzmacnianiu Rzeszowa jako głównego ośrodku wzrostu oraz </w:t>
      </w:r>
      <w:r w:rsidR="00252B08" w:rsidRPr="00237760">
        <w:rPr>
          <w:rFonts w:ascii="Arial" w:hAnsi="Arial" w:cs="Arial"/>
          <w:color w:val="auto"/>
          <w:sz w:val="24"/>
          <w:szCs w:val="24"/>
        </w:rPr>
        <w:t xml:space="preserve">rozwoju </w:t>
      </w:r>
      <w:r w:rsidRPr="00237760">
        <w:rPr>
          <w:rFonts w:ascii="Arial" w:hAnsi="Arial" w:cs="Arial"/>
          <w:color w:val="auto"/>
          <w:sz w:val="24"/>
          <w:szCs w:val="24"/>
        </w:rPr>
        <w:t>ośrodków subregionalnych</w:t>
      </w:r>
      <w:r w:rsidR="004B2441" w:rsidRPr="00237760">
        <w:rPr>
          <w:rFonts w:ascii="Arial" w:hAnsi="Arial" w:cs="Arial"/>
          <w:color w:val="auto"/>
          <w:sz w:val="24"/>
          <w:szCs w:val="24"/>
        </w:rPr>
        <w:t>,</w:t>
      </w:r>
    </w:p>
    <w:p w14:paraId="28AA9D79" w14:textId="2E5BC73D" w:rsidR="004B2441" w:rsidRPr="00237760" w:rsidRDefault="004B2441" w:rsidP="009367B4">
      <w:pPr>
        <w:pStyle w:val="Akapitzlist"/>
        <w:numPr>
          <w:ilvl w:val="0"/>
          <w:numId w:val="56"/>
        </w:numPr>
        <w:ind w:left="426"/>
        <w:contextualSpacing/>
        <w:jc w:val="left"/>
        <w:rPr>
          <w:rFonts w:ascii="Arial" w:hAnsi="Arial" w:cs="Arial"/>
          <w:color w:val="auto"/>
          <w:sz w:val="24"/>
          <w:szCs w:val="24"/>
        </w:rPr>
      </w:pPr>
      <w:r w:rsidRPr="00237760">
        <w:rPr>
          <w:rFonts w:ascii="Arial" w:hAnsi="Arial" w:cs="Arial"/>
          <w:color w:val="auto"/>
          <w:sz w:val="24"/>
          <w:szCs w:val="24"/>
        </w:rPr>
        <w:t>zintegrowaniu systemu drogowego,</w:t>
      </w:r>
    </w:p>
    <w:p w14:paraId="55FD7F14" w14:textId="33563C6A" w:rsidR="004B2441" w:rsidRPr="00237760" w:rsidRDefault="001C452D" w:rsidP="009367B4">
      <w:pPr>
        <w:pStyle w:val="Akapitzlist"/>
        <w:numPr>
          <w:ilvl w:val="0"/>
          <w:numId w:val="56"/>
        </w:numPr>
        <w:ind w:left="426"/>
        <w:contextualSpacing/>
        <w:jc w:val="left"/>
        <w:rPr>
          <w:rFonts w:ascii="Arial" w:hAnsi="Arial" w:cs="Arial"/>
          <w:color w:val="auto"/>
          <w:sz w:val="24"/>
          <w:szCs w:val="24"/>
        </w:rPr>
      </w:pPr>
      <w:r w:rsidRPr="00237760">
        <w:rPr>
          <w:rFonts w:ascii="Arial" w:hAnsi="Arial" w:cs="Arial"/>
          <w:color w:val="auto"/>
          <w:sz w:val="24"/>
          <w:szCs w:val="24"/>
        </w:rPr>
        <w:t>modernizacji linii kolejowych,</w:t>
      </w:r>
    </w:p>
    <w:p w14:paraId="71715E2C" w14:textId="314EE850" w:rsidR="001C452D" w:rsidRPr="00237760" w:rsidRDefault="001C452D" w:rsidP="009367B4">
      <w:pPr>
        <w:pStyle w:val="Akapitzlist"/>
        <w:numPr>
          <w:ilvl w:val="0"/>
          <w:numId w:val="56"/>
        </w:numPr>
        <w:ind w:left="426"/>
        <w:contextualSpacing/>
        <w:jc w:val="left"/>
        <w:rPr>
          <w:rFonts w:ascii="Arial" w:hAnsi="Arial" w:cs="Arial"/>
          <w:color w:val="auto"/>
          <w:sz w:val="24"/>
          <w:szCs w:val="24"/>
        </w:rPr>
      </w:pPr>
      <w:r w:rsidRPr="00237760">
        <w:rPr>
          <w:rFonts w:ascii="Arial" w:hAnsi="Arial" w:cs="Arial"/>
          <w:color w:val="auto"/>
          <w:sz w:val="24"/>
          <w:szCs w:val="24"/>
        </w:rPr>
        <w:t xml:space="preserve">poprawie dostępności komunikacyjnej z resztą </w:t>
      </w:r>
      <w:r w:rsidR="00775BA8" w:rsidRPr="00237760">
        <w:rPr>
          <w:rFonts w:ascii="Arial" w:hAnsi="Arial" w:cs="Arial"/>
          <w:color w:val="auto"/>
          <w:sz w:val="24"/>
          <w:szCs w:val="24"/>
        </w:rPr>
        <w:t>kraju,</w:t>
      </w:r>
    </w:p>
    <w:p w14:paraId="79B40812" w14:textId="77CE9780" w:rsidR="00775BA8" w:rsidRPr="00237760" w:rsidRDefault="00775BA8" w:rsidP="009367B4">
      <w:pPr>
        <w:pStyle w:val="Akapitzlist"/>
        <w:numPr>
          <w:ilvl w:val="0"/>
          <w:numId w:val="56"/>
        </w:numPr>
        <w:ind w:left="426"/>
        <w:contextualSpacing/>
        <w:jc w:val="left"/>
        <w:rPr>
          <w:rFonts w:ascii="Arial" w:hAnsi="Arial" w:cs="Arial"/>
          <w:color w:val="auto"/>
          <w:sz w:val="24"/>
          <w:szCs w:val="24"/>
        </w:rPr>
      </w:pPr>
      <w:r w:rsidRPr="00237760">
        <w:rPr>
          <w:rFonts w:ascii="Arial" w:hAnsi="Arial" w:cs="Arial"/>
          <w:color w:val="auto"/>
          <w:sz w:val="24"/>
          <w:szCs w:val="24"/>
        </w:rPr>
        <w:t>poprawie standardu życia mieszkańców,</w:t>
      </w:r>
    </w:p>
    <w:p w14:paraId="7ABB42F6" w14:textId="1C6E4F62" w:rsidR="00775BA8" w:rsidRPr="00237760" w:rsidRDefault="00775BA8" w:rsidP="009367B4">
      <w:pPr>
        <w:pStyle w:val="Akapitzlist"/>
        <w:numPr>
          <w:ilvl w:val="0"/>
          <w:numId w:val="56"/>
        </w:numPr>
        <w:ind w:left="426"/>
        <w:contextualSpacing/>
        <w:jc w:val="left"/>
        <w:rPr>
          <w:rFonts w:ascii="Arial" w:hAnsi="Arial" w:cs="Arial"/>
          <w:color w:val="auto"/>
          <w:sz w:val="24"/>
          <w:szCs w:val="24"/>
        </w:rPr>
      </w:pPr>
      <w:r w:rsidRPr="00237760">
        <w:rPr>
          <w:rFonts w:ascii="Arial" w:hAnsi="Arial" w:cs="Arial"/>
          <w:color w:val="auto"/>
          <w:sz w:val="24"/>
          <w:szCs w:val="24"/>
        </w:rPr>
        <w:t xml:space="preserve">wzroście gospodarczym, </w:t>
      </w:r>
    </w:p>
    <w:p w14:paraId="3A671AA2" w14:textId="5D1442BB" w:rsidR="00775BA8" w:rsidRPr="00237760" w:rsidRDefault="00775BA8" w:rsidP="009367B4">
      <w:pPr>
        <w:pStyle w:val="Akapitzlist"/>
        <w:numPr>
          <w:ilvl w:val="0"/>
          <w:numId w:val="56"/>
        </w:numPr>
        <w:ind w:left="426"/>
        <w:contextualSpacing/>
        <w:jc w:val="left"/>
        <w:rPr>
          <w:rFonts w:ascii="Arial" w:hAnsi="Arial" w:cs="Arial"/>
          <w:color w:val="auto"/>
          <w:sz w:val="24"/>
          <w:szCs w:val="24"/>
        </w:rPr>
      </w:pPr>
      <w:r w:rsidRPr="00237760">
        <w:rPr>
          <w:rFonts w:ascii="Arial" w:hAnsi="Arial" w:cs="Arial"/>
          <w:color w:val="auto"/>
          <w:sz w:val="24"/>
          <w:szCs w:val="24"/>
        </w:rPr>
        <w:t>ograniczeni</w:t>
      </w:r>
      <w:r w:rsidR="00506DCF" w:rsidRPr="00237760">
        <w:rPr>
          <w:rFonts w:ascii="Arial" w:hAnsi="Arial" w:cs="Arial"/>
          <w:color w:val="auto"/>
          <w:sz w:val="24"/>
          <w:szCs w:val="24"/>
        </w:rPr>
        <w:t>u</w:t>
      </w:r>
      <w:r w:rsidRPr="00237760">
        <w:rPr>
          <w:rFonts w:ascii="Arial" w:hAnsi="Arial" w:cs="Arial"/>
          <w:color w:val="auto"/>
          <w:sz w:val="24"/>
          <w:szCs w:val="24"/>
        </w:rPr>
        <w:t xml:space="preserve"> ryzyka związanego ze zmianami klimatu,</w:t>
      </w:r>
    </w:p>
    <w:p w14:paraId="203A9A64" w14:textId="4D3ECF78" w:rsidR="00775BA8" w:rsidRPr="00237760" w:rsidRDefault="006E7B46" w:rsidP="009367B4">
      <w:pPr>
        <w:pStyle w:val="Akapitzlist"/>
        <w:numPr>
          <w:ilvl w:val="0"/>
          <w:numId w:val="56"/>
        </w:numPr>
        <w:ind w:left="426"/>
        <w:contextualSpacing/>
        <w:jc w:val="left"/>
        <w:rPr>
          <w:rFonts w:ascii="Arial" w:hAnsi="Arial" w:cs="Arial"/>
          <w:color w:val="auto"/>
          <w:sz w:val="24"/>
          <w:szCs w:val="24"/>
        </w:rPr>
      </w:pPr>
      <w:r w:rsidRPr="00237760">
        <w:rPr>
          <w:rFonts w:ascii="Arial" w:hAnsi="Arial" w:cs="Arial"/>
          <w:color w:val="auto"/>
          <w:sz w:val="24"/>
          <w:szCs w:val="24"/>
        </w:rPr>
        <w:t xml:space="preserve">lepszym gospodarowaniu przestrzenią miejską i </w:t>
      </w:r>
      <w:r w:rsidR="00005DFA" w:rsidRPr="00237760">
        <w:rPr>
          <w:rFonts w:ascii="Arial" w:hAnsi="Arial" w:cs="Arial"/>
          <w:color w:val="auto"/>
          <w:sz w:val="24"/>
          <w:szCs w:val="24"/>
        </w:rPr>
        <w:t>podmiejską,</w:t>
      </w:r>
    </w:p>
    <w:p w14:paraId="7E82A275" w14:textId="4CBB3F48" w:rsidR="00005DFA" w:rsidRPr="00237760" w:rsidRDefault="00005DFA" w:rsidP="009367B4">
      <w:pPr>
        <w:pStyle w:val="Akapitzlist"/>
        <w:numPr>
          <w:ilvl w:val="0"/>
          <w:numId w:val="56"/>
        </w:numPr>
        <w:ind w:left="426"/>
        <w:contextualSpacing/>
        <w:jc w:val="left"/>
        <w:rPr>
          <w:rFonts w:ascii="Arial" w:hAnsi="Arial" w:cs="Arial"/>
          <w:color w:val="auto"/>
          <w:sz w:val="24"/>
          <w:szCs w:val="24"/>
        </w:rPr>
      </w:pPr>
      <w:r w:rsidRPr="00237760">
        <w:rPr>
          <w:rFonts w:ascii="Arial" w:hAnsi="Arial" w:cs="Arial"/>
          <w:color w:val="auto"/>
          <w:sz w:val="24"/>
          <w:szCs w:val="24"/>
        </w:rPr>
        <w:t xml:space="preserve">lepszym dostępnie do usług publicznych. </w:t>
      </w:r>
    </w:p>
    <w:p w14:paraId="74AA9D7A" w14:textId="2B0629AC" w:rsidR="00005DFA" w:rsidRPr="00237760" w:rsidRDefault="00F95AB1" w:rsidP="009367B4">
      <w:pPr>
        <w:jc w:val="left"/>
        <w:rPr>
          <w:rFonts w:ascii="Arial" w:hAnsi="Arial" w:cs="Arial"/>
          <w:color w:val="auto"/>
          <w:sz w:val="24"/>
          <w:szCs w:val="24"/>
        </w:rPr>
      </w:pPr>
      <w:r w:rsidRPr="00237760">
        <w:rPr>
          <w:rFonts w:ascii="Arial" w:hAnsi="Arial" w:cs="Arial"/>
          <w:color w:val="auto"/>
          <w:sz w:val="24"/>
          <w:szCs w:val="24"/>
        </w:rPr>
        <w:t>Transport</w:t>
      </w:r>
      <w:r w:rsidR="00BC0A96" w:rsidRPr="00237760">
        <w:rPr>
          <w:rFonts w:ascii="Arial" w:hAnsi="Arial" w:cs="Arial"/>
          <w:color w:val="auto"/>
          <w:sz w:val="24"/>
          <w:szCs w:val="24"/>
        </w:rPr>
        <w:t xml:space="preserve"> </w:t>
      </w:r>
      <w:r w:rsidR="0068068E" w:rsidRPr="00237760">
        <w:rPr>
          <w:rFonts w:ascii="Arial" w:hAnsi="Arial" w:cs="Arial"/>
          <w:color w:val="auto"/>
          <w:sz w:val="24"/>
          <w:szCs w:val="24"/>
        </w:rPr>
        <w:t xml:space="preserve">pojawia się w czwartym i </w:t>
      </w:r>
      <w:r w:rsidR="00F55244" w:rsidRPr="00237760">
        <w:rPr>
          <w:rFonts w:ascii="Arial" w:hAnsi="Arial" w:cs="Arial"/>
          <w:color w:val="auto"/>
          <w:sz w:val="24"/>
          <w:szCs w:val="24"/>
        </w:rPr>
        <w:t>szóstym</w:t>
      </w:r>
      <w:r w:rsidR="0068068E" w:rsidRPr="00237760">
        <w:rPr>
          <w:rFonts w:ascii="Arial" w:hAnsi="Arial" w:cs="Arial"/>
          <w:color w:val="auto"/>
          <w:sz w:val="24"/>
          <w:szCs w:val="24"/>
        </w:rPr>
        <w:t xml:space="preserve"> kierunku rozwoju. </w:t>
      </w:r>
      <w:r w:rsidR="00074FF0" w:rsidRPr="00237760">
        <w:rPr>
          <w:rFonts w:ascii="Arial" w:hAnsi="Arial" w:cs="Arial"/>
          <w:color w:val="auto"/>
          <w:sz w:val="24"/>
          <w:szCs w:val="24"/>
        </w:rPr>
        <w:t>W dokumencie z</w:t>
      </w:r>
      <w:r w:rsidRPr="00237760">
        <w:rPr>
          <w:rFonts w:ascii="Arial" w:hAnsi="Arial" w:cs="Arial"/>
          <w:color w:val="auto"/>
          <w:sz w:val="24"/>
          <w:szCs w:val="24"/>
        </w:rPr>
        <w:t xml:space="preserve">wraca się uwagę na </w:t>
      </w:r>
      <w:r w:rsidR="00074FF0" w:rsidRPr="00237760">
        <w:rPr>
          <w:rFonts w:ascii="Arial" w:hAnsi="Arial" w:cs="Arial"/>
          <w:color w:val="auto"/>
          <w:sz w:val="24"/>
          <w:szCs w:val="24"/>
        </w:rPr>
        <w:t>brak dróg szybkiego ruchu, któ</w:t>
      </w:r>
      <w:r w:rsidR="00B86F4D" w:rsidRPr="00237760">
        <w:rPr>
          <w:rFonts w:ascii="Arial" w:hAnsi="Arial" w:cs="Arial"/>
          <w:color w:val="auto"/>
          <w:sz w:val="24"/>
          <w:szCs w:val="24"/>
        </w:rPr>
        <w:t>re mogł</w:t>
      </w:r>
      <w:r w:rsidR="00867FE9" w:rsidRPr="00237760">
        <w:rPr>
          <w:rFonts w:ascii="Arial" w:hAnsi="Arial" w:cs="Arial"/>
          <w:color w:val="auto"/>
          <w:sz w:val="24"/>
          <w:szCs w:val="24"/>
        </w:rPr>
        <w:t xml:space="preserve">yby rozłożyć lokalny i </w:t>
      </w:r>
      <w:r w:rsidR="00867FE9" w:rsidRPr="00237760">
        <w:rPr>
          <w:rFonts w:ascii="Arial" w:hAnsi="Arial" w:cs="Arial"/>
          <w:color w:val="auto"/>
          <w:sz w:val="24"/>
          <w:szCs w:val="24"/>
        </w:rPr>
        <w:lastRenderedPageBreak/>
        <w:t xml:space="preserve">tranzytowy ruch. </w:t>
      </w:r>
      <w:r w:rsidR="000751A9" w:rsidRPr="00237760">
        <w:rPr>
          <w:rFonts w:ascii="Arial" w:hAnsi="Arial" w:cs="Arial"/>
          <w:color w:val="auto"/>
          <w:sz w:val="24"/>
          <w:szCs w:val="24"/>
        </w:rPr>
        <w:t xml:space="preserve">Stan techniczny aktualnej sieci </w:t>
      </w:r>
      <w:r w:rsidR="00246BAF" w:rsidRPr="00237760">
        <w:rPr>
          <w:rFonts w:ascii="Arial" w:hAnsi="Arial" w:cs="Arial"/>
          <w:color w:val="auto"/>
          <w:sz w:val="24"/>
          <w:szCs w:val="24"/>
        </w:rPr>
        <w:t xml:space="preserve">jest przestarzały i wymaga modernizacji. </w:t>
      </w:r>
      <w:r w:rsidR="00E27054" w:rsidRPr="00237760">
        <w:rPr>
          <w:rFonts w:ascii="Arial" w:hAnsi="Arial" w:cs="Arial"/>
          <w:color w:val="auto"/>
          <w:sz w:val="24"/>
          <w:szCs w:val="24"/>
        </w:rPr>
        <w:t>Problem stanowi</w:t>
      </w:r>
      <w:r w:rsidR="00D63F4E" w:rsidRPr="00237760">
        <w:rPr>
          <w:rFonts w:ascii="Arial" w:hAnsi="Arial" w:cs="Arial"/>
          <w:color w:val="auto"/>
          <w:sz w:val="24"/>
          <w:szCs w:val="24"/>
        </w:rPr>
        <w:t xml:space="preserve"> również brak dróg krajowych </w:t>
      </w:r>
      <w:r w:rsidR="00A45330" w:rsidRPr="00237760">
        <w:rPr>
          <w:rFonts w:ascii="Arial" w:hAnsi="Arial" w:cs="Arial"/>
          <w:color w:val="auto"/>
          <w:sz w:val="24"/>
          <w:szCs w:val="24"/>
        </w:rPr>
        <w:br/>
      </w:r>
      <w:r w:rsidR="00D63F4E" w:rsidRPr="00237760">
        <w:rPr>
          <w:rFonts w:ascii="Arial" w:hAnsi="Arial" w:cs="Arial"/>
          <w:color w:val="auto"/>
          <w:sz w:val="24"/>
          <w:szCs w:val="24"/>
        </w:rPr>
        <w:t>w niektórych częściach regionu i tym samym przeciążenie dróg wojewódzkich.</w:t>
      </w:r>
      <w:r w:rsidR="00E3760A" w:rsidRPr="00237760">
        <w:rPr>
          <w:rFonts w:ascii="Arial" w:hAnsi="Arial" w:cs="Arial"/>
          <w:color w:val="auto"/>
          <w:sz w:val="24"/>
          <w:szCs w:val="24"/>
        </w:rPr>
        <w:t xml:space="preserve"> W kontekście kolei</w:t>
      </w:r>
      <w:r w:rsidR="00D35F2E" w:rsidRPr="00237760">
        <w:rPr>
          <w:rFonts w:ascii="Arial" w:hAnsi="Arial" w:cs="Arial"/>
          <w:color w:val="auto"/>
          <w:sz w:val="24"/>
          <w:szCs w:val="24"/>
        </w:rPr>
        <w:t xml:space="preserve"> </w:t>
      </w:r>
      <w:r w:rsidR="002562A3" w:rsidRPr="00237760">
        <w:rPr>
          <w:rFonts w:ascii="Arial" w:hAnsi="Arial" w:cs="Arial"/>
          <w:color w:val="auto"/>
          <w:sz w:val="24"/>
          <w:szCs w:val="24"/>
        </w:rPr>
        <w:t>pojawia</w:t>
      </w:r>
      <w:r w:rsidR="00D35F2E" w:rsidRPr="00237760">
        <w:rPr>
          <w:rFonts w:ascii="Arial" w:hAnsi="Arial" w:cs="Arial"/>
          <w:color w:val="auto"/>
          <w:sz w:val="24"/>
          <w:szCs w:val="24"/>
        </w:rPr>
        <w:t xml:space="preserve"> się </w:t>
      </w:r>
      <w:r w:rsidR="00640BFF" w:rsidRPr="00237760">
        <w:rPr>
          <w:rFonts w:ascii="Arial" w:hAnsi="Arial" w:cs="Arial"/>
          <w:color w:val="auto"/>
          <w:sz w:val="24"/>
          <w:szCs w:val="24"/>
        </w:rPr>
        <w:t xml:space="preserve">hasło, że </w:t>
      </w:r>
      <w:r w:rsidR="0084105E" w:rsidRPr="00237760">
        <w:rPr>
          <w:rFonts w:ascii="Arial" w:hAnsi="Arial" w:cs="Arial"/>
          <w:color w:val="auto"/>
          <w:sz w:val="24"/>
          <w:szCs w:val="24"/>
        </w:rPr>
        <w:t>infrastruktura nie jest w pełni wykorzystywana</w:t>
      </w:r>
      <w:r w:rsidR="00DB65FF" w:rsidRPr="00237760">
        <w:rPr>
          <w:rFonts w:ascii="Arial" w:hAnsi="Arial" w:cs="Arial"/>
          <w:color w:val="auto"/>
          <w:sz w:val="24"/>
          <w:szCs w:val="24"/>
        </w:rPr>
        <w:t>, prawdopodobnie przez niski poziom jej elektryfikacji i ogólny zły stan. Skutkuje to małą liczbą połączeń krajowych i lokalnych.</w:t>
      </w:r>
      <w:r w:rsidR="00E27054" w:rsidRPr="00237760">
        <w:rPr>
          <w:rFonts w:ascii="Arial" w:hAnsi="Arial" w:cs="Arial"/>
          <w:color w:val="auto"/>
          <w:sz w:val="24"/>
          <w:szCs w:val="24"/>
        </w:rPr>
        <w:t xml:space="preserve"> Nie wykazano problemów w zakresie funkcjonowania transportu lotniczego. </w:t>
      </w:r>
      <w:r w:rsidR="003178E6" w:rsidRPr="00237760">
        <w:rPr>
          <w:rFonts w:ascii="Arial" w:hAnsi="Arial" w:cs="Arial"/>
          <w:i/>
          <w:iCs/>
          <w:color w:val="auto"/>
          <w:sz w:val="24"/>
          <w:szCs w:val="24"/>
        </w:rPr>
        <w:t>Plan Zagospodarowania</w:t>
      </w:r>
      <w:r w:rsidR="005C5FA3" w:rsidRPr="00237760">
        <w:rPr>
          <w:rFonts w:ascii="Arial" w:hAnsi="Arial" w:cs="Arial"/>
          <w:color w:val="auto"/>
          <w:sz w:val="24"/>
          <w:szCs w:val="24"/>
        </w:rPr>
        <w:t xml:space="preserve">… </w:t>
      </w:r>
      <w:r w:rsidR="00CE5AA0" w:rsidRPr="00237760">
        <w:rPr>
          <w:rFonts w:ascii="Arial" w:hAnsi="Arial" w:cs="Arial"/>
          <w:color w:val="auto"/>
          <w:sz w:val="24"/>
          <w:szCs w:val="24"/>
        </w:rPr>
        <w:t xml:space="preserve">zakłada </w:t>
      </w:r>
      <w:r w:rsidR="0067433A" w:rsidRPr="00237760">
        <w:rPr>
          <w:rFonts w:ascii="Arial" w:hAnsi="Arial" w:cs="Arial"/>
          <w:color w:val="auto"/>
          <w:sz w:val="24"/>
          <w:szCs w:val="24"/>
        </w:rPr>
        <w:t xml:space="preserve">rozwój powiązań </w:t>
      </w:r>
      <w:r w:rsidR="005815E3" w:rsidRPr="00237760">
        <w:rPr>
          <w:rFonts w:ascii="Arial" w:hAnsi="Arial" w:cs="Arial"/>
          <w:color w:val="auto"/>
          <w:sz w:val="24"/>
          <w:szCs w:val="24"/>
        </w:rPr>
        <w:t xml:space="preserve">komunikacyjnych </w:t>
      </w:r>
      <w:r w:rsidR="00D91A58" w:rsidRPr="00237760">
        <w:rPr>
          <w:rFonts w:ascii="Arial" w:hAnsi="Arial" w:cs="Arial"/>
          <w:color w:val="auto"/>
          <w:sz w:val="24"/>
          <w:szCs w:val="24"/>
        </w:rPr>
        <w:t>wewnątrz kraju i w wymiarze międzynarodowym, rozwój systemu kolejowego</w:t>
      </w:r>
      <w:r w:rsidR="00705692" w:rsidRPr="00237760">
        <w:rPr>
          <w:rFonts w:ascii="Arial" w:hAnsi="Arial" w:cs="Arial"/>
          <w:color w:val="auto"/>
          <w:sz w:val="24"/>
          <w:szCs w:val="24"/>
        </w:rPr>
        <w:t xml:space="preserve">, unowocześnienie infrastruktury </w:t>
      </w:r>
      <w:r w:rsidR="00183352" w:rsidRPr="00237760">
        <w:rPr>
          <w:rFonts w:ascii="Arial" w:hAnsi="Arial" w:cs="Arial"/>
          <w:color w:val="auto"/>
          <w:sz w:val="24"/>
          <w:szCs w:val="24"/>
        </w:rPr>
        <w:t xml:space="preserve">lotniczej </w:t>
      </w:r>
      <w:r w:rsidR="00705692" w:rsidRPr="00237760">
        <w:rPr>
          <w:rFonts w:ascii="Arial" w:hAnsi="Arial" w:cs="Arial"/>
          <w:color w:val="auto"/>
          <w:sz w:val="24"/>
          <w:szCs w:val="24"/>
        </w:rPr>
        <w:t xml:space="preserve">oraz </w:t>
      </w:r>
      <w:r w:rsidR="00183352" w:rsidRPr="00237760">
        <w:rPr>
          <w:rFonts w:ascii="Arial" w:hAnsi="Arial" w:cs="Arial"/>
          <w:color w:val="auto"/>
          <w:sz w:val="24"/>
          <w:szCs w:val="24"/>
        </w:rPr>
        <w:t>wzmocnienie infrastruktury na wschodniej granicy.</w:t>
      </w:r>
      <w:r w:rsidR="00756C70" w:rsidRPr="00237760">
        <w:rPr>
          <w:rFonts w:ascii="Arial" w:hAnsi="Arial" w:cs="Arial"/>
          <w:color w:val="auto"/>
          <w:sz w:val="24"/>
          <w:szCs w:val="24"/>
        </w:rPr>
        <w:t xml:space="preserve"> Również zwraca uwagę na </w:t>
      </w:r>
      <w:r w:rsidR="00DF21A4" w:rsidRPr="00237760">
        <w:rPr>
          <w:rFonts w:ascii="Arial" w:hAnsi="Arial" w:cs="Arial"/>
          <w:color w:val="auto"/>
          <w:sz w:val="24"/>
          <w:szCs w:val="24"/>
        </w:rPr>
        <w:t xml:space="preserve">zapewnienie bezpieczeństwa w ruchu. </w:t>
      </w:r>
      <w:r w:rsidR="00183352" w:rsidRPr="00237760">
        <w:rPr>
          <w:rFonts w:ascii="Arial" w:hAnsi="Arial" w:cs="Arial"/>
          <w:color w:val="auto"/>
          <w:sz w:val="24"/>
          <w:szCs w:val="24"/>
        </w:rPr>
        <w:t xml:space="preserve"> </w:t>
      </w:r>
    </w:p>
    <w:p w14:paraId="0BB04928" w14:textId="0A634BF9" w:rsidR="008633CD" w:rsidRPr="00237760" w:rsidRDefault="008633CD" w:rsidP="009367B4">
      <w:pPr>
        <w:jc w:val="left"/>
        <w:rPr>
          <w:rFonts w:ascii="Arial" w:hAnsi="Arial" w:cs="Arial"/>
          <w:color w:val="auto"/>
          <w:sz w:val="24"/>
          <w:szCs w:val="24"/>
        </w:rPr>
      </w:pPr>
      <w:r w:rsidRPr="00237760">
        <w:rPr>
          <w:rFonts w:ascii="Arial" w:hAnsi="Arial" w:cs="Arial"/>
          <w:color w:val="auto"/>
          <w:sz w:val="24"/>
          <w:szCs w:val="24"/>
        </w:rPr>
        <w:t>PSRT WP</w:t>
      </w:r>
      <w:r w:rsidR="00F03423" w:rsidRPr="00237760">
        <w:rPr>
          <w:rFonts w:ascii="Arial" w:hAnsi="Arial" w:cs="Arial"/>
          <w:color w:val="auto"/>
          <w:sz w:val="24"/>
          <w:szCs w:val="24"/>
        </w:rPr>
        <w:t xml:space="preserve"> w części</w:t>
      </w:r>
      <w:r w:rsidRPr="00237760">
        <w:rPr>
          <w:rFonts w:ascii="Arial" w:hAnsi="Arial" w:cs="Arial"/>
          <w:color w:val="auto"/>
          <w:sz w:val="24"/>
          <w:szCs w:val="24"/>
        </w:rPr>
        <w:t xml:space="preserve"> odpowiada na </w:t>
      </w:r>
      <w:r w:rsidR="00A024E4" w:rsidRPr="00237760">
        <w:rPr>
          <w:rFonts w:ascii="Arial" w:hAnsi="Arial" w:cs="Arial"/>
          <w:color w:val="auto"/>
          <w:sz w:val="24"/>
          <w:szCs w:val="24"/>
        </w:rPr>
        <w:t>niedobory komunikacyjne. W ramach</w:t>
      </w:r>
      <w:r w:rsidR="00F60521" w:rsidRPr="00237760">
        <w:rPr>
          <w:rFonts w:ascii="Arial" w:hAnsi="Arial" w:cs="Arial"/>
          <w:color w:val="auto"/>
          <w:sz w:val="24"/>
          <w:szCs w:val="24"/>
        </w:rPr>
        <w:t xml:space="preserve"> celów podstawowych</w:t>
      </w:r>
      <w:r w:rsidR="00A024E4" w:rsidRPr="00237760">
        <w:rPr>
          <w:rFonts w:ascii="Arial" w:hAnsi="Arial" w:cs="Arial"/>
          <w:color w:val="auto"/>
          <w:sz w:val="24"/>
          <w:szCs w:val="24"/>
        </w:rPr>
        <w:t xml:space="preserve"> będą </w:t>
      </w:r>
      <w:r w:rsidR="00E3760A" w:rsidRPr="00237760">
        <w:rPr>
          <w:rFonts w:ascii="Arial" w:hAnsi="Arial" w:cs="Arial"/>
          <w:color w:val="auto"/>
          <w:sz w:val="24"/>
          <w:szCs w:val="24"/>
        </w:rPr>
        <w:t xml:space="preserve">realizowane </w:t>
      </w:r>
      <w:r w:rsidR="00A024E4" w:rsidRPr="00237760">
        <w:rPr>
          <w:rFonts w:ascii="Arial" w:hAnsi="Arial" w:cs="Arial"/>
          <w:color w:val="auto"/>
          <w:sz w:val="24"/>
          <w:szCs w:val="24"/>
        </w:rPr>
        <w:t>działania</w:t>
      </w:r>
      <w:r w:rsidR="00A7710E" w:rsidRPr="00237760">
        <w:rPr>
          <w:rFonts w:ascii="Arial" w:hAnsi="Arial" w:cs="Arial"/>
          <w:color w:val="auto"/>
          <w:sz w:val="24"/>
          <w:szCs w:val="24"/>
        </w:rPr>
        <w:t>: budowa dróg ekspresowych</w:t>
      </w:r>
      <w:r w:rsidR="00BB0493" w:rsidRPr="00237760">
        <w:rPr>
          <w:rFonts w:ascii="Arial" w:hAnsi="Arial" w:cs="Arial"/>
          <w:color w:val="auto"/>
          <w:sz w:val="24"/>
          <w:szCs w:val="24"/>
        </w:rPr>
        <w:t xml:space="preserve">, </w:t>
      </w:r>
      <w:r w:rsidR="00183352" w:rsidRPr="00237760">
        <w:rPr>
          <w:rFonts w:ascii="Arial" w:hAnsi="Arial" w:cs="Arial"/>
          <w:color w:val="auto"/>
          <w:sz w:val="24"/>
          <w:szCs w:val="24"/>
        </w:rPr>
        <w:t>o</w:t>
      </w:r>
      <w:r w:rsidR="00BB0493" w:rsidRPr="00237760">
        <w:rPr>
          <w:rFonts w:ascii="Arial" w:hAnsi="Arial" w:cs="Arial"/>
          <w:color w:val="auto"/>
          <w:sz w:val="24"/>
          <w:szCs w:val="24"/>
        </w:rPr>
        <w:t xml:space="preserve">bwodnic, </w:t>
      </w:r>
      <w:r w:rsidR="00DD0C66" w:rsidRPr="00237760">
        <w:rPr>
          <w:rFonts w:ascii="Arial" w:hAnsi="Arial" w:cs="Arial"/>
          <w:color w:val="auto"/>
          <w:sz w:val="24"/>
          <w:szCs w:val="24"/>
        </w:rPr>
        <w:t>lepsz</w:t>
      </w:r>
      <w:r w:rsidR="002C3925" w:rsidRPr="00237760">
        <w:rPr>
          <w:rFonts w:ascii="Arial" w:hAnsi="Arial" w:cs="Arial"/>
          <w:color w:val="auto"/>
          <w:sz w:val="24"/>
          <w:szCs w:val="24"/>
        </w:rPr>
        <w:t>e</w:t>
      </w:r>
      <w:r w:rsidR="00DD0C66" w:rsidRPr="00237760">
        <w:rPr>
          <w:rFonts w:ascii="Arial" w:hAnsi="Arial" w:cs="Arial"/>
          <w:color w:val="auto"/>
          <w:sz w:val="24"/>
          <w:szCs w:val="24"/>
        </w:rPr>
        <w:t xml:space="preserve"> połącze</w:t>
      </w:r>
      <w:r w:rsidR="002C3925" w:rsidRPr="00237760">
        <w:rPr>
          <w:rFonts w:ascii="Arial" w:hAnsi="Arial" w:cs="Arial"/>
          <w:color w:val="auto"/>
          <w:sz w:val="24"/>
          <w:szCs w:val="24"/>
        </w:rPr>
        <w:t>nia</w:t>
      </w:r>
      <w:r w:rsidR="00DD0C66" w:rsidRPr="00237760">
        <w:rPr>
          <w:rFonts w:ascii="Arial" w:hAnsi="Arial" w:cs="Arial"/>
          <w:color w:val="auto"/>
          <w:sz w:val="24"/>
          <w:szCs w:val="24"/>
        </w:rPr>
        <w:t xml:space="preserve"> z drogami </w:t>
      </w:r>
      <w:r w:rsidR="00EB4FCA" w:rsidRPr="00237760">
        <w:rPr>
          <w:rFonts w:ascii="Arial" w:hAnsi="Arial" w:cs="Arial"/>
          <w:color w:val="auto"/>
          <w:sz w:val="24"/>
          <w:szCs w:val="24"/>
        </w:rPr>
        <w:t xml:space="preserve">wyższej klasy, </w:t>
      </w:r>
      <w:r w:rsidR="00CA3F7F" w:rsidRPr="00237760">
        <w:rPr>
          <w:rFonts w:ascii="Arial" w:hAnsi="Arial" w:cs="Arial"/>
          <w:color w:val="auto"/>
          <w:sz w:val="24"/>
          <w:szCs w:val="24"/>
        </w:rPr>
        <w:t>rozbudow</w:t>
      </w:r>
      <w:r w:rsidR="002C3925" w:rsidRPr="00237760">
        <w:rPr>
          <w:rFonts w:ascii="Arial" w:hAnsi="Arial" w:cs="Arial"/>
          <w:color w:val="auto"/>
          <w:sz w:val="24"/>
          <w:szCs w:val="24"/>
        </w:rPr>
        <w:t>a</w:t>
      </w:r>
      <w:r w:rsidR="00EA063B" w:rsidRPr="00237760">
        <w:rPr>
          <w:rFonts w:ascii="Arial" w:hAnsi="Arial" w:cs="Arial"/>
          <w:color w:val="auto"/>
          <w:sz w:val="24"/>
          <w:szCs w:val="24"/>
        </w:rPr>
        <w:t xml:space="preserve"> i modernizacja</w:t>
      </w:r>
      <w:r w:rsidR="002C3925" w:rsidRPr="00237760">
        <w:rPr>
          <w:rFonts w:ascii="Arial" w:hAnsi="Arial" w:cs="Arial"/>
          <w:color w:val="auto"/>
          <w:sz w:val="24"/>
          <w:szCs w:val="24"/>
        </w:rPr>
        <w:t xml:space="preserve"> </w:t>
      </w:r>
      <w:r w:rsidR="00CA3F7F" w:rsidRPr="00237760">
        <w:rPr>
          <w:rFonts w:ascii="Arial" w:hAnsi="Arial" w:cs="Arial"/>
          <w:color w:val="auto"/>
          <w:sz w:val="24"/>
          <w:szCs w:val="24"/>
        </w:rPr>
        <w:t>lotnisk</w:t>
      </w:r>
      <w:r w:rsidR="00EA063B" w:rsidRPr="00237760">
        <w:rPr>
          <w:rFonts w:ascii="Arial" w:hAnsi="Arial" w:cs="Arial"/>
          <w:color w:val="auto"/>
          <w:sz w:val="24"/>
          <w:szCs w:val="24"/>
        </w:rPr>
        <w:t xml:space="preserve"> lokalnych</w:t>
      </w:r>
      <w:r w:rsidR="00C62971" w:rsidRPr="00237760">
        <w:rPr>
          <w:rFonts w:ascii="Arial" w:hAnsi="Arial" w:cs="Arial"/>
          <w:color w:val="auto"/>
          <w:sz w:val="24"/>
          <w:szCs w:val="24"/>
        </w:rPr>
        <w:t xml:space="preserve"> i lotniska Rzeszów-Jasionka</w:t>
      </w:r>
      <w:r w:rsidR="004946CB" w:rsidRPr="00237760">
        <w:rPr>
          <w:rFonts w:ascii="Arial" w:hAnsi="Arial" w:cs="Arial"/>
          <w:color w:val="auto"/>
          <w:sz w:val="24"/>
          <w:szCs w:val="24"/>
        </w:rPr>
        <w:t>, rozwinięc</w:t>
      </w:r>
      <w:r w:rsidR="00A525C6" w:rsidRPr="00237760">
        <w:rPr>
          <w:rFonts w:ascii="Arial" w:hAnsi="Arial" w:cs="Arial"/>
          <w:color w:val="auto"/>
          <w:sz w:val="24"/>
          <w:szCs w:val="24"/>
        </w:rPr>
        <w:t xml:space="preserve">ie infrastruktury </w:t>
      </w:r>
      <w:r w:rsidR="004946CB" w:rsidRPr="00237760">
        <w:rPr>
          <w:rFonts w:ascii="Arial" w:hAnsi="Arial" w:cs="Arial"/>
          <w:color w:val="auto"/>
          <w:sz w:val="24"/>
          <w:szCs w:val="24"/>
        </w:rPr>
        <w:t xml:space="preserve">przejść granicznych. </w:t>
      </w:r>
      <w:r w:rsidR="00DF21A4" w:rsidRPr="00237760">
        <w:rPr>
          <w:rFonts w:ascii="Arial" w:hAnsi="Arial" w:cs="Arial"/>
          <w:color w:val="auto"/>
          <w:sz w:val="24"/>
          <w:szCs w:val="24"/>
        </w:rPr>
        <w:t xml:space="preserve">W ramach </w:t>
      </w:r>
      <w:r w:rsidR="00FD66BB" w:rsidRPr="00237760">
        <w:rPr>
          <w:rFonts w:ascii="Arial" w:hAnsi="Arial" w:cs="Arial"/>
          <w:color w:val="auto"/>
          <w:sz w:val="24"/>
          <w:szCs w:val="24"/>
        </w:rPr>
        <w:t xml:space="preserve">działań </w:t>
      </w:r>
      <w:r w:rsidR="00DF21A4" w:rsidRPr="00237760">
        <w:rPr>
          <w:rFonts w:ascii="Arial" w:hAnsi="Arial" w:cs="Arial"/>
          <w:color w:val="auto"/>
          <w:sz w:val="24"/>
          <w:szCs w:val="24"/>
        </w:rPr>
        <w:t xml:space="preserve">celu horyzontalnego </w:t>
      </w:r>
      <w:r w:rsidR="00FD66BB" w:rsidRPr="00237760">
        <w:rPr>
          <w:rFonts w:ascii="Arial" w:hAnsi="Arial" w:cs="Arial"/>
          <w:color w:val="auto"/>
          <w:sz w:val="24"/>
          <w:szCs w:val="24"/>
        </w:rPr>
        <w:t xml:space="preserve">4. Poprawa bezpieczeństwa w transporcie zapewnione </w:t>
      </w:r>
      <w:r w:rsidR="00512052" w:rsidRPr="00237760">
        <w:rPr>
          <w:rFonts w:ascii="Arial" w:hAnsi="Arial" w:cs="Arial"/>
          <w:color w:val="auto"/>
          <w:sz w:val="24"/>
          <w:szCs w:val="24"/>
        </w:rPr>
        <w:t xml:space="preserve">będzie </w:t>
      </w:r>
      <w:r w:rsidR="00FD66BB" w:rsidRPr="00237760">
        <w:rPr>
          <w:rFonts w:ascii="Arial" w:hAnsi="Arial" w:cs="Arial"/>
          <w:color w:val="auto"/>
          <w:sz w:val="24"/>
          <w:szCs w:val="24"/>
        </w:rPr>
        <w:t xml:space="preserve">bezpieczeństwo wszystkich uczestników ruchu drogowego. </w:t>
      </w:r>
    </w:p>
    <w:p w14:paraId="3DC542AA" w14:textId="5F518FD5" w:rsidR="00D31381" w:rsidRPr="00237760" w:rsidRDefault="00D31381" w:rsidP="009367B4">
      <w:pPr>
        <w:spacing w:after="160" w:line="259" w:lineRule="auto"/>
        <w:jc w:val="left"/>
        <w:rPr>
          <w:rFonts w:ascii="Arial" w:hAnsi="Arial" w:cs="Arial"/>
          <w:color w:val="auto"/>
          <w:sz w:val="24"/>
          <w:szCs w:val="24"/>
          <w:lang w:eastAsia="pl-PL"/>
        </w:rPr>
      </w:pPr>
      <w:r w:rsidRPr="00237760">
        <w:rPr>
          <w:rFonts w:ascii="Arial" w:hAnsi="Arial" w:cs="Arial"/>
          <w:color w:val="auto"/>
          <w:sz w:val="24"/>
          <w:szCs w:val="24"/>
          <w:lang w:eastAsia="pl-PL"/>
        </w:rPr>
        <w:t xml:space="preserve">Analizując wyzwania i potrzeby regionu w kontekście rozwoju transportu należy wziąć pod uwagę </w:t>
      </w:r>
      <w:r w:rsidR="00A525C6" w:rsidRPr="00237760">
        <w:rPr>
          <w:rFonts w:ascii="Arial" w:hAnsi="Arial" w:cs="Arial"/>
          <w:color w:val="auto"/>
          <w:sz w:val="24"/>
          <w:szCs w:val="24"/>
          <w:lang w:eastAsia="pl-PL"/>
        </w:rPr>
        <w:t xml:space="preserve">także </w:t>
      </w:r>
      <w:r w:rsidRPr="00237760">
        <w:rPr>
          <w:rFonts w:ascii="Arial" w:hAnsi="Arial" w:cs="Arial"/>
          <w:i/>
          <w:color w:val="auto"/>
          <w:sz w:val="24"/>
          <w:szCs w:val="24"/>
          <w:lang w:eastAsia="pl-PL"/>
        </w:rPr>
        <w:t>Plan zrównoważonego rozwoju publicznego transportu zbiorowego dla Województwa Podkarpackiego</w:t>
      </w:r>
      <w:r w:rsidRPr="00237760">
        <w:rPr>
          <w:rFonts w:ascii="Arial" w:hAnsi="Arial" w:cs="Arial"/>
          <w:color w:val="auto"/>
          <w:sz w:val="24"/>
          <w:szCs w:val="24"/>
          <w:lang w:eastAsia="pl-PL"/>
        </w:rPr>
        <w:t>. Dokument w swoich założeniach bazuje na planie przygotowanym przez ministra właściwego ds. transportu i jest podstawą dla</w:t>
      </w:r>
      <w:r w:rsidR="00A525C6" w:rsidRPr="00237760">
        <w:rPr>
          <w:rFonts w:ascii="Arial" w:hAnsi="Arial" w:cs="Arial"/>
          <w:color w:val="auto"/>
          <w:sz w:val="24"/>
          <w:szCs w:val="24"/>
          <w:lang w:eastAsia="pl-PL"/>
        </w:rPr>
        <w:t xml:space="preserve"> przygotowywania</w:t>
      </w:r>
      <w:r w:rsidRPr="00237760">
        <w:rPr>
          <w:rFonts w:ascii="Arial" w:hAnsi="Arial" w:cs="Arial"/>
          <w:color w:val="auto"/>
          <w:sz w:val="24"/>
          <w:szCs w:val="24"/>
          <w:lang w:eastAsia="pl-PL"/>
        </w:rPr>
        <w:t xml:space="preserve"> planów powiatowych.</w:t>
      </w:r>
    </w:p>
    <w:p w14:paraId="3F112C66" w14:textId="15199B19" w:rsidR="00D40CE0" w:rsidRPr="00237760" w:rsidRDefault="00D31381" w:rsidP="009367B4">
      <w:pPr>
        <w:spacing w:after="160" w:line="259" w:lineRule="auto"/>
        <w:jc w:val="left"/>
        <w:rPr>
          <w:rFonts w:ascii="Arial" w:hAnsi="Arial" w:cs="Arial"/>
          <w:color w:val="auto"/>
          <w:sz w:val="24"/>
          <w:szCs w:val="24"/>
          <w:lang w:eastAsia="pl-PL"/>
        </w:rPr>
      </w:pPr>
      <w:r w:rsidRPr="00237760">
        <w:rPr>
          <w:rFonts w:ascii="Arial" w:hAnsi="Arial" w:cs="Arial"/>
          <w:color w:val="auto"/>
          <w:sz w:val="24"/>
          <w:szCs w:val="24"/>
          <w:lang w:eastAsia="pl-PL"/>
        </w:rPr>
        <w:t xml:space="preserve">PSRT </w:t>
      </w:r>
      <w:r w:rsidR="00D61902" w:rsidRPr="00237760">
        <w:rPr>
          <w:rFonts w:ascii="Arial" w:hAnsi="Arial" w:cs="Arial"/>
          <w:color w:val="auto"/>
          <w:sz w:val="24"/>
          <w:szCs w:val="24"/>
          <w:lang w:eastAsia="pl-PL"/>
        </w:rPr>
        <w:t xml:space="preserve">WP </w:t>
      </w:r>
      <w:r w:rsidRPr="00237760">
        <w:rPr>
          <w:rFonts w:ascii="Arial" w:hAnsi="Arial" w:cs="Arial"/>
          <w:color w:val="auto"/>
          <w:sz w:val="24"/>
          <w:szCs w:val="24"/>
          <w:lang w:eastAsia="pl-PL"/>
        </w:rPr>
        <w:t>odpowiada swoimi założeniami na wyzwania i potrzeby wskazane w analizie SWOT regionalnego planu zrównoważonego rozwoju publicznego transportu zbiorowego, w szczególności poprze</w:t>
      </w:r>
      <w:r w:rsidR="00A45330" w:rsidRPr="00237760">
        <w:rPr>
          <w:rFonts w:ascii="Arial" w:hAnsi="Arial" w:cs="Arial"/>
          <w:color w:val="auto"/>
          <w:sz w:val="24"/>
          <w:szCs w:val="24"/>
          <w:lang w:eastAsia="pl-PL"/>
        </w:rPr>
        <w:t xml:space="preserve">z Cele podstawowe: 1., 2. i 3. </w:t>
      </w:r>
      <w:r w:rsidRPr="00237760">
        <w:rPr>
          <w:rFonts w:ascii="Arial" w:hAnsi="Arial" w:cs="Arial"/>
          <w:color w:val="auto"/>
          <w:sz w:val="24"/>
          <w:szCs w:val="24"/>
          <w:lang w:eastAsia="pl-PL"/>
        </w:rPr>
        <w:t xml:space="preserve">W zaspokojeniu potrzeb wskazanych w tym dokumencie ważną rolę spełnia też koncentrujący się na rozwoju transportu zbiorowego Cel horyzontalny 3. Na część poruszonych w analizie SWOT kwestii odpowiadają też: Cel horyzontalny 2. (w zakresie </w:t>
      </w:r>
      <w:r w:rsidR="00D40CE0" w:rsidRPr="00237760">
        <w:rPr>
          <w:rFonts w:ascii="Arial" w:hAnsi="Arial" w:cs="Arial"/>
          <w:color w:val="auto"/>
          <w:sz w:val="24"/>
          <w:szCs w:val="24"/>
          <w:lang w:eastAsia="pl-PL"/>
        </w:rPr>
        <w:t>multimodalnych połączeń komunikacji zbiorowej) i Cel horyzontalny 3. (w zakresie ochrony cennych zasobów przyrodniczych regionu). Część czynników została też – w różnym stopniu – poruszona w diagnozie lub/i analizie ryzyka, co świadczy o uwzględnianiu tych kwestii</w:t>
      </w:r>
      <w:r w:rsidR="008234E6" w:rsidRPr="00237760">
        <w:rPr>
          <w:rFonts w:ascii="Arial" w:hAnsi="Arial" w:cs="Arial"/>
          <w:color w:val="auto"/>
          <w:sz w:val="24"/>
          <w:szCs w:val="24"/>
          <w:lang w:eastAsia="pl-PL"/>
        </w:rPr>
        <w:t xml:space="preserve"> (</w:t>
      </w:r>
      <w:r w:rsidR="008234E6" w:rsidRPr="00237760">
        <w:rPr>
          <w:rFonts w:ascii="Arial" w:hAnsi="Arial" w:cs="Arial"/>
          <w:color w:val="auto"/>
          <w:sz w:val="24"/>
          <w:szCs w:val="24"/>
          <w:lang w:eastAsia="pl-PL"/>
        </w:rPr>
        <w:fldChar w:fldCharType="begin"/>
      </w:r>
      <w:r w:rsidR="008234E6" w:rsidRPr="00237760">
        <w:rPr>
          <w:rFonts w:ascii="Arial" w:hAnsi="Arial" w:cs="Arial"/>
          <w:color w:val="auto"/>
          <w:sz w:val="24"/>
          <w:szCs w:val="24"/>
          <w:lang w:eastAsia="pl-PL"/>
        </w:rPr>
        <w:instrText xml:space="preserve"> REF _Ref101872805 \h </w:instrText>
      </w:r>
      <w:r w:rsidR="00237760" w:rsidRPr="00237760">
        <w:rPr>
          <w:rFonts w:ascii="Arial" w:hAnsi="Arial" w:cs="Arial"/>
          <w:color w:val="auto"/>
          <w:sz w:val="24"/>
          <w:szCs w:val="24"/>
          <w:lang w:eastAsia="pl-PL"/>
        </w:rPr>
        <w:instrText xml:space="preserve"> \* MERGEFORMAT </w:instrText>
      </w:r>
      <w:r w:rsidR="008234E6" w:rsidRPr="00237760">
        <w:rPr>
          <w:rFonts w:ascii="Arial" w:hAnsi="Arial" w:cs="Arial"/>
          <w:color w:val="auto"/>
          <w:sz w:val="24"/>
          <w:szCs w:val="24"/>
          <w:lang w:eastAsia="pl-PL"/>
        </w:rPr>
      </w:r>
      <w:r w:rsidR="008234E6" w:rsidRPr="00237760">
        <w:rPr>
          <w:rFonts w:ascii="Arial" w:hAnsi="Arial" w:cs="Arial"/>
          <w:color w:val="auto"/>
          <w:sz w:val="24"/>
          <w:szCs w:val="24"/>
          <w:lang w:eastAsia="pl-PL"/>
        </w:rPr>
        <w:fldChar w:fldCharType="separate"/>
      </w:r>
      <w:r w:rsidR="008234E6" w:rsidRPr="00237760">
        <w:rPr>
          <w:rFonts w:ascii="Arial" w:hAnsi="Arial" w:cs="Arial"/>
          <w:color w:val="auto"/>
          <w:sz w:val="24"/>
          <w:szCs w:val="24"/>
        </w:rPr>
        <w:t xml:space="preserve">Tabela </w:t>
      </w:r>
      <w:r w:rsidR="008234E6" w:rsidRPr="00237760">
        <w:rPr>
          <w:rFonts w:ascii="Arial" w:hAnsi="Arial" w:cs="Arial"/>
          <w:noProof/>
          <w:color w:val="auto"/>
          <w:sz w:val="24"/>
          <w:szCs w:val="24"/>
        </w:rPr>
        <w:t>5</w:t>
      </w:r>
      <w:r w:rsidR="008234E6" w:rsidRPr="00237760">
        <w:rPr>
          <w:rFonts w:ascii="Arial" w:hAnsi="Arial" w:cs="Arial"/>
          <w:color w:val="auto"/>
          <w:sz w:val="24"/>
          <w:szCs w:val="24"/>
          <w:lang w:eastAsia="pl-PL"/>
        </w:rPr>
        <w:fldChar w:fldCharType="end"/>
      </w:r>
      <w:r w:rsidR="008234E6" w:rsidRPr="00237760">
        <w:rPr>
          <w:rFonts w:ascii="Arial" w:hAnsi="Arial" w:cs="Arial"/>
          <w:color w:val="auto"/>
          <w:sz w:val="24"/>
          <w:szCs w:val="24"/>
          <w:lang w:eastAsia="pl-PL"/>
        </w:rPr>
        <w:t>)</w:t>
      </w:r>
      <w:r w:rsidR="00D40CE0" w:rsidRPr="00237760">
        <w:rPr>
          <w:rFonts w:ascii="Arial" w:hAnsi="Arial" w:cs="Arial"/>
          <w:color w:val="auto"/>
          <w:sz w:val="24"/>
          <w:szCs w:val="24"/>
          <w:lang w:eastAsia="pl-PL"/>
        </w:rPr>
        <w:t>.</w:t>
      </w:r>
    </w:p>
    <w:p w14:paraId="078C9D4D" w14:textId="670BBA6A" w:rsidR="00D31381" w:rsidRPr="00237760" w:rsidRDefault="00D31381" w:rsidP="009367B4">
      <w:pPr>
        <w:spacing w:after="160" w:line="259" w:lineRule="auto"/>
        <w:jc w:val="left"/>
        <w:rPr>
          <w:rFonts w:ascii="Arial" w:hAnsi="Arial" w:cs="Arial"/>
          <w:color w:val="auto"/>
          <w:sz w:val="24"/>
          <w:szCs w:val="24"/>
          <w:lang w:eastAsia="pl-PL"/>
        </w:rPr>
      </w:pPr>
      <w:r w:rsidRPr="00237760">
        <w:rPr>
          <w:rFonts w:ascii="Arial" w:hAnsi="Arial" w:cs="Arial"/>
          <w:color w:val="auto"/>
          <w:sz w:val="24"/>
          <w:szCs w:val="24"/>
          <w:lang w:eastAsia="pl-PL"/>
        </w:rPr>
        <w:t xml:space="preserve">Na potrzeby tworzenia </w:t>
      </w:r>
      <w:r w:rsidR="00EA063B" w:rsidRPr="00237760">
        <w:rPr>
          <w:rFonts w:ascii="Arial" w:hAnsi="Arial" w:cs="Arial"/>
          <w:i/>
          <w:color w:val="auto"/>
          <w:sz w:val="24"/>
          <w:szCs w:val="24"/>
          <w:lang w:eastAsia="pl-PL"/>
        </w:rPr>
        <w:t>Planu zrównoważonego rozwoju publicznego transportu zbiorowego dla Województwa Podkarpackiego</w:t>
      </w:r>
      <w:r w:rsidRPr="00237760">
        <w:rPr>
          <w:rFonts w:ascii="Arial" w:hAnsi="Arial" w:cs="Arial"/>
          <w:color w:val="auto"/>
          <w:sz w:val="24"/>
          <w:szCs w:val="24"/>
          <w:lang w:eastAsia="pl-PL"/>
        </w:rPr>
        <w:t xml:space="preserve"> przeprowadzono też badanie ankietowe mieszkańców, które stanowi dodatkowe źródło informacji o wyzwaniach i potrzebach w zakresie transportu publicznego regionu. Łącznie, w roku 2013 przebadano 5 772 osób w pociągach, na dworcach i w szkołach ponadgimnazjalnych. Z badania wynika, że </w:t>
      </w:r>
      <w:r w:rsidRPr="00237760">
        <w:rPr>
          <w:rFonts w:ascii="Arial" w:hAnsi="Arial" w:cs="Arial"/>
          <w:color w:val="auto"/>
          <w:sz w:val="24"/>
          <w:szCs w:val="24"/>
        </w:rPr>
        <w:t>problemem jest rzadkie kursowanie zarówno autobusów (szczególnie w weekendy i wieczorami)</w:t>
      </w:r>
      <w:r w:rsidR="00A61312" w:rsidRPr="00237760">
        <w:rPr>
          <w:rFonts w:ascii="Arial" w:hAnsi="Arial" w:cs="Arial"/>
          <w:color w:val="auto"/>
          <w:sz w:val="24"/>
          <w:szCs w:val="24"/>
        </w:rPr>
        <w:t>,</w:t>
      </w:r>
      <w:r w:rsidRPr="00237760">
        <w:rPr>
          <w:rFonts w:ascii="Arial" w:hAnsi="Arial" w:cs="Arial"/>
          <w:color w:val="auto"/>
          <w:sz w:val="24"/>
          <w:szCs w:val="24"/>
        </w:rPr>
        <w:t xml:space="preserve"> jak i pociągów. Problematyczne jest też przepełnienie autobusów, co wpływa na komfort podróży. Niedostosowanie oferty do potrzeb i preferencji jest szczególnie zauważalne w rozkładach kolejowych. Ogólnie, jak wskazali ankietowani, niska jakość przewozów </w:t>
      </w:r>
      <w:r w:rsidRPr="00237760">
        <w:rPr>
          <w:rFonts w:ascii="Arial" w:hAnsi="Arial" w:cs="Arial"/>
          <w:color w:val="auto"/>
          <w:sz w:val="24"/>
          <w:szCs w:val="24"/>
        </w:rPr>
        <w:lastRenderedPageBreak/>
        <w:t>zbiorowych skutkuje wyborem indywidualnych form transportu, które mimo generowanych kosztów są bardziej konkurencyjne ze względu na czas podróży i wygodę.</w:t>
      </w:r>
    </w:p>
    <w:p w14:paraId="349615A2" w14:textId="77777777" w:rsidR="00EC29E1" w:rsidRPr="00237760" w:rsidRDefault="00EC29E1" w:rsidP="009367B4">
      <w:pPr>
        <w:spacing w:after="160" w:line="259" w:lineRule="auto"/>
        <w:jc w:val="left"/>
        <w:rPr>
          <w:rFonts w:ascii="Arial" w:hAnsi="Arial" w:cs="Arial"/>
          <w:color w:val="auto"/>
          <w:sz w:val="24"/>
          <w:szCs w:val="24"/>
        </w:rPr>
      </w:pPr>
      <w:bookmarkStart w:id="45" w:name="_Ref100909075"/>
      <w:r w:rsidRPr="00237760">
        <w:rPr>
          <w:rFonts w:ascii="Arial" w:hAnsi="Arial" w:cs="Arial"/>
          <w:color w:val="auto"/>
          <w:sz w:val="24"/>
          <w:szCs w:val="24"/>
        </w:rPr>
        <w:t>Wskazanym – w ramach badania ankietowego – wyzwaniom i potrzebom sprostać ma za zadanie przede wszystkim cel horyzontalny 3., a przejawem dostrzeżenia przez autorów PSRT WP powyżej wymienionych problemów jest w szczególności dość ogólnie sformułowany kierunek „Podwyższenie konkurencyjności publicznego transportu zbiorowego wobec indywidualnego transportu samochodowego”, ale także:</w:t>
      </w:r>
    </w:p>
    <w:p w14:paraId="7CC8C1B0" w14:textId="77777777" w:rsidR="00EC29E1" w:rsidRPr="00237760" w:rsidRDefault="00EC29E1" w:rsidP="009367B4">
      <w:pPr>
        <w:pStyle w:val="Akapitzlist"/>
        <w:numPr>
          <w:ilvl w:val="0"/>
          <w:numId w:val="65"/>
        </w:numPr>
        <w:spacing w:after="160" w:line="259" w:lineRule="auto"/>
        <w:jc w:val="left"/>
        <w:rPr>
          <w:rFonts w:ascii="Arial" w:hAnsi="Arial" w:cs="Arial"/>
          <w:color w:val="auto"/>
          <w:sz w:val="24"/>
          <w:szCs w:val="24"/>
        </w:rPr>
      </w:pPr>
      <w:r w:rsidRPr="00237760">
        <w:rPr>
          <w:rFonts w:ascii="Arial" w:hAnsi="Arial" w:cs="Arial"/>
          <w:color w:val="auto"/>
          <w:sz w:val="24"/>
          <w:szCs w:val="24"/>
        </w:rPr>
        <w:t>„Dostosowanie rozkładów jazdy kolejowego transportu publicznego do potrzeb mieszkańców (dostosowanie rozkładów jazdy do godzin pracy i godzin nauki w szkołach, znajdujących się na terenie obsługiwanego transportu kolejowego”,</w:t>
      </w:r>
    </w:p>
    <w:p w14:paraId="3CBB74F9" w14:textId="77777777" w:rsidR="00EC29E1" w:rsidRPr="00237760" w:rsidRDefault="00EC29E1" w:rsidP="009367B4">
      <w:pPr>
        <w:pStyle w:val="Akapitzlist"/>
        <w:numPr>
          <w:ilvl w:val="0"/>
          <w:numId w:val="65"/>
        </w:numPr>
        <w:spacing w:after="160" w:line="259" w:lineRule="auto"/>
        <w:jc w:val="left"/>
        <w:rPr>
          <w:rFonts w:ascii="Arial" w:hAnsi="Arial" w:cs="Arial"/>
          <w:color w:val="auto"/>
          <w:sz w:val="24"/>
          <w:szCs w:val="24"/>
        </w:rPr>
      </w:pPr>
      <w:r w:rsidRPr="00237760">
        <w:rPr>
          <w:rFonts w:ascii="Arial" w:hAnsi="Arial" w:cs="Arial"/>
          <w:color w:val="auto"/>
          <w:sz w:val="24"/>
          <w:szCs w:val="24"/>
        </w:rPr>
        <w:t>„Zdywersyfikowanie sieci przewoźników, w tym zapewnienie obsługi transportu publicznego dla obszarów peryferyjnych i o niskiej dostępności – połączenia pierwszej i ostatniej mili (tam gdzie to nie jest rentowne organizacja niewielkich parkingów typu P&amp;R w miejscowościach węzłowych leżących przy już ustalonych korytarzach transportowych),</w:t>
      </w:r>
    </w:p>
    <w:p w14:paraId="7E834DFE" w14:textId="77777777" w:rsidR="00EC29E1" w:rsidRPr="00237760" w:rsidRDefault="00EC29E1" w:rsidP="009367B4">
      <w:pPr>
        <w:pStyle w:val="Akapitzlist"/>
        <w:numPr>
          <w:ilvl w:val="0"/>
          <w:numId w:val="65"/>
        </w:numPr>
        <w:spacing w:after="160" w:line="259" w:lineRule="auto"/>
        <w:jc w:val="left"/>
        <w:rPr>
          <w:rFonts w:ascii="Arial" w:hAnsi="Arial" w:cs="Arial"/>
          <w:color w:val="auto"/>
          <w:sz w:val="24"/>
          <w:szCs w:val="24"/>
        </w:rPr>
      </w:pPr>
      <w:r w:rsidRPr="00237760">
        <w:rPr>
          <w:rFonts w:ascii="Arial" w:hAnsi="Arial" w:cs="Arial"/>
          <w:color w:val="auto"/>
          <w:sz w:val="24"/>
          <w:szCs w:val="24"/>
        </w:rPr>
        <w:t>„Rozwój i modernizacja infrastruktury transportu publicznego, w tym uzupełnienie sieci obiektów dworcowych i przystanków oraz pętli autobusowych”,</w:t>
      </w:r>
    </w:p>
    <w:p w14:paraId="0E540BCD" w14:textId="77777777" w:rsidR="00EC29E1" w:rsidRPr="00237760" w:rsidRDefault="00EC29E1" w:rsidP="009367B4">
      <w:pPr>
        <w:pStyle w:val="Akapitzlist"/>
        <w:numPr>
          <w:ilvl w:val="0"/>
          <w:numId w:val="65"/>
        </w:numPr>
        <w:spacing w:after="160" w:line="259" w:lineRule="auto"/>
        <w:jc w:val="left"/>
        <w:rPr>
          <w:rFonts w:ascii="Arial" w:hAnsi="Arial" w:cs="Arial"/>
          <w:color w:val="auto"/>
          <w:sz w:val="24"/>
          <w:szCs w:val="24"/>
        </w:rPr>
      </w:pPr>
      <w:r w:rsidRPr="00237760">
        <w:rPr>
          <w:rFonts w:ascii="Arial" w:hAnsi="Arial" w:cs="Arial"/>
          <w:color w:val="auto"/>
          <w:sz w:val="24"/>
          <w:szCs w:val="24"/>
        </w:rPr>
        <w:t xml:space="preserve">„Rozwój transportu publicznego lub lokalnych rozwiązań alternatywnych (typu car-sharing, car-pooling, autobus na życzenie) na obszarach zagrożonych wykluczeniem transportowym, gdzie celem jest zapewnienie obsługi ludności bez dostępu do indywidualnych środków transportu oraz gdzie funkcjonowanie prywatnych przewoźników jest często nieopłacalne” </w:t>
      </w:r>
    </w:p>
    <w:p w14:paraId="49557B22" w14:textId="77777777" w:rsidR="00EC29E1" w:rsidRPr="00237760" w:rsidRDefault="00EC29E1" w:rsidP="009367B4">
      <w:pPr>
        <w:pStyle w:val="Akapitzlist"/>
        <w:numPr>
          <w:ilvl w:val="0"/>
          <w:numId w:val="65"/>
        </w:numPr>
        <w:spacing w:after="160" w:line="259" w:lineRule="auto"/>
        <w:jc w:val="left"/>
        <w:rPr>
          <w:rFonts w:ascii="Arial" w:hAnsi="Arial" w:cs="Arial"/>
          <w:color w:val="auto"/>
          <w:sz w:val="24"/>
          <w:szCs w:val="24"/>
        </w:rPr>
      </w:pPr>
      <w:r w:rsidRPr="00237760">
        <w:rPr>
          <w:rFonts w:ascii="Arial" w:hAnsi="Arial" w:cs="Arial"/>
          <w:color w:val="auto"/>
          <w:sz w:val="24"/>
          <w:szCs w:val="24"/>
        </w:rPr>
        <w:t>„Rozwój transportu publicznego w przewozach między biegunami wzrostu”,</w:t>
      </w:r>
    </w:p>
    <w:p w14:paraId="6F61A203" w14:textId="77777777" w:rsidR="00EC29E1" w:rsidRPr="00237760" w:rsidRDefault="00EC29E1" w:rsidP="009367B4">
      <w:pPr>
        <w:pStyle w:val="Akapitzlist"/>
        <w:numPr>
          <w:ilvl w:val="0"/>
          <w:numId w:val="65"/>
        </w:numPr>
        <w:spacing w:after="160" w:line="259" w:lineRule="auto"/>
        <w:jc w:val="left"/>
        <w:rPr>
          <w:rFonts w:ascii="Arial" w:hAnsi="Arial" w:cs="Arial"/>
          <w:color w:val="auto"/>
          <w:sz w:val="24"/>
          <w:szCs w:val="24"/>
        </w:rPr>
      </w:pPr>
      <w:r w:rsidRPr="00237760">
        <w:rPr>
          <w:rFonts w:ascii="Arial" w:hAnsi="Arial" w:cs="Arial"/>
          <w:color w:val="auto"/>
          <w:sz w:val="24"/>
          <w:szCs w:val="24"/>
        </w:rPr>
        <w:t>„Rozwój transportu publicznego w dużych aglomeracjach miejskich (Rzeszów), gdzie celem jest zmniejszenie kongestii oraz emisji”,</w:t>
      </w:r>
    </w:p>
    <w:p w14:paraId="0F91450E" w14:textId="77777777" w:rsidR="00EC29E1" w:rsidRPr="00237760" w:rsidRDefault="00EC29E1" w:rsidP="009367B4">
      <w:pPr>
        <w:pStyle w:val="Akapitzlist"/>
        <w:numPr>
          <w:ilvl w:val="0"/>
          <w:numId w:val="65"/>
        </w:numPr>
        <w:spacing w:after="160" w:line="259" w:lineRule="auto"/>
        <w:jc w:val="left"/>
        <w:rPr>
          <w:rFonts w:ascii="Arial" w:hAnsi="Arial" w:cs="Arial"/>
          <w:color w:val="auto"/>
          <w:sz w:val="24"/>
          <w:szCs w:val="24"/>
        </w:rPr>
      </w:pPr>
      <w:r w:rsidRPr="00237760">
        <w:rPr>
          <w:rFonts w:ascii="Arial" w:hAnsi="Arial" w:cs="Arial"/>
          <w:color w:val="auto"/>
          <w:sz w:val="24"/>
          <w:szCs w:val="24"/>
        </w:rPr>
        <w:t>„Zwiększenie funkcjonalności kolei poprzez modernizacje oraz zakup nowoczesnego taboru kolejowego”,</w:t>
      </w:r>
    </w:p>
    <w:p w14:paraId="5312D638" w14:textId="77777777" w:rsidR="00EC29E1" w:rsidRPr="00237760" w:rsidRDefault="00EC29E1" w:rsidP="009367B4">
      <w:pPr>
        <w:pStyle w:val="Akapitzlist"/>
        <w:numPr>
          <w:ilvl w:val="0"/>
          <w:numId w:val="65"/>
        </w:numPr>
        <w:spacing w:after="160" w:line="259" w:lineRule="auto"/>
        <w:jc w:val="left"/>
        <w:rPr>
          <w:rFonts w:ascii="Arial" w:hAnsi="Arial" w:cs="Arial"/>
          <w:color w:val="auto"/>
          <w:sz w:val="24"/>
          <w:szCs w:val="24"/>
        </w:rPr>
      </w:pPr>
      <w:r w:rsidRPr="00237760">
        <w:rPr>
          <w:rFonts w:ascii="Arial" w:hAnsi="Arial" w:cs="Arial"/>
          <w:color w:val="auto"/>
          <w:sz w:val="24"/>
          <w:szCs w:val="24"/>
        </w:rPr>
        <w:t>„Rozwój połączeń autobusowych i kolejowych zapewniających transport obszarom dotkniętym wykluczeniem transportowym”</w:t>
      </w:r>
    </w:p>
    <w:p w14:paraId="14B0FBA9" w14:textId="125FBFD6" w:rsidR="00EC29E1" w:rsidRPr="00237760" w:rsidRDefault="00EC29E1" w:rsidP="009367B4">
      <w:pPr>
        <w:pStyle w:val="Akapitzlist"/>
        <w:numPr>
          <w:ilvl w:val="0"/>
          <w:numId w:val="65"/>
        </w:numPr>
        <w:spacing w:after="160" w:line="259" w:lineRule="auto"/>
        <w:jc w:val="left"/>
        <w:rPr>
          <w:rFonts w:ascii="Arial" w:hAnsi="Arial" w:cs="Arial"/>
          <w:color w:val="auto"/>
          <w:sz w:val="24"/>
          <w:szCs w:val="24"/>
        </w:rPr>
      </w:pPr>
      <w:r w:rsidRPr="00237760">
        <w:rPr>
          <w:rFonts w:ascii="Arial" w:hAnsi="Arial" w:cs="Arial"/>
          <w:color w:val="auto"/>
          <w:sz w:val="24"/>
          <w:szCs w:val="24"/>
        </w:rPr>
        <w:t>oraz 3 kierunki związane z niwelowaniem barier transportowych poprzez rozwój systemów transportu zbiorowego: między ośrodkami miejskimi a sąsiednimi obszarami wiejskimi i ośrodkami miejskimi, w kierunku na Słowację i Ukrainę oraz w ramach Czwórmiasta.</w:t>
      </w:r>
    </w:p>
    <w:p w14:paraId="6D500FAE" w14:textId="24E84066" w:rsidR="00D31381" w:rsidRPr="00237760" w:rsidRDefault="00D31381" w:rsidP="009367B4">
      <w:pPr>
        <w:pStyle w:val="Legenda"/>
        <w:jc w:val="left"/>
        <w:rPr>
          <w:rFonts w:ascii="Arial" w:hAnsi="Arial" w:cs="Arial"/>
          <w:color w:val="auto"/>
          <w:sz w:val="24"/>
          <w:szCs w:val="24"/>
        </w:rPr>
      </w:pPr>
      <w:bookmarkStart w:id="46" w:name="_Ref101872805"/>
      <w:bookmarkStart w:id="47" w:name="_Toc101904246"/>
      <w:r w:rsidRPr="00237760">
        <w:rPr>
          <w:rFonts w:ascii="Arial" w:hAnsi="Arial" w:cs="Arial"/>
          <w:color w:val="auto"/>
          <w:sz w:val="24"/>
          <w:szCs w:val="24"/>
        </w:rPr>
        <w:t xml:space="preserve">Tabela </w:t>
      </w:r>
      <w:r w:rsidRPr="00237760">
        <w:rPr>
          <w:rFonts w:ascii="Arial" w:hAnsi="Arial" w:cs="Arial"/>
          <w:noProof/>
          <w:color w:val="auto"/>
          <w:sz w:val="24"/>
          <w:szCs w:val="24"/>
        </w:rPr>
        <w:fldChar w:fldCharType="begin"/>
      </w:r>
      <w:r w:rsidRPr="00237760">
        <w:rPr>
          <w:rFonts w:ascii="Arial" w:hAnsi="Arial" w:cs="Arial"/>
          <w:noProof/>
          <w:color w:val="auto"/>
          <w:sz w:val="24"/>
          <w:szCs w:val="24"/>
        </w:rPr>
        <w:instrText xml:space="preserve"> SEQ Tabela \* ARABIC </w:instrText>
      </w:r>
      <w:r w:rsidRPr="00237760">
        <w:rPr>
          <w:rFonts w:ascii="Arial" w:hAnsi="Arial" w:cs="Arial"/>
          <w:noProof/>
          <w:color w:val="auto"/>
          <w:sz w:val="24"/>
          <w:szCs w:val="24"/>
        </w:rPr>
        <w:fldChar w:fldCharType="separate"/>
      </w:r>
      <w:r w:rsidR="00762B20" w:rsidRPr="00237760">
        <w:rPr>
          <w:rFonts w:ascii="Arial" w:hAnsi="Arial" w:cs="Arial"/>
          <w:noProof/>
          <w:color w:val="auto"/>
          <w:sz w:val="24"/>
          <w:szCs w:val="24"/>
        </w:rPr>
        <w:t>5</w:t>
      </w:r>
      <w:r w:rsidRPr="00237760">
        <w:rPr>
          <w:rFonts w:ascii="Arial" w:hAnsi="Arial" w:cs="Arial"/>
          <w:noProof/>
          <w:color w:val="auto"/>
          <w:sz w:val="24"/>
          <w:szCs w:val="24"/>
        </w:rPr>
        <w:fldChar w:fldCharType="end"/>
      </w:r>
      <w:bookmarkEnd w:id="45"/>
      <w:bookmarkEnd w:id="46"/>
      <w:r w:rsidRPr="00237760">
        <w:rPr>
          <w:rFonts w:ascii="Arial" w:hAnsi="Arial" w:cs="Arial"/>
          <w:color w:val="auto"/>
          <w:sz w:val="24"/>
          <w:szCs w:val="24"/>
        </w:rPr>
        <w:t>. Wyzwania i potrzeby społeczno-gospodarcze województwa wskazane w Planie zrównoważonego rozwoju publicznego transportu zbiorowego dla Województwa Podkarpackiego a PSRT WP</w:t>
      </w:r>
      <w:bookmarkEnd w:id="47"/>
      <w:r w:rsidRPr="00237760">
        <w:rPr>
          <w:rFonts w:ascii="Arial" w:hAnsi="Arial" w:cs="Arial"/>
          <w:color w:val="auto"/>
          <w:sz w:val="24"/>
          <w:szCs w:val="24"/>
        </w:rPr>
        <w:t xml:space="preserve"> </w:t>
      </w:r>
    </w:p>
    <w:tbl>
      <w:tblPr>
        <w:tblStyle w:val="Tabela-Siatka"/>
        <w:tblW w:w="9072"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57" w:type="dxa"/>
          <w:right w:w="57" w:type="dxa"/>
        </w:tblCellMar>
        <w:tblLook w:val="04A0" w:firstRow="1" w:lastRow="0" w:firstColumn="1" w:lastColumn="0" w:noHBand="0" w:noVBand="1"/>
        <w:tblCaption w:val="Tabela 5. Wyzwania i potrzeby społeczno-gospodarcze województwa wskazane w Planie zrównoważonego rozwoju publicznego transportu zbiorowego dla Województwa Podkarpackiego a PSRT WP "/>
        <w:tblDescription w:val="Tabela zawiera Wyzwania i potrzeby regionu sformułowane w planie i Cele PSRT WP wpływające na sprostanie wyzwaniom oraz zaspokojenie potrzeb regionu wskazanych w planie"/>
      </w:tblPr>
      <w:tblGrid>
        <w:gridCol w:w="4678"/>
        <w:gridCol w:w="4394"/>
      </w:tblGrid>
      <w:tr w:rsidR="00237760" w:rsidRPr="00237760" w14:paraId="015DA62B" w14:textId="77777777" w:rsidTr="009F6BD4">
        <w:trPr>
          <w:trHeight w:val="502"/>
          <w:tblHeader/>
        </w:trPr>
        <w:tc>
          <w:tcPr>
            <w:tcW w:w="4678" w:type="dxa"/>
            <w:tcBorders>
              <w:top w:val="single" w:sz="12" w:space="0" w:color="002060"/>
              <w:left w:val="nil"/>
              <w:bottom w:val="single" w:sz="4" w:space="0" w:color="BDD6EE" w:themeColor="accent1" w:themeTint="66"/>
              <w:right w:val="nil"/>
            </w:tcBorders>
            <w:shd w:val="clear" w:color="auto" w:fill="auto"/>
            <w:tcMar>
              <w:left w:w="28" w:type="dxa"/>
              <w:right w:w="28" w:type="dxa"/>
            </w:tcMar>
            <w:vAlign w:val="center"/>
          </w:tcPr>
          <w:p w14:paraId="33766838" w14:textId="77777777" w:rsidR="00D31381" w:rsidRPr="00237760" w:rsidRDefault="00D31381"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lastRenderedPageBreak/>
              <w:t>Wyzwania i potrzeby regionu sformułowane w planie</w:t>
            </w:r>
          </w:p>
        </w:tc>
        <w:tc>
          <w:tcPr>
            <w:tcW w:w="4394" w:type="dxa"/>
            <w:tcBorders>
              <w:top w:val="single" w:sz="12" w:space="0" w:color="002060"/>
              <w:left w:val="nil"/>
              <w:bottom w:val="single" w:sz="4" w:space="0" w:color="BDD6EE" w:themeColor="accent1" w:themeTint="66"/>
              <w:right w:val="nil"/>
            </w:tcBorders>
            <w:shd w:val="clear" w:color="auto" w:fill="auto"/>
            <w:tcMar>
              <w:left w:w="28" w:type="dxa"/>
              <w:right w:w="28" w:type="dxa"/>
            </w:tcMar>
            <w:vAlign w:val="center"/>
          </w:tcPr>
          <w:p w14:paraId="6088F64C" w14:textId="77777777" w:rsidR="00D31381" w:rsidRPr="00237760" w:rsidRDefault="00D31381"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Cele PSRT WP wpływające na sprostanie wyzwaniom oraz zaspokojenie potrzeb regionu wskazanych w planie</w:t>
            </w:r>
          </w:p>
        </w:tc>
      </w:tr>
      <w:tr w:rsidR="00237760" w:rsidRPr="00237760" w14:paraId="59DCF557" w14:textId="77777777" w:rsidTr="009F6BD4">
        <w:trPr>
          <w:trHeight w:val="151"/>
        </w:trPr>
        <w:tc>
          <w:tcPr>
            <w:tcW w:w="4678" w:type="dxa"/>
            <w:tcBorders>
              <w:top w:val="single" w:sz="4" w:space="0" w:color="BDD6EE" w:themeColor="accent1" w:themeTint="66"/>
              <w:left w:val="nil"/>
              <w:right w:val="nil"/>
            </w:tcBorders>
            <w:shd w:val="clear" w:color="auto" w:fill="auto"/>
            <w:tcMar>
              <w:left w:w="28" w:type="dxa"/>
              <w:right w:w="28" w:type="dxa"/>
            </w:tcMar>
            <w:vAlign w:val="center"/>
          </w:tcPr>
          <w:p w14:paraId="00BC69F6" w14:textId="77777777" w:rsidR="00D31381" w:rsidRPr="00237760" w:rsidRDefault="00D31381"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SŁABOŚCI</w:t>
            </w:r>
          </w:p>
        </w:tc>
        <w:tc>
          <w:tcPr>
            <w:tcW w:w="4394" w:type="dxa"/>
            <w:tcBorders>
              <w:top w:val="single" w:sz="4" w:space="0" w:color="BDD6EE" w:themeColor="accent1" w:themeTint="66"/>
              <w:left w:val="nil"/>
              <w:right w:val="nil"/>
            </w:tcBorders>
            <w:shd w:val="clear" w:color="auto" w:fill="auto"/>
            <w:tcMar>
              <w:left w:w="28" w:type="dxa"/>
              <w:right w:w="28" w:type="dxa"/>
            </w:tcMar>
          </w:tcPr>
          <w:p w14:paraId="5739A788" w14:textId="77777777" w:rsidR="00D31381" w:rsidRPr="00237760" w:rsidRDefault="00D31381" w:rsidP="009367B4">
            <w:pPr>
              <w:spacing w:after="0" w:line="240" w:lineRule="auto"/>
              <w:ind w:left="57" w:right="57"/>
              <w:jc w:val="left"/>
              <w:rPr>
                <w:rFonts w:ascii="Arial" w:hAnsi="Arial" w:cs="Arial"/>
                <w:color w:val="auto"/>
                <w:sz w:val="24"/>
                <w:szCs w:val="24"/>
              </w:rPr>
            </w:pPr>
          </w:p>
        </w:tc>
      </w:tr>
      <w:tr w:rsidR="00237760" w:rsidRPr="00237760" w14:paraId="131B0E3E" w14:textId="77777777" w:rsidTr="009367B4">
        <w:trPr>
          <w:trHeight w:val="151"/>
        </w:trPr>
        <w:tc>
          <w:tcPr>
            <w:tcW w:w="4678"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0CBCEF8A" w14:textId="77777777" w:rsidR="00D31381" w:rsidRPr="00237760" w:rsidRDefault="00D3138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Niska jakość dróg (z powodu złego stanu dróg przewoźnicy nie są zainteresowani uruchamianiem kolejnych tras przewozowych, zły stan dróg ogranicza rozwój transportu zbiorowego z uwagi na bezpieczeństwo ruchu drogowego, możliwość uszkodzenia taboru i in.)</w:t>
            </w:r>
          </w:p>
        </w:tc>
        <w:tc>
          <w:tcPr>
            <w:tcW w:w="4394"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473E27F2" w14:textId="77777777" w:rsidR="00D31381" w:rsidRPr="00237760" w:rsidRDefault="00D3138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368F4C33" w14:textId="77777777" w:rsidR="00D31381" w:rsidRPr="00237760" w:rsidRDefault="00D3138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326B1FD6" w14:textId="77777777" w:rsidR="00D31381" w:rsidRPr="00237760" w:rsidRDefault="00D3138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p w14:paraId="52B13061" w14:textId="77777777" w:rsidR="00D31381" w:rsidRPr="00237760" w:rsidRDefault="00D3138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p w14:paraId="7299D8B2" w14:textId="77777777" w:rsidR="00D31381" w:rsidRPr="00237760" w:rsidRDefault="00D3138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4. Poprawa bezpieczeństwa w transporcie</w:t>
            </w:r>
          </w:p>
        </w:tc>
      </w:tr>
      <w:tr w:rsidR="00237760" w:rsidRPr="00237760" w14:paraId="3FBC3097" w14:textId="77777777" w:rsidTr="009367B4">
        <w:trPr>
          <w:trHeight w:val="151"/>
        </w:trPr>
        <w:tc>
          <w:tcPr>
            <w:tcW w:w="4678"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0FFE1174" w14:textId="77777777" w:rsidR="00D31381" w:rsidRPr="00237760" w:rsidRDefault="00D3138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Brak skomunikowania transportu autobusowego z kolejowym</w:t>
            </w:r>
          </w:p>
        </w:tc>
        <w:tc>
          <w:tcPr>
            <w:tcW w:w="4394"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20F05A12" w14:textId="77777777" w:rsidR="00D31381" w:rsidRPr="00237760" w:rsidRDefault="00D3138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 xml:space="preserve">Cel horyzontalny 2. Wzmocnienie rozwiązań multimodalnych </w:t>
            </w:r>
          </w:p>
        </w:tc>
      </w:tr>
      <w:tr w:rsidR="00237760" w:rsidRPr="00237760" w14:paraId="3CAF9630" w14:textId="77777777" w:rsidTr="009367B4">
        <w:trPr>
          <w:trHeight w:val="151"/>
        </w:trPr>
        <w:tc>
          <w:tcPr>
            <w:tcW w:w="4678"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31A0F8B5" w14:textId="77777777" w:rsidR="00D31381" w:rsidRPr="00237760" w:rsidRDefault="00D3138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Niska częstotliwość kursowania autobusów na niektórych liniach</w:t>
            </w:r>
          </w:p>
        </w:tc>
        <w:tc>
          <w:tcPr>
            <w:tcW w:w="4394"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07720828" w14:textId="77777777" w:rsidR="00D31381" w:rsidRPr="00237760" w:rsidRDefault="00D3138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5608E6A9" w14:textId="77777777" w:rsidTr="009367B4">
        <w:trPr>
          <w:trHeight w:val="151"/>
        </w:trPr>
        <w:tc>
          <w:tcPr>
            <w:tcW w:w="9072" w:type="dxa"/>
            <w:gridSpan w:val="2"/>
            <w:tcBorders>
              <w:top w:val="single" w:sz="4" w:space="0" w:color="BDD6EE" w:themeColor="accent1" w:themeTint="66"/>
              <w:left w:val="nil"/>
              <w:right w:val="nil"/>
            </w:tcBorders>
            <w:shd w:val="clear" w:color="auto" w:fill="auto"/>
            <w:tcMar>
              <w:left w:w="28" w:type="dxa"/>
              <w:right w:w="28" w:type="dxa"/>
            </w:tcMar>
            <w:vAlign w:val="center"/>
          </w:tcPr>
          <w:p w14:paraId="091A6E5F" w14:textId="77777777" w:rsidR="00D31381" w:rsidRPr="00237760" w:rsidRDefault="00D31381"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 xml:space="preserve">SZANSE </w:t>
            </w:r>
          </w:p>
        </w:tc>
      </w:tr>
      <w:tr w:rsidR="00237760" w:rsidRPr="00237760" w14:paraId="013D335F" w14:textId="77777777" w:rsidTr="009367B4">
        <w:trPr>
          <w:trHeight w:val="151"/>
        </w:trPr>
        <w:tc>
          <w:tcPr>
            <w:tcW w:w="4678"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2E85CB6B" w14:textId="77777777" w:rsidR="00D31381" w:rsidRPr="00237760" w:rsidRDefault="00D3138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Poprawa jakości usług przewozowych poprzez politykę informacyjną</w:t>
            </w:r>
          </w:p>
        </w:tc>
        <w:tc>
          <w:tcPr>
            <w:tcW w:w="4394"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12B43F38" w14:textId="77777777" w:rsidR="00D31381" w:rsidRPr="00237760" w:rsidRDefault="00D3138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Potencjalnie: Cel podstawowy 1. Dostępność zewnętrzna</w:t>
            </w:r>
            <w:r w:rsidRPr="00237760">
              <w:rPr>
                <w:rStyle w:val="Odwoanieprzypisudolnego"/>
                <w:rFonts w:ascii="Arial" w:hAnsi="Arial" w:cs="Arial"/>
                <w:color w:val="auto"/>
                <w:sz w:val="24"/>
                <w:szCs w:val="24"/>
              </w:rPr>
              <w:footnoteReference w:id="5"/>
            </w:r>
          </w:p>
          <w:p w14:paraId="5DD9A288" w14:textId="27E9FC8B" w:rsidR="006F1DFA" w:rsidRPr="00237760" w:rsidRDefault="006F1DFA"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r w:rsidRPr="00237760">
              <w:rPr>
                <w:rStyle w:val="Odwoanieprzypisudolnego"/>
                <w:rFonts w:ascii="Arial" w:hAnsi="Arial" w:cs="Arial"/>
                <w:color w:val="auto"/>
                <w:sz w:val="24"/>
                <w:szCs w:val="24"/>
              </w:rPr>
              <w:t xml:space="preserve"> </w:t>
            </w:r>
            <w:r w:rsidRPr="00237760">
              <w:rPr>
                <w:rStyle w:val="Odwoanieprzypisudolnego"/>
                <w:rFonts w:ascii="Arial" w:hAnsi="Arial" w:cs="Arial"/>
                <w:color w:val="auto"/>
                <w:sz w:val="24"/>
                <w:szCs w:val="24"/>
              </w:rPr>
              <w:footnoteReference w:id="6"/>
            </w:r>
          </w:p>
        </w:tc>
      </w:tr>
      <w:tr w:rsidR="00237760" w:rsidRPr="00237760" w14:paraId="39BADAD8" w14:textId="77777777" w:rsidTr="009367B4">
        <w:trPr>
          <w:trHeight w:val="151"/>
        </w:trPr>
        <w:tc>
          <w:tcPr>
            <w:tcW w:w="4678"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23E86F92" w14:textId="77777777" w:rsidR="00D31381" w:rsidRPr="00237760" w:rsidRDefault="00D3138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Możliwość lepszego dopasowania usług przewozowych do oczekiwań pasażerów w oparciu o prowadzenie badań jakości tych usług</w:t>
            </w:r>
          </w:p>
        </w:tc>
        <w:tc>
          <w:tcPr>
            <w:tcW w:w="4394"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270D0663" w14:textId="77777777" w:rsidR="00D31381" w:rsidRPr="00237760" w:rsidRDefault="00D3138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Poruszone w diagnozie (wykorzystano wyniki Ankietowego badania mobilności transportowej ludności na poziomie lokalnym) – zob. opracowanie Rozwój transportu w województwie podkarpackim w perspektywie do 2030 roku</w:t>
            </w:r>
            <w:r w:rsidRPr="00237760">
              <w:rPr>
                <w:rStyle w:val="Odwoanieprzypisudolnego"/>
                <w:rFonts w:ascii="Arial" w:hAnsi="Arial" w:cs="Arial"/>
                <w:color w:val="auto"/>
                <w:sz w:val="24"/>
                <w:szCs w:val="24"/>
              </w:rPr>
              <w:footnoteReference w:id="7"/>
            </w:r>
            <w:r w:rsidRPr="00237760">
              <w:rPr>
                <w:rFonts w:ascii="Arial" w:hAnsi="Arial" w:cs="Arial"/>
                <w:color w:val="auto"/>
                <w:sz w:val="24"/>
                <w:szCs w:val="24"/>
              </w:rPr>
              <w:t xml:space="preserve"> </w:t>
            </w:r>
          </w:p>
        </w:tc>
      </w:tr>
      <w:tr w:rsidR="00237760" w:rsidRPr="00237760" w14:paraId="30216A04" w14:textId="77777777" w:rsidTr="009367B4">
        <w:trPr>
          <w:trHeight w:val="151"/>
        </w:trPr>
        <w:tc>
          <w:tcPr>
            <w:tcW w:w="4678"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506A6E9E" w14:textId="77777777" w:rsidR="00D31381" w:rsidRPr="00237760" w:rsidRDefault="00D3138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Budowa i modernizacja dróg wojewódzkich</w:t>
            </w:r>
          </w:p>
        </w:tc>
        <w:tc>
          <w:tcPr>
            <w:tcW w:w="4394"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1E2272FA" w14:textId="77777777" w:rsidR="00D31381" w:rsidRPr="00237760" w:rsidRDefault="00D3138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2AA1908D" w14:textId="77777777" w:rsidR="00D31381" w:rsidRPr="00237760" w:rsidRDefault="00D3138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13333FC0" w14:textId="77777777" w:rsidR="00D31381" w:rsidRPr="00237760" w:rsidRDefault="00D3138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tc>
      </w:tr>
      <w:tr w:rsidR="00237760" w:rsidRPr="00237760" w14:paraId="7188FE0A" w14:textId="77777777" w:rsidTr="009367B4">
        <w:trPr>
          <w:trHeight w:val="151"/>
        </w:trPr>
        <w:tc>
          <w:tcPr>
            <w:tcW w:w="4678"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0CECD6F3" w14:textId="77777777" w:rsidR="00D31381" w:rsidRPr="00237760" w:rsidRDefault="00D3138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Budowa drogi ekspresowej A4</w:t>
            </w:r>
          </w:p>
        </w:tc>
        <w:tc>
          <w:tcPr>
            <w:tcW w:w="4394"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74FEE44B" w14:textId="77777777" w:rsidR="00D31381" w:rsidRPr="00237760" w:rsidRDefault="00D3138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tc>
      </w:tr>
      <w:tr w:rsidR="00237760" w:rsidRPr="00237760" w14:paraId="55C49BD7" w14:textId="77777777" w:rsidTr="009367B4">
        <w:trPr>
          <w:trHeight w:val="151"/>
        </w:trPr>
        <w:tc>
          <w:tcPr>
            <w:tcW w:w="4678"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60AD57E7" w14:textId="77777777" w:rsidR="00D31381" w:rsidRPr="00237760" w:rsidRDefault="00D3138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lastRenderedPageBreak/>
              <w:t>Możliwość pozyskiwania środków unijnych</w:t>
            </w:r>
          </w:p>
        </w:tc>
        <w:tc>
          <w:tcPr>
            <w:tcW w:w="4394"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75122FE7" w14:textId="77777777" w:rsidR="00D31381" w:rsidRPr="00237760" w:rsidRDefault="00D3138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Wszystkie cele</w:t>
            </w:r>
          </w:p>
        </w:tc>
      </w:tr>
      <w:tr w:rsidR="00237760" w:rsidRPr="00237760" w14:paraId="59063BB8" w14:textId="77777777" w:rsidTr="009367B4">
        <w:trPr>
          <w:trHeight w:val="151"/>
        </w:trPr>
        <w:tc>
          <w:tcPr>
            <w:tcW w:w="4678"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729B68BC" w14:textId="77777777" w:rsidR="00D31381" w:rsidRPr="00237760" w:rsidRDefault="00D3138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 xml:space="preserve">Atrakcje turystyczne </w:t>
            </w:r>
          </w:p>
        </w:tc>
        <w:tc>
          <w:tcPr>
            <w:tcW w:w="4394"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4F0DE823" w14:textId="77777777" w:rsidR="00D31381" w:rsidRPr="00237760" w:rsidRDefault="00D3138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Potencjalnie:</w:t>
            </w:r>
          </w:p>
          <w:p w14:paraId="638F59A9" w14:textId="77777777" w:rsidR="00D31381" w:rsidRPr="00237760" w:rsidRDefault="00D3138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0D6F8529" w14:textId="77777777" w:rsidR="00D31381" w:rsidRPr="00237760" w:rsidRDefault="00D3138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65B40185" w14:textId="77777777" w:rsidR="00D31381" w:rsidRPr="00237760" w:rsidRDefault="00D3138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p w14:paraId="0A54246E" w14:textId="45AB2B99" w:rsidR="006F1DFA" w:rsidRPr="00237760" w:rsidRDefault="006F1DFA"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06AC9847" w14:textId="77777777" w:rsidTr="009367B4">
        <w:trPr>
          <w:trHeight w:val="151"/>
        </w:trPr>
        <w:tc>
          <w:tcPr>
            <w:tcW w:w="4678"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5F2DDEAE" w14:textId="77777777" w:rsidR="00D31381" w:rsidRPr="00237760" w:rsidRDefault="00D3138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Wysokie walory przyrodnicze regionu</w:t>
            </w:r>
          </w:p>
        </w:tc>
        <w:tc>
          <w:tcPr>
            <w:tcW w:w="4394"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7DC49512" w14:textId="77777777" w:rsidR="00D31381" w:rsidRPr="00237760" w:rsidRDefault="00D3138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7997C7E6" w14:textId="77777777" w:rsidR="00D31381" w:rsidRPr="00237760" w:rsidRDefault="00D3138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1. Ograniczenie negatywnego oddziaływania sektora transportu na klimat oraz na regionalne środowisko naturalne</w:t>
            </w:r>
          </w:p>
          <w:p w14:paraId="4EDCC634" w14:textId="77777777" w:rsidR="00D31381" w:rsidRPr="00237760" w:rsidRDefault="00D3138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7C876C9B" w14:textId="77777777" w:rsidTr="009367B4">
        <w:trPr>
          <w:trHeight w:val="151"/>
        </w:trPr>
        <w:tc>
          <w:tcPr>
            <w:tcW w:w="9072" w:type="dxa"/>
            <w:gridSpan w:val="2"/>
            <w:tcBorders>
              <w:top w:val="single" w:sz="4" w:space="0" w:color="BDD6EE" w:themeColor="accent1" w:themeTint="66"/>
              <w:left w:val="nil"/>
              <w:right w:val="nil"/>
            </w:tcBorders>
            <w:shd w:val="clear" w:color="auto" w:fill="auto"/>
            <w:tcMar>
              <w:left w:w="28" w:type="dxa"/>
              <w:right w:w="28" w:type="dxa"/>
            </w:tcMar>
            <w:vAlign w:val="center"/>
          </w:tcPr>
          <w:p w14:paraId="265A980A" w14:textId="77777777" w:rsidR="00D31381" w:rsidRPr="00237760" w:rsidRDefault="00D31381"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 xml:space="preserve">ZAGROŻENIA </w:t>
            </w:r>
          </w:p>
        </w:tc>
      </w:tr>
      <w:tr w:rsidR="00237760" w:rsidRPr="00237760" w14:paraId="7FCC4002" w14:textId="77777777" w:rsidTr="009367B4">
        <w:trPr>
          <w:trHeight w:val="151"/>
        </w:trPr>
        <w:tc>
          <w:tcPr>
            <w:tcW w:w="4678"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725E6041" w14:textId="77777777" w:rsidR="00D31381" w:rsidRPr="00237760" w:rsidRDefault="00D3138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Niedostateczne skomunikowanie różnych rodzajów środków transportu</w:t>
            </w:r>
          </w:p>
        </w:tc>
        <w:tc>
          <w:tcPr>
            <w:tcW w:w="4394"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299F97D3" w14:textId="77777777" w:rsidR="00D31381" w:rsidRPr="00237760" w:rsidRDefault="00D3138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6A903704" w14:textId="77777777" w:rsidR="00D31381" w:rsidRPr="00237760" w:rsidRDefault="00D3138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399B8B97" w14:textId="77777777" w:rsidR="00D31381" w:rsidRPr="00237760" w:rsidRDefault="00D3138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2. Wzmocnienie rozwiązań multimodalnych</w:t>
            </w:r>
          </w:p>
          <w:p w14:paraId="1F46F25B" w14:textId="77777777" w:rsidR="00D31381" w:rsidRPr="00237760" w:rsidRDefault="00D3138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6D6D34BA" w14:textId="77777777" w:rsidTr="009367B4">
        <w:trPr>
          <w:trHeight w:val="151"/>
        </w:trPr>
        <w:tc>
          <w:tcPr>
            <w:tcW w:w="4678"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59C07A58" w14:textId="77777777" w:rsidR="00D31381" w:rsidRPr="00237760" w:rsidRDefault="00D3138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Duży spadek przewozów w okresie wakacyjnym</w:t>
            </w:r>
          </w:p>
        </w:tc>
        <w:tc>
          <w:tcPr>
            <w:tcW w:w="4394"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48227848" w14:textId="77777777" w:rsidR="00D31381" w:rsidRPr="00237760" w:rsidRDefault="00D3138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Potencjalnie Cel horyzontalny 3. Transport publiczny</w:t>
            </w:r>
            <w:r w:rsidRPr="00237760">
              <w:rPr>
                <w:rStyle w:val="Odwoanieprzypisudolnego"/>
                <w:rFonts w:ascii="Arial" w:hAnsi="Arial" w:cs="Arial"/>
                <w:color w:val="auto"/>
                <w:sz w:val="24"/>
                <w:szCs w:val="24"/>
              </w:rPr>
              <w:footnoteReference w:id="8"/>
            </w:r>
          </w:p>
        </w:tc>
      </w:tr>
      <w:tr w:rsidR="00237760" w:rsidRPr="00237760" w14:paraId="6A3DE625" w14:textId="77777777" w:rsidTr="009367B4">
        <w:trPr>
          <w:trHeight w:val="151"/>
        </w:trPr>
        <w:tc>
          <w:tcPr>
            <w:tcW w:w="4678"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25A5F1BB" w14:textId="77777777" w:rsidR="00D31381" w:rsidRPr="00237760" w:rsidRDefault="00D3138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Niewystarczająca infrastruktura drogowa</w:t>
            </w:r>
          </w:p>
        </w:tc>
        <w:tc>
          <w:tcPr>
            <w:tcW w:w="4394"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6A376581" w14:textId="77777777" w:rsidR="00D31381" w:rsidRPr="00237760" w:rsidRDefault="00D3138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Wszystkie cele</w:t>
            </w:r>
          </w:p>
        </w:tc>
      </w:tr>
      <w:tr w:rsidR="00237760" w:rsidRPr="00237760" w14:paraId="531CAE1B" w14:textId="77777777" w:rsidTr="009367B4">
        <w:trPr>
          <w:trHeight w:val="151"/>
        </w:trPr>
        <w:tc>
          <w:tcPr>
            <w:tcW w:w="4678"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2C61B663" w14:textId="77777777" w:rsidR="00D31381" w:rsidRPr="00237760" w:rsidRDefault="00D3138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Rozwój motoryzacji indywidualnej i nienadążający za nim rozwój infrastruktury drogowej</w:t>
            </w:r>
          </w:p>
        </w:tc>
        <w:tc>
          <w:tcPr>
            <w:tcW w:w="4394"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3B9EB89A" w14:textId="77777777" w:rsidR="00D31381" w:rsidRPr="00237760" w:rsidRDefault="00D3138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r w:rsidRPr="00237760">
              <w:rPr>
                <w:rStyle w:val="Odwoanieprzypisudolnego"/>
                <w:rFonts w:ascii="Arial" w:hAnsi="Arial" w:cs="Arial"/>
                <w:color w:val="auto"/>
                <w:sz w:val="24"/>
                <w:szCs w:val="24"/>
              </w:rPr>
              <w:footnoteReference w:id="9"/>
            </w:r>
          </w:p>
        </w:tc>
      </w:tr>
      <w:tr w:rsidR="00237760" w:rsidRPr="00237760" w14:paraId="4EBA2073" w14:textId="77777777" w:rsidTr="009367B4">
        <w:trPr>
          <w:trHeight w:val="151"/>
        </w:trPr>
        <w:tc>
          <w:tcPr>
            <w:tcW w:w="4678"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0E502A90" w14:textId="77777777" w:rsidR="00D31381" w:rsidRPr="00237760" w:rsidRDefault="00D3138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System prawny niedostosowany do współczesnych potrzeb transportu publicznego</w:t>
            </w:r>
          </w:p>
        </w:tc>
        <w:tc>
          <w:tcPr>
            <w:tcW w:w="4394"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347D873E" w14:textId="77777777" w:rsidR="00D31381" w:rsidRPr="00237760" w:rsidRDefault="00D3138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Częściowo poruszone w diagnozie</w:t>
            </w:r>
          </w:p>
        </w:tc>
      </w:tr>
      <w:tr w:rsidR="00237760" w:rsidRPr="00237760" w14:paraId="2A257811" w14:textId="77777777" w:rsidTr="009367B4">
        <w:trPr>
          <w:trHeight w:val="151"/>
        </w:trPr>
        <w:tc>
          <w:tcPr>
            <w:tcW w:w="4678"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557BCE31" w14:textId="77777777" w:rsidR="00D31381" w:rsidRPr="00237760" w:rsidRDefault="00D3138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Brak centralnych środków finansowych na poprawę transportu publicznego jednostek samorządu terytorialnego</w:t>
            </w:r>
          </w:p>
        </w:tc>
        <w:tc>
          <w:tcPr>
            <w:tcW w:w="4394"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09A215A8" w14:textId="77777777" w:rsidR="00D31381" w:rsidRPr="00237760" w:rsidRDefault="00D3138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Częściowo poruszone w diagnozie i analizie ryzyka</w:t>
            </w:r>
          </w:p>
        </w:tc>
      </w:tr>
      <w:tr w:rsidR="00237760" w:rsidRPr="00237760" w14:paraId="7E273735" w14:textId="77777777" w:rsidTr="009367B4">
        <w:trPr>
          <w:trHeight w:val="151"/>
        </w:trPr>
        <w:tc>
          <w:tcPr>
            <w:tcW w:w="4678" w:type="dxa"/>
            <w:tcBorders>
              <w:top w:val="single" w:sz="4" w:space="0" w:color="BDD6EE" w:themeColor="accent1" w:themeTint="66"/>
              <w:left w:val="nil"/>
              <w:bottom w:val="single" w:sz="12" w:space="0" w:color="002060"/>
              <w:right w:val="nil"/>
            </w:tcBorders>
            <w:shd w:val="clear" w:color="auto" w:fill="auto"/>
            <w:tcMar>
              <w:left w:w="28" w:type="dxa"/>
              <w:right w:w="28" w:type="dxa"/>
            </w:tcMar>
            <w:vAlign w:val="center"/>
          </w:tcPr>
          <w:p w14:paraId="7A7BFA31" w14:textId="77777777" w:rsidR="00D31381" w:rsidRPr="00237760" w:rsidRDefault="00D3138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Rosnąca konkurencja na rynku przewoźników w transporcie publicznym, skutkująca niską jakością</w:t>
            </w:r>
          </w:p>
        </w:tc>
        <w:tc>
          <w:tcPr>
            <w:tcW w:w="4394" w:type="dxa"/>
            <w:tcBorders>
              <w:top w:val="single" w:sz="4" w:space="0" w:color="BDD6EE" w:themeColor="accent1" w:themeTint="66"/>
              <w:left w:val="nil"/>
              <w:bottom w:val="single" w:sz="12" w:space="0" w:color="002060"/>
              <w:right w:val="nil"/>
            </w:tcBorders>
            <w:shd w:val="clear" w:color="auto" w:fill="auto"/>
            <w:tcMar>
              <w:left w:w="28" w:type="dxa"/>
              <w:right w:w="28" w:type="dxa"/>
            </w:tcMar>
            <w:vAlign w:val="center"/>
          </w:tcPr>
          <w:p w14:paraId="013A17BA" w14:textId="77777777" w:rsidR="00D31381" w:rsidRPr="00237760" w:rsidRDefault="00D3138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 xml:space="preserve">Cel horyzontalny 1. Ograniczenie negatywnego oddziaływania sektora </w:t>
            </w:r>
            <w:r w:rsidRPr="00237760">
              <w:rPr>
                <w:rFonts w:ascii="Arial" w:hAnsi="Arial" w:cs="Arial"/>
                <w:color w:val="auto"/>
                <w:sz w:val="24"/>
                <w:szCs w:val="24"/>
              </w:rPr>
              <w:lastRenderedPageBreak/>
              <w:t>transportu na klimat oraz na regionalne środowisko naturalne</w:t>
            </w:r>
            <w:r w:rsidRPr="00237760">
              <w:rPr>
                <w:rStyle w:val="Odwoanieprzypisudolnego"/>
                <w:rFonts w:ascii="Arial" w:hAnsi="Arial" w:cs="Arial"/>
                <w:color w:val="auto"/>
                <w:sz w:val="24"/>
                <w:szCs w:val="24"/>
              </w:rPr>
              <w:footnoteReference w:id="10"/>
            </w:r>
          </w:p>
          <w:p w14:paraId="2CACD9AB" w14:textId="77777777" w:rsidR="00D31381" w:rsidRPr="00237760" w:rsidRDefault="00D3138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Potencjalnie Cel horyzontalny 3. Transport publiczny</w:t>
            </w:r>
            <w:r w:rsidRPr="00237760">
              <w:rPr>
                <w:rStyle w:val="Odwoanieprzypisudolnego"/>
                <w:rFonts w:ascii="Arial" w:hAnsi="Arial" w:cs="Arial"/>
                <w:color w:val="auto"/>
                <w:sz w:val="24"/>
                <w:szCs w:val="24"/>
              </w:rPr>
              <w:footnoteReference w:id="11"/>
            </w:r>
          </w:p>
        </w:tc>
      </w:tr>
    </w:tbl>
    <w:p w14:paraId="6C4F3284" w14:textId="2E5CAAC0" w:rsidR="00734C1A" w:rsidRPr="00237760" w:rsidRDefault="00734C1A"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lastRenderedPageBreak/>
        <w:t xml:space="preserve">Uwaga: ocenie poddano wszystkie elementy </w:t>
      </w:r>
      <w:r w:rsidR="009A1EFB" w:rsidRPr="00237760">
        <w:rPr>
          <w:rFonts w:ascii="Arial" w:hAnsi="Arial" w:cs="Arial"/>
          <w:color w:val="auto"/>
          <w:sz w:val="24"/>
          <w:szCs w:val="24"/>
          <w:lang w:eastAsia="pl-PL"/>
        </w:rPr>
        <w:t xml:space="preserve">Planu </w:t>
      </w:r>
      <w:r w:rsidRPr="00237760">
        <w:rPr>
          <w:rFonts w:ascii="Arial" w:hAnsi="Arial" w:cs="Arial"/>
          <w:color w:val="auto"/>
          <w:sz w:val="24"/>
          <w:szCs w:val="24"/>
          <w:lang w:eastAsia="pl-PL"/>
        </w:rPr>
        <w:t>wskazane w analizie SWOT (w słabościach, szansach i zagrożeniach). W tabeli wskazano tylko te elementy, do których odnosi się Program.</w:t>
      </w:r>
    </w:p>
    <w:p w14:paraId="417DD989" w14:textId="7427661E" w:rsidR="00D31381" w:rsidRPr="00237760" w:rsidRDefault="00D31381"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 xml:space="preserve">Źródło: opracowanie własne na podstawie PSRT WP oraz </w:t>
      </w:r>
      <w:r w:rsidR="000F259B" w:rsidRPr="00237760">
        <w:rPr>
          <w:rFonts w:ascii="Arial" w:hAnsi="Arial" w:cs="Arial"/>
          <w:color w:val="auto"/>
          <w:sz w:val="24"/>
          <w:szCs w:val="24"/>
          <w:lang w:eastAsia="pl-PL"/>
        </w:rPr>
        <w:t>Planu zrównoważonego rozwoju publicznego transportu zbiorowego dla Województwa Podkarpackiego.</w:t>
      </w:r>
    </w:p>
    <w:p w14:paraId="775B8479" w14:textId="4684D2D6" w:rsidR="00680AE2" w:rsidRDefault="00680AE2" w:rsidP="009367B4">
      <w:pPr>
        <w:jc w:val="left"/>
        <w:rPr>
          <w:rFonts w:ascii="Arial" w:hAnsi="Arial" w:cs="Arial"/>
          <w:color w:val="auto"/>
          <w:sz w:val="24"/>
          <w:szCs w:val="24"/>
        </w:rPr>
      </w:pPr>
      <w:r w:rsidRPr="00237760">
        <w:rPr>
          <w:rFonts w:ascii="Arial" w:hAnsi="Arial" w:cs="Arial"/>
          <w:color w:val="auto"/>
          <w:sz w:val="24"/>
          <w:szCs w:val="24"/>
        </w:rPr>
        <w:t>Na z</w:t>
      </w:r>
      <w:r w:rsidR="00197FFD" w:rsidRPr="00237760">
        <w:rPr>
          <w:rFonts w:ascii="Arial" w:hAnsi="Arial" w:cs="Arial"/>
          <w:color w:val="auto"/>
          <w:sz w:val="24"/>
          <w:szCs w:val="24"/>
        </w:rPr>
        <w:t>agłębienie się w zagadnienie potrzeb i wyzwań</w:t>
      </w:r>
      <w:r w:rsidR="00A61312" w:rsidRPr="00237760">
        <w:rPr>
          <w:rFonts w:ascii="Arial" w:hAnsi="Arial" w:cs="Arial"/>
          <w:color w:val="auto"/>
          <w:sz w:val="24"/>
          <w:szCs w:val="24"/>
        </w:rPr>
        <w:t xml:space="preserve"> regionu</w:t>
      </w:r>
      <w:r w:rsidR="00197FFD" w:rsidRPr="00237760">
        <w:rPr>
          <w:rFonts w:ascii="Arial" w:hAnsi="Arial" w:cs="Arial"/>
          <w:color w:val="auto"/>
          <w:sz w:val="24"/>
          <w:szCs w:val="24"/>
        </w:rPr>
        <w:t xml:space="preserve"> poz</w:t>
      </w:r>
      <w:r w:rsidRPr="00237760">
        <w:rPr>
          <w:rFonts w:ascii="Arial" w:hAnsi="Arial" w:cs="Arial"/>
          <w:color w:val="auto"/>
          <w:sz w:val="24"/>
          <w:szCs w:val="24"/>
        </w:rPr>
        <w:t>w</w:t>
      </w:r>
      <w:r w:rsidR="00693863" w:rsidRPr="00237760">
        <w:rPr>
          <w:rFonts w:ascii="Arial" w:hAnsi="Arial" w:cs="Arial"/>
          <w:color w:val="auto"/>
          <w:sz w:val="24"/>
          <w:szCs w:val="24"/>
        </w:rPr>
        <w:t>ala</w:t>
      </w:r>
      <w:r w:rsidRPr="00237760">
        <w:rPr>
          <w:rFonts w:ascii="Arial" w:hAnsi="Arial" w:cs="Arial"/>
          <w:color w:val="auto"/>
          <w:sz w:val="24"/>
          <w:szCs w:val="24"/>
        </w:rPr>
        <w:t xml:space="preserve"> również analiza </w:t>
      </w:r>
      <w:r w:rsidR="00D420DD" w:rsidRPr="00237760">
        <w:rPr>
          <w:rFonts w:ascii="Arial" w:hAnsi="Arial" w:cs="Arial"/>
          <w:color w:val="auto"/>
          <w:sz w:val="24"/>
          <w:szCs w:val="24"/>
        </w:rPr>
        <w:t>celów Programu względem strategii ponadlokalnych</w:t>
      </w:r>
      <w:r w:rsidR="00D15446" w:rsidRPr="00237760">
        <w:rPr>
          <w:rFonts w:ascii="Arial" w:hAnsi="Arial" w:cs="Arial"/>
          <w:color w:val="auto"/>
          <w:sz w:val="24"/>
          <w:szCs w:val="24"/>
        </w:rPr>
        <w:t xml:space="preserve"> </w:t>
      </w:r>
      <w:r w:rsidR="0049710D" w:rsidRPr="00237760">
        <w:rPr>
          <w:rFonts w:ascii="Arial" w:hAnsi="Arial" w:cs="Arial"/>
          <w:color w:val="auto"/>
          <w:sz w:val="24"/>
          <w:szCs w:val="24"/>
        </w:rPr>
        <w:t>MOF</w:t>
      </w:r>
      <w:r w:rsidR="00A61312" w:rsidRPr="00237760">
        <w:rPr>
          <w:rFonts w:ascii="Arial" w:hAnsi="Arial" w:cs="Arial"/>
          <w:color w:val="auto"/>
          <w:sz w:val="24"/>
          <w:szCs w:val="24"/>
        </w:rPr>
        <w:t xml:space="preserve"> w województwie podkarpackim</w:t>
      </w:r>
      <w:r w:rsidR="00285C6B" w:rsidRPr="00237760">
        <w:rPr>
          <w:rFonts w:ascii="Arial" w:hAnsi="Arial" w:cs="Arial"/>
          <w:color w:val="auto"/>
          <w:sz w:val="24"/>
          <w:szCs w:val="24"/>
        </w:rPr>
        <w:t xml:space="preserve"> (</w:t>
      </w:r>
      <w:r w:rsidR="0097354A" w:rsidRPr="00237760">
        <w:rPr>
          <w:rFonts w:ascii="Arial" w:hAnsi="Arial" w:cs="Arial"/>
          <w:color w:val="auto"/>
          <w:sz w:val="24"/>
          <w:szCs w:val="24"/>
        </w:rPr>
        <w:fldChar w:fldCharType="begin"/>
      </w:r>
      <w:r w:rsidR="0097354A" w:rsidRPr="00237760">
        <w:rPr>
          <w:rFonts w:ascii="Arial" w:hAnsi="Arial" w:cs="Arial"/>
          <w:color w:val="auto"/>
          <w:sz w:val="24"/>
          <w:szCs w:val="24"/>
        </w:rPr>
        <w:instrText xml:space="preserve"> REF _Ref100926307 \h </w:instrText>
      </w:r>
      <w:r w:rsidR="00237760" w:rsidRPr="00237760">
        <w:rPr>
          <w:rFonts w:ascii="Arial" w:hAnsi="Arial" w:cs="Arial"/>
          <w:color w:val="auto"/>
          <w:sz w:val="24"/>
          <w:szCs w:val="24"/>
        </w:rPr>
        <w:instrText xml:space="preserve"> \* MERGEFORMAT </w:instrText>
      </w:r>
      <w:r w:rsidR="0097354A" w:rsidRPr="00237760">
        <w:rPr>
          <w:rFonts w:ascii="Arial" w:hAnsi="Arial" w:cs="Arial"/>
          <w:color w:val="auto"/>
          <w:sz w:val="24"/>
          <w:szCs w:val="24"/>
        </w:rPr>
      </w:r>
      <w:r w:rsidR="0097354A" w:rsidRPr="00237760">
        <w:rPr>
          <w:rFonts w:ascii="Arial" w:hAnsi="Arial" w:cs="Arial"/>
          <w:color w:val="auto"/>
          <w:sz w:val="24"/>
          <w:szCs w:val="24"/>
        </w:rPr>
        <w:fldChar w:fldCharType="separate"/>
      </w:r>
      <w:r w:rsidR="00E52C19" w:rsidRPr="00237760">
        <w:rPr>
          <w:rFonts w:ascii="Arial" w:hAnsi="Arial" w:cs="Arial"/>
          <w:color w:val="auto"/>
          <w:sz w:val="24"/>
          <w:szCs w:val="24"/>
        </w:rPr>
        <w:t xml:space="preserve">Tabela </w:t>
      </w:r>
      <w:r w:rsidR="00E52C19" w:rsidRPr="00237760">
        <w:rPr>
          <w:rFonts w:ascii="Arial" w:hAnsi="Arial" w:cs="Arial"/>
          <w:noProof/>
          <w:color w:val="auto"/>
          <w:sz w:val="24"/>
          <w:szCs w:val="24"/>
        </w:rPr>
        <w:t>6</w:t>
      </w:r>
      <w:r w:rsidR="0097354A" w:rsidRPr="00237760">
        <w:rPr>
          <w:rFonts w:ascii="Arial" w:hAnsi="Arial" w:cs="Arial"/>
          <w:color w:val="auto"/>
          <w:sz w:val="24"/>
          <w:szCs w:val="24"/>
        </w:rPr>
        <w:fldChar w:fldCharType="end"/>
      </w:r>
      <w:r w:rsidR="00285C6B" w:rsidRPr="00237760">
        <w:rPr>
          <w:rFonts w:ascii="Arial" w:hAnsi="Arial" w:cs="Arial"/>
          <w:color w:val="auto"/>
          <w:sz w:val="24"/>
          <w:szCs w:val="24"/>
        </w:rPr>
        <w:t>)</w:t>
      </w:r>
      <w:r w:rsidR="00D15446" w:rsidRPr="00237760">
        <w:rPr>
          <w:rFonts w:ascii="Arial" w:hAnsi="Arial" w:cs="Arial"/>
          <w:color w:val="auto"/>
          <w:sz w:val="24"/>
          <w:szCs w:val="24"/>
        </w:rPr>
        <w:t xml:space="preserve">. </w:t>
      </w:r>
      <w:r w:rsidR="000D7368" w:rsidRPr="00237760">
        <w:rPr>
          <w:rFonts w:ascii="Arial" w:hAnsi="Arial" w:cs="Arial"/>
          <w:color w:val="auto"/>
          <w:sz w:val="24"/>
          <w:szCs w:val="24"/>
        </w:rPr>
        <w:t xml:space="preserve">Na obszarze </w:t>
      </w:r>
      <w:r w:rsidR="00486A5E" w:rsidRPr="00237760">
        <w:rPr>
          <w:rFonts w:ascii="Arial" w:hAnsi="Arial" w:cs="Arial"/>
          <w:color w:val="auto"/>
          <w:sz w:val="24"/>
          <w:szCs w:val="24"/>
        </w:rPr>
        <w:t>regionu</w:t>
      </w:r>
      <w:r w:rsidR="000D7368" w:rsidRPr="00237760">
        <w:rPr>
          <w:rFonts w:ascii="Arial" w:hAnsi="Arial" w:cs="Arial"/>
          <w:color w:val="auto"/>
          <w:sz w:val="24"/>
          <w:szCs w:val="24"/>
        </w:rPr>
        <w:t xml:space="preserve"> zostało wyznaczonych 11 takich obszarów, jednakże </w:t>
      </w:r>
      <w:r w:rsidR="00D54866" w:rsidRPr="00237760">
        <w:rPr>
          <w:rFonts w:ascii="Arial" w:hAnsi="Arial" w:cs="Arial"/>
          <w:color w:val="auto"/>
          <w:sz w:val="24"/>
          <w:szCs w:val="24"/>
        </w:rPr>
        <w:t xml:space="preserve">aktualnych dokumentów jest 9. </w:t>
      </w:r>
      <w:r w:rsidR="00E24A79" w:rsidRPr="00237760">
        <w:rPr>
          <w:rFonts w:ascii="Arial" w:hAnsi="Arial" w:cs="Arial"/>
          <w:color w:val="auto"/>
          <w:sz w:val="24"/>
          <w:szCs w:val="24"/>
        </w:rPr>
        <w:t xml:space="preserve">Nie podjęto się </w:t>
      </w:r>
      <w:r w:rsidR="00486A5E" w:rsidRPr="00237760">
        <w:rPr>
          <w:rFonts w:ascii="Arial" w:hAnsi="Arial" w:cs="Arial"/>
          <w:color w:val="auto"/>
          <w:sz w:val="24"/>
          <w:szCs w:val="24"/>
        </w:rPr>
        <w:t>opracowania</w:t>
      </w:r>
      <w:r w:rsidR="00E24A79" w:rsidRPr="00237760">
        <w:rPr>
          <w:rFonts w:ascii="Arial" w:hAnsi="Arial" w:cs="Arial"/>
          <w:color w:val="auto"/>
          <w:sz w:val="24"/>
          <w:szCs w:val="24"/>
        </w:rPr>
        <w:t xml:space="preserve"> strategii dla </w:t>
      </w:r>
      <w:r w:rsidR="00D54866" w:rsidRPr="00237760">
        <w:rPr>
          <w:rFonts w:ascii="Arial" w:hAnsi="Arial" w:cs="Arial"/>
          <w:color w:val="auto"/>
          <w:sz w:val="24"/>
          <w:szCs w:val="24"/>
        </w:rPr>
        <w:t>MOF Jasła</w:t>
      </w:r>
      <w:r w:rsidR="00E24A79" w:rsidRPr="00237760">
        <w:rPr>
          <w:rFonts w:ascii="Arial" w:hAnsi="Arial" w:cs="Arial"/>
          <w:color w:val="auto"/>
          <w:sz w:val="24"/>
          <w:szCs w:val="24"/>
        </w:rPr>
        <w:t>, n</w:t>
      </w:r>
      <w:r w:rsidR="00A05CC8" w:rsidRPr="00237760">
        <w:rPr>
          <w:rFonts w:ascii="Arial" w:hAnsi="Arial" w:cs="Arial"/>
          <w:color w:val="auto"/>
          <w:sz w:val="24"/>
          <w:szCs w:val="24"/>
        </w:rPr>
        <w:t xml:space="preserve">atomiast MOF Lubaczowa jest w procesie jej tworzenia. W związku z tym </w:t>
      </w:r>
      <w:r w:rsidR="00693863" w:rsidRPr="00237760">
        <w:rPr>
          <w:rFonts w:ascii="Arial" w:hAnsi="Arial" w:cs="Arial"/>
          <w:color w:val="auto"/>
          <w:sz w:val="24"/>
          <w:szCs w:val="24"/>
        </w:rPr>
        <w:t>prze</w:t>
      </w:r>
      <w:r w:rsidR="00A05CC8" w:rsidRPr="00237760">
        <w:rPr>
          <w:rFonts w:ascii="Arial" w:hAnsi="Arial" w:cs="Arial"/>
          <w:color w:val="auto"/>
          <w:sz w:val="24"/>
          <w:szCs w:val="24"/>
        </w:rPr>
        <w:t>analizowane zost</w:t>
      </w:r>
      <w:r w:rsidR="00486A5E" w:rsidRPr="00237760">
        <w:rPr>
          <w:rFonts w:ascii="Arial" w:hAnsi="Arial" w:cs="Arial"/>
          <w:color w:val="auto"/>
          <w:sz w:val="24"/>
          <w:szCs w:val="24"/>
        </w:rPr>
        <w:t xml:space="preserve">ały </w:t>
      </w:r>
      <w:r w:rsidR="00A05CC8" w:rsidRPr="00237760">
        <w:rPr>
          <w:rFonts w:ascii="Arial" w:hAnsi="Arial" w:cs="Arial"/>
          <w:color w:val="auto"/>
          <w:sz w:val="24"/>
          <w:szCs w:val="24"/>
        </w:rPr>
        <w:t xml:space="preserve">strategie rozwoju </w:t>
      </w:r>
      <w:r w:rsidR="000F2830" w:rsidRPr="00237760">
        <w:rPr>
          <w:rFonts w:ascii="Arial" w:hAnsi="Arial" w:cs="Arial"/>
          <w:color w:val="auto"/>
          <w:sz w:val="24"/>
          <w:szCs w:val="24"/>
        </w:rPr>
        <w:t>tych dwóch</w:t>
      </w:r>
      <w:r w:rsidR="00A05CC8" w:rsidRPr="00237760">
        <w:rPr>
          <w:rFonts w:ascii="Arial" w:hAnsi="Arial" w:cs="Arial"/>
          <w:color w:val="auto"/>
          <w:sz w:val="24"/>
          <w:szCs w:val="24"/>
        </w:rPr>
        <w:t xml:space="preserve"> miast rdzeniowych</w:t>
      </w:r>
      <w:r w:rsidR="007D3A65" w:rsidRPr="00237760">
        <w:rPr>
          <w:rFonts w:ascii="Arial" w:hAnsi="Arial" w:cs="Arial"/>
          <w:color w:val="auto"/>
          <w:sz w:val="24"/>
          <w:szCs w:val="24"/>
        </w:rPr>
        <w:t>.</w:t>
      </w:r>
    </w:p>
    <w:p w14:paraId="7099365E" w14:textId="40508D22" w:rsidR="00C378D3" w:rsidRDefault="00C378D3" w:rsidP="009367B4">
      <w:pPr>
        <w:spacing w:after="160" w:line="259" w:lineRule="auto"/>
        <w:jc w:val="left"/>
        <w:rPr>
          <w:rFonts w:ascii="Arial" w:hAnsi="Arial" w:cs="Arial"/>
          <w:color w:val="auto"/>
          <w:sz w:val="24"/>
          <w:szCs w:val="24"/>
        </w:rPr>
      </w:pPr>
      <w:r>
        <w:rPr>
          <w:rFonts w:ascii="Arial" w:hAnsi="Arial" w:cs="Arial"/>
          <w:color w:val="auto"/>
          <w:sz w:val="24"/>
          <w:szCs w:val="24"/>
        </w:rPr>
        <w:br w:type="page"/>
      </w:r>
    </w:p>
    <w:p w14:paraId="5D04E098" w14:textId="2A259EAD" w:rsidR="00584AF3" w:rsidRPr="00237760" w:rsidRDefault="00584AF3" w:rsidP="009367B4">
      <w:pPr>
        <w:pStyle w:val="Legenda"/>
        <w:jc w:val="left"/>
        <w:rPr>
          <w:rFonts w:ascii="Arial" w:hAnsi="Arial" w:cs="Arial"/>
          <w:color w:val="auto"/>
          <w:sz w:val="24"/>
          <w:szCs w:val="24"/>
        </w:rPr>
      </w:pPr>
      <w:bookmarkStart w:id="48" w:name="_Ref100488491"/>
      <w:bookmarkStart w:id="49" w:name="_Ref100926307"/>
      <w:bookmarkStart w:id="50" w:name="_Toc101904247"/>
      <w:r w:rsidRPr="00237760">
        <w:rPr>
          <w:rFonts w:ascii="Arial" w:hAnsi="Arial" w:cs="Arial"/>
          <w:color w:val="auto"/>
          <w:sz w:val="24"/>
          <w:szCs w:val="24"/>
        </w:rPr>
        <w:lastRenderedPageBreak/>
        <w:t xml:space="preserve">Tabela </w:t>
      </w:r>
      <w:r w:rsidRPr="00237760">
        <w:rPr>
          <w:rFonts w:ascii="Arial" w:hAnsi="Arial" w:cs="Arial"/>
          <w:noProof/>
          <w:color w:val="auto"/>
          <w:sz w:val="24"/>
          <w:szCs w:val="24"/>
        </w:rPr>
        <w:fldChar w:fldCharType="begin"/>
      </w:r>
      <w:r w:rsidRPr="00237760">
        <w:rPr>
          <w:rFonts w:ascii="Arial" w:hAnsi="Arial" w:cs="Arial"/>
          <w:noProof/>
          <w:color w:val="auto"/>
          <w:sz w:val="24"/>
          <w:szCs w:val="24"/>
        </w:rPr>
        <w:instrText xml:space="preserve"> SEQ Tabela \* ARABIC </w:instrText>
      </w:r>
      <w:r w:rsidRPr="00237760">
        <w:rPr>
          <w:rFonts w:ascii="Arial" w:hAnsi="Arial" w:cs="Arial"/>
          <w:noProof/>
          <w:color w:val="auto"/>
          <w:sz w:val="24"/>
          <w:szCs w:val="24"/>
        </w:rPr>
        <w:fldChar w:fldCharType="separate"/>
      </w:r>
      <w:r w:rsidR="00762B20" w:rsidRPr="00237760">
        <w:rPr>
          <w:rFonts w:ascii="Arial" w:hAnsi="Arial" w:cs="Arial"/>
          <w:noProof/>
          <w:color w:val="auto"/>
          <w:sz w:val="24"/>
          <w:szCs w:val="24"/>
        </w:rPr>
        <w:t>6</w:t>
      </w:r>
      <w:r w:rsidRPr="00237760">
        <w:rPr>
          <w:rFonts w:ascii="Arial" w:hAnsi="Arial" w:cs="Arial"/>
          <w:noProof/>
          <w:color w:val="auto"/>
          <w:sz w:val="24"/>
          <w:szCs w:val="24"/>
        </w:rPr>
        <w:fldChar w:fldCharType="end"/>
      </w:r>
      <w:bookmarkEnd w:id="44"/>
      <w:bookmarkEnd w:id="48"/>
      <w:bookmarkEnd w:id="49"/>
      <w:r w:rsidRPr="00237760">
        <w:rPr>
          <w:rFonts w:ascii="Arial" w:hAnsi="Arial" w:cs="Arial"/>
          <w:color w:val="auto"/>
          <w:sz w:val="24"/>
          <w:szCs w:val="24"/>
        </w:rPr>
        <w:t>. Wyzwania i potrzeby społeczno-gospodarcze województwa</w:t>
      </w:r>
      <w:r w:rsidR="00C37D98" w:rsidRPr="00237760">
        <w:rPr>
          <w:rFonts w:ascii="Arial" w:hAnsi="Arial" w:cs="Arial"/>
          <w:color w:val="auto"/>
          <w:sz w:val="24"/>
          <w:szCs w:val="24"/>
        </w:rPr>
        <w:t xml:space="preserve"> wskazane w </w:t>
      </w:r>
      <w:r w:rsidR="00D27C47" w:rsidRPr="00237760">
        <w:rPr>
          <w:rFonts w:ascii="Arial" w:hAnsi="Arial" w:cs="Arial"/>
          <w:color w:val="auto"/>
          <w:sz w:val="24"/>
          <w:szCs w:val="24"/>
        </w:rPr>
        <w:t xml:space="preserve">strategiach </w:t>
      </w:r>
      <w:r w:rsidR="007A6B91" w:rsidRPr="00237760">
        <w:rPr>
          <w:rFonts w:ascii="Arial" w:hAnsi="Arial" w:cs="Arial"/>
          <w:color w:val="auto"/>
          <w:sz w:val="24"/>
          <w:szCs w:val="24"/>
        </w:rPr>
        <w:t>MOF</w:t>
      </w:r>
      <w:r w:rsidR="00BB120D" w:rsidRPr="00237760">
        <w:rPr>
          <w:rFonts w:ascii="Arial" w:hAnsi="Arial" w:cs="Arial"/>
          <w:color w:val="auto"/>
          <w:sz w:val="24"/>
          <w:szCs w:val="24"/>
        </w:rPr>
        <w:t xml:space="preserve"> i nawiązujące do zagadnienia transportu</w:t>
      </w:r>
      <w:r w:rsidRPr="00237760">
        <w:rPr>
          <w:rFonts w:ascii="Arial" w:hAnsi="Arial" w:cs="Arial"/>
          <w:color w:val="auto"/>
          <w:sz w:val="24"/>
          <w:szCs w:val="24"/>
        </w:rPr>
        <w:t xml:space="preserve"> a PSRT WP</w:t>
      </w:r>
      <w:bookmarkEnd w:id="50"/>
    </w:p>
    <w:tbl>
      <w:tblPr>
        <w:tblStyle w:val="Tabela-Siatka"/>
        <w:tblW w:w="9072"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57" w:type="dxa"/>
          <w:right w:w="57" w:type="dxa"/>
        </w:tblCellMar>
        <w:tblLook w:val="04A0" w:firstRow="1" w:lastRow="0" w:firstColumn="1" w:lastColumn="0" w:noHBand="0" w:noVBand="1"/>
        <w:tblCaption w:val="Tabela 6. Wyzwania i potrzeby społeczno-gospodarcze województwa wskazane w strategiach MOF i nawiązujące do zagadnienia transportu a PSRT WP"/>
        <w:tblDescription w:val="Tabela zawiera Wyzwania i potrzeby regionu sformułowane w strategiach i Cele PSRT WP wpływające na sprostanie wyzwaniom oraz zaspokojenie potrzeb regionu"/>
      </w:tblPr>
      <w:tblGrid>
        <w:gridCol w:w="4395"/>
        <w:gridCol w:w="4677"/>
      </w:tblGrid>
      <w:tr w:rsidR="00237760" w:rsidRPr="00237760" w14:paraId="2BAE1FAC" w14:textId="77777777" w:rsidTr="009F6BD4">
        <w:trPr>
          <w:trHeight w:val="502"/>
          <w:tblHeader/>
        </w:trPr>
        <w:tc>
          <w:tcPr>
            <w:tcW w:w="4395" w:type="dxa"/>
            <w:tcBorders>
              <w:top w:val="single" w:sz="12" w:space="0" w:color="002060"/>
              <w:left w:val="nil"/>
              <w:bottom w:val="single" w:sz="4" w:space="0" w:color="BDD6EE" w:themeColor="accent1" w:themeTint="66"/>
              <w:right w:val="nil"/>
            </w:tcBorders>
            <w:shd w:val="clear" w:color="auto" w:fill="auto"/>
            <w:tcMar>
              <w:left w:w="28" w:type="dxa"/>
              <w:right w:w="28" w:type="dxa"/>
            </w:tcMar>
            <w:vAlign w:val="center"/>
          </w:tcPr>
          <w:p w14:paraId="1F290B53" w14:textId="4C902357" w:rsidR="00584AF3" w:rsidRPr="00237760" w:rsidRDefault="00584AF3"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 xml:space="preserve">Wyzwania i potrzeby regionu sformułowane w </w:t>
            </w:r>
            <w:r w:rsidR="0016732E" w:rsidRPr="00237760">
              <w:rPr>
                <w:rFonts w:ascii="Arial" w:hAnsi="Arial" w:cs="Arial"/>
                <w:b/>
                <w:color w:val="auto"/>
                <w:sz w:val="24"/>
                <w:szCs w:val="24"/>
              </w:rPr>
              <w:t>strategiach</w:t>
            </w:r>
          </w:p>
        </w:tc>
        <w:tc>
          <w:tcPr>
            <w:tcW w:w="4677" w:type="dxa"/>
            <w:tcBorders>
              <w:top w:val="single" w:sz="12" w:space="0" w:color="002060"/>
              <w:left w:val="nil"/>
              <w:bottom w:val="single" w:sz="4" w:space="0" w:color="BDD6EE" w:themeColor="accent1" w:themeTint="66"/>
              <w:right w:val="nil"/>
            </w:tcBorders>
            <w:shd w:val="clear" w:color="auto" w:fill="auto"/>
            <w:tcMar>
              <w:left w:w="28" w:type="dxa"/>
              <w:right w:w="28" w:type="dxa"/>
            </w:tcMar>
            <w:vAlign w:val="center"/>
          </w:tcPr>
          <w:p w14:paraId="04A43C68" w14:textId="7B588C2A" w:rsidR="00584AF3" w:rsidRPr="00237760" w:rsidRDefault="008D439F"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Cele</w:t>
            </w:r>
            <w:r w:rsidR="00584AF3" w:rsidRPr="00237760">
              <w:rPr>
                <w:rFonts w:ascii="Arial" w:hAnsi="Arial" w:cs="Arial"/>
                <w:b/>
                <w:color w:val="auto"/>
                <w:sz w:val="24"/>
                <w:szCs w:val="24"/>
              </w:rPr>
              <w:t xml:space="preserve"> PSRT WP </w:t>
            </w:r>
            <w:r w:rsidRPr="00237760">
              <w:rPr>
                <w:rFonts w:ascii="Arial" w:hAnsi="Arial" w:cs="Arial"/>
                <w:b/>
                <w:color w:val="auto"/>
                <w:sz w:val="24"/>
                <w:szCs w:val="24"/>
              </w:rPr>
              <w:t>wpływające</w:t>
            </w:r>
            <w:r w:rsidR="00584AF3" w:rsidRPr="00237760">
              <w:rPr>
                <w:rFonts w:ascii="Arial" w:hAnsi="Arial" w:cs="Arial"/>
                <w:b/>
                <w:color w:val="auto"/>
                <w:sz w:val="24"/>
                <w:szCs w:val="24"/>
              </w:rPr>
              <w:t xml:space="preserve"> na sprostanie wyzwaniom oraz zaspokojeni</w:t>
            </w:r>
            <w:r w:rsidRPr="00237760">
              <w:rPr>
                <w:rFonts w:ascii="Arial" w:hAnsi="Arial" w:cs="Arial"/>
                <w:b/>
                <w:color w:val="auto"/>
                <w:sz w:val="24"/>
                <w:szCs w:val="24"/>
              </w:rPr>
              <w:t>e</w:t>
            </w:r>
            <w:r w:rsidR="00584AF3" w:rsidRPr="00237760">
              <w:rPr>
                <w:rFonts w:ascii="Arial" w:hAnsi="Arial" w:cs="Arial"/>
                <w:b/>
                <w:color w:val="auto"/>
                <w:sz w:val="24"/>
                <w:szCs w:val="24"/>
              </w:rPr>
              <w:t xml:space="preserve"> potrzeb regionu</w:t>
            </w:r>
          </w:p>
        </w:tc>
      </w:tr>
      <w:tr w:rsidR="00237760" w:rsidRPr="00237760" w14:paraId="2086AE81" w14:textId="77777777" w:rsidTr="009F6BD4">
        <w:trPr>
          <w:trHeight w:val="151"/>
        </w:trPr>
        <w:tc>
          <w:tcPr>
            <w:tcW w:w="9072" w:type="dxa"/>
            <w:gridSpan w:val="2"/>
            <w:tcBorders>
              <w:top w:val="single" w:sz="4" w:space="0" w:color="BDD6EE" w:themeColor="accent1" w:themeTint="66"/>
              <w:left w:val="nil"/>
              <w:right w:val="nil"/>
            </w:tcBorders>
            <w:shd w:val="clear" w:color="auto" w:fill="auto"/>
            <w:tcMar>
              <w:left w:w="28" w:type="dxa"/>
              <w:right w:w="28" w:type="dxa"/>
            </w:tcMar>
            <w:vAlign w:val="center"/>
          </w:tcPr>
          <w:p w14:paraId="7903C417" w14:textId="0C10F516" w:rsidR="0016732E" w:rsidRPr="00237760" w:rsidRDefault="00AF4671" w:rsidP="009367B4">
            <w:pPr>
              <w:spacing w:after="0" w:line="240" w:lineRule="auto"/>
              <w:ind w:left="57" w:right="57"/>
              <w:jc w:val="left"/>
              <w:rPr>
                <w:rFonts w:ascii="Arial" w:hAnsi="Arial" w:cs="Arial"/>
                <w:b/>
                <w:bCs/>
                <w:color w:val="auto"/>
                <w:sz w:val="24"/>
                <w:szCs w:val="24"/>
              </w:rPr>
            </w:pPr>
            <w:r w:rsidRPr="00237760">
              <w:rPr>
                <w:rFonts w:ascii="Arial" w:hAnsi="Arial" w:cs="Arial"/>
                <w:b/>
                <w:bCs/>
                <w:color w:val="auto"/>
                <w:sz w:val="24"/>
                <w:szCs w:val="24"/>
              </w:rPr>
              <w:t>Strategia ZIT Rzeszowskiego Obszaru Funkcjonalnego</w:t>
            </w:r>
          </w:p>
        </w:tc>
      </w:tr>
      <w:tr w:rsidR="00237760" w:rsidRPr="00237760" w14:paraId="1904C214" w14:textId="77777777" w:rsidTr="009367B4">
        <w:trPr>
          <w:trHeight w:val="151"/>
        </w:trPr>
        <w:tc>
          <w:tcPr>
            <w:tcW w:w="4395" w:type="dxa"/>
            <w:tcBorders>
              <w:top w:val="single" w:sz="4" w:space="0" w:color="BDD6EE" w:themeColor="accent1" w:themeTint="66"/>
              <w:left w:val="nil"/>
              <w:right w:val="nil"/>
            </w:tcBorders>
            <w:shd w:val="clear" w:color="auto" w:fill="auto"/>
            <w:tcMar>
              <w:left w:w="28" w:type="dxa"/>
              <w:right w:w="28" w:type="dxa"/>
            </w:tcMar>
            <w:vAlign w:val="center"/>
          </w:tcPr>
          <w:p w14:paraId="5201E4AC" w14:textId="2D3E4217" w:rsidR="00584AF3" w:rsidRPr="00237760" w:rsidRDefault="00584AF3"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SŁABOŚCI</w:t>
            </w:r>
          </w:p>
        </w:tc>
        <w:tc>
          <w:tcPr>
            <w:tcW w:w="4677" w:type="dxa"/>
            <w:tcBorders>
              <w:top w:val="single" w:sz="4" w:space="0" w:color="BDD6EE" w:themeColor="accent1" w:themeTint="66"/>
              <w:left w:val="nil"/>
              <w:right w:val="nil"/>
            </w:tcBorders>
            <w:shd w:val="clear" w:color="auto" w:fill="auto"/>
            <w:tcMar>
              <w:left w:w="28" w:type="dxa"/>
              <w:right w:w="28" w:type="dxa"/>
            </w:tcMar>
          </w:tcPr>
          <w:p w14:paraId="2DAE767F" w14:textId="77777777" w:rsidR="00584AF3" w:rsidRPr="00237760" w:rsidRDefault="00584AF3" w:rsidP="009367B4">
            <w:pPr>
              <w:spacing w:after="0" w:line="240" w:lineRule="auto"/>
              <w:ind w:left="57" w:right="57"/>
              <w:jc w:val="left"/>
              <w:rPr>
                <w:rFonts w:ascii="Arial" w:hAnsi="Arial" w:cs="Arial"/>
                <w:color w:val="auto"/>
                <w:sz w:val="24"/>
                <w:szCs w:val="24"/>
              </w:rPr>
            </w:pPr>
          </w:p>
        </w:tc>
      </w:tr>
      <w:tr w:rsidR="00237760" w:rsidRPr="00237760" w14:paraId="7AAD1A60"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76854A14" w14:textId="1BEFD01C" w:rsidR="004653DD" w:rsidRPr="00237760" w:rsidRDefault="004653D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Niewystarczająca spójność komunikacyjna ROF w zakresie dostępności do sieci TEN-T</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7277D82D" w14:textId="0DB3F632" w:rsidR="004653DD" w:rsidRPr="00237760" w:rsidRDefault="00375DD3"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tc>
      </w:tr>
      <w:tr w:rsidR="00237760" w:rsidRPr="00237760" w14:paraId="255CBAF5"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217BB3A3" w14:textId="720CD34D" w:rsidR="004653DD" w:rsidRPr="00237760" w:rsidRDefault="00332654"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Słabo rozwinięta sieć ścieżek rowerowych</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590D9777" w14:textId="4BF886CC" w:rsidR="00E873CC" w:rsidRPr="00237760" w:rsidRDefault="00375DD3"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4351F088" w14:textId="18582783" w:rsidR="004653DD" w:rsidRPr="00237760" w:rsidRDefault="006341B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2E485C5B" w14:textId="08F0998B" w:rsidR="00E873CC" w:rsidRPr="00237760" w:rsidRDefault="00E873CC"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p w14:paraId="5CBE52DF" w14:textId="113F31E1" w:rsidR="004653DD" w:rsidRPr="00237760" w:rsidRDefault="00AE148F"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1. Ograniczenie negatywnego oddziaływania sektora transportu na klimat oraz na regionalne środowisko naturalne</w:t>
            </w:r>
          </w:p>
          <w:p w14:paraId="21A72C57" w14:textId="40694A0C" w:rsidR="004A3C7E" w:rsidRPr="00237760" w:rsidRDefault="004A3C7E"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2. Wzmocnienie rozwiązań multimodalnych</w:t>
            </w:r>
          </w:p>
        </w:tc>
      </w:tr>
      <w:tr w:rsidR="00237760" w:rsidRPr="00237760" w14:paraId="1BEE15E4"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5C58163A" w14:textId="331C1B72" w:rsidR="004653DD" w:rsidRPr="00237760" w:rsidRDefault="00332654"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Mocno scentralizowany transport publiczny oraz słabo rozwinięta siatka połączeń poza głównym miastem ROF</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579BE7DF" w14:textId="77777777" w:rsidR="00A335FC" w:rsidRPr="00237760" w:rsidRDefault="00A335FC"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 xml:space="preserve">Cel podstawowy 3. Integracja MOF </w:t>
            </w:r>
          </w:p>
          <w:p w14:paraId="3A59A3CF" w14:textId="48D2BCA5" w:rsidR="004653DD" w:rsidRPr="00237760" w:rsidRDefault="00A37490"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04F52E87"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7EB0D963" w14:textId="678C5D33" w:rsidR="004653DD" w:rsidRPr="00237760" w:rsidRDefault="00332654"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 xml:space="preserve">Niezadowalająca jakość infrastruktury drogowej oraz poziom bezpieczeństwa w ruchu drogowym wpływające negatywnie </w:t>
            </w:r>
            <w:r w:rsidR="006C34C5" w:rsidRPr="00237760">
              <w:rPr>
                <w:rFonts w:ascii="Arial" w:hAnsi="Arial" w:cs="Arial"/>
                <w:color w:val="auto"/>
                <w:sz w:val="24"/>
                <w:szCs w:val="24"/>
              </w:rPr>
              <w:t xml:space="preserve">na </w:t>
            </w:r>
            <w:r w:rsidRPr="00237760">
              <w:rPr>
                <w:rFonts w:ascii="Arial" w:hAnsi="Arial" w:cs="Arial"/>
                <w:color w:val="auto"/>
                <w:sz w:val="24"/>
                <w:szCs w:val="24"/>
              </w:rPr>
              <w:t>efektywność regionalnego systemu</w:t>
            </w:r>
            <w:r w:rsidR="006C34C5" w:rsidRPr="00237760">
              <w:rPr>
                <w:rFonts w:ascii="Arial" w:hAnsi="Arial" w:cs="Arial"/>
                <w:color w:val="auto"/>
                <w:sz w:val="24"/>
                <w:szCs w:val="24"/>
              </w:rPr>
              <w:t xml:space="preserve"> </w:t>
            </w:r>
            <w:r w:rsidRPr="00237760">
              <w:rPr>
                <w:rFonts w:ascii="Arial" w:hAnsi="Arial" w:cs="Arial"/>
                <w:color w:val="auto"/>
                <w:sz w:val="24"/>
                <w:szCs w:val="24"/>
              </w:rPr>
              <w:t>transportowego</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500A5786" w14:textId="224A88E0" w:rsidR="00525009" w:rsidRPr="00237760" w:rsidRDefault="00525009"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37CC84E0" w14:textId="2071BD0A" w:rsidR="00525009" w:rsidRPr="00237760" w:rsidRDefault="00525009"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4018F8EE" w14:textId="466DDCEF" w:rsidR="00525009" w:rsidRPr="00237760" w:rsidRDefault="00525009"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p w14:paraId="6190A41F" w14:textId="7FC18E6B" w:rsidR="004653DD" w:rsidRPr="00237760" w:rsidRDefault="00D973B9"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4. Poprawa bezpieczeństwa w transporcie</w:t>
            </w:r>
          </w:p>
        </w:tc>
      </w:tr>
      <w:tr w:rsidR="00237760" w:rsidRPr="00237760" w14:paraId="062563D6"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136B9553" w14:textId="05FF2A08" w:rsidR="004653DD" w:rsidRPr="00237760" w:rsidRDefault="007055C8"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Brak zintegrowanego systemu zrównoważonego transportu publicznego ROF</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214C45FB" w14:textId="7A772E0F" w:rsidR="004653DD" w:rsidRPr="00237760" w:rsidRDefault="006B4C64"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7F230EBF"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732441C7" w14:textId="59D6BCB6" w:rsidR="004653DD" w:rsidRPr="00237760" w:rsidRDefault="00D6793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Niedostateczny rozwój alternatywnych form transportu publicznego w stosunku do komunikacji autobusowej</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18C35046" w14:textId="3F8197A8" w:rsidR="0094791E" w:rsidRPr="00237760" w:rsidRDefault="0094791E"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17EB507E" w14:textId="69A3DA60" w:rsidR="0094791E" w:rsidRPr="00237760" w:rsidRDefault="0094791E"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50FC6E5F" w14:textId="4DFD869E" w:rsidR="004653DD" w:rsidRPr="00237760" w:rsidRDefault="0094791E"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tc>
      </w:tr>
      <w:tr w:rsidR="00237760" w:rsidRPr="00237760" w14:paraId="5156B794"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02901A09" w14:textId="64AF57A2" w:rsidR="004653DD" w:rsidRPr="00237760" w:rsidRDefault="00952D2B"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Niezadawalające działania mające na celu ograniczenie emisji zanieczyszczeń powietrza</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6D437E71" w14:textId="7C545DDC" w:rsidR="004653DD" w:rsidRPr="00237760" w:rsidRDefault="001452F7"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1. Ograniczenie negatywnego oddziaływania sektora transportu na klimat oraz na regionalne środowisko naturalne</w:t>
            </w:r>
          </w:p>
        </w:tc>
      </w:tr>
      <w:tr w:rsidR="00237760" w:rsidRPr="00237760" w14:paraId="58BB3069" w14:textId="77777777" w:rsidTr="009367B4">
        <w:trPr>
          <w:trHeight w:val="151"/>
        </w:trPr>
        <w:tc>
          <w:tcPr>
            <w:tcW w:w="9072" w:type="dxa"/>
            <w:gridSpan w:val="2"/>
            <w:tcBorders>
              <w:top w:val="single" w:sz="4" w:space="0" w:color="BDD6EE" w:themeColor="accent1" w:themeTint="66"/>
              <w:left w:val="nil"/>
              <w:right w:val="nil"/>
            </w:tcBorders>
            <w:shd w:val="clear" w:color="auto" w:fill="auto"/>
            <w:tcMar>
              <w:left w:w="28" w:type="dxa"/>
              <w:right w:w="28" w:type="dxa"/>
            </w:tcMar>
            <w:vAlign w:val="center"/>
          </w:tcPr>
          <w:p w14:paraId="51A597BE" w14:textId="4C9358D0" w:rsidR="008973B0" w:rsidRPr="00237760" w:rsidRDefault="008973B0"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 xml:space="preserve">SZANSE </w:t>
            </w:r>
          </w:p>
        </w:tc>
      </w:tr>
      <w:tr w:rsidR="00237760" w:rsidRPr="00237760" w14:paraId="77BD4E79"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3D3D85AE" w14:textId="7460AB7C" w:rsidR="008973B0" w:rsidRPr="00237760" w:rsidRDefault="00521ABA"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 xml:space="preserve">Przebiegające przez teren ROF kluczowe szlaki komunikacyjne - ze wschodu na zachód (E40) oraz z północy na południe (E371), </w:t>
            </w:r>
            <w:r w:rsidRPr="00237760">
              <w:rPr>
                <w:rFonts w:ascii="Arial" w:hAnsi="Arial" w:cs="Arial"/>
                <w:color w:val="auto"/>
                <w:sz w:val="24"/>
                <w:szCs w:val="24"/>
              </w:rPr>
              <w:lastRenderedPageBreak/>
              <w:t>umożliwiające rozwój terenu w oparciu o intensywny ruch tranzytowy</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1AA3B4D7" w14:textId="12222AE7" w:rsidR="009D3DC9" w:rsidRPr="00237760" w:rsidRDefault="009D3DC9"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lastRenderedPageBreak/>
              <w:t>Cel podstawowy 1. Dostępność zewnętrzna</w:t>
            </w:r>
          </w:p>
          <w:p w14:paraId="155D6371" w14:textId="43D488AE" w:rsidR="009D3DC9" w:rsidRPr="00237760" w:rsidRDefault="009D3DC9"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7C3E2924" w14:textId="33085510" w:rsidR="008973B0" w:rsidRPr="00237760" w:rsidRDefault="009D3DC9"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lastRenderedPageBreak/>
              <w:t>Cel podstawowy 3. Integracja MOF</w:t>
            </w:r>
          </w:p>
        </w:tc>
      </w:tr>
      <w:tr w:rsidR="00237760" w:rsidRPr="00237760" w14:paraId="6BD0FC2F"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382A91C3" w14:textId="184B4F60" w:rsidR="00521ABA" w:rsidRPr="00237760" w:rsidRDefault="005553D2"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lastRenderedPageBreak/>
              <w:t>Zakończenie modernizacji magistrali kolejowej nr 91 na odcinku Kraków – Rzeszów (część trasy E30) pozwalającej na podróżowanie z wysokimi prędkościami</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5426B3EA" w14:textId="479152A5" w:rsidR="00521ABA" w:rsidRPr="00237760" w:rsidRDefault="00A03775"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tc>
      </w:tr>
      <w:tr w:rsidR="00237760" w:rsidRPr="00237760" w14:paraId="273C67EA"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6D504ADE" w14:textId="74C03DAB" w:rsidR="00521ABA" w:rsidRPr="00237760" w:rsidRDefault="00564BAA"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Możliwość ubiegania się o środki unijne na realizację projektów w ramach nowej perspektywy finansowej 2014-2020</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3C551611" w14:textId="5F2B3753" w:rsidR="00521ABA" w:rsidRPr="00237760" w:rsidRDefault="00A03775"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Wszystkie cele</w:t>
            </w:r>
          </w:p>
        </w:tc>
      </w:tr>
      <w:tr w:rsidR="00237760" w:rsidRPr="00237760" w14:paraId="44738900" w14:textId="77777777" w:rsidTr="009367B4">
        <w:trPr>
          <w:trHeight w:val="151"/>
        </w:trPr>
        <w:tc>
          <w:tcPr>
            <w:tcW w:w="9072" w:type="dxa"/>
            <w:gridSpan w:val="2"/>
            <w:tcBorders>
              <w:top w:val="single" w:sz="4" w:space="0" w:color="BDD6EE" w:themeColor="accent1" w:themeTint="66"/>
              <w:left w:val="nil"/>
              <w:right w:val="nil"/>
            </w:tcBorders>
            <w:shd w:val="clear" w:color="auto" w:fill="auto"/>
            <w:tcMar>
              <w:left w:w="28" w:type="dxa"/>
              <w:right w:w="28" w:type="dxa"/>
            </w:tcMar>
            <w:vAlign w:val="center"/>
          </w:tcPr>
          <w:p w14:paraId="5B4A177A" w14:textId="6BE51567" w:rsidR="00D70BB0" w:rsidRPr="00237760" w:rsidRDefault="00D70BB0"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 xml:space="preserve">ZAGROŻENIA </w:t>
            </w:r>
          </w:p>
        </w:tc>
      </w:tr>
      <w:tr w:rsidR="00237760" w:rsidRPr="00237760" w14:paraId="4E3962FE"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52FB2802" w14:textId="060848D6" w:rsidR="00521ABA" w:rsidRPr="00237760" w:rsidRDefault="008321B9"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Słabo wykorzystywane alternatywne środki transportu zbiorowego oraz wynikająca z tego emisja zanieczyszczeń pochodząca z komunikacji indywidualnej</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4FDF64B3" w14:textId="77777777" w:rsidR="00521ABA" w:rsidRPr="00237760" w:rsidRDefault="00032777"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1. Ograniczenie negatywnego oddziaływania sektora transportu na klimat oraz na regionalne środowisko naturalne</w:t>
            </w:r>
          </w:p>
          <w:p w14:paraId="083AAE32" w14:textId="482716E5" w:rsidR="00362986" w:rsidRPr="00237760" w:rsidRDefault="00362986"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640BFCE8" w14:textId="77777777" w:rsidTr="009367B4">
        <w:trPr>
          <w:trHeight w:val="151"/>
        </w:trPr>
        <w:tc>
          <w:tcPr>
            <w:tcW w:w="9072" w:type="dxa"/>
            <w:gridSpan w:val="2"/>
            <w:tcBorders>
              <w:top w:val="single" w:sz="4" w:space="0" w:color="BDD6EE" w:themeColor="accent1" w:themeTint="66"/>
              <w:left w:val="nil"/>
              <w:right w:val="nil"/>
            </w:tcBorders>
            <w:shd w:val="clear" w:color="auto" w:fill="auto"/>
            <w:tcMar>
              <w:left w:w="28" w:type="dxa"/>
              <w:right w:w="28" w:type="dxa"/>
            </w:tcMar>
            <w:vAlign w:val="center"/>
          </w:tcPr>
          <w:p w14:paraId="22063AD7" w14:textId="072A5F17" w:rsidR="00445CDF" w:rsidRPr="00237760" w:rsidRDefault="00445CDF" w:rsidP="009367B4">
            <w:pPr>
              <w:spacing w:after="0" w:line="240" w:lineRule="auto"/>
              <w:ind w:left="57" w:right="57"/>
              <w:jc w:val="left"/>
              <w:rPr>
                <w:rFonts w:ascii="Arial" w:hAnsi="Arial" w:cs="Arial"/>
                <w:b/>
                <w:bCs/>
                <w:color w:val="auto"/>
                <w:sz w:val="24"/>
                <w:szCs w:val="24"/>
              </w:rPr>
            </w:pPr>
            <w:r w:rsidRPr="00237760">
              <w:rPr>
                <w:rFonts w:ascii="Arial" w:hAnsi="Arial" w:cs="Arial"/>
                <w:b/>
                <w:bCs/>
                <w:color w:val="auto"/>
                <w:sz w:val="24"/>
                <w:szCs w:val="24"/>
              </w:rPr>
              <w:t>Strategia</w:t>
            </w:r>
            <w:r w:rsidR="00D74FC2" w:rsidRPr="00237760">
              <w:rPr>
                <w:rFonts w:ascii="Arial" w:hAnsi="Arial" w:cs="Arial"/>
                <w:b/>
                <w:bCs/>
                <w:color w:val="auto"/>
                <w:sz w:val="24"/>
                <w:szCs w:val="24"/>
              </w:rPr>
              <w:t xml:space="preserve"> Miejskiego Obszaru Funkcjonalnego Przemyśl</w:t>
            </w:r>
          </w:p>
        </w:tc>
      </w:tr>
      <w:tr w:rsidR="00237760" w:rsidRPr="00237760" w14:paraId="08A5C5B0" w14:textId="77777777" w:rsidTr="009367B4">
        <w:trPr>
          <w:trHeight w:val="151"/>
        </w:trPr>
        <w:tc>
          <w:tcPr>
            <w:tcW w:w="4395" w:type="dxa"/>
            <w:tcBorders>
              <w:top w:val="single" w:sz="4" w:space="0" w:color="BDD6EE" w:themeColor="accent1" w:themeTint="66"/>
              <w:left w:val="nil"/>
              <w:right w:val="nil"/>
            </w:tcBorders>
            <w:shd w:val="clear" w:color="auto" w:fill="auto"/>
            <w:tcMar>
              <w:left w:w="28" w:type="dxa"/>
              <w:right w:w="28" w:type="dxa"/>
            </w:tcMar>
            <w:vAlign w:val="center"/>
          </w:tcPr>
          <w:p w14:paraId="3AF22FF7" w14:textId="03465C6C" w:rsidR="00445CDF" w:rsidRPr="00237760" w:rsidRDefault="00445CDF"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SŁABOŚCI</w:t>
            </w:r>
          </w:p>
        </w:tc>
        <w:tc>
          <w:tcPr>
            <w:tcW w:w="4677" w:type="dxa"/>
            <w:tcBorders>
              <w:top w:val="single" w:sz="4" w:space="0" w:color="BDD6EE" w:themeColor="accent1" w:themeTint="66"/>
              <w:left w:val="nil"/>
              <w:right w:val="nil"/>
            </w:tcBorders>
            <w:shd w:val="clear" w:color="auto" w:fill="auto"/>
            <w:tcMar>
              <w:left w:w="28" w:type="dxa"/>
              <w:right w:w="28" w:type="dxa"/>
            </w:tcMar>
          </w:tcPr>
          <w:p w14:paraId="7826EED8" w14:textId="77777777" w:rsidR="00445CDF" w:rsidRPr="00237760" w:rsidRDefault="00445CDF" w:rsidP="009367B4">
            <w:pPr>
              <w:spacing w:after="0" w:line="240" w:lineRule="auto"/>
              <w:ind w:left="57" w:right="57"/>
              <w:jc w:val="left"/>
              <w:rPr>
                <w:rFonts w:ascii="Arial" w:hAnsi="Arial" w:cs="Arial"/>
                <w:color w:val="auto"/>
                <w:sz w:val="24"/>
                <w:szCs w:val="24"/>
              </w:rPr>
            </w:pPr>
          </w:p>
        </w:tc>
      </w:tr>
      <w:tr w:rsidR="00237760" w:rsidRPr="00237760" w14:paraId="2AF40D14" w14:textId="77777777" w:rsidTr="009367B4">
        <w:trPr>
          <w:trHeight w:val="151"/>
        </w:trPr>
        <w:tc>
          <w:tcPr>
            <w:tcW w:w="4395" w:type="dxa"/>
            <w:tcBorders>
              <w:top w:val="single" w:sz="4" w:space="0" w:color="BDD6EE" w:themeColor="accent1" w:themeTint="66"/>
              <w:left w:val="nil"/>
              <w:right w:val="nil"/>
            </w:tcBorders>
            <w:shd w:val="clear" w:color="auto" w:fill="auto"/>
            <w:tcMar>
              <w:left w:w="28" w:type="dxa"/>
              <w:right w:w="28" w:type="dxa"/>
            </w:tcMar>
            <w:vAlign w:val="center"/>
          </w:tcPr>
          <w:p w14:paraId="173FB370" w14:textId="5A48CC16" w:rsidR="007F3143" w:rsidRPr="00237760" w:rsidRDefault="00572C4E"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Brak nowoczesnego centrum przesiadkowego zlokalizowanego na terenie m. Przemyśla</w:t>
            </w:r>
          </w:p>
        </w:tc>
        <w:tc>
          <w:tcPr>
            <w:tcW w:w="4677" w:type="dxa"/>
            <w:tcBorders>
              <w:top w:val="single" w:sz="4" w:space="0" w:color="BDD6EE" w:themeColor="accent1" w:themeTint="66"/>
              <w:left w:val="nil"/>
              <w:right w:val="nil"/>
            </w:tcBorders>
            <w:shd w:val="clear" w:color="auto" w:fill="auto"/>
            <w:tcMar>
              <w:left w:w="28" w:type="dxa"/>
              <w:right w:w="28" w:type="dxa"/>
            </w:tcMar>
            <w:vAlign w:val="center"/>
          </w:tcPr>
          <w:p w14:paraId="661C57AE" w14:textId="759DB78E" w:rsidR="003446D7" w:rsidRPr="00237760" w:rsidRDefault="003446D7"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62A0B271" w14:textId="4EA99DA0" w:rsidR="007F3143" w:rsidRPr="00237760" w:rsidRDefault="00782DF9"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p w14:paraId="01D38723" w14:textId="0C16D722" w:rsidR="007F3143" w:rsidRPr="00237760" w:rsidRDefault="00697A85"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2. Wzmocnienie rozwiązań multimodalnych</w:t>
            </w:r>
          </w:p>
        </w:tc>
      </w:tr>
      <w:tr w:rsidR="00237760" w:rsidRPr="00237760" w14:paraId="2D67713D" w14:textId="77777777" w:rsidTr="009367B4">
        <w:trPr>
          <w:trHeight w:val="151"/>
        </w:trPr>
        <w:tc>
          <w:tcPr>
            <w:tcW w:w="4395" w:type="dxa"/>
            <w:tcBorders>
              <w:top w:val="single" w:sz="4" w:space="0" w:color="BDD6EE" w:themeColor="accent1" w:themeTint="66"/>
              <w:left w:val="nil"/>
              <w:right w:val="nil"/>
            </w:tcBorders>
            <w:shd w:val="clear" w:color="auto" w:fill="auto"/>
            <w:tcMar>
              <w:left w:w="28" w:type="dxa"/>
              <w:right w:w="28" w:type="dxa"/>
            </w:tcMar>
            <w:vAlign w:val="center"/>
          </w:tcPr>
          <w:p w14:paraId="409E082B" w14:textId="6607973B" w:rsidR="007F3143" w:rsidRPr="00237760" w:rsidRDefault="00B62E6F"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Zły stan infrastruktury kolejowej</w:t>
            </w:r>
          </w:p>
        </w:tc>
        <w:tc>
          <w:tcPr>
            <w:tcW w:w="4677" w:type="dxa"/>
            <w:tcBorders>
              <w:top w:val="single" w:sz="4" w:space="0" w:color="BDD6EE" w:themeColor="accent1" w:themeTint="66"/>
              <w:left w:val="nil"/>
              <w:right w:val="nil"/>
            </w:tcBorders>
            <w:shd w:val="clear" w:color="auto" w:fill="auto"/>
            <w:tcMar>
              <w:left w:w="28" w:type="dxa"/>
              <w:right w:w="28" w:type="dxa"/>
            </w:tcMar>
            <w:vAlign w:val="center"/>
          </w:tcPr>
          <w:p w14:paraId="762E088D" w14:textId="77777777" w:rsidR="007F3143" w:rsidRPr="00237760" w:rsidRDefault="007C34BB"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09AC2DD8" w14:textId="5F0AFA70" w:rsidR="007F3143" w:rsidRPr="00237760" w:rsidRDefault="00A96AF4"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tc>
      </w:tr>
      <w:tr w:rsidR="00237760" w:rsidRPr="00237760" w14:paraId="3092F7E4" w14:textId="77777777" w:rsidTr="009367B4">
        <w:trPr>
          <w:trHeight w:val="151"/>
        </w:trPr>
        <w:tc>
          <w:tcPr>
            <w:tcW w:w="4395" w:type="dxa"/>
            <w:tcBorders>
              <w:top w:val="single" w:sz="4" w:space="0" w:color="BDD6EE" w:themeColor="accent1" w:themeTint="66"/>
              <w:left w:val="nil"/>
              <w:right w:val="nil"/>
            </w:tcBorders>
            <w:shd w:val="clear" w:color="auto" w:fill="auto"/>
            <w:tcMar>
              <w:left w:w="28" w:type="dxa"/>
              <w:right w:w="28" w:type="dxa"/>
            </w:tcMar>
            <w:vAlign w:val="center"/>
          </w:tcPr>
          <w:p w14:paraId="5D739B9B" w14:textId="0D34E03B" w:rsidR="007F3143" w:rsidRPr="00237760" w:rsidRDefault="006576C3"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Niewystarczająca dostępność komunikacyjna na terenach wiejskich oraz zły stan części dróg lokalnych</w:t>
            </w:r>
          </w:p>
        </w:tc>
        <w:tc>
          <w:tcPr>
            <w:tcW w:w="4677" w:type="dxa"/>
            <w:tcBorders>
              <w:top w:val="single" w:sz="4" w:space="0" w:color="BDD6EE" w:themeColor="accent1" w:themeTint="66"/>
              <w:left w:val="nil"/>
              <w:right w:val="nil"/>
            </w:tcBorders>
            <w:shd w:val="clear" w:color="auto" w:fill="auto"/>
            <w:tcMar>
              <w:left w:w="28" w:type="dxa"/>
              <w:right w:w="28" w:type="dxa"/>
            </w:tcMar>
            <w:vAlign w:val="center"/>
          </w:tcPr>
          <w:p w14:paraId="2BF64201" w14:textId="77777777" w:rsidR="007F3143" w:rsidRPr="00237760" w:rsidRDefault="000E4B6B"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43693F5D" w14:textId="4FF2EC83" w:rsidR="00582C35" w:rsidRPr="00237760" w:rsidRDefault="00582C35"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p w14:paraId="372564A6" w14:textId="13A11B3D" w:rsidR="007F3143" w:rsidRPr="00237760" w:rsidRDefault="00A036C7"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3523D794" w14:textId="77777777" w:rsidTr="009367B4">
        <w:trPr>
          <w:trHeight w:val="151"/>
        </w:trPr>
        <w:tc>
          <w:tcPr>
            <w:tcW w:w="9072" w:type="dxa"/>
            <w:gridSpan w:val="2"/>
            <w:tcBorders>
              <w:top w:val="single" w:sz="4" w:space="0" w:color="BDD6EE" w:themeColor="accent1" w:themeTint="66"/>
              <w:left w:val="nil"/>
              <w:right w:val="nil"/>
            </w:tcBorders>
            <w:shd w:val="clear" w:color="auto" w:fill="auto"/>
            <w:tcMar>
              <w:left w:w="28" w:type="dxa"/>
              <w:right w:w="28" w:type="dxa"/>
            </w:tcMar>
            <w:vAlign w:val="center"/>
          </w:tcPr>
          <w:p w14:paraId="614F2AA5" w14:textId="77777777" w:rsidR="008F0378" w:rsidRPr="00237760" w:rsidRDefault="008F0378"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 xml:space="preserve">SZANSE </w:t>
            </w:r>
          </w:p>
        </w:tc>
      </w:tr>
      <w:tr w:rsidR="00237760" w:rsidRPr="00237760" w14:paraId="0CE39BFB" w14:textId="77777777" w:rsidTr="009367B4">
        <w:trPr>
          <w:trHeight w:val="151"/>
        </w:trPr>
        <w:tc>
          <w:tcPr>
            <w:tcW w:w="4395" w:type="dxa"/>
            <w:tcBorders>
              <w:top w:val="single" w:sz="4" w:space="0" w:color="BDD6EE" w:themeColor="accent1" w:themeTint="66"/>
              <w:left w:val="nil"/>
              <w:right w:val="nil"/>
            </w:tcBorders>
            <w:shd w:val="clear" w:color="auto" w:fill="auto"/>
            <w:tcMar>
              <w:left w:w="28" w:type="dxa"/>
              <w:right w:w="28" w:type="dxa"/>
            </w:tcMar>
            <w:vAlign w:val="center"/>
          </w:tcPr>
          <w:p w14:paraId="00D93EDB" w14:textId="6C428625" w:rsidR="008F0378" w:rsidRPr="00237760" w:rsidRDefault="005C40B8"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Uwarunkowania prawne wymuszające stosowanie odnawialnych źródeł energii</w:t>
            </w:r>
          </w:p>
        </w:tc>
        <w:tc>
          <w:tcPr>
            <w:tcW w:w="4677" w:type="dxa"/>
            <w:tcBorders>
              <w:top w:val="single" w:sz="4" w:space="0" w:color="BDD6EE" w:themeColor="accent1" w:themeTint="66"/>
              <w:left w:val="nil"/>
              <w:right w:val="nil"/>
            </w:tcBorders>
            <w:shd w:val="clear" w:color="auto" w:fill="auto"/>
            <w:tcMar>
              <w:left w:w="28" w:type="dxa"/>
              <w:right w:w="28" w:type="dxa"/>
            </w:tcMar>
            <w:vAlign w:val="center"/>
          </w:tcPr>
          <w:p w14:paraId="294D1321" w14:textId="2F3E21ED" w:rsidR="008F0378" w:rsidRPr="00237760" w:rsidRDefault="0001236B"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Częściowo Cel horyzontalny 1. Ograniczenie negatywnego oddziaływania sektora transportu na klimat oraz na regionalne środowisko naturalne</w:t>
            </w:r>
          </w:p>
        </w:tc>
      </w:tr>
      <w:tr w:rsidR="00237760" w:rsidRPr="00237760" w14:paraId="170E75AD" w14:textId="77777777" w:rsidTr="009367B4">
        <w:trPr>
          <w:trHeight w:val="151"/>
        </w:trPr>
        <w:tc>
          <w:tcPr>
            <w:tcW w:w="9072" w:type="dxa"/>
            <w:gridSpan w:val="2"/>
            <w:tcBorders>
              <w:top w:val="single" w:sz="4" w:space="0" w:color="BDD6EE" w:themeColor="accent1" w:themeTint="66"/>
              <w:left w:val="nil"/>
              <w:right w:val="nil"/>
            </w:tcBorders>
            <w:shd w:val="clear" w:color="auto" w:fill="auto"/>
            <w:tcMar>
              <w:left w:w="28" w:type="dxa"/>
              <w:right w:w="28" w:type="dxa"/>
            </w:tcMar>
            <w:vAlign w:val="center"/>
          </w:tcPr>
          <w:p w14:paraId="6A5697E7" w14:textId="77777777" w:rsidR="00FC047F" w:rsidRPr="00237760" w:rsidRDefault="00FC047F"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Z</w:t>
            </w:r>
            <w:r w:rsidRPr="00237760">
              <w:rPr>
                <w:rFonts w:ascii="Arial" w:hAnsi="Arial" w:cs="Arial"/>
                <w:b/>
                <w:color w:val="auto"/>
                <w:sz w:val="24"/>
                <w:szCs w:val="24"/>
              </w:rPr>
              <w:t xml:space="preserve">AGROŻENIA </w:t>
            </w:r>
          </w:p>
        </w:tc>
      </w:tr>
      <w:tr w:rsidR="00237760" w:rsidRPr="00237760" w14:paraId="79D8DC83" w14:textId="77777777" w:rsidTr="009367B4">
        <w:trPr>
          <w:trHeight w:val="151"/>
        </w:trPr>
        <w:tc>
          <w:tcPr>
            <w:tcW w:w="4395" w:type="dxa"/>
            <w:tcBorders>
              <w:top w:val="single" w:sz="4" w:space="0" w:color="BDD6EE" w:themeColor="accent1" w:themeTint="66"/>
              <w:left w:val="nil"/>
              <w:right w:val="nil"/>
            </w:tcBorders>
            <w:shd w:val="clear" w:color="auto" w:fill="auto"/>
            <w:tcMar>
              <w:left w:w="28" w:type="dxa"/>
              <w:right w:w="28" w:type="dxa"/>
            </w:tcMar>
            <w:vAlign w:val="center"/>
          </w:tcPr>
          <w:p w14:paraId="3CD5B2C0" w14:textId="4C59D18F" w:rsidR="003170F2" w:rsidRPr="00237760" w:rsidRDefault="005D21B7"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Peryferyjne położenie MOF Przemyśl oraz słabe skomunikowanie z resztą kraju</w:t>
            </w:r>
          </w:p>
        </w:tc>
        <w:tc>
          <w:tcPr>
            <w:tcW w:w="4677" w:type="dxa"/>
            <w:tcBorders>
              <w:top w:val="single" w:sz="4" w:space="0" w:color="BDD6EE" w:themeColor="accent1" w:themeTint="66"/>
              <w:left w:val="nil"/>
              <w:right w:val="nil"/>
            </w:tcBorders>
            <w:shd w:val="clear" w:color="auto" w:fill="auto"/>
            <w:tcMar>
              <w:left w:w="28" w:type="dxa"/>
              <w:right w:w="28" w:type="dxa"/>
            </w:tcMar>
            <w:vAlign w:val="center"/>
          </w:tcPr>
          <w:p w14:paraId="6D373428" w14:textId="33E63479" w:rsidR="003170F2" w:rsidRPr="00237760" w:rsidRDefault="0001236B"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tc>
      </w:tr>
      <w:tr w:rsidR="00237760" w:rsidRPr="00237760" w14:paraId="62D043E2" w14:textId="77777777" w:rsidTr="009367B4">
        <w:trPr>
          <w:trHeight w:val="151"/>
        </w:trPr>
        <w:tc>
          <w:tcPr>
            <w:tcW w:w="9072" w:type="dxa"/>
            <w:gridSpan w:val="2"/>
            <w:tcBorders>
              <w:top w:val="single" w:sz="4" w:space="0" w:color="BDD6EE" w:themeColor="accent1" w:themeTint="66"/>
              <w:left w:val="nil"/>
              <w:right w:val="nil"/>
            </w:tcBorders>
            <w:shd w:val="clear" w:color="auto" w:fill="auto"/>
            <w:tcMar>
              <w:left w:w="28" w:type="dxa"/>
              <w:right w:w="28" w:type="dxa"/>
            </w:tcMar>
            <w:vAlign w:val="center"/>
          </w:tcPr>
          <w:p w14:paraId="143C27D1" w14:textId="47905A8D" w:rsidR="00D811A0" w:rsidRPr="00237760" w:rsidRDefault="00D811A0" w:rsidP="009367B4">
            <w:pPr>
              <w:spacing w:after="0" w:line="240" w:lineRule="auto"/>
              <w:ind w:left="57" w:right="57"/>
              <w:jc w:val="left"/>
              <w:rPr>
                <w:rFonts w:ascii="Arial" w:hAnsi="Arial" w:cs="Arial"/>
                <w:b/>
                <w:bCs/>
                <w:color w:val="auto"/>
                <w:sz w:val="24"/>
                <w:szCs w:val="24"/>
              </w:rPr>
            </w:pPr>
            <w:r w:rsidRPr="00237760">
              <w:rPr>
                <w:rFonts w:ascii="Arial" w:hAnsi="Arial" w:cs="Arial"/>
                <w:b/>
                <w:bCs/>
                <w:color w:val="auto"/>
                <w:sz w:val="24"/>
                <w:szCs w:val="24"/>
              </w:rPr>
              <w:t xml:space="preserve">Strategia Miejskiego Obszaru Funkcjonalnego </w:t>
            </w:r>
            <w:r w:rsidR="00A978C7" w:rsidRPr="00237760">
              <w:rPr>
                <w:rFonts w:ascii="Arial" w:hAnsi="Arial" w:cs="Arial"/>
                <w:b/>
                <w:bCs/>
                <w:color w:val="auto"/>
                <w:sz w:val="24"/>
                <w:szCs w:val="24"/>
              </w:rPr>
              <w:t>Krosno</w:t>
            </w:r>
          </w:p>
        </w:tc>
      </w:tr>
      <w:tr w:rsidR="00237760" w:rsidRPr="00237760" w14:paraId="7C751A67" w14:textId="77777777" w:rsidTr="009367B4">
        <w:trPr>
          <w:trHeight w:val="151"/>
        </w:trPr>
        <w:tc>
          <w:tcPr>
            <w:tcW w:w="4395" w:type="dxa"/>
            <w:tcBorders>
              <w:top w:val="single" w:sz="4" w:space="0" w:color="BDD6EE" w:themeColor="accent1" w:themeTint="66"/>
              <w:left w:val="nil"/>
              <w:right w:val="nil"/>
            </w:tcBorders>
            <w:shd w:val="clear" w:color="auto" w:fill="auto"/>
            <w:tcMar>
              <w:left w:w="28" w:type="dxa"/>
              <w:right w:w="28" w:type="dxa"/>
            </w:tcMar>
            <w:vAlign w:val="center"/>
          </w:tcPr>
          <w:p w14:paraId="6AC90F76" w14:textId="3D5450A9" w:rsidR="00D811A0" w:rsidRPr="00237760" w:rsidRDefault="00D811A0"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SŁABOŚCI</w:t>
            </w:r>
          </w:p>
        </w:tc>
        <w:tc>
          <w:tcPr>
            <w:tcW w:w="4677" w:type="dxa"/>
            <w:tcBorders>
              <w:top w:val="single" w:sz="4" w:space="0" w:color="BDD6EE" w:themeColor="accent1" w:themeTint="66"/>
              <w:left w:val="nil"/>
              <w:right w:val="nil"/>
            </w:tcBorders>
            <w:shd w:val="clear" w:color="auto" w:fill="auto"/>
            <w:tcMar>
              <w:left w:w="28" w:type="dxa"/>
              <w:right w:w="28" w:type="dxa"/>
            </w:tcMar>
          </w:tcPr>
          <w:p w14:paraId="3E632451" w14:textId="77777777" w:rsidR="00D811A0" w:rsidRPr="00237760" w:rsidRDefault="00D811A0" w:rsidP="009367B4">
            <w:pPr>
              <w:spacing w:after="0" w:line="240" w:lineRule="auto"/>
              <w:ind w:left="57" w:right="57"/>
              <w:jc w:val="left"/>
              <w:rPr>
                <w:rFonts w:ascii="Arial" w:hAnsi="Arial" w:cs="Arial"/>
                <w:color w:val="auto"/>
                <w:sz w:val="24"/>
                <w:szCs w:val="24"/>
              </w:rPr>
            </w:pPr>
          </w:p>
        </w:tc>
      </w:tr>
      <w:tr w:rsidR="00237760" w:rsidRPr="00237760" w14:paraId="1F7D9A2C" w14:textId="77777777" w:rsidTr="009367B4">
        <w:trPr>
          <w:trHeight w:val="151"/>
        </w:trPr>
        <w:tc>
          <w:tcPr>
            <w:tcW w:w="4395" w:type="dxa"/>
            <w:tcBorders>
              <w:top w:val="single" w:sz="4" w:space="0" w:color="BDD6EE" w:themeColor="accent1" w:themeTint="66"/>
              <w:left w:val="nil"/>
              <w:right w:val="nil"/>
            </w:tcBorders>
            <w:shd w:val="clear" w:color="auto" w:fill="auto"/>
            <w:tcMar>
              <w:left w:w="28" w:type="dxa"/>
              <w:right w:w="28" w:type="dxa"/>
            </w:tcMar>
            <w:vAlign w:val="center"/>
          </w:tcPr>
          <w:p w14:paraId="78F09F2E" w14:textId="69F923EF" w:rsidR="003170F2" w:rsidRPr="00237760" w:rsidRDefault="00C3533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Peryferyjne położenie MOF Krosno w stosunku do głównych ośrodków gospodarczych</w:t>
            </w:r>
          </w:p>
        </w:tc>
        <w:tc>
          <w:tcPr>
            <w:tcW w:w="4677" w:type="dxa"/>
            <w:tcBorders>
              <w:top w:val="single" w:sz="4" w:space="0" w:color="BDD6EE" w:themeColor="accent1" w:themeTint="66"/>
              <w:left w:val="nil"/>
              <w:right w:val="nil"/>
            </w:tcBorders>
            <w:shd w:val="clear" w:color="auto" w:fill="auto"/>
            <w:tcMar>
              <w:left w:w="28" w:type="dxa"/>
              <w:right w:w="28" w:type="dxa"/>
            </w:tcMar>
            <w:vAlign w:val="center"/>
          </w:tcPr>
          <w:p w14:paraId="4159085B" w14:textId="77777777" w:rsidR="003170F2" w:rsidRPr="00237760" w:rsidRDefault="007D567F"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0FA25EE8" w14:textId="77777777" w:rsidR="007D567F" w:rsidRPr="00237760" w:rsidRDefault="007D567F"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4217A0B8" w14:textId="6BE41A86" w:rsidR="003170F2" w:rsidRPr="00237760" w:rsidRDefault="00743BAB"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lastRenderedPageBreak/>
              <w:t>Cel podstawowy 3. Integracja MOF</w:t>
            </w:r>
          </w:p>
        </w:tc>
      </w:tr>
      <w:tr w:rsidR="00237760" w:rsidRPr="00237760" w14:paraId="051DA3AF" w14:textId="77777777" w:rsidTr="009367B4">
        <w:trPr>
          <w:trHeight w:val="151"/>
        </w:trPr>
        <w:tc>
          <w:tcPr>
            <w:tcW w:w="4395" w:type="dxa"/>
            <w:tcBorders>
              <w:top w:val="single" w:sz="4" w:space="0" w:color="BDD6EE" w:themeColor="accent1" w:themeTint="66"/>
              <w:left w:val="nil"/>
              <w:right w:val="nil"/>
            </w:tcBorders>
            <w:shd w:val="clear" w:color="auto" w:fill="auto"/>
            <w:tcMar>
              <w:left w:w="28" w:type="dxa"/>
              <w:right w:w="28" w:type="dxa"/>
            </w:tcMar>
            <w:vAlign w:val="center"/>
          </w:tcPr>
          <w:p w14:paraId="0EB6AFD2" w14:textId="2BA37443" w:rsidR="003170F2" w:rsidRPr="00237760" w:rsidRDefault="00D31E7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lastRenderedPageBreak/>
              <w:t>Brak dróg ekspresowych i autostrad</w:t>
            </w:r>
          </w:p>
        </w:tc>
        <w:tc>
          <w:tcPr>
            <w:tcW w:w="4677" w:type="dxa"/>
            <w:tcBorders>
              <w:top w:val="single" w:sz="4" w:space="0" w:color="BDD6EE" w:themeColor="accent1" w:themeTint="66"/>
              <w:left w:val="nil"/>
              <w:right w:val="nil"/>
            </w:tcBorders>
            <w:shd w:val="clear" w:color="auto" w:fill="auto"/>
            <w:tcMar>
              <w:left w:w="28" w:type="dxa"/>
              <w:right w:w="28" w:type="dxa"/>
            </w:tcMar>
            <w:vAlign w:val="center"/>
          </w:tcPr>
          <w:p w14:paraId="1183B75A" w14:textId="40154D82" w:rsidR="003170F2" w:rsidRPr="00237760" w:rsidRDefault="00B970C2"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tc>
      </w:tr>
      <w:tr w:rsidR="00237760" w:rsidRPr="00237760" w14:paraId="4D7AF371"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7C27C896" w14:textId="7EDFC290" w:rsidR="003170F2" w:rsidRPr="00237760" w:rsidRDefault="001C04F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 xml:space="preserve">Brak bezpośredniego połączenia kolejowego z Rzeszowem </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553959C8" w14:textId="77777777" w:rsidR="00BC0A73" w:rsidRPr="00237760" w:rsidRDefault="00BC0A73"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1D47259F" w14:textId="14363223" w:rsidR="003170F2" w:rsidRPr="00237760" w:rsidRDefault="00BC0A73"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tc>
      </w:tr>
      <w:tr w:rsidR="00237760" w:rsidRPr="00237760" w14:paraId="379667AC"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2A7030F2" w14:textId="1F426806" w:rsidR="001C04F1" w:rsidRPr="00237760" w:rsidRDefault="00235214"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Przestarzała, energochłonna infrastruktura publicznego oświetlenia ulicznego</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5AD0AFCE" w14:textId="77777777" w:rsidR="001C04F1" w:rsidRPr="00237760" w:rsidRDefault="00CB33C0"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Częściowo Cel horyzontalny 1. Ograniczenie negatywnego oddziaływania sektora transportu na klimat oraz na regionalne środowisko naturalne</w:t>
            </w:r>
          </w:p>
          <w:p w14:paraId="2D12716F" w14:textId="18440B3D" w:rsidR="001C04F1" w:rsidRPr="00237760" w:rsidRDefault="00CB33C0"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Częściowo Cel horyzontalny 4.</w:t>
            </w:r>
            <w:r w:rsidR="00BC1F14" w:rsidRPr="00237760">
              <w:rPr>
                <w:rFonts w:ascii="Arial" w:hAnsi="Arial" w:cs="Arial"/>
                <w:color w:val="auto"/>
                <w:sz w:val="24"/>
                <w:szCs w:val="24"/>
              </w:rPr>
              <w:t xml:space="preserve"> Poprawa bezpieczeństwa w transporcie</w:t>
            </w:r>
            <w:r w:rsidRPr="00237760">
              <w:rPr>
                <w:rFonts w:ascii="Arial" w:hAnsi="Arial" w:cs="Arial"/>
                <w:color w:val="auto"/>
                <w:sz w:val="24"/>
                <w:szCs w:val="24"/>
              </w:rPr>
              <w:t xml:space="preserve"> </w:t>
            </w:r>
          </w:p>
        </w:tc>
      </w:tr>
      <w:tr w:rsidR="00237760" w:rsidRPr="00237760" w14:paraId="383B86C0"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1062FFBB" w14:textId="135E68CE" w:rsidR="001C04F1" w:rsidRPr="00237760" w:rsidRDefault="007E3A0F"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Przestarzały tabor MKS Krosno Sp. z o.o. – głównego wykonawcy komunikacji publicznej na terenie MOF</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40F954EB" w14:textId="3CF3296E" w:rsidR="001C04F1" w:rsidRPr="00237760" w:rsidRDefault="00A32BBA"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0F55D938" w14:textId="77777777" w:rsidTr="009367B4">
        <w:trPr>
          <w:trHeight w:val="151"/>
        </w:trPr>
        <w:tc>
          <w:tcPr>
            <w:tcW w:w="9072" w:type="dxa"/>
            <w:gridSpan w:val="2"/>
            <w:tcBorders>
              <w:top w:val="single" w:sz="4" w:space="0" w:color="BDD6EE" w:themeColor="accent1" w:themeTint="66"/>
              <w:left w:val="nil"/>
              <w:right w:val="nil"/>
            </w:tcBorders>
            <w:shd w:val="clear" w:color="auto" w:fill="auto"/>
            <w:tcMar>
              <w:left w:w="28" w:type="dxa"/>
              <w:right w:w="28" w:type="dxa"/>
            </w:tcMar>
            <w:vAlign w:val="center"/>
          </w:tcPr>
          <w:p w14:paraId="0D5BA1AB" w14:textId="77777777" w:rsidR="009F0E72" w:rsidRPr="00237760" w:rsidRDefault="009F0E72"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 xml:space="preserve">SZANSE </w:t>
            </w:r>
          </w:p>
        </w:tc>
      </w:tr>
      <w:tr w:rsidR="00237760" w:rsidRPr="00237760" w14:paraId="76D6D3A7"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7BBFA9AC" w14:textId="31E4954B" w:rsidR="007E3A0F" w:rsidRPr="00237760" w:rsidRDefault="00A4501B"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Budowa drogi ekspresowej S19</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370906C5" w14:textId="77777777" w:rsidR="007B2AC6" w:rsidRPr="00237760" w:rsidRDefault="007B2AC6"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02DD1763" w14:textId="705588E8" w:rsidR="007E3A0F" w:rsidRPr="00237760" w:rsidRDefault="007B2AC6"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tc>
      </w:tr>
      <w:tr w:rsidR="00237760" w:rsidRPr="00237760" w14:paraId="46346107"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40AA248E" w14:textId="58825B66" w:rsidR="007E3A0F" w:rsidRPr="00237760" w:rsidRDefault="00C17C2F"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Bliskość autostrady A4</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5A49399F" w14:textId="3DDAB84E" w:rsidR="007E3A0F" w:rsidRPr="00237760" w:rsidRDefault="00C11993"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tc>
      </w:tr>
      <w:tr w:rsidR="00237760" w:rsidRPr="00237760" w14:paraId="028CD88B"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59E6E459" w14:textId="66A72A6D" w:rsidR="007E3A0F" w:rsidRPr="00237760" w:rsidRDefault="00CE2DBB"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Przywrócenie przez PKP połączeń pasażerskich na linii nr 108 –przebiegających przez MOF Krosno</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56608F5E" w14:textId="77777777" w:rsidR="007B2AC6" w:rsidRPr="00237760" w:rsidRDefault="007B2AC6"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09D319AE" w14:textId="5168EB14" w:rsidR="007E3A0F" w:rsidRPr="00237760" w:rsidRDefault="007B2AC6"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tc>
      </w:tr>
      <w:tr w:rsidR="00237760" w:rsidRPr="00237760" w14:paraId="0A62994F"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3619F486" w14:textId="5430FE41" w:rsidR="007E3A0F" w:rsidRPr="00237760" w:rsidRDefault="002729C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Modernizacja i rozbudowa sieci kolejowej w regionie, w tym m.in. wybudowanie łącznicy kolejowej skracającej czas dojazdu z Krosna do Rzeszowa</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1F965296" w14:textId="77777777" w:rsidR="007E3A0F" w:rsidRPr="00237760" w:rsidRDefault="00C3401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0915842D" w14:textId="3AAD1A55" w:rsidR="00C34011" w:rsidRPr="00237760" w:rsidRDefault="00C3401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1CC69C30" w14:textId="349E8144" w:rsidR="007E3A0F" w:rsidRPr="00237760" w:rsidRDefault="00C3401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tc>
      </w:tr>
      <w:tr w:rsidR="00237760" w:rsidRPr="00237760" w14:paraId="72D13B28"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6591F6E1" w14:textId="39CEA0E8" w:rsidR="007E3A0F" w:rsidRPr="00237760" w:rsidRDefault="00CA21E2"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Polityka Unii Europejskiej w zakresie wspierania rozwiązań „niskoemisyjnych”</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2BB8FD11" w14:textId="01078CB9" w:rsidR="007E3A0F" w:rsidRPr="00237760" w:rsidRDefault="00C3401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1. Ograniczenie negatywnego oddziaływania sektora transportu na klimat oraz na regionalne środowisko naturalne</w:t>
            </w:r>
          </w:p>
        </w:tc>
      </w:tr>
      <w:tr w:rsidR="00237760" w:rsidRPr="00237760" w14:paraId="295219B5"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004EC0D2" w14:textId="3A5CDF7E" w:rsidR="007E3A0F" w:rsidRPr="00237760" w:rsidRDefault="0068683A"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Polityka Unii Europejskiej w zakresie wspierania słabiej rozwiniętych regionów</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6847E611" w14:textId="4E9C7329" w:rsidR="007E3A0F" w:rsidRPr="00237760" w:rsidRDefault="00E7483E"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Wszystkie cele – rozwijanie obszaru Polski Wschodniej</w:t>
            </w:r>
          </w:p>
        </w:tc>
      </w:tr>
      <w:tr w:rsidR="00237760" w:rsidRPr="00237760" w14:paraId="17008072"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15C280B6" w14:textId="5E6E6EFB" w:rsidR="007E3A0F" w:rsidRPr="00237760" w:rsidRDefault="00830ADB"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Wzrost znaczenia transportu lotniczego w Polsce</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6FDA5E25" w14:textId="77777777" w:rsidR="007B2AC6" w:rsidRPr="00237760" w:rsidRDefault="007B2AC6"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61D08162" w14:textId="275A9E17" w:rsidR="007E3A0F" w:rsidRPr="00237760" w:rsidRDefault="007B2AC6"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tc>
      </w:tr>
      <w:tr w:rsidR="00237760" w:rsidRPr="00237760" w14:paraId="52B4FB5F" w14:textId="77777777" w:rsidTr="009367B4">
        <w:trPr>
          <w:trHeight w:val="151"/>
        </w:trPr>
        <w:tc>
          <w:tcPr>
            <w:tcW w:w="9072" w:type="dxa"/>
            <w:gridSpan w:val="2"/>
            <w:tcBorders>
              <w:top w:val="single" w:sz="4" w:space="0" w:color="BDD6EE" w:themeColor="accent1" w:themeTint="66"/>
              <w:left w:val="nil"/>
              <w:right w:val="nil"/>
            </w:tcBorders>
            <w:shd w:val="clear" w:color="auto" w:fill="auto"/>
            <w:tcMar>
              <w:left w:w="28" w:type="dxa"/>
              <w:right w:w="28" w:type="dxa"/>
            </w:tcMar>
            <w:vAlign w:val="center"/>
          </w:tcPr>
          <w:p w14:paraId="626B8AB4" w14:textId="77777777" w:rsidR="00AC4D12" w:rsidRPr="00237760" w:rsidRDefault="00AC4D12"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 xml:space="preserve">ZAGROŻENIA </w:t>
            </w:r>
          </w:p>
        </w:tc>
      </w:tr>
      <w:tr w:rsidR="00237760" w:rsidRPr="00237760" w14:paraId="79116C34"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7A8306FE" w14:textId="15CCA40C" w:rsidR="007B2AC6" w:rsidRPr="00237760" w:rsidRDefault="007B2AC6"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Ryzyko zaniechania lub odłożenia w czasie budowy drogi S-19</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083AF79F" w14:textId="77777777" w:rsidR="007B2AC6" w:rsidRPr="00237760" w:rsidRDefault="007B2AC6"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0FB049F1" w14:textId="593A4CBA" w:rsidR="007B2AC6" w:rsidRPr="00237760" w:rsidRDefault="007B2AC6"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tc>
      </w:tr>
      <w:tr w:rsidR="00237760" w:rsidRPr="00237760" w14:paraId="2A2DBA33"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4AC0DD7F" w14:textId="1321B2AD" w:rsidR="007B2AC6" w:rsidRPr="00237760" w:rsidRDefault="007B2AC6"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lastRenderedPageBreak/>
              <w:t>Ryzyko wstrzymania bądź opóźnienia inwestycji w sieć kolejową, w szczególności ryzyko dalszej degradacji linii kolejowej nr 108</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527E8076" w14:textId="77777777" w:rsidR="007B2AC6" w:rsidRPr="00237760" w:rsidRDefault="007B2AC6"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63FE346A" w14:textId="5A130B2D" w:rsidR="007B2AC6" w:rsidRPr="00237760" w:rsidRDefault="007B2AC6"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tc>
      </w:tr>
      <w:tr w:rsidR="00237760" w:rsidRPr="00237760" w14:paraId="70496A74" w14:textId="77777777" w:rsidTr="009367B4">
        <w:trPr>
          <w:trHeight w:val="151"/>
        </w:trPr>
        <w:tc>
          <w:tcPr>
            <w:tcW w:w="9072" w:type="dxa"/>
            <w:gridSpan w:val="2"/>
            <w:tcBorders>
              <w:top w:val="single" w:sz="4" w:space="0" w:color="BDD6EE" w:themeColor="accent1" w:themeTint="66"/>
              <w:left w:val="nil"/>
              <w:right w:val="nil"/>
            </w:tcBorders>
            <w:shd w:val="clear" w:color="auto" w:fill="auto"/>
            <w:tcMar>
              <w:left w:w="28" w:type="dxa"/>
              <w:right w:w="28" w:type="dxa"/>
            </w:tcMar>
            <w:vAlign w:val="center"/>
          </w:tcPr>
          <w:p w14:paraId="2B5829D4" w14:textId="7C489F8F" w:rsidR="00B60C92" w:rsidRPr="00237760" w:rsidRDefault="00B60C92" w:rsidP="009367B4">
            <w:pPr>
              <w:spacing w:after="0" w:line="240" w:lineRule="auto"/>
              <w:ind w:left="57" w:right="57"/>
              <w:jc w:val="left"/>
              <w:rPr>
                <w:rFonts w:ascii="Arial" w:hAnsi="Arial" w:cs="Arial"/>
                <w:b/>
                <w:bCs/>
                <w:color w:val="auto"/>
                <w:sz w:val="24"/>
                <w:szCs w:val="24"/>
              </w:rPr>
            </w:pPr>
            <w:r w:rsidRPr="00237760">
              <w:rPr>
                <w:rFonts w:ascii="Arial" w:hAnsi="Arial" w:cs="Arial"/>
                <w:b/>
                <w:bCs/>
                <w:color w:val="auto"/>
                <w:sz w:val="24"/>
                <w:szCs w:val="24"/>
              </w:rPr>
              <w:t xml:space="preserve">Strategia </w:t>
            </w:r>
            <w:r w:rsidR="00EA0665" w:rsidRPr="00237760">
              <w:rPr>
                <w:rFonts w:ascii="Arial" w:hAnsi="Arial" w:cs="Arial"/>
                <w:b/>
                <w:bCs/>
                <w:color w:val="auto"/>
                <w:sz w:val="24"/>
                <w:szCs w:val="24"/>
              </w:rPr>
              <w:t>ZIT Tarnobrzeskiego Obszaru Funkcjonalnego na lata 2014-2020</w:t>
            </w:r>
          </w:p>
        </w:tc>
      </w:tr>
      <w:tr w:rsidR="00237760" w:rsidRPr="00237760" w14:paraId="00D1BBB8" w14:textId="77777777" w:rsidTr="009367B4">
        <w:trPr>
          <w:trHeight w:val="151"/>
        </w:trPr>
        <w:tc>
          <w:tcPr>
            <w:tcW w:w="4395" w:type="dxa"/>
            <w:tcBorders>
              <w:top w:val="single" w:sz="4" w:space="0" w:color="BDD6EE" w:themeColor="accent1" w:themeTint="66"/>
              <w:left w:val="nil"/>
              <w:right w:val="nil"/>
            </w:tcBorders>
            <w:shd w:val="clear" w:color="auto" w:fill="auto"/>
            <w:tcMar>
              <w:left w:w="28" w:type="dxa"/>
              <w:right w:w="28" w:type="dxa"/>
            </w:tcMar>
            <w:vAlign w:val="center"/>
          </w:tcPr>
          <w:p w14:paraId="71211415" w14:textId="36138FEF" w:rsidR="00032245" w:rsidRPr="00237760" w:rsidRDefault="00032245"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SŁABOŚCI</w:t>
            </w:r>
          </w:p>
        </w:tc>
        <w:tc>
          <w:tcPr>
            <w:tcW w:w="4677" w:type="dxa"/>
            <w:tcBorders>
              <w:top w:val="single" w:sz="4" w:space="0" w:color="BDD6EE" w:themeColor="accent1" w:themeTint="66"/>
              <w:left w:val="nil"/>
              <w:right w:val="nil"/>
            </w:tcBorders>
            <w:shd w:val="clear" w:color="auto" w:fill="auto"/>
            <w:tcMar>
              <w:left w:w="28" w:type="dxa"/>
              <w:right w:w="28" w:type="dxa"/>
            </w:tcMar>
          </w:tcPr>
          <w:p w14:paraId="1D0C6D81" w14:textId="77777777" w:rsidR="00032245" w:rsidRPr="00237760" w:rsidRDefault="00032245" w:rsidP="009367B4">
            <w:pPr>
              <w:spacing w:after="0" w:line="240" w:lineRule="auto"/>
              <w:ind w:left="57" w:right="57"/>
              <w:jc w:val="left"/>
              <w:rPr>
                <w:rFonts w:ascii="Arial" w:hAnsi="Arial" w:cs="Arial"/>
                <w:color w:val="auto"/>
                <w:sz w:val="24"/>
                <w:szCs w:val="24"/>
              </w:rPr>
            </w:pPr>
          </w:p>
        </w:tc>
      </w:tr>
      <w:tr w:rsidR="00237760" w:rsidRPr="00237760" w14:paraId="6FEFBFFD"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37DB848E" w14:textId="7663AF1A" w:rsidR="002A2959" w:rsidRPr="00237760" w:rsidRDefault="00546A7A"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N</w:t>
            </w:r>
            <w:r w:rsidR="00F43892" w:rsidRPr="00237760">
              <w:rPr>
                <w:rFonts w:ascii="Arial" w:hAnsi="Arial" w:cs="Arial"/>
                <w:color w:val="auto"/>
                <w:sz w:val="24"/>
                <w:szCs w:val="24"/>
              </w:rPr>
              <w:t>ie</w:t>
            </w:r>
            <w:r w:rsidRPr="00237760">
              <w:rPr>
                <w:rFonts w:ascii="Arial" w:hAnsi="Arial" w:cs="Arial"/>
                <w:color w:val="auto"/>
                <w:sz w:val="24"/>
                <w:szCs w:val="24"/>
              </w:rPr>
              <w:t xml:space="preserve">wystarczająca jeszcze dostępność komunikacyjna niezbędna do rozwoju turystyki i rekreacji </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351B0498" w14:textId="77777777" w:rsidR="009924FC" w:rsidRPr="00237760" w:rsidRDefault="009924FC"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688C0984" w14:textId="77777777" w:rsidR="009924FC" w:rsidRPr="00237760" w:rsidRDefault="009924FC"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7B791A38" w14:textId="3B86CB06" w:rsidR="002A2959" w:rsidRPr="00237760" w:rsidRDefault="009924FC"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6F737874"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46B332F4" w14:textId="63268A1E" w:rsidR="002A2959" w:rsidRPr="00237760" w:rsidRDefault="00546A7A"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 xml:space="preserve">Niska jakość systemu komunikacyjnego strefy rozwoju gospodarczego </w:t>
            </w:r>
            <w:r w:rsidR="003134C2" w:rsidRPr="00237760">
              <w:rPr>
                <w:rFonts w:ascii="Arial" w:hAnsi="Arial" w:cs="Arial"/>
                <w:color w:val="auto"/>
                <w:sz w:val="24"/>
                <w:szCs w:val="24"/>
              </w:rPr>
              <w:t>na terenach byłej KiZPS Siarkopol</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0C66E5D5" w14:textId="77777777" w:rsidR="007B2AC6" w:rsidRPr="00237760" w:rsidRDefault="007B2AC6"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63B69B5F" w14:textId="628BD699" w:rsidR="002A2959" w:rsidRPr="00237760" w:rsidRDefault="007B2AC6"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tc>
      </w:tr>
      <w:tr w:rsidR="00237760" w:rsidRPr="00237760" w14:paraId="6D5655DD" w14:textId="77777777" w:rsidTr="009367B4">
        <w:trPr>
          <w:trHeight w:val="151"/>
        </w:trPr>
        <w:tc>
          <w:tcPr>
            <w:tcW w:w="4395" w:type="dxa"/>
            <w:tcBorders>
              <w:top w:val="single" w:sz="4" w:space="0" w:color="BDD6EE" w:themeColor="accent1" w:themeTint="66"/>
              <w:left w:val="nil"/>
              <w:right w:val="nil"/>
            </w:tcBorders>
            <w:shd w:val="clear" w:color="auto" w:fill="auto"/>
            <w:tcMar>
              <w:left w:w="28" w:type="dxa"/>
              <w:right w:w="28" w:type="dxa"/>
            </w:tcMar>
            <w:vAlign w:val="center"/>
          </w:tcPr>
          <w:p w14:paraId="4EB51313" w14:textId="77777777" w:rsidR="00032245" w:rsidRPr="00237760" w:rsidRDefault="00032245"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ZAGROŻENIA</w:t>
            </w:r>
          </w:p>
        </w:tc>
        <w:tc>
          <w:tcPr>
            <w:tcW w:w="4677" w:type="dxa"/>
            <w:tcBorders>
              <w:top w:val="single" w:sz="4" w:space="0" w:color="BDD6EE" w:themeColor="accent1" w:themeTint="66"/>
              <w:left w:val="nil"/>
              <w:right w:val="nil"/>
            </w:tcBorders>
            <w:shd w:val="clear" w:color="auto" w:fill="auto"/>
            <w:tcMar>
              <w:left w:w="28" w:type="dxa"/>
              <w:right w:w="28" w:type="dxa"/>
            </w:tcMar>
          </w:tcPr>
          <w:p w14:paraId="13A99F70" w14:textId="77777777" w:rsidR="00032245" w:rsidRPr="00237760" w:rsidRDefault="00032245" w:rsidP="009367B4">
            <w:pPr>
              <w:spacing w:after="0" w:line="240" w:lineRule="auto"/>
              <w:ind w:left="57" w:right="57"/>
              <w:jc w:val="left"/>
              <w:rPr>
                <w:rFonts w:ascii="Arial" w:hAnsi="Arial" w:cs="Arial"/>
                <w:color w:val="auto"/>
                <w:sz w:val="24"/>
                <w:szCs w:val="24"/>
              </w:rPr>
            </w:pPr>
          </w:p>
        </w:tc>
      </w:tr>
      <w:tr w:rsidR="00237760" w:rsidRPr="00237760" w14:paraId="06DC98A6"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54703959" w14:textId="19C2ED8A" w:rsidR="0038306C" w:rsidRPr="00237760" w:rsidRDefault="00586D72"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 xml:space="preserve">Niewystarczające wykorzystanie transportu kolejowego w gospodarce narodowej </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7054F8E0" w14:textId="42641171" w:rsidR="0038306C" w:rsidRPr="00237760" w:rsidRDefault="006F3A19"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Częściowo Cel podstawowy 1. Dostępność zewnętrzna</w:t>
            </w:r>
          </w:p>
        </w:tc>
      </w:tr>
      <w:tr w:rsidR="00237760" w:rsidRPr="00237760" w14:paraId="371F6989"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16DBC78F" w14:textId="710327E7" w:rsidR="0038306C" w:rsidRPr="00237760" w:rsidRDefault="00470B7E"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 xml:space="preserve">Nadal niewystarczająca dostępność drogowa </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3940194B" w14:textId="77777777" w:rsidR="0038306C" w:rsidRPr="00237760" w:rsidRDefault="006F3A19"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141C10F5" w14:textId="77777777" w:rsidR="006F3A19" w:rsidRPr="00237760" w:rsidRDefault="006F3A19"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08837B57" w14:textId="0659565E" w:rsidR="0038306C" w:rsidRPr="00237760" w:rsidRDefault="006F3A19"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tc>
      </w:tr>
      <w:tr w:rsidR="00237760" w:rsidRPr="00237760" w14:paraId="5DEE27AA" w14:textId="77777777" w:rsidTr="009367B4">
        <w:trPr>
          <w:trHeight w:val="151"/>
        </w:trPr>
        <w:tc>
          <w:tcPr>
            <w:tcW w:w="9072" w:type="dxa"/>
            <w:gridSpan w:val="2"/>
            <w:tcBorders>
              <w:top w:val="single" w:sz="4" w:space="0" w:color="BDD6EE" w:themeColor="accent1" w:themeTint="66"/>
              <w:left w:val="nil"/>
              <w:right w:val="nil"/>
            </w:tcBorders>
            <w:shd w:val="clear" w:color="auto" w:fill="auto"/>
            <w:tcMar>
              <w:left w:w="28" w:type="dxa"/>
              <w:right w:w="28" w:type="dxa"/>
            </w:tcMar>
            <w:vAlign w:val="center"/>
          </w:tcPr>
          <w:p w14:paraId="3794AE44" w14:textId="54F0C069" w:rsidR="00470B7E" w:rsidRPr="00237760" w:rsidRDefault="008603F8" w:rsidP="009367B4">
            <w:pPr>
              <w:spacing w:after="0" w:line="240" w:lineRule="auto"/>
              <w:ind w:left="57" w:right="57"/>
              <w:jc w:val="left"/>
              <w:rPr>
                <w:rFonts w:ascii="Arial" w:hAnsi="Arial" w:cs="Arial"/>
                <w:b/>
                <w:bCs/>
                <w:color w:val="auto"/>
                <w:sz w:val="24"/>
                <w:szCs w:val="24"/>
              </w:rPr>
            </w:pPr>
            <w:r w:rsidRPr="00237760">
              <w:rPr>
                <w:rFonts w:ascii="Arial" w:hAnsi="Arial" w:cs="Arial"/>
                <w:b/>
                <w:bCs/>
                <w:color w:val="auto"/>
                <w:sz w:val="24"/>
                <w:szCs w:val="24"/>
              </w:rPr>
              <w:t>Strategia Miejskiego Obszaru Funkcjonalnego Mielca</w:t>
            </w:r>
          </w:p>
        </w:tc>
      </w:tr>
      <w:tr w:rsidR="00237760" w:rsidRPr="00237760" w14:paraId="3DDA12FF" w14:textId="77777777" w:rsidTr="009367B4">
        <w:trPr>
          <w:trHeight w:val="151"/>
        </w:trPr>
        <w:tc>
          <w:tcPr>
            <w:tcW w:w="4395" w:type="dxa"/>
            <w:tcBorders>
              <w:top w:val="single" w:sz="4" w:space="0" w:color="BDD6EE" w:themeColor="accent1" w:themeTint="66"/>
              <w:left w:val="nil"/>
              <w:right w:val="nil"/>
            </w:tcBorders>
            <w:shd w:val="clear" w:color="auto" w:fill="auto"/>
            <w:tcMar>
              <w:left w:w="28" w:type="dxa"/>
              <w:right w:w="28" w:type="dxa"/>
            </w:tcMar>
            <w:vAlign w:val="center"/>
          </w:tcPr>
          <w:p w14:paraId="1474911B" w14:textId="4A5AA750" w:rsidR="00470B7E" w:rsidRPr="00237760" w:rsidRDefault="00470B7E"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SŁABOŚCI</w:t>
            </w:r>
          </w:p>
        </w:tc>
        <w:tc>
          <w:tcPr>
            <w:tcW w:w="4677" w:type="dxa"/>
            <w:tcBorders>
              <w:top w:val="single" w:sz="4" w:space="0" w:color="BDD6EE" w:themeColor="accent1" w:themeTint="66"/>
              <w:left w:val="nil"/>
              <w:right w:val="nil"/>
            </w:tcBorders>
            <w:shd w:val="clear" w:color="auto" w:fill="auto"/>
            <w:tcMar>
              <w:left w:w="28" w:type="dxa"/>
              <w:right w:w="28" w:type="dxa"/>
            </w:tcMar>
          </w:tcPr>
          <w:p w14:paraId="56EF854F" w14:textId="77777777" w:rsidR="00470B7E" w:rsidRPr="00237760" w:rsidRDefault="00470B7E" w:rsidP="009367B4">
            <w:pPr>
              <w:spacing w:after="0" w:line="240" w:lineRule="auto"/>
              <w:ind w:left="57" w:right="57"/>
              <w:jc w:val="left"/>
              <w:rPr>
                <w:rFonts w:ascii="Arial" w:hAnsi="Arial" w:cs="Arial"/>
                <w:color w:val="auto"/>
                <w:sz w:val="24"/>
                <w:szCs w:val="24"/>
              </w:rPr>
            </w:pPr>
          </w:p>
        </w:tc>
      </w:tr>
      <w:tr w:rsidR="00237760" w:rsidRPr="00237760" w14:paraId="0B209226"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12E78EF4" w14:textId="5046F18B" w:rsidR="00957917" w:rsidRPr="00237760" w:rsidRDefault="001100BE"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Niedostateczny poziom sprawności i bezpieczeństwa ciągów komunikacyjnych spajających MOF oraz transportu publicznego</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137173CC" w14:textId="5F81CEC1" w:rsidR="000773AD" w:rsidRPr="00237760" w:rsidRDefault="00E86EE8"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p w14:paraId="106F71C5" w14:textId="0CA645DD" w:rsidR="00F80BF4" w:rsidRPr="00237760" w:rsidRDefault="00F80BF4"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p w14:paraId="5863E3A2" w14:textId="72827FE5" w:rsidR="00957917" w:rsidRPr="00237760" w:rsidRDefault="00D346BC"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4. Poprawa bezpieczeństwa w transporcie</w:t>
            </w:r>
          </w:p>
        </w:tc>
      </w:tr>
      <w:tr w:rsidR="00237760" w:rsidRPr="00237760" w14:paraId="198A8F8F" w14:textId="77777777" w:rsidTr="009367B4">
        <w:trPr>
          <w:trHeight w:val="151"/>
        </w:trPr>
        <w:tc>
          <w:tcPr>
            <w:tcW w:w="9072" w:type="dxa"/>
            <w:gridSpan w:val="2"/>
            <w:tcBorders>
              <w:top w:val="single" w:sz="4" w:space="0" w:color="BDD6EE" w:themeColor="accent1" w:themeTint="66"/>
              <w:left w:val="nil"/>
              <w:right w:val="nil"/>
            </w:tcBorders>
            <w:shd w:val="clear" w:color="auto" w:fill="auto"/>
            <w:tcMar>
              <w:left w:w="28" w:type="dxa"/>
              <w:right w:w="28" w:type="dxa"/>
            </w:tcMar>
            <w:vAlign w:val="center"/>
          </w:tcPr>
          <w:p w14:paraId="3F32C3B3" w14:textId="77777777" w:rsidR="002242DB" w:rsidRPr="00237760" w:rsidRDefault="002242DB"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 xml:space="preserve">SZANSE </w:t>
            </w:r>
          </w:p>
        </w:tc>
      </w:tr>
      <w:tr w:rsidR="00237760" w:rsidRPr="00237760" w14:paraId="25F372AF"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63264B20" w14:textId="6F4B1613" w:rsidR="00957917" w:rsidRPr="00237760" w:rsidRDefault="0094386B"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Poprawa dostępności komunikacyjnej (autostrada A4 i połączenie z nią, planowana modernizacja linii kolejowej oraz budowana droga obwodowa Mielca)</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098B896C" w14:textId="77777777" w:rsidR="00957917" w:rsidRPr="00237760" w:rsidRDefault="00992B74"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659C5102" w14:textId="45810237" w:rsidR="00EF3257" w:rsidRPr="00237760" w:rsidRDefault="00EF3257"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4F1CFBC4" w14:textId="7FD90FEA" w:rsidR="0092686A" w:rsidRPr="00237760" w:rsidRDefault="003925B6"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tc>
      </w:tr>
      <w:tr w:rsidR="00237760" w:rsidRPr="00237760" w14:paraId="5E90D72A"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3045D282" w14:textId="286434E1" w:rsidR="00957917" w:rsidRPr="00237760" w:rsidRDefault="00F9511B"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Polityka skierowana na wsparcie biegunów wzrostu oraz ich obszarów funkcjonalnych</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01A97F9A" w14:textId="4BAA6C9A" w:rsidR="00957917" w:rsidRPr="00237760" w:rsidRDefault="00B018E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tc>
      </w:tr>
      <w:tr w:rsidR="00237760" w:rsidRPr="00237760" w14:paraId="5FD4E116" w14:textId="77777777" w:rsidTr="009367B4">
        <w:trPr>
          <w:trHeight w:val="151"/>
        </w:trPr>
        <w:tc>
          <w:tcPr>
            <w:tcW w:w="9072" w:type="dxa"/>
            <w:gridSpan w:val="2"/>
            <w:tcBorders>
              <w:top w:val="single" w:sz="4" w:space="0" w:color="BDD6EE" w:themeColor="accent1" w:themeTint="66"/>
              <w:left w:val="nil"/>
              <w:right w:val="nil"/>
            </w:tcBorders>
            <w:shd w:val="clear" w:color="auto" w:fill="auto"/>
            <w:tcMar>
              <w:left w:w="28" w:type="dxa"/>
              <w:right w:w="28" w:type="dxa"/>
            </w:tcMar>
            <w:vAlign w:val="center"/>
          </w:tcPr>
          <w:p w14:paraId="5F231476" w14:textId="38375D7F" w:rsidR="00702EBF" w:rsidRPr="00237760" w:rsidRDefault="00644665" w:rsidP="009367B4">
            <w:pPr>
              <w:spacing w:after="0" w:line="240" w:lineRule="auto"/>
              <w:ind w:left="57" w:right="57"/>
              <w:jc w:val="left"/>
              <w:rPr>
                <w:rFonts w:ascii="Arial" w:hAnsi="Arial" w:cs="Arial"/>
                <w:b/>
                <w:bCs/>
                <w:color w:val="auto"/>
                <w:sz w:val="24"/>
                <w:szCs w:val="24"/>
              </w:rPr>
            </w:pPr>
            <w:r w:rsidRPr="00237760">
              <w:rPr>
                <w:rFonts w:ascii="Arial" w:hAnsi="Arial" w:cs="Arial"/>
                <w:b/>
                <w:bCs/>
                <w:color w:val="auto"/>
                <w:sz w:val="24"/>
                <w:szCs w:val="24"/>
              </w:rPr>
              <w:t>Strategia Rozwoju Dębicko-Ropczyckiego Obszaru Funkcjonalnego</w:t>
            </w:r>
          </w:p>
        </w:tc>
      </w:tr>
      <w:tr w:rsidR="00237760" w:rsidRPr="00237760" w14:paraId="2B86DA4A" w14:textId="77777777" w:rsidTr="009367B4">
        <w:trPr>
          <w:trHeight w:val="151"/>
        </w:trPr>
        <w:tc>
          <w:tcPr>
            <w:tcW w:w="4395" w:type="dxa"/>
            <w:tcBorders>
              <w:top w:val="single" w:sz="4" w:space="0" w:color="BDD6EE" w:themeColor="accent1" w:themeTint="66"/>
              <w:left w:val="nil"/>
              <w:right w:val="nil"/>
            </w:tcBorders>
            <w:shd w:val="clear" w:color="auto" w:fill="auto"/>
            <w:tcMar>
              <w:left w:w="28" w:type="dxa"/>
              <w:right w:w="28" w:type="dxa"/>
            </w:tcMar>
            <w:vAlign w:val="center"/>
          </w:tcPr>
          <w:p w14:paraId="04CBEA41" w14:textId="12D17551" w:rsidR="00702EBF" w:rsidRPr="00237760" w:rsidRDefault="00702EBF"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SŁABOŚCI</w:t>
            </w:r>
          </w:p>
        </w:tc>
        <w:tc>
          <w:tcPr>
            <w:tcW w:w="4677" w:type="dxa"/>
            <w:tcBorders>
              <w:top w:val="single" w:sz="4" w:space="0" w:color="BDD6EE" w:themeColor="accent1" w:themeTint="66"/>
              <w:left w:val="nil"/>
              <w:right w:val="nil"/>
            </w:tcBorders>
            <w:shd w:val="clear" w:color="auto" w:fill="auto"/>
            <w:tcMar>
              <w:left w:w="28" w:type="dxa"/>
              <w:right w:w="28" w:type="dxa"/>
            </w:tcMar>
          </w:tcPr>
          <w:p w14:paraId="1DE66A40" w14:textId="77777777" w:rsidR="00702EBF" w:rsidRPr="00237760" w:rsidRDefault="00702EBF" w:rsidP="009367B4">
            <w:pPr>
              <w:spacing w:after="0" w:line="240" w:lineRule="auto"/>
              <w:ind w:left="57" w:right="57"/>
              <w:jc w:val="left"/>
              <w:rPr>
                <w:rFonts w:ascii="Arial" w:hAnsi="Arial" w:cs="Arial"/>
                <w:color w:val="auto"/>
                <w:sz w:val="24"/>
                <w:szCs w:val="24"/>
              </w:rPr>
            </w:pPr>
          </w:p>
        </w:tc>
      </w:tr>
      <w:tr w:rsidR="00237760" w:rsidRPr="00237760" w14:paraId="64743029"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77D608DD" w14:textId="5E3C285A" w:rsidR="00957917" w:rsidRPr="00237760" w:rsidRDefault="00A27872"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Stan dróg łączących tereny inwestycyjne z zewnętrznym układem komunikacyjnym nie jest dostosowany do transportu towarów</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0CC1B4E0" w14:textId="77777777" w:rsidR="00323F63" w:rsidRPr="00237760" w:rsidRDefault="00323F63"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691EFA46" w14:textId="65BA8469" w:rsidR="00957917" w:rsidRPr="00237760" w:rsidRDefault="00323F63"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tc>
      </w:tr>
      <w:tr w:rsidR="00237760" w:rsidRPr="00237760" w14:paraId="1AB5FECD"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6627D70A" w14:textId="4FE9ADD9" w:rsidR="00957917" w:rsidRPr="00237760" w:rsidRDefault="003A27EB"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lastRenderedPageBreak/>
              <w:t>Niewystarczająca oferta transportu publicznego stanowiąca barierę dla rozwoju powiązań funkcjonalnych pomiędzy partnerami D-ROF</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217182DC" w14:textId="534E7421" w:rsidR="00957917" w:rsidRPr="00237760" w:rsidRDefault="00DE204B"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5CF6D5B7"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30129B55" w14:textId="08FBD837" w:rsidR="00957917" w:rsidRPr="00237760" w:rsidRDefault="00E13F74"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Charakterystyka przestrzenna gmin partnerstwa – liczne rozproszone obszary wiejskie</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54DDD30F" w14:textId="6D1FE349" w:rsidR="00957917" w:rsidRPr="00237760" w:rsidRDefault="004B7315"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 xml:space="preserve">Częściowo </w:t>
            </w:r>
            <w:r w:rsidR="00095E41" w:rsidRPr="00237760">
              <w:rPr>
                <w:rFonts w:ascii="Arial" w:hAnsi="Arial" w:cs="Arial"/>
                <w:color w:val="auto"/>
                <w:sz w:val="24"/>
                <w:szCs w:val="24"/>
              </w:rPr>
              <w:t xml:space="preserve">Cel podstawowy 2. </w:t>
            </w:r>
            <w:r w:rsidR="005D33D9" w:rsidRPr="00237760">
              <w:rPr>
                <w:rFonts w:ascii="Arial" w:hAnsi="Arial" w:cs="Arial"/>
                <w:color w:val="auto"/>
                <w:sz w:val="24"/>
                <w:szCs w:val="24"/>
              </w:rPr>
              <w:t>Transportowa spójność wewnętrzna</w:t>
            </w:r>
          </w:p>
        </w:tc>
      </w:tr>
      <w:tr w:rsidR="00237760" w:rsidRPr="00237760" w14:paraId="32E8A4F8"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1EFAE8A5" w14:textId="2B788662" w:rsidR="00957917" w:rsidRPr="00237760" w:rsidRDefault="00F218B3"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Niski poziom wykorzystania rozwiązań energetycznych opartych na OZE</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1ABBD50A" w14:textId="5D6EE8EC" w:rsidR="00957917" w:rsidRPr="00237760" w:rsidRDefault="00D34E03"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 xml:space="preserve">Częściowo </w:t>
            </w:r>
            <w:r w:rsidR="00C64EB4" w:rsidRPr="00237760">
              <w:rPr>
                <w:rFonts w:ascii="Arial" w:hAnsi="Arial" w:cs="Arial"/>
                <w:color w:val="auto"/>
                <w:sz w:val="24"/>
                <w:szCs w:val="24"/>
              </w:rPr>
              <w:t>Cel horyzontalny 1. Ograniczenie negatywnego oddziaływania sektora transportu na klimat oraz na regionalne środowisko naturalne</w:t>
            </w:r>
          </w:p>
        </w:tc>
      </w:tr>
      <w:tr w:rsidR="00237760" w:rsidRPr="00237760" w14:paraId="345D50BF"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51947DC5" w14:textId="6A75E6CB" w:rsidR="00957917" w:rsidRPr="00237760" w:rsidRDefault="00A93B5F"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Ponadnormatywne przekroczenia stężeń benzo(a)pirenu, a także pyłów PM2,5 oraz PM10 powstałe na skutek ruchu komunikacyjnego i „niskiej emisji”</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48A9C7A8" w14:textId="4A3BEE60" w:rsidR="00957917" w:rsidRPr="00237760" w:rsidRDefault="002519D4"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Częściowo Cel horyzontalny 1. Ograniczenie negatywnego oddziaływania sektora transportu na klimat oraz na regionalne środowisko naturalne</w:t>
            </w:r>
          </w:p>
        </w:tc>
      </w:tr>
      <w:tr w:rsidR="00237760" w:rsidRPr="00237760" w14:paraId="5F9AE798"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613BD330" w14:textId="50E06034" w:rsidR="003A27EB" w:rsidRPr="00237760" w:rsidRDefault="00E363D5"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Brak sieci dróg pieszorowerowych na terenie D-ROF</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303255C0" w14:textId="1B286DA6" w:rsidR="003A27EB" w:rsidRPr="00237760" w:rsidRDefault="007E539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0E439543" w14:textId="77777777" w:rsidR="008750AD" w:rsidRPr="00237760" w:rsidRDefault="008750A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p w14:paraId="4F21D2A5" w14:textId="571251BD" w:rsidR="008750AD" w:rsidRPr="00237760" w:rsidRDefault="00896256"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4. Poprawa bezpieczeństwa w transporcie</w:t>
            </w:r>
          </w:p>
        </w:tc>
      </w:tr>
      <w:tr w:rsidR="00237760" w:rsidRPr="00237760" w14:paraId="3AE0090D" w14:textId="77777777" w:rsidTr="009367B4">
        <w:trPr>
          <w:trHeight w:val="151"/>
        </w:trPr>
        <w:tc>
          <w:tcPr>
            <w:tcW w:w="9072" w:type="dxa"/>
            <w:gridSpan w:val="2"/>
            <w:tcBorders>
              <w:top w:val="single" w:sz="4" w:space="0" w:color="BDD6EE" w:themeColor="accent1" w:themeTint="66"/>
              <w:left w:val="nil"/>
              <w:right w:val="nil"/>
            </w:tcBorders>
            <w:shd w:val="clear" w:color="auto" w:fill="auto"/>
            <w:tcMar>
              <w:left w:w="28" w:type="dxa"/>
              <w:right w:w="28" w:type="dxa"/>
            </w:tcMar>
            <w:vAlign w:val="center"/>
          </w:tcPr>
          <w:p w14:paraId="4410281F" w14:textId="77777777" w:rsidR="00E52E9C" w:rsidRPr="00237760" w:rsidRDefault="00E52E9C"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 xml:space="preserve">SZANSE </w:t>
            </w:r>
          </w:p>
        </w:tc>
      </w:tr>
      <w:tr w:rsidR="00237760" w:rsidRPr="00237760" w14:paraId="68146CF8"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1FA83142" w14:textId="565EC1F9" w:rsidR="00E52E9C" w:rsidRPr="00237760" w:rsidRDefault="00247ED3"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Pasmo rozwojowe tworzące się w ciągu autostrady A4 i magistrali kolejowej E-30</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225A6645" w14:textId="77D6CB5B" w:rsidR="007E539D" w:rsidRPr="00237760" w:rsidRDefault="003B0133"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Częściowo Cel podstawowy 1. Dostępność zewnętrzna</w:t>
            </w:r>
          </w:p>
          <w:p w14:paraId="16A39BC4" w14:textId="77777777" w:rsidR="00E52E9C" w:rsidRPr="00237760" w:rsidRDefault="007E539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Częściowo Cel podstawowy 2. Transportowa spójność wewnętrzna</w:t>
            </w:r>
          </w:p>
          <w:p w14:paraId="1276868C" w14:textId="6CF67A2E" w:rsidR="00D85DB2" w:rsidRPr="00237760" w:rsidRDefault="00D85DB2"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Częściowo Ce</w:t>
            </w:r>
            <w:r w:rsidR="00151F80" w:rsidRPr="00237760">
              <w:rPr>
                <w:rFonts w:ascii="Arial" w:hAnsi="Arial" w:cs="Arial"/>
                <w:color w:val="auto"/>
                <w:sz w:val="24"/>
                <w:szCs w:val="24"/>
              </w:rPr>
              <w:t>l</w:t>
            </w:r>
            <w:r w:rsidRPr="00237760">
              <w:rPr>
                <w:rFonts w:ascii="Arial" w:hAnsi="Arial" w:cs="Arial"/>
                <w:color w:val="auto"/>
                <w:sz w:val="24"/>
                <w:szCs w:val="24"/>
              </w:rPr>
              <w:t xml:space="preserve"> horyzontalny 2. Wzmocnienie rozwiązań </w:t>
            </w:r>
            <w:r w:rsidR="007B5339" w:rsidRPr="00237760">
              <w:rPr>
                <w:rFonts w:ascii="Arial" w:hAnsi="Arial" w:cs="Arial"/>
                <w:color w:val="auto"/>
                <w:sz w:val="24"/>
                <w:szCs w:val="24"/>
              </w:rPr>
              <w:t xml:space="preserve">multimodalnych to </w:t>
            </w:r>
          </w:p>
        </w:tc>
      </w:tr>
      <w:tr w:rsidR="00237760" w:rsidRPr="00237760" w14:paraId="7B6D07BD"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45C5C65E" w14:textId="0FA50267" w:rsidR="00E52E9C" w:rsidRPr="00237760" w:rsidRDefault="00CA695B"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Dostępność komunikacyjna umożliwiająca wchłanianie impulsów rozwojowych z 3 miast wojewódzkich: Krakowa, Rzeszowa oraz Kielc</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4F57EEB2" w14:textId="6A9F8102" w:rsidR="00E52E9C" w:rsidRPr="00237760" w:rsidRDefault="003B0133"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Częściowo Cel podstawowy 1. Dostępność zewnętrzna</w:t>
            </w:r>
          </w:p>
        </w:tc>
      </w:tr>
      <w:tr w:rsidR="00237760" w:rsidRPr="00237760" w14:paraId="30DAAFE0"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36C6B91B" w14:textId="2D944BC2" w:rsidR="00E52E9C" w:rsidRPr="00237760" w:rsidRDefault="006513E8"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Rewitalizacja linii kolejowych, w tym: zakończenie modernizacji linii kolejowej E30/C-E30 i linii kolejowej nr 25, Padew – Dębica</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635BB1D5" w14:textId="77777777" w:rsidR="00E52E9C" w:rsidRPr="00237760" w:rsidRDefault="00D442D0"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6D0FCA1F" w14:textId="11C9EB98" w:rsidR="00F37E61" w:rsidRPr="00237760" w:rsidRDefault="00F37E6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00B813C2" w14:textId="4EC9E058" w:rsidR="007D1CC5" w:rsidRPr="00237760" w:rsidRDefault="007D1CC5"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tc>
      </w:tr>
      <w:tr w:rsidR="00237760" w:rsidRPr="00237760" w14:paraId="445E59A9"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35388240" w14:textId="09F48395" w:rsidR="00E52E9C" w:rsidRPr="00237760" w:rsidRDefault="00220552"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Możliwość pozyskania środków zewnętrznych na zakup niskoemisyjnego taboru</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0E2A4A6E" w14:textId="77777777" w:rsidR="00E52E9C" w:rsidRPr="00237760" w:rsidRDefault="000C0334"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1. Ograniczenie negatywnego oddziaływania sektora transportu na klimat oraz na regionalne środowisko naturalne</w:t>
            </w:r>
          </w:p>
          <w:p w14:paraId="53E99DFA" w14:textId="6E5A99FE" w:rsidR="00787A5D" w:rsidRPr="00237760" w:rsidRDefault="00787A5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3AB17C5A"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345C03FA" w14:textId="66D86238" w:rsidR="00E52E9C" w:rsidRPr="00237760" w:rsidRDefault="008B43CC"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Stworzenie zintegrowanego systemu komunikacji publicznej na terenie D-ROF.</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007A48AF" w14:textId="6E4314BF" w:rsidR="00AC0B29" w:rsidRPr="00237760" w:rsidRDefault="00AC0B29"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p w14:paraId="6A41BFA2" w14:textId="169580C8" w:rsidR="00151F80" w:rsidRPr="00237760" w:rsidRDefault="00151F80"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2. Wzmocnienie rozwiązań multimodalnych</w:t>
            </w:r>
          </w:p>
          <w:p w14:paraId="4911608A" w14:textId="5F26B02E" w:rsidR="00E52E9C" w:rsidRPr="00237760" w:rsidRDefault="00787A5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13F5064E" w14:textId="77777777" w:rsidTr="009367B4">
        <w:trPr>
          <w:trHeight w:val="151"/>
        </w:trPr>
        <w:tc>
          <w:tcPr>
            <w:tcW w:w="4395" w:type="dxa"/>
            <w:tcBorders>
              <w:top w:val="single" w:sz="4" w:space="0" w:color="BDD6EE" w:themeColor="accent1" w:themeTint="66"/>
              <w:left w:val="nil"/>
              <w:right w:val="nil"/>
            </w:tcBorders>
            <w:shd w:val="clear" w:color="auto" w:fill="auto"/>
            <w:tcMar>
              <w:left w:w="28" w:type="dxa"/>
              <w:right w:w="28" w:type="dxa"/>
            </w:tcMar>
            <w:vAlign w:val="center"/>
          </w:tcPr>
          <w:p w14:paraId="51E9D1EF" w14:textId="77777777" w:rsidR="00ED3D4A" w:rsidRPr="00237760" w:rsidRDefault="00ED3D4A"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lastRenderedPageBreak/>
              <w:t>ZAGROŻENIA</w:t>
            </w:r>
          </w:p>
        </w:tc>
        <w:tc>
          <w:tcPr>
            <w:tcW w:w="4677" w:type="dxa"/>
            <w:tcBorders>
              <w:top w:val="single" w:sz="4" w:space="0" w:color="BDD6EE" w:themeColor="accent1" w:themeTint="66"/>
              <w:left w:val="nil"/>
              <w:right w:val="nil"/>
            </w:tcBorders>
            <w:shd w:val="clear" w:color="auto" w:fill="auto"/>
            <w:tcMar>
              <w:left w:w="28" w:type="dxa"/>
              <w:right w:w="28" w:type="dxa"/>
            </w:tcMar>
          </w:tcPr>
          <w:p w14:paraId="122797BE" w14:textId="77777777" w:rsidR="00ED3D4A" w:rsidRPr="00237760" w:rsidRDefault="00ED3D4A" w:rsidP="009367B4">
            <w:pPr>
              <w:spacing w:after="0" w:line="240" w:lineRule="auto"/>
              <w:ind w:left="57" w:right="57"/>
              <w:jc w:val="left"/>
              <w:rPr>
                <w:rFonts w:ascii="Arial" w:hAnsi="Arial" w:cs="Arial"/>
                <w:color w:val="auto"/>
                <w:sz w:val="24"/>
                <w:szCs w:val="24"/>
              </w:rPr>
            </w:pPr>
          </w:p>
        </w:tc>
      </w:tr>
      <w:tr w:rsidR="00237760" w:rsidRPr="00237760" w14:paraId="56AEE64F"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7ADE624C" w14:textId="75639F37" w:rsidR="00ED3D4A" w:rsidRPr="00237760" w:rsidRDefault="0088799F"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Brak możliwości pozyskania środków zewnętrznych na rozwój sieci drogowej</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406DFDD0" w14:textId="176893E9" w:rsidR="00ED3D4A" w:rsidRPr="00237760" w:rsidRDefault="00167762"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w:t>
            </w:r>
            <w:r w:rsidR="007B2AC6" w:rsidRPr="00237760">
              <w:rPr>
                <w:rFonts w:ascii="Arial" w:hAnsi="Arial" w:cs="Arial"/>
                <w:color w:val="auto"/>
                <w:sz w:val="24"/>
                <w:szCs w:val="24"/>
              </w:rPr>
              <w:t>ansportowa spójność wewnętrzna</w:t>
            </w:r>
          </w:p>
        </w:tc>
      </w:tr>
      <w:tr w:rsidR="00237760" w:rsidRPr="00237760" w14:paraId="3A401477"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208B85B7" w14:textId="4C3621FC" w:rsidR="00ED3D4A" w:rsidRPr="00237760" w:rsidRDefault="00390355"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Wzrastające obciążenie indywidualnym ruchem samochodowym skutkujące degradacją infrastruktury i zanieczyszczeniem powietrza</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3D7BF3EE" w14:textId="77777777" w:rsidR="00113575" w:rsidRPr="00237760" w:rsidRDefault="00113575"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1. Ograniczenie negatywnego oddziaływania sektora transportu na klimat oraz na regionalne środowisko naturalne</w:t>
            </w:r>
          </w:p>
          <w:p w14:paraId="239585F0" w14:textId="5749C90D" w:rsidR="00ED3D4A" w:rsidRPr="00237760" w:rsidRDefault="00113575"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01E5C1D3" w14:textId="77777777" w:rsidTr="009367B4">
        <w:trPr>
          <w:trHeight w:val="151"/>
        </w:trPr>
        <w:tc>
          <w:tcPr>
            <w:tcW w:w="9072" w:type="dxa"/>
            <w:gridSpan w:val="2"/>
            <w:tcBorders>
              <w:top w:val="single" w:sz="4" w:space="0" w:color="BDD6EE" w:themeColor="accent1" w:themeTint="66"/>
              <w:left w:val="nil"/>
              <w:right w:val="nil"/>
            </w:tcBorders>
            <w:shd w:val="clear" w:color="auto" w:fill="auto"/>
            <w:tcMar>
              <w:left w:w="28" w:type="dxa"/>
              <w:right w:w="28" w:type="dxa"/>
            </w:tcMar>
            <w:vAlign w:val="center"/>
          </w:tcPr>
          <w:p w14:paraId="2513C127" w14:textId="04290C69" w:rsidR="008E7BAC" w:rsidRPr="00237760" w:rsidRDefault="004D7ACA" w:rsidP="009367B4">
            <w:pPr>
              <w:spacing w:after="0" w:line="240" w:lineRule="auto"/>
              <w:ind w:left="57" w:right="57"/>
              <w:jc w:val="left"/>
              <w:rPr>
                <w:rFonts w:ascii="Arial" w:hAnsi="Arial" w:cs="Arial"/>
                <w:b/>
                <w:bCs/>
                <w:color w:val="auto"/>
                <w:sz w:val="24"/>
                <w:szCs w:val="24"/>
              </w:rPr>
            </w:pPr>
            <w:r w:rsidRPr="00237760">
              <w:rPr>
                <w:rFonts w:ascii="Arial" w:hAnsi="Arial" w:cs="Arial"/>
                <w:b/>
                <w:bCs/>
                <w:color w:val="auto"/>
                <w:sz w:val="24"/>
                <w:szCs w:val="24"/>
              </w:rPr>
              <w:t>Strategia ZIT Miejskiego Obszaru Funkcjonalnego Jarosław</w:t>
            </w:r>
            <w:r w:rsidR="001E1829" w:rsidRPr="00237760">
              <w:rPr>
                <w:rFonts w:ascii="Arial" w:hAnsi="Arial" w:cs="Arial"/>
                <w:b/>
                <w:bCs/>
                <w:color w:val="auto"/>
                <w:sz w:val="24"/>
                <w:szCs w:val="24"/>
              </w:rPr>
              <w:t>-</w:t>
            </w:r>
            <w:r w:rsidRPr="00237760">
              <w:rPr>
                <w:rFonts w:ascii="Arial" w:hAnsi="Arial" w:cs="Arial"/>
                <w:b/>
                <w:bCs/>
                <w:color w:val="auto"/>
                <w:sz w:val="24"/>
                <w:szCs w:val="24"/>
              </w:rPr>
              <w:t xml:space="preserve">Przeworsk </w:t>
            </w:r>
            <w:r w:rsidR="00F103F3" w:rsidRPr="00237760">
              <w:rPr>
                <w:rFonts w:ascii="Arial" w:hAnsi="Arial" w:cs="Arial"/>
                <w:b/>
                <w:bCs/>
                <w:color w:val="auto"/>
                <w:sz w:val="24"/>
                <w:szCs w:val="24"/>
              </w:rPr>
              <w:t>n</w:t>
            </w:r>
            <w:r w:rsidRPr="00237760">
              <w:rPr>
                <w:rFonts w:ascii="Arial" w:hAnsi="Arial" w:cs="Arial"/>
                <w:b/>
                <w:bCs/>
                <w:color w:val="auto"/>
                <w:sz w:val="24"/>
                <w:szCs w:val="24"/>
              </w:rPr>
              <w:t xml:space="preserve">a </w:t>
            </w:r>
            <w:r w:rsidR="00F103F3" w:rsidRPr="00237760">
              <w:rPr>
                <w:rFonts w:ascii="Arial" w:hAnsi="Arial" w:cs="Arial"/>
                <w:b/>
                <w:bCs/>
                <w:color w:val="auto"/>
                <w:sz w:val="24"/>
                <w:szCs w:val="24"/>
              </w:rPr>
              <w:t>l</w:t>
            </w:r>
            <w:r w:rsidRPr="00237760">
              <w:rPr>
                <w:rFonts w:ascii="Arial" w:hAnsi="Arial" w:cs="Arial"/>
                <w:b/>
                <w:bCs/>
                <w:color w:val="auto"/>
                <w:sz w:val="24"/>
                <w:szCs w:val="24"/>
              </w:rPr>
              <w:t>ata 2014</w:t>
            </w:r>
            <w:r w:rsidR="008D439F" w:rsidRPr="00237760">
              <w:rPr>
                <w:rFonts w:ascii="Arial" w:hAnsi="Arial" w:cs="Arial"/>
                <w:b/>
                <w:bCs/>
                <w:color w:val="auto"/>
                <w:sz w:val="24"/>
                <w:szCs w:val="24"/>
              </w:rPr>
              <w:t>-</w:t>
            </w:r>
            <w:r w:rsidRPr="00237760">
              <w:rPr>
                <w:rFonts w:ascii="Arial" w:hAnsi="Arial" w:cs="Arial"/>
                <w:b/>
                <w:bCs/>
                <w:color w:val="auto"/>
                <w:sz w:val="24"/>
                <w:szCs w:val="24"/>
              </w:rPr>
              <w:t>2020</w:t>
            </w:r>
          </w:p>
        </w:tc>
      </w:tr>
      <w:tr w:rsidR="00237760" w:rsidRPr="00237760" w14:paraId="5B92C9F4" w14:textId="77777777" w:rsidTr="009367B4">
        <w:trPr>
          <w:trHeight w:val="151"/>
        </w:trPr>
        <w:tc>
          <w:tcPr>
            <w:tcW w:w="4395" w:type="dxa"/>
            <w:tcBorders>
              <w:top w:val="single" w:sz="4" w:space="0" w:color="BDD6EE" w:themeColor="accent1" w:themeTint="66"/>
              <w:left w:val="nil"/>
              <w:right w:val="nil"/>
            </w:tcBorders>
            <w:shd w:val="clear" w:color="auto" w:fill="auto"/>
            <w:tcMar>
              <w:left w:w="28" w:type="dxa"/>
              <w:right w:w="28" w:type="dxa"/>
            </w:tcMar>
            <w:vAlign w:val="center"/>
          </w:tcPr>
          <w:p w14:paraId="66496828" w14:textId="595E989D" w:rsidR="008E7BAC" w:rsidRPr="00237760" w:rsidRDefault="008E7BAC"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SŁABOŚCI</w:t>
            </w:r>
          </w:p>
        </w:tc>
        <w:tc>
          <w:tcPr>
            <w:tcW w:w="4677" w:type="dxa"/>
            <w:tcBorders>
              <w:top w:val="single" w:sz="4" w:space="0" w:color="BDD6EE" w:themeColor="accent1" w:themeTint="66"/>
              <w:left w:val="nil"/>
              <w:right w:val="nil"/>
            </w:tcBorders>
            <w:shd w:val="clear" w:color="auto" w:fill="auto"/>
            <w:tcMar>
              <w:left w:w="28" w:type="dxa"/>
              <w:right w:w="28" w:type="dxa"/>
            </w:tcMar>
          </w:tcPr>
          <w:p w14:paraId="292DC2B1" w14:textId="77777777" w:rsidR="008E7BAC" w:rsidRPr="00237760" w:rsidRDefault="008E7BAC" w:rsidP="009367B4">
            <w:pPr>
              <w:spacing w:after="0" w:line="240" w:lineRule="auto"/>
              <w:ind w:left="57" w:right="57"/>
              <w:jc w:val="left"/>
              <w:rPr>
                <w:rFonts w:ascii="Arial" w:hAnsi="Arial" w:cs="Arial"/>
                <w:color w:val="auto"/>
                <w:sz w:val="24"/>
                <w:szCs w:val="24"/>
              </w:rPr>
            </w:pPr>
          </w:p>
        </w:tc>
      </w:tr>
      <w:tr w:rsidR="00237760" w:rsidRPr="00237760" w14:paraId="2FD9C2FD"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6D3052EA" w14:textId="0F73B2D6" w:rsidR="008E7BAC" w:rsidRPr="00237760" w:rsidRDefault="00F26AEB"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Wymagające poprawy bezpieczeństwo ruchu drogowego, w tym w zakresie oświetlenie dróg</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71E9C28E" w14:textId="2CAAAA0D" w:rsidR="008E7BAC" w:rsidRPr="00237760" w:rsidRDefault="00AC5C1B"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4. Poprawa bezpieczeństwa w transporcie</w:t>
            </w:r>
          </w:p>
        </w:tc>
      </w:tr>
      <w:tr w:rsidR="00237760" w:rsidRPr="00237760" w14:paraId="3F4490D6"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1D4D1804" w14:textId="3E765896" w:rsidR="00D46E21" w:rsidRPr="00237760" w:rsidRDefault="00B30009"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Niedobory w zakresie infrastruktury komunalnej obniżającej atrakcyjność przestrzeni i bezpieczeństwo ruchu drogowego (stan infrastruktury ruchu pieszego, rowerowego, oświetlenia)</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319F1710" w14:textId="11256521" w:rsidR="00D46E21" w:rsidRPr="00237760" w:rsidRDefault="004841E9"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4. Poprawa bezpieczeństwa w transporcie</w:t>
            </w:r>
          </w:p>
        </w:tc>
      </w:tr>
      <w:tr w:rsidR="00237760" w:rsidRPr="00237760" w14:paraId="499F88DE"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46EEAE4D" w14:textId="14607FEF" w:rsidR="00D46E21" w:rsidRPr="00237760" w:rsidRDefault="00080E84"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Brak zintegrowanego systemu komunikacji zbiorowej (transport autobusowy) pomiędzy Gminami tworzącymi MOF</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6B6E0A83" w14:textId="704519A5" w:rsidR="003A2B50" w:rsidRPr="00237760" w:rsidRDefault="003A2B50"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p w14:paraId="4DA18CB3" w14:textId="390E0F4F" w:rsidR="00D46E21" w:rsidRPr="00237760" w:rsidRDefault="003A2B50"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6445F34E" w14:textId="77777777" w:rsidTr="009367B4">
        <w:trPr>
          <w:trHeight w:val="151"/>
        </w:trPr>
        <w:tc>
          <w:tcPr>
            <w:tcW w:w="9072" w:type="dxa"/>
            <w:gridSpan w:val="2"/>
            <w:tcBorders>
              <w:top w:val="single" w:sz="4" w:space="0" w:color="BDD6EE" w:themeColor="accent1" w:themeTint="66"/>
              <w:left w:val="nil"/>
              <w:right w:val="nil"/>
            </w:tcBorders>
            <w:shd w:val="clear" w:color="auto" w:fill="auto"/>
            <w:tcMar>
              <w:left w:w="28" w:type="dxa"/>
              <w:right w:w="28" w:type="dxa"/>
            </w:tcMar>
            <w:vAlign w:val="center"/>
          </w:tcPr>
          <w:p w14:paraId="3FCADB25" w14:textId="77777777" w:rsidR="00080E84" w:rsidRPr="00237760" w:rsidRDefault="00080E84"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 xml:space="preserve">SZANSE </w:t>
            </w:r>
          </w:p>
        </w:tc>
      </w:tr>
      <w:tr w:rsidR="00237760" w:rsidRPr="00237760" w14:paraId="73E33A4A"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1E1088D8" w14:textId="544C5285" w:rsidR="008E7BAC" w:rsidRPr="00237760" w:rsidRDefault="008B355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Specjalne instrumenty wspierające rozwój regionów Polski Wschodniej</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7B5E8362" w14:textId="1C386EC6" w:rsidR="008E7BAC" w:rsidRPr="00237760" w:rsidRDefault="00F100D6"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Wszystkie cele</w:t>
            </w:r>
          </w:p>
        </w:tc>
      </w:tr>
      <w:tr w:rsidR="00237760" w:rsidRPr="00237760" w14:paraId="3E4E6207"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023736CE" w14:textId="21FCC879" w:rsidR="008E7BAC" w:rsidRPr="00237760" w:rsidRDefault="0087780A"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Możliwość pozyskania środków finansowych ze źródeł zewnętrznych na realizację projektów proekologicznych</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1B3E40F3" w14:textId="59212CF8" w:rsidR="008E7BAC" w:rsidRPr="00237760" w:rsidRDefault="00236E2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Częściowo Cel horyzontalny 1. Ograniczenie negatywnego oddziaływania sektora transportu na klimat oraz na regionalne środowisko naturalne</w:t>
            </w:r>
          </w:p>
        </w:tc>
      </w:tr>
      <w:tr w:rsidR="00237760" w:rsidRPr="00237760" w14:paraId="6F40A0F7" w14:textId="77777777" w:rsidTr="009367B4">
        <w:trPr>
          <w:trHeight w:val="151"/>
        </w:trPr>
        <w:tc>
          <w:tcPr>
            <w:tcW w:w="9072" w:type="dxa"/>
            <w:gridSpan w:val="2"/>
            <w:tcBorders>
              <w:top w:val="single" w:sz="4" w:space="0" w:color="BDD6EE" w:themeColor="accent1" w:themeTint="66"/>
              <w:left w:val="nil"/>
              <w:right w:val="nil"/>
            </w:tcBorders>
            <w:shd w:val="clear" w:color="auto" w:fill="auto"/>
            <w:tcMar>
              <w:left w:w="28" w:type="dxa"/>
              <w:right w:w="28" w:type="dxa"/>
            </w:tcMar>
            <w:vAlign w:val="center"/>
          </w:tcPr>
          <w:p w14:paraId="72CE4BD8" w14:textId="6009564C" w:rsidR="001E1829" w:rsidRPr="00237760" w:rsidRDefault="00707010" w:rsidP="009367B4">
            <w:pPr>
              <w:spacing w:after="0" w:line="240" w:lineRule="auto"/>
              <w:ind w:left="57" w:right="57"/>
              <w:jc w:val="left"/>
              <w:rPr>
                <w:rFonts w:ascii="Arial" w:hAnsi="Arial" w:cs="Arial"/>
                <w:b/>
                <w:bCs/>
                <w:color w:val="auto"/>
                <w:sz w:val="24"/>
                <w:szCs w:val="24"/>
              </w:rPr>
            </w:pPr>
            <w:r w:rsidRPr="00237760">
              <w:rPr>
                <w:rFonts w:ascii="Arial" w:hAnsi="Arial" w:cs="Arial"/>
                <w:b/>
                <w:bCs/>
                <w:color w:val="auto"/>
                <w:sz w:val="24"/>
                <w:szCs w:val="24"/>
              </w:rPr>
              <w:t>Strategia Miejskiego Obszaru Funkcjonalnego Sanok-Lesko</w:t>
            </w:r>
          </w:p>
        </w:tc>
      </w:tr>
      <w:tr w:rsidR="00237760" w:rsidRPr="00237760" w14:paraId="01C9C2A6" w14:textId="77777777" w:rsidTr="009367B4">
        <w:trPr>
          <w:trHeight w:val="151"/>
        </w:trPr>
        <w:tc>
          <w:tcPr>
            <w:tcW w:w="4395" w:type="dxa"/>
            <w:tcBorders>
              <w:top w:val="single" w:sz="4" w:space="0" w:color="BDD6EE" w:themeColor="accent1" w:themeTint="66"/>
              <w:left w:val="nil"/>
              <w:right w:val="nil"/>
            </w:tcBorders>
            <w:shd w:val="clear" w:color="auto" w:fill="auto"/>
            <w:tcMar>
              <w:left w:w="28" w:type="dxa"/>
              <w:right w:w="28" w:type="dxa"/>
            </w:tcMar>
            <w:vAlign w:val="center"/>
          </w:tcPr>
          <w:p w14:paraId="1D6C1B8B" w14:textId="4775F74C" w:rsidR="001E1829" w:rsidRPr="00237760" w:rsidRDefault="001E1829"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SŁABOŚCI</w:t>
            </w:r>
          </w:p>
        </w:tc>
        <w:tc>
          <w:tcPr>
            <w:tcW w:w="4677" w:type="dxa"/>
            <w:tcBorders>
              <w:top w:val="single" w:sz="4" w:space="0" w:color="BDD6EE" w:themeColor="accent1" w:themeTint="66"/>
              <w:left w:val="nil"/>
              <w:right w:val="nil"/>
            </w:tcBorders>
            <w:shd w:val="clear" w:color="auto" w:fill="auto"/>
            <w:tcMar>
              <w:left w:w="28" w:type="dxa"/>
              <w:right w:w="28" w:type="dxa"/>
            </w:tcMar>
          </w:tcPr>
          <w:p w14:paraId="5769680E" w14:textId="77777777" w:rsidR="001E1829" w:rsidRPr="00237760" w:rsidRDefault="001E1829" w:rsidP="009367B4">
            <w:pPr>
              <w:spacing w:after="0" w:line="240" w:lineRule="auto"/>
              <w:ind w:left="57" w:right="57"/>
              <w:jc w:val="left"/>
              <w:rPr>
                <w:rFonts w:ascii="Arial" w:hAnsi="Arial" w:cs="Arial"/>
                <w:color w:val="auto"/>
                <w:sz w:val="24"/>
                <w:szCs w:val="24"/>
              </w:rPr>
            </w:pPr>
          </w:p>
        </w:tc>
      </w:tr>
      <w:tr w:rsidR="00237760" w:rsidRPr="00237760" w14:paraId="3F5D0B1A"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237E28B5" w14:textId="30BDC484" w:rsidR="00136720" w:rsidRPr="00237760" w:rsidRDefault="00E24F7B"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Bardzo słaba dostępność potencjałowa sieci drogowej całego Obszaru</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0C519B7E" w14:textId="1C9A06B9" w:rsidR="00F462E8" w:rsidRPr="00237760" w:rsidRDefault="00F462E8"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39EC754E" w14:textId="2EBC63E9" w:rsidR="00136720" w:rsidRPr="00237760" w:rsidRDefault="00BE2BF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tc>
      </w:tr>
      <w:tr w:rsidR="00237760" w:rsidRPr="00237760" w14:paraId="17E416C3"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12844B48" w14:textId="6E1244EA" w:rsidR="00136720" w:rsidRPr="00237760" w:rsidRDefault="000F545C"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Mała gęstość sieci dróg gminnych i powiatowych w Gminie Sanok oraz Mieście i Gminie Lesko, niższa od średniej dla województwa oraz kraju</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7848B210" w14:textId="7462E1BB" w:rsidR="00136720" w:rsidRPr="00237760" w:rsidRDefault="0006560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tc>
      </w:tr>
      <w:tr w:rsidR="00237760" w:rsidRPr="00237760" w14:paraId="588E15CE"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748B47D1" w14:textId="58B25A8A" w:rsidR="00136720" w:rsidRPr="00237760" w:rsidRDefault="000F545C"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Słabo rozwinięta sieć i infrastruktura kolejowa</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107E357A" w14:textId="77777777" w:rsidR="00136720" w:rsidRPr="00237760" w:rsidRDefault="0068415F"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1E4F0561" w14:textId="54D639F3" w:rsidR="0068415F" w:rsidRPr="00237760" w:rsidRDefault="0068415F"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tc>
      </w:tr>
      <w:tr w:rsidR="00237760" w:rsidRPr="00237760" w14:paraId="08897CC4"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2FC69E8D" w14:textId="191A4643" w:rsidR="00136720" w:rsidRPr="00237760" w:rsidRDefault="004252AA"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Niewystarczająco rozwinięta sieć połączeń transportu publicznego</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638B06A4" w14:textId="77777777" w:rsidR="00136720" w:rsidRPr="00237760" w:rsidRDefault="0075763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p w14:paraId="360AA0CE" w14:textId="77777777" w:rsidR="00DD21AD" w:rsidRPr="00237760" w:rsidRDefault="00DD21A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lastRenderedPageBreak/>
              <w:t>Cel horyzontalny 2. Wzmocnienie rozwiązań multimodalnych</w:t>
            </w:r>
          </w:p>
          <w:p w14:paraId="71BD5C43" w14:textId="6F9292ED" w:rsidR="00DD21AD" w:rsidRPr="00237760" w:rsidRDefault="00DD21A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1B930789"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0C54F8EE" w14:textId="6E4F10C8" w:rsidR="00136720" w:rsidRPr="00237760" w:rsidRDefault="002D4088"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lastRenderedPageBreak/>
              <w:t>Problemy komunikacyjne mieszkańców na drogach krajowych prowadzących do przejść granicznych z Ukrainą</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32DE7749" w14:textId="594D0B00" w:rsidR="00136720" w:rsidRPr="00237760" w:rsidRDefault="000654FF"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tc>
      </w:tr>
      <w:tr w:rsidR="00237760" w:rsidRPr="00237760" w14:paraId="2D005B9D" w14:textId="77777777" w:rsidTr="009367B4">
        <w:trPr>
          <w:trHeight w:val="151"/>
        </w:trPr>
        <w:tc>
          <w:tcPr>
            <w:tcW w:w="9072" w:type="dxa"/>
            <w:gridSpan w:val="2"/>
            <w:tcBorders>
              <w:top w:val="single" w:sz="4" w:space="0" w:color="BDD6EE" w:themeColor="accent1" w:themeTint="66"/>
              <w:left w:val="nil"/>
              <w:right w:val="nil"/>
            </w:tcBorders>
            <w:shd w:val="clear" w:color="auto" w:fill="auto"/>
            <w:tcMar>
              <w:left w:w="28" w:type="dxa"/>
              <w:right w:w="28" w:type="dxa"/>
            </w:tcMar>
            <w:vAlign w:val="center"/>
          </w:tcPr>
          <w:p w14:paraId="6C6D025B" w14:textId="77777777" w:rsidR="001920FB" w:rsidRPr="00237760" w:rsidRDefault="001920FB"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 xml:space="preserve">SZANSE </w:t>
            </w:r>
          </w:p>
        </w:tc>
      </w:tr>
      <w:tr w:rsidR="00237760" w:rsidRPr="00237760" w14:paraId="23FD7505"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2DB6B585" w14:textId="682DF634" w:rsidR="00DF5CC1" w:rsidRPr="00237760" w:rsidRDefault="00F61AC0"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Możliwość ubiegania się o środki unijne na realizację projektów w ramach nowej perspektywy finansowej 2014-2020</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555E76B9" w14:textId="2136C70D" w:rsidR="00DF5CC1" w:rsidRPr="00237760" w:rsidRDefault="00FF35F8"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Wszystkie cele</w:t>
            </w:r>
          </w:p>
        </w:tc>
      </w:tr>
      <w:tr w:rsidR="00237760" w:rsidRPr="00237760" w14:paraId="2D564728"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76226B94" w14:textId="48653B2E" w:rsidR="00DF5CC1" w:rsidRPr="00237760" w:rsidRDefault="00E56D22"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Stosunkowo dobre skomunikowanie z ośrodkami na Ukrainie, może stanowić dodatkowy impuls dla rozwoju gospodarczego, w szczególności w sytuacji stopniowego powiększania zakresu współpracy krajów UE z Ukrainą oraz krajami Europy Wschodniej</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2186040E" w14:textId="33557C84" w:rsidR="00DF5CC1" w:rsidRPr="00237760" w:rsidRDefault="009B1619"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tc>
      </w:tr>
      <w:tr w:rsidR="00237760" w:rsidRPr="00237760" w14:paraId="02A67A17"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34389042" w14:textId="4F78819E" w:rsidR="00DF5CC1" w:rsidRPr="00237760" w:rsidRDefault="008609E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Stosunkowo dobre skomunikowanie z ośrodkami na Słowacji wpływające na większe możliwości rozwoju gospodarczego</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7902FCBB" w14:textId="266F3E5D" w:rsidR="00DF5CC1" w:rsidRPr="00237760" w:rsidRDefault="00D271FC"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tc>
      </w:tr>
      <w:tr w:rsidR="00237760" w:rsidRPr="00237760" w14:paraId="7D98B16E"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0B8AA576" w14:textId="1F911243" w:rsidR="00DF5CC1" w:rsidRPr="00237760" w:rsidRDefault="0069519B"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Wykorzystanie środków unijnych na polepszenie spójności transportowej, łączącej strefy aktywności gospodarczej Obszaru z centrami życia społeczno-gospodarczego</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04F9D7EC" w14:textId="77777777" w:rsidR="003B4CEC" w:rsidRPr="00237760" w:rsidRDefault="003B4CEC"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60FA4E3F" w14:textId="7FDD3798" w:rsidR="00DF5CC1" w:rsidRPr="00237760" w:rsidRDefault="003B4CEC"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tc>
      </w:tr>
      <w:tr w:rsidR="00237760" w:rsidRPr="00237760" w14:paraId="467DF18A"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18846C53" w14:textId="2542BA4F" w:rsidR="00DF5CC1" w:rsidRPr="00237760" w:rsidRDefault="00494849"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Polityka Unii Europejskiej nastawiona na odnawialne źródła energii daje szansę na zachowanie dobrego stanu środowiska naturalnego</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2B3C61BA" w14:textId="2FC02C2B" w:rsidR="00DF5CC1" w:rsidRPr="00237760" w:rsidRDefault="008567DC"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Częściowo Cel horyzontalny 1. Ograniczenie negatywnego oddziaływania sektora transportu na klimat oraz na regionalne środowisko naturalne</w:t>
            </w:r>
          </w:p>
        </w:tc>
      </w:tr>
      <w:tr w:rsidR="00237760" w:rsidRPr="00237760" w14:paraId="6E66C275" w14:textId="77777777" w:rsidTr="009367B4">
        <w:trPr>
          <w:trHeight w:val="151"/>
        </w:trPr>
        <w:tc>
          <w:tcPr>
            <w:tcW w:w="9072" w:type="dxa"/>
            <w:gridSpan w:val="2"/>
            <w:tcBorders>
              <w:top w:val="single" w:sz="4" w:space="0" w:color="BDD6EE" w:themeColor="accent1" w:themeTint="66"/>
              <w:left w:val="nil"/>
              <w:right w:val="nil"/>
            </w:tcBorders>
            <w:shd w:val="clear" w:color="auto" w:fill="auto"/>
            <w:tcMar>
              <w:left w:w="28" w:type="dxa"/>
              <w:right w:w="28" w:type="dxa"/>
            </w:tcMar>
            <w:vAlign w:val="center"/>
          </w:tcPr>
          <w:p w14:paraId="1669A835" w14:textId="06BCE280" w:rsidR="0030698F" w:rsidRPr="00237760" w:rsidRDefault="00DE1389" w:rsidP="009367B4">
            <w:pPr>
              <w:spacing w:after="0" w:line="240" w:lineRule="auto"/>
              <w:ind w:left="57" w:right="57"/>
              <w:jc w:val="left"/>
              <w:rPr>
                <w:rFonts w:ascii="Arial" w:hAnsi="Arial" w:cs="Arial"/>
                <w:b/>
                <w:bCs/>
                <w:color w:val="auto"/>
                <w:sz w:val="24"/>
                <w:szCs w:val="24"/>
              </w:rPr>
            </w:pPr>
            <w:r w:rsidRPr="00237760">
              <w:rPr>
                <w:rFonts w:ascii="Arial" w:hAnsi="Arial" w:cs="Arial"/>
                <w:b/>
                <w:bCs/>
                <w:color w:val="auto"/>
                <w:sz w:val="24"/>
                <w:szCs w:val="24"/>
              </w:rPr>
              <w:t>Strategia Rozwoju Miejskiego Obszaru Funkcjonalnego Stalowej Woli na lata 2014-2020</w:t>
            </w:r>
          </w:p>
        </w:tc>
      </w:tr>
      <w:tr w:rsidR="00237760" w:rsidRPr="00237760" w14:paraId="52286A6F" w14:textId="77777777" w:rsidTr="009367B4">
        <w:trPr>
          <w:trHeight w:val="151"/>
        </w:trPr>
        <w:tc>
          <w:tcPr>
            <w:tcW w:w="4395" w:type="dxa"/>
            <w:tcBorders>
              <w:top w:val="single" w:sz="4" w:space="0" w:color="BDD6EE" w:themeColor="accent1" w:themeTint="66"/>
              <w:left w:val="nil"/>
              <w:right w:val="nil"/>
            </w:tcBorders>
            <w:shd w:val="clear" w:color="auto" w:fill="auto"/>
            <w:tcMar>
              <w:left w:w="28" w:type="dxa"/>
              <w:right w:w="28" w:type="dxa"/>
            </w:tcMar>
            <w:vAlign w:val="center"/>
          </w:tcPr>
          <w:p w14:paraId="773F051A" w14:textId="07394DDC" w:rsidR="0030698F" w:rsidRPr="00237760" w:rsidRDefault="0030698F"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SŁABOŚCI</w:t>
            </w:r>
          </w:p>
        </w:tc>
        <w:tc>
          <w:tcPr>
            <w:tcW w:w="4677" w:type="dxa"/>
            <w:tcBorders>
              <w:top w:val="single" w:sz="4" w:space="0" w:color="BDD6EE" w:themeColor="accent1" w:themeTint="66"/>
              <w:left w:val="nil"/>
              <w:right w:val="nil"/>
            </w:tcBorders>
            <w:shd w:val="clear" w:color="auto" w:fill="auto"/>
            <w:tcMar>
              <w:left w:w="28" w:type="dxa"/>
              <w:right w:w="28" w:type="dxa"/>
            </w:tcMar>
          </w:tcPr>
          <w:p w14:paraId="47B3A75D" w14:textId="77777777" w:rsidR="0030698F" w:rsidRPr="00237760" w:rsidRDefault="0030698F" w:rsidP="009367B4">
            <w:pPr>
              <w:spacing w:after="0" w:line="240" w:lineRule="auto"/>
              <w:ind w:left="57" w:right="57"/>
              <w:jc w:val="left"/>
              <w:rPr>
                <w:rFonts w:ascii="Arial" w:hAnsi="Arial" w:cs="Arial"/>
                <w:color w:val="auto"/>
                <w:sz w:val="24"/>
                <w:szCs w:val="24"/>
              </w:rPr>
            </w:pPr>
          </w:p>
        </w:tc>
      </w:tr>
      <w:tr w:rsidR="00237760" w:rsidRPr="00237760" w14:paraId="7ED45E2A"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214DDF33" w14:textId="27455C43" w:rsidR="00DF5CC1" w:rsidRPr="00237760" w:rsidRDefault="00C4554A"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Słabe zagęszczenie infrastruktury drogowej wewnątrz obszaru, wpływające niekorzystnie na spójność komunikacyjną MOF.</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437872AE" w14:textId="3F9B4A2D" w:rsidR="00DF5CC1" w:rsidRPr="00237760" w:rsidRDefault="00CD1057"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Częściowo Cel podstawowy 3. Integracja MOF</w:t>
            </w:r>
          </w:p>
        </w:tc>
      </w:tr>
      <w:tr w:rsidR="00237760" w:rsidRPr="00237760" w14:paraId="7F284BBE"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6B69E739" w14:textId="336E4D00" w:rsidR="0030698F" w:rsidRPr="00237760" w:rsidRDefault="003218BB"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Brak obwodnic największych ośrodków MOF - Stalowej Woli i Niska</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6E87F034" w14:textId="77777777" w:rsidR="00D92AFB" w:rsidRPr="00237760" w:rsidRDefault="00D92AFB"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58D85B02" w14:textId="7016F4DF" w:rsidR="0030698F" w:rsidRPr="00237760" w:rsidRDefault="00D92AFB"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tc>
      </w:tr>
      <w:tr w:rsidR="00237760" w:rsidRPr="00237760" w14:paraId="13500508"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7E950B30" w14:textId="5B3BAD5C" w:rsidR="0030698F" w:rsidRPr="00237760" w:rsidRDefault="006A60A7"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Niewystarczająca liczba bezpośrednich połączeń kolejowych MOF z innymi miastami kraju</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36DB3A15" w14:textId="0E95DC0D" w:rsidR="0030698F" w:rsidRPr="00237760" w:rsidRDefault="001526D7"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tc>
      </w:tr>
      <w:tr w:rsidR="00237760" w:rsidRPr="00237760" w14:paraId="5EDA2864"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26CF515D" w14:textId="12634C02" w:rsidR="0030698F" w:rsidRPr="00237760" w:rsidRDefault="00A557A8"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lastRenderedPageBreak/>
              <w:t>Niewystarczająca liczba ścieżek rowerowych, szczególnie w gminach Nisko, Pysznica i Zaleszany</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7A71125B" w14:textId="2BC67F15" w:rsidR="0030698F" w:rsidRPr="00237760" w:rsidRDefault="001526D7"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tc>
      </w:tr>
      <w:tr w:rsidR="00237760" w:rsidRPr="00237760" w14:paraId="34F97581"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1C31ECAA" w14:textId="19AEF256" w:rsidR="0030698F" w:rsidRPr="00237760" w:rsidRDefault="00DD0F4A"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Przestarzały i emitujący znaczne ilości zanieczyszczeń do środowiska tabor autobusowy komunikacji miejskiej</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2159DC8C" w14:textId="77777777" w:rsidR="0030698F" w:rsidRPr="00237760" w:rsidRDefault="00562452"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1. Ograniczenie negatywnego oddziaływania sektora transportu na klimat oraz na regionalne środowisko naturalne</w:t>
            </w:r>
          </w:p>
          <w:p w14:paraId="4250E8A2" w14:textId="0F6EB370" w:rsidR="0084566F" w:rsidRPr="00237760" w:rsidRDefault="0084566F"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12425A88"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4EFF82CC" w14:textId="4AA6D54D" w:rsidR="0030698F" w:rsidRPr="00237760" w:rsidRDefault="00C47AF2"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Stan powietrza wymagający poprawy</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3B499E15" w14:textId="6B999DEF" w:rsidR="0030698F" w:rsidRPr="00237760" w:rsidRDefault="0084566F"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Częściowo Cel horyzontalny 1. Ograniczenie negatywnego oddziaływania sektora transportu na klimat oraz na regionalne środowisko naturalne</w:t>
            </w:r>
          </w:p>
        </w:tc>
      </w:tr>
      <w:tr w:rsidR="00237760" w:rsidRPr="00237760" w14:paraId="49C19ECB" w14:textId="77777777" w:rsidTr="009367B4">
        <w:trPr>
          <w:trHeight w:val="151"/>
        </w:trPr>
        <w:tc>
          <w:tcPr>
            <w:tcW w:w="9072" w:type="dxa"/>
            <w:gridSpan w:val="2"/>
            <w:tcBorders>
              <w:top w:val="single" w:sz="4" w:space="0" w:color="BDD6EE" w:themeColor="accent1" w:themeTint="66"/>
              <w:left w:val="nil"/>
              <w:right w:val="nil"/>
            </w:tcBorders>
            <w:shd w:val="clear" w:color="auto" w:fill="auto"/>
            <w:tcMar>
              <w:left w:w="28" w:type="dxa"/>
              <w:right w:w="28" w:type="dxa"/>
            </w:tcMar>
            <w:vAlign w:val="center"/>
          </w:tcPr>
          <w:p w14:paraId="3F415E0B" w14:textId="77777777" w:rsidR="00DD75A8" w:rsidRPr="00F077C6" w:rsidRDefault="00DD75A8" w:rsidP="009367B4">
            <w:pPr>
              <w:spacing w:after="0" w:line="240" w:lineRule="auto"/>
              <w:ind w:left="57" w:right="57"/>
              <w:jc w:val="left"/>
              <w:rPr>
                <w:rFonts w:ascii="Arial" w:hAnsi="Arial" w:cs="Arial"/>
                <w:b/>
                <w:bCs/>
                <w:color w:val="auto"/>
                <w:sz w:val="24"/>
                <w:szCs w:val="24"/>
              </w:rPr>
            </w:pPr>
            <w:r w:rsidRPr="00F077C6">
              <w:rPr>
                <w:rFonts w:ascii="Arial" w:hAnsi="Arial" w:cs="Arial"/>
                <w:b/>
                <w:bCs/>
                <w:color w:val="auto"/>
                <w:sz w:val="24"/>
                <w:szCs w:val="24"/>
              </w:rPr>
              <w:t xml:space="preserve">SZANSE </w:t>
            </w:r>
          </w:p>
        </w:tc>
      </w:tr>
      <w:tr w:rsidR="00237760" w:rsidRPr="00237760" w14:paraId="3B422AD3"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61FD3279" w14:textId="5995C8DD" w:rsidR="004B451B" w:rsidRPr="00237760" w:rsidRDefault="00A14A26"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Budowa obwodnicy Stalowej Woli i Niska w ciągu DK 77</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63610D29" w14:textId="77777777" w:rsidR="00232D8C" w:rsidRPr="00237760" w:rsidRDefault="00232D8C"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49862B91" w14:textId="23673AC8" w:rsidR="004B451B" w:rsidRPr="00237760" w:rsidRDefault="00232D8C"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tc>
      </w:tr>
      <w:tr w:rsidR="00237760" w:rsidRPr="00237760" w14:paraId="7F22AEF3"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5DEF05BB" w14:textId="28FF4832" w:rsidR="004B451B" w:rsidRPr="00237760" w:rsidRDefault="000139B5"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Rozbudowa najważniejszych szlaków drogowych (A-4, S-19, S-74, DK 77)</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35BBC288" w14:textId="59B3E6CE" w:rsidR="004B451B" w:rsidRPr="00237760" w:rsidRDefault="00232D8C"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tc>
      </w:tr>
      <w:tr w:rsidR="00237760" w:rsidRPr="00237760" w14:paraId="70BB1A7B"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315C6C9E" w14:textId="5B869348" w:rsidR="004B451B" w:rsidRPr="00237760" w:rsidRDefault="002B6565"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Poprawa dostępności komunikacyjnej wewnątrz MOF poprzez rozwój sieci dróg gminnych i ścieżek rowerowych</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41BFA8CA" w14:textId="510FC4E3" w:rsidR="004B451B" w:rsidRPr="00237760" w:rsidRDefault="00232D8C"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tc>
      </w:tr>
      <w:tr w:rsidR="00237760" w:rsidRPr="00237760" w14:paraId="7EFBE17F"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463E0D16" w14:textId="45E19092" w:rsidR="004B451B" w:rsidRPr="00237760" w:rsidRDefault="0006023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Zmniejszenie emisji zanieczyszczeń do środowiska</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5588DFBB" w14:textId="3D589354" w:rsidR="004B451B" w:rsidRPr="00237760" w:rsidRDefault="00232D8C"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Częściowo Cel horyzontalny 1. Ograniczenie negatywnego oddziaływania sektora transportu na klimat oraz na regionalne środowisko naturalne</w:t>
            </w:r>
          </w:p>
        </w:tc>
      </w:tr>
      <w:tr w:rsidR="00237760" w:rsidRPr="00237760" w14:paraId="3334CA1D" w14:textId="77777777" w:rsidTr="009367B4">
        <w:trPr>
          <w:trHeight w:val="151"/>
        </w:trPr>
        <w:tc>
          <w:tcPr>
            <w:tcW w:w="4395" w:type="dxa"/>
            <w:tcBorders>
              <w:top w:val="single" w:sz="4" w:space="0" w:color="BDD6EE" w:themeColor="accent1" w:themeTint="66"/>
              <w:left w:val="nil"/>
              <w:right w:val="nil"/>
            </w:tcBorders>
            <w:shd w:val="clear" w:color="auto" w:fill="auto"/>
            <w:tcMar>
              <w:left w:w="28" w:type="dxa"/>
              <w:right w:w="28" w:type="dxa"/>
            </w:tcMar>
            <w:vAlign w:val="center"/>
          </w:tcPr>
          <w:p w14:paraId="4D06DD82" w14:textId="77777777" w:rsidR="000A71DC" w:rsidRPr="00237760" w:rsidRDefault="000A71DC"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ZAGROŻENIA</w:t>
            </w:r>
          </w:p>
        </w:tc>
        <w:tc>
          <w:tcPr>
            <w:tcW w:w="4677" w:type="dxa"/>
            <w:tcBorders>
              <w:top w:val="single" w:sz="4" w:space="0" w:color="BDD6EE" w:themeColor="accent1" w:themeTint="66"/>
              <w:left w:val="nil"/>
              <w:right w:val="nil"/>
            </w:tcBorders>
            <w:shd w:val="clear" w:color="auto" w:fill="auto"/>
            <w:tcMar>
              <w:left w:w="28" w:type="dxa"/>
              <w:right w:w="28" w:type="dxa"/>
            </w:tcMar>
          </w:tcPr>
          <w:p w14:paraId="1B6CACFB" w14:textId="77777777" w:rsidR="000A71DC" w:rsidRPr="00237760" w:rsidRDefault="000A71DC" w:rsidP="009367B4">
            <w:pPr>
              <w:spacing w:after="0" w:line="240" w:lineRule="auto"/>
              <w:ind w:left="57" w:right="57"/>
              <w:jc w:val="left"/>
              <w:rPr>
                <w:rFonts w:ascii="Arial" w:hAnsi="Arial" w:cs="Arial"/>
                <w:color w:val="auto"/>
                <w:sz w:val="24"/>
                <w:szCs w:val="24"/>
              </w:rPr>
            </w:pPr>
          </w:p>
        </w:tc>
      </w:tr>
      <w:tr w:rsidR="00237760" w:rsidRPr="00237760" w14:paraId="38C059E0"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17C5B0F4" w14:textId="77174110" w:rsidR="00C67779" w:rsidRPr="00237760" w:rsidRDefault="00AA4008"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Przeciążenie istniejących sieci połączeń drogowych</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68730E69" w14:textId="77777777" w:rsidR="00BC715D" w:rsidRPr="00237760" w:rsidRDefault="00BC715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20FCBDAB" w14:textId="77777777" w:rsidR="00BC715D" w:rsidRPr="00237760" w:rsidRDefault="00BC715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64FD967E" w14:textId="77777777" w:rsidR="00C67779" w:rsidRPr="00237760" w:rsidRDefault="00BC715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p w14:paraId="5719BA44" w14:textId="77777777" w:rsidR="00BC715D" w:rsidRPr="00237760" w:rsidRDefault="00BC715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2. Wzmocnienie rozwiązań multimodalnych</w:t>
            </w:r>
          </w:p>
          <w:p w14:paraId="1622310C" w14:textId="110B9C3F" w:rsidR="00BC715D" w:rsidRPr="00237760" w:rsidRDefault="00BC715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64C5B8D7"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48366F10" w14:textId="78C6284C" w:rsidR="00C67779" w:rsidRPr="00237760" w:rsidRDefault="00FB0F6C"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Spadek mobilności mieszkańców MOF, na skutek ograniczenia transportu komunikacją miejską</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5B78A268" w14:textId="77777777" w:rsidR="00C67779" w:rsidRPr="00237760" w:rsidRDefault="005D00DB"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6B4F859D" w14:textId="3DFB657E" w:rsidR="005D00DB" w:rsidRPr="00237760" w:rsidRDefault="005D00DB"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6A686FAD"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0F59D7D6" w14:textId="5E867743" w:rsidR="00C67779" w:rsidRPr="00237760" w:rsidRDefault="00222EF7"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Zanieczyszczenie środowiska naturalnego przez stawy osadowe, emisję substancji szkodliwych do środowiska i działalność człowieka</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04B9E3E5" w14:textId="38643376" w:rsidR="00C67779" w:rsidRPr="00237760" w:rsidRDefault="00EF4455"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Częściowo Cel horyzontalny 1. Ograniczenie negatywnego oddziaływania sektora transportu na klimat oraz na regionalne środowisko naturalne</w:t>
            </w:r>
          </w:p>
        </w:tc>
      </w:tr>
      <w:tr w:rsidR="00237760" w:rsidRPr="00237760" w14:paraId="63171CA3" w14:textId="77777777" w:rsidTr="009367B4">
        <w:trPr>
          <w:trHeight w:val="151"/>
        </w:trPr>
        <w:tc>
          <w:tcPr>
            <w:tcW w:w="9072" w:type="dxa"/>
            <w:gridSpan w:val="2"/>
            <w:tcBorders>
              <w:top w:val="single" w:sz="4" w:space="0" w:color="BDD6EE" w:themeColor="accent1" w:themeTint="66"/>
              <w:left w:val="nil"/>
              <w:right w:val="nil"/>
            </w:tcBorders>
            <w:shd w:val="clear" w:color="auto" w:fill="auto"/>
            <w:tcMar>
              <w:left w:w="28" w:type="dxa"/>
              <w:right w:w="28" w:type="dxa"/>
            </w:tcMar>
            <w:vAlign w:val="center"/>
          </w:tcPr>
          <w:p w14:paraId="57DD6276" w14:textId="4C75E5EE" w:rsidR="00D5700D" w:rsidRPr="00237760" w:rsidRDefault="00F100D6" w:rsidP="009367B4">
            <w:pPr>
              <w:spacing w:after="0" w:line="240" w:lineRule="auto"/>
              <w:ind w:left="57" w:right="57"/>
              <w:jc w:val="left"/>
              <w:rPr>
                <w:rFonts w:ascii="Arial" w:hAnsi="Arial" w:cs="Arial"/>
                <w:b/>
                <w:bCs/>
                <w:color w:val="auto"/>
                <w:sz w:val="24"/>
                <w:szCs w:val="24"/>
              </w:rPr>
            </w:pPr>
            <w:r w:rsidRPr="00237760">
              <w:rPr>
                <w:rFonts w:ascii="Arial" w:hAnsi="Arial" w:cs="Arial"/>
                <w:b/>
                <w:bCs/>
                <w:color w:val="auto"/>
                <w:sz w:val="24"/>
                <w:szCs w:val="24"/>
              </w:rPr>
              <w:t>Strategia Rozwoju Miasta Jasła na lata 2007-2020</w:t>
            </w:r>
          </w:p>
        </w:tc>
      </w:tr>
      <w:tr w:rsidR="00237760" w:rsidRPr="00237760" w14:paraId="64C7F0B6" w14:textId="77777777" w:rsidTr="009367B4">
        <w:trPr>
          <w:trHeight w:val="151"/>
        </w:trPr>
        <w:tc>
          <w:tcPr>
            <w:tcW w:w="4395" w:type="dxa"/>
            <w:tcBorders>
              <w:top w:val="single" w:sz="4" w:space="0" w:color="BDD6EE" w:themeColor="accent1" w:themeTint="66"/>
              <w:left w:val="nil"/>
              <w:right w:val="nil"/>
            </w:tcBorders>
            <w:shd w:val="clear" w:color="auto" w:fill="auto"/>
            <w:tcMar>
              <w:left w:w="28" w:type="dxa"/>
              <w:right w:w="28" w:type="dxa"/>
            </w:tcMar>
            <w:vAlign w:val="center"/>
          </w:tcPr>
          <w:p w14:paraId="08B275E8" w14:textId="79B9F534" w:rsidR="00D5700D" w:rsidRPr="00237760" w:rsidRDefault="00D5700D"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SŁABOŚCI</w:t>
            </w:r>
          </w:p>
        </w:tc>
        <w:tc>
          <w:tcPr>
            <w:tcW w:w="4677" w:type="dxa"/>
            <w:tcBorders>
              <w:top w:val="single" w:sz="4" w:space="0" w:color="BDD6EE" w:themeColor="accent1" w:themeTint="66"/>
              <w:left w:val="nil"/>
              <w:right w:val="nil"/>
            </w:tcBorders>
            <w:shd w:val="clear" w:color="auto" w:fill="auto"/>
            <w:tcMar>
              <w:left w:w="28" w:type="dxa"/>
              <w:right w:w="28" w:type="dxa"/>
            </w:tcMar>
          </w:tcPr>
          <w:p w14:paraId="4161ECD8" w14:textId="77777777" w:rsidR="00D5700D" w:rsidRPr="00237760" w:rsidRDefault="00D5700D" w:rsidP="009367B4">
            <w:pPr>
              <w:spacing w:after="0" w:line="240" w:lineRule="auto"/>
              <w:ind w:left="57" w:right="57"/>
              <w:jc w:val="left"/>
              <w:rPr>
                <w:rFonts w:ascii="Arial" w:hAnsi="Arial" w:cs="Arial"/>
                <w:color w:val="auto"/>
                <w:sz w:val="24"/>
                <w:szCs w:val="24"/>
              </w:rPr>
            </w:pPr>
          </w:p>
        </w:tc>
      </w:tr>
      <w:tr w:rsidR="00237760" w:rsidRPr="00237760" w14:paraId="77C0AF68"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656A5294" w14:textId="245982E5" w:rsidR="00D5700D" w:rsidRPr="00237760" w:rsidRDefault="00A7133F"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Zanieczyszczenie środowiska</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3AEED726" w14:textId="3FF57039" w:rsidR="00D5700D" w:rsidRPr="00237760" w:rsidRDefault="008816E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 xml:space="preserve">Częściowo Cel horyzontalny 1. Ograniczenie negatywnego oddziaływania </w:t>
            </w:r>
            <w:r w:rsidRPr="00237760">
              <w:rPr>
                <w:rFonts w:ascii="Arial" w:hAnsi="Arial" w:cs="Arial"/>
                <w:color w:val="auto"/>
                <w:sz w:val="24"/>
                <w:szCs w:val="24"/>
              </w:rPr>
              <w:lastRenderedPageBreak/>
              <w:t>sektora transportu na klimat oraz na regionalne środowisko naturalne</w:t>
            </w:r>
          </w:p>
        </w:tc>
      </w:tr>
      <w:tr w:rsidR="00237760" w:rsidRPr="00237760" w14:paraId="25E2E230"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5A9A93EF" w14:textId="0CDBBE3E" w:rsidR="00A7133F" w:rsidRPr="00237760" w:rsidRDefault="00A7133F"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lastRenderedPageBreak/>
              <w:t>Zanieczyszczenia związane z komunikacją samochodową w centrum miasta</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772A1E8C" w14:textId="583C247C" w:rsidR="00A7133F" w:rsidRPr="00237760" w:rsidRDefault="008816E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1. Ograniczenie negatywnego oddziaływania sektora transportu na klimat oraz na regionalne środowisko naturalne</w:t>
            </w:r>
          </w:p>
        </w:tc>
      </w:tr>
      <w:tr w:rsidR="00237760" w:rsidRPr="00237760" w14:paraId="074192A5"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77173700" w14:textId="3D204A7F" w:rsidR="00A7133F" w:rsidRPr="00237760" w:rsidRDefault="00CA1EBA"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Brak szybkich transeuropejskich i krajowych połączeń komunikacyjnych miasta</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50A5E4A6" w14:textId="00C38823" w:rsidR="00A7133F" w:rsidRPr="00237760" w:rsidRDefault="00A65C52"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tc>
      </w:tr>
      <w:tr w:rsidR="00237760" w:rsidRPr="00237760" w14:paraId="6484404D"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323D8079" w14:textId="74C15086" w:rsidR="00A7133F" w:rsidRPr="00237760" w:rsidRDefault="00D2172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Zły stan nawierzchni dróg, zwłaszcza wewnętrznych, osiedlowych</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7C76616B" w14:textId="53664972" w:rsidR="00A7133F" w:rsidRPr="00237760" w:rsidRDefault="00A65C52"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tc>
      </w:tr>
      <w:tr w:rsidR="00237760" w:rsidRPr="00237760" w14:paraId="22D39A3B"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39632314" w14:textId="7B03D980" w:rsidR="00B87A4F" w:rsidRPr="00237760" w:rsidRDefault="00420085"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Brak obwodnicy północnej</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6AFCBFEA" w14:textId="7D5B54E3" w:rsidR="00361E81" w:rsidRPr="00237760" w:rsidRDefault="00361E8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3B0477AF" w14:textId="77777777" w:rsidR="00B87A4F" w:rsidRPr="00237760" w:rsidRDefault="00565CA8"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2B45762E" w14:textId="340BC356" w:rsidR="00565CA8" w:rsidRPr="00237760" w:rsidRDefault="00565CA8"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tc>
      </w:tr>
      <w:tr w:rsidR="00237760" w:rsidRPr="00237760" w14:paraId="1496BC12"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2AD082E8" w14:textId="096BC2A8" w:rsidR="00B87A4F" w:rsidRPr="00237760" w:rsidRDefault="00420085"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Niewykorzystany węzeł kolejowy</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18F3C4DA" w14:textId="77777777" w:rsidR="00B87A4F" w:rsidRPr="00237760" w:rsidRDefault="00565CA8"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1C3ABDF9" w14:textId="02221D36" w:rsidR="00565CA8" w:rsidRPr="00237760" w:rsidRDefault="00F43675"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2. Wzmocnienie rozwiązań multimodalnych</w:t>
            </w:r>
          </w:p>
        </w:tc>
      </w:tr>
      <w:tr w:rsidR="00237760" w:rsidRPr="00237760" w14:paraId="19CE0879"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0C75B80E" w14:textId="7C9572AA" w:rsidR="00B87A4F" w:rsidRPr="00237760" w:rsidRDefault="004E4C34"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Zdekapitalizowany tabor komunikacji miejskiej</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09A0E9CA" w14:textId="7D358E2F" w:rsidR="00F43675" w:rsidRPr="00237760" w:rsidRDefault="00F43675"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p w14:paraId="1B229C2C" w14:textId="03525C05" w:rsidR="00B87A4F" w:rsidRPr="00237760" w:rsidRDefault="00F43675"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1C01390C" w14:textId="77777777" w:rsidTr="009367B4">
        <w:trPr>
          <w:trHeight w:val="151"/>
        </w:trPr>
        <w:tc>
          <w:tcPr>
            <w:tcW w:w="9072" w:type="dxa"/>
            <w:gridSpan w:val="2"/>
            <w:tcBorders>
              <w:top w:val="single" w:sz="4" w:space="0" w:color="BDD6EE" w:themeColor="accent1" w:themeTint="66"/>
              <w:left w:val="nil"/>
              <w:right w:val="nil"/>
            </w:tcBorders>
            <w:shd w:val="clear" w:color="auto" w:fill="auto"/>
            <w:tcMar>
              <w:left w:w="28" w:type="dxa"/>
              <w:right w:w="28" w:type="dxa"/>
            </w:tcMar>
            <w:vAlign w:val="center"/>
          </w:tcPr>
          <w:p w14:paraId="2ABFD2A8" w14:textId="77777777" w:rsidR="004E4C34" w:rsidRPr="00237760" w:rsidRDefault="004E4C34"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 xml:space="preserve">SZANSE </w:t>
            </w:r>
          </w:p>
        </w:tc>
      </w:tr>
      <w:tr w:rsidR="00237760" w:rsidRPr="00237760" w14:paraId="5DA60902"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2B745EEF" w14:textId="5B91CFC1" w:rsidR="00B87A4F" w:rsidRPr="00237760" w:rsidRDefault="00D868AC"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Zwiększenie liczby inicjatyw zmierzających do poprawy stanu środowiska naturalnego</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2A6AC8CC" w14:textId="0319DFDF" w:rsidR="00B87A4F" w:rsidRPr="00237760" w:rsidRDefault="005F21A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1. Ograniczenie negatywnego oddziaływania sektora transportu na klimat oraz na regionalne środowisko naturalne</w:t>
            </w:r>
          </w:p>
        </w:tc>
      </w:tr>
      <w:tr w:rsidR="00237760" w:rsidRPr="00237760" w14:paraId="67356DE2"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7EDEE222" w14:textId="5B351305" w:rsidR="00B87A4F" w:rsidRPr="00237760" w:rsidRDefault="006C0870"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Modernizacja krajowych węzłów drogowych</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31BCE0EC" w14:textId="77777777" w:rsidR="00B87A4F" w:rsidRPr="00237760" w:rsidRDefault="003D567C"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47962C7C" w14:textId="360D8CEF" w:rsidR="003D567C" w:rsidRPr="00237760" w:rsidRDefault="003D567C"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2. Wzmocnienie rozwiązań multimodalnych</w:t>
            </w:r>
          </w:p>
        </w:tc>
      </w:tr>
      <w:tr w:rsidR="00237760" w:rsidRPr="00237760" w14:paraId="3D93116A"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56BF3225" w14:textId="52DFC010" w:rsidR="00B87A4F" w:rsidRPr="00237760" w:rsidRDefault="006C0870"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Budowa autostrady A4</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7FF38DC7" w14:textId="3D78DAEC" w:rsidR="00B87A4F" w:rsidRPr="00237760" w:rsidRDefault="00801BCA"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tc>
      </w:tr>
      <w:tr w:rsidR="00237760" w:rsidRPr="00237760" w14:paraId="39CE40E2"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4E0FEEBE" w14:textId="66EE1686" w:rsidR="00B87A4F" w:rsidRPr="00237760" w:rsidRDefault="006C0870"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Nakłady ze środków unijnych na rozwój infrastruktury</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5446C3B1" w14:textId="485DF5B1" w:rsidR="00B87A4F" w:rsidRPr="00237760" w:rsidRDefault="005A473F"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Wszystkie cele</w:t>
            </w:r>
          </w:p>
        </w:tc>
      </w:tr>
      <w:tr w:rsidR="00237760" w:rsidRPr="00237760" w14:paraId="61B529A9"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389BE0F0" w14:textId="6BEA4300" w:rsidR="00B87A4F" w:rsidRPr="00237760" w:rsidRDefault="006C0870"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Przywrócenie Jasłu funkcji ważnego węzła kolejowego</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4F1131ED" w14:textId="5E4CDC86" w:rsidR="00B87A4F" w:rsidRPr="00237760" w:rsidRDefault="0054409A"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tc>
      </w:tr>
      <w:tr w:rsidR="00237760" w:rsidRPr="00237760" w14:paraId="34013ED7"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7E0C2D0E" w14:textId="137A844E" w:rsidR="00B87A4F" w:rsidRPr="00237760" w:rsidRDefault="00B16C4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Połączenia komunikacyjne wynikające z bliskości dużych ośrodków miejskich</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6DC238C3" w14:textId="6AB70E40" w:rsidR="004F20D7" w:rsidRPr="00237760" w:rsidRDefault="004F20D7"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34296B2C" w14:textId="1C07AE9B" w:rsidR="00B87A4F" w:rsidRPr="00237760" w:rsidRDefault="006B7AA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tc>
      </w:tr>
      <w:tr w:rsidR="00237760" w:rsidRPr="00237760" w14:paraId="4BB6770F"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2ED49F5D" w14:textId="36017DD9" w:rsidR="00B87A4F" w:rsidRPr="00237760" w:rsidRDefault="00D81BB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Budowa obwodnicy północnej</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4432826D" w14:textId="60C26145" w:rsidR="00361E81" w:rsidRPr="00237760" w:rsidRDefault="00361E8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522F9064" w14:textId="77777777" w:rsidR="004F20D7" w:rsidRPr="00237760" w:rsidRDefault="004F20D7"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2DF283C9" w14:textId="05C32B0B" w:rsidR="00B87A4F" w:rsidRPr="00237760" w:rsidRDefault="004F20D7"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tc>
      </w:tr>
      <w:tr w:rsidR="00237760" w:rsidRPr="00237760" w14:paraId="5A892146"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043C5886" w14:textId="134572C0" w:rsidR="006C0870" w:rsidRPr="00237760" w:rsidRDefault="00C245F0"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lastRenderedPageBreak/>
              <w:t>Zwiększenie ruchu transgranicznego związanego z otwarciem przejścia w Ożennej</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1A1CB644" w14:textId="78E18EEC" w:rsidR="006C0870" w:rsidRPr="00237760" w:rsidRDefault="00C03A69"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tc>
      </w:tr>
      <w:tr w:rsidR="00237760" w:rsidRPr="00237760" w14:paraId="4386436E" w14:textId="77777777" w:rsidTr="009367B4">
        <w:trPr>
          <w:trHeight w:val="151"/>
        </w:trPr>
        <w:tc>
          <w:tcPr>
            <w:tcW w:w="4395" w:type="dxa"/>
            <w:tcBorders>
              <w:top w:val="single" w:sz="4" w:space="0" w:color="BDD6EE" w:themeColor="accent1" w:themeTint="66"/>
              <w:left w:val="nil"/>
              <w:right w:val="nil"/>
            </w:tcBorders>
            <w:shd w:val="clear" w:color="auto" w:fill="auto"/>
            <w:tcMar>
              <w:left w:w="28" w:type="dxa"/>
              <w:right w:w="28" w:type="dxa"/>
            </w:tcMar>
            <w:vAlign w:val="center"/>
          </w:tcPr>
          <w:p w14:paraId="1FC46DCF" w14:textId="77777777" w:rsidR="00C245F0" w:rsidRPr="00237760" w:rsidRDefault="00C245F0"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ZAGROŻENIA</w:t>
            </w:r>
          </w:p>
        </w:tc>
        <w:tc>
          <w:tcPr>
            <w:tcW w:w="4677" w:type="dxa"/>
            <w:tcBorders>
              <w:top w:val="single" w:sz="4" w:space="0" w:color="BDD6EE" w:themeColor="accent1" w:themeTint="66"/>
              <w:left w:val="nil"/>
              <w:right w:val="nil"/>
            </w:tcBorders>
            <w:shd w:val="clear" w:color="auto" w:fill="auto"/>
            <w:tcMar>
              <w:left w:w="28" w:type="dxa"/>
              <w:right w:w="28" w:type="dxa"/>
            </w:tcMar>
          </w:tcPr>
          <w:p w14:paraId="4DB568E7" w14:textId="77777777" w:rsidR="00C245F0" w:rsidRPr="00237760" w:rsidRDefault="00C245F0" w:rsidP="009367B4">
            <w:pPr>
              <w:spacing w:after="0" w:line="240" w:lineRule="auto"/>
              <w:ind w:left="57" w:right="57"/>
              <w:jc w:val="left"/>
              <w:rPr>
                <w:rFonts w:ascii="Arial" w:hAnsi="Arial" w:cs="Arial"/>
                <w:color w:val="auto"/>
                <w:sz w:val="24"/>
                <w:szCs w:val="24"/>
              </w:rPr>
            </w:pPr>
          </w:p>
        </w:tc>
      </w:tr>
      <w:tr w:rsidR="00237760" w:rsidRPr="00237760" w14:paraId="52D737EA"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712E3AA5" w14:textId="1E3658F4" w:rsidR="006C0870" w:rsidRPr="00237760" w:rsidRDefault="00C245F0"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Pogłębiające się różnice infrastrukturalne pomiędzy dużymi ośrodkami miejskimi a małymi miastami</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158CBA63" w14:textId="5ADCFB6B" w:rsidR="006C0870" w:rsidRPr="00237760" w:rsidRDefault="00300CF4"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 xml:space="preserve">Częściowo </w:t>
            </w:r>
            <w:r w:rsidR="00A651CD" w:rsidRPr="00237760">
              <w:rPr>
                <w:rFonts w:ascii="Arial" w:hAnsi="Arial" w:cs="Arial"/>
                <w:color w:val="auto"/>
                <w:sz w:val="24"/>
                <w:szCs w:val="24"/>
              </w:rPr>
              <w:t>Cel podstawowy 2. Transportowa spójność wewnętrzna</w:t>
            </w:r>
          </w:p>
        </w:tc>
      </w:tr>
      <w:tr w:rsidR="00237760" w:rsidRPr="00237760" w14:paraId="4839ED85"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69A879AA" w14:textId="324E2A44" w:rsidR="006C0870" w:rsidRPr="00237760" w:rsidRDefault="00851163"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Zagrożenie wypadkowe spowodowane złą jakością nawierzchni dróg</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7F505781" w14:textId="0587EF53" w:rsidR="006C0870" w:rsidRPr="00237760" w:rsidRDefault="00857047"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4. Poprawa bezpieczeństwa w transporcie</w:t>
            </w:r>
          </w:p>
        </w:tc>
      </w:tr>
      <w:tr w:rsidR="00237760" w:rsidRPr="00237760" w14:paraId="2CE5A54B"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2B02F6EE" w14:textId="3D617EBB" w:rsidR="006C0870" w:rsidRPr="00237760" w:rsidRDefault="00851163"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Brak zjazdu z autostrady A4 na drogę krajową nr 73 (Pilzno) w kierunku Jasła</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2BC7D93C" w14:textId="3C70BDDA" w:rsidR="00B7718D" w:rsidRPr="00237760" w:rsidRDefault="009B533E"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tc>
      </w:tr>
      <w:tr w:rsidR="00237760" w:rsidRPr="00237760" w14:paraId="3E203680"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270D176C" w14:textId="7E5ACB6A" w:rsidR="00B7718D" w:rsidRPr="00237760" w:rsidRDefault="00B7718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Marginalizacja jasielskiego węzła kolejowego</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3C485636" w14:textId="18D57BB3" w:rsidR="00B7718D" w:rsidRPr="00237760" w:rsidRDefault="00B8670F"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Częściowo Cel podstawowy 2. Transportowa spójność wewnętrzna</w:t>
            </w:r>
          </w:p>
        </w:tc>
      </w:tr>
      <w:tr w:rsidR="00237760" w:rsidRPr="00237760" w14:paraId="5DEF70F2" w14:textId="77777777" w:rsidTr="009367B4">
        <w:trPr>
          <w:trHeight w:val="151"/>
        </w:trPr>
        <w:tc>
          <w:tcPr>
            <w:tcW w:w="9072" w:type="dxa"/>
            <w:gridSpan w:val="2"/>
            <w:tcBorders>
              <w:top w:val="single" w:sz="4" w:space="0" w:color="BDD6EE" w:themeColor="accent1" w:themeTint="66"/>
              <w:left w:val="nil"/>
              <w:right w:val="nil"/>
            </w:tcBorders>
            <w:shd w:val="clear" w:color="auto" w:fill="auto"/>
            <w:tcMar>
              <w:left w:w="28" w:type="dxa"/>
              <w:right w:w="28" w:type="dxa"/>
            </w:tcMar>
            <w:vAlign w:val="center"/>
          </w:tcPr>
          <w:p w14:paraId="7811CCEC" w14:textId="5932AD76" w:rsidR="00B7718D" w:rsidRPr="00237760" w:rsidRDefault="00B7718D" w:rsidP="009367B4">
            <w:pPr>
              <w:spacing w:after="0" w:line="240" w:lineRule="auto"/>
              <w:ind w:left="57" w:right="57"/>
              <w:jc w:val="left"/>
              <w:rPr>
                <w:rFonts w:ascii="Arial" w:hAnsi="Arial" w:cs="Arial"/>
                <w:b/>
                <w:bCs/>
                <w:color w:val="auto"/>
                <w:sz w:val="24"/>
                <w:szCs w:val="24"/>
              </w:rPr>
            </w:pPr>
            <w:r w:rsidRPr="00237760">
              <w:rPr>
                <w:rFonts w:ascii="Arial" w:hAnsi="Arial" w:cs="Arial"/>
                <w:b/>
                <w:bCs/>
                <w:color w:val="auto"/>
                <w:sz w:val="24"/>
                <w:szCs w:val="24"/>
              </w:rPr>
              <w:t>Strategia Rozwoju Miasta Lubaczowa na lata 2018- 2038</w:t>
            </w:r>
          </w:p>
        </w:tc>
      </w:tr>
      <w:tr w:rsidR="00237760" w:rsidRPr="00237760" w14:paraId="666EEED8" w14:textId="77777777" w:rsidTr="009367B4">
        <w:trPr>
          <w:trHeight w:val="151"/>
        </w:trPr>
        <w:tc>
          <w:tcPr>
            <w:tcW w:w="4395" w:type="dxa"/>
            <w:tcBorders>
              <w:top w:val="single" w:sz="4" w:space="0" w:color="BDD6EE" w:themeColor="accent1" w:themeTint="66"/>
              <w:left w:val="nil"/>
              <w:right w:val="nil"/>
            </w:tcBorders>
            <w:shd w:val="clear" w:color="auto" w:fill="auto"/>
            <w:tcMar>
              <w:left w:w="28" w:type="dxa"/>
              <w:right w:w="28" w:type="dxa"/>
            </w:tcMar>
            <w:vAlign w:val="center"/>
          </w:tcPr>
          <w:p w14:paraId="45CCCD74" w14:textId="593563BB" w:rsidR="00B7718D" w:rsidRPr="00237760" w:rsidRDefault="00B7718D"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SŁABOŚCI</w:t>
            </w:r>
          </w:p>
        </w:tc>
        <w:tc>
          <w:tcPr>
            <w:tcW w:w="4677" w:type="dxa"/>
            <w:tcBorders>
              <w:top w:val="single" w:sz="4" w:space="0" w:color="BDD6EE" w:themeColor="accent1" w:themeTint="66"/>
              <w:left w:val="nil"/>
              <w:right w:val="nil"/>
            </w:tcBorders>
            <w:shd w:val="clear" w:color="auto" w:fill="auto"/>
            <w:tcMar>
              <w:left w:w="28" w:type="dxa"/>
              <w:right w:w="28" w:type="dxa"/>
            </w:tcMar>
          </w:tcPr>
          <w:p w14:paraId="5CF2B74D" w14:textId="77777777" w:rsidR="00B7718D" w:rsidRPr="00237760" w:rsidRDefault="00B7718D" w:rsidP="009367B4">
            <w:pPr>
              <w:spacing w:after="0" w:line="240" w:lineRule="auto"/>
              <w:ind w:left="57" w:right="57"/>
              <w:jc w:val="left"/>
              <w:rPr>
                <w:rFonts w:ascii="Arial" w:hAnsi="Arial" w:cs="Arial"/>
                <w:color w:val="auto"/>
                <w:sz w:val="24"/>
                <w:szCs w:val="24"/>
              </w:rPr>
            </w:pPr>
          </w:p>
        </w:tc>
      </w:tr>
      <w:tr w:rsidR="00237760" w:rsidRPr="00237760" w14:paraId="1BA5210F"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48CDC78F" w14:textId="4028D402" w:rsidR="00B7718D" w:rsidRPr="00237760" w:rsidRDefault="00B7718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Peryferyjne położenie, tzw. ściana wschodnia</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196D92CA" w14:textId="159894B0" w:rsidR="00B7718D" w:rsidRPr="00237760" w:rsidRDefault="00B7718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Częściowo Cel podstawowy 1. Dostępność zewnętrzna</w:t>
            </w:r>
          </w:p>
        </w:tc>
      </w:tr>
      <w:tr w:rsidR="00237760" w:rsidRPr="00237760" w14:paraId="1C4E0C23"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69466D23" w14:textId="0A5A8CAD" w:rsidR="00B7718D" w:rsidRPr="00237760" w:rsidRDefault="00B7718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Ubocze głównych tras komunikacyjnych, brak dróg krajowych na terenie miasta i powiatu – brak dobrego dojazdu do autostrady A4</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4B33EC2E" w14:textId="77777777" w:rsidR="00B7718D" w:rsidRPr="00237760" w:rsidRDefault="00B7718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4DD5C0B0" w14:textId="6C0FE5AD" w:rsidR="00B7718D" w:rsidRPr="00237760" w:rsidRDefault="00B7718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tc>
      </w:tr>
      <w:tr w:rsidR="00237760" w:rsidRPr="00237760" w14:paraId="38E3B4CE"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5442054E" w14:textId="2F714AC4" w:rsidR="00B7718D" w:rsidRPr="00237760" w:rsidRDefault="00B7718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Położenie na uboczu głównych szlaków komunikacyjnych</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0BC27A46" w14:textId="77777777" w:rsidR="00B7718D" w:rsidRPr="00237760" w:rsidRDefault="00B7718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03D26119" w14:textId="3ED973D8" w:rsidR="00B7718D" w:rsidRPr="00237760" w:rsidRDefault="00B7718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tc>
      </w:tr>
      <w:tr w:rsidR="00237760" w:rsidRPr="00237760" w14:paraId="7FA03FC9"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547AAB34" w14:textId="3F2BC3EB" w:rsidR="00B7718D" w:rsidRPr="00237760" w:rsidRDefault="00B7718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Niezadowalający stan techniczny sieci drogowej</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0106DEDC" w14:textId="6FFE603C" w:rsidR="00B7718D" w:rsidRPr="00237760" w:rsidRDefault="00B7718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tc>
      </w:tr>
      <w:tr w:rsidR="00237760" w:rsidRPr="00237760" w14:paraId="1D70541E" w14:textId="77777777" w:rsidTr="009367B4">
        <w:trPr>
          <w:trHeight w:val="151"/>
        </w:trPr>
        <w:tc>
          <w:tcPr>
            <w:tcW w:w="9072" w:type="dxa"/>
            <w:gridSpan w:val="2"/>
            <w:tcBorders>
              <w:top w:val="single" w:sz="4" w:space="0" w:color="BDD6EE" w:themeColor="accent1" w:themeTint="66"/>
              <w:left w:val="nil"/>
              <w:right w:val="nil"/>
            </w:tcBorders>
            <w:shd w:val="clear" w:color="auto" w:fill="auto"/>
            <w:tcMar>
              <w:left w:w="28" w:type="dxa"/>
              <w:right w:w="28" w:type="dxa"/>
            </w:tcMar>
            <w:vAlign w:val="center"/>
          </w:tcPr>
          <w:p w14:paraId="5FD8DBAD" w14:textId="360B02B3" w:rsidR="00B7718D" w:rsidRPr="00237760" w:rsidRDefault="00B7718D"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SZANSE</w:t>
            </w:r>
          </w:p>
        </w:tc>
      </w:tr>
      <w:tr w:rsidR="00237760" w:rsidRPr="00237760" w14:paraId="318136D0"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09A5E48F" w14:textId="311E22BA" w:rsidR="00B7718D" w:rsidRPr="00237760" w:rsidRDefault="00B7718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Planowany rozwój sieci dróg gminnych w wyznaczonym „obszarze urbanizacji”</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6EB69DA6" w14:textId="77777777" w:rsidR="00B7718D" w:rsidRPr="00237760" w:rsidRDefault="00B7718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3C3DFF8A" w14:textId="6ECAD952" w:rsidR="00B7718D" w:rsidRPr="00237760" w:rsidRDefault="00B7718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tc>
      </w:tr>
      <w:tr w:rsidR="00237760" w:rsidRPr="00237760" w14:paraId="76F844AE"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2ADAE4BE" w14:textId="19FE3575" w:rsidR="00B7718D" w:rsidRPr="00237760" w:rsidRDefault="00B7718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Dotacje i środki pomocowe</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2A8622F8" w14:textId="20BF5F75" w:rsidR="00B7718D" w:rsidRPr="00237760" w:rsidRDefault="00B7718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Wszystkie cele</w:t>
            </w:r>
          </w:p>
        </w:tc>
      </w:tr>
      <w:tr w:rsidR="00237760" w:rsidRPr="00237760" w14:paraId="2D41609B"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66D6B839" w14:textId="45522BFC" w:rsidR="00B7718D" w:rsidRPr="00237760" w:rsidRDefault="00B7718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Wykorzystanie potencjału przejścia granicznego w Budomierzu – 10 km od miasta</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56664A68" w14:textId="74243E6C" w:rsidR="00B7718D" w:rsidRPr="00237760" w:rsidRDefault="00B7718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tc>
      </w:tr>
      <w:tr w:rsidR="00237760" w:rsidRPr="00237760" w14:paraId="17133327"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34B9D442" w14:textId="26281860" w:rsidR="00B7718D" w:rsidRPr="00237760" w:rsidRDefault="00B7718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Obwodnica miasta Lubaczowa planowana na 2019 (obecnie w fazie budowy)</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1437CA71" w14:textId="3B5DFCE2" w:rsidR="00B7718D" w:rsidRPr="00237760" w:rsidRDefault="00B7718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3C62BCCF" w14:textId="77777777" w:rsidR="00B7718D" w:rsidRPr="00237760" w:rsidRDefault="00B7718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5810C99B" w14:textId="32F21ADB" w:rsidR="00B7718D" w:rsidRPr="00237760" w:rsidRDefault="00B7718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tc>
      </w:tr>
      <w:tr w:rsidR="00237760" w:rsidRPr="00237760" w14:paraId="20F2D5B9"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2FF51FB4" w14:textId="7731B9E3" w:rsidR="00B7718D" w:rsidRPr="00237760" w:rsidRDefault="00B7718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Przejście graniczne w Budomierzu i otwarcie granicy wschodniej</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69CE0DC3" w14:textId="3FFF8FBE" w:rsidR="00B7718D" w:rsidRPr="00237760" w:rsidRDefault="00B7718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tc>
      </w:tr>
      <w:tr w:rsidR="00237760" w:rsidRPr="00237760" w14:paraId="3CEA53E5" w14:textId="77777777" w:rsidTr="009367B4">
        <w:trPr>
          <w:trHeight w:val="151"/>
        </w:trPr>
        <w:tc>
          <w:tcPr>
            <w:tcW w:w="4395"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4D37B51B" w14:textId="77777777" w:rsidR="00B7718D" w:rsidRPr="00237760" w:rsidRDefault="00B7718D"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ZAGROŻENIA</w:t>
            </w:r>
          </w:p>
        </w:tc>
        <w:tc>
          <w:tcPr>
            <w:tcW w:w="4677"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tcPr>
          <w:p w14:paraId="6D2B9B1B" w14:textId="77777777" w:rsidR="00B7718D" w:rsidRPr="00237760" w:rsidRDefault="00B7718D" w:rsidP="009367B4">
            <w:pPr>
              <w:spacing w:after="0" w:line="240" w:lineRule="auto"/>
              <w:ind w:left="57" w:right="57"/>
              <w:jc w:val="left"/>
              <w:rPr>
                <w:rFonts w:ascii="Arial" w:hAnsi="Arial" w:cs="Arial"/>
                <w:color w:val="auto"/>
                <w:sz w:val="24"/>
                <w:szCs w:val="24"/>
              </w:rPr>
            </w:pPr>
          </w:p>
        </w:tc>
      </w:tr>
      <w:tr w:rsidR="00237760" w:rsidRPr="00237760" w14:paraId="75FF641F" w14:textId="77777777" w:rsidTr="009367B4">
        <w:trPr>
          <w:trHeight w:val="151"/>
        </w:trPr>
        <w:tc>
          <w:tcPr>
            <w:tcW w:w="4395" w:type="dxa"/>
            <w:tcBorders>
              <w:top w:val="single" w:sz="4" w:space="0" w:color="BDD6EE" w:themeColor="accent1" w:themeTint="66"/>
              <w:left w:val="nil"/>
              <w:bottom w:val="single" w:sz="12" w:space="0" w:color="002060"/>
              <w:right w:val="nil"/>
            </w:tcBorders>
            <w:shd w:val="clear" w:color="auto" w:fill="auto"/>
            <w:tcMar>
              <w:left w:w="28" w:type="dxa"/>
              <w:right w:w="28" w:type="dxa"/>
            </w:tcMar>
            <w:vAlign w:val="center"/>
          </w:tcPr>
          <w:p w14:paraId="02856430" w14:textId="5D01DCBD" w:rsidR="00B7718D" w:rsidRPr="00237760" w:rsidRDefault="00B7718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Niszczenie środowiska naturalnego</w:t>
            </w:r>
          </w:p>
        </w:tc>
        <w:tc>
          <w:tcPr>
            <w:tcW w:w="4677" w:type="dxa"/>
            <w:tcBorders>
              <w:top w:val="single" w:sz="4" w:space="0" w:color="BDD6EE" w:themeColor="accent1" w:themeTint="66"/>
              <w:left w:val="nil"/>
              <w:bottom w:val="single" w:sz="12" w:space="0" w:color="002060"/>
              <w:right w:val="nil"/>
            </w:tcBorders>
            <w:shd w:val="clear" w:color="auto" w:fill="auto"/>
            <w:tcMar>
              <w:left w:w="28" w:type="dxa"/>
              <w:right w:w="28" w:type="dxa"/>
            </w:tcMar>
            <w:vAlign w:val="center"/>
          </w:tcPr>
          <w:p w14:paraId="52613371" w14:textId="7B13CAC1" w:rsidR="00B7718D" w:rsidRPr="00237760" w:rsidRDefault="00B7718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 xml:space="preserve">Częściowo Cel horyzontalny 1. Ograniczenie negatywnego oddziaływania </w:t>
            </w:r>
            <w:r w:rsidRPr="00237760">
              <w:rPr>
                <w:rFonts w:ascii="Arial" w:hAnsi="Arial" w:cs="Arial"/>
                <w:color w:val="auto"/>
                <w:sz w:val="24"/>
                <w:szCs w:val="24"/>
              </w:rPr>
              <w:lastRenderedPageBreak/>
              <w:t>sektora transportu na klimat oraz na regionalne środowisko naturalne</w:t>
            </w:r>
          </w:p>
        </w:tc>
      </w:tr>
    </w:tbl>
    <w:p w14:paraId="12BD573A" w14:textId="77777777" w:rsidR="006E0A9D" w:rsidRPr="00237760" w:rsidRDefault="006E0A9D"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lastRenderedPageBreak/>
        <w:t>Uwaga: ocenie poddano wszystkie elementy Strategii wskazane w analizie SWOT (w słabościach, szansach i zagrożeniach). W tabeli wskazano tylko te elementy, do których odnosi się Program.</w:t>
      </w:r>
    </w:p>
    <w:p w14:paraId="3C3CCF7A" w14:textId="1F1DB544" w:rsidR="004D40FE" w:rsidRPr="00237760" w:rsidRDefault="00F974FE"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 xml:space="preserve">Źródło: opracowanie własne na podstawie PSRT WP oraz strategii </w:t>
      </w:r>
      <w:r w:rsidR="003D7649" w:rsidRPr="00237760">
        <w:rPr>
          <w:rFonts w:ascii="Arial" w:hAnsi="Arial" w:cs="Arial"/>
          <w:color w:val="auto"/>
          <w:sz w:val="24"/>
          <w:szCs w:val="24"/>
          <w:lang w:eastAsia="pl-PL"/>
        </w:rPr>
        <w:t>miejskich obszarów funkcjonalnych Podkarpacia</w:t>
      </w:r>
      <w:r w:rsidR="0084159F" w:rsidRPr="00237760">
        <w:rPr>
          <w:rFonts w:ascii="Arial" w:hAnsi="Arial" w:cs="Arial"/>
          <w:color w:val="auto"/>
          <w:sz w:val="24"/>
          <w:szCs w:val="24"/>
          <w:lang w:eastAsia="pl-PL"/>
        </w:rPr>
        <w:t xml:space="preserve"> i strategii miejskich</w:t>
      </w:r>
      <w:r w:rsidRPr="00237760">
        <w:rPr>
          <w:rFonts w:ascii="Arial" w:hAnsi="Arial" w:cs="Arial"/>
          <w:color w:val="auto"/>
          <w:sz w:val="24"/>
          <w:szCs w:val="24"/>
          <w:lang w:eastAsia="pl-PL"/>
        </w:rPr>
        <w:t>.</w:t>
      </w:r>
    </w:p>
    <w:p w14:paraId="7BD90BDA" w14:textId="5B3C300A" w:rsidR="005B51C8" w:rsidRPr="00237760" w:rsidRDefault="00285C6B"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 xml:space="preserve">Wszystkie </w:t>
      </w:r>
      <w:r w:rsidR="00FA0326" w:rsidRPr="00237760">
        <w:rPr>
          <w:rFonts w:ascii="Arial" w:hAnsi="Arial" w:cs="Arial"/>
          <w:color w:val="auto"/>
          <w:sz w:val="24"/>
          <w:szCs w:val="24"/>
          <w:lang w:eastAsia="pl-PL"/>
        </w:rPr>
        <w:t xml:space="preserve">analizowane </w:t>
      </w:r>
      <w:r w:rsidRPr="00237760">
        <w:rPr>
          <w:rFonts w:ascii="Arial" w:hAnsi="Arial" w:cs="Arial"/>
          <w:color w:val="auto"/>
          <w:sz w:val="24"/>
          <w:szCs w:val="24"/>
          <w:lang w:eastAsia="pl-PL"/>
        </w:rPr>
        <w:t>strategie porusza</w:t>
      </w:r>
      <w:r w:rsidR="0018293E" w:rsidRPr="00237760">
        <w:rPr>
          <w:rFonts w:ascii="Arial" w:hAnsi="Arial" w:cs="Arial"/>
          <w:color w:val="auto"/>
          <w:sz w:val="24"/>
          <w:szCs w:val="24"/>
          <w:lang w:eastAsia="pl-PL"/>
        </w:rPr>
        <w:t>ją</w:t>
      </w:r>
      <w:r w:rsidRPr="00237760">
        <w:rPr>
          <w:rFonts w:ascii="Arial" w:hAnsi="Arial" w:cs="Arial"/>
          <w:color w:val="auto"/>
          <w:sz w:val="24"/>
          <w:szCs w:val="24"/>
          <w:lang w:eastAsia="pl-PL"/>
        </w:rPr>
        <w:t xml:space="preserve"> w </w:t>
      </w:r>
      <w:r w:rsidR="0018293E" w:rsidRPr="00237760">
        <w:rPr>
          <w:rFonts w:ascii="Arial" w:hAnsi="Arial" w:cs="Arial"/>
          <w:color w:val="auto"/>
          <w:sz w:val="24"/>
          <w:szCs w:val="24"/>
          <w:lang w:eastAsia="pl-PL"/>
        </w:rPr>
        <w:t>r</w:t>
      </w:r>
      <w:r w:rsidR="00352D16" w:rsidRPr="00237760">
        <w:rPr>
          <w:rFonts w:ascii="Arial" w:hAnsi="Arial" w:cs="Arial"/>
          <w:color w:val="auto"/>
          <w:sz w:val="24"/>
          <w:szCs w:val="24"/>
          <w:lang w:eastAsia="pl-PL"/>
        </w:rPr>
        <w:t>óżnym zakresie</w:t>
      </w:r>
      <w:r w:rsidRPr="00237760">
        <w:rPr>
          <w:rFonts w:ascii="Arial" w:hAnsi="Arial" w:cs="Arial"/>
          <w:color w:val="auto"/>
          <w:sz w:val="24"/>
          <w:szCs w:val="24"/>
          <w:lang w:eastAsia="pl-PL"/>
        </w:rPr>
        <w:t xml:space="preserve"> zagadnienie transportu na Podkarpaciu. Jest to bardzo </w:t>
      </w:r>
      <w:r w:rsidR="003A3558" w:rsidRPr="00237760">
        <w:rPr>
          <w:rFonts w:ascii="Arial" w:hAnsi="Arial" w:cs="Arial"/>
          <w:color w:val="auto"/>
          <w:sz w:val="24"/>
          <w:szCs w:val="24"/>
          <w:lang w:eastAsia="pl-PL"/>
        </w:rPr>
        <w:t>aktualny temat</w:t>
      </w:r>
      <w:r w:rsidR="00CD4A1E" w:rsidRPr="00237760">
        <w:rPr>
          <w:rFonts w:ascii="Arial" w:hAnsi="Arial" w:cs="Arial"/>
          <w:color w:val="auto"/>
          <w:sz w:val="24"/>
          <w:szCs w:val="24"/>
          <w:lang w:eastAsia="pl-PL"/>
        </w:rPr>
        <w:t xml:space="preserve"> zważywszy na sytuację polityczną w jakiej znalazła się teraz Polska </w:t>
      </w:r>
      <w:r w:rsidR="00685DA2" w:rsidRPr="00237760">
        <w:rPr>
          <w:rFonts w:ascii="Arial" w:hAnsi="Arial" w:cs="Arial"/>
          <w:color w:val="auto"/>
          <w:sz w:val="24"/>
          <w:szCs w:val="24"/>
          <w:lang w:eastAsia="pl-PL"/>
        </w:rPr>
        <w:br/>
      </w:r>
      <w:r w:rsidR="00CD4A1E" w:rsidRPr="00237760">
        <w:rPr>
          <w:rFonts w:ascii="Arial" w:hAnsi="Arial" w:cs="Arial"/>
          <w:color w:val="auto"/>
          <w:sz w:val="24"/>
          <w:szCs w:val="24"/>
          <w:lang w:eastAsia="pl-PL"/>
        </w:rPr>
        <w:t xml:space="preserve">w związku z </w:t>
      </w:r>
      <w:r w:rsidR="004462EE" w:rsidRPr="00237760">
        <w:rPr>
          <w:rFonts w:ascii="Arial" w:hAnsi="Arial" w:cs="Arial"/>
          <w:color w:val="auto"/>
          <w:sz w:val="24"/>
          <w:szCs w:val="24"/>
          <w:lang w:eastAsia="pl-PL"/>
        </w:rPr>
        <w:t>konfliktem w Ukrainie.</w:t>
      </w:r>
      <w:r w:rsidR="00F327D9" w:rsidRPr="00237760">
        <w:rPr>
          <w:rFonts w:ascii="Arial" w:hAnsi="Arial" w:cs="Arial"/>
          <w:color w:val="auto"/>
          <w:sz w:val="24"/>
          <w:szCs w:val="24"/>
          <w:lang w:eastAsia="pl-PL"/>
        </w:rPr>
        <w:t xml:space="preserve"> Dwa MOF</w:t>
      </w:r>
      <w:r w:rsidR="00620C1E" w:rsidRPr="00237760">
        <w:rPr>
          <w:rFonts w:ascii="Arial" w:hAnsi="Arial" w:cs="Arial"/>
          <w:color w:val="auto"/>
          <w:sz w:val="24"/>
          <w:szCs w:val="24"/>
          <w:lang w:eastAsia="pl-PL"/>
        </w:rPr>
        <w:t>-y</w:t>
      </w:r>
      <w:r w:rsidR="00076E01" w:rsidRPr="00237760">
        <w:rPr>
          <w:rFonts w:ascii="Arial" w:hAnsi="Arial" w:cs="Arial"/>
          <w:color w:val="auto"/>
          <w:sz w:val="24"/>
          <w:szCs w:val="24"/>
          <w:lang w:eastAsia="pl-PL"/>
        </w:rPr>
        <w:t xml:space="preserve"> zaznaczył</w:t>
      </w:r>
      <w:r w:rsidR="00BA44E7" w:rsidRPr="00237760">
        <w:rPr>
          <w:rFonts w:ascii="Arial" w:hAnsi="Arial" w:cs="Arial"/>
          <w:color w:val="auto"/>
          <w:sz w:val="24"/>
          <w:szCs w:val="24"/>
          <w:lang w:eastAsia="pl-PL"/>
        </w:rPr>
        <w:t>y</w:t>
      </w:r>
      <w:r w:rsidR="00076E01" w:rsidRPr="00237760">
        <w:rPr>
          <w:rFonts w:ascii="Arial" w:hAnsi="Arial" w:cs="Arial"/>
          <w:color w:val="auto"/>
          <w:sz w:val="24"/>
          <w:szCs w:val="24"/>
          <w:lang w:eastAsia="pl-PL"/>
        </w:rPr>
        <w:t xml:space="preserve"> to wyraźnie w swo</w:t>
      </w:r>
      <w:r w:rsidR="006D1541" w:rsidRPr="00237760">
        <w:rPr>
          <w:rFonts w:ascii="Arial" w:hAnsi="Arial" w:cs="Arial"/>
          <w:color w:val="auto"/>
          <w:sz w:val="24"/>
          <w:szCs w:val="24"/>
          <w:lang w:eastAsia="pl-PL"/>
        </w:rPr>
        <w:t>jej analizie</w:t>
      </w:r>
      <w:r w:rsidR="00076E01" w:rsidRPr="00237760">
        <w:rPr>
          <w:rFonts w:ascii="Arial" w:hAnsi="Arial" w:cs="Arial"/>
          <w:color w:val="auto"/>
          <w:sz w:val="24"/>
          <w:szCs w:val="24"/>
          <w:lang w:eastAsia="pl-PL"/>
        </w:rPr>
        <w:t xml:space="preserve"> SWOT</w:t>
      </w:r>
      <w:r w:rsidR="00BA44E7" w:rsidRPr="00237760">
        <w:rPr>
          <w:rFonts w:ascii="Arial" w:hAnsi="Arial" w:cs="Arial"/>
          <w:color w:val="auto"/>
          <w:sz w:val="24"/>
          <w:szCs w:val="24"/>
          <w:lang w:eastAsia="pl-PL"/>
        </w:rPr>
        <w:t xml:space="preserve"> (Ja</w:t>
      </w:r>
      <w:r w:rsidR="00CF35AD" w:rsidRPr="00237760">
        <w:rPr>
          <w:rFonts w:ascii="Arial" w:hAnsi="Arial" w:cs="Arial"/>
          <w:color w:val="auto"/>
          <w:sz w:val="24"/>
          <w:szCs w:val="24"/>
          <w:lang w:eastAsia="pl-PL"/>
        </w:rPr>
        <w:t>rosław-Przeworsk i Sanok-Lesko</w:t>
      </w:r>
      <w:r w:rsidR="0015146B" w:rsidRPr="00237760">
        <w:rPr>
          <w:rFonts w:ascii="Arial" w:hAnsi="Arial" w:cs="Arial"/>
          <w:color w:val="auto"/>
          <w:sz w:val="24"/>
          <w:szCs w:val="24"/>
          <w:lang w:eastAsia="pl-PL"/>
        </w:rPr>
        <w:t xml:space="preserve"> i Lubaczów</w:t>
      </w:r>
      <w:r w:rsidR="00BA44E7" w:rsidRPr="00237760">
        <w:rPr>
          <w:rFonts w:ascii="Arial" w:hAnsi="Arial" w:cs="Arial"/>
          <w:color w:val="auto"/>
          <w:sz w:val="24"/>
          <w:szCs w:val="24"/>
          <w:lang w:eastAsia="pl-PL"/>
        </w:rPr>
        <w:t>)</w:t>
      </w:r>
      <w:r w:rsidR="00BF10BF" w:rsidRPr="00237760">
        <w:rPr>
          <w:rFonts w:ascii="Arial" w:hAnsi="Arial" w:cs="Arial"/>
          <w:color w:val="auto"/>
          <w:sz w:val="24"/>
          <w:szCs w:val="24"/>
          <w:lang w:eastAsia="pl-PL"/>
        </w:rPr>
        <w:t xml:space="preserve">. </w:t>
      </w:r>
      <w:r w:rsidR="000C2BDD" w:rsidRPr="00237760">
        <w:rPr>
          <w:rFonts w:ascii="Arial" w:hAnsi="Arial" w:cs="Arial"/>
          <w:color w:val="auto"/>
          <w:sz w:val="24"/>
          <w:szCs w:val="24"/>
          <w:lang w:eastAsia="pl-PL"/>
        </w:rPr>
        <w:t>Pomimo,</w:t>
      </w:r>
      <w:r w:rsidR="0018696A" w:rsidRPr="00237760">
        <w:rPr>
          <w:rFonts w:ascii="Arial" w:hAnsi="Arial" w:cs="Arial"/>
          <w:color w:val="auto"/>
          <w:sz w:val="24"/>
          <w:szCs w:val="24"/>
          <w:lang w:eastAsia="pl-PL"/>
        </w:rPr>
        <w:t xml:space="preserve"> iż </w:t>
      </w:r>
      <w:r w:rsidR="003D68F7" w:rsidRPr="00237760">
        <w:rPr>
          <w:rFonts w:ascii="Arial" w:hAnsi="Arial" w:cs="Arial"/>
          <w:color w:val="auto"/>
          <w:sz w:val="24"/>
          <w:szCs w:val="24"/>
          <w:lang w:eastAsia="pl-PL"/>
        </w:rPr>
        <w:t xml:space="preserve">nie są to </w:t>
      </w:r>
      <w:r w:rsidR="00D81983" w:rsidRPr="00237760">
        <w:rPr>
          <w:rFonts w:ascii="Arial" w:hAnsi="Arial" w:cs="Arial"/>
          <w:color w:val="auto"/>
          <w:sz w:val="24"/>
          <w:szCs w:val="24"/>
          <w:lang w:eastAsia="pl-PL"/>
        </w:rPr>
        <w:t>czynniki bezpośrednio dotyczące rozwoju transportu w województwie, to z aktualnej perspektywy można dostrzec</w:t>
      </w:r>
      <w:r w:rsidR="00E81DAC" w:rsidRPr="00237760">
        <w:rPr>
          <w:rFonts w:ascii="Arial" w:hAnsi="Arial" w:cs="Arial"/>
          <w:color w:val="auto"/>
          <w:sz w:val="24"/>
          <w:szCs w:val="24"/>
          <w:lang w:eastAsia="pl-PL"/>
        </w:rPr>
        <w:t>,</w:t>
      </w:r>
      <w:r w:rsidR="00D81983" w:rsidRPr="00237760">
        <w:rPr>
          <w:rFonts w:ascii="Arial" w:hAnsi="Arial" w:cs="Arial"/>
          <w:color w:val="auto"/>
          <w:sz w:val="24"/>
          <w:szCs w:val="24"/>
          <w:lang w:eastAsia="pl-PL"/>
        </w:rPr>
        <w:t xml:space="preserve"> jak duży wpływ </w:t>
      </w:r>
      <w:r w:rsidR="00FA3407" w:rsidRPr="00237760">
        <w:rPr>
          <w:rFonts w:ascii="Arial" w:hAnsi="Arial" w:cs="Arial"/>
          <w:color w:val="auto"/>
          <w:sz w:val="24"/>
          <w:szCs w:val="24"/>
          <w:lang w:eastAsia="pl-PL"/>
        </w:rPr>
        <w:t xml:space="preserve">może mieć </w:t>
      </w:r>
      <w:r w:rsidR="00FD06DD" w:rsidRPr="00237760">
        <w:rPr>
          <w:rFonts w:ascii="Arial" w:hAnsi="Arial" w:cs="Arial"/>
          <w:color w:val="auto"/>
          <w:sz w:val="24"/>
          <w:szCs w:val="24"/>
          <w:lang w:eastAsia="pl-PL"/>
        </w:rPr>
        <w:t>fala migrantów na poprawne funkcjonowanie komunikacji publicznej lub przejść granicznych.</w:t>
      </w:r>
      <w:r w:rsidR="009E09AF" w:rsidRPr="00237760">
        <w:rPr>
          <w:rFonts w:ascii="Arial" w:hAnsi="Arial" w:cs="Arial"/>
          <w:color w:val="auto"/>
          <w:sz w:val="24"/>
          <w:szCs w:val="24"/>
          <w:lang w:eastAsia="pl-PL"/>
        </w:rPr>
        <w:t xml:space="preserve"> </w:t>
      </w:r>
      <w:r w:rsidR="000007E4" w:rsidRPr="00237760">
        <w:rPr>
          <w:rFonts w:ascii="Arial" w:hAnsi="Arial" w:cs="Arial"/>
          <w:color w:val="auto"/>
          <w:sz w:val="24"/>
          <w:szCs w:val="24"/>
          <w:lang w:eastAsia="pl-PL"/>
        </w:rPr>
        <w:t>Dodatkowo</w:t>
      </w:r>
      <w:r w:rsidR="005D0A31" w:rsidRPr="00237760">
        <w:rPr>
          <w:rFonts w:ascii="Arial" w:hAnsi="Arial" w:cs="Arial"/>
          <w:color w:val="auto"/>
          <w:sz w:val="24"/>
          <w:szCs w:val="24"/>
          <w:lang w:eastAsia="pl-PL"/>
        </w:rPr>
        <w:t xml:space="preserve"> podczas aktualnej sytuacji politycznej</w:t>
      </w:r>
      <w:r w:rsidR="000007E4" w:rsidRPr="00237760">
        <w:rPr>
          <w:rFonts w:ascii="Arial" w:hAnsi="Arial" w:cs="Arial"/>
          <w:color w:val="auto"/>
          <w:sz w:val="24"/>
          <w:szCs w:val="24"/>
          <w:lang w:eastAsia="pl-PL"/>
        </w:rPr>
        <w:t xml:space="preserve"> uwidacznia się istota </w:t>
      </w:r>
      <w:r w:rsidR="00356750" w:rsidRPr="00237760">
        <w:rPr>
          <w:rFonts w:ascii="Arial" w:hAnsi="Arial" w:cs="Arial"/>
          <w:color w:val="auto"/>
          <w:sz w:val="24"/>
          <w:szCs w:val="24"/>
          <w:lang w:eastAsia="pl-PL"/>
        </w:rPr>
        <w:t>połączeń między</w:t>
      </w:r>
      <w:r w:rsidR="00754205" w:rsidRPr="00237760">
        <w:rPr>
          <w:rFonts w:ascii="Arial" w:hAnsi="Arial" w:cs="Arial"/>
          <w:color w:val="auto"/>
          <w:sz w:val="24"/>
          <w:szCs w:val="24"/>
          <w:lang w:eastAsia="pl-PL"/>
        </w:rPr>
        <w:t>- i wewnątrz</w:t>
      </w:r>
      <w:r w:rsidR="00356750" w:rsidRPr="00237760">
        <w:rPr>
          <w:rFonts w:ascii="Arial" w:hAnsi="Arial" w:cs="Arial"/>
          <w:color w:val="auto"/>
          <w:sz w:val="24"/>
          <w:szCs w:val="24"/>
          <w:lang w:eastAsia="pl-PL"/>
        </w:rPr>
        <w:t>krajowych</w:t>
      </w:r>
      <w:r w:rsidR="00C642CE" w:rsidRPr="00237760">
        <w:rPr>
          <w:rFonts w:ascii="Arial" w:hAnsi="Arial" w:cs="Arial"/>
          <w:color w:val="auto"/>
          <w:sz w:val="24"/>
          <w:szCs w:val="24"/>
          <w:lang w:eastAsia="pl-PL"/>
        </w:rPr>
        <w:t xml:space="preserve"> </w:t>
      </w:r>
      <w:r w:rsidR="00754205" w:rsidRPr="00237760">
        <w:rPr>
          <w:rFonts w:ascii="Arial" w:hAnsi="Arial" w:cs="Arial"/>
          <w:color w:val="auto"/>
          <w:sz w:val="24"/>
          <w:szCs w:val="24"/>
          <w:lang w:eastAsia="pl-PL"/>
        </w:rPr>
        <w:t>oraz</w:t>
      </w:r>
      <w:r w:rsidR="00C642CE" w:rsidRPr="00237760">
        <w:rPr>
          <w:rFonts w:ascii="Arial" w:hAnsi="Arial" w:cs="Arial"/>
          <w:color w:val="auto"/>
          <w:sz w:val="24"/>
          <w:szCs w:val="24"/>
          <w:lang w:eastAsia="pl-PL"/>
        </w:rPr>
        <w:t xml:space="preserve"> </w:t>
      </w:r>
      <w:r w:rsidR="0015146B" w:rsidRPr="00237760">
        <w:rPr>
          <w:rFonts w:ascii="Arial" w:hAnsi="Arial" w:cs="Arial"/>
          <w:color w:val="auto"/>
          <w:sz w:val="24"/>
          <w:szCs w:val="24"/>
          <w:lang w:eastAsia="pl-PL"/>
        </w:rPr>
        <w:t>węzłów komunikacyjnych</w:t>
      </w:r>
      <w:r w:rsidR="00DF7D06" w:rsidRPr="00237760">
        <w:rPr>
          <w:rFonts w:ascii="Arial" w:hAnsi="Arial" w:cs="Arial"/>
          <w:color w:val="auto"/>
          <w:sz w:val="24"/>
          <w:szCs w:val="24"/>
          <w:lang w:eastAsia="pl-PL"/>
        </w:rPr>
        <w:t xml:space="preserve">. Podkarpacie </w:t>
      </w:r>
      <w:r w:rsidR="00CC4715" w:rsidRPr="00237760">
        <w:rPr>
          <w:rFonts w:ascii="Arial" w:hAnsi="Arial" w:cs="Arial"/>
          <w:color w:val="auto"/>
          <w:sz w:val="24"/>
          <w:szCs w:val="24"/>
          <w:lang w:eastAsia="pl-PL"/>
        </w:rPr>
        <w:t>prz</w:t>
      </w:r>
      <w:r w:rsidR="007E6F86" w:rsidRPr="00237760">
        <w:rPr>
          <w:rFonts w:ascii="Arial" w:hAnsi="Arial" w:cs="Arial"/>
          <w:color w:val="auto"/>
          <w:sz w:val="24"/>
          <w:szCs w:val="24"/>
          <w:lang w:eastAsia="pl-PL"/>
        </w:rPr>
        <w:t>y</w:t>
      </w:r>
      <w:r w:rsidR="00CC4715" w:rsidRPr="00237760">
        <w:rPr>
          <w:rFonts w:ascii="Arial" w:hAnsi="Arial" w:cs="Arial"/>
          <w:color w:val="auto"/>
          <w:sz w:val="24"/>
          <w:szCs w:val="24"/>
          <w:lang w:eastAsia="pl-PL"/>
        </w:rPr>
        <w:t xml:space="preserve">jmuje wiele </w:t>
      </w:r>
      <w:r w:rsidR="00C24251" w:rsidRPr="00237760">
        <w:rPr>
          <w:rFonts w:ascii="Arial" w:hAnsi="Arial" w:cs="Arial"/>
          <w:color w:val="auto"/>
          <w:sz w:val="24"/>
          <w:szCs w:val="24"/>
          <w:lang w:eastAsia="pl-PL"/>
        </w:rPr>
        <w:t xml:space="preserve">transportu </w:t>
      </w:r>
      <w:r w:rsidR="00685DA2" w:rsidRPr="00237760">
        <w:rPr>
          <w:rFonts w:ascii="Arial" w:hAnsi="Arial" w:cs="Arial"/>
          <w:color w:val="auto"/>
          <w:sz w:val="24"/>
          <w:szCs w:val="24"/>
          <w:lang w:eastAsia="pl-PL"/>
        </w:rPr>
        <w:br/>
      </w:r>
      <w:r w:rsidR="00C24251" w:rsidRPr="00237760">
        <w:rPr>
          <w:rFonts w:ascii="Arial" w:hAnsi="Arial" w:cs="Arial"/>
          <w:color w:val="auto"/>
          <w:sz w:val="24"/>
          <w:szCs w:val="24"/>
          <w:lang w:eastAsia="pl-PL"/>
        </w:rPr>
        <w:t>z uchodźcami</w:t>
      </w:r>
      <w:r w:rsidR="007E6F86" w:rsidRPr="00237760">
        <w:rPr>
          <w:rFonts w:ascii="Arial" w:hAnsi="Arial" w:cs="Arial"/>
          <w:color w:val="auto"/>
          <w:sz w:val="24"/>
          <w:szCs w:val="24"/>
          <w:lang w:eastAsia="pl-PL"/>
        </w:rPr>
        <w:t xml:space="preserve">. </w:t>
      </w:r>
      <w:r w:rsidR="00E24361" w:rsidRPr="00237760">
        <w:rPr>
          <w:rFonts w:ascii="Arial" w:hAnsi="Arial" w:cs="Arial"/>
          <w:color w:val="auto"/>
          <w:sz w:val="24"/>
          <w:szCs w:val="24"/>
          <w:lang w:eastAsia="pl-PL"/>
        </w:rPr>
        <w:t xml:space="preserve">Połączenie z resztą </w:t>
      </w:r>
      <w:r w:rsidR="00B35CA6" w:rsidRPr="00237760">
        <w:rPr>
          <w:rFonts w:ascii="Arial" w:hAnsi="Arial" w:cs="Arial"/>
          <w:color w:val="auto"/>
          <w:sz w:val="24"/>
          <w:szCs w:val="24"/>
          <w:lang w:eastAsia="pl-PL"/>
        </w:rPr>
        <w:t>Polski i połączenia zagraniczne wydają się kluczowe w tej kwestii.</w:t>
      </w:r>
    </w:p>
    <w:p w14:paraId="37FDA6E2" w14:textId="77777777" w:rsidR="009A5759" w:rsidRPr="00237760" w:rsidRDefault="000F07BF"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Analiza dokumentów prowadzi do następujących wnioskó</w:t>
      </w:r>
      <w:r w:rsidR="009A5759" w:rsidRPr="00237760">
        <w:rPr>
          <w:rFonts w:ascii="Arial" w:hAnsi="Arial" w:cs="Arial"/>
          <w:color w:val="auto"/>
          <w:sz w:val="24"/>
          <w:szCs w:val="24"/>
          <w:lang w:eastAsia="pl-PL"/>
        </w:rPr>
        <w:t>w:</w:t>
      </w:r>
    </w:p>
    <w:p w14:paraId="623D493F" w14:textId="2FE3386A" w:rsidR="004214AC" w:rsidRPr="00237760" w:rsidRDefault="009A5759" w:rsidP="009367B4">
      <w:pPr>
        <w:pStyle w:val="Akapitzlist"/>
        <w:numPr>
          <w:ilvl w:val="0"/>
          <w:numId w:val="12"/>
        </w:numPr>
        <w:ind w:left="425" w:hanging="357"/>
        <w:contextualSpacing/>
        <w:jc w:val="left"/>
        <w:rPr>
          <w:rFonts w:ascii="Arial" w:hAnsi="Arial" w:cs="Arial"/>
          <w:color w:val="auto"/>
          <w:sz w:val="24"/>
          <w:szCs w:val="24"/>
        </w:rPr>
      </w:pPr>
      <w:r w:rsidRPr="00237760">
        <w:rPr>
          <w:rFonts w:ascii="Arial" w:hAnsi="Arial" w:cs="Arial"/>
          <w:color w:val="auto"/>
          <w:sz w:val="24"/>
          <w:szCs w:val="24"/>
        </w:rPr>
        <w:t>B</w:t>
      </w:r>
      <w:r w:rsidR="00C91DC1" w:rsidRPr="00237760">
        <w:rPr>
          <w:rFonts w:ascii="Arial" w:hAnsi="Arial" w:cs="Arial"/>
          <w:color w:val="auto"/>
          <w:sz w:val="24"/>
          <w:szCs w:val="24"/>
        </w:rPr>
        <w:t>lisko 40% wskazanych czynników</w:t>
      </w:r>
      <w:r w:rsidR="00F07DC1" w:rsidRPr="00237760">
        <w:rPr>
          <w:rFonts w:ascii="Arial" w:hAnsi="Arial" w:cs="Arial"/>
          <w:color w:val="auto"/>
          <w:sz w:val="24"/>
          <w:szCs w:val="24"/>
        </w:rPr>
        <w:t xml:space="preserve"> słabości</w:t>
      </w:r>
      <w:r w:rsidR="00DE684E" w:rsidRPr="00237760">
        <w:rPr>
          <w:rFonts w:ascii="Arial" w:hAnsi="Arial" w:cs="Arial"/>
          <w:color w:val="auto"/>
          <w:sz w:val="24"/>
          <w:szCs w:val="24"/>
        </w:rPr>
        <w:t xml:space="preserve"> dotyczy problemów infrastrukturalnych</w:t>
      </w:r>
      <w:r w:rsidR="004214AC" w:rsidRPr="00237760">
        <w:rPr>
          <w:rFonts w:ascii="Arial" w:hAnsi="Arial" w:cs="Arial"/>
          <w:color w:val="auto"/>
          <w:sz w:val="24"/>
          <w:szCs w:val="24"/>
        </w:rPr>
        <w:t xml:space="preserve"> (</w:t>
      </w:r>
      <w:r w:rsidR="0033790C" w:rsidRPr="00237760">
        <w:rPr>
          <w:rFonts w:ascii="Arial" w:hAnsi="Arial" w:cs="Arial"/>
          <w:color w:val="auto"/>
          <w:sz w:val="24"/>
          <w:szCs w:val="24"/>
        </w:rPr>
        <w:t xml:space="preserve">brak </w:t>
      </w:r>
      <w:r w:rsidR="005308F4" w:rsidRPr="00237760">
        <w:rPr>
          <w:rFonts w:ascii="Arial" w:hAnsi="Arial" w:cs="Arial"/>
          <w:color w:val="auto"/>
          <w:sz w:val="24"/>
          <w:szCs w:val="24"/>
        </w:rPr>
        <w:t xml:space="preserve">dróg, autostrad, obwodnic, </w:t>
      </w:r>
      <w:r w:rsidR="00EC6B87" w:rsidRPr="00237760">
        <w:rPr>
          <w:rFonts w:ascii="Arial" w:hAnsi="Arial" w:cs="Arial"/>
          <w:color w:val="auto"/>
          <w:sz w:val="24"/>
          <w:szCs w:val="24"/>
        </w:rPr>
        <w:t>dojazdów do tras szybkiego ruchu</w:t>
      </w:r>
      <w:r w:rsidR="00E81DAC" w:rsidRPr="00237760">
        <w:rPr>
          <w:rFonts w:ascii="Arial" w:hAnsi="Arial" w:cs="Arial"/>
          <w:color w:val="auto"/>
          <w:sz w:val="24"/>
          <w:szCs w:val="24"/>
        </w:rPr>
        <w:t>).</w:t>
      </w:r>
    </w:p>
    <w:p w14:paraId="04C167E5" w14:textId="5956F5D5" w:rsidR="003035AA" w:rsidRPr="00237760" w:rsidRDefault="00AE579B" w:rsidP="009367B4">
      <w:pPr>
        <w:pStyle w:val="Akapitzlist"/>
        <w:numPr>
          <w:ilvl w:val="0"/>
          <w:numId w:val="12"/>
        </w:numPr>
        <w:ind w:left="425" w:hanging="357"/>
        <w:contextualSpacing/>
        <w:jc w:val="left"/>
        <w:rPr>
          <w:rFonts w:ascii="Arial" w:hAnsi="Arial" w:cs="Arial"/>
          <w:color w:val="auto"/>
          <w:sz w:val="24"/>
          <w:szCs w:val="24"/>
        </w:rPr>
      </w:pPr>
      <w:r w:rsidRPr="00237760">
        <w:rPr>
          <w:rFonts w:ascii="Arial" w:hAnsi="Arial" w:cs="Arial"/>
          <w:color w:val="auto"/>
          <w:sz w:val="24"/>
          <w:szCs w:val="24"/>
        </w:rPr>
        <w:t>Inny</w:t>
      </w:r>
      <w:r w:rsidR="004503FC" w:rsidRPr="00237760">
        <w:rPr>
          <w:rFonts w:ascii="Arial" w:hAnsi="Arial" w:cs="Arial"/>
          <w:color w:val="auto"/>
          <w:sz w:val="24"/>
          <w:szCs w:val="24"/>
        </w:rPr>
        <w:t xml:space="preserve">m obszarem </w:t>
      </w:r>
      <w:r w:rsidRPr="00237760">
        <w:rPr>
          <w:rFonts w:ascii="Arial" w:hAnsi="Arial" w:cs="Arial"/>
          <w:color w:val="auto"/>
          <w:sz w:val="24"/>
          <w:szCs w:val="24"/>
        </w:rPr>
        <w:t>problem</w:t>
      </w:r>
      <w:r w:rsidR="004503FC" w:rsidRPr="00237760">
        <w:rPr>
          <w:rFonts w:ascii="Arial" w:hAnsi="Arial" w:cs="Arial"/>
          <w:color w:val="auto"/>
          <w:sz w:val="24"/>
          <w:szCs w:val="24"/>
        </w:rPr>
        <w:t xml:space="preserve">owym jest </w:t>
      </w:r>
      <w:r w:rsidR="009027A2" w:rsidRPr="00237760">
        <w:rPr>
          <w:rFonts w:ascii="Arial" w:hAnsi="Arial" w:cs="Arial"/>
          <w:color w:val="auto"/>
          <w:sz w:val="24"/>
          <w:szCs w:val="24"/>
        </w:rPr>
        <w:t>komunikacj</w:t>
      </w:r>
      <w:r w:rsidR="004503FC" w:rsidRPr="00237760">
        <w:rPr>
          <w:rFonts w:ascii="Arial" w:hAnsi="Arial" w:cs="Arial"/>
          <w:color w:val="auto"/>
          <w:sz w:val="24"/>
          <w:szCs w:val="24"/>
        </w:rPr>
        <w:t>a</w:t>
      </w:r>
      <w:r w:rsidR="00B67016" w:rsidRPr="00237760">
        <w:rPr>
          <w:rFonts w:ascii="Arial" w:hAnsi="Arial" w:cs="Arial"/>
          <w:color w:val="auto"/>
          <w:sz w:val="24"/>
          <w:szCs w:val="24"/>
        </w:rPr>
        <w:t xml:space="preserve"> publicz</w:t>
      </w:r>
      <w:r w:rsidR="009027A2" w:rsidRPr="00237760">
        <w:rPr>
          <w:rFonts w:ascii="Arial" w:hAnsi="Arial" w:cs="Arial"/>
          <w:color w:val="auto"/>
          <w:sz w:val="24"/>
          <w:szCs w:val="24"/>
        </w:rPr>
        <w:t>n</w:t>
      </w:r>
      <w:r w:rsidR="004503FC" w:rsidRPr="00237760">
        <w:rPr>
          <w:rFonts w:ascii="Arial" w:hAnsi="Arial" w:cs="Arial"/>
          <w:color w:val="auto"/>
          <w:sz w:val="24"/>
          <w:szCs w:val="24"/>
        </w:rPr>
        <w:t>a</w:t>
      </w:r>
      <w:r w:rsidR="00F50445" w:rsidRPr="00237760">
        <w:rPr>
          <w:rFonts w:ascii="Arial" w:hAnsi="Arial" w:cs="Arial"/>
          <w:color w:val="auto"/>
          <w:sz w:val="24"/>
          <w:szCs w:val="24"/>
        </w:rPr>
        <w:t xml:space="preserve">. </w:t>
      </w:r>
      <w:r w:rsidR="003035AA" w:rsidRPr="00237760">
        <w:rPr>
          <w:rFonts w:ascii="Arial" w:hAnsi="Arial" w:cs="Arial"/>
          <w:color w:val="auto"/>
          <w:sz w:val="24"/>
          <w:szCs w:val="24"/>
        </w:rPr>
        <w:t xml:space="preserve">W strategiach wskazuje się na: </w:t>
      </w:r>
      <w:r w:rsidR="00170066" w:rsidRPr="00237760">
        <w:rPr>
          <w:rFonts w:ascii="Arial" w:hAnsi="Arial" w:cs="Arial"/>
          <w:color w:val="auto"/>
          <w:sz w:val="24"/>
          <w:szCs w:val="24"/>
        </w:rPr>
        <w:t>niewystarczając</w:t>
      </w:r>
      <w:r w:rsidR="003035AA" w:rsidRPr="00237760">
        <w:rPr>
          <w:rFonts w:ascii="Arial" w:hAnsi="Arial" w:cs="Arial"/>
          <w:color w:val="auto"/>
          <w:sz w:val="24"/>
          <w:szCs w:val="24"/>
        </w:rPr>
        <w:t>ą</w:t>
      </w:r>
      <w:r w:rsidR="00170066" w:rsidRPr="00237760">
        <w:rPr>
          <w:rFonts w:ascii="Arial" w:hAnsi="Arial" w:cs="Arial"/>
          <w:color w:val="auto"/>
          <w:sz w:val="24"/>
          <w:szCs w:val="24"/>
        </w:rPr>
        <w:t xml:space="preserve"> liczb</w:t>
      </w:r>
      <w:r w:rsidR="003035AA" w:rsidRPr="00237760">
        <w:rPr>
          <w:rFonts w:ascii="Arial" w:hAnsi="Arial" w:cs="Arial"/>
          <w:color w:val="auto"/>
          <w:sz w:val="24"/>
          <w:szCs w:val="24"/>
        </w:rPr>
        <w:t>ę</w:t>
      </w:r>
      <w:r w:rsidR="00170066" w:rsidRPr="00237760">
        <w:rPr>
          <w:rFonts w:ascii="Arial" w:hAnsi="Arial" w:cs="Arial"/>
          <w:color w:val="auto"/>
          <w:sz w:val="24"/>
          <w:szCs w:val="24"/>
        </w:rPr>
        <w:t xml:space="preserve"> połączeń</w:t>
      </w:r>
      <w:r w:rsidR="00F50445" w:rsidRPr="00237760">
        <w:rPr>
          <w:rFonts w:ascii="Arial" w:hAnsi="Arial" w:cs="Arial"/>
          <w:color w:val="auto"/>
          <w:sz w:val="24"/>
          <w:szCs w:val="24"/>
        </w:rPr>
        <w:t xml:space="preserve">, niewykorzystanie już istniejącej infrastruktury </w:t>
      </w:r>
      <w:r w:rsidR="00170066" w:rsidRPr="00237760">
        <w:rPr>
          <w:rFonts w:ascii="Arial" w:hAnsi="Arial" w:cs="Arial"/>
          <w:color w:val="auto"/>
          <w:sz w:val="24"/>
          <w:szCs w:val="24"/>
        </w:rPr>
        <w:t>oraz</w:t>
      </w:r>
      <w:r w:rsidR="00F50445" w:rsidRPr="00237760">
        <w:rPr>
          <w:rFonts w:ascii="Arial" w:hAnsi="Arial" w:cs="Arial"/>
          <w:color w:val="auto"/>
          <w:sz w:val="24"/>
          <w:szCs w:val="24"/>
        </w:rPr>
        <w:t xml:space="preserve"> wykluczenie transportowe</w:t>
      </w:r>
      <w:r w:rsidR="00E81DAC" w:rsidRPr="00237760">
        <w:rPr>
          <w:rFonts w:ascii="Arial" w:hAnsi="Arial" w:cs="Arial"/>
          <w:color w:val="auto"/>
          <w:sz w:val="24"/>
          <w:szCs w:val="24"/>
        </w:rPr>
        <w:t>.</w:t>
      </w:r>
    </w:p>
    <w:p w14:paraId="34013717" w14:textId="2F0BC5BA" w:rsidR="001F758B" w:rsidRPr="00237760" w:rsidRDefault="007E7CE7" w:rsidP="009367B4">
      <w:pPr>
        <w:pStyle w:val="Akapitzlist"/>
        <w:numPr>
          <w:ilvl w:val="0"/>
          <w:numId w:val="12"/>
        </w:numPr>
        <w:ind w:left="425" w:hanging="357"/>
        <w:contextualSpacing/>
        <w:jc w:val="left"/>
        <w:rPr>
          <w:rFonts w:ascii="Arial" w:hAnsi="Arial" w:cs="Arial"/>
          <w:color w:val="auto"/>
          <w:sz w:val="24"/>
          <w:szCs w:val="24"/>
        </w:rPr>
      </w:pPr>
      <w:r w:rsidRPr="00237760">
        <w:rPr>
          <w:rFonts w:ascii="Arial" w:hAnsi="Arial" w:cs="Arial"/>
          <w:color w:val="auto"/>
          <w:sz w:val="24"/>
          <w:szCs w:val="24"/>
        </w:rPr>
        <w:t>Z</w:t>
      </w:r>
      <w:r w:rsidR="00EE6EF8" w:rsidRPr="00237760">
        <w:rPr>
          <w:rFonts w:ascii="Arial" w:hAnsi="Arial" w:cs="Arial"/>
          <w:color w:val="auto"/>
          <w:sz w:val="24"/>
          <w:szCs w:val="24"/>
        </w:rPr>
        <w:t>bliżon</w:t>
      </w:r>
      <w:r w:rsidRPr="00237760">
        <w:rPr>
          <w:rFonts w:ascii="Arial" w:hAnsi="Arial" w:cs="Arial"/>
          <w:color w:val="auto"/>
          <w:sz w:val="24"/>
          <w:szCs w:val="24"/>
        </w:rPr>
        <w:t>y cha</w:t>
      </w:r>
      <w:r w:rsidR="00E87E30" w:rsidRPr="00237760">
        <w:rPr>
          <w:rFonts w:ascii="Arial" w:hAnsi="Arial" w:cs="Arial"/>
          <w:color w:val="auto"/>
          <w:sz w:val="24"/>
          <w:szCs w:val="24"/>
        </w:rPr>
        <w:t xml:space="preserve">rakter </w:t>
      </w:r>
      <w:r w:rsidR="00572675" w:rsidRPr="00237760">
        <w:rPr>
          <w:rFonts w:ascii="Arial" w:hAnsi="Arial" w:cs="Arial"/>
          <w:color w:val="auto"/>
          <w:sz w:val="24"/>
          <w:szCs w:val="24"/>
        </w:rPr>
        <w:t xml:space="preserve">mają </w:t>
      </w:r>
      <w:r w:rsidR="008C6872" w:rsidRPr="00237760">
        <w:rPr>
          <w:rFonts w:ascii="Arial" w:hAnsi="Arial" w:cs="Arial"/>
          <w:color w:val="auto"/>
          <w:sz w:val="24"/>
          <w:szCs w:val="24"/>
        </w:rPr>
        <w:t>wyzwania</w:t>
      </w:r>
      <w:r w:rsidR="00572675" w:rsidRPr="00237760">
        <w:rPr>
          <w:rFonts w:ascii="Arial" w:hAnsi="Arial" w:cs="Arial"/>
          <w:color w:val="auto"/>
          <w:sz w:val="24"/>
          <w:szCs w:val="24"/>
        </w:rPr>
        <w:t xml:space="preserve"> określone w strategiach.</w:t>
      </w:r>
      <w:r w:rsidR="000E2466" w:rsidRPr="00237760">
        <w:rPr>
          <w:rFonts w:ascii="Arial" w:hAnsi="Arial" w:cs="Arial"/>
          <w:color w:val="auto"/>
          <w:sz w:val="24"/>
          <w:szCs w:val="24"/>
        </w:rPr>
        <w:t xml:space="preserve"> </w:t>
      </w:r>
      <w:r w:rsidR="00DF38B6" w:rsidRPr="00237760">
        <w:rPr>
          <w:rFonts w:ascii="Arial" w:hAnsi="Arial" w:cs="Arial"/>
          <w:color w:val="auto"/>
          <w:sz w:val="24"/>
          <w:szCs w:val="24"/>
        </w:rPr>
        <w:t>37,5</w:t>
      </w:r>
      <w:r w:rsidR="006B57B5" w:rsidRPr="00237760">
        <w:rPr>
          <w:rFonts w:ascii="Arial" w:hAnsi="Arial" w:cs="Arial"/>
          <w:color w:val="auto"/>
          <w:sz w:val="24"/>
          <w:szCs w:val="24"/>
        </w:rPr>
        <w:t xml:space="preserve">% </w:t>
      </w:r>
      <w:r w:rsidR="000E34D8" w:rsidRPr="00237760">
        <w:rPr>
          <w:rFonts w:ascii="Arial" w:hAnsi="Arial" w:cs="Arial"/>
          <w:color w:val="auto"/>
          <w:sz w:val="24"/>
          <w:szCs w:val="24"/>
        </w:rPr>
        <w:t xml:space="preserve">czynników </w:t>
      </w:r>
      <w:r w:rsidR="00572675" w:rsidRPr="00237760">
        <w:rPr>
          <w:rFonts w:ascii="Arial" w:hAnsi="Arial" w:cs="Arial"/>
          <w:color w:val="auto"/>
          <w:sz w:val="24"/>
          <w:szCs w:val="24"/>
        </w:rPr>
        <w:t xml:space="preserve">wskazanych </w:t>
      </w:r>
      <w:r w:rsidR="00685DA2" w:rsidRPr="00237760">
        <w:rPr>
          <w:rFonts w:ascii="Arial" w:hAnsi="Arial" w:cs="Arial"/>
          <w:color w:val="auto"/>
          <w:sz w:val="24"/>
          <w:szCs w:val="24"/>
        </w:rPr>
        <w:br/>
      </w:r>
      <w:r w:rsidR="00572675" w:rsidRPr="00237760">
        <w:rPr>
          <w:rFonts w:ascii="Arial" w:hAnsi="Arial" w:cs="Arial"/>
          <w:color w:val="auto"/>
          <w:sz w:val="24"/>
          <w:szCs w:val="24"/>
        </w:rPr>
        <w:t xml:space="preserve">w zagrożeniach </w:t>
      </w:r>
      <w:r w:rsidR="001F758B" w:rsidRPr="00237760">
        <w:rPr>
          <w:rFonts w:ascii="Arial" w:hAnsi="Arial" w:cs="Arial"/>
          <w:color w:val="auto"/>
          <w:sz w:val="24"/>
          <w:szCs w:val="24"/>
        </w:rPr>
        <w:t xml:space="preserve">dotyczy </w:t>
      </w:r>
      <w:r w:rsidR="007F1FF0" w:rsidRPr="00237760">
        <w:rPr>
          <w:rFonts w:ascii="Arial" w:hAnsi="Arial" w:cs="Arial"/>
          <w:color w:val="auto"/>
          <w:sz w:val="24"/>
          <w:szCs w:val="24"/>
        </w:rPr>
        <w:t>brak</w:t>
      </w:r>
      <w:r w:rsidR="001F758B" w:rsidRPr="00237760">
        <w:rPr>
          <w:rFonts w:ascii="Arial" w:hAnsi="Arial" w:cs="Arial"/>
          <w:color w:val="auto"/>
          <w:sz w:val="24"/>
          <w:szCs w:val="24"/>
        </w:rPr>
        <w:t>ów</w:t>
      </w:r>
      <w:r w:rsidR="007F1FF0" w:rsidRPr="00237760">
        <w:rPr>
          <w:rFonts w:ascii="Arial" w:hAnsi="Arial" w:cs="Arial"/>
          <w:color w:val="auto"/>
          <w:sz w:val="24"/>
          <w:szCs w:val="24"/>
        </w:rPr>
        <w:t xml:space="preserve"> w infrastrukturze </w:t>
      </w:r>
      <w:r w:rsidR="004D5901" w:rsidRPr="00237760">
        <w:rPr>
          <w:rFonts w:ascii="Arial" w:hAnsi="Arial" w:cs="Arial"/>
          <w:color w:val="auto"/>
          <w:sz w:val="24"/>
          <w:szCs w:val="24"/>
        </w:rPr>
        <w:t>krajowej</w:t>
      </w:r>
      <w:r w:rsidR="00B919EB" w:rsidRPr="00237760">
        <w:rPr>
          <w:rFonts w:ascii="Arial" w:hAnsi="Arial" w:cs="Arial"/>
          <w:color w:val="auto"/>
          <w:sz w:val="24"/>
          <w:szCs w:val="24"/>
        </w:rPr>
        <w:t>,</w:t>
      </w:r>
      <w:r w:rsidR="00802972" w:rsidRPr="00237760">
        <w:rPr>
          <w:rFonts w:ascii="Arial" w:hAnsi="Arial" w:cs="Arial"/>
          <w:color w:val="auto"/>
          <w:sz w:val="24"/>
          <w:szCs w:val="24"/>
        </w:rPr>
        <w:t xml:space="preserve"> </w:t>
      </w:r>
      <w:r w:rsidR="003A6F33" w:rsidRPr="00237760">
        <w:rPr>
          <w:rFonts w:ascii="Arial" w:hAnsi="Arial" w:cs="Arial"/>
          <w:color w:val="auto"/>
          <w:sz w:val="24"/>
          <w:szCs w:val="24"/>
        </w:rPr>
        <w:t xml:space="preserve">czy </w:t>
      </w:r>
      <w:r w:rsidR="003454AF" w:rsidRPr="00237760">
        <w:rPr>
          <w:rFonts w:ascii="Arial" w:hAnsi="Arial" w:cs="Arial"/>
          <w:color w:val="auto"/>
          <w:sz w:val="24"/>
          <w:szCs w:val="24"/>
        </w:rPr>
        <w:t xml:space="preserve">jej </w:t>
      </w:r>
      <w:r w:rsidR="00BB02BD" w:rsidRPr="00237760">
        <w:rPr>
          <w:rFonts w:ascii="Arial" w:hAnsi="Arial" w:cs="Arial"/>
          <w:color w:val="auto"/>
          <w:sz w:val="24"/>
          <w:szCs w:val="24"/>
        </w:rPr>
        <w:t>nie</w:t>
      </w:r>
      <w:r w:rsidR="00BB5F6E" w:rsidRPr="00237760">
        <w:rPr>
          <w:rFonts w:ascii="Arial" w:hAnsi="Arial" w:cs="Arial"/>
          <w:color w:val="auto"/>
          <w:sz w:val="24"/>
          <w:szCs w:val="24"/>
        </w:rPr>
        <w:t>odpowiednie</w:t>
      </w:r>
      <w:r w:rsidR="001F758B" w:rsidRPr="00237760">
        <w:rPr>
          <w:rFonts w:ascii="Arial" w:hAnsi="Arial" w:cs="Arial"/>
          <w:color w:val="auto"/>
          <w:sz w:val="24"/>
          <w:szCs w:val="24"/>
        </w:rPr>
        <w:t>go</w:t>
      </w:r>
      <w:r w:rsidR="003454AF" w:rsidRPr="00237760">
        <w:rPr>
          <w:rFonts w:ascii="Arial" w:hAnsi="Arial" w:cs="Arial"/>
          <w:color w:val="auto"/>
          <w:sz w:val="24"/>
          <w:szCs w:val="24"/>
        </w:rPr>
        <w:t xml:space="preserve"> </w:t>
      </w:r>
      <w:r w:rsidR="003A6F33" w:rsidRPr="00237760">
        <w:rPr>
          <w:rFonts w:ascii="Arial" w:hAnsi="Arial" w:cs="Arial"/>
          <w:color w:val="auto"/>
          <w:sz w:val="24"/>
          <w:szCs w:val="24"/>
        </w:rPr>
        <w:t>wykorzystani</w:t>
      </w:r>
      <w:r w:rsidR="001F758B" w:rsidRPr="00237760">
        <w:rPr>
          <w:rFonts w:ascii="Arial" w:hAnsi="Arial" w:cs="Arial"/>
          <w:color w:val="auto"/>
          <w:sz w:val="24"/>
          <w:szCs w:val="24"/>
        </w:rPr>
        <w:t>a</w:t>
      </w:r>
      <w:r w:rsidR="00E81DAC" w:rsidRPr="00237760">
        <w:rPr>
          <w:rFonts w:ascii="Arial" w:hAnsi="Arial" w:cs="Arial"/>
          <w:color w:val="auto"/>
          <w:sz w:val="24"/>
          <w:szCs w:val="24"/>
        </w:rPr>
        <w:t>.</w:t>
      </w:r>
    </w:p>
    <w:p w14:paraId="3FFB0F8D" w14:textId="2CECCA51" w:rsidR="003E6927" w:rsidRPr="00237760" w:rsidRDefault="00031981" w:rsidP="009367B4">
      <w:pPr>
        <w:pStyle w:val="Akapitzlist"/>
        <w:numPr>
          <w:ilvl w:val="0"/>
          <w:numId w:val="12"/>
        </w:numPr>
        <w:ind w:left="425" w:hanging="357"/>
        <w:contextualSpacing/>
        <w:jc w:val="left"/>
        <w:rPr>
          <w:rFonts w:ascii="Arial" w:hAnsi="Arial" w:cs="Arial"/>
          <w:color w:val="auto"/>
          <w:sz w:val="24"/>
          <w:szCs w:val="24"/>
        </w:rPr>
      </w:pPr>
      <w:r w:rsidRPr="00237760">
        <w:rPr>
          <w:rFonts w:ascii="Arial" w:hAnsi="Arial" w:cs="Arial"/>
          <w:color w:val="auto"/>
          <w:sz w:val="24"/>
          <w:szCs w:val="24"/>
        </w:rPr>
        <w:t>25</w:t>
      </w:r>
      <w:r w:rsidR="00373435" w:rsidRPr="00237760">
        <w:rPr>
          <w:rFonts w:ascii="Arial" w:hAnsi="Arial" w:cs="Arial"/>
          <w:color w:val="auto"/>
          <w:sz w:val="24"/>
          <w:szCs w:val="24"/>
        </w:rPr>
        <w:t xml:space="preserve">% </w:t>
      </w:r>
      <w:r w:rsidR="001F758B" w:rsidRPr="00237760">
        <w:rPr>
          <w:rFonts w:ascii="Arial" w:hAnsi="Arial" w:cs="Arial"/>
          <w:color w:val="auto"/>
          <w:sz w:val="24"/>
          <w:szCs w:val="24"/>
        </w:rPr>
        <w:t xml:space="preserve">zagrożeń </w:t>
      </w:r>
      <w:r w:rsidR="00373435" w:rsidRPr="00237760">
        <w:rPr>
          <w:rFonts w:ascii="Arial" w:hAnsi="Arial" w:cs="Arial"/>
          <w:color w:val="auto"/>
          <w:sz w:val="24"/>
          <w:szCs w:val="24"/>
        </w:rPr>
        <w:t xml:space="preserve">nawiązuje do </w:t>
      </w:r>
      <w:r w:rsidR="00CB3E6D" w:rsidRPr="00237760">
        <w:rPr>
          <w:rFonts w:ascii="Arial" w:hAnsi="Arial" w:cs="Arial"/>
          <w:color w:val="auto"/>
          <w:sz w:val="24"/>
          <w:szCs w:val="24"/>
        </w:rPr>
        <w:t>kwestii środowiskowych</w:t>
      </w:r>
      <w:r w:rsidR="00E81DAC" w:rsidRPr="00237760">
        <w:rPr>
          <w:rFonts w:ascii="Arial" w:hAnsi="Arial" w:cs="Arial"/>
          <w:color w:val="auto"/>
          <w:sz w:val="24"/>
          <w:szCs w:val="24"/>
        </w:rPr>
        <w:t>.</w:t>
      </w:r>
    </w:p>
    <w:p w14:paraId="438ED36D" w14:textId="36436EDE" w:rsidR="00285C6B" w:rsidRPr="00237760" w:rsidRDefault="00B919EB" w:rsidP="009367B4">
      <w:pPr>
        <w:pStyle w:val="Akapitzlist"/>
        <w:numPr>
          <w:ilvl w:val="0"/>
          <w:numId w:val="12"/>
        </w:numPr>
        <w:ind w:left="425" w:hanging="357"/>
        <w:contextualSpacing/>
        <w:jc w:val="left"/>
        <w:rPr>
          <w:rFonts w:ascii="Arial" w:hAnsi="Arial" w:cs="Arial"/>
          <w:color w:val="auto"/>
          <w:sz w:val="24"/>
          <w:szCs w:val="24"/>
        </w:rPr>
      </w:pPr>
      <w:r w:rsidRPr="00237760">
        <w:rPr>
          <w:rFonts w:ascii="Arial" w:hAnsi="Arial" w:cs="Arial"/>
          <w:color w:val="auto"/>
          <w:sz w:val="24"/>
          <w:szCs w:val="24"/>
        </w:rPr>
        <w:t>W strategiach MOF-ów zauważa się,</w:t>
      </w:r>
      <w:r w:rsidR="001F2320" w:rsidRPr="00237760">
        <w:rPr>
          <w:rFonts w:ascii="Arial" w:hAnsi="Arial" w:cs="Arial"/>
          <w:color w:val="auto"/>
          <w:sz w:val="24"/>
          <w:szCs w:val="24"/>
        </w:rPr>
        <w:t xml:space="preserve"> że najwięk</w:t>
      </w:r>
      <w:r w:rsidR="00A83F21" w:rsidRPr="00237760">
        <w:rPr>
          <w:rFonts w:ascii="Arial" w:hAnsi="Arial" w:cs="Arial"/>
          <w:color w:val="auto"/>
          <w:sz w:val="24"/>
          <w:szCs w:val="24"/>
        </w:rPr>
        <w:t>s</w:t>
      </w:r>
      <w:r w:rsidR="007F3B20" w:rsidRPr="00237760">
        <w:rPr>
          <w:rFonts w:ascii="Arial" w:hAnsi="Arial" w:cs="Arial"/>
          <w:color w:val="auto"/>
          <w:sz w:val="24"/>
          <w:szCs w:val="24"/>
        </w:rPr>
        <w:t>zą szansą dla ich rozwoju są drogi krajowe położone na obszarze województwa, ich dals</w:t>
      </w:r>
      <w:r w:rsidR="00A01EDE" w:rsidRPr="00237760">
        <w:rPr>
          <w:rFonts w:ascii="Arial" w:hAnsi="Arial" w:cs="Arial"/>
          <w:color w:val="auto"/>
          <w:sz w:val="24"/>
          <w:szCs w:val="24"/>
        </w:rPr>
        <w:t xml:space="preserve">za rozbudowa oraz </w:t>
      </w:r>
      <w:r w:rsidR="008154CB" w:rsidRPr="00237760">
        <w:rPr>
          <w:rFonts w:ascii="Arial" w:hAnsi="Arial" w:cs="Arial"/>
          <w:color w:val="auto"/>
          <w:sz w:val="24"/>
          <w:szCs w:val="24"/>
        </w:rPr>
        <w:t>ulokowanie inwestycji w ich pobliżu</w:t>
      </w:r>
      <w:r w:rsidR="00E373AA" w:rsidRPr="00237760">
        <w:rPr>
          <w:rFonts w:ascii="Arial" w:hAnsi="Arial" w:cs="Arial"/>
          <w:color w:val="auto"/>
          <w:sz w:val="24"/>
          <w:szCs w:val="24"/>
        </w:rPr>
        <w:t xml:space="preserve">. </w:t>
      </w:r>
      <w:r w:rsidR="000D40EF" w:rsidRPr="00237760">
        <w:rPr>
          <w:rFonts w:ascii="Arial" w:hAnsi="Arial" w:cs="Arial"/>
          <w:color w:val="auto"/>
          <w:sz w:val="24"/>
          <w:szCs w:val="24"/>
        </w:rPr>
        <w:t xml:space="preserve">Jest to </w:t>
      </w:r>
      <w:r w:rsidR="00EB4A8E" w:rsidRPr="00237760">
        <w:rPr>
          <w:rFonts w:ascii="Arial" w:hAnsi="Arial" w:cs="Arial"/>
          <w:color w:val="auto"/>
          <w:sz w:val="24"/>
          <w:szCs w:val="24"/>
        </w:rPr>
        <w:t xml:space="preserve">ściśle związane ze środkami </w:t>
      </w:r>
      <w:r w:rsidR="00066E7C" w:rsidRPr="00237760">
        <w:rPr>
          <w:rFonts w:ascii="Arial" w:hAnsi="Arial" w:cs="Arial"/>
          <w:color w:val="auto"/>
          <w:sz w:val="24"/>
          <w:szCs w:val="24"/>
        </w:rPr>
        <w:t>europejskimi</w:t>
      </w:r>
      <w:r w:rsidR="00217430" w:rsidRPr="00237760">
        <w:rPr>
          <w:rFonts w:ascii="Arial" w:hAnsi="Arial" w:cs="Arial"/>
          <w:color w:val="auto"/>
          <w:sz w:val="24"/>
          <w:szCs w:val="24"/>
        </w:rPr>
        <w:t xml:space="preserve">, których </w:t>
      </w:r>
      <w:r w:rsidR="00263DEF" w:rsidRPr="00237760">
        <w:rPr>
          <w:rFonts w:ascii="Arial" w:hAnsi="Arial" w:cs="Arial"/>
          <w:color w:val="auto"/>
          <w:sz w:val="24"/>
          <w:szCs w:val="24"/>
        </w:rPr>
        <w:t>obecność z</w:t>
      </w:r>
      <w:r w:rsidR="001118DF" w:rsidRPr="00237760">
        <w:rPr>
          <w:rFonts w:ascii="Arial" w:hAnsi="Arial" w:cs="Arial"/>
          <w:color w:val="auto"/>
          <w:sz w:val="24"/>
          <w:szCs w:val="24"/>
        </w:rPr>
        <w:t xml:space="preserve"> pewnością </w:t>
      </w:r>
      <w:r w:rsidR="00DB267A" w:rsidRPr="00237760">
        <w:rPr>
          <w:rFonts w:ascii="Arial" w:hAnsi="Arial" w:cs="Arial"/>
          <w:color w:val="auto"/>
          <w:sz w:val="24"/>
          <w:szCs w:val="24"/>
        </w:rPr>
        <w:t>wpły</w:t>
      </w:r>
      <w:r w:rsidR="005001E4" w:rsidRPr="00237760">
        <w:rPr>
          <w:rFonts w:ascii="Arial" w:hAnsi="Arial" w:cs="Arial"/>
          <w:color w:val="auto"/>
          <w:sz w:val="24"/>
          <w:szCs w:val="24"/>
        </w:rPr>
        <w:t xml:space="preserve">wa budująco na </w:t>
      </w:r>
      <w:r w:rsidR="00C020D7" w:rsidRPr="00237760">
        <w:rPr>
          <w:rFonts w:ascii="Arial" w:hAnsi="Arial" w:cs="Arial"/>
          <w:color w:val="auto"/>
          <w:sz w:val="24"/>
          <w:szCs w:val="24"/>
        </w:rPr>
        <w:t xml:space="preserve">system transportu. </w:t>
      </w:r>
    </w:p>
    <w:p w14:paraId="5EB744D6" w14:textId="00F372F3" w:rsidR="00043B07" w:rsidRPr="00237760" w:rsidRDefault="004907E4"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lastRenderedPageBreak/>
        <w:t>Najbardziej uniwersalnym</w:t>
      </w:r>
      <w:r w:rsidR="00C07E16" w:rsidRPr="00237760">
        <w:rPr>
          <w:rFonts w:ascii="Arial" w:hAnsi="Arial" w:cs="Arial"/>
          <w:color w:val="auto"/>
          <w:sz w:val="24"/>
          <w:szCs w:val="24"/>
          <w:lang w:eastAsia="pl-PL"/>
        </w:rPr>
        <w:t>i</w:t>
      </w:r>
      <w:r w:rsidRPr="00237760">
        <w:rPr>
          <w:rFonts w:ascii="Arial" w:hAnsi="Arial" w:cs="Arial"/>
          <w:color w:val="auto"/>
          <w:sz w:val="24"/>
          <w:szCs w:val="24"/>
          <w:lang w:eastAsia="pl-PL"/>
        </w:rPr>
        <w:t xml:space="preserve"> cel</w:t>
      </w:r>
      <w:r w:rsidR="004B612F" w:rsidRPr="00237760">
        <w:rPr>
          <w:rFonts w:ascii="Arial" w:hAnsi="Arial" w:cs="Arial"/>
          <w:color w:val="auto"/>
          <w:sz w:val="24"/>
          <w:szCs w:val="24"/>
          <w:lang w:eastAsia="pl-PL"/>
        </w:rPr>
        <w:t>a</w:t>
      </w:r>
      <w:r w:rsidRPr="00237760">
        <w:rPr>
          <w:rFonts w:ascii="Arial" w:hAnsi="Arial" w:cs="Arial"/>
          <w:color w:val="auto"/>
          <w:sz w:val="24"/>
          <w:szCs w:val="24"/>
          <w:lang w:eastAsia="pl-PL"/>
        </w:rPr>
        <w:t>m</w:t>
      </w:r>
      <w:r w:rsidR="00C07E16" w:rsidRPr="00237760">
        <w:rPr>
          <w:rFonts w:ascii="Arial" w:hAnsi="Arial" w:cs="Arial"/>
          <w:color w:val="auto"/>
          <w:sz w:val="24"/>
          <w:szCs w:val="24"/>
          <w:lang w:eastAsia="pl-PL"/>
        </w:rPr>
        <w:t>i</w:t>
      </w:r>
      <w:r w:rsidR="005E1C02" w:rsidRPr="00237760">
        <w:rPr>
          <w:rFonts w:ascii="Arial" w:hAnsi="Arial" w:cs="Arial"/>
          <w:color w:val="auto"/>
          <w:sz w:val="24"/>
          <w:szCs w:val="24"/>
          <w:lang w:eastAsia="pl-PL"/>
        </w:rPr>
        <w:t xml:space="preserve"> </w:t>
      </w:r>
      <w:r w:rsidR="000B2C07" w:rsidRPr="00237760">
        <w:rPr>
          <w:rFonts w:ascii="Arial" w:hAnsi="Arial" w:cs="Arial"/>
          <w:color w:val="auto"/>
          <w:sz w:val="24"/>
          <w:szCs w:val="24"/>
          <w:lang w:eastAsia="pl-PL"/>
        </w:rPr>
        <w:t>PSRT WP</w:t>
      </w:r>
      <w:r w:rsidRPr="00237760">
        <w:rPr>
          <w:rFonts w:ascii="Arial" w:hAnsi="Arial" w:cs="Arial"/>
          <w:color w:val="auto"/>
          <w:sz w:val="24"/>
          <w:szCs w:val="24"/>
          <w:lang w:eastAsia="pl-PL"/>
        </w:rPr>
        <w:t xml:space="preserve"> </w:t>
      </w:r>
      <w:r w:rsidR="00B364B6" w:rsidRPr="00237760">
        <w:rPr>
          <w:rFonts w:ascii="Arial" w:hAnsi="Arial" w:cs="Arial"/>
          <w:color w:val="auto"/>
          <w:sz w:val="24"/>
          <w:szCs w:val="24"/>
          <w:lang w:eastAsia="pl-PL"/>
        </w:rPr>
        <w:t>odpowiadającym</w:t>
      </w:r>
      <w:r w:rsidR="000B2C07" w:rsidRPr="00237760">
        <w:rPr>
          <w:rFonts w:ascii="Arial" w:hAnsi="Arial" w:cs="Arial"/>
          <w:color w:val="auto"/>
          <w:sz w:val="24"/>
          <w:szCs w:val="24"/>
          <w:lang w:eastAsia="pl-PL"/>
        </w:rPr>
        <w:t>i</w:t>
      </w:r>
      <w:r w:rsidR="00B364B6" w:rsidRPr="00237760">
        <w:rPr>
          <w:rFonts w:ascii="Arial" w:hAnsi="Arial" w:cs="Arial"/>
          <w:color w:val="auto"/>
          <w:sz w:val="24"/>
          <w:szCs w:val="24"/>
          <w:lang w:eastAsia="pl-PL"/>
        </w:rPr>
        <w:t xml:space="preserve"> na wyzwania i potrzeby </w:t>
      </w:r>
      <w:r w:rsidR="000B2C07" w:rsidRPr="00237760">
        <w:rPr>
          <w:rFonts w:ascii="Arial" w:hAnsi="Arial" w:cs="Arial"/>
          <w:color w:val="auto"/>
          <w:sz w:val="24"/>
          <w:szCs w:val="24"/>
          <w:lang w:eastAsia="pl-PL"/>
        </w:rPr>
        <w:t>miejskich obszarów funkcjonalnych</w:t>
      </w:r>
      <w:r w:rsidR="00B364B6" w:rsidRPr="00237760">
        <w:rPr>
          <w:rFonts w:ascii="Arial" w:hAnsi="Arial" w:cs="Arial"/>
          <w:color w:val="auto"/>
          <w:sz w:val="24"/>
          <w:szCs w:val="24"/>
          <w:lang w:eastAsia="pl-PL"/>
        </w:rPr>
        <w:t xml:space="preserve"> </w:t>
      </w:r>
      <w:r w:rsidR="00C07E16" w:rsidRPr="00237760">
        <w:rPr>
          <w:rFonts w:ascii="Arial" w:hAnsi="Arial" w:cs="Arial"/>
          <w:color w:val="auto"/>
          <w:sz w:val="24"/>
          <w:szCs w:val="24"/>
          <w:lang w:eastAsia="pl-PL"/>
        </w:rPr>
        <w:t>są</w:t>
      </w:r>
      <w:r w:rsidR="00943231" w:rsidRPr="00237760">
        <w:rPr>
          <w:rFonts w:ascii="Arial" w:hAnsi="Arial" w:cs="Arial"/>
          <w:color w:val="auto"/>
          <w:sz w:val="24"/>
          <w:szCs w:val="24"/>
          <w:lang w:eastAsia="pl-PL"/>
        </w:rPr>
        <w:t xml:space="preserve"> cel </w:t>
      </w:r>
      <w:r w:rsidR="00731A53" w:rsidRPr="00237760">
        <w:rPr>
          <w:rFonts w:ascii="Arial" w:hAnsi="Arial" w:cs="Arial"/>
          <w:color w:val="auto"/>
          <w:sz w:val="24"/>
          <w:szCs w:val="24"/>
          <w:lang w:eastAsia="pl-PL"/>
        </w:rPr>
        <w:t xml:space="preserve">podstawowy 1. </w:t>
      </w:r>
      <w:r w:rsidR="00C07E16" w:rsidRPr="00237760">
        <w:rPr>
          <w:rFonts w:ascii="Arial" w:hAnsi="Arial" w:cs="Arial"/>
          <w:color w:val="auto"/>
          <w:sz w:val="24"/>
          <w:szCs w:val="24"/>
          <w:lang w:eastAsia="pl-PL"/>
        </w:rPr>
        <w:t xml:space="preserve">oraz cel podstawowy 3. </w:t>
      </w:r>
      <w:r w:rsidR="000D6348" w:rsidRPr="00237760">
        <w:rPr>
          <w:rFonts w:ascii="Arial" w:hAnsi="Arial" w:cs="Arial"/>
          <w:color w:val="auto"/>
          <w:sz w:val="24"/>
          <w:szCs w:val="24"/>
          <w:lang w:eastAsia="pl-PL"/>
        </w:rPr>
        <w:t>Pozostałe cele</w:t>
      </w:r>
      <w:r w:rsidR="005568D4" w:rsidRPr="00237760">
        <w:rPr>
          <w:rFonts w:ascii="Arial" w:hAnsi="Arial" w:cs="Arial"/>
          <w:color w:val="auto"/>
          <w:sz w:val="24"/>
          <w:szCs w:val="24"/>
          <w:lang w:eastAsia="pl-PL"/>
        </w:rPr>
        <w:t xml:space="preserve"> również wpisują się </w:t>
      </w:r>
      <w:r w:rsidR="00AC41E6" w:rsidRPr="00237760">
        <w:rPr>
          <w:rFonts w:ascii="Arial" w:hAnsi="Arial" w:cs="Arial"/>
          <w:color w:val="auto"/>
          <w:sz w:val="24"/>
          <w:szCs w:val="24"/>
          <w:lang w:eastAsia="pl-PL"/>
        </w:rPr>
        <w:t xml:space="preserve">w czynniki wskazane w </w:t>
      </w:r>
      <w:r w:rsidR="0078556F" w:rsidRPr="00237760">
        <w:rPr>
          <w:rFonts w:ascii="Arial" w:hAnsi="Arial" w:cs="Arial"/>
          <w:color w:val="auto"/>
          <w:sz w:val="24"/>
          <w:szCs w:val="24"/>
          <w:lang w:eastAsia="pl-PL"/>
        </w:rPr>
        <w:t>strategiach rozwoj</w:t>
      </w:r>
      <w:r w:rsidR="00CF0A91" w:rsidRPr="00237760">
        <w:rPr>
          <w:rFonts w:ascii="Arial" w:hAnsi="Arial" w:cs="Arial"/>
          <w:color w:val="auto"/>
          <w:sz w:val="24"/>
          <w:szCs w:val="24"/>
          <w:lang w:eastAsia="pl-PL"/>
        </w:rPr>
        <w:t xml:space="preserve">u, </w:t>
      </w:r>
      <w:r w:rsidR="0009071D" w:rsidRPr="00237760">
        <w:rPr>
          <w:rFonts w:ascii="Arial" w:hAnsi="Arial" w:cs="Arial"/>
          <w:color w:val="auto"/>
          <w:sz w:val="24"/>
          <w:szCs w:val="24"/>
          <w:lang w:eastAsia="pl-PL"/>
        </w:rPr>
        <w:t xml:space="preserve">obecność każdego można łatwo uargumentować </w:t>
      </w:r>
      <w:r w:rsidR="00A726FF" w:rsidRPr="00237760">
        <w:rPr>
          <w:rFonts w:ascii="Arial" w:hAnsi="Arial" w:cs="Arial"/>
          <w:color w:val="auto"/>
          <w:sz w:val="24"/>
          <w:szCs w:val="24"/>
          <w:lang w:eastAsia="pl-PL"/>
        </w:rPr>
        <w:t xml:space="preserve">za pomocą </w:t>
      </w:r>
      <w:r w:rsidR="00814696" w:rsidRPr="00237760">
        <w:rPr>
          <w:rFonts w:ascii="Arial" w:hAnsi="Arial" w:cs="Arial"/>
          <w:color w:val="auto"/>
          <w:sz w:val="24"/>
          <w:szCs w:val="24"/>
          <w:lang w:eastAsia="pl-PL"/>
        </w:rPr>
        <w:t>analiz</w:t>
      </w:r>
      <w:r w:rsidR="00A726FF" w:rsidRPr="00237760">
        <w:rPr>
          <w:rFonts w:ascii="Arial" w:hAnsi="Arial" w:cs="Arial"/>
          <w:color w:val="auto"/>
          <w:sz w:val="24"/>
          <w:szCs w:val="24"/>
          <w:lang w:eastAsia="pl-PL"/>
        </w:rPr>
        <w:t xml:space="preserve"> SWOT. </w:t>
      </w:r>
    </w:p>
    <w:p w14:paraId="3C258698" w14:textId="4EE39C09" w:rsidR="00C77084" w:rsidRPr="00237760" w:rsidRDefault="00CE7DD5"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 xml:space="preserve">Omawiając </w:t>
      </w:r>
      <w:r w:rsidR="00F77175" w:rsidRPr="00237760">
        <w:rPr>
          <w:rFonts w:ascii="Arial" w:hAnsi="Arial" w:cs="Arial"/>
          <w:color w:val="auto"/>
          <w:sz w:val="24"/>
          <w:szCs w:val="24"/>
          <w:lang w:eastAsia="pl-PL"/>
        </w:rPr>
        <w:t>strategie MOF-ów</w:t>
      </w:r>
      <w:r w:rsidRPr="00237760">
        <w:rPr>
          <w:rFonts w:ascii="Arial" w:hAnsi="Arial" w:cs="Arial"/>
          <w:color w:val="auto"/>
          <w:sz w:val="24"/>
          <w:szCs w:val="24"/>
          <w:lang w:eastAsia="pl-PL"/>
        </w:rPr>
        <w:t xml:space="preserve"> warto </w:t>
      </w:r>
      <w:r w:rsidR="00B47BDB" w:rsidRPr="00237760">
        <w:rPr>
          <w:rFonts w:ascii="Arial" w:hAnsi="Arial" w:cs="Arial"/>
          <w:color w:val="auto"/>
          <w:sz w:val="24"/>
          <w:szCs w:val="24"/>
          <w:lang w:eastAsia="pl-PL"/>
        </w:rPr>
        <w:t>wspomnieć o</w:t>
      </w:r>
      <w:r w:rsidR="000C7A61" w:rsidRPr="00237760">
        <w:rPr>
          <w:rFonts w:ascii="Arial" w:hAnsi="Arial" w:cs="Arial"/>
          <w:color w:val="auto"/>
          <w:sz w:val="24"/>
          <w:szCs w:val="24"/>
          <w:lang w:eastAsia="pl-PL"/>
        </w:rPr>
        <w:t xml:space="preserve"> dokumentach</w:t>
      </w:r>
      <w:r w:rsidR="00B47BDB" w:rsidRPr="00237760">
        <w:rPr>
          <w:rFonts w:ascii="Arial" w:hAnsi="Arial" w:cs="Arial"/>
          <w:color w:val="auto"/>
          <w:sz w:val="24"/>
          <w:szCs w:val="24"/>
          <w:lang w:eastAsia="pl-PL"/>
        </w:rPr>
        <w:t>, które również poruszają kwestie potrzeb transportu</w:t>
      </w:r>
      <w:r w:rsidR="00F77175" w:rsidRPr="00237760">
        <w:rPr>
          <w:rFonts w:ascii="Arial" w:hAnsi="Arial" w:cs="Arial"/>
          <w:color w:val="auto"/>
          <w:sz w:val="24"/>
          <w:szCs w:val="24"/>
          <w:lang w:eastAsia="pl-PL"/>
        </w:rPr>
        <w:t xml:space="preserve"> i swoim zasięgiem </w:t>
      </w:r>
      <w:r w:rsidR="006A18D6" w:rsidRPr="00237760">
        <w:rPr>
          <w:rFonts w:ascii="Arial" w:hAnsi="Arial" w:cs="Arial"/>
          <w:color w:val="auto"/>
          <w:sz w:val="24"/>
          <w:szCs w:val="24"/>
          <w:lang w:eastAsia="pl-PL"/>
        </w:rPr>
        <w:t xml:space="preserve">obejmują </w:t>
      </w:r>
      <w:r w:rsidR="00443376" w:rsidRPr="00237760">
        <w:rPr>
          <w:rFonts w:ascii="Arial" w:hAnsi="Arial" w:cs="Arial"/>
          <w:color w:val="auto"/>
          <w:sz w:val="24"/>
          <w:szCs w:val="24"/>
          <w:lang w:eastAsia="pl-PL"/>
        </w:rPr>
        <w:t>obszary ponadlokalne</w:t>
      </w:r>
      <w:r w:rsidR="006A18D6" w:rsidRPr="00237760">
        <w:rPr>
          <w:rFonts w:ascii="Arial" w:hAnsi="Arial" w:cs="Arial"/>
          <w:color w:val="auto"/>
          <w:sz w:val="24"/>
          <w:szCs w:val="24"/>
          <w:lang w:eastAsia="pl-PL"/>
        </w:rPr>
        <w:t xml:space="preserve"> </w:t>
      </w:r>
      <w:r w:rsidR="00443376" w:rsidRPr="00237760">
        <w:rPr>
          <w:rFonts w:ascii="Arial" w:hAnsi="Arial" w:cs="Arial"/>
          <w:color w:val="auto"/>
          <w:sz w:val="24"/>
          <w:szCs w:val="24"/>
          <w:lang w:eastAsia="pl-PL"/>
        </w:rPr>
        <w:t>–</w:t>
      </w:r>
      <w:r w:rsidR="006A18D6" w:rsidRPr="00237760">
        <w:rPr>
          <w:rFonts w:ascii="Arial" w:hAnsi="Arial" w:cs="Arial"/>
          <w:color w:val="auto"/>
          <w:sz w:val="24"/>
          <w:szCs w:val="24"/>
          <w:lang w:eastAsia="pl-PL"/>
        </w:rPr>
        <w:t xml:space="preserve"> </w:t>
      </w:r>
      <w:r w:rsidR="00B47BDB" w:rsidRPr="00237760">
        <w:rPr>
          <w:rFonts w:ascii="Arial" w:hAnsi="Arial" w:cs="Arial"/>
          <w:i/>
          <w:iCs/>
          <w:color w:val="auto"/>
          <w:sz w:val="24"/>
          <w:szCs w:val="24"/>
          <w:lang w:eastAsia="pl-PL"/>
        </w:rPr>
        <w:t>Program Strategicznego Rozwoju Bieszczad</w:t>
      </w:r>
      <w:r w:rsidR="006A18D6" w:rsidRPr="00237760">
        <w:rPr>
          <w:rFonts w:ascii="Arial" w:hAnsi="Arial" w:cs="Arial"/>
          <w:color w:val="auto"/>
          <w:sz w:val="24"/>
          <w:szCs w:val="24"/>
          <w:lang w:eastAsia="pl-PL"/>
        </w:rPr>
        <w:t xml:space="preserve"> i </w:t>
      </w:r>
      <w:r w:rsidR="00B47BDB" w:rsidRPr="00237760">
        <w:rPr>
          <w:rFonts w:ascii="Arial" w:hAnsi="Arial" w:cs="Arial"/>
          <w:i/>
          <w:iCs/>
          <w:color w:val="auto"/>
          <w:sz w:val="24"/>
          <w:szCs w:val="24"/>
          <w:lang w:eastAsia="pl-PL"/>
        </w:rPr>
        <w:t>Program Strategiczny Błękitny San</w:t>
      </w:r>
      <w:r w:rsidR="006A18D6" w:rsidRPr="00237760">
        <w:rPr>
          <w:rFonts w:ascii="Arial" w:hAnsi="Arial" w:cs="Arial"/>
          <w:color w:val="auto"/>
          <w:sz w:val="24"/>
          <w:szCs w:val="24"/>
          <w:lang w:eastAsia="pl-PL"/>
        </w:rPr>
        <w:t xml:space="preserve">. </w:t>
      </w:r>
      <w:r w:rsidR="00590D03" w:rsidRPr="00237760">
        <w:rPr>
          <w:rFonts w:ascii="Arial" w:hAnsi="Arial" w:cs="Arial"/>
          <w:color w:val="auto"/>
          <w:sz w:val="24"/>
          <w:szCs w:val="24"/>
          <w:lang w:eastAsia="pl-PL"/>
        </w:rPr>
        <w:t xml:space="preserve">Pierwszy z nich </w:t>
      </w:r>
      <w:r w:rsidR="0042394A" w:rsidRPr="00237760">
        <w:rPr>
          <w:rFonts w:ascii="Arial" w:hAnsi="Arial" w:cs="Arial"/>
          <w:color w:val="auto"/>
          <w:sz w:val="24"/>
          <w:szCs w:val="24"/>
          <w:lang w:eastAsia="pl-PL"/>
        </w:rPr>
        <w:t xml:space="preserve">stawia sobie za główny cel </w:t>
      </w:r>
      <w:r w:rsidR="001E5135" w:rsidRPr="00237760">
        <w:rPr>
          <w:rFonts w:ascii="Arial" w:hAnsi="Arial" w:cs="Arial"/>
          <w:color w:val="auto"/>
          <w:sz w:val="24"/>
          <w:szCs w:val="24"/>
          <w:lang w:eastAsia="pl-PL"/>
        </w:rPr>
        <w:t xml:space="preserve">rozwój </w:t>
      </w:r>
      <w:r w:rsidR="00F5525E" w:rsidRPr="00237760">
        <w:rPr>
          <w:rFonts w:ascii="Arial" w:hAnsi="Arial" w:cs="Arial"/>
          <w:color w:val="auto"/>
          <w:sz w:val="24"/>
          <w:szCs w:val="24"/>
          <w:lang w:eastAsia="pl-PL"/>
        </w:rPr>
        <w:t xml:space="preserve">regionu w sposób zrównoważony i przez to </w:t>
      </w:r>
      <w:r w:rsidR="0042394A" w:rsidRPr="00237760">
        <w:rPr>
          <w:rFonts w:ascii="Arial" w:hAnsi="Arial" w:cs="Arial"/>
          <w:color w:val="auto"/>
          <w:sz w:val="24"/>
          <w:szCs w:val="24"/>
          <w:lang w:eastAsia="pl-PL"/>
        </w:rPr>
        <w:t>podniesienie poziomu życia mieszkańców</w:t>
      </w:r>
      <w:r w:rsidR="00D4354A" w:rsidRPr="00237760">
        <w:rPr>
          <w:rFonts w:ascii="Arial" w:hAnsi="Arial" w:cs="Arial"/>
          <w:color w:val="auto"/>
          <w:sz w:val="24"/>
          <w:szCs w:val="24"/>
          <w:lang w:eastAsia="pl-PL"/>
        </w:rPr>
        <w:t xml:space="preserve"> 12 gmin objętych Programem.</w:t>
      </w:r>
      <w:r w:rsidR="00B2771A" w:rsidRPr="00237760">
        <w:rPr>
          <w:rFonts w:ascii="Arial" w:hAnsi="Arial" w:cs="Arial"/>
          <w:color w:val="auto"/>
          <w:sz w:val="24"/>
          <w:szCs w:val="24"/>
          <w:lang w:eastAsia="pl-PL"/>
        </w:rPr>
        <w:t xml:space="preserve"> </w:t>
      </w:r>
      <w:r w:rsidR="00290651" w:rsidRPr="00237760">
        <w:rPr>
          <w:rFonts w:ascii="Arial" w:hAnsi="Arial" w:cs="Arial"/>
          <w:color w:val="auto"/>
          <w:sz w:val="24"/>
          <w:szCs w:val="24"/>
          <w:lang w:eastAsia="pl-PL"/>
        </w:rPr>
        <w:t xml:space="preserve">Ma to zostać zrealizowanie </w:t>
      </w:r>
      <w:r w:rsidR="00C35026" w:rsidRPr="00237760">
        <w:rPr>
          <w:rFonts w:ascii="Arial" w:hAnsi="Arial" w:cs="Arial"/>
          <w:color w:val="auto"/>
          <w:sz w:val="24"/>
          <w:szCs w:val="24"/>
          <w:lang w:eastAsia="pl-PL"/>
        </w:rPr>
        <w:t xml:space="preserve">poprzez </w:t>
      </w:r>
      <w:r w:rsidR="00FD797F" w:rsidRPr="00237760">
        <w:rPr>
          <w:rFonts w:ascii="Arial" w:hAnsi="Arial" w:cs="Arial"/>
          <w:color w:val="auto"/>
          <w:sz w:val="24"/>
          <w:szCs w:val="24"/>
          <w:lang w:eastAsia="pl-PL"/>
        </w:rPr>
        <w:t>założenia związane z</w:t>
      </w:r>
      <w:r w:rsidR="00A679AC" w:rsidRPr="00237760">
        <w:rPr>
          <w:rFonts w:ascii="Arial" w:hAnsi="Arial" w:cs="Arial"/>
          <w:color w:val="auto"/>
          <w:sz w:val="24"/>
          <w:szCs w:val="24"/>
          <w:lang w:eastAsia="pl-PL"/>
        </w:rPr>
        <w:t xml:space="preserve"> rozwojem</w:t>
      </w:r>
      <w:r w:rsidR="00C77084" w:rsidRPr="00237760">
        <w:rPr>
          <w:rFonts w:ascii="Arial" w:hAnsi="Arial" w:cs="Arial"/>
          <w:color w:val="auto"/>
          <w:sz w:val="24"/>
          <w:szCs w:val="24"/>
          <w:lang w:eastAsia="pl-PL"/>
        </w:rPr>
        <w:t>:</w:t>
      </w:r>
    </w:p>
    <w:p w14:paraId="5589DD27" w14:textId="2F5B8A76" w:rsidR="00B47BDB" w:rsidRPr="00237760" w:rsidRDefault="00C9039B" w:rsidP="009367B4">
      <w:pPr>
        <w:pStyle w:val="Akapitzlist"/>
        <w:numPr>
          <w:ilvl w:val="0"/>
          <w:numId w:val="19"/>
        </w:numPr>
        <w:jc w:val="left"/>
        <w:rPr>
          <w:rFonts w:ascii="Arial" w:hAnsi="Arial" w:cs="Arial"/>
          <w:color w:val="auto"/>
          <w:sz w:val="24"/>
          <w:szCs w:val="24"/>
          <w:lang w:eastAsia="en-US"/>
        </w:rPr>
      </w:pPr>
      <w:r w:rsidRPr="00237760">
        <w:rPr>
          <w:rFonts w:ascii="Arial" w:hAnsi="Arial" w:cs="Arial"/>
          <w:color w:val="auto"/>
          <w:sz w:val="24"/>
          <w:szCs w:val="24"/>
        </w:rPr>
        <w:t>turystyki (</w:t>
      </w:r>
      <w:r w:rsidR="009E3367" w:rsidRPr="00237760">
        <w:rPr>
          <w:rFonts w:ascii="Arial" w:hAnsi="Arial" w:cs="Arial"/>
          <w:color w:val="auto"/>
          <w:sz w:val="24"/>
          <w:szCs w:val="24"/>
        </w:rPr>
        <w:t>infrastruktury turystycznej i rekreacyjnej, produktów turystycznych, promoc</w:t>
      </w:r>
      <w:r w:rsidR="007210B4" w:rsidRPr="00237760">
        <w:rPr>
          <w:rFonts w:ascii="Arial" w:hAnsi="Arial" w:cs="Arial"/>
          <w:color w:val="auto"/>
          <w:sz w:val="24"/>
          <w:szCs w:val="24"/>
        </w:rPr>
        <w:t>ji dziedzictwa kulturowego</w:t>
      </w:r>
      <w:r w:rsidR="00C77084" w:rsidRPr="00237760">
        <w:rPr>
          <w:rFonts w:ascii="Arial" w:hAnsi="Arial" w:cs="Arial"/>
          <w:color w:val="auto"/>
          <w:sz w:val="24"/>
          <w:szCs w:val="24"/>
        </w:rPr>
        <w:t>, partnerstwa</w:t>
      </w:r>
      <w:r w:rsidRPr="00237760">
        <w:rPr>
          <w:rFonts w:ascii="Arial" w:hAnsi="Arial" w:cs="Arial"/>
          <w:color w:val="auto"/>
          <w:sz w:val="24"/>
          <w:szCs w:val="24"/>
        </w:rPr>
        <w:t>)</w:t>
      </w:r>
      <w:r w:rsidR="00C77084" w:rsidRPr="00237760">
        <w:rPr>
          <w:rFonts w:ascii="Arial" w:hAnsi="Arial" w:cs="Arial"/>
          <w:color w:val="auto"/>
          <w:sz w:val="24"/>
          <w:szCs w:val="24"/>
        </w:rPr>
        <w:t xml:space="preserve">, </w:t>
      </w:r>
    </w:p>
    <w:p w14:paraId="46C21E35" w14:textId="71AD3F18" w:rsidR="00C77084" w:rsidRPr="00237760" w:rsidRDefault="00A679AC" w:rsidP="009367B4">
      <w:pPr>
        <w:pStyle w:val="Akapitzlist"/>
        <w:numPr>
          <w:ilvl w:val="0"/>
          <w:numId w:val="19"/>
        </w:numPr>
        <w:jc w:val="left"/>
        <w:rPr>
          <w:rFonts w:ascii="Arial" w:hAnsi="Arial" w:cs="Arial"/>
          <w:color w:val="auto"/>
          <w:sz w:val="24"/>
          <w:szCs w:val="24"/>
          <w:lang w:eastAsia="en-US"/>
        </w:rPr>
      </w:pPr>
      <w:r w:rsidRPr="00237760">
        <w:rPr>
          <w:rFonts w:ascii="Arial" w:hAnsi="Arial" w:cs="Arial"/>
          <w:color w:val="auto"/>
          <w:sz w:val="24"/>
          <w:szCs w:val="24"/>
          <w:lang w:eastAsia="en-US"/>
        </w:rPr>
        <w:t xml:space="preserve">przedsiębiorczości (klastrów, </w:t>
      </w:r>
      <w:r w:rsidR="000E614D" w:rsidRPr="00237760">
        <w:rPr>
          <w:rFonts w:ascii="Arial" w:hAnsi="Arial" w:cs="Arial"/>
          <w:color w:val="auto"/>
          <w:sz w:val="24"/>
          <w:szCs w:val="24"/>
          <w:lang w:eastAsia="en-US"/>
        </w:rPr>
        <w:t xml:space="preserve">działalności gospodarczej na terenach wiejskich, rolnictwa </w:t>
      </w:r>
      <w:r w:rsidR="00685DA2" w:rsidRPr="00237760">
        <w:rPr>
          <w:rFonts w:ascii="Arial" w:hAnsi="Arial" w:cs="Arial"/>
          <w:color w:val="auto"/>
          <w:sz w:val="24"/>
          <w:szCs w:val="24"/>
          <w:lang w:eastAsia="en-US"/>
        </w:rPr>
        <w:br/>
      </w:r>
      <w:r w:rsidR="000E614D" w:rsidRPr="00237760">
        <w:rPr>
          <w:rFonts w:ascii="Arial" w:hAnsi="Arial" w:cs="Arial"/>
          <w:color w:val="auto"/>
          <w:sz w:val="24"/>
          <w:szCs w:val="24"/>
          <w:lang w:eastAsia="en-US"/>
        </w:rPr>
        <w:t>i przetwórstwa, instytucji otoczenia biznesu</w:t>
      </w:r>
      <w:r w:rsidRPr="00237760">
        <w:rPr>
          <w:rFonts w:ascii="Arial" w:hAnsi="Arial" w:cs="Arial"/>
          <w:color w:val="auto"/>
          <w:sz w:val="24"/>
          <w:szCs w:val="24"/>
          <w:lang w:eastAsia="en-US"/>
        </w:rPr>
        <w:t>)</w:t>
      </w:r>
      <w:r w:rsidR="000E614D" w:rsidRPr="00237760">
        <w:rPr>
          <w:rFonts w:ascii="Arial" w:hAnsi="Arial" w:cs="Arial"/>
          <w:color w:val="auto"/>
          <w:sz w:val="24"/>
          <w:szCs w:val="24"/>
          <w:lang w:eastAsia="en-US"/>
        </w:rPr>
        <w:t>,</w:t>
      </w:r>
    </w:p>
    <w:p w14:paraId="4A610292" w14:textId="1E5A6359" w:rsidR="000E614D" w:rsidRPr="00237760" w:rsidRDefault="000E614D" w:rsidP="009367B4">
      <w:pPr>
        <w:pStyle w:val="Akapitzlist"/>
        <w:numPr>
          <w:ilvl w:val="0"/>
          <w:numId w:val="19"/>
        </w:numPr>
        <w:jc w:val="left"/>
        <w:rPr>
          <w:rFonts w:ascii="Arial" w:hAnsi="Arial" w:cs="Arial"/>
          <w:color w:val="auto"/>
          <w:sz w:val="24"/>
          <w:szCs w:val="24"/>
          <w:lang w:eastAsia="en-US"/>
        </w:rPr>
      </w:pPr>
      <w:r w:rsidRPr="00237760">
        <w:rPr>
          <w:rFonts w:ascii="Arial" w:hAnsi="Arial" w:cs="Arial"/>
          <w:color w:val="auto"/>
          <w:sz w:val="24"/>
          <w:szCs w:val="24"/>
          <w:lang w:eastAsia="en-US"/>
        </w:rPr>
        <w:t>kapitału ludzkiego i społecznego (</w:t>
      </w:r>
      <w:r w:rsidR="006928D0" w:rsidRPr="00237760">
        <w:rPr>
          <w:rFonts w:ascii="Arial" w:hAnsi="Arial" w:cs="Arial"/>
          <w:color w:val="auto"/>
          <w:sz w:val="24"/>
          <w:szCs w:val="24"/>
          <w:lang w:eastAsia="en-US"/>
        </w:rPr>
        <w:t xml:space="preserve">oferty edukacyjnej, </w:t>
      </w:r>
      <w:r w:rsidR="00D2638A" w:rsidRPr="00237760">
        <w:rPr>
          <w:rFonts w:ascii="Arial" w:hAnsi="Arial" w:cs="Arial"/>
          <w:color w:val="auto"/>
          <w:sz w:val="24"/>
          <w:szCs w:val="24"/>
          <w:lang w:eastAsia="en-US"/>
        </w:rPr>
        <w:t xml:space="preserve">włączenia społecznego, partnerstwa </w:t>
      </w:r>
      <w:r w:rsidR="00685DA2" w:rsidRPr="00237760">
        <w:rPr>
          <w:rFonts w:ascii="Arial" w:hAnsi="Arial" w:cs="Arial"/>
          <w:color w:val="auto"/>
          <w:sz w:val="24"/>
          <w:szCs w:val="24"/>
          <w:lang w:eastAsia="en-US"/>
        </w:rPr>
        <w:br/>
      </w:r>
      <w:r w:rsidR="00D2638A" w:rsidRPr="00237760">
        <w:rPr>
          <w:rFonts w:ascii="Arial" w:hAnsi="Arial" w:cs="Arial"/>
          <w:color w:val="auto"/>
          <w:sz w:val="24"/>
          <w:szCs w:val="24"/>
          <w:lang w:eastAsia="en-US"/>
        </w:rPr>
        <w:t>i aktywności</w:t>
      </w:r>
      <w:r w:rsidRPr="00237760">
        <w:rPr>
          <w:rFonts w:ascii="Arial" w:hAnsi="Arial" w:cs="Arial"/>
          <w:color w:val="auto"/>
          <w:sz w:val="24"/>
          <w:szCs w:val="24"/>
          <w:lang w:eastAsia="en-US"/>
        </w:rPr>
        <w:t>)</w:t>
      </w:r>
      <w:r w:rsidR="00D2638A" w:rsidRPr="00237760">
        <w:rPr>
          <w:rFonts w:ascii="Arial" w:hAnsi="Arial" w:cs="Arial"/>
          <w:color w:val="auto"/>
          <w:sz w:val="24"/>
          <w:szCs w:val="24"/>
          <w:lang w:eastAsia="en-US"/>
        </w:rPr>
        <w:t xml:space="preserve">. </w:t>
      </w:r>
    </w:p>
    <w:p w14:paraId="4ED7D3FB" w14:textId="7E14CB2B" w:rsidR="0010530E" w:rsidRPr="00237760" w:rsidRDefault="00665519" w:rsidP="009367B4">
      <w:pPr>
        <w:pStyle w:val="Akapitzlist"/>
        <w:numPr>
          <w:ilvl w:val="0"/>
          <w:numId w:val="19"/>
        </w:numPr>
        <w:jc w:val="left"/>
        <w:rPr>
          <w:rFonts w:ascii="Arial" w:hAnsi="Arial" w:cs="Arial"/>
          <w:color w:val="auto"/>
          <w:sz w:val="24"/>
          <w:szCs w:val="24"/>
          <w:lang w:eastAsia="en-US"/>
        </w:rPr>
      </w:pPr>
      <w:r w:rsidRPr="00237760">
        <w:rPr>
          <w:rFonts w:ascii="Arial" w:hAnsi="Arial" w:cs="Arial"/>
          <w:color w:val="auto"/>
          <w:sz w:val="24"/>
          <w:szCs w:val="24"/>
          <w:lang w:eastAsia="en-US"/>
        </w:rPr>
        <w:t>i</w:t>
      </w:r>
      <w:r w:rsidR="0010530E" w:rsidRPr="00237760">
        <w:rPr>
          <w:rFonts w:ascii="Arial" w:hAnsi="Arial" w:cs="Arial"/>
          <w:color w:val="auto"/>
          <w:sz w:val="24"/>
          <w:szCs w:val="24"/>
          <w:lang w:eastAsia="en-US"/>
        </w:rPr>
        <w:t>nfrastruktury</w:t>
      </w:r>
      <w:r w:rsidR="005D41A5" w:rsidRPr="00237760">
        <w:rPr>
          <w:rFonts w:ascii="Arial" w:hAnsi="Arial" w:cs="Arial"/>
          <w:color w:val="auto"/>
          <w:sz w:val="24"/>
          <w:szCs w:val="24"/>
          <w:lang w:eastAsia="en-US"/>
        </w:rPr>
        <w:t xml:space="preserve"> służącej poprawie dostępności </w:t>
      </w:r>
      <w:r w:rsidRPr="00237760">
        <w:rPr>
          <w:rFonts w:ascii="Arial" w:hAnsi="Arial" w:cs="Arial"/>
          <w:color w:val="auto"/>
          <w:sz w:val="24"/>
          <w:szCs w:val="24"/>
          <w:lang w:eastAsia="en-US"/>
        </w:rPr>
        <w:t>i ochronie środowiska (</w:t>
      </w:r>
      <w:r w:rsidR="005B2443" w:rsidRPr="00237760">
        <w:rPr>
          <w:rFonts w:ascii="Arial" w:hAnsi="Arial" w:cs="Arial"/>
          <w:color w:val="auto"/>
          <w:sz w:val="24"/>
          <w:szCs w:val="24"/>
          <w:lang w:eastAsia="en-US"/>
        </w:rPr>
        <w:t xml:space="preserve">dostępności przestrzennej i cyfrowej, transgranicznej infrastruktury komunikacyjnej, </w:t>
      </w:r>
      <w:r w:rsidR="00454687" w:rsidRPr="00237760">
        <w:rPr>
          <w:rFonts w:ascii="Arial" w:hAnsi="Arial" w:cs="Arial"/>
          <w:color w:val="auto"/>
          <w:sz w:val="24"/>
          <w:szCs w:val="24"/>
          <w:lang w:eastAsia="en-US"/>
        </w:rPr>
        <w:t>ochrony walorów środowiskowych oraz krajobrazowych, gospodarki wodno-ściekowej i gospodarki odpadami</w:t>
      </w:r>
      <w:r w:rsidRPr="00237760">
        <w:rPr>
          <w:rFonts w:ascii="Arial" w:hAnsi="Arial" w:cs="Arial"/>
          <w:color w:val="auto"/>
          <w:sz w:val="24"/>
          <w:szCs w:val="24"/>
          <w:lang w:eastAsia="en-US"/>
        </w:rPr>
        <w:t>)</w:t>
      </w:r>
      <w:r w:rsidR="00454687" w:rsidRPr="00237760">
        <w:rPr>
          <w:rFonts w:ascii="Arial" w:hAnsi="Arial" w:cs="Arial"/>
          <w:color w:val="auto"/>
          <w:sz w:val="24"/>
          <w:szCs w:val="24"/>
          <w:lang w:eastAsia="en-US"/>
        </w:rPr>
        <w:t>.</w:t>
      </w:r>
    </w:p>
    <w:p w14:paraId="30965F5B" w14:textId="0CA208E7" w:rsidR="00DB7BC4" w:rsidRPr="00237760" w:rsidRDefault="00454687" w:rsidP="009367B4">
      <w:pPr>
        <w:jc w:val="left"/>
        <w:rPr>
          <w:rFonts w:ascii="Arial" w:hAnsi="Arial" w:cs="Arial"/>
          <w:color w:val="auto"/>
          <w:sz w:val="24"/>
          <w:szCs w:val="24"/>
        </w:rPr>
      </w:pPr>
      <w:r w:rsidRPr="00237760">
        <w:rPr>
          <w:rFonts w:ascii="Arial" w:hAnsi="Arial" w:cs="Arial"/>
          <w:color w:val="auto"/>
          <w:sz w:val="24"/>
          <w:szCs w:val="24"/>
        </w:rPr>
        <w:t>Transport najbardziej zauważalny jest w ostatnim z priorytetów</w:t>
      </w:r>
      <w:r w:rsidR="00462ADE" w:rsidRPr="00237760">
        <w:rPr>
          <w:rFonts w:ascii="Arial" w:hAnsi="Arial" w:cs="Arial"/>
          <w:color w:val="auto"/>
          <w:sz w:val="24"/>
          <w:szCs w:val="24"/>
        </w:rPr>
        <w:t>. T</w:t>
      </w:r>
      <w:r w:rsidRPr="00237760">
        <w:rPr>
          <w:rFonts w:ascii="Arial" w:hAnsi="Arial" w:cs="Arial"/>
          <w:color w:val="auto"/>
          <w:sz w:val="24"/>
          <w:szCs w:val="24"/>
        </w:rPr>
        <w:t>wórcy dokumentu</w:t>
      </w:r>
      <w:r w:rsidR="00A57531" w:rsidRPr="00237760">
        <w:rPr>
          <w:rFonts w:ascii="Arial" w:hAnsi="Arial" w:cs="Arial"/>
          <w:color w:val="auto"/>
          <w:sz w:val="24"/>
          <w:szCs w:val="24"/>
        </w:rPr>
        <w:t xml:space="preserve"> widzą problem </w:t>
      </w:r>
      <w:r w:rsidR="00685DA2" w:rsidRPr="00237760">
        <w:rPr>
          <w:rFonts w:ascii="Arial" w:hAnsi="Arial" w:cs="Arial"/>
          <w:color w:val="auto"/>
          <w:sz w:val="24"/>
          <w:szCs w:val="24"/>
        </w:rPr>
        <w:br/>
      </w:r>
      <w:r w:rsidR="00A57531" w:rsidRPr="00237760">
        <w:rPr>
          <w:rFonts w:ascii="Arial" w:hAnsi="Arial" w:cs="Arial"/>
          <w:color w:val="auto"/>
          <w:sz w:val="24"/>
          <w:szCs w:val="24"/>
        </w:rPr>
        <w:t xml:space="preserve">w dostępności regionu Bieszczad z </w:t>
      </w:r>
      <w:r w:rsidR="00D8164C" w:rsidRPr="00237760">
        <w:rPr>
          <w:rFonts w:ascii="Arial" w:hAnsi="Arial" w:cs="Arial"/>
          <w:color w:val="auto"/>
          <w:sz w:val="24"/>
          <w:szCs w:val="24"/>
        </w:rPr>
        <w:t xml:space="preserve">pozostałymi częściami </w:t>
      </w:r>
      <w:r w:rsidR="00A57531" w:rsidRPr="00237760">
        <w:rPr>
          <w:rFonts w:ascii="Arial" w:hAnsi="Arial" w:cs="Arial"/>
          <w:color w:val="auto"/>
          <w:sz w:val="24"/>
          <w:szCs w:val="24"/>
        </w:rPr>
        <w:t xml:space="preserve">województwa </w:t>
      </w:r>
      <w:r w:rsidR="00D8164C" w:rsidRPr="00237760">
        <w:rPr>
          <w:rFonts w:ascii="Arial" w:hAnsi="Arial" w:cs="Arial"/>
          <w:color w:val="auto"/>
          <w:sz w:val="24"/>
          <w:szCs w:val="24"/>
        </w:rPr>
        <w:t xml:space="preserve">i </w:t>
      </w:r>
      <w:r w:rsidR="00A57531" w:rsidRPr="00237760">
        <w:rPr>
          <w:rFonts w:ascii="Arial" w:hAnsi="Arial" w:cs="Arial"/>
          <w:color w:val="auto"/>
          <w:sz w:val="24"/>
          <w:szCs w:val="24"/>
        </w:rPr>
        <w:t xml:space="preserve">kraju. </w:t>
      </w:r>
      <w:r w:rsidR="001C2935" w:rsidRPr="00237760">
        <w:rPr>
          <w:rFonts w:ascii="Arial" w:hAnsi="Arial" w:cs="Arial"/>
          <w:color w:val="auto"/>
          <w:sz w:val="24"/>
          <w:szCs w:val="24"/>
        </w:rPr>
        <w:t xml:space="preserve">Kładziony jest </w:t>
      </w:r>
      <w:r w:rsidR="00A57531" w:rsidRPr="00237760">
        <w:rPr>
          <w:rFonts w:ascii="Arial" w:hAnsi="Arial" w:cs="Arial"/>
          <w:color w:val="auto"/>
          <w:sz w:val="24"/>
          <w:szCs w:val="24"/>
        </w:rPr>
        <w:t xml:space="preserve">nacisk </w:t>
      </w:r>
      <w:r w:rsidR="004D34EB" w:rsidRPr="00237760">
        <w:rPr>
          <w:rFonts w:ascii="Arial" w:hAnsi="Arial" w:cs="Arial"/>
          <w:color w:val="auto"/>
          <w:sz w:val="24"/>
          <w:szCs w:val="24"/>
        </w:rPr>
        <w:t>na</w:t>
      </w:r>
      <w:r w:rsidR="00A57531" w:rsidRPr="00237760">
        <w:rPr>
          <w:rFonts w:ascii="Arial" w:hAnsi="Arial" w:cs="Arial"/>
          <w:color w:val="auto"/>
          <w:sz w:val="24"/>
          <w:szCs w:val="24"/>
        </w:rPr>
        <w:t xml:space="preserve"> modernizacj</w:t>
      </w:r>
      <w:r w:rsidR="004D34EB" w:rsidRPr="00237760">
        <w:rPr>
          <w:rFonts w:ascii="Arial" w:hAnsi="Arial" w:cs="Arial"/>
          <w:color w:val="auto"/>
          <w:sz w:val="24"/>
          <w:szCs w:val="24"/>
        </w:rPr>
        <w:t xml:space="preserve">ę </w:t>
      </w:r>
      <w:r w:rsidR="001975F8" w:rsidRPr="00237760">
        <w:rPr>
          <w:rFonts w:ascii="Arial" w:hAnsi="Arial" w:cs="Arial"/>
          <w:color w:val="auto"/>
          <w:sz w:val="24"/>
          <w:szCs w:val="24"/>
        </w:rPr>
        <w:t>oraz rozbudo</w:t>
      </w:r>
      <w:r w:rsidR="004D34EB" w:rsidRPr="00237760">
        <w:rPr>
          <w:rFonts w:ascii="Arial" w:hAnsi="Arial" w:cs="Arial"/>
          <w:color w:val="auto"/>
          <w:sz w:val="24"/>
          <w:szCs w:val="24"/>
        </w:rPr>
        <w:t>wę</w:t>
      </w:r>
      <w:r w:rsidR="001975F8" w:rsidRPr="00237760">
        <w:rPr>
          <w:rFonts w:ascii="Arial" w:hAnsi="Arial" w:cs="Arial"/>
          <w:color w:val="auto"/>
          <w:sz w:val="24"/>
          <w:szCs w:val="24"/>
        </w:rPr>
        <w:t xml:space="preserve"> systemu </w:t>
      </w:r>
      <w:r w:rsidR="00A57531" w:rsidRPr="00237760">
        <w:rPr>
          <w:rFonts w:ascii="Arial" w:hAnsi="Arial" w:cs="Arial"/>
          <w:color w:val="auto"/>
          <w:sz w:val="24"/>
          <w:szCs w:val="24"/>
        </w:rPr>
        <w:t>dró</w:t>
      </w:r>
      <w:r w:rsidR="009C1271" w:rsidRPr="00237760">
        <w:rPr>
          <w:rFonts w:ascii="Arial" w:hAnsi="Arial" w:cs="Arial"/>
          <w:color w:val="auto"/>
          <w:sz w:val="24"/>
          <w:szCs w:val="24"/>
        </w:rPr>
        <w:t>g</w:t>
      </w:r>
      <w:r w:rsidR="001975F8" w:rsidRPr="00237760">
        <w:rPr>
          <w:rFonts w:ascii="Arial" w:hAnsi="Arial" w:cs="Arial"/>
          <w:color w:val="auto"/>
          <w:sz w:val="24"/>
          <w:szCs w:val="24"/>
        </w:rPr>
        <w:t xml:space="preserve"> i kolei</w:t>
      </w:r>
      <w:r w:rsidR="00261CBE" w:rsidRPr="00237760">
        <w:rPr>
          <w:rFonts w:ascii="Arial" w:hAnsi="Arial" w:cs="Arial"/>
          <w:color w:val="auto"/>
          <w:sz w:val="24"/>
          <w:szCs w:val="24"/>
        </w:rPr>
        <w:t>, rozwinięcie systemu transportu publicznego oraz budow</w:t>
      </w:r>
      <w:r w:rsidR="004D34EB" w:rsidRPr="00237760">
        <w:rPr>
          <w:rFonts w:ascii="Arial" w:hAnsi="Arial" w:cs="Arial"/>
          <w:color w:val="auto"/>
          <w:sz w:val="24"/>
          <w:szCs w:val="24"/>
        </w:rPr>
        <w:t>ę</w:t>
      </w:r>
      <w:r w:rsidR="00261CBE" w:rsidRPr="00237760">
        <w:rPr>
          <w:rFonts w:ascii="Arial" w:hAnsi="Arial" w:cs="Arial"/>
          <w:color w:val="auto"/>
          <w:sz w:val="24"/>
          <w:szCs w:val="24"/>
        </w:rPr>
        <w:t xml:space="preserve"> lotnisk i lądowisk.</w:t>
      </w:r>
      <w:r w:rsidR="003913E0" w:rsidRPr="00237760">
        <w:rPr>
          <w:rFonts w:ascii="Arial" w:hAnsi="Arial" w:cs="Arial"/>
          <w:color w:val="auto"/>
          <w:sz w:val="24"/>
          <w:szCs w:val="24"/>
        </w:rPr>
        <w:t xml:space="preserve"> Zwraca się uwagę również na zwiększenie </w:t>
      </w:r>
      <w:r w:rsidR="00E9761C" w:rsidRPr="00237760">
        <w:rPr>
          <w:rFonts w:ascii="Arial" w:hAnsi="Arial" w:cs="Arial"/>
          <w:color w:val="auto"/>
          <w:sz w:val="24"/>
          <w:szCs w:val="24"/>
        </w:rPr>
        <w:t>liczby</w:t>
      </w:r>
      <w:r w:rsidR="003913E0" w:rsidRPr="00237760">
        <w:rPr>
          <w:rFonts w:ascii="Arial" w:hAnsi="Arial" w:cs="Arial"/>
          <w:color w:val="auto"/>
          <w:sz w:val="24"/>
          <w:szCs w:val="24"/>
        </w:rPr>
        <w:t xml:space="preserve"> przejść granicznych, a także </w:t>
      </w:r>
      <w:r w:rsidR="007E7050" w:rsidRPr="00237760">
        <w:rPr>
          <w:rFonts w:ascii="Arial" w:hAnsi="Arial" w:cs="Arial"/>
          <w:color w:val="auto"/>
          <w:sz w:val="24"/>
          <w:szCs w:val="24"/>
        </w:rPr>
        <w:t xml:space="preserve">zapewnienie niezbędnej infrastruktury na granicach </w:t>
      </w:r>
      <w:r w:rsidR="003913E0" w:rsidRPr="00237760">
        <w:rPr>
          <w:rFonts w:ascii="Arial" w:hAnsi="Arial" w:cs="Arial"/>
          <w:color w:val="auto"/>
          <w:sz w:val="24"/>
          <w:szCs w:val="24"/>
        </w:rPr>
        <w:t xml:space="preserve">w celu </w:t>
      </w:r>
      <w:r w:rsidR="007E7050" w:rsidRPr="00237760">
        <w:rPr>
          <w:rFonts w:ascii="Arial" w:hAnsi="Arial" w:cs="Arial"/>
          <w:color w:val="auto"/>
          <w:sz w:val="24"/>
          <w:szCs w:val="24"/>
        </w:rPr>
        <w:t xml:space="preserve">zwiększania możliwości </w:t>
      </w:r>
      <w:r w:rsidR="00DB7BC4" w:rsidRPr="00237760">
        <w:rPr>
          <w:rFonts w:ascii="Arial" w:hAnsi="Arial" w:cs="Arial"/>
          <w:color w:val="auto"/>
          <w:sz w:val="24"/>
          <w:szCs w:val="24"/>
        </w:rPr>
        <w:t xml:space="preserve">przepływu ruchu międzynarodowego. </w:t>
      </w:r>
    </w:p>
    <w:p w14:paraId="20F5A33F" w14:textId="453B8F2E" w:rsidR="00454687" w:rsidRPr="00237760" w:rsidRDefault="003B56AF" w:rsidP="009367B4">
      <w:pPr>
        <w:jc w:val="left"/>
        <w:rPr>
          <w:rFonts w:ascii="Arial" w:hAnsi="Arial" w:cs="Arial"/>
          <w:color w:val="auto"/>
          <w:sz w:val="24"/>
          <w:szCs w:val="24"/>
        </w:rPr>
      </w:pPr>
      <w:r w:rsidRPr="00237760">
        <w:rPr>
          <w:rFonts w:ascii="Arial" w:hAnsi="Arial" w:cs="Arial"/>
          <w:color w:val="auto"/>
          <w:sz w:val="24"/>
          <w:szCs w:val="24"/>
        </w:rPr>
        <w:t>Te działania mają odpowiadać na problemy</w:t>
      </w:r>
      <w:r w:rsidR="0050306B" w:rsidRPr="00237760">
        <w:rPr>
          <w:rFonts w:ascii="Arial" w:hAnsi="Arial" w:cs="Arial"/>
          <w:color w:val="auto"/>
          <w:sz w:val="24"/>
          <w:szCs w:val="24"/>
        </w:rPr>
        <w:t xml:space="preserve"> i wyzwania</w:t>
      </w:r>
      <w:r w:rsidRPr="00237760">
        <w:rPr>
          <w:rFonts w:ascii="Arial" w:hAnsi="Arial" w:cs="Arial"/>
          <w:color w:val="auto"/>
          <w:sz w:val="24"/>
          <w:szCs w:val="24"/>
        </w:rPr>
        <w:t xml:space="preserve"> zauważone przez twórców Programu. </w:t>
      </w:r>
      <w:r w:rsidR="00E6752C" w:rsidRPr="00237760">
        <w:rPr>
          <w:rFonts w:ascii="Arial" w:hAnsi="Arial" w:cs="Arial"/>
          <w:color w:val="auto"/>
          <w:sz w:val="24"/>
          <w:szCs w:val="24"/>
        </w:rPr>
        <w:t xml:space="preserve">Dotyczą one złego stanu dróg, </w:t>
      </w:r>
      <w:r w:rsidR="00CD5479" w:rsidRPr="00237760">
        <w:rPr>
          <w:rFonts w:ascii="Arial" w:hAnsi="Arial" w:cs="Arial"/>
          <w:color w:val="auto"/>
          <w:sz w:val="24"/>
          <w:szCs w:val="24"/>
        </w:rPr>
        <w:t>braku ruchu kolejowego</w:t>
      </w:r>
      <w:r w:rsidR="000D210A" w:rsidRPr="00237760">
        <w:rPr>
          <w:rFonts w:ascii="Arial" w:hAnsi="Arial" w:cs="Arial"/>
          <w:color w:val="auto"/>
          <w:sz w:val="24"/>
          <w:szCs w:val="24"/>
        </w:rPr>
        <w:t>, braku międzynarodowej komunikacji</w:t>
      </w:r>
      <w:r w:rsidR="00070DED" w:rsidRPr="00237760">
        <w:rPr>
          <w:rFonts w:ascii="Arial" w:hAnsi="Arial" w:cs="Arial"/>
          <w:color w:val="auto"/>
          <w:sz w:val="24"/>
          <w:szCs w:val="24"/>
        </w:rPr>
        <w:t>, ograniczenia systemu komunikacji publicznej</w:t>
      </w:r>
      <w:r w:rsidR="00536C96" w:rsidRPr="00237760">
        <w:rPr>
          <w:rFonts w:ascii="Arial" w:hAnsi="Arial" w:cs="Arial"/>
          <w:color w:val="auto"/>
          <w:sz w:val="24"/>
          <w:szCs w:val="24"/>
        </w:rPr>
        <w:t xml:space="preserve">. Jest to jednak </w:t>
      </w:r>
      <w:r w:rsidR="006F3526" w:rsidRPr="00237760">
        <w:rPr>
          <w:rFonts w:ascii="Arial" w:hAnsi="Arial" w:cs="Arial"/>
          <w:color w:val="auto"/>
          <w:sz w:val="24"/>
          <w:szCs w:val="24"/>
        </w:rPr>
        <w:t xml:space="preserve">kilka </w:t>
      </w:r>
      <w:r w:rsidR="005C1254" w:rsidRPr="00237760">
        <w:rPr>
          <w:rFonts w:ascii="Arial" w:hAnsi="Arial" w:cs="Arial"/>
          <w:color w:val="auto"/>
          <w:sz w:val="24"/>
          <w:szCs w:val="24"/>
        </w:rPr>
        <w:t xml:space="preserve">czynników </w:t>
      </w:r>
      <w:r w:rsidR="00CF11C8" w:rsidRPr="00237760">
        <w:rPr>
          <w:rFonts w:ascii="Arial" w:hAnsi="Arial" w:cs="Arial"/>
          <w:color w:val="auto"/>
          <w:sz w:val="24"/>
          <w:szCs w:val="24"/>
        </w:rPr>
        <w:t>spo</w:t>
      </w:r>
      <w:r w:rsidR="00A54A30" w:rsidRPr="00237760">
        <w:rPr>
          <w:rFonts w:ascii="Arial" w:hAnsi="Arial" w:cs="Arial"/>
          <w:color w:val="auto"/>
          <w:sz w:val="24"/>
          <w:szCs w:val="24"/>
        </w:rPr>
        <w:t xml:space="preserve">śród </w:t>
      </w:r>
      <w:r w:rsidR="00130F4F" w:rsidRPr="00237760">
        <w:rPr>
          <w:rFonts w:ascii="Arial" w:hAnsi="Arial" w:cs="Arial"/>
          <w:color w:val="auto"/>
          <w:sz w:val="24"/>
          <w:szCs w:val="24"/>
        </w:rPr>
        <w:t xml:space="preserve">80 wymienionych w analizie SWOT. </w:t>
      </w:r>
      <w:r w:rsidR="00DA5C7E" w:rsidRPr="00237760">
        <w:rPr>
          <w:rFonts w:ascii="Arial" w:hAnsi="Arial" w:cs="Arial"/>
          <w:color w:val="auto"/>
          <w:sz w:val="24"/>
          <w:szCs w:val="24"/>
        </w:rPr>
        <w:t xml:space="preserve">Więcej </w:t>
      </w:r>
      <w:r w:rsidR="00705507" w:rsidRPr="00237760">
        <w:rPr>
          <w:rFonts w:ascii="Arial" w:hAnsi="Arial" w:cs="Arial"/>
          <w:color w:val="auto"/>
          <w:sz w:val="24"/>
          <w:szCs w:val="24"/>
        </w:rPr>
        <w:t xml:space="preserve">nieudogodnień zauważano w sferze gospodarczej czy społecznej. </w:t>
      </w:r>
      <w:r w:rsidR="000B78B3" w:rsidRPr="00237760">
        <w:rPr>
          <w:rFonts w:ascii="Arial" w:hAnsi="Arial" w:cs="Arial"/>
          <w:color w:val="auto"/>
          <w:sz w:val="24"/>
          <w:szCs w:val="24"/>
        </w:rPr>
        <w:t xml:space="preserve">Jednakże w rozdziale </w:t>
      </w:r>
      <w:r w:rsidR="000B78B3" w:rsidRPr="00237760">
        <w:rPr>
          <w:rFonts w:ascii="Arial" w:hAnsi="Arial" w:cs="Arial"/>
          <w:i/>
          <w:iCs/>
          <w:color w:val="auto"/>
          <w:sz w:val="24"/>
          <w:szCs w:val="24"/>
        </w:rPr>
        <w:t>Przedsięwzięcia Priorytetowe</w:t>
      </w:r>
      <w:r w:rsidR="000B78B3" w:rsidRPr="00237760">
        <w:rPr>
          <w:rFonts w:ascii="Arial" w:hAnsi="Arial" w:cs="Arial"/>
          <w:color w:val="auto"/>
          <w:sz w:val="24"/>
          <w:szCs w:val="24"/>
        </w:rPr>
        <w:t xml:space="preserve"> </w:t>
      </w:r>
      <w:r w:rsidR="00FE6715" w:rsidRPr="00237760">
        <w:rPr>
          <w:rFonts w:ascii="Arial" w:hAnsi="Arial" w:cs="Arial"/>
          <w:color w:val="auto"/>
          <w:sz w:val="24"/>
          <w:szCs w:val="24"/>
        </w:rPr>
        <w:t xml:space="preserve">jako pierwsza pojawia się </w:t>
      </w:r>
      <w:r w:rsidR="00FE6715" w:rsidRPr="00237760">
        <w:rPr>
          <w:rFonts w:ascii="Arial" w:hAnsi="Arial" w:cs="Arial"/>
          <w:i/>
          <w:iCs/>
          <w:color w:val="auto"/>
          <w:sz w:val="24"/>
          <w:szCs w:val="24"/>
        </w:rPr>
        <w:t xml:space="preserve">Budowa i modernizacja infrastruktury drogowej i kolejowej Bieszczad. </w:t>
      </w:r>
      <w:r w:rsidR="00FE6715" w:rsidRPr="00237760">
        <w:rPr>
          <w:rFonts w:ascii="Arial" w:hAnsi="Arial" w:cs="Arial"/>
          <w:color w:val="auto"/>
          <w:sz w:val="24"/>
          <w:szCs w:val="24"/>
        </w:rPr>
        <w:t xml:space="preserve">Dotyka ona </w:t>
      </w:r>
      <w:r w:rsidR="00891243" w:rsidRPr="00237760">
        <w:rPr>
          <w:rFonts w:ascii="Arial" w:hAnsi="Arial" w:cs="Arial"/>
          <w:color w:val="auto"/>
          <w:sz w:val="24"/>
          <w:szCs w:val="24"/>
        </w:rPr>
        <w:t xml:space="preserve">rozwoju systemu w miejscach wykluczonych transportowo, </w:t>
      </w:r>
      <w:r w:rsidR="008E0D65" w:rsidRPr="00237760">
        <w:rPr>
          <w:rFonts w:ascii="Arial" w:hAnsi="Arial" w:cs="Arial"/>
          <w:color w:val="auto"/>
          <w:sz w:val="24"/>
          <w:szCs w:val="24"/>
        </w:rPr>
        <w:t>poprawy stanu dróg i tras kolejowych kluczowych dla regionu</w:t>
      </w:r>
      <w:r w:rsidR="003E5ADC" w:rsidRPr="00237760">
        <w:rPr>
          <w:rFonts w:ascii="Arial" w:hAnsi="Arial" w:cs="Arial"/>
          <w:color w:val="auto"/>
          <w:sz w:val="24"/>
          <w:szCs w:val="24"/>
        </w:rPr>
        <w:t xml:space="preserve">. Są to zagadnienia, na które PSRT WP </w:t>
      </w:r>
      <w:r w:rsidR="003E5ADC" w:rsidRPr="00237760">
        <w:rPr>
          <w:rFonts w:ascii="Arial" w:hAnsi="Arial" w:cs="Arial"/>
          <w:color w:val="auto"/>
          <w:sz w:val="24"/>
          <w:szCs w:val="24"/>
        </w:rPr>
        <w:lastRenderedPageBreak/>
        <w:t xml:space="preserve">odpowiada poprzez wytyczenie </w:t>
      </w:r>
      <w:r w:rsidR="00E9069E" w:rsidRPr="00237760">
        <w:rPr>
          <w:rFonts w:ascii="Arial" w:hAnsi="Arial" w:cs="Arial"/>
          <w:color w:val="auto"/>
          <w:sz w:val="24"/>
          <w:szCs w:val="24"/>
        </w:rPr>
        <w:t>C</w:t>
      </w:r>
      <w:r w:rsidR="00B1148E" w:rsidRPr="00237760">
        <w:rPr>
          <w:rFonts w:ascii="Arial" w:hAnsi="Arial" w:cs="Arial"/>
          <w:color w:val="auto"/>
          <w:sz w:val="24"/>
          <w:szCs w:val="24"/>
        </w:rPr>
        <w:t xml:space="preserve">elu podstawowego </w:t>
      </w:r>
      <w:r w:rsidR="00FA5E89" w:rsidRPr="00237760">
        <w:rPr>
          <w:rFonts w:ascii="Arial" w:hAnsi="Arial" w:cs="Arial"/>
          <w:color w:val="auto"/>
          <w:sz w:val="24"/>
          <w:szCs w:val="24"/>
        </w:rPr>
        <w:t>1. Dostępność zewnętrzna oraz C</w:t>
      </w:r>
      <w:r w:rsidR="00B1148E" w:rsidRPr="00237760">
        <w:rPr>
          <w:rFonts w:ascii="Arial" w:hAnsi="Arial" w:cs="Arial"/>
          <w:color w:val="auto"/>
          <w:sz w:val="24"/>
          <w:szCs w:val="24"/>
        </w:rPr>
        <w:t xml:space="preserve">elu podstawowego </w:t>
      </w:r>
      <w:r w:rsidR="00FA5E89" w:rsidRPr="00237760">
        <w:rPr>
          <w:rFonts w:ascii="Arial" w:hAnsi="Arial" w:cs="Arial"/>
          <w:color w:val="auto"/>
          <w:sz w:val="24"/>
          <w:szCs w:val="24"/>
        </w:rPr>
        <w:t xml:space="preserve">2. Transportowa spójność wewnętrzna. </w:t>
      </w:r>
    </w:p>
    <w:p w14:paraId="12725133" w14:textId="28387A7B" w:rsidR="00FA5E89" w:rsidRPr="00237760" w:rsidRDefault="00FA5E89" w:rsidP="009367B4">
      <w:pPr>
        <w:jc w:val="left"/>
        <w:rPr>
          <w:rFonts w:ascii="Arial" w:hAnsi="Arial" w:cs="Arial"/>
          <w:color w:val="auto"/>
          <w:sz w:val="24"/>
          <w:szCs w:val="24"/>
          <w:lang w:eastAsia="pl-PL"/>
        </w:rPr>
      </w:pPr>
      <w:r w:rsidRPr="00237760">
        <w:rPr>
          <w:rFonts w:ascii="Arial" w:hAnsi="Arial" w:cs="Arial"/>
          <w:color w:val="auto"/>
          <w:sz w:val="24"/>
          <w:szCs w:val="24"/>
        </w:rPr>
        <w:t xml:space="preserve">Drugi z wymienionych dokumentów </w:t>
      </w:r>
      <w:r w:rsidRPr="00237760">
        <w:rPr>
          <w:rFonts w:ascii="Arial" w:hAnsi="Arial" w:cs="Arial"/>
          <w:i/>
          <w:iCs/>
          <w:color w:val="auto"/>
          <w:sz w:val="24"/>
          <w:szCs w:val="24"/>
          <w:lang w:eastAsia="pl-PL"/>
        </w:rPr>
        <w:t>Program Strategiczny Błękitny San</w:t>
      </w:r>
      <w:r w:rsidR="006D5C52" w:rsidRPr="00237760">
        <w:rPr>
          <w:rFonts w:ascii="Arial" w:hAnsi="Arial" w:cs="Arial"/>
          <w:i/>
          <w:iCs/>
          <w:color w:val="auto"/>
          <w:sz w:val="24"/>
          <w:szCs w:val="24"/>
          <w:lang w:eastAsia="pl-PL"/>
        </w:rPr>
        <w:t xml:space="preserve"> </w:t>
      </w:r>
      <w:r w:rsidR="00990F24" w:rsidRPr="00237760">
        <w:rPr>
          <w:rFonts w:ascii="Arial" w:hAnsi="Arial" w:cs="Arial"/>
          <w:color w:val="auto"/>
          <w:sz w:val="24"/>
          <w:szCs w:val="24"/>
          <w:lang w:eastAsia="pl-PL"/>
        </w:rPr>
        <w:t>obejmuje</w:t>
      </w:r>
      <w:r w:rsidR="00D64DA4" w:rsidRPr="00237760">
        <w:rPr>
          <w:rFonts w:ascii="Arial" w:hAnsi="Arial" w:cs="Arial"/>
          <w:color w:val="auto"/>
          <w:sz w:val="24"/>
          <w:szCs w:val="24"/>
          <w:lang w:eastAsia="pl-PL"/>
        </w:rPr>
        <w:t xml:space="preserve"> </w:t>
      </w:r>
      <w:r w:rsidR="006B4E3D" w:rsidRPr="00237760">
        <w:rPr>
          <w:rFonts w:ascii="Arial" w:hAnsi="Arial" w:cs="Arial"/>
          <w:color w:val="auto"/>
          <w:sz w:val="24"/>
          <w:szCs w:val="24"/>
          <w:lang w:eastAsia="pl-PL"/>
        </w:rPr>
        <w:t xml:space="preserve">swoim zasięgiem 48 jednostek </w:t>
      </w:r>
      <w:r w:rsidR="0038252D" w:rsidRPr="00237760">
        <w:rPr>
          <w:rFonts w:ascii="Arial" w:hAnsi="Arial" w:cs="Arial"/>
          <w:color w:val="auto"/>
          <w:sz w:val="24"/>
          <w:szCs w:val="24"/>
          <w:lang w:eastAsia="pl-PL"/>
        </w:rPr>
        <w:t>z województwa podkarpackiego</w:t>
      </w:r>
      <w:r w:rsidR="002C6922" w:rsidRPr="00237760">
        <w:rPr>
          <w:rFonts w:ascii="Arial" w:hAnsi="Arial" w:cs="Arial"/>
          <w:color w:val="auto"/>
          <w:sz w:val="24"/>
          <w:szCs w:val="24"/>
          <w:lang w:eastAsia="pl-PL"/>
        </w:rPr>
        <w:t>, które</w:t>
      </w:r>
      <w:r w:rsidR="00BF32EB" w:rsidRPr="00237760">
        <w:rPr>
          <w:rFonts w:ascii="Arial" w:hAnsi="Arial" w:cs="Arial"/>
          <w:color w:val="auto"/>
          <w:sz w:val="24"/>
          <w:szCs w:val="24"/>
          <w:lang w:eastAsia="pl-PL"/>
        </w:rPr>
        <w:t xml:space="preserve"> położone są przy rzece</w:t>
      </w:r>
      <w:r w:rsidR="00F3377D" w:rsidRPr="00237760">
        <w:rPr>
          <w:rFonts w:ascii="Arial" w:hAnsi="Arial" w:cs="Arial"/>
          <w:color w:val="auto"/>
          <w:sz w:val="24"/>
          <w:szCs w:val="24"/>
          <w:lang w:eastAsia="pl-PL"/>
        </w:rPr>
        <w:t xml:space="preserve"> San</w:t>
      </w:r>
      <w:r w:rsidR="00BF32EB" w:rsidRPr="00237760">
        <w:rPr>
          <w:rFonts w:ascii="Arial" w:hAnsi="Arial" w:cs="Arial"/>
          <w:color w:val="auto"/>
          <w:sz w:val="24"/>
          <w:szCs w:val="24"/>
          <w:lang w:eastAsia="pl-PL"/>
        </w:rPr>
        <w:t xml:space="preserve">. </w:t>
      </w:r>
      <w:r w:rsidR="00304CEB" w:rsidRPr="00237760">
        <w:rPr>
          <w:rFonts w:ascii="Arial" w:hAnsi="Arial" w:cs="Arial"/>
          <w:color w:val="auto"/>
          <w:sz w:val="24"/>
          <w:szCs w:val="24"/>
          <w:lang w:eastAsia="pl-PL"/>
        </w:rPr>
        <w:t xml:space="preserve">Główny cel Programu jest bardzo zbliżony do </w:t>
      </w:r>
      <w:r w:rsidR="00B41D35" w:rsidRPr="00237760">
        <w:rPr>
          <w:rFonts w:ascii="Arial" w:hAnsi="Arial" w:cs="Arial"/>
          <w:color w:val="auto"/>
          <w:sz w:val="24"/>
          <w:szCs w:val="24"/>
          <w:lang w:eastAsia="pl-PL"/>
        </w:rPr>
        <w:t xml:space="preserve">dokumentu </w:t>
      </w:r>
      <w:r w:rsidR="005319FE" w:rsidRPr="00237760">
        <w:rPr>
          <w:rFonts w:ascii="Arial" w:hAnsi="Arial" w:cs="Arial"/>
          <w:color w:val="auto"/>
          <w:sz w:val="24"/>
          <w:szCs w:val="24"/>
          <w:lang w:eastAsia="pl-PL"/>
        </w:rPr>
        <w:t>omawianego powyżej</w:t>
      </w:r>
      <w:r w:rsidR="00B41D35" w:rsidRPr="00237760">
        <w:rPr>
          <w:rFonts w:ascii="Arial" w:hAnsi="Arial" w:cs="Arial"/>
          <w:color w:val="auto"/>
          <w:sz w:val="24"/>
          <w:szCs w:val="24"/>
          <w:lang w:eastAsia="pl-PL"/>
        </w:rPr>
        <w:t xml:space="preserve">. Również dotyczy </w:t>
      </w:r>
      <w:r w:rsidR="005319FE" w:rsidRPr="00237760">
        <w:rPr>
          <w:rFonts w:ascii="Arial" w:hAnsi="Arial" w:cs="Arial"/>
          <w:color w:val="auto"/>
          <w:sz w:val="24"/>
          <w:szCs w:val="24"/>
          <w:lang w:eastAsia="pl-PL"/>
        </w:rPr>
        <w:t xml:space="preserve">on </w:t>
      </w:r>
      <w:r w:rsidR="00B41D35" w:rsidRPr="00237760">
        <w:rPr>
          <w:rFonts w:ascii="Arial" w:hAnsi="Arial" w:cs="Arial"/>
          <w:color w:val="auto"/>
          <w:sz w:val="24"/>
          <w:szCs w:val="24"/>
          <w:lang w:eastAsia="pl-PL"/>
        </w:rPr>
        <w:t xml:space="preserve">polepszenia </w:t>
      </w:r>
      <w:r w:rsidR="00BE48F4" w:rsidRPr="00237760">
        <w:rPr>
          <w:rFonts w:ascii="Arial" w:hAnsi="Arial" w:cs="Arial"/>
          <w:color w:val="auto"/>
          <w:sz w:val="24"/>
          <w:szCs w:val="24"/>
          <w:lang w:eastAsia="pl-PL"/>
        </w:rPr>
        <w:t>warunków życia mieszkańców</w:t>
      </w:r>
      <w:r w:rsidR="00F51608" w:rsidRPr="00237760">
        <w:rPr>
          <w:rFonts w:ascii="Arial" w:hAnsi="Arial" w:cs="Arial"/>
          <w:color w:val="auto"/>
          <w:sz w:val="24"/>
          <w:szCs w:val="24"/>
          <w:lang w:eastAsia="pl-PL"/>
        </w:rPr>
        <w:t xml:space="preserve"> oraz</w:t>
      </w:r>
      <w:r w:rsidR="0004254C" w:rsidRPr="00237760">
        <w:rPr>
          <w:rFonts w:ascii="Arial" w:hAnsi="Arial" w:cs="Arial"/>
          <w:color w:val="auto"/>
          <w:sz w:val="24"/>
          <w:szCs w:val="24"/>
          <w:lang w:eastAsia="pl-PL"/>
        </w:rPr>
        <w:t xml:space="preserve"> </w:t>
      </w:r>
      <w:r w:rsidR="005A5107" w:rsidRPr="00237760">
        <w:rPr>
          <w:rFonts w:ascii="Arial" w:hAnsi="Arial" w:cs="Arial"/>
          <w:color w:val="auto"/>
          <w:sz w:val="24"/>
          <w:szCs w:val="24"/>
          <w:lang w:eastAsia="pl-PL"/>
        </w:rPr>
        <w:t>poprawienia spójności wewnę</w:t>
      </w:r>
      <w:r w:rsidR="00F51608" w:rsidRPr="00237760">
        <w:rPr>
          <w:rFonts w:ascii="Arial" w:hAnsi="Arial" w:cs="Arial"/>
          <w:color w:val="auto"/>
          <w:sz w:val="24"/>
          <w:szCs w:val="24"/>
          <w:lang w:eastAsia="pl-PL"/>
        </w:rPr>
        <w:t xml:space="preserve">trznej w sferze społeczno-gospodarczej. </w:t>
      </w:r>
      <w:r w:rsidR="00266925" w:rsidRPr="00237760">
        <w:rPr>
          <w:rFonts w:ascii="Arial" w:hAnsi="Arial" w:cs="Arial"/>
          <w:color w:val="auto"/>
          <w:sz w:val="24"/>
          <w:szCs w:val="24"/>
          <w:lang w:eastAsia="pl-PL"/>
        </w:rPr>
        <w:t xml:space="preserve">Twórcy, by zrealizować to założenie </w:t>
      </w:r>
      <w:r w:rsidR="00D319E8" w:rsidRPr="00237760">
        <w:rPr>
          <w:rFonts w:ascii="Arial" w:hAnsi="Arial" w:cs="Arial"/>
          <w:color w:val="auto"/>
          <w:sz w:val="24"/>
          <w:szCs w:val="24"/>
          <w:lang w:eastAsia="pl-PL"/>
        </w:rPr>
        <w:t>zaproponowali kilka priorytetów</w:t>
      </w:r>
      <w:r w:rsidR="006D337A" w:rsidRPr="00237760">
        <w:rPr>
          <w:rFonts w:ascii="Arial" w:hAnsi="Arial" w:cs="Arial"/>
          <w:color w:val="auto"/>
          <w:sz w:val="24"/>
          <w:szCs w:val="24"/>
          <w:lang w:eastAsia="pl-PL"/>
        </w:rPr>
        <w:t>:</w:t>
      </w:r>
    </w:p>
    <w:p w14:paraId="4A98AE1E" w14:textId="639FF477" w:rsidR="006D337A" w:rsidRPr="00237760" w:rsidRDefault="00E908C0" w:rsidP="009367B4">
      <w:pPr>
        <w:pStyle w:val="Akapitzlist"/>
        <w:numPr>
          <w:ilvl w:val="0"/>
          <w:numId w:val="20"/>
        </w:numPr>
        <w:jc w:val="left"/>
        <w:rPr>
          <w:rFonts w:ascii="Arial" w:hAnsi="Arial" w:cs="Arial"/>
          <w:color w:val="auto"/>
          <w:sz w:val="24"/>
          <w:szCs w:val="24"/>
        </w:rPr>
      </w:pPr>
      <w:r w:rsidRPr="00237760">
        <w:rPr>
          <w:rFonts w:ascii="Arial" w:hAnsi="Arial" w:cs="Arial"/>
          <w:color w:val="auto"/>
          <w:sz w:val="24"/>
          <w:szCs w:val="24"/>
        </w:rPr>
        <w:t>in</w:t>
      </w:r>
      <w:r w:rsidR="002418FA" w:rsidRPr="00237760">
        <w:rPr>
          <w:rFonts w:ascii="Arial" w:hAnsi="Arial" w:cs="Arial"/>
          <w:color w:val="auto"/>
          <w:sz w:val="24"/>
          <w:szCs w:val="24"/>
        </w:rPr>
        <w:t>nowacyjna przedsiębiorczość (</w:t>
      </w:r>
      <w:r w:rsidR="00282466" w:rsidRPr="00237760">
        <w:rPr>
          <w:rFonts w:ascii="Arial" w:hAnsi="Arial" w:cs="Arial"/>
          <w:color w:val="auto"/>
          <w:sz w:val="24"/>
          <w:szCs w:val="24"/>
        </w:rPr>
        <w:t xml:space="preserve">promocja terenów inwestycyjnych, </w:t>
      </w:r>
      <w:r w:rsidR="00D62FAE" w:rsidRPr="00237760">
        <w:rPr>
          <w:rFonts w:ascii="Arial" w:hAnsi="Arial" w:cs="Arial"/>
          <w:color w:val="auto"/>
          <w:sz w:val="24"/>
          <w:szCs w:val="24"/>
        </w:rPr>
        <w:t>poprawa bazy ekonomicznej</w:t>
      </w:r>
      <w:r w:rsidR="00A72E1D" w:rsidRPr="00237760">
        <w:rPr>
          <w:rFonts w:ascii="Arial" w:hAnsi="Arial" w:cs="Arial"/>
          <w:color w:val="auto"/>
          <w:sz w:val="24"/>
          <w:szCs w:val="24"/>
        </w:rPr>
        <w:t xml:space="preserve">, </w:t>
      </w:r>
      <w:r w:rsidR="008567BC" w:rsidRPr="00237760">
        <w:rPr>
          <w:rFonts w:ascii="Arial" w:hAnsi="Arial" w:cs="Arial"/>
          <w:color w:val="auto"/>
          <w:sz w:val="24"/>
          <w:szCs w:val="24"/>
        </w:rPr>
        <w:t xml:space="preserve">poprawa usług publicznych, </w:t>
      </w:r>
      <w:r w:rsidR="00C970BE" w:rsidRPr="00237760">
        <w:rPr>
          <w:rFonts w:ascii="Arial" w:hAnsi="Arial" w:cs="Arial"/>
          <w:color w:val="auto"/>
          <w:sz w:val="24"/>
          <w:szCs w:val="24"/>
        </w:rPr>
        <w:t>wzmacnianie powiązań</w:t>
      </w:r>
      <w:r w:rsidR="008567BC" w:rsidRPr="00237760">
        <w:rPr>
          <w:rFonts w:ascii="Arial" w:hAnsi="Arial" w:cs="Arial"/>
          <w:color w:val="auto"/>
          <w:sz w:val="24"/>
          <w:szCs w:val="24"/>
        </w:rPr>
        <w:t xml:space="preserve"> edukacji z gospodarką</w:t>
      </w:r>
      <w:r w:rsidR="00C970BE" w:rsidRPr="00237760">
        <w:rPr>
          <w:rFonts w:ascii="Arial" w:hAnsi="Arial" w:cs="Arial"/>
          <w:color w:val="auto"/>
          <w:sz w:val="24"/>
          <w:szCs w:val="24"/>
        </w:rPr>
        <w:t xml:space="preserve">, </w:t>
      </w:r>
      <w:r w:rsidR="001F708C" w:rsidRPr="00237760">
        <w:rPr>
          <w:rFonts w:ascii="Arial" w:hAnsi="Arial" w:cs="Arial"/>
          <w:color w:val="auto"/>
          <w:sz w:val="24"/>
          <w:szCs w:val="24"/>
        </w:rPr>
        <w:t>rozwój rolnictwa i rzemiosła</w:t>
      </w:r>
      <w:r w:rsidR="002418FA" w:rsidRPr="00237760">
        <w:rPr>
          <w:rFonts w:ascii="Arial" w:hAnsi="Arial" w:cs="Arial"/>
          <w:color w:val="auto"/>
          <w:sz w:val="24"/>
          <w:szCs w:val="24"/>
        </w:rPr>
        <w:t>)</w:t>
      </w:r>
      <w:r w:rsidR="001F708C" w:rsidRPr="00237760">
        <w:rPr>
          <w:rFonts w:ascii="Arial" w:hAnsi="Arial" w:cs="Arial"/>
          <w:color w:val="auto"/>
          <w:sz w:val="24"/>
          <w:szCs w:val="24"/>
        </w:rPr>
        <w:t>,</w:t>
      </w:r>
    </w:p>
    <w:p w14:paraId="60ACF6E8" w14:textId="7931F6FE" w:rsidR="001F708C" w:rsidRPr="00237760" w:rsidRDefault="001F708C" w:rsidP="009367B4">
      <w:pPr>
        <w:pStyle w:val="Akapitzlist"/>
        <w:numPr>
          <w:ilvl w:val="0"/>
          <w:numId w:val="20"/>
        </w:numPr>
        <w:jc w:val="left"/>
        <w:rPr>
          <w:rFonts w:ascii="Arial" w:hAnsi="Arial" w:cs="Arial"/>
          <w:color w:val="auto"/>
          <w:sz w:val="24"/>
          <w:szCs w:val="24"/>
        </w:rPr>
      </w:pPr>
      <w:r w:rsidRPr="00237760">
        <w:rPr>
          <w:rFonts w:ascii="Arial" w:hAnsi="Arial" w:cs="Arial"/>
          <w:color w:val="auto"/>
          <w:sz w:val="24"/>
          <w:szCs w:val="24"/>
        </w:rPr>
        <w:t xml:space="preserve">turystyka (dywersyfikacja produktów turystycznych, </w:t>
      </w:r>
      <w:r w:rsidR="009B620E" w:rsidRPr="00237760">
        <w:rPr>
          <w:rFonts w:ascii="Arial" w:hAnsi="Arial" w:cs="Arial"/>
          <w:color w:val="auto"/>
          <w:sz w:val="24"/>
          <w:szCs w:val="24"/>
        </w:rPr>
        <w:t xml:space="preserve">tworzenie klastrów turystycznych, </w:t>
      </w:r>
      <w:r w:rsidR="002B4480" w:rsidRPr="00237760">
        <w:rPr>
          <w:rFonts w:ascii="Arial" w:hAnsi="Arial" w:cs="Arial"/>
          <w:color w:val="auto"/>
          <w:sz w:val="24"/>
          <w:szCs w:val="24"/>
        </w:rPr>
        <w:t xml:space="preserve">poprawa infrastruktury turystycznej, </w:t>
      </w:r>
      <w:r w:rsidR="004B6FF0" w:rsidRPr="00237760">
        <w:rPr>
          <w:rFonts w:ascii="Arial" w:hAnsi="Arial" w:cs="Arial"/>
          <w:color w:val="auto"/>
          <w:sz w:val="24"/>
          <w:szCs w:val="24"/>
        </w:rPr>
        <w:t>promocja</w:t>
      </w:r>
      <w:r w:rsidRPr="00237760">
        <w:rPr>
          <w:rFonts w:ascii="Arial" w:hAnsi="Arial" w:cs="Arial"/>
          <w:color w:val="auto"/>
          <w:sz w:val="24"/>
          <w:szCs w:val="24"/>
        </w:rPr>
        <w:t>)</w:t>
      </w:r>
      <w:r w:rsidR="004B6FF0" w:rsidRPr="00237760">
        <w:rPr>
          <w:rFonts w:ascii="Arial" w:hAnsi="Arial" w:cs="Arial"/>
          <w:color w:val="auto"/>
          <w:sz w:val="24"/>
          <w:szCs w:val="24"/>
        </w:rPr>
        <w:t>,</w:t>
      </w:r>
    </w:p>
    <w:p w14:paraId="2423A43E" w14:textId="27980E82" w:rsidR="004B6FF0" w:rsidRPr="00237760" w:rsidRDefault="00F010C0" w:rsidP="009367B4">
      <w:pPr>
        <w:pStyle w:val="Akapitzlist"/>
        <w:numPr>
          <w:ilvl w:val="0"/>
          <w:numId w:val="20"/>
        </w:numPr>
        <w:jc w:val="left"/>
        <w:rPr>
          <w:rFonts w:ascii="Arial" w:hAnsi="Arial" w:cs="Arial"/>
          <w:color w:val="auto"/>
          <w:sz w:val="24"/>
          <w:szCs w:val="24"/>
        </w:rPr>
      </w:pPr>
      <w:r w:rsidRPr="00237760">
        <w:rPr>
          <w:rFonts w:ascii="Arial" w:hAnsi="Arial" w:cs="Arial"/>
          <w:color w:val="auto"/>
          <w:sz w:val="24"/>
          <w:szCs w:val="24"/>
        </w:rPr>
        <w:t>kapitał ludzki i społeczny (</w:t>
      </w:r>
      <w:r w:rsidR="001F1D7C" w:rsidRPr="00237760">
        <w:rPr>
          <w:rFonts w:ascii="Arial" w:hAnsi="Arial" w:cs="Arial"/>
          <w:color w:val="auto"/>
          <w:sz w:val="24"/>
          <w:szCs w:val="24"/>
        </w:rPr>
        <w:t xml:space="preserve">poprawa oferty edukacyjnej, </w:t>
      </w:r>
      <w:r w:rsidR="006A6F2D" w:rsidRPr="00237760">
        <w:rPr>
          <w:rFonts w:ascii="Arial" w:hAnsi="Arial" w:cs="Arial"/>
          <w:color w:val="auto"/>
          <w:sz w:val="24"/>
          <w:szCs w:val="24"/>
        </w:rPr>
        <w:t xml:space="preserve">kształtowanie postaw z uczeniem się przez całe życie, </w:t>
      </w:r>
      <w:r w:rsidR="002D04FC" w:rsidRPr="00237760">
        <w:rPr>
          <w:rFonts w:ascii="Arial" w:hAnsi="Arial" w:cs="Arial"/>
          <w:color w:val="auto"/>
          <w:sz w:val="24"/>
          <w:szCs w:val="24"/>
        </w:rPr>
        <w:t xml:space="preserve">poprawa dostępności do usług, </w:t>
      </w:r>
      <w:r w:rsidR="00C0768B" w:rsidRPr="00237760">
        <w:rPr>
          <w:rFonts w:ascii="Arial" w:hAnsi="Arial" w:cs="Arial"/>
          <w:color w:val="auto"/>
          <w:sz w:val="24"/>
          <w:szCs w:val="24"/>
        </w:rPr>
        <w:t>działanie na rzecz wykluczenia cyfrowego</w:t>
      </w:r>
      <w:r w:rsidRPr="00237760">
        <w:rPr>
          <w:rFonts w:ascii="Arial" w:hAnsi="Arial" w:cs="Arial"/>
          <w:color w:val="auto"/>
          <w:sz w:val="24"/>
          <w:szCs w:val="24"/>
        </w:rPr>
        <w:t>)</w:t>
      </w:r>
      <w:r w:rsidR="00F2724C" w:rsidRPr="00237760">
        <w:rPr>
          <w:rFonts w:ascii="Arial" w:hAnsi="Arial" w:cs="Arial"/>
          <w:color w:val="auto"/>
          <w:sz w:val="24"/>
          <w:szCs w:val="24"/>
        </w:rPr>
        <w:t>,</w:t>
      </w:r>
    </w:p>
    <w:p w14:paraId="568C3B7F" w14:textId="3F3C48E7" w:rsidR="00C0768B" w:rsidRPr="00237760" w:rsidRDefault="00C0768B" w:rsidP="009367B4">
      <w:pPr>
        <w:pStyle w:val="Akapitzlist"/>
        <w:numPr>
          <w:ilvl w:val="0"/>
          <w:numId w:val="20"/>
        </w:numPr>
        <w:jc w:val="left"/>
        <w:rPr>
          <w:rFonts w:ascii="Arial" w:hAnsi="Arial" w:cs="Arial"/>
          <w:color w:val="auto"/>
          <w:sz w:val="24"/>
          <w:szCs w:val="24"/>
        </w:rPr>
      </w:pPr>
      <w:r w:rsidRPr="00237760">
        <w:rPr>
          <w:rFonts w:ascii="Arial" w:hAnsi="Arial" w:cs="Arial"/>
          <w:color w:val="auto"/>
          <w:sz w:val="24"/>
          <w:szCs w:val="24"/>
        </w:rPr>
        <w:t xml:space="preserve">środowisko i energetyka (utrzymanie walorów przyrodniczych, zapobieganie osuwiskom </w:t>
      </w:r>
      <w:r w:rsidR="00685DA2" w:rsidRPr="00237760">
        <w:rPr>
          <w:rFonts w:ascii="Arial" w:hAnsi="Arial" w:cs="Arial"/>
          <w:color w:val="auto"/>
          <w:sz w:val="24"/>
          <w:szCs w:val="24"/>
        </w:rPr>
        <w:br/>
      </w:r>
      <w:r w:rsidRPr="00237760">
        <w:rPr>
          <w:rFonts w:ascii="Arial" w:hAnsi="Arial" w:cs="Arial"/>
          <w:color w:val="auto"/>
          <w:sz w:val="24"/>
          <w:szCs w:val="24"/>
        </w:rPr>
        <w:t xml:space="preserve">i </w:t>
      </w:r>
      <w:r w:rsidR="004A18F9" w:rsidRPr="00237760">
        <w:rPr>
          <w:rFonts w:ascii="Arial" w:hAnsi="Arial" w:cs="Arial"/>
          <w:color w:val="auto"/>
          <w:sz w:val="24"/>
          <w:szCs w:val="24"/>
        </w:rPr>
        <w:t>minimalizowanie szkód działalności człowieka, rozwój OZE</w:t>
      </w:r>
      <w:r w:rsidRPr="00237760">
        <w:rPr>
          <w:rFonts w:ascii="Arial" w:hAnsi="Arial" w:cs="Arial"/>
          <w:color w:val="auto"/>
          <w:sz w:val="24"/>
          <w:szCs w:val="24"/>
        </w:rPr>
        <w:t>)</w:t>
      </w:r>
      <w:r w:rsidR="004A18F9" w:rsidRPr="00237760">
        <w:rPr>
          <w:rFonts w:ascii="Arial" w:hAnsi="Arial" w:cs="Arial"/>
          <w:color w:val="auto"/>
          <w:sz w:val="24"/>
          <w:szCs w:val="24"/>
        </w:rPr>
        <w:t>.</w:t>
      </w:r>
    </w:p>
    <w:p w14:paraId="2BC67A26" w14:textId="06C5AE99" w:rsidR="004A18F9" w:rsidRPr="00237760" w:rsidRDefault="005319FE" w:rsidP="009367B4">
      <w:pPr>
        <w:jc w:val="left"/>
        <w:rPr>
          <w:rFonts w:ascii="Arial" w:hAnsi="Arial" w:cs="Arial"/>
          <w:color w:val="auto"/>
          <w:sz w:val="24"/>
          <w:szCs w:val="24"/>
        </w:rPr>
      </w:pPr>
      <w:r w:rsidRPr="00237760">
        <w:rPr>
          <w:rFonts w:ascii="Arial" w:hAnsi="Arial" w:cs="Arial"/>
          <w:color w:val="auto"/>
          <w:sz w:val="24"/>
          <w:szCs w:val="24"/>
        </w:rPr>
        <w:t xml:space="preserve">W analizie SWOT </w:t>
      </w:r>
      <w:r w:rsidR="000F0F55" w:rsidRPr="00237760">
        <w:rPr>
          <w:rFonts w:ascii="Arial" w:hAnsi="Arial" w:cs="Arial"/>
          <w:color w:val="auto"/>
          <w:sz w:val="24"/>
          <w:szCs w:val="24"/>
        </w:rPr>
        <w:t xml:space="preserve">Programu </w:t>
      </w:r>
      <w:r w:rsidRPr="00237760">
        <w:rPr>
          <w:rFonts w:ascii="Arial" w:hAnsi="Arial" w:cs="Arial"/>
          <w:color w:val="auto"/>
          <w:sz w:val="24"/>
          <w:szCs w:val="24"/>
        </w:rPr>
        <w:t>n</w:t>
      </w:r>
      <w:r w:rsidR="007922B4" w:rsidRPr="00237760">
        <w:rPr>
          <w:rFonts w:ascii="Arial" w:hAnsi="Arial" w:cs="Arial"/>
          <w:color w:val="auto"/>
          <w:sz w:val="24"/>
          <w:szCs w:val="24"/>
        </w:rPr>
        <w:t xml:space="preserve">a 80 </w:t>
      </w:r>
      <w:r w:rsidR="00B23F61" w:rsidRPr="00237760">
        <w:rPr>
          <w:rFonts w:ascii="Arial" w:hAnsi="Arial" w:cs="Arial"/>
          <w:color w:val="auto"/>
          <w:sz w:val="24"/>
          <w:szCs w:val="24"/>
        </w:rPr>
        <w:t xml:space="preserve">słabości i zagrożeń </w:t>
      </w:r>
      <w:r w:rsidRPr="00237760">
        <w:rPr>
          <w:rFonts w:ascii="Arial" w:hAnsi="Arial" w:cs="Arial"/>
          <w:color w:val="auto"/>
          <w:sz w:val="24"/>
          <w:szCs w:val="24"/>
        </w:rPr>
        <w:t>sześć</w:t>
      </w:r>
      <w:r w:rsidR="00B20072" w:rsidRPr="00237760">
        <w:rPr>
          <w:rFonts w:ascii="Arial" w:hAnsi="Arial" w:cs="Arial"/>
          <w:color w:val="auto"/>
          <w:sz w:val="24"/>
          <w:szCs w:val="24"/>
        </w:rPr>
        <w:t xml:space="preserve"> dotyczy </w:t>
      </w:r>
      <w:r w:rsidR="007A24A6" w:rsidRPr="00237760">
        <w:rPr>
          <w:rFonts w:ascii="Arial" w:hAnsi="Arial" w:cs="Arial"/>
          <w:color w:val="auto"/>
          <w:sz w:val="24"/>
          <w:szCs w:val="24"/>
        </w:rPr>
        <w:t>złego stanu infrastruktury komunikacyjnej (z</w:t>
      </w:r>
      <w:r w:rsidR="005E6F7D" w:rsidRPr="00237760">
        <w:rPr>
          <w:rFonts w:ascii="Arial" w:hAnsi="Arial" w:cs="Arial"/>
          <w:color w:val="auto"/>
          <w:sz w:val="24"/>
          <w:szCs w:val="24"/>
        </w:rPr>
        <w:t xml:space="preserve">e szczególnym naciskiem na kolejową), braku nowych przejść granicznych, </w:t>
      </w:r>
      <w:r w:rsidR="0098277E" w:rsidRPr="00237760">
        <w:rPr>
          <w:rFonts w:ascii="Arial" w:hAnsi="Arial" w:cs="Arial"/>
          <w:color w:val="auto"/>
          <w:sz w:val="24"/>
          <w:szCs w:val="24"/>
        </w:rPr>
        <w:t xml:space="preserve">potencjalnego </w:t>
      </w:r>
      <w:r w:rsidR="00AF2FAA" w:rsidRPr="00237760">
        <w:rPr>
          <w:rFonts w:ascii="Arial" w:hAnsi="Arial" w:cs="Arial"/>
          <w:color w:val="auto"/>
          <w:sz w:val="24"/>
          <w:szCs w:val="24"/>
        </w:rPr>
        <w:t>ograniczenia połączeń komunikacji publicznej</w:t>
      </w:r>
      <w:r w:rsidR="0082637C" w:rsidRPr="00237760">
        <w:rPr>
          <w:rFonts w:ascii="Arial" w:hAnsi="Arial" w:cs="Arial"/>
          <w:color w:val="auto"/>
          <w:sz w:val="24"/>
          <w:szCs w:val="24"/>
        </w:rPr>
        <w:t xml:space="preserve">. </w:t>
      </w:r>
      <w:r w:rsidR="00FA57F0" w:rsidRPr="00237760">
        <w:rPr>
          <w:rFonts w:ascii="Arial" w:hAnsi="Arial" w:cs="Arial"/>
          <w:color w:val="auto"/>
          <w:sz w:val="24"/>
          <w:szCs w:val="24"/>
        </w:rPr>
        <w:t xml:space="preserve">Jednakże obszar </w:t>
      </w:r>
      <w:r w:rsidR="0074040F" w:rsidRPr="00237760">
        <w:rPr>
          <w:rFonts w:ascii="Arial" w:hAnsi="Arial" w:cs="Arial"/>
          <w:color w:val="auto"/>
          <w:sz w:val="24"/>
          <w:szCs w:val="24"/>
        </w:rPr>
        <w:t xml:space="preserve">gmin leżących w obrębie Sanu </w:t>
      </w:r>
      <w:r w:rsidR="006F4114" w:rsidRPr="00237760">
        <w:rPr>
          <w:rFonts w:ascii="Arial" w:hAnsi="Arial" w:cs="Arial"/>
          <w:color w:val="auto"/>
          <w:sz w:val="24"/>
          <w:szCs w:val="24"/>
        </w:rPr>
        <w:t>twórcy dokumentu określili jako obszar o niskiej dostępności</w:t>
      </w:r>
      <w:r w:rsidR="00727E8F" w:rsidRPr="00237760">
        <w:rPr>
          <w:rFonts w:ascii="Arial" w:hAnsi="Arial" w:cs="Arial"/>
          <w:color w:val="auto"/>
          <w:sz w:val="24"/>
          <w:szCs w:val="24"/>
        </w:rPr>
        <w:t xml:space="preserve">, co stanowi </w:t>
      </w:r>
      <w:r w:rsidR="003E3E42" w:rsidRPr="00237760">
        <w:rPr>
          <w:rFonts w:ascii="Arial" w:hAnsi="Arial" w:cs="Arial"/>
          <w:color w:val="auto"/>
          <w:sz w:val="24"/>
          <w:szCs w:val="24"/>
        </w:rPr>
        <w:t>jedną z ważniejszych barier w rozwoju</w:t>
      </w:r>
      <w:r w:rsidR="00790CC4" w:rsidRPr="00237760">
        <w:rPr>
          <w:rFonts w:ascii="Arial" w:hAnsi="Arial" w:cs="Arial"/>
          <w:color w:val="auto"/>
          <w:sz w:val="24"/>
          <w:szCs w:val="24"/>
        </w:rPr>
        <w:t xml:space="preserve">. </w:t>
      </w:r>
      <w:r w:rsidR="00866678" w:rsidRPr="00237760">
        <w:rPr>
          <w:rFonts w:ascii="Arial" w:hAnsi="Arial" w:cs="Arial"/>
          <w:color w:val="auto"/>
          <w:sz w:val="24"/>
          <w:szCs w:val="24"/>
        </w:rPr>
        <w:t xml:space="preserve">Na </w:t>
      </w:r>
      <w:r w:rsidR="00F06B36" w:rsidRPr="00237760">
        <w:rPr>
          <w:rFonts w:ascii="Arial" w:hAnsi="Arial" w:cs="Arial"/>
          <w:color w:val="auto"/>
          <w:sz w:val="24"/>
          <w:szCs w:val="24"/>
        </w:rPr>
        <w:t xml:space="preserve">jego terenie jest zlokalizowanych </w:t>
      </w:r>
      <w:r w:rsidR="00F14C9A" w:rsidRPr="00237760">
        <w:rPr>
          <w:rFonts w:ascii="Arial" w:hAnsi="Arial" w:cs="Arial"/>
          <w:color w:val="auto"/>
          <w:sz w:val="24"/>
          <w:szCs w:val="24"/>
        </w:rPr>
        <w:t>pięć</w:t>
      </w:r>
      <w:r w:rsidR="00F06B36" w:rsidRPr="00237760">
        <w:rPr>
          <w:rFonts w:ascii="Arial" w:hAnsi="Arial" w:cs="Arial"/>
          <w:color w:val="auto"/>
          <w:sz w:val="24"/>
          <w:szCs w:val="24"/>
        </w:rPr>
        <w:t xml:space="preserve"> dróg krajowych</w:t>
      </w:r>
      <w:r w:rsidR="00531F03" w:rsidRPr="00237760">
        <w:rPr>
          <w:rFonts w:ascii="Arial" w:hAnsi="Arial" w:cs="Arial"/>
          <w:color w:val="auto"/>
          <w:sz w:val="24"/>
          <w:szCs w:val="24"/>
        </w:rPr>
        <w:t>, z czego trzy prowadzą do granicy z Ukrainą</w:t>
      </w:r>
      <w:r w:rsidR="00E967D5" w:rsidRPr="00237760">
        <w:rPr>
          <w:rFonts w:ascii="Arial" w:hAnsi="Arial" w:cs="Arial"/>
          <w:color w:val="auto"/>
          <w:sz w:val="24"/>
          <w:szCs w:val="24"/>
        </w:rPr>
        <w:t xml:space="preserve">. </w:t>
      </w:r>
      <w:r w:rsidR="000F0F55" w:rsidRPr="00237760">
        <w:rPr>
          <w:rFonts w:ascii="Arial" w:hAnsi="Arial" w:cs="Arial"/>
          <w:color w:val="auto"/>
          <w:sz w:val="24"/>
          <w:szCs w:val="24"/>
        </w:rPr>
        <w:t xml:space="preserve">Zrealizowana została również inwestycja autostrady A4, więc stan dostępności się stopniowo poprawia. </w:t>
      </w:r>
      <w:r w:rsidR="00C047A1" w:rsidRPr="00237760">
        <w:rPr>
          <w:rFonts w:ascii="Arial" w:hAnsi="Arial" w:cs="Arial"/>
          <w:color w:val="auto"/>
          <w:sz w:val="24"/>
          <w:szCs w:val="24"/>
        </w:rPr>
        <w:t xml:space="preserve">Przez obszar przebiega również kolejowa linia 91, która jest częścią </w:t>
      </w:r>
      <w:r w:rsidR="00B93878" w:rsidRPr="00237760">
        <w:rPr>
          <w:rFonts w:ascii="Arial" w:hAnsi="Arial" w:cs="Arial"/>
          <w:color w:val="auto"/>
          <w:sz w:val="24"/>
          <w:szCs w:val="24"/>
        </w:rPr>
        <w:t xml:space="preserve">III Paneuropejskiego Korytarza Transportowego (Berlin – Kijów). </w:t>
      </w:r>
      <w:r w:rsidR="00F87F5A" w:rsidRPr="00237760">
        <w:rPr>
          <w:rFonts w:ascii="Arial" w:hAnsi="Arial" w:cs="Arial"/>
          <w:color w:val="auto"/>
          <w:sz w:val="24"/>
          <w:szCs w:val="24"/>
        </w:rPr>
        <w:t xml:space="preserve">Jednym z proponowanych projektów kluczowych </w:t>
      </w:r>
      <w:r w:rsidR="003A16BE" w:rsidRPr="00237760">
        <w:rPr>
          <w:rFonts w:ascii="Arial" w:hAnsi="Arial" w:cs="Arial"/>
          <w:color w:val="auto"/>
          <w:sz w:val="24"/>
          <w:szCs w:val="24"/>
        </w:rPr>
        <w:t xml:space="preserve">jest </w:t>
      </w:r>
      <w:r w:rsidR="00DB4327" w:rsidRPr="00237760">
        <w:rPr>
          <w:rFonts w:ascii="Arial" w:hAnsi="Arial" w:cs="Arial"/>
          <w:i/>
          <w:iCs/>
          <w:color w:val="auto"/>
          <w:sz w:val="24"/>
          <w:szCs w:val="24"/>
        </w:rPr>
        <w:t xml:space="preserve">Modernizacja infrastruktury drogowej i kolejowej przy wykorzystaniu inwestycji łączących sieć TEN-T, poprawiających dostępność stolicy województwa oraz obniżających poziom zanieczyszczeń generowanych przez indywidualny transport samochodowy w ruchu regionalnym </w:t>
      </w:r>
      <w:r w:rsidR="00685DA2" w:rsidRPr="00237760">
        <w:rPr>
          <w:rFonts w:ascii="Arial" w:hAnsi="Arial" w:cs="Arial"/>
          <w:i/>
          <w:iCs/>
          <w:color w:val="auto"/>
          <w:sz w:val="24"/>
          <w:szCs w:val="24"/>
        </w:rPr>
        <w:br/>
      </w:r>
      <w:r w:rsidR="00DB4327" w:rsidRPr="00237760">
        <w:rPr>
          <w:rFonts w:ascii="Arial" w:hAnsi="Arial" w:cs="Arial"/>
          <w:i/>
          <w:iCs/>
          <w:color w:val="auto"/>
          <w:sz w:val="24"/>
          <w:szCs w:val="24"/>
        </w:rPr>
        <w:t>i lokalnym</w:t>
      </w:r>
      <w:r w:rsidR="00DB4327" w:rsidRPr="00237760">
        <w:rPr>
          <w:rFonts w:ascii="Arial" w:hAnsi="Arial" w:cs="Arial"/>
          <w:color w:val="auto"/>
          <w:sz w:val="24"/>
          <w:szCs w:val="24"/>
        </w:rPr>
        <w:t>. Jest to projekt</w:t>
      </w:r>
      <w:r w:rsidR="00262582" w:rsidRPr="00237760">
        <w:rPr>
          <w:rFonts w:ascii="Arial" w:hAnsi="Arial" w:cs="Arial"/>
          <w:color w:val="auto"/>
          <w:sz w:val="24"/>
          <w:szCs w:val="24"/>
        </w:rPr>
        <w:t xml:space="preserve"> obejmujący 12 kluczowych gmin obszaru Błękitnego Sanu</w:t>
      </w:r>
      <w:r w:rsidR="00407B7C" w:rsidRPr="00237760">
        <w:rPr>
          <w:rFonts w:ascii="Arial" w:hAnsi="Arial" w:cs="Arial"/>
          <w:color w:val="auto"/>
          <w:sz w:val="24"/>
          <w:szCs w:val="24"/>
        </w:rPr>
        <w:t xml:space="preserve"> i dotykający kilku aspektów </w:t>
      </w:r>
      <w:r w:rsidR="00195F2B" w:rsidRPr="00237760">
        <w:rPr>
          <w:rFonts w:ascii="Arial" w:hAnsi="Arial" w:cs="Arial"/>
          <w:color w:val="auto"/>
          <w:sz w:val="24"/>
          <w:szCs w:val="24"/>
        </w:rPr>
        <w:t>transportu</w:t>
      </w:r>
      <w:r w:rsidR="00407B7C" w:rsidRPr="00237760">
        <w:rPr>
          <w:rFonts w:ascii="Arial" w:hAnsi="Arial" w:cs="Arial"/>
          <w:color w:val="auto"/>
          <w:sz w:val="24"/>
          <w:szCs w:val="24"/>
        </w:rPr>
        <w:t xml:space="preserve"> </w:t>
      </w:r>
      <w:r w:rsidR="00195F2B" w:rsidRPr="00237760">
        <w:rPr>
          <w:rFonts w:ascii="Arial" w:hAnsi="Arial" w:cs="Arial"/>
          <w:color w:val="auto"/>
          <w:sz w:val="24"/>
          <w:szCs w:val="24"/>
        </w:rPr>
        <w:t>–</w:t>
      </w:r>
      <w:r w:rsidR="00407B7C" w:rsidRPr="00237760">
        <w:rPr>
          <w:rFonts w:ascii="Arial" w:hAnsi="Arial" w:cs="Arial"/>
          <w:color w:val="auto"/>
          <w:sz w:val="24"/>
          <w:szCs w:val="24"/>
        </w:rPr>
        <w:t xml:space="preserve"> </w:t>
      </w:r>
      <w:r w:rsidR="00195F2B" w:rsidRPr="00237760">
        <w:rPr>
          <w:rFonts w:ascii="Arial" w:hAnsi="Arial" w:cs="Arial"/>
          <w:color w:val="auto"/>
          <w:sz w:val="24"/>
          <w:szCs w:val="24"/>
        </w:rPr>
        <w:t>dróg, kolei oraz komunikacji publicznej.</w:t>
      </w:r>
      <w:r w:rsidR="00F2724C" w:rsidRPr="00237760">
        <w:rPr>
          <w:rFonts w:ascii="Arial" w:hAnsi="Arial" w:cs="Arial"/>
          <w:color w:val="auto"/>
          <w:sz w:val="24"/>
          <w:szCs w:val="24"/>
        </w:rPr>
        <w:t xml:space="preserve"> </w:t>
      </w:r>
    </w:p>
    <w:p w14:paraId="3F54770B" w14:textId="68C7CD8A" w:rsidR="00EF50C0" w:rsidRPr="00237760" w:rsidRDefault="0090168B" w:rsidP="009367B4">
      <w:pPr>
        <w:jc w:val="left"/>
        <w:rPr>
          <w:rFonts w:ascii="Arial" w:hAnsi="Arial" w:cs="Arial"/>
          <w:color w:val="auto"/>
          <w:sz w:val="24"/>
          <w:szCs w:val="24"/>
        </w:rPr>
      </w:pPr>
      <w:r w:rsidRPr="00237760">
        <w:rPr>
          <w:rFonts w:ascii="Arial" w:hAnsi="Arial" w:cs="Arial"/>
          <w:color w:val="auto"/>
          <w:sz w:val="24"/>
          <w:szCs w:val="24"/>
        </w:rPr>
        <w:t>PSRT WP odpowiada na potrzeby obszaru Błękitnego Sanu w szczególności za pomocą dwóch celów: celu podstawowego 1. Dostępność zewnętrzna oraz celu podstawowego 2. Transportowa spójność wewnętrzna</w:t>
      </w:r>
      <w:r w:rsidR="0024513A" w:rsidRPr="00237760">
        <w:rPr>
          <w:rFonts w:ascii="Arial" w:hAnsi="Arial" w:cs="Arial"/>
          <w:color w:val="auto"/>
          <w:sz w:val="24"/>
          <w:szCs w:val="24"/>
        </w:rPr>
        <w:t xml:space="preserve">. </w:t>
      </w:r>
      <w:r w:rsidR="0056113A" w:rsidRPr="00237760">
        <w:rPr>
          <w:rFonts w:ascii="Arial" w:hAnsi="Arial" w:cs="Arial"/>
          <w:color w:val="auto"/>
          <w:sz w:val="24"/>
          <w:szCs w:val="24"/>
        </w:rPr>
        <w:t xml:space="preserve">W </w:t>
      </w:r>
      <w:r w:rsidR="00981D3D" w:rsidRPr="00237760">
        <w:rPr>
          <w:rFonts w:ascii="Arial" w:hAnsi="Arial" w:cs="Arial"/>
          <w:color w:val="auto"/>
          <w:sz w:val="24"/>
          <w:szCs w:val="24"/>
        </w:rPr>
        <w:t xml:space="preserve">inwestycjach w ramach celów pojawiają się te, które dotyczą bezpośrednio gmin położonych w omawianym obszarze. </w:t>
      </w:r>
      <w:r w:rsidR="00380883" w:rsidRPr="00237760">
        <w:rPr>
          <w:rFonts w:ascii="Arial" w:hAnsi="Arial" w:cs="Arial"/>
          <w:color w:val="auto"/>
          <w:sz w:val="24"/>
          <w:szCs w:val="24"/>
        </w:rPr>
        <w:t>Wartym podkreślenia jest to, iż j</w:t>
      </w:r>
      <w:r w:rsidR="00B20FAC" w:rsidRPr="00237760">
        <w:rPr>
          <w:rFonts w:ascii="Arial" w:hAnsi="Arial" w:cs="Arial"/>
          <w:color w:val="auto"/>
          <w:sz w:val="24"/>
          <w:szCs w:val="24"/>
        </w:rPr>
        <w:t xml:space="preserve">edno z działań odnosi się </w:t>
      </w:r>
      <w:r w:rsidR="00503E0C" w:rsidRPr="00237760">
        <w:rPr>
          <w:rFonts w:ascii="Arial" w:hAnsi="Arial" w:cs="Arial"/>
          <w:color w:val="auto"/>
          <w:sz w:val="24"/>
          <w:szCs w:val="24"/>
        </w:rPr>
        <w:t xml:space="preserve">do rozwoju </w:t>
      </w:r>
      <w:r w:rsidR="00503E0C" w:rsidRPr="00237760">
        <w:rPr>
          <w:rFonts w:ascii="Arial" w:hAnsi="Arial" w:cs="Arial"/>
          <w:color w:val="auto"/>
          <w:sz w:val="24"/>
          <w:szCs w:val="24"/>
        </w:rPr>
        <w:lastRenderedPageBreak/>
        <w:t>szlaków turystycznych</w:t>
      </w:r>
      <w:r w:rsidR="00380883" w:rsidRPr="00237760">
        <w:rPr>
          <w:rFonts w:ascii="Arial" w:hAnsi="Arial" w:cs="Arial"/>
          <w:color w:val="auto"/>
          <w:sz w:val="24"/>
          <w:szCs w:val="24"/>
        </w:rPr>
        <w:t xml:space="preserve">, w tym szlaku wodnego </w:t>
      </w:r>
      <w:r w:rsidR="00380883" w:rsidRPr="00237760">
        <w:rPr>
          <w:rFonts w:ascii="Arial" w:hAnsi="Arial" w:cs="Arial"/>
          <w:i/>
          <w:iCs/>
          <w:color w:val="auto"/>
          <w:sz w:val="24"/>
          <w:szCs w:val="24"/>
        </w:rPr>
        <w:t>Błękitny San</w:t>
      </w:r>
      <w:r w:rsidR="00985012" w:rsidRPr="00237760">
        <w:rPr>
          <w:rFonts w:ascii="Arial" w:hAnsi="Arial" w:cs="Arial"/>
          <w:i/>
          <w:iCs/>
          <w:color w:val="auto"/>
          <w:sz w:val="24"/>
          <w:szCs w:val="24"/>
        </w:rPr>
        <w:t xml:space="preserve">, </w:t>
      </w:r>
      <w:r w:rsidR="00985012" w:rsidRPr="00237760">
        <w:rPr>
          <w:rFonts w:ascii="Arial" w:hAnsi="Arial" w:cs="Arial"/>
          <w:color w:val="auto"/>
          <w:sz w:val="24"/>
          <w:szCs w:val="24"/>
        </w:rPr>
        <w:t xml:space="preserve">zapewniając </w:t>
      </w:r>
      <w:r w:rsidR="00DE3C4F" w:rsidRPr="00237760">
        <w:rPr>
          <w:rFonts w:ascii="Arial" w:hAnsi="Arial" w:cs="Arial"/>
          <w:color w:val="auto"/>
          <w:sz w:val="24"/>
          <w:szCs w:val="24"/>
        </w:rPr>
        <w:t xml:space="preserve">rozwój turystyki </w:t>
      </w:r>
      <w:r w:rsidR="00685DA2" w:rsidRPr="00237760">
        <w:rPr>
          <w:rFonts w:ascii="Arial" w:hAnsi="Arial" w:cs="Arial"/>
          <w:color w:val="auto"/>
          <w:sz w:val="24"/>
          <w:szCs w:val="24"/>
        </w:rPr>
        <w:br/>
      </w:r>
      <w:r w:rsidR="00DE3C4F" w:rsidRPr="00237760">
        <w:rPr>
          <w:rFonts w:ascii="Arial" w:hAnsi="Arial" w:cs="Arial"/>
          <w:color w:val="auto"/>
          <w:sz w:val="24"/>
          <w:szCs w:val="24"/>
        </w:rPr>
        <w:t xml:space="preserve">w tym regionie. </w:t>
      </w:r>
    </w:p>
    <w:p w14:paraId="675A18A5" w14:textId="54251C8B" w:rsidR="00D31381" w:rsidRPr="00237760" w:rsidRDefault="00D31381" w:rsidP="009367B4">
      <w:pPr>
        <w:spacing w:after="160" w:line="259" w:lineRule="auto"/>
        <w:jc w:val="left"/>
        <w:rPr>
          <w:rFonts w:ascii="Arial" w:hAnsi="Arial" w:cs="Arial"/>
          <w:color w:val="auto"/>
          <w:sz w:val="24"/>
          <w:szCs w:val="24"/>
          <w:lang w:eastAsia="pl-PL"/>
        </w:rPr>
      </w:pPr>
      <w:r w:rsidRPr="00237760">
        <w:rPr>
          <w:rFonts w:ascii="Arial" w:hAnsi="Arial" w:cs="Arial"/>
          <w:color w:val="auto"/>
          <w:sz w:val="24"/>
          <w:szCs w:val="24"/>
          <w:lang w:eastAsia="pl-PL"/>
        </w:rPr>
        <w:t xml:space="preserve">Kolejnym dokumentem, tym razem na poziomie ponadregionalnym, który należy wziąć pod uwagę jest opracowany przez Ministra Infrastruktury </w:t>
      </w:r>
      <w:r w:rsidRPr="00237760">
        <w:rPr>
          <w:rFonts w:ascii="Arial" w:hAnsi="Arial" w:cs="Arial"/>
          <w:i/>
          <w:color w:val="auto"/>
          <w:sz w:val="24"/>
          <w:szCs w:val="24"/>
          <w:lang w:eastAsia="pl-PL"/>
        </w:rPr>
        <w:t xml:space="preserve">Plan zrównoważonego rozwoju publicznego transportu zbiorowego w międzywojewódzkich i międzynarodowych przewozach pasażerskich oraz </w:t>
      </w:r>
      <w:r w:rsidR="00685DA2" w:rsidRPr="00237760">
        <w:rPr>
          <w:rFonts w:ascii="Arial" w:hAnsi="Arial" w:cs="Arial"/>
          <w:i/>
          <w:color w:val="auto"/>
          <w:sz w:val="24"/>
          <w:szCs w:val="24"/>
          <w:lang w:eastAsia="pl-PL"/>
        </w:rPr>
        <w:br/>
      </w:r>
      <w:r w:rsidRPr="00237760">
        <w:rPr>
          <w:rFonts w:ascii="Arial" w:hAnsi="Arial" w:cs="Arial"/>
          <w:i/>
          <w:color w:val="auto"/>
          <w:sz w:val="24"/>
          <w:szCs w:val="24"/>
          <w:lang w:eastAsia="pl-PL"/>
        </w:rPr>
        <w:t>w wojewódzkich przewozach pasażerskich w transporcie kolejowym</w:t>
      </w:r>
      <w:r w:rsidRPr="00237760">
        <w:rPr>
          <w:rFonts w:ascii="Arial" w:hAnsi="Arial" w:cs="Arial"/>
          <w:color w:val="auto"/>
          <w:sz w:val="24"/>
          <w:szCs w:val="24"/>
          <w:lang w:eastAsia="pl-PL"/>
        </w:rPr>
        <w:t>. Dokument skupia się jednak na zagadnieniach związanych z rozwojem transportu szynowego.</w:t>
      </w:r>
      <w:r w:rsidR="003E1668" w:rsidRPr="00237760">
        <w:rPr>
          <w:rFonts w:ascii="Arial" w:hAnsi="Arial" w:cs="Arial"/>
          <w:color w:val="auto"/>
          <w:sz w:val="24"/>
          <w:szCs w:val="24"/>
          <w:lang w:eastAsia="pl-PL"/>
        </w:rPr>
        <w:t xml:space="preserve"> </w:t>
      </w:r>
      <w:r w:rsidRPr="00237760">
        <w:rPr>
          <w:rFonts w:ascii="Arial" w:hAnsi="Arial" w:cs="Arial"/>
          <w:color w:val="auto"/>
          <w:sz w:val="24"/>
          <w:szCs w:val="24"/>
        </w:rPr>
        <w:t>Plan w niewielkim stopniu odnosi się</w:t>
      </w:r>
      <w:r w:rsidR="003E1668" w:rsidRPr="00237760">
        <w:rPr>
          <w:rFonts w:ascii="Arial" w:hAnsi="Arial" w:cs="Arial"/>
          <w:color w:val="auto"/>
          <w:sz w:val="24"/>
          <w:szCs w:val="24"/>
        </w:rPr>
        <w:t xml:space="preserve"> także</w:t>
      </w:r>
      <w:r w:rsidRPr="00237760">
        <w:rPr>
          <w:rFonts w:ascii="Arial" w:hAnsi="Arial" w:cs="Arial"/>
          <w:color w:val="auto"/>
          <w:sz w:val="24"/>
          <w:szCs w:val="24"/>
        </w:rPr>
        <w:t xml:space="preserve"> do uwarunkowań województwa podkarpackiego. Wśród fragmentarycznie wymienionych, istotnych zjawisk dotyczących rozwoju transportu w regionie zaliczają się:</w:t>
      </w:r>
    </w:p>
    <w:p w14:paraId="06705CCB" w14:textId="2EC4F28A" w:rsidR="00D31381" w:rsidRPr="00237760" w:rsidRDefault="00D31381" w:rsidP="009367B4">
      <w:pPr>
        <w:pStyle w:val="Akapitzlist"/>
        <w:numPr>
          <w:ilvl w:val="0"/>
          <w:numId w:val="20"/>
        </w:numPr>
        <w:jc w:val="left"/>
        <w:rPr>
          <w:rFonts w:ascii="Arial" w:hAnsi="Arial" w:cs="Arial"/>
          <w:color w:val="auto"/>
          <w:sz w:val="24"/>
          <w:szCs w:val="24"/>
        </w:rPr>
      </w:pPr>
      <w:r w:rsidRPr="00237760">
        <w:rPr>
          <w:rFonts w:ascii="Arial" w:hAnsi="Arial" w:cs="Arial"/>
          <w:color w:val="auto"/>
          <w:sz w:val="24"/>
          <w:szCs w:val="24"/>
        </w:rPr>
        <w:t xml:space="preserve">zamiar (planowanie) rozwoju połączeń kolejowych w relacji: CPK – Grójec – Warka, Radom – Ostrowiec Świętokrzyski oraz Łętownia – Rzeszów, które przyspieszą podróże z Rzeszowa </w:t>
      </w:r>
      <w:r w:rsidR="00685DA2" w:rsidRPr="00237760">
        <w:rPr>
          <w:rFonts w:ascii="Arial" w:hAnsi="Arial" w:cs="Arial"/>
          <w:color w:val="auto"/>
          <w:sz w:val="24"/>
          <w:szCs w:val="24"/>
        </w:rPr>
        <w:br/>
      </w:r>
      <w:r w:rsidRPr="00237760">
        <w:rPr>
          <w:rFonts w:ascii="Arial" w:hAnsi="Arial" w:cs="Arial"/>
          <w:color w:val="auto"/>
          <w:sz w:val="24"/>
          <w:szCs w:val="24"/>
        </w:rPr>
        <w:t>i Stalowej Woli do CPK, Warszawy i innych miast kraju (w kontekście powiązań z CPK w PSRT WP wskazano działania w celu podstawowym 1. i celu podstawowym 3. – poprzez rozwój połączeń kolejowych Czwórmiasta z CPK i skomunikowania drogowego infrastruktury kolejowej dotyczącej połączeń z CPK),</w:t>
      </w:r>
    </w:p>
    <w:p w14:paraId="1FA48BF9" w14:textId="77777777" w:rsidR="00D31381" w:rsidRPr="00237760" w:rsidRDefault="00D31381" w:rsidP="009367B4">
      <w:pPr>
        <w:pStyle w:val="Akapitzlist"/>
        <w:numPr>
          <w:ilvl w:val="0"/>
          <w:numId w:val="20"/>
        </w:numPr>
        <w:jc w:val="left"/>
        <w:rPr>
          <w:rFonts w:ascii="Arial" w:hAnsi="Arial" w:cs="Arial"/>
          <w:color w:val="auto"/>
          <w:sz w:val="24"/>
          <w:szCs w:val="24"/>
        </w:rPr>
      </w:pPr>
      <w:r w:rsidRPr="00237760">
        <w:rPr>
          <w:rFonts w:ascii="Arial" w:hAnsi="Arial" w:cs="Arial"/>
          <w:color w:val="auto"/>
          <w:sz w:val="24"/>
          <w:szCs w:val="24"/>
        </w:rPr>
        <w:t>plan rozwoju odcinka kolejowego w relacji Rzeszów – Sanok lub łącznica Jedlicze – Przybówka (w PSRT WP odpowiedź stanowią działania dotyczące transportu kolejowego w ramach celów podstawowych 2. i 3. oraz celu horyzontalnego 3.),</w:t>
      </w:r>
    </w:p>
    <w:p w14:paraId="069A9A17" w14:textId="77777777" w:rsidR="00D31381" w:rsidRPr="00237760" w:rsidRDefault="00D31381" w:rsidP="009367B4">
      <w:pPr>
        <w:pStyle w:val="Akapitzlist"/>
        <w:numPr>
          <w:ilvl w:val="0"/>
          <w:numId w:val="20"/>
        </w:numPr>
        <w:jc w:val="left"/>
        <w:rPr>
          <w:rFonts w:ascii="Arial" w:hAnsi="Arial" w:cs="Arial"/>
          <w:color w:val="auto"/>
          <w:sz w:val="24"/>
          <w:szCs w:val="24"/>
        </w:rPr>
      </w:pPr>
      <w:r w:rsidRPr="00237760">
        <w:rPr>
          <w:rFonts w:ascii="Arial" w:hAnsi="Arial" w:cs="Arial"/>
          <w:color w:val="auto"/>
          <w:sz w:val="24"/>
          <w:szCs w:val="24"/>
        </w:rPr>
        <w:t>zamiar osiągnięcia średniej prędkości handlowej, co najmniej 90 km/h w połączeniach Warszawa Centralna – miasta wojewódzkie do 2024 roku (realizuje to działanie „Poprawa infrastruktury w celu połączenia kolejowego z Warszawą…” w ramach celu podstawowego 1.),</w:t>
      </w:r>
    </w:p>
    <w:p w14:paraId="74161488" w14:textId="367CC682" w:rsidR="00D31381" w:rsidRPr="00237760" w:rsidRDefault="00D31381" w:rsidP="009367B4">
      <w:pPr>
        <w:pStyle w:val="Akapitzlist"/>
        <w:numPr>
          <w:ilvl w:val="0"/>
          <w:numId w:val="20"/>
        </w:numPr>
        <w:jc w:val="left"/>
        <w:rPr>
          <w:rFonts w:ascii="Arial" w:hAnsi="Arial" w:cs="Arial"/>
          <w:color w:val="auto"/>
          <w:sz w:val="24"/>
          <w:szCs w:val="24"/>
        </w:rPr>
      </w:pPr>
      <w:r w:rsidRPr="00237760">
        <w:rPr>
          <w:rFonts w:ascii="Arial" w:hAnsi="Arial" w:cs="Arial"/>
          <w:color w:val="auto"/>
          <w:sz w:val="24"/>
          <w:szCs w:val="24"/>
        </w:rPr>
        <w:t>obecny i planowany rozwój linii kolejowych w ramach wojewódzkich przewozów pasażerskich zapewniając</w:t>
      </w:r>
      <w:r w:rsidR="00C00522" w:rsidRPr="00237760">
        <w:rPr>
          <w:rFonts w:ascii="Arial" w:hAnsi="Arial" w:cs="Arial"/>
          <w:color w:val="auto"/>
          <w:sz w:val="24"/>
          <w:szCs w:val="24"/>
        </w:rPr>
        <w:t>ych</w:t>
      </w:r>
      <w:r w:rsidRPr="00237760">
        <w:rPr>
          <w:rFonts w:ascii="Arial" w:hAnsi="Arial" w:cs="Arial"/>
          <w:color w:val="auto"/>
          <w:sz w:val="24"/>
          <w:szCs w:val="24"/>
        </w:rPr>
        <w:t xml:space="preserve"> połączenie komunikacyjne między sąsiednimi województwami, które mają szczególne znaczenie dla dostępności sieci komunikacyjnej, dla województwa podkarpackiego wyznaczono linie: Rzeszów – Jasło – Biecz – Gorlice, Jarosław – Bełżec, Rzeszów – Tarnów, Rzeszów – Sandomierz, Tarnobrzeg – Sandomierz, a dla innych regionów m.in. linie: Kraków – Tarnów – Dębica, Kielce - Staszów – Tarnobrzeg, Kielce – Skarżysko-Kamienna – Sandomierz – Tarnobrzeg, Sandomierz – Stalowa Wola, Lublin – Stalowa Wola, Zamość – Zawada - Bełżec – Hrebenne – Horyniec-Zdrój oraz rozwój innych linii międzywojewódzkich (realizują to: działania celu podstawowego 1. i 3. oraz celu horyzontalnego 3. </w:t>
      </w:r>
      <w:r w:rsidR="005F01B9" w:rsidRPr="00237760">
        <w:rPr>
          <w:rFonts w:ascii="Arial" w:hAnsi="Arial" w:cs="Arial"/>
          <w:color w:val="auto"/>
          <w:sz w:val="24"/>
          <w:szCs w:val="24"/>
        </w:rPr>
        <w:t>d</w:t>
      </w:r>
      <w:r w:rsidRPr="00237760">
        <w:rPr>
          <w:rFonts w:ascii="Arial" w:hAnsi="Arial" w:cs="Arial"/>
          <w:color w:val="auto"/>
          <w:sz w:val="24"/>
          <w:szCs w:val="24"/>
        </w:rPr>
        <w:t>otyczące rozwoju transportu kolejowego Czwórmiasta oraz inne działania w ramach tych celów, w szczególności wskazujące inwestycje dotyczące ww. miast),</w:t>
      </w:r>
    </w:p>
    <w:p w14:paraId="0E1E9DBF" w14:textId="77777777" w:rsidR="00D31381" w:rsidRPr="00237760" w:rsidRDefault="00D31381" w:rsidP="009367B4">
      <w:pPr>
        <w:pStyle w:val="Akapitzlist"/>
        <w:numPr>
          <w:ilvl w:val="0"/>
          <w:numId w:val="20"/>
        </w:numPr>
        <w:jc w:val="left"/>
        <w:rPr>
          <w:rFonts w:ascii="Arial" w:hAnsi="Arial" w:cs="Arial"/>
          <w:color w:val="auto"/>
          <w:sz w:val="24"/>
          <w:szCs w:val="24"/>
        </w:rPr>
      </w:pPr>
      <w:r w:rsidRPr="00237760">
        <w:rPr>
          <w:rFonts w:ascii="Arial" w:hAnsi="Arial" w:cs="Arial"/>
          <w:color w:val="auto"/>
          <w:sz w:val="24"/>
          <w:szCs w:val="24"/>
        </w:rPr>
        <w:lastRenderedPageBreak/>
        <w:t xml:space="preserve">rozwój projektu Wspólny Bilet (realizuje to cel horyzontalny 2. w ramach działania dotyczącego rozwoju inicjatywy wspólnego biletu).  </w:t>
      </w:r>
    </w:p>
    <w:p w14:paraId="7346D284" w14:textId="293D6AA6" w:rsidR="002B0C18" w:rsidRPr="00237760" w:rsidRDefault="002B0C18" w:rsidP="009367B4">
      <w:pPr>
        <w:spacing w:after="160" w:line="259" w:lineRule="auto"/>
        <w:jc w:val="left"/>
        <w:rPr>
          <w:rFonts w:ascii="Arial" w:hAnsi="Arial" w:cs="Arial"/>
          <w:color w:val="auto"/>
          <w:sz w:val="24"/>
          <w:szCs w:val="24"/>
        </w:rPr>
      </w:pPr>
      <w:r w:rsidRPr="00237760">
        <w:rPr>
          <w:rFonts w:ascii="Arial" w:hAnsi="Arial" w:cs="Arial"/>
          <w:color w:val="auto"/>
          <w:sz w:val="24"/>
          <w:szCs w:val="24"/>
        </w:rPr>
        <w:t>Bezpośrednio do</w:t>
      </w:r>
      <w:r w:rsidR="003E1668" w:rsidRPr="00237760">
        <w:rPr>
          <w:rFonts w:ascii="Arial" w:hAnsi="Arial" w:cs="Arial"/>
          <w:color w:val="auto"/>
          <w:sz w:val="24"/>
          <w:szCs w:val="24"/>
        </w:rPr>
        <w:t xml:space="preserve"> obszaru</w:t>
      </w:r>
      <w:r w:rsidRPr="00237760">
        <w:rPr>
          <w:rFonts w:ascii="Arial" w:hAnsi="Arial" w:cs="Arial"/>
          <w:color w:val="auto"/>
          <w:sz w:val="24"/>
          <w:szCs w:val="24"/>
        </w:rPr>
        <w:t xml:space="preserve"> transportu odnoszą się plany powiatowe oraz miast na prawach powiatu. Są one skoncentrowane na </w:t>
      </w:r>
      <w:r w:rsidR="003E1668" w:rsidRPr="00237760">
        <w:rPr>
          <w:rFonts w:ascii="Arial" w:hAnsi="Arial" w:cs="Arial"/>
          <w:color w:val="auto"/>
          <w:sz w:val="24"/>
          <w:szCs w:val="24"/>
        </w:rPr>
        <w:t>rozwoju komunikacji publicznej</w:t>
      </w:r>
      <w:r w:rsidRPr="00237760">
        <w:rPr>
          <w:rFonts w:ascii="Arial" w:hAnsi="Arial" w:cs="Arial"/>
          <w:color w:val="auto"/>
          <w:sz w:val="24"/>
          <w:szCs w:val="24"/>
        </w:rPr>
        <w:t>. Do analizy wybrano te dokumenty spośród wszystkich planów z terenu województwa, które dotyczą MOF-ów i</w:t>
      </w:r>
      <w:r w:rsidR="003E1668" w:rsidRPr="00237760">
        <w:rPr>
          <w:rFonts w:ascii="Arial" w:hAnsi="Arial" w:cs="Arial"/>
          <w:color w:val="auto"/>
          <w:sz w:val="24"/>
          <w:szCs w:val="24"/>
        </w:rPr>
        <w:t xml:space="preserve"> w zapisach których</w:t>
      </w:r>
      <w:r w:rsidRPr="00237760">
        <w:rPr>
          <w:rFonts w:ascii="Arial" w:hAnsi="Arial" w:cs="Arial"/>
          <w:color w:val="auto"/>
          <w:sz w:val="24"/>
          <w:szCs w:val="24"/>
        </w:rPr>
        <w:t xml:space="preserve"> przejawiają się elementy wyzwań i potrzeb regionu</w:t>
      </w:r>
      <w:r w:rsidR="00B51927" w:rsidRPr="00237760">
        <w:rPr>
          <w:rFonts w:ascii="Arial" w:hAnsi="Arial" w:cs="Arial"/>
          <w:color w:val="auto"/>
          <w:sz w:val="24"/>
          <w:szCs w:val="24"/>
        </w:rPr>
        <w:t xml:space="preserve">. </w:t>
      </w:r>
      <w:r w:rsidRPr="00237760">
        <w:rPr>
          <w:rFonts w:ascii="Arial" w:hAnsi="Arial" w:cs="Arial"/>
          <w:color w:val="auto"/>
          <w:sz w:val="24"/>
          <w:szCs w:val="24"/>
        </w:rPr>
        <w:t>Z powodu zróżnicowanej struktury dokumentów (np. nieobecność analizy SWOT w większości planów czy brak ustrukturyzowanej hierarchii celów) zostały wypisane najważniejsze wnioski odnoszące się do tematu tego rozdziału (</w:t>
      </w:r>
      <w:r w:rsidR="006D2D81" w:rsidRPr="00237760">
        <w:rPr>
          <w:rFonts w:ascii="Arial" w:hAnsi="Arial" w:cs="Arial"/>
          <w:color w:val="auto"/>
          <w:sz w:val="24"/>
          <w:szCs w:val="24"/>
        </w:rPr>
        <w:fldChar w:fldCharType="begin"/>
      </w:r>
      <w:r w:rsidR="006D2D81" w:rsidRPr="00237760">
        <w:rPr>
          <w:rFonts w:ascii="Arial" w:hAnsi="Arial" w:cs="Arial"/>
          <w:color w:val="auto"/>
          <w:sz w:val="24"/>
          <w:szCs w:val="24"/>
        </w:rPr>
        <w:instrText xml:space="preserve"> REF _Ref100917364 \h </w:instrText>
      </w:r>
      <w:r w:rsidR="003E1668" w:rsidRPr="00237760">
        <w:rPr>
          <w:rFonts w:ascii="Arial" w:hAnsi="Arial" w:cs="Arial"/>
          <w:color w:val="auto"/>
          <w:sz w:val="24"/>
          <w:szCs w:val="24"/>
        </w:rPr>
        <w:instrText xml:space="preserve"> \* MERGEFORMAT </w:instrText>
      </w:r>
      <w:r w:rsidR="006D2D81" w:rsidRPr="00237760">
        <w:rPr>
          <w:rFonts w:ascii="Arial" w:hAnsi="Arial" w:cs="Arial"/>
          <w:color w:val="auto"/>
          <w:sz w:val="24"/>
          <w:szCs w:val="24"/>
        </w:rPr>
      </w:r>
      <w:r w:rsidR="006D2D81" w:rsidRPr="00237760">
        <w:rPr>
          <w:rFonts w:ascii="Arial" w:hAnsi="Arial" w:cs="Arial"/>
          <w:color w:val="auto"/>
          <w:sz w:val="24"/>
          <w:szCs w:val="24"/>
        </w:rPr>
        <w:fldChar w:fldCharType="separate"/>
      </w:r>
      <w:r w:rsidR="00E52C19" w:rsidRPr="00237760">
        <w:rPr>
          <w:rFonts w:ascii="Arial" w:hAnsi="Arial" w:cs="Arial"/>
          <w:color w:val="auto"/>
          <w:sz w:val="24"/>
          <w:szCs w:val="24"/>
        </w:rPr>
        <w:t xml:space="preserve">Tabela </w:t>
      </w:r>
      <w:r w:rsidR="00E52C19" w:rsidRPr="00237760">
        <w:rPr>
          <w:rFonts w:ascii="Arial" w:hAnsi="Arial" w:cs="Arial"/>
          <w:noProof/>
          <w:color w:val="auto"/>
          <w:sz w:val="24"/>
          <w:szCs w:val="24"/>
        </w:rPr>
        <w:t>7</w:t>
      </w:r>
      <w:r w:rsidR="006D2D81" w:rsidRPr="00237760">
        <w:rPr>
          <w:rFonts w:ascii="Arial" w:hAnsi="Arial" w:cs="Arial"/>
          <w:color w:val="auto"/>
          <w:sz w:val="24"/>
          <w:szCs w:val="24"/>
        </w:rPr>
        <w:fldChar w:fldCharType="end"/>
      </w:r>
      <w:r w:rsidRPr="00237760">
        <w:rPr>
          <w:rFonts w:ascii="Arial" w:hAnsi="Arial" w:cs="Arial"/>
          <w:color w:val="auto"/>
          <w:sz w:val="24"/>
          <w:szCs w:val="24"/>
        </w:rPr>
        <w:t>).</w:t>
      </w:r>
    </w:p>
    <w:p w14:paraId="53179C64" w14:textId="73809BF6" w:rsidR="00D43669" w:rsidRPr="00237760" w:rsidRDefault="00D43669" w:rsidP="009367B4">
      <w:pPr>
        <w:pStyle w:val="Legenda"/>
        <w:jc w:val="left"/>
        <w:rPr>
          <w:rFonts w:ascii="Arial" w:hAnsi="Arial" w:cs="Arial"/>
          <w:color w:val="auto"/>
          <w:sz w:val="24"/>
          <w:szCs w:val="24"/>
        </w:rPr>
      </w:pPr>
      <w:bookmarkStart w:id="51" w:name="_Ref100867009"/>
      <w:bookmarkStart w:id="52" w:name="_Ref100917364"/>
      <w:bookmarkStart w:id="53" w:name="_Toc101904248"/>
      <w:r w:rsidRPr="00237760">
        <w:rPr>
          <w:rFonts w:ascii="Arial" w:hAnsi="Arial" w:cs="Arial"/>
          <w:color w:val="auto"/>
          <w:sz w:val="24"/>
          <w:szCs w:val="24"/>
        </w:rPr>
        <w:t xml:space="preserve">Tabela </w:t>
      </w:r>
      <w:r w:rsidRPr="00237760">
        <w:rPr>
          <w:rFonts w:ascii="Arial" w:hAnsi="Arial" w:cs="Arial"/>
          <w:noProof/>
          <w:color w:val="auto"/>
          <w:sz w:val="24"/>
          <w:szCs w:val="24"/>
        </w:rPr>
        <w:fldChar w:fldCharType="begin"/>
      </w:r>
      <w:r w:rsidRPr="00237760">
        <w:rPr>
          <w:rFonts w:ascii="Arial" w:hAnsi="Arial" w:cs="Arial"/>
          <w:noProof/>
          <w:color w:val="auto"/>
          <w:sz w:val="24"/>
          <w:szCs w:val="24"/>
        </w:rPr>
        <w:instrText xml:space="preserve"> SEQ Tabela \* ARABIC </w:instrText>
      </w:r>
      <w:r w:rsidRPr="00237760">
        <w:rPr>
          <w:rFonts w:ascii="Arial" w:hAnsi="Arial" w:cs="Arial"/>
          <w:noProof/>
          <w:color w:val="auto"/>
          <w:sz w:val="24"/>
          <w:szCs w:val="24"/>
        </w:rPr>
        <w:fldChar w:fldCharType="separate"/>
      </w:r>
      <w:r w:rsidR="00762B20" w:rsidRPr="00237760">
        <w:rPr>
          <w:rFonts w:ascii="Arial" w:hAnsi="Arial" w:cs="Arial"/>
          <w:noProof/>
          <w:color w:val="auto"/>
          <w:sz w:val="24"/>
          <w:szCs w:val="24"/>
        </w:rPr>
        <w:t>7</w:t>
      </w:r>
      <w:r w:rsidRPr="00237760">
        <w:rPr>
          <w:rFonts w:ascii="Arial" w:hAnsi="Arial" w:cs="Arial"/>
          <w:noProof/>
          <w:color w:val="auto"/>
          <w:sz w:val="24"/>
          <w:szCs w:val="24"/>
        </w:rPr>
        <w:fldChar w:fldCharType="end"/>
      </w:r>
      <w:bookmarkEnd w:id="51"/>
      <w:bookmarkEnd w:id="52"/>
      <w:r w:rsidRPr="00237760">
        <w:rPr>
          <w:rFonts w:ascii="Arial" w:hAnsi="Arial" w:cs="Arial"/>
          <w:color w:val="auto"/>
          <w:sz w:val="24"/>
          <w:szCs w:val="24"/>
        </w:rPr>
        <w:t xml:space="preserve">. Wyzwania i potrzeby społeczno-gospodarcze województwa wskazane w </w:t>
      </w:r>
      <w:r w:rsidR="00EF4526" w:rsidRPr="00237760">
        <w:rPr>
          <w:rFonts w:ascii="Arial" w:hAnsi="Arial" w:cs="Arial"/>
          <w:color w:val="auto"/>
          <w:sz w:val="24"/>
          <w:szCs w:val="24"/>
        </w:rPr>
        <w:t xml:space="preserve">wybranych </w:t>
      </w:r>
      <w:r w:rsidRPr="00237760">
        <w:rPr>
          <w:rFonts w:ascii="Arial" w:hAnsi="Arial" w:cs="Arial"/>
          <w:color w:val="auto"/>
          <w:sz w:val="24"/>
          <w:szCs w:val="24"/>
        </w:rPr>
        <w:t xml:space="preserve">planach rozwoju </w:t>
      </w:r>
      <w:r w:rsidR="00EF4526" w:rsidRPr="00237760">
        <w:rPr>
          <w:rFonts w:ascii="Arial" w:hAnsi="Arial" w:cs="Arial"/>
          <w:color w:val="auto"/>
          <w:sz w:val="24"/>
          <w:szCs w:val="24"/>
        </w:rPr>
        <w:t>publicznego transportu zbiorowego</w:t>
      </w:r>
      <w:r w:rsidRPr="00237760">
        <w:rPr>
          <w:rFonts w:ascii="Arial" w:hAnsi="Arial" w:cs="Arial"/>
          <w:color w:val="auto"/>
          <w:sz w:val="24"/>
          <w:szCs w:val="24"/>
        </w:rPr>
        <w:t xml:space="preserve"> </w:t>
      </w:r>
      <w:r w:rsidR="00EF4526" w:rsidRPr="00237760">
        <w:rPr>
          <w:rFonts w:ascii="Arial" w:hAnsi="Arial" w:cs="Arial"/>
          <w:color w:val="auto"/>
          <w:sz w:val="24"/>
          <w:szCs w:val="24"/>
        </w:rPr>
        <w:t xml:space="preserve">powiatów </w:t>
      </w:r>
      <w:r w:rsidR="008D137A" w:rsidRPr="00237760">
        <w:rPr>
          <w:rFonts w:ascii="Arial" w:hAnsi="Arial" w:cs="Arial"/>
          <w:color w:val="auto"/>
          <w:sz w:val="24"/>
          <w:szCs w:val="24"/>
        </w:rPr>
        <w:t>i miast na prawach powiatu</w:t>
      </w:r>
      <w:r w:rsidR="00EF4526" w:rsidRPr="00237760">
        <w:rPr>
          <w:rFonts w:ascii="Arial" w:hAnsi="Arial" w:cs="Arial"/>
          <w:color w:val="auto"/>
          <w:sz w:val="24"/>
          <w:szCs w:val="24"/>
        </w:rPr>
        <w:t xml:space="preserve"> województwa podkarpackiego</w:t>
      </w:r>
      <w:bookmarkEnd w:id="53"/>
    </w:p>
    <w:tbl>
      <w:tblPr>
        <w:tblStyle w:val="Tabela-Siatka"/>
        <w:tblW w:w="9072"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57" w:type="dxa"/>
          <w:right w:w="57" w:type="dxa"/>
        </w:tblCellMar>
        <w:tblLook w:val="04A0" w:firstRow="1" w:lastRow="0" w:firstColumn="1" w:lastColumn="0" w:noHBand="0" w:noVBand="1"/>
        <w:tblCaption w:val="Tabela 7. Wyzwania i potrzeby społeczno-gospodarcze województwa wskazane w wybranych planach rozwoju publicznego transportu zbiorowego powiatów i miast na prawach powiatu województwa podkarpackiego"/>
        <w:tblDescription w:val="Tabela zawiera Wyzwania i potrzeby regionu sformułowane w planach i Nazwy odpowiednich celów PSRT WP wpływających na sprostanie wyzwaniom oraz zaspokojeniu potrzeb regionu"/>
      </w:tblPr>
      <w:tblGrid>
        <w:gridCol w:w="4253"/>
        <w:gridCol w:w="4819"/>
      </w:tblGrid>
      <w:tr w:rsidR="00237760" w:rsidRPr="00237760" w14:paraId="2864E4C3" w14:textId="77777777" w:rsidTr="00F077C6">
        <w:trPr>
          <w:trHeight w:val="502"/>
          <w:tblHeader/>
        </w:trPr>
        <w:tc>
          <w:tcPr>
            <w:tcW w:w="4253" w:type="dxa"/>
            <w:tcBorders>
              <w:top w:val="single" w:sz="12" w:space="0" w:color="002060"/>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7F0715E6" w14:textId="77777777" w:rsidR="002B0C18" w:rsidRPr="00237760" w:rsidRDefault="002B0C18"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Wyzwania i potrzeby regionu sformułowane w planach</w:t>
            </w:r>
          </w:p>
        </w:tc>
        <w:tc>
          <w:tcPr>
            <w:tcW w:w="4819" w:type="dxa"/>
            <w:tcBorders>
              <w:top w:val="single" w:sz="12" w:space="0" w:color="002060"/>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4DE013D0" w14:textId="77777777" w:rsidR="002B0C18" w:rsidRPr="00237760" w:rsidRDefault="002B0C18"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Nazwy odpowiednich celów PSRT WP wpływających na sprostanie wyzwaniom oraz zaspokojeniu potrzeb regionu</w:t>
            </w:r>
          </w:p>
        </w:tc>
      </w:tr>
      <w:tr w:rsidR="00237760" w:rsidRPr="00237760" w14:paraId="036503E7" w14:textId="77777777" w:rsidTr="009367B4">
        <w:trPr>
          <w:trHeight w:val="151"/>
        </w:trPr>
        <w:tc>
          <w:tcPr>
            <w:tcW w:w="9072" w:type="dxa"/>
            <w:gridSpan w:val="2"/>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41A8CA48"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b/>
                <w:color w:val="auto"/>
                <w:sz w:val="24"/>
                <w:szCs w:val="24"/>
              </w:rPr>
              <w:t>Plan Zrównoważonego Rozwoju Publicznego Transportu Zbiorowego na lata 2021-2030 z elementami strategii rozwoju elektromobilności dla miasta Rzeszowa i gmin ościennych, które zawarły z gminą miasto Rzeszów porozumienia w zakresie organizacji transportu publicznego</w:t>
            </w:r>
          </w:p>
        </w:tc>
      </w:tr>
      <w:tr w:rsidR="00237760" w:rsidRPr="00237760" w14:paraId="5CA9CBE7"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55535CEE" w14:textId="77777777" w:rsidR="002B0C18" w:rsidRPr="00237760" w:rsidRDefault="002B0C18"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WYZWANIA I POTRZEBY OBSZARU</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tcPr>
          <w:p w14:paraId="7A20F026" w14:textId="77777777" w:rsidR="002B0C18" w:rsidRPr="00237760" w:rsidRDefault="002B0C18" w:rsidP="009367B4">
            <w:pPr>
              <w:spacing w:after="0" w:line="240" w:lineRule="auto"/>
              <w:ind w:left="57" w:right="57"/>
              <w:jc w:val="left"/>
              <w:rPr>
                <w:rFonts w:ascii="Arial" w:hAnsi="Arial" w:cs="Arial"/>
                <w:color w:val="auto"/>
                <w:sz w:val="24"/>
                <w:szCs w:val="24"/>
              </w:rPr>
            </w:pPr>
          </w:p>
        </w:tc>
      </w:tr>
      <w:tr w:rsidR="00237760" w:rsidRPr="00237760" w14:paraId="70C5C9F8"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79003E8C"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Zły stan taboru</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33B5281D" w14:textId="77777777" w:rsidR="002B0C18" w:rsidRPr="00237760" w:rsidRDefault="001E0FC7"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p w14:paraId="24A70235" w14:textId="1A6CF9B1" w:rsidR="00BF5346" w:rsidRPr="00237760" w:rsidRDefault="00BF5346"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1. Ograniczenie negatywnego oddziaływania sektora transportu na klimat oraz na regionalne środowisko naturalne</w:t>
            </w:r>
          </w:p>
          <w:p w14:paraId="196C74B4" w14:textId="0B82FF7B" w:rsidR="002B0C18" w:rsidRPr="00237760" w:rsidRDefault="00C32C63"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74CAAD18"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6EE23237"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Mały udział pojazdów elektrycznych</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76AD6362" w14:textId="3529A838" w:rsidR="002B0C18" w:rsidRPr="00237760" w:rsidRDefault="00BF5346"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1. Ograniczenie negatywnego oddziaływania sektora transportu na klimat oraz na regionalne środowisko naturalne</w:t>
            </w:r>
          </w:p>
        </w:tc>
      </w:tr>
      <w:tr w:rsidR="00237760" w:rsidRPr="00237760" w14:paraId="1791086C"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1E5F73B9"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Brak stref Tempo 30 i woonerf</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4EE73960" w14:textId="234FEB8A" w:rsidR="002B0C18" w:rsidRPr="00237760" w:rsidRDefault="00626F5C"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Brak odniesień</w:t>
            </w:r>
          </w:p>
        </w:tc>
      </w:tr>
      <w:tr w:rsidR="00237760" w:rsidRPr="00237760" w14:paraId="3E00D99D"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31FCC3F8"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Brak parkingów B&amp;R i P&amp;R</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7C67682F" w14:textId="77777777" w:rsidR="00C32C63" w:rsidRPr="00237760" w:rsidRDefault="00270872"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2. Wzmocnienie rozwiązań multimodalnych</w:t>
            </w:r>
          </w:p>
          <w:p w14:paraId="48F6C56E" w14:textId="2614DA9F" w:rsidR="002B0C18" w:rsidRPr="00237760" w:rsidRDefault="009449C9"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5301C1EB"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41A92EE8"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Tendencja do poruszania się indywidualnymi środkami transportu</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4D926FF1" w14:textId="0D5287E8" w:rsidR="001213F7" w:rsidRPr="00237760" w:rsidRDefault="001213F7"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14FF6556" w14:textId="20508F34" w:rsidR="00E331C5" w:rsidRPr="00237760" w:rsidRDefault="00E331C5"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p w14:paraId="12795014" w14:textId="22C90632" w:rsidR="002B0C18" w:rsidRPr="00237760" w:rsidRDefault="002C21FC"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1BAD0715"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0579261F"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Budowa Rzeszowskiego Centrum Komunikacyjnego</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13B82D42" w14:textId="46A1D75D" w:rsidR="002B0C18" w:rsidRPr="00237760" w:rsidRDefault="00EB421E"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2. Wzmocnienie rozwiązań multimodalnych</w:t>
            </w:r>
          </w:p>
        </w:tc>
      </w:tr>
      <w:tr w:rsidR="00237760" w:rsidRPr="00237760" w14:paraId="000B2B1B"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57F57CC1"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Modernizacja linii kolejowych</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237AAA87" w14:textId="0F946D3E" w:rsidR="009A0F71" w:rsidRPr="00237760" w:rsidRDefault="009A0F7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39F0E450" w14:textId="77777777" w:rsidR="002B5002" w:rsidRPr="00237760" w:rsidRDefault="002B5002"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7FBFE6EE" w14:textId="74A2A783" w:rsidR="002B0C18" w:rsidRPr="00237760" w:rsidRDefault="002B5002"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tc>
      </w:tr>
      <w:tr w:rsidR="00237760" w:rsidRPr="00237760" w14:paraId="4E6053A3"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47815AFD"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lastRenderedPageBreak/>
              <w:t>Polityka rozwijająca elektromobilność w miastach</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488C6DE2" w14:textId="45509692" w:rsidR="002B0C18" w:rsidRPr="00237760" w:rsidRDefault="00B43607"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1. Ograniczenie negatywnego oddziaływania sektora transportu na klimat oraz na regionalne środowisko naturalne</w:t>
            </w:r>
          </w:p>
        </w:tc>
      </w:tr>
      <w:tr w:rsidR="00237760" w:rsidRPr="00237760" w14:paraId="16A95F9C"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60757A91"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Większa liczba pasów wydzielonych dla transportu zbiorowego</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15EBEB2A" w14:textId="0BD6E7E3" w:rsidR="002B0C18" w:rsidRPr="00237760" w:rsidRDefault="00087679"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Brak odniesień</w:t>
            </w:r>
          </w:p>
        </w:tc>
      </w:tr>
      <w:tr w:rsidR="00237760" w:rsidRPr="00237760" w14:paraId="7D1EC57D"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7AC5A3BB"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 xml:space="preserve">Integracja systemów transportowych </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72FDBDB9" w14:textId="77777777" w:rsidR="00994E2A" w:rsidRPr="00237760" w:rsidRDefault="00994E2A"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 xml:space="preserve">Cel podstawowy 3. Integracja MOF </w:t>
            </w:r>
          </w:p>
          <w:p w14:paraId="4A995956" w14:textId="77777777" w:rsidR="00667F7B" w:rsidRPr="00237760" w:rsidRDefault="00667F7B"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2. Wzmocnienie rozwiązań multimodalnych</w:t>
            </w:r>
          </w:p>
          <w:p w14:paraId="0B2748C1" w14:textId="112EA4E4" w:rsidR="002B0C18" w:rsidRPr="00237760" w:rsidRDefault="00667F7B"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0CD7139E"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208B4127" w14:textId="20F58D9E"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 xml:space="preserve">Rozbudowa i usprawnienie </w:t>
            </w:r>
            <w:r w:rsidR="00994E2A" w:rsidRPr="00237760">
              <w:rPr>
                <w:rFonts w:ascii="Arial" w:hAnsi="Arial" w:cs="Arial"/>
                <w:color w:val="auto"/>
                <w:sz w:val="24"/>
                <w:szCs w:val="24"/>
              </w:rPr>
              <w:t>transportu</w:t>
            </w:r>
            <w:r w:rsidR="00C32C63" w:rsidRPr="00237760">
              <w:rPr>
                <w:rFonts w:ascii="Arial" w:hAnsi="Arial" w:cs="Arial"/>
                <w:color w:val="auto"/>
                <w:sz w:val="24"/>
                <w:szCs w:val="24"/>
              </w:rPr>
              <w:t xml:space="preserve"> publiczne</w:t>
            </w:r>
            <w:r w:rsidR="00994E2A" w:rsidRPr="00237760">
              <w:rPr>
                <w:rFonts w:ascii="Arial" w:hAnsi="Arial" w:cs="Arial"/>
                <w:color w:val="auto"/>
                <w:sz w:val="24"/>
                <w:szCs w:val="24"/>
              </w:rPr>
              <w:t>go</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5EF3FC25" w14:textId="511D03C9" w:rsidR="00994E2A" w:rsidRPr="00237760" w:rsidRDefault="00994E2A"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p w14:paraId="194F28A5" w14:textId="5BB236FA" w:rsidR="002B0C18" w:rsidRPr="00237760" w:rsidRDefault="00994E2A"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6878EED2" w14:textId="77777777" w:rsidTr="009367B4">
        <w:trPr>
          <w:trHeight w:val="151"/>
        </w:trPr>
        <w:tc>
          <w:tcPr>
            <w:tcW w:w="9072" w:type="dxa"/>
            <w:gridSpan w:val="2"/>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3218476D" w14:textId="77777777" w:rsidR="002B0C18" w:rsidRPr="00237760" w:rsidRDefault="002B0C18" w:rsidP="009367B4">
            <w:pPr>
              <w:spacing w:after="0" w:line="240" w:lineRule="auto"/>
              <w:ind w:right="57"/>
              <w:jc w:val="left"/>
              <w:rPr>
                <w:rFonts w:ascii="Arial" w:hAnsi="Arial" w:cs="Arial"/>
                <w:b/>
                <w:bCs/>
                <w:color w:val="auto"/>
                <w:sz w:val="24"/>
                <w:szCs w:val="24"/>
              </w:rPr>
            </w:pPr>
            <w:r w:rsidRPr="00237760">
              <w:rPr>
                <w:rFonts w:ascii="Arial" w:hAnsi="Arial" w:cs="Arial"/>
                <w:b/>
                <w:bCs/>
                <w:color w:val="auto"/>
                <w:sz w:val="24"/>
                <w:szCs w:val="24"/>
              </w:rPr>
              <w:t>Plan Zrównoważonego Rozwoju Publicznego Transportu Zbiorowego dla Miasta Przemyśla na lata 2021-2030</w:t>
            </w:r>
          </w:p>
        </w:tc>
      </w:tr>
      <w:tr w:rsidR="00237760" w:rsidRPr="00237760" w14:paraId="0F4D105D"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026EE069" w14:textId="77777777" w:rsidR="002B0C18" w:rsidRPr="00237760" w:rsidRDefault="002B0C18"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WYZWANIA I POTRZEBY OBSZARU</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tcPr>
          <w:p w14:paraId="72A3C1C1" w14:textId="77777777" w:rsidR="002B0C18" w:rsidRPr="00237760" w:rsidRDefault="002B0C18" w:rsidP="009367B4">
            <w:pPr>
              <w:spacing w:after="0" w:line="240" w:lineRule="auto"/>
              <w:ind w:left="57" w:right="57"/>
              <w:jc w:val="left"/>
              <w:rPr>
                <w:rFonts w:ascii="Arial" w:hAnsi="Arial" w:cs="Arial"/>
                <w:color w:val="auto"/>
                <w:sz w:val="24"/>
                <w:szCs w:val="24"/>
              </w:rPr>
            </w:pPr>
          </w:p>
        </w:tc>
      </w:tr>
      <w:tr w:rsidR="00237760" w:rsidRPr="00237760" w14:paraId="402F21AD"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1A7984F2"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Zanieczyszczenie miasta (powietrza, hałasem)</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42EE047E" w14:textId="4A5E58DD" w:rsidR="002B0C18" w:rsidRPr="00237760" w:rsidRDefault="00CE3C79"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1. Ograniczenie negatywnego oddziaływania sektora transportu na klimat oraz na regionalne środowisko naturalne</w:t>
            </w:r>
          </w:p>
        </w:tc>
      </w:tr>
      <w:tr w:rsidR="00237760" w:rsidRPr="00237760" w14:paraId="29408C07"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6B2BC3C2"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Zła jakość dróg</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5D1FE327" w14:textId="4C3AE79A" w:rsidR="00890CAB" w:rsidRPr="00237760" w:rsidRDefault="00890CAB"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5934EC4B" w14:textId="77777777" w:rsidR="00C32C63" w:rsidRPr="00237760" w:rsidRDefault="00CE3C79"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0901E87C" w14:textId="172729DF" w:rsidR="002B0C18" w:rsidRPr="00237760" w:rsidRDefault="00890CAB"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 xml:space="preserve">Cel podstawowy 3. Integracja MOF </w:t>
            </w:r>
          </w:p>
        </w:tc>
      </w:tr>
      <w:tr w:rsidR="00237760" w:rsidRPr="00237760" w14:paraId="35E7F20D"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2C48BE1D"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Niedobór ścieżek rowerowych</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45F47489" w14:textId="77777777" w:rsidR="002E6EC2" w:rsidRPr="00237760" w:rsidRDefault="002E6EC2"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4E277C51" w14:textId="77777777" w:rsidR="002E6EC2" w:rsidRPr="00237760" w:rsidRDefault="002E6EC2"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0BFBB5F6" w14:textId="77777777" w:rsidR="00C32C63" w:rsidRPr="00237760" w:rsidRDefault="002E6EC2"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p w14:paraId="7DB222A4" w14:textId="52805810" w:rsidR="002B0C18" w:rsidRPr="00237760" w:rsidRDefault="00BF3462"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1. Ograniczenie negatywnego oddziaływania sektora transportu na klimat oraz na regionalne środowisko naturalne</w:t>
            </w:r>
          </w:p>
        </w:tc>
      </w:tr>
      <w:tr w:rsidR="00237760" w:rsidRPr="00237760" w14:paraId="2D4EFC11"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1E3DBBF5"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Brak wydzielonych pasów dla transportu zbiorowego</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41607AAC" w14:textId="027F4627" w:rsidR="002B0C18" w:rsidRPr="00237760" w:rsidRDefault="00BF3462"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Brak odniesień</w:t>
            </w:r>
          </w:p>
        </w:tc>
      </w:tr>
      <w:tr w:rsidR="00237760" w:rsidRPr="00237760" w14:paraId="31328995"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4A28DB03"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Stopniowa utrata zaufania mieszkańców do przewoźników</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1C66DCD5" w14:textId="5040F9E7" w:rsidR="002B0C18" w:rsidRPr="00237760" w:rsidRDefault="00BF3462"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4714B66E"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7AD4E76D"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Poprawa infrastruktury drogowej</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1F9C5CAC" w14:textId="77777777" w:rsidR="00B25BD7" w:rsidRPr="00237760" w:rsidRDefault="00B25BD7"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4C9BEBA7" w14:textId="77777777" w:rsidR="00B25BD7" w:rsidRPr="00237760" w:rsidRDefault="00B25BD7"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393E5B30" w14:textId="77777777" w:rsidR="00C32C63" w:rsidRPr="00237760" w:rsidRDefault="00B25BD7"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p w14:paraId="54BF39AE" w14:textId="283D2152" w:rsidR="002B0C18" w:rsidRPr="00237760" w:rsidRDefault="00B25BD7"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2. Wzmocnienie rozwiązań multimodalnych</w:t>
            </w:r>
          </w:p>
        </w:tc>
      </w:tr>
      <w:tr w:rsidR="00237760" w:rsidRPr="00237760" w14:paraId="05FAC503"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00A77B39"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 xml:space="preserve">Poprawa obsługi pasażerów </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342EE458" w14:textId="2F55FDDF" w:rsidR="002B0C18" w:rsidRPr="00237760" w:rsidRDefault="003B0446"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528713BF"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0064B62F"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 xml:space="preserve">Elektryfikacja komunikacji miejskiej </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28874375" w14:textId="77777777" w:rsidR="00296128" w:rsidRPr="00237760" w:rsidRDefault="00C4457E"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 xml:space="preserve">Cel horyzontalny 1. Ograniczenie negatywnego oddziaływania sektora </w:t>
            </w:r>
            <w:r w:rsidRPr="00237760">
              <w:rPr>
                <w:rFonts w:ascii="Arial" w:hAnsi="Arial" w:cs="Arial"/>
                <w:color w:val="auto"/>
                <w:sz w:val="24"/>
                <w:szCs w:val="24"/>
              </w:rPr>
              <w:lastRenderedPageBreak/>
              <w:t>transportu na klimat oraz na regionalne środowisko naturalne</w:t>
            </w:r>
          </w:p>
          <w:p w14:paraId="32ADD9BE" w14:textId="6833A70F" w:rsidR="002B0C18" w:rsidRPr="00237760" w:rsidRDefault="00296128"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5291D9E2" w14:textId="77777777" w:rsidTr="009367B4">
        <w:trPr>
          <w:trHeight w:val="151"/>
        </w:trPr>
        <w:tc>
          <w:tcPr>
            <w:tcW w:w="9072" w:type="dxa"/>
            <w:gridSpan w:val="2"/>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230D5C12" w14:textId="77777777" w:rsidR="002B0C18" w:rsidRPr="00237760" w:rsidRDefault="002B0C18" w:rsidP="009367B4">
            <w:pPr>
              <w:spacing w:after="0" w:line="240" w:lineRule="auto"/>
              <w:ind w:right="57"/>
              <w:jc w:val="left"/>
              <w:rPr>
                <w:rFonts w:ascii="Arial" w:hAnsi="Arial" w:cs="Arial"/>
                <w:b/>
                <w:bCs/>
                <w:color w:val="auto"/>
                <w:sz w:val="24"/>
                <w:szCs w:val="24"/>
              </w:rPr>
            </w:pPr>
            <w:r w:rsidRPr="00237760">
              <w:rPr>
                <w:rFonts w:ascii="Arial" w:hAnsi="Arial" w:cs="Arial"/>
                <w:b/>
                <w:bCs/>
                <w:color w:val="auto"/>
                <w:sz w:val="24"/>
                <w:szCs w:val="24"/>
              </w:rPr>
              <w:lastRenderedPageBreak/>
              <w:t>Plan Zrównoważonego Rozwoju Publicznego Transportu Zbiorowego Dla Powiatu Przemyskiego</w:t>
            </w:r>
          </w:p>
        </w:tc>
      </w:tr>
      <w:tr w:rsidR="00237760" w:rsidRPr="00237760" w14:paraId="02B25AF9"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4060878C" w14:textId="77777777" w:rsidR="002B0C18" w:rsidRPr="00237760" w:rsidRDefault="002B0C18"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WYZWANIA I POTRZEBY OBSZARU</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tcPr>
          <w:p w14:paraId="523CD489" w14:textId="77777777" w:rsidR="002B0C18" w:rsidRPr="00237760" w:rsidRDefault="002B0C18" w:rsidP="009367B4">
            <w:pPr>
              <w:spacing w:after="0" w:line="240" w:lineRule="auto"/>
              <w:ind w:left="57" w:right="57"/>
              <w:jc w:val="left"/>
              <w:rPr>
                <w:rFonts w:ascii="Arial" w:hAnsi="Arial" w:cs="Arial"/>
                <w:color w:val="auto"/>
                <w:sz w:val="24"/>
                <w:szCs w:val="24"/>
              </w:rPr>
            </w:pPr>
          </w:p>
        </w:tc>
      </w:tr>
      <w:tr w:rsidR="00237760" w:rsidRPr="00237760" w14:paraId="7E4AB1DB"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0F58B5B6"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Transport publiczny niedostosowany do potrzeb osób z niepełnosprawnościami</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593FC3E3" w14:textId="4996C6C6" w:rsidR="002B0C18" w:rsidRPr="00237760" w:rsidRDefault="00FB6913"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Częściowo Cel horyzontalny 3. Transport publiczny</w:t>
            </w:r>
          </w:p>
        </w:tc>
      </w:tr>
      <w:tr w:rsidR="00237760" w:rsidRPr="00237760" w14:paraId="2ADB4CCC"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129608F6"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Preferencja do poruszania się indywidualnymi środkami transportu</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6F886023" w14:textId="77777777" w:rsidR="00A11B64" w:rsidRPr="00237760" w:rsidRDefault="00A11B64"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5DDD116E" w14:textId="77777777" w:rsidR="00A11B64" w:rsidRPr="00237760" w:rsidRDefault="00A11B64"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p w14:paraId="20E27626" w14:textId="04F28667" w:rsidR="002B0C18" w:rsidRPr="00237760" w:rsidRDefault="00A11B64"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703995C1"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3A1E0268"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Trudności w zapewnieniu transportu zbiorowego na terenie o niskiej gęstości zaludnienia</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2C4F1085" w14:textId="239BA31D" w:rsidR="002B0C18" w:rsidRPr="00237760" w:rsidRDefault="00EB7223"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65A02DB5"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6C330C57" w14:textId="2B4A4DA1"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 xml:space="preserve">Dostosowanie </w:t>
            </w:r>
            <w:r w:rsidR="00EB7223" w:rsidRPr="00237760">
              <w:rPr>
                <w:rFonts w:ascii="Arial" w:hAnsi="Arial" w:cs="Arial"/>
                <w:color w:val="auto"/>
                <w:sz w:val="24"/>
                <w:szCs w:val="24"/>
              </w:rPr>
              <w:t xml:space="preserve">komunikacji </w:t>
            </w:r>
            <w:r w:rsidRPr="00237760">
              <w:rPr>
                <w:rFonts w:ascii="Arial" w:hAnsi="Arial" w:cs="Arial"/>
                <w:color w:val="auto"/>
                <w:sz w:val="24"/>
                <w:szCs w:val="24"/>
              </w:rPr>
              <w:t>do nowo budowanych osiedli (dostosowanie do planów zagospodarowania przestrzennego gmin powiatu)</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7D6D4FED" w14:textId="61F1F20C" w:rsidR="002B0C18" w:rsidRPr="00237760" w:rsidRDefault="000905F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Brak odniesień</w:t>
            </w:r>
          </w:p>
        </w:tc>
      </w:tr>
      <w:tr w:rsidR="00237760" w:rsidRPr="00237760" w14:paraId="7617C80A"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4D066746"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Zanieczyszczenie powietrza</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09B4BF33" w14:textId="6C75B725" w:rsidR="002B0C18" w:rsidRPr="00237760" w:rsidRDefault="000905F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1. Ograniczenie negatywnego oddziaływania sektora transportu na klimat oraz na regionalne środowisko naturalne</w:t>
            </w:r>
          </w:p>
        </w:tc>
      </w:tr>
      <w:tr w:rsidR="00237760" w:rsidRPr="00237760" w14:paraId="1A6E2DE7"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09621089"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Poprawa infrastruktury technicznej</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6C8070D8" w14:textId="77777777" w:rsidR="000905FD" w:rsidRPr="00237760" w:rsidRDefault="000905F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16760C20" w14:textId="77777777" w:rsidR="000905FD" w:rsidRPr="00237760" w:rsidRDefault="000905F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49BBF2A1" w14:textId="77777777" w:rsidR="000905FD" w:rsidRPr="00237760" w:rsidRDefault="000905F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p w14:paraId="122116A3" w14:textId="4A57DD82" w:rsidR="002B0C18" w:rsidRPr="00237760" w:rsidRDefault="000905F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2. Wzmocnienie rozwiązań multimodalnych</w:t>
            </w:r>
          </w:p>
        </w:tc>
      </w:tr>
      <w:tr w:rsidR="00237760" w:rsidRPr="00237760" w14:paraId="17B4B639"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0FE3C3B9"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Nowoczesny tabor spełniający wymagania mniejszego odziaływania na środowisko</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34218265" w14:textId="77777777" w:rsidR="000905FD" w:rsidRPr="00237760" w:rsidRDefault="000905F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1. Ograniczenie negatywnego oddziaływania sektora transportu na klimat oraz na regionalne środowisko naturalne</w:t>
            </w:r>
          </w:p>
          <w:p w14:paraId="2FD84AA7" w14:textId="04942F7E" w:rsidR="002B0C18" w:rsidRPr="00237760" w:rsidRDefault="000905F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6A3D68E0" w14:textId="77777777" w:rsidTr="009367B4">
        <w:trPr>
          <w:trHeight w:val="151"/>
        </w:trPr>
        <w:tc>
          <w:tcPr>
            <w:tcW w:w="9072" w:type="dxa"/>
            <w:gridSpan w:val="2"/>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0ABF5C1D" w14:textId="77777777" w:rsidR="002B0C18" w:rsidRPr="00237760" w:rsidRDefault="002B0C18" w:rsidP="009367B4">
            <w:pPr>
              <w:spacing w:after="0" w:line="240" w:lineRule="auto"/>
              <w:ind w:right="57"/>
              <w:jc w:val="left"/>
              <w:rPr>
                <w:rFonts w:ascii="Arial" w:hAnsi="Arial" w:cs="Arial"/>
                <w:b/>
                <w:bCs/>
                <w:color w:val="auto"/>
                <w:sz w:val="24"/>
                <w:szCs w:val="24"/>
              </w:rPr>
            </w:pPr>
            <w:r w:rsidRPr="00237760">
              <w:rPr>
                <w:rFonts w:ascii="Arial" w:hAnsi="Arial" w:cs="Arial"/>
                <w:b/>
                <w:bCs/>
                <w:color w:val="auto"/>
                <w:sz w:val="24"/>
                <w:szCs w:val="24"/>
              </w:rPr>
              <w:t>Plan zrównoważonego rozwoju publicznego transportu zbiorowego dla Gmin: Chorkówka, Jedlicze, Miejsce Piastowe, Korczyna, Krościenko Wyżne, Krosno i Wojaszówka na lata 2021-2030</w:t>
            </w:r>
          </w:p>
        </w:tc>
      </w:tr>
      <w:tr w:rsidR="00237760" w:rsidRPr="00237760" w14:paraId="6364A2B3"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50ED36E3" w14:textId="77777777" w:rsidR="002B0C18" w:rsidRPr="00237760" w:rsidRDefault="002B0C18"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WYZWANIA I POTRZEBY OBSZARU</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tcPr>
          <w:p w14:paraId="375F7051" w14:textId="77777777" w:rsidR="002B0C18" w:rsidRPr="00237760" w:rsidRDefault="002B0C18" w:rsidP="009367B4">
            <w:pPr>
              <w:spacing w:after="0" w:line="240" w:lineRule="auto"/>
              <w:ind w:left="57" w:right="57"/>
              <w:jc w:val="left"/>
              <w:rPr>
                <w:rFonts w:ascii="Arial" w:hAnsi="Arial" w:cs="Arial"/>
                <w:color w:val="auto"/>
                <w:sz w:val="24"/>
                <w:szCs w:val="24"/>
              </w:rPr>
            </w:pPr>
          </w:p>
        </w:tc>
      </w:tr>
      <w:tr w:rsidR="00237760" w:rsidRPr="00237760" w14:paraId="1C859157"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26C28D9D" w14:textId="24FC295E"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 xml:space="preserve">Integracja </w:t>
            </w:r>
            <w:r w:rsidR="00C32C63" w:rsidRPr="00237760">
              <w:rPr>
                <w:rFonts w:ascii="Arial" w:hAnsi="Arial" w:cs="Arial"/>
                <w:color w:val="auto"/>
                <w:sz w:val="24"/>
                <w:szCs w:val="24"/>
              </w:rPr>
              <w:t>wewnątr</w:t>
            </w:r>
            <w:r w:rsidR="001623F8" w:rsidRPr="00237760">
              <w:rPr>
                <w:rFonts w:ascii="Arial" w:hAnsi="Arial" w:cs="Arial"/>
                <w:color w:val="auto"/>
                <w:sz w:val="24"/>
                <w:szCs w:val="24"/>
              </w:rPr>
              <w:t>z</w:t>
            </w:r>
            <w:r w:rsidR="00C32C63" w:rsidRPr="00237760">
              <w:rPr>
                <w:rFonts w:ascii="Arial" w:hAnsi="Arial" w:cs="Arial"/>
                <w:color w:val="auto"/>
                <w:sz w:val="24"/>
                <w:szCs w:val="24"/>
              </w:rPr>
              <w:t>gałęziowa</w:t>
            </w:r>
            <w:r w:rsidRPr="00237760">
              <w:rPr>
                <w:rFonts w:ascii="Arial" w:hAnsi="Arial" w:cs="Arial"/>
                <w:color w:val="auto"/>
                <w:sz w:val="24"/>
                <w:szCs w:val="24"/>
              </w:rPr>
              <w:t xml:space="preserve"> i międzygałęziowa </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2883D4DA" w14:textId="64896644" w:rsidR="001F21B8" w:rsidRPr="00237760" w:rsidRDefault="001F21B8"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3E00718B" w14:textId="77777777" w:rsidR="003F0DDD" w:rsidRPr="00237760" w:rsidRDefault="003F0DD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p w14:paraId="10BF78AF" w14:textId="20618818" w:rsidR="002B0C18" w:rsidRPr="00237760" w:rsidRDefault="001F21B8"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2. Wzmocnienie rozwiązań multimodalnych</w:t>
            </w:r>
          </w:p>
        </w:tc>
      </w:tr>
      <w:tr w:rsidR="00237760" w:rsidRPr="00237760" w14:paraId="17555E1C"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4B25802F"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i/>
                <w:iCs/>
                <w:color w:val="auto"/>
                <w:sz w:val="24"/>
                <w:szCs w:val="24"/>
              </w:rPr>
              <w:lastRenderedPageBreak/>
              <w:t>Wspólny bilet</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07ECFB0D" w14:textId="1E50423E" w:rsidR="00E57AA2" w:rsidRPr="00237760" w:rsidRDefault="00E57AA2"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2. Wzmocnienie rozwiązań multimodalnych</w:t>
            </w:r>
          </w:p>
          <w:p w14:paraId="78B37325" w14:textId="434EDEF2" w:rsidR="002B0C18" w:rsidRPr="00237760" w:rsidRDefault="000905F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4603AFD9"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410821D4"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Słaba dostępność zewnętrza</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70068AB2" w14:textId="413DF1D4" w:rsidR="002B0C18" w:rsidRPr="00237760" w:rsidRDefault="001F21B8"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tc>
      </w:tr>
      <w:tr w:rsidR="00237760" w:rsidRPr="00237760" w14:paraId="2FB46BE2"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167DE1F0"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Brak dróg szybkiego ruchu</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44EB0BA1" w14:textId="77777777" w:rsidR="001F21B8" w:rsidRPr="00237760" w:rsidRDefault="001F21B8"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76518050" w14:textId="7E714FFE" w:rsidR="002B0C18" w:rsidRPr="00237760" w:rsidRDefault="004D6364"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tc>
      </w:tr>
      <w:tr w:rsidR="00237760" w:rsidRPr="00237760" w14:paraId="26BA88C7"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379B8974"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Słabe skomunikowanie z portem lotniczym Rzeszów-Jesionka</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5E01AF20" w14:textId="1932D54C" w:rsidR="00B31E07" w:rsidRPr="00237760" w:rsidRDefault="00B31E07"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64F50480" w14:textId="3BE51274" w:rsidR="002B0C18" w:rsidRPr="00237760" w:rsidRDefault="00B31E07"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tc>
      </w:tr>
      <w:tr w:rsidR="00237760" w:rsidRPr="00237760" w14:paraId="7C26A2F5"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5D1E11CF"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Niewystarczająca infrastruktura do intensywności ruchu drogowego</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33126706" w14:textId="77777777" w:rsidR="00C32C63" w:rsidRPr="00237760" w:rsidRDefault="00D200F9"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659E1208" w14:textId="48C1C149" w:rsidR="002B0C18" w:rsidRPr="00237760" w:rsidRDefault="00F11CE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tc>
      </w:tr>
      <w:tr w:rsidR="00237760" w:rsidRPr="00237760" w14:paraId="35BA5654"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714679FA"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 xml:space="preserve">Dostosowywanie infrastruktury do osób starszych i osób z niepełnosprawnościami </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37C25818" w14:textId="2356FE09" w:rsidR="002B0C18" w:rsidRPr="00237760" w:rsidRDefault="004A192A"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Częściowo Cel horyzontalny 3. Transport publiczny</w:t>
            </w:r>
          </w:p>
        </w:tc>
      </w:tr>
      <w:tr w:rsidR="00237760" w:rsidRPr="00237760" w14:paraId="234B1BAD" w14:textId="77777777" w:rsidTr="009367B4">
        <w:trPr>
          <w:trHeight w:val="151"/>
        </w:trPr>
        <w:tc>
          <w:tcPr>
            <w:tcW w:w="9072" w:type="dxa"/>
            <w:gridSpan w:val="2"/>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488EA48A" w14:textId="7EABC8A5" w:rsidR="002B0C18" w:rsidRPr="00237760" w:rsidRDefault="002B0C18" w:rsidP="009367B4">
            <w:pPr>
              <w:spacing w:after="0" w:line="240" w:lineRule="auto"/>
              <w:ind w:right="57"/>
              <w:jc w:val="left"/>
              <w:rPr>
                <w:rFonts w:ascii="Arial" w:hAnsi="Arial" w:cs="Arial"/>
                <w:b/>
                <w:bCs/>
                <w:color w:val="auto"/>
                <w:sz w:val="24"/>
                <w:szCs w:val="24"/>
              </w:rPr>
            </w:pPr>
            <w:r w:rsidRPr="00237760">
              <w:rPr>
                <w:rFonts w:ascii="Arial" w:hAnsi="Arial" w:cs="Arial"/>
                <w:b/>
                <w:bCs/>
                <w:color w:val="auto"/>
                <w:sz w:val="24"/>
                <w:szCs w:val="24"/>
              </w:rPr>
              <w:t xml:space="preserve">Plan zrównoważonego rozwoju publicznego transportu zbiorowego dla </w:t>
            </w:r>
            <w:r w:rsidR="0049710D" w:rsidRPr="00237760">
              <w:rPr>
                <w:rFonts w:ascii="Arial" w:hAnsi="Arial" w:cs="Arial"/>
                <w:b/>
                <w:bCs/>
                <w:color w:val="auto"/>
                <w:sz w:val="24"/>
                <w:szCs w:val="24"/>
              </w:rPr>
              <w:t>P</w:t>
            </w:r>
            <w:r w:rsidRPr="00237760">
              <w:rPr>
                <w:rFonts w:ascii="Arial" w:hAnsi="Arial" w:cs="Arial"/>
                <w:b/>
                <w:bCs/>
                <w:color w:val="auto"/>
                <w:sz w:val="24"/>
                <w:szCs w:val="24"/>
              </w:rPr>
              <w:t xml:space="preserve">owiatu </w:t>
            </w:r>
            <w:r w:rsidR="0049710D" w:rsidRPr="00237760">
              <w:rPr>
                <w:rFonts w:ascii="Arial" w:hAnsi="Arial" w:cs="Arial"/>
                <w:b/>
                <w:bCs/>
                <w:color w:val="auto"/>
                <w:sz w:val="24"/>
                <w:szCs w:val="24"/>
              </w:rPr>
              <w:t>M</w:t>
            </w:r>
            <w:r w:rsidRPr="00237760">
              <w:rPr>
                <w:rFonts w:ascii="Arial" w:hAnsi="Arial" w:cs="Arial"/>
                <w:b/>
                <w:bCs/>
                <w:color w:val="auto"/>
                <w:sz w:val="24"/>
                <w:szCs w:val="24"/>
              </w:rPr>
              <w:t>ieleckiego</w:t>
            </w:r>
          </w:p>
        </w:tc>
      </w:tr>
      <w:tr w:rsidR="00237760" w:rsidRPr="00237760" w14:paraId="61890EA7"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137171A6" w14:textId="77777777" w:rsidR="002B0C18" w:rsidRPr="00237760" w:rsidRDefault="002B0C18"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WYZWANIA I POTRZEBY OBSZARU</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tcPr>
          <w:p w14:paraId="0221B0D2" w14:textId="77777777" w:rsidR="002B0C18" w:rsidRPr="00237760" w:rsidRDefault="002B0C18" w:rsidP="009367B4">
            <w:pPr>
              <w:spacing w:after="0" w:line="240" w:lineRule="auto"/>
              <w:ind w:left="57" w:right="57"/>
              <w:jc w:val="left"/>
              <w:rPr>
                <w:rFonts w:ascii="Arial" w:hAnsi="Arial" w:cs="Arial"/>
                <w:color w:val="auto"/>
                <w:sz w:val="24"/>
                <w:szCs w:val="24"/>
              </w:rPr>
            </w:pPr>
          </w:p>
        </w:tc>
      </w:tr>
      <w:tr w:rsidR="00237760" w:rsidRPr="00237760" w14:paraId="305F8B3E"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6203F682"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Rozwój Specjalnej Strefy Ekonomicznej Euro-Park Mielec</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75562FC6" w14:textId="77777777" w:rsidR="002033B7" w:rsidRPr="00237760" w:rsidRDefault="002033B7"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4D14C1E7" w14:textId="0673A5CF" w:rsidR="002B0C18" w:rsidRPr="00237760" w:rsidRDefault="002033B7"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tc>
      </w:tr>
      <w:tr w:rsidR="00237760" w:rsidRPr="00237760" w14:paraId="054CE9A4"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5C6D9892"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Dominacja transportu indywidualnego</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4EB4D7F6" w14:textId="77777777" w:rsidR="00E52551" w:rsidRPr="00237760" w:rsidRDefault="00E5255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0ACDD25C" w14:textId="77777777" w:rsidR="00E52551" w:rsidRPr="00237760" w:rsidRDefault="00E5255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p w14:paraId="73830B14" w14:textId="150BCCAC" w:rsidR="002B0C18" w:rsidRPr="00237760" w:rsidRDefault="00E5255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4DCB4577"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72ABF74A"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Odnawianie taboru</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405120A7" w14:textId="77777777" w:rsidR="00E52551" w:rsidRPr="00237760" w:rsidRDefault="00E5255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p w14:paraId="035E720D" w14:textId="77777777" w:rsidR="00E52551" w:rsidRPr="00237760" w:rsidRDefault="00E5255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1. Ograniczenie negatywnego oddziaływania sektora transportu na klimat oraz na regionalne środowisko naturalne</w:t>
            </w:r>
          </w:p>
          <w:p w14:paraId="4A3AD35C" w14:textId="594A05DB" w:rsidR="002B0C18" w:rsidRPr="00237760" w:rsidRDefault="00E5255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25A7D97B" w14:textId="77777777" w:rsidTr="009367B4">
        <w:trPr>
          <w:trHeight w:val="151"/>
        </w:trPr>
        <w:tc>
          <w:tcPr>
            <w:tcW w:w="9072" w:type="dxa"/>
            <w:gridSpan w:val="2"/>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0A34C64B" w14:textId="77777777" w:rsidR="002B0C18" w:rsidRPr="00237760" w:rsidRDefault="002B0C18" w:rsidP="009367B4">
            <w:pPr>
              <w:spacing w:after="0" w:line="240" w:lineRule="auto"/>
              <w:ind w:right="57"/>
              <w:jc w:val="left"/>
              <w:rPr>
                <w:rFonts w:ascii="Arial" w:hAnsi="Arial" w:cs="Arial"/>
                <w:b/>
                <w:bCs/>
                <w:color w:val="auto"/>
                <w:sz w:val="24"/>
                <w:szCs w:val="24"/>
              </w:rPr>
            </w:pPr>
            <w:r w:rsidRPr="00237760">
              <w:rPr>
                <w:rFonts w:ascii="Arial" w:hAnsi="Arial" w:cs="Arial"/>
                <w:b/>
                <w:bCs/>
                <w:color w:val="auto"/>
                <w:sz w:val="24"/>
                <w:szCs w:val="24"/>
              </w:rPr>
              <w:t>Plan zrównoważonego rozwoju publicznego transportu zbiorowego dla Powiatu Dębickiego (Plan Transportowy)</w:t>
            </w:r>
          </w:p>
        </w:tc>
      </w:tr>
      <w:tr w:rsidR="00237760" w:rsidRPr="00237760" w14:paraId="10122F06"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334EF9EF" w14:textId="77777777" w:rsidR="002B0C18" w:rsidRPr="00237760" w:rsidRDefault="002B0C18"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WYZWANIA I POTRZEBY OBSZARU</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tcPr>
          <w:p w14:paraId="77D70CC7" w14:textId="77777777" w:rsidR="002B0C18" w:rsidRPr="00237760" w:rsidRDefault="002B0C18" w:rsidP="009367B4">
            <w:pPr>
              <w:spacing w:after="0" w:line="240" w:lineRule="auto"/>
              <w:ind w:left="57" w:right="57"/>
              <w:jc w:val="left"/>
              <w:rPr>
                <w:rFonts w:ascii="Arial" w:hAnsi="Arial" w:cs="Arial"/>
                <w:color w:val="auto"/>
                <w:sz w:val="24"/>
                <w:szCs w:val="24"/>
              </w:rPr>
            </w:pPr>
          </w:p>
        </w:tc>
      </w:tr>
      <w:tr w:rsidR="00237760" w:rsidRPr="00237760" w14:paraId="152B6149"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24A2AF0E"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Koordynacja komunikacji kołowej z kolejową</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1A7B1A0D" w14:textId="77777777" w:rsidR="00E52551" w:rsidRPr="00237760" w:rsidRDefault="00E5255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7FA3224F" w14:textId="77777777" w:rsidR="00E52551" w:rsidRPr="00237760" w:rsidRDefault="00E5255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p w14:paraId="10227691" w14:textId="30683CBE" w:rsidR="002B0C18" w:rsidRPr="00237760" w:rsidRDefault="00E5255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2. Wzmocnienie rozwiązań multimodalnych</w:t>
            </w:r>
          </w:p>
        </w:tc>
      </w:tr>
      <w:tr w:rsidR="00237760" w:rsidRPr="00237760" w14:paraId="4DB9898B"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3C3FE15F"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Zły stan dróg</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201F6474" w14:textId="77777777" w:rsidR="00AD76B0" w:rsidRPr="00237760" w:rsidRDefault="00AD76B0"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6F5D7261" w14:textId="77777777" w:rsidR="00AD76B0" w:rsidRPr="00237760" w:rsidRDefault="00AD76B0"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79B5C7A9" w14:textId="6EF9F4F0" w:rsidR="002B0C18" w:rsidRPr="00237760" w:rsidRDefault="00AD76B0"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tc>
      </w:tr>
      <w:tr w:rsidR="00237760" w:rsidRPr="00237760" w14:paraId="0098A766"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61DE69BE" w14:textId="5490B36C" w:rsidR="002B0C18" w:rsidRPr="00237760" w:rsidRDefault="00C32C63"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Udrożnie</w:t>
            </w:r>
            <w:r w:rsidR="00AD76B0" w:rsidRPr="00237760">
              <w:rPr>
                <w:rFonts w:ascii="Arial" w:hAnsi="Arial" w:cs="Arial"/>
                <w:color w:val="auto"/>
                <w:sz w:val="24"/>
                <w:szCs w:val="24"/>
              </w:rPr>
              <w:t>nie</w:t>
            </w:r>
            <w:r w:rsidR="002B0C18" w:rsidRPr="00237760">
              <w:rPr>
                <w:rFonts w:ascii="Arial" w:hAnsi="Arial" w:cs="Arial"/>
                <w:color w:val="auto"/>
                <w:sz w:val="24"/>
                <w:szCs w:val="24"/>
              </w:rPr>
              <w:t xml:space="preserve"> połączeń komunikacyjnych </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4173BDFB" w14:textId="77777777" w:rsidR="00AD76B0" w:rsidRPr="00237760" w:rsidRDefault="00AD76B0"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2C8B8C78" w14:textId="104C24E5" w:rsidR="002B0C18" w:rsidRPr="00237760" w:rsidRDefault="00AD76B0"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lastRenderedPageBreak/>
              <w:t>Cel podstawowy 3. Integracja MOF</w:t>
            </w:r>
          </w:p>
        </w:tc>
      </w:tr>
      <w:tr w:rsidR="00237760" w:rsidRPr="00237760" w14:paraId="5C527B36"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7B5A9253"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lastRenderedPageBreak/>
              <w:t xml:space="preserve">Organizacja nowych linii autobusowych </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5CAC62AD" w14:textId="3C233CB0" w:rsidR="002B0C18" w:rsidRPr="00237760" w:rsidRDefault="00AF7F97"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7FE986D0"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634DA3D3"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Zmniejszanie się liczby ludności</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3492D45B" w14:textId="1CC97039" w:rsidR="002B0C18" w:rsidRPr="00237760" w:rsidRDefault="00FC5EDA"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Częściowo Cel horyzontalny 3. Transport publiczny</w:t>
            </w:r>
          </w:p>
        </w:tc>
      </w:tr>
      <w:tr w:rsidR="00237760" w:rsidRPr="00237760" w14:paraId="59A93CE5" w14:textId="77777777" w:rsidTr="009367B4">
        <w:trPr>
          <w:trHeight w:val="151"/>
        </w:trPr>
        <w:tc>
          <w:tcPr>
            <w:tcW w:w="9072" w:type="dxa"/>
            <w:gridSpan w:val="2"/>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3CE5DF03" w14:textId="77777777" w:rsidR="002B0C18" w:rsidRPr="00237760" w:rsidRDefault="002B0C18" w:rsidP="009367B4">
            <w:pPr>
              <w:spacing w:after="0" w:line="240" w:lineRule="auto"/>
              <w:ind w:right="57"/>
              <w:jc w:val="left"/>
              <w:rPr>
                <w:rFonts w:ascii="Arial" w:hAnsi="Arial" w:cs="Arial"/>
                <w:b/>
                <w:bCs/>
                <w:color w:val="auto"/>
                <w:sz w:val="24"/>
                <w:szCs w:val="24"/>
              </w:rPr>
            </w:pPr>
            <w:r w:rsidRPr="00237760">
              <w:rPr>
                <w:rFonts w:ascii="Arial" w:hAnsi="Arial" w:cs="Arial"/>
                <w:b/>
                <w:bCs/>
                <w:color w:val="auto"/>
                <w:sz w:val="24"/>
                <w:szCs w:val="24"/>
              </w:rPr>
              <w:t>Plan zrównoważonego rozwoju transportu zbiorowego dla Powiatu Jarosławskiego</w:t>
            </w:r>
          </w:p>
        </w:tc>
      </w:tr>
      <w:tr w:rsidR="00237760" w:rsidRPr="00237760" w14:paraId="206027C0"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4C920FFB" w14:textId="77777777" w:rsidR="002B0C18" w:rsidRPr="00237760" w:rsidRDefault="002B0C18"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WYZWANIA I POTRZEBY OBSZARU</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tcPr>
          <w:p w14:paraId="1A7BF484" w14:textId="77777777" w:rsidR="002B0C18" w:rsidRPr="00237760" w:rsidRDefault="002B0C18" w:rsidP="009367B4">
            <w:pPr>
              <w:spacing w:after="0" w:line="240" w:lineRule="auto"/>
              <w:ind w:left="57" w:right="57"/>
              <w:jc w:val="left"/>
              <w:rPr>
                <w:rFonts w:ascii="Arial" w:hAnsi="Arial" w:cs="Arial"/>
                <w:color w:val="auto"/>
                <w:sz w:val="24"/>
                <w:szCs w:val="24"/>
              </w:rPr>
            </w:pPr>
          </w:p>
        </w:tc>
      </w:tr>
      <w:tr w:rsidR="00237760" w:rsidRPr="00237760" w14:paraId="0E5C8F42"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23E1A248"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Dominacja transportu indywidualnego</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39445D64" w14:textId="77777777" w:rsidR="00FC5EDA" w:rsidRPr="00237760" w:rsidRDefault="00FC5EDA"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0EBFA850" w14:textId="77777777" w:rsidR="00FC5EDA" w:rsidRPr="00237760" w:rsidRDefault="00FC5EDA"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p w14:paraId="221B5A1B" w14:textId="69A8B683" w:rsidR="002B0C18" w:rsidRPr="00237760" w:rsidRDefault="00FC5EDA"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48E4CB22"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0FF09B77"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Poprawa oferty przewozowej</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34E23384" w14:textId="77777777" w:rsidR="001A31C9" w:rsidRPr="00237760" w:rsidRDefault="001A31C9"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p w14:paraId="1C88D875" w14:textId="64DF1FA6" w:rsidR="002B0C18" w:rsidRPr="00237760" w:rsidRDefault="001A31C9"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063EA629"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0C51ADE6"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Czytelne informacje kierowane do pasażerów dot. transportu publicznego</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3488FC2A" w14:textId="4C51760B" w:rsidR="002B0C18" w:rsidRPr="00237760" w:rsidRDefault="001A31C9"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31D77B7C"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2C7930A3"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Nowoczesny system zakupu biletów</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404BAA77" w14:textId="3C3D6F5A" w:rsidR="002B0C18" w:rsidRPr="00237760" w:rsidRDefault="002033B7"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2. Wzmocnienie rozwiązań multimodalnych</w:t>
            </w:r>
          </w:p>
        </w:tc>
      </w:tr>
      <w:tr w:rsidR="00237760" w:rsidRPr="00237760" w14:paraId="73FE0D22"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32A91F3C"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Nowoczesny tabor</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68DDFA7C" w14:textId="77777777" w:rsidR="00C155C6" w:rsidRPr="00237760" w:rsidRDefault="00C155C6"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p w14:paraId="26DF484E" w14:textId="77777777" w:rsidR="00C155C6" w:rsidRPr="00237760" w:rsidRDefault="00C155C6"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1. Ograniczenie negatywnego oddziaływania sektora transportu na klimat oraz na regionalne środowisko naturalne</w:t>
            </w:r>
          </w:p>
          <w:p w14:paraId="1D201CD0" w14:textId="5EE5A955" w:rsidR="002B0C18" w:rsidRPr="00237760" w:rsidRDefault="00C155C6"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005FC84B"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744ACCAE"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Transport dostępny dla wszystkich mieszkańców</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749B2ED0" w14:textId="78D142C7" w:rsidR="002B0C18" w:rsidRPr="00237760" w:rsidRDefault="003B520B"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11E5B7C5"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759399EB"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Przystosowanie infrastruktury do osób z niepełnosprawnościami</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3A84C0D0" w14:textId="60234837" w:rsidR="002B0C18" w:rsidRPr="00237760" w:rsidRDefault="00320E9B"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Częściowo Cel horyzontalny 3. Transport publiczny</w:t>
            </w:r>
          </w:p>
        </w:tc>
      </w:tr>
      <w:tr w:rsidR="00237760" w:rsidRPr="00237760" w14:paraId="618689B5"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34C7A9A1"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Zmniejszanie się liczby ludności</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6AC34DA4" w14:textId="30829A14" w:rsidR="002B0C18" w:rsidRPr="00237760" w:rsidRDefault="00320E9B"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Częściowo Cel horyzontalny 3. Transport publiczny</w:t>
            </w:r>
          </w:p>
        </w:tc>
      </w:tr>
      <w:tr w:rsidR="00237760" w:rsidRPr="00237760" w14:paraId="0659C864" w14:textId="77777777" w:rsidTr="009367B4">
        <w:trPr>
          <w:trHeight w:val="151"/>
        </w:trPr>
        <w:tc>
          <w:tcPr>
            <w:tcW w:w="9072" w:type="dxa"/>
            <w:gridSpan w:val="2"/>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015DCBA2" w14:textId="77777777" w:rsidR="002B0C18" w:rsidRPr="00237760" w:rsidRDefault="002B0C18" w:rsidP="009367B4">
            <w:pPr>
              <w:spacing w:after="0" w:line="240" w:lineRule="auto"/>
              <w:ind w:right="57"/>
              <w:jc w:val="left"/>
              <w:rPr>
                <w:rFonts w:ascii="Arial" w:hAnsi="Arial" w:cs="Arial"/>
                <w:b/>
                <w:bCs/>
                <w:color w:val="auto"/>
                <w:sz w:val="24"/>
                <w:szCs w:val="24"/>
              </w:rPr>
            </w:pPr>
            <w:r w:rsidRPr="00237760">
              <w:rPr>
                <w:rFonts w:ascii="Arial" w:hAnsi="Arial" w:cs="Arial"/>
                <w:b/>
                <w:bCs/>
                <w:color w:val="auto"/>
                <w:sz w:val="24"/>
                <w:szCs w:val="24"/>
              </w:rPr>
              <w:t>Plan zrównoważonego rozwoju publicznego transportu zbiorowego dla Powiatu Sanockiego</w:t>
            </w:r>
          </w:p>
        </w:tc>
      </w:tr>
      <w:tr w:rsidR="00237760" w:rsidRPr="00237760" w14:paraId="5797812D"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3D696332" w14:textId="77777777" w:rsidR="002B0C18" w:rsidRPr="00237760" w:rsidRDefault="002B0C18"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WYZWANIA I POTRZEBY OBSZARU</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tcPr>
          <w:p w14:paraId="0F0F435A" w14:textId="77777777" w:rsidR="002B0C18" w:rsidRPr="00237760" w:rsidRDefault="002B0C18" w:rsidP="009367B4">
            <w:pPr>
              <w:spacing w:after="0" w:line="240" w:lineRule="auto"/>
              <w:ind w:left="57" w:right="57"/>
              <w:jc w:val="left"/>
              <w:rPr>
                <w:rFonts w:ascii="Arial" w:hAnsi="Arial" w:cs="Arial"/>
                <w:color w:val="auto"/>
                <w:sz w:val="24"/>
                <w:szCs w:val="24"/>
              </w:rPr>
            </w:pPr>
          </w:p>
        </w:tc>
      </w:tr>
      <w:tr w:rsidR="00237760" w:rsidRPr="00237760" w14:paraId="5F282F3D"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6A437F00"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 xml:space="preserve">Przystosowanie infrastruktury do osób z niepełnosprawnościami </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3A6C132B" w14:textId="428DFF56" w:rsidR="002B0C18" w:rsidRPr="00237760" w:rsidRDefault="00320E9B"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Częściowo Cel horyzontalny 3. Transport publiczny</w:t>
            </w:r>
          </w:p>
        </w:tc>
      </w:tr>
      <w:tr w:rsidR="00237760" w:rsidRPr="00237760" w14:paraId="2AD2EF30"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23A9101A"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Dostosowanie taboru do przepisów ochrony środowiska naturalnego</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27EAA40E" w14:textId="77777777" w:rsidR="00320E9B" w:rsidRPr="00237760" w:rsidRDefault="00320E9B"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1. Ograniczenie negatywnego oddziaływania sektora transportu na klimat oraz na regionalne środowisko naturalne</w:t>
            </w:r>
          </w:p>
          <w:p w14:paraId="27DB803A" w14:textId="6FA48307" w:rsidR="002B0C18" w:rsidRPr="00237760" w:rsidRDefault="00320E9B"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32918F34"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792ECE2A"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Integracja transportu miejskiego i regionalnego</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21EC5D13" w14:textId="77777777" w:rsidR="00320E9B" w:rsidRPr="00237760" w:rsidRDefault="00320E9B"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03BB5CE0" w14:textId="77777777" w:rsidR="00320E9B" w:rsidRPr="00237760" w:rsidRDefault="00320E9B"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p w14:paraId="651159DA" w14:textId="77777777" w:rsidR="00320E9B" w:rsidRPr="00237760" w:rsidRDefault="00320E9B"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lastRenderedPageBreak/>
              <w:t>Cel horyzontalny 2. Wzmocnienie rozwiązań multimodalnych</w:t>
            </w:r>
          </w:p>
          <w:p w14:paraId="13A81746" w14:textId="217C4C36" w:rsidR="002B0C18" w:rsidRPr="00237760" w:rsidRDefault="00584EF9"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49A8000E"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152F8F44"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lastRenderedPageBreak/>
              <w:t>Integracja transportu publicznego z indywidualnym</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1021A84A" w14:textId="77777777" w:rsidR="00320E9B" w:rsidRPr="00237760" w:rsidRDefault="00320E9B"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2. Wzmocnienie rozwiązań multimodalnych</w:t>
            </w:r>
          </w:p>
          <w:p w14:paraId="5C97E138" w14:textId="7641E22A" w:rsidR="002B0C18" w:rsidRPr="00237760" w:rsidRDefault="00320E9B"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14CF38B3"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4D16E357"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Zmniejszanie się liczby ludności</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021C5AAC" w14:textId="1F671C69" w:rsidR="002B0C18" w:rsidRPr="00237760" w:rsidRDefault="00320E9B"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Częściowo Cel horyzontalny 3. Transport publiczny</w:t>
            </w:r>
          </w:p>
        </w:tc>
      </w:tr>
      <w:tr w:rsidR="00237760" w:rsidRPr="00237760" w14:paraId="10730253"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6CBEF80E"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Starzenie się społeczeństwa</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753F176F" w14:textId="308AED9D" w:rsidR="002B0C18" w:rsidRPr="00237760" w:rsidRDefault="00320E9B"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Częściowo Cel horyzontalny 3. Transport publiczny</w:t>
            </w:r>
          </w:p>
        </w:tc>
      </w:tr>
      <w:tr w:rsidR="00237760" w:rsidRPr="00237760" w14:paraId="01A09FBF" w14:textId="77777777" w:rsidTr="009367B4">
        <w:trPr>
          <w:trHeight w:val="151"/>
        </w:trPr>
        <w:tc>
          <w:tcPr>
            <w:tcW w:w="9072" w:type="dxa"/>
            <w:gridSpan w:val="2"/>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272CED84" w14:textId="77777777" w:rsidR="002B0C18" w:rsidRPr="00237760" w:rsidRDefault="002B0C18" w:rsidP="009367B4">
            <w:pPr>
              <w:spacing w:after="0" w:line="240" w:lineRule="auto"/>
              <w:ind w:right="57"/>
              <w:jc w:val="left"/>
              <w:rPr>
                <w:rFonts w:ascii="Arial" w:hAnsi="Arial" w:cs="Arial"/>
                <w:b/>
                <w:bCs/>
                <w:color w:val="auto"/>
                <w:sz w:val="24"/>
                <w:szCs w:val="24"/>
              </w:rPr>
            </w:pPr>
            <w:r w:rsidRPr="00237760">
              <w:rPr>
                <w:rFonts w:ascii="Arial" w:hAnsi="Arial" w:cs="Arial"/>
                <w:b/>
                <w:bCs/>
                <w:color w:val="auto"/>
                <w:sz w:val="24"/>
                <w:szCs w:val="24"/>
              </w:rPr>
              <w:t>Plan zrównoważonego rozwoju publicznego transportu zbiorowego dla Powiatu Stalowowolskiego i Powiatu Niżańskiego</w:t>
            </w:r>
          </w:p>
        </w:tc>
      </w:tr>
      <w:tr w:rsidR="00237760" w:rsidRPr="00237760" w14:paraId="42F36BDE"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0A1D1E1C" w14:textId="77777777" w:rsidR="002B0C18" w:rsidRPr="00237760" w:rsidRDefault="002B0C18"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WYZWANIA I POTRZEBY OBSZARU</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tcPr>
          <w:p w14:paraId="1A18C2BC" w14:textId="77777777" w:rsidR="002B0C18" w:rsidRPr="00237760" w:rsidRDefault="002B0C18" w:rsidP="009367B4">
            <w:pPr>
              <w:spacing w:after="0" w:line="240" w:lineRule="auto"/>
              <w:ind w:left="57" w:right="57"/>
              <w:jc w:val="left"/>
              <w:rPr>
                <w:rFonts w:ascii="Arial" w:hAnsi="Arial" w:cs="Arial"/>
                <w:color w:val="auto"/>
                <w:sz w:val="24"/>
                <w:szCs w:val="24"/>
              </w:rPr>
            </w:pPr>
          </w:p>
        </w:tc>
      </w:tr>
      <w:tr w:rsidR="00237760" w:rsidRPr="00237760" w14:paraId="65BEE580"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0F7E035F"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Transport dostępny dla wszystkich mieszkańców</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70541BE4" w14:textId="545380DE" w:rsidR="002B0C18" w:rsidRPr="00237760" w:rsidRDefault="00320E9B"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616EF016"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67773A16"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 xml:space="preserve">Eliminacja barier przestrzennych w transporcie </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779F3AA4" w14:textId="43714A7E" w:rsidR="006C4670" w:rsidRPr="00237760" w:rsidRDefault="006C4670"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p w14:paraId="4C5A3E09" w14:textId="0B9E48D1" w:rsidR="004A6353" w:rsidRPr="00237760" w:rsidRDefault="004A6353"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p w14:paraId="63FC4EFB" w14:textId="09660B09" w:rsidR="002B0C18" w:rsidRPr="00237760" w:rsidRDefault="004A6353"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 xml:space="preserve">Częściowo Cel horyzontalny 4. Poprawa bezpieczeństwa </w:t>
            </w:r>
            <w:r w:rsidRPr="00237760">
              <w:rPr>
                <w:rFonts w:ascii="Arial" w:hAnsi="Arial" w:cs="Arial"/>
                <w:color w:val="auto"/>
                <w:sz w:val="24"/>
                <w:szCs w:val="24"/>
              </w:rPr>
              <w:br/>
              <w:t>w transporcie</w:t>
            </w:r>
          </w:p>
        </w:tc>
      </w:tr>
      <w:tr w:rsidR="00237760" w:rsidRPr="00237760" w14:paraId="18F88BB1"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77FD7453"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 xml:space="preserve">Zmniejszanie się liczby ludności </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5164896A" w14:textId="74A93D7F" w:rsidR="002B0C18" w:rsidRPr="00237760" w:rsidRDefault="006C4670"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Częściowo Cel horyzontalny 3. Transport publiczny</w:t>
            </w:r>
          </w:p>
        </w:tc>
      </w:tr>
      <w:tr w:rsidR="00237760" w:rsidRPr="00237760" w14:paraId="07938653"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1213B329"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Starzenie się społeczeństwa</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18CCE5AB" w14:textId="7C12E808" w:rsidR="002B0C18" w:rsidRPr="00237760" w:rsidRDefault="006C4670"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Częściowo Cel horyzontalny 3. Transport publiczny</w:t>
            </w:r>
          </w:p>
        </w:tc>
      </w:tr>
      <w:tr w:rsidR="00237760" w:rsidRPr="00237760" w14:paraId="7D9C8F40"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4194D048"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Wzrost wskaźnika motoryzacji mieszkańców</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61122AF4" w14:textId="77777777" w:rsidR="006C4670" w:rsidRPr="00237760" w:rsidRDefault="006C4670"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1106B10E" w14:textId="77777777" w:rsidR="006C4670" w:rsidRPr="00237760" w:rsidRDefault="006C4670"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p w14:paraId="0507217E" w14:textId="48C31477" w:rsidR="002B0C18" w:rsidRPr="00237760" w:rsidRDefault="006C4670"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307C15A6" w14:textId="77777777" w:rsidTr="009367B4">
        <w:trPr>
          <w:trHeight w:val="151"/>
        </w:trPr>
        <w:tc>
          <w:tcPr>
            <w:tcW w:w="9072" w:type="dxa"/>
            <w:gridSpan w:val="2"/>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7A307817" w14:textId="77777777" w:rsidR="002B0C18" w:rsidRPr="00237760" w:rsidRDefault="002B0C18" w:rsidP="009367B4">
            <w:pPr>
              <w:spacing w:after="0" w:line="240" w:lineRule="auto"/>
              <w:ind w:right="57"/>
              <w:jc w:val="left"/>
              <w:rPr>
                <w:rFonts w:ascii="Arial" w:hAnsi="Arial" w:cs="Arial"/>
                <w:b/>
                <w:bCs/>
                <w:color w:val="auto"/>
                <w:sz w:val="24"/>
                <w:szCs w:val="24"/>
              </w:rPr>
            </w:pPr>
            <w:r w:rsidRPr="00237760">
              <w:rPr>
                <w:rFonts w:ascii="Arial" w:hAnsi="Arial" w:cs="Arial"/>
                <w:b/>
                <w:bCs/>
                <w:color w:val="auto"/>
                <w:sz w:val="24"/>
                <w:szCs w:val="24"/>
              </w:rPr>
              <w:t>Plan zrównoważonego rozwoju publicznego transportu zbiorowego dla Powiatowo-Gminnego Związku Komunikacyjnego w Powiecie Jasielskim na lata 2020-2028</w:t>
            </w:r>
          </w:p>
        </w:tc>
      </w:tr>
      <w:tr w:rsidR="00237760" w:rsidRPr="00237760" w14:paraId="6F1AF04A"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23574E8F" w14:textId="77777777" w:rsidR="002B0C18" w:rsidRPr="00237760" w:rsidRDefault="002B0C18"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WYZWANIA I POTRZEBY OBSZARU</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tcPr>
          <w:p w14:paraId="676D81D7" w14:textId="77777777" w:rsidR="002B0C18" w:rsidRPr="00237760" w:rsidRDefault="002B0C18" w:rsidP="009367B4">
            <w:pPr>
              <w:spacing w:after="0" w:line="240" w:lineRule="auto"/>
              <w:ind w:left="57" w:right="57"/>
              <w:jc w:val="left"/>
              <w:rPr>
                <w:rFonts w:ascii="Arial" w:hAnsi="Arial" w:cs="Arial"/>
                <w:color w:val="auto"/>
                <w:sz w:val="24"/>
                <w:szCs w:val="24"/>
              </w:rPr>
            </w:pPr>
          </w:p>
        </w:tc>
      </w:tr>
      <w:tr w:rsidR="00237760" w:rsidRPr="00237760" w14:paraId="11349A0E"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77814941"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Niska gęstość zaludnienia</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35E444EA" w14:textId="3DEF07EF" w:rsidR="002B0C18" w:rsidRPr="00237760" w:rsidRDefault="008822C2"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0E14D0DD"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2A06C4C8"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 xml:space="preserve">Zmniejszenie się liczby ludności </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60B80140" w14:textId="612AD556" w:rsidR="002B0C18" w:rsidRPr="00237760" w:rsidRDefault="008822C2"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Częściowo Cel horyzontalny 3. Transport publiczny</w:t>
            </w:r>
          </w:p>
        </w:tc>
      </w:tr>
      <w:tr w:rsidR="00237760" w:rsidRPr="00237760" w14:paraId="4893D18D"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4F9D753E"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Starzenie się społeczeństwa</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66A7A5E3" w14:textId="5149A32F" w:rsidR="002B0C18" w:rsidRPr="00237760" w:rsidRDefault="008822C2"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Częściowo Cel horyzontalny 3. Transport publiczny</w:t>
            </w:r>
          </w:p>
        </w:tc>
      </w:tr>
      <w:tr w:rsidR="00237760" w:rsidRPr="00237760" w14:paraId="23409E35"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69DAF120"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Zlokalizowanie większej liczby przystanków na obszarze powiatu</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1A179064" w14:textId="77777777" w:rsidR="00E634B5" w:rsidRPr="00237760" w:rsidRDefault="00E634B5"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150B1EAD" w14:textId="77777777" w:rsidR="00E634B5" w:rsidRPr="00237760" w:rsidRDefault="00E634B5"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p w14:paraId="0F614FD7" w14:textId="6463F522" w:rsidR="002B0C18" w:rsidRPr="00237760" w:rsidRDefault="00E634B5"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22A62B80"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01022C74" w14:textId="77777777" w:rsidR="002B0C18" w:rsidRPr="00237760" w:rsidRDefault="002B0C18" w:rsidP="009367B4">
            <w:pPr>
              <w:spacing w:after="0" w:line="240" w:lineRule="auto"/>
              <w:ind w:left="57" w:right="57"/>
              <w:jc w:val="left"/>
              <w:rPr>
                <w:rFonts w:ascii="Arial" w:hAnsi="Arial" w:cs="Arial"/>
                <w:i/>
                <w:iCs/>
                <w:color w:val="auto"/>
                <w:sz w:val="24"/>
                <w:szCs w:val="24"/>
              </w:rPr>
            </w:pPr>
            <w:r w:rsidRPr="00237760">
              <w:rPr>
                <w:rFonts w:ascii="Arial" w:hAnsi="Arial" w:cs="Arial"/>
                <w:i/>
                <w:iCs/>
                <w:color w:val="auto"/>
                <w:sz w:val="24"/>
                <w:szCs w:val="24"/>
              </w:rPr>
              <w:t>Wspólny bilet</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6D978806" w14:textId="3BF265A1" w:rsidR="00E57AA2" w:rsidRPr="00237760" w:rsidRDefault="00E57AA2"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2. Wzmocnienie rozwiązań multimodalnych</w:t>
            </w:r>
          </w:p>
          <w:p w14:paraId="4B6FFF69" w14:textId="70FAEB58" w:rsidR="002B0C18" w:rsidRPr="00237760" w:rsidRDefault="00E634B5"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3E121D4C"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5BDF8FF6"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lastRenderedPageBreak/>
              <w:t>Poprawa stanu dróg</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51E974BD" w14:textId="77777777" w:rsidR="00E634B5" w:rsidRPr="00237760" w:rsidRDefault="00E634B5"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04304ACF" w14:textId="77777777" w:rsidR="00E634B5" w:rsidRPr="00237760" w:rsidRDefault="00E634B5"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2AA2AEA1" w14:textId="4BB29A00" w:rsidR="002B0C18" w:rsidRPr="00237760" w:rsidRDefault="00E634B5"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tc>
      </w:tr>
      <w:tr w:rsidR="00237760" w:rsidRPr="00237760" w14:paraId="41CE39BD"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57FAB909"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Zapewnienie powiązań komunikacji ponadregionalnej z lokalną</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62896C30" w14:textId="77777777" w:rsidR="00E634B5" w:rsidRPr="00237760" w:rsidRDefault="00E634B5"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4D084B9F" w14:textId="77777777" w:rsidR="00E634B5" w:rsidRPr="00237760" w:rsidRDefault="00E634B5"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p w14:paraId="39728E08" w14:textId="77777777" w:rsidR="008822C2" w:rsidRPr="00237760" w:rsidRDefault="00E634B5"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2. Wzmocnienie rozwiązań multimodalnych</w:t>
            </w:r>
          </w:p>
          <w:p w14:paraId="48997299" w14:textId="78D148A5" w:rsidR="002B0C18" w:rsidRPr="00237760" w:rsidRDefault="00584EF9"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6FEB5937"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1F89DF8E"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Zapewnienie korzystniejszego systemu taryfowego</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0752008A" w14:textId="0B0C2BB8" w:rsidR="002B0C18" w:rsidRPr="00237760" w:rsidRDefault="00E634B5"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1D4A08C2" w14:textId="77777777" w:rsidTr="009367B4">
        <w:trPr>
          <w:trHeight w:val="151"/>
        </w:trPr>
        <w:tc>
          <w:tcPr>
            <w:tcW w:w="9072" w:type="dxa"/>
            <w:gridSpan w:val="2"/>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32CA7DD4" w14:textId="77777777" w:rsidR="002B0C18" w:rsidRPr="00237760" w:rsidRDefault="002B0C18" w:rsidP="009367B4">
            <w:pPr>
              <w:spacing w:after="0" w:line="240" w:lineRule="auto"/>
              <w:ind w:right="57"/>
              <w:jc w:val="left"/>
              <w:rPr>
                <w:rFonts w:ascii="Arial" w:hAnsi="Arial" w:cs="Arial"/>
                <w:b/>
                <w:bCs/>
                <w:color w:val="auto"/>
                <w:sz w:val="24"/>
                <w:szCs w:val="24"/>
              </w:rPr>
            </w:pPr>
            <w:r w:rsidRPr="00237760">
              <w:rPr>
                <w:rFonts w:ascii="Arial" w:hAnsi="Arial" w:cs="Arial"/>
                <w:b/>
                <w:bCs/>
                <w:color w:val="auto"/>
                <w:sz w:val="24"/>
                <w:szCs w:val="24"/>
              </w:rPr>
              <w:t>Plan zrównoważonego rozwoju publicznego transportu zbiorowego dla Powiatu Lubaczowskiego na lata 2015 – 2025</w:t>
            </w:r>
          </w:p>
        </w:tc>
      </w:tr>
      <w:tr w:rsidR="00237760" w:rsidRPr="00237760" w14:paraId="23D73D50"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3C3EACAE" w14:textId="77777777" w:rsidR="002B0C18" w:rsidRPr="00237760" w:rsidRDefault="002B0C18"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WYZWANIA I POTRZEBY OBSZARU</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tcPr>
          <w:p w14:paraId="4B735D83" w14:textId="77777777" w:rsidR="002B0C18" w:rsidRPr="00237760" w:rsidRDefault="002B0C18" w:rsidP="009367B4">
            <w:pPr>
              <w:spacing w:after="0" w:line="240" w:lineRule="auto"/>
              <w:ind w:left="57" w:right="57"/>
              <w:jc w:val="left"/>
              <w:rPr>
                <w:rFonts w:ascii="Arial" w:hAnsi="Arial" w:cs="Arial"/>
                <w:color w:val="auto"/>
                <w:sz w:val="24"/>
                <w:szCs w:val="24"/>
              </w:rPr>
            </w:pPr>
          </w:p>
        </w:tc>
      </w:tr>
      <w:tr w:rsidR="00237760" w:rsidRPr="00237760" w14:paraId="0C2FBE7D"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1357EDEC"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Wprowadzenie przywilejów dla środków publicznego transportu zbiorowego</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2F4F31A1" w14:textId="1B8551CE" w:rsidR="002B0C18" w:rsidRPr="00237760" w:rsidRDefault="00821A5A"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1BE4C851"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1EAB8273"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Tworzenie zintegrowanych systemów taryfowo-biletowych</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34B842BB" w14:textId="5F58F2A0" w:rsidR="002B0C18" w:rsidRPr="00237760" w:rsidRDefault="00821A5A"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71852D38"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32E590BC"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 xml:space="preserve">Utworzenie regularnych połączeń komunikacyjnych </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2BEE56D0" w14:textId="55BF5B83" w:rsidR="002B0C18" w:rsidRPr="00237760" w:rsidRDefault="00821A5A"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3C1E0856"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1D24BE5F"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Dostosowanie infrastruktury komunikacyjnej do osób z niepełnosprawnościami</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25A81443" w14:textId="70225A90" w:rsidR="002B0C18" w:rsidRPr="00237760" w:rsidRDefault="00821A5A"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Częściowo Cel horyzontalny 3. Transport publiczny</w:t>
            </w:r>
          </w:p>
        </w:tc>
      </w:tr>
      <w:tr w:rsidR="00237760" w:rsidRPr="00237760" w14:paraId="5E60CE52"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67329558"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Podwyższenie jakości komunikacji zbiorowej</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tcPr>
          <w:p w14:paraId="2E3B6D56" w14:textId="77777777" w:rsidR="00821A5A" w:rsidRPr="00237760" w:rsidRDefault="00821A5A"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p w14:paraId="1A984376" w14:textId="38DE405A" w:rsidR="002B0C18" w:rsidRPr="00237760" w:rsidRDefault="00821A5A"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7647DC5A" w14:textId="77777777" w:rsidTr="009367B4">
        <w:trPr>
          <w:trHeight w:val="151"/>
        </w:trPr>
        <w:tc>
          <w:tcPr>
            <w:tcW w:w="9072" w:type="dxa"/>
            <w:gridSpan w:val="2"/>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42D8126E" w14:textId="77777777" w:rsidR="002B0C18" w:rsidRPr="00237760" w:rsidRDefault="002B0C18" w:rsidP="009367B4">
            <w:pPr>
              <w:spacing w:after="0" w:line="240" w:lineRule="auto"/>
              <w:ind w:right="57"/>
              <w:jc w:val="left"/>
              <w:rPr>
                <w:rFonts w:ascii="Arial" w:hAnsi="Arial" w:cs="Arial"/>
                <w:b/>
                <w:bCs/>
                <w:color w:val="auto"/>
                <w:sz w:val="24"/>
                <w:szCs w:val="24"/>
              </w:rPr>
            </w:pPr>
            <w:r w:rsidRPr="00237760">
              <w:rPr>
                <w:rFonts w:ascii="Arial" w:hAnsi="Arial" w:cs="Arial"/>
                <w:b/>
                <w:bCs/>
                <w:color w:val="auto"/>
                <w:sz w:val="24"/>
                <w:szCs w:val="24"/>
              </w:rPr>
              <w:t>Plan zrównoważonego rozwoju publicznego transportu zbiorowego dla Powiatu Łańcuckiego - Plan Transportowy</w:t>
            </w:r>
          </w:p>
        </w:tc>
      </w:tr>
      <w:tr w:rsidR="00237760" w:rsidRPr="00237760" w14:paraId="46AD5947" w14:textId="77777777" w:rsidTr="009367B4">
        <w:trPr>
          <w:trHeight w:val="151"/>
        </w:trPr>
        <w:tc>
          <w:tcPr>
            <w:tcW w:w="425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3DDD5318" w14:textId="77777777" w:rsidR="002B0C18" w:rsidRPr="00237760" w:rsidRDefault="002B0C18"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WYZWANIA I POTRZEBY OBSZARU</w:t>
            </w:r>
          </w:p>
        </w:tc>
        <w:tc>
          <w:tcPr>
            <w:tcW w:w="481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tcPr>
          <w:p w14:paraId="6EC996DC" w14:textId="77777777" w:rsidR="002B0C18" w:rsidRPr="00237760" w:rsidRDefault="002B0C18" w:rsidP="009367B4">
            <w:pPr>
              <w:spacing w:after="0" w:line="240" w:lineRule="auto"/>
              <w:ind w:left="57" w:right="57"/>
              <w:jc w:val="left"/>
              <w:rPr>
                <w:rFonts w:ascii="Arial" w:hAnsi="Arial" w:cs="Arial"/>
                <w:color w:val="auto"/>
                <w:sz w:val="24"/>
                <w:szCs w:val="24"/>
              </w:rPr>
            </w:pPr>
          </w:p>
        </w:tc>
      </w:tr>
      <w:tr w:rsidR="00237760" w:rsidRPr="00237760" w14:paraId="7F01BFF1" w14:textId="77777777" w:rsidTr="008F6514">
        <w:trPr>
          <w:trHeight w:val="151"/>
        </w:trPr>
        <w:tc>
          <w:tcPr>
            <w:tcW w:w="4253" w:type="dxa"/>
            <w:tcBorders>
              <w:top w:val="single" w:sz="4" w:space="0" w:color="BDD6EE" w:themeColor="accent1" w:themeTint="66"/>
              <w:left w:val="nil"/>
              <w:bottom w:val="single" w:sz="4" w:space="0" w:color="BDD6EE" w:themeColor="accent1" w:themeTint="66"/>
              <w:right w:val="nil"/>
            </w:tcBorders>
            <w:tcMar>
              <w:top w:w="0" w:type="dxa"/>
              <w:left w:w="28" w:type="dxa"/>
              <w:bottom w:w="0" w:type="dxa"/>
              <w:right w:w="28" w:type="dxa"/>
            </w:tcMar>
            <w:vAlign w:val="center"/>
            <w:hideMark/>
          </w:tcPr>
          <w:p w14:paraId="0346CD3E"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Prowadzenie regularnych pomiarów popytu</w:t>
            </w:r>
          </w:p>
        </w:tc>
        <w:tc>
          <w:tcPr>
            <w:tcW w:w="4819" w:type="dxa"/>
            <w:tcBorders>
              <w:top w:val="single" w:sz="4" w:space="0" w:color="BDD6EE" w:themeColor="accent1" w:themeTint="66"/>
              <w:left w:val="nil"/>
              <w:bottom w:val="single" w:sz="4" w:space="0" w:color="BDD6EE" w:themeColor="accent1" w:themeTint="66"/>
              <w:right w:val="nil"/>
            </w:tcBorders>
            <w:tcMar>
              <w:top w:w="0" w:type="dxa"/>
              <w:left w:w="28" w:type="dxa"/>
              <w:bottom w:w="0" w:type="dxa"/>
              <w:right w:w="28" w:type="dxa"/>
            </w:tcMar>
            <w:vAlign w:val="center"/>
          </w:tcPr>
          <w:p w14:paraId="4E3C6BD6" w14:textId="62A17BFC" w:rsidR="002B0C18" w:rsidRPr="00237760" w:rsidRDefault="00584EF9"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Brak odniesień</w:t>
            </w:r>
          </w:p>
        </w:tc>
      </w:tr>
      <w:tr w:rsidR="00237760" w:rsidRPr="00237760" w14:paraId="1668F807" w14:textId="77777777" w:rsidTr="008F6514">
        <w:trPr>
          <w:trHeight w:val="151"/>
        </w:trPr>
        <w:tc>
          <w:tcPr>
            <w:tcW w:w="4253" w:type="dxa"/>
            <w:tcBorders>
              <w:top w:val="single" w:sz="4" w:space="0" w:color="BDD6EE" w:themeColor="accent1" w:themeTint="66"/>
              <w:left w:val="nil"/>
              <w:bottom w:val="single" w:sz="4" w:space="0" w:color="BDD6EE" w:themeColor="accent1" w:themeTint="66"/>
              <w:right w:val="nil"/>
            </w:tcBorders>
            <w:tcMar>
              <w:top w:w="0" w:type="dxa"/>
              <w:left w:w="28" w:type="dxa"/>
              <w:bottom w:w="0" w:type="dxa"/>
              <w:right w:w="28" w:type="dxa"/>
            </w:tcMar>
            <w:vAlign w:val="center"/>
            <w:hideMark/>
          </w:tcPr>
          <w:p w14:paraId="012D712C"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Starzenie się społeczeństwa</w:t>
            </w:r>
          </w:p>
        </w:tc>
        <w:tc>
          <w:tcPr>
            <w:tcW w:w="4819" w:type="dxa"/>
            <w:tcBorders>
              <w:top w:val="single" w:sz="4" w:space="0" w:color="BDD6EE" w:themeColor="accent1" w:themeTint="66"/>
              <w:left w:val="nil"/>
              <w:bottom w:val="single" w:sz="4" w:space="0" w:color="BDD6EE" w:themeColor="accent1" w:themeTint="66"/>
              <w:right w:val="nil"/>
            </w:tcBorders>
            <w:tcMar>
              <w:top w:w="0" w:type="dxa"/>
              <w:left w:w="28" w:type="dxa"/>
              <w:bottom w:w="0" w:type="dxa"/>
              <w:right w:w="28" w:type="dxa"/>
            </w:tcMar>
            <w:vAlign w:val="center"/>
          </w:tcPr>
          <w:p w14:paraId="475B58C2" w14:textId="544F3FCC" w:rsidR="002B0C18" w:rsidRPr="00237760" w:rsidRDefault="009015C8"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Częściowo Cel horyzontalny 3. Transport publiczny</w:t>
            </w:r>
          </w:p>
        </w:tc>
      </w:tr>
      <w:tr w:rsidR="00237760" w:rsidRPr="00237760" w14:paraId="7ED7A7C7" w14:textId="77777777" w:rsidTr="008F6514">
        <w:trPr>
          <w:trHeight w:val="151"/>
        </w:trPr>
        <w:tc>
          <w:tcPr>
            <w:tcW w:w="4253" w:type="dxa"/>
            <w:tcBorders>
              <w:top w:val="single" w:sz="4" w:space="0" w:color="BDD6EE" w:themeColor="accent1" w:themeTint="66"/>
              <w:left w:val="nil"/>
              <w:bottom w:val="single" w:sz="4" w:space="0" w:color="BDD6EE" w:themeColor="accent1" w:themeTint="66"/>
              <w:right w:val="nil"/>
            </w:tcBorders>
            <w:tcMar>
              <w:top w:w="0" w:type="dxa"/>
              <w:left w:w="28" w:type="dxa"/>
              <w:bottom w:w="0" w:type="dxa"/>
              <w:right w:w="28" w:type="dxa"/>
            </w:tcMar>
            <w:vAlign w:val="center"/>
            <w:hideMark/>
          </w:tcPr>
          <w:p w14:paraId="53FFD28C"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Utrzymanie wysokiej jakości transportu zbiorowego</w:t>
            </w:r>
          </w:p>
        </w:tc>
        <w:tc>
          <w:tcPr>
            <w:tcW w:w="4819" w:type="dxa"/>
            <w:tcBorders>
              <w:top w:val="single" w:sz="4" w:space="0" w:color="BDD6EE" w:themeColor="accent1" w:themeTint="66"/>
              <w:left w:val="nil"/>
              <w:bottom w:val="single" w:sz="4" w:space="0" w:color="BDD6EE" w:themeColor="accent1" w:themeTint="66"/>
              <w:right w:val="nil"/>
            </w:tcBorders>
            <w:tcMar>
              <w:top w:w="0" w:type="dxa"/>
              <w:left w:w="28" w:type="dxa"/>
              <w:bottom w:w="0" w:type="dxa"/>
              <w:right w:w="28" w:type="dxa"/>
            </w:tcMar>
            <w:vAlign w:val="center"/>
          </w:tcPr>
          <w:p w14:paraId="2C07107C" w14:textId="77777777" w:rsidR="00634F5E" w:rsidRPr="00237760" w:rsidRDefault="00634F5E"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p w14:paraId="183D32EF" w14:textId="26102C02" w:rsidR="002B0C18" w:rsidRPr="00237760" w:rsidRDefault="00634F5E"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771A6955" w14:textId="77777777" w:rsidTr="008F6514">
        <w:trPr>
          <w:trHeight w:val="151"/>
        </w:trPr>
        <w:tc>
          <w:tcPr>
            <w:tcW w:w="4253" w:type="dxa"/>
            <w:tcBorders>
              <w:top w:val="single" w:sz="4" w:space="0" w:color="BDD6EE" w:themeColor="accent1" w:themeTint="66"/>
              <w:left w:val="nil"/>
              <w:bottom w:val="single" w:sz="4" w:space="0" w:color="BDD6EE" w:themeColor="accent1" w:themeTint="66"/>
              <w:right w:val="nil"/>
            </w:tcBorders>
            <w:tcMar>
              <w:top w:w="0" w:type="dxa"/>
              <w:left w:w="28" w:type="dxa"/>
              <w:bottom w:w="0" w:type="dxa"/>
              <w:right w:w="28" w:type="dxa"/>
            </w:tcMar>
            <w:vAlign w:val="center"/>
            <w:hideMark/>
          </w:tcPr>
          <w:p w14:paraId="324C7CE6"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Dostosowanie infrastruktury komunikacyjnej do osób z niepełnosprawnościami</w:t>
            </w:r>
          </w:p>
        </w:tc>
        <w:tc>
          <w:tcPr>
            <w:tcW w:w="4819" w:type="dxa"/>
            <w:tcBorders>
              <w:top w:val="single" w:sz="4" w:space="0" w:color="BDD6EE" w:themeColor="accent1" w:themeTint="66"/>
              <w:left w:val="nil"/>
              <w:bottom w:val="single" w:sz="4" w:space="0" w:color="BDD6EE" w:themeColor="accent1" w:themeTint="66"/>
              <w:right w:val="nil"/>
            </w:tcBorders>
            <w:tcMar>
              <w:top w:w="0" w:type="dxa"/>
              <w:left w:w="28" w:type="dxa"/>
              <w:bottom w:w="0" w:type="dxa"/>
              <w:right w:w="28" w:type="dxa"/>
            </w:tcMar>
            <w:vAlign w:val="center"/>
          </w:tcPr>
          <w:p w14:paraId="3B6043EB" w14:textId="3C3B33E9" w:rsidR="002B0C18" w:rsidRPr="00237760" w:rsidRDefault="00634F5E"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Częściowo Cel horyzontalny 3. Transport publiczny</w:t>
            </w:r>
          </w:p>
        </w:tc>
      </w:tr>
      <w:tr w:rsidR="00237760" w:rsidRPr="00237760" w14:paraId="69190791" w14:textId="77777777" w:rsidTr="008F6514">
        <w:trPr>
          <w:trHeight w:val="151"/>
        </w:trPr>
        <w:tc>
          <w:tcPr>
            <w:tcW w:w="4253" w:type="dxa"/>
            <w:tcBorders>
              <w:top w:val="single" w:sz="4" w:space="0" w:color="BDD6EE" w:themeColor="accent1" w:themeTint="66"/>
              <w:left w:val="nil"/>
              <w:bottom w:val="single" w:sz="4" w:space="0" w:color="BDD6EE" w:themeColor="accent1" w:themeTint="66"/>
              <w:right w:val="nil"/>
            </w:tcBorders>
            <w:tcMar>
              <w:top w:w="0" w:type="dxa"/>
              <w:left w:w="28" w:type="dxa"/>
              <w:bottom w:w="0" w:type="dxa"/>
              <w:right w:w="28" w:type="dxa"/>
            </w:tcMar>
            <w:vAlign w:val="center"/>
            <w:hideMark/>
          </w:tcPr>
          <w:p w14:paraId="4B47CF59"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Transport dla wszystkich mieszkańców</w:t>
            </w:r>
          </w:p>
        </w:tc>
        <w:tc>
          <w:tcPr>
            <w:tcW w:w="4819" w:type="dxa"/>
            <w:tcBorders>
              <w:top w:val="single" w:sz="4" w:space="0" w:color="BDD6EE" w:themeColor="accent1" w:themeTint="66"/>
              <w:left w:val="nil"/>
              <w:bottom w:val="single" w:sz="4" w:space="0" w:color="BDD6EE" w:themeColor="accent1" w:themeTint="66"/>
              <w:right w:val="nil"/>
            </w:tcBorders>
            <w:tcMar>
              <w:top w:w="0" w:type="dxa"/>
              <w:left w:w="28" w:type="dxa"/>
              <w:bottom w:w="0" w:type="dxa"/>
              <w:right w:w="28" w:type="dxa"/>
            </w:tcMar>
            <w:vAlign w:val="center"/>
          </w:tcPr>
          <w:p w14:paraId="1CEA71B6" w14:textId="349A0285" w:rsidR="002B0C18" w:rsidRPr="00237760" w:rsidRDefault="00634F5E"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2AF92F35" w14:textId="77777777" w:rsidTr="008F6514">
        <w:trPr>
          <w:trHeight w:val="151"/>
        </w:trPr>
        <w:tc>
          <w:tcPr>
            <w:tcW w:w="4253" w:type="dxa"/>
            <w:tcBorders>
              <w:top w:val="single" w:sz="4" w:space="0" w:color="BDD6EE" w:themeColor="accent1" w:themeTint="66"/>
              <w:left w:val="nil"/>
              <w:bottom w:val="single" w:sz="12" w:space="0" w:color="002060"/>
              <w:right w:val="nil"/>
            </w:tcBorders>
            <w:tcMar>
              <w:top w:w="0" w:type="dxa"/>
              <w:left w:w="28" w:type="dxa"/>
              <w:bottom w:w="0" w:type="dxa"/>
              <w:right w:w="28" w:type="dxa"/>
            </w:tcMar>
            <w:vAlign w:val="center"/>
            <w:hideMark/>
          </w:tcPr>
          <w:p w14:paraId="00442537" w14:textId="77777777" w:rsidR="002B0C18" w:rsidRPr="00237760" w:rsidRDefault="002B0C1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Organizacja dynamicznego systemu informacji pasażerskiej</w:t>
            </w:r>
          </w:p>
        </w:tc>
        <w:tc>
          <w:tcPr>
            <w:tcW w:w="4819" w:type="dxa"/>
            <w:tcBorders>
              <w:top w:val="single" w:sz="4" w:space="0" w:color="BDD6EE" w:themeColor="accent1" w:themeTint="66"/>
              <w:left w:val="nil"/>
              <w:bottom w:val="single" w:sz="12" w:space="0" w:color="002060"/>
              <w:right w:val="nil"/>
            </w:tcBorders>
            <w:tcMar>
              <w:top w:w="0" w:type="dxa"/>
              <w:left w:w="28" w:type="dxa"/>
              <w:bottom w:w="0" w:type="dxa"/>
              <w:right w:w="28" w:type="dxa"/>
            </w:tcMar>
            <w:vAlign w:val="center"/>
          </w:tcPr>
          <w:p w14:paraId="515452CC" w14:textId="4E5CAF86" w:rsidR="002B0C18" w:rsidRPr="00237760" w:rsidRDefault="00634F5E"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bl>
    <w:p w14:paraId="4DDD4F33" w14:textId="04DB96A1" w:rsidR="005B098C" w:rsidRPr="00237760" w:rsidRDefault="00552D68"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lastRenderedPageBreak/>
        <w:t xml:space="preserve">Źródło: opracowanie własne na podstawie PSRT WP oraz planów </w:t>
      </w:r>
      <w:r w:rsidR="00D43669" w:rsidRPr="00237760">
        <w:rPr>
          <w:rFonts w:ascii="Arial" w:hAnsi="Arial" w:cs="Arial"/>
          <w:color w:val="auto"/>
          <w:sz w:val="24"/>
          <w:szCs w:val="24"/>
          <w:lang w:eastAsia="pl-PL"/>
        </w:rPr>
        <w:t xml:space="preserve">rozwoju publicznego transportu zbiorowego wybranych powiatów </w:t>
      </w:r>
      <w:r w:rsidR="008D137A" w:rsidRPr="00237760">
        <w:rPr>
          <w:rFonts w:ascii="Arial" w:hAnsi="Arial" w:cs="Arial"/>
          <w:color w:val="auto"/>
          <w:sz w:val="24"/>
          <w:szCs w:val="24"/>
          <w:lang w:eastAsia="pl-PL"/>
        </w:rPr>
        <w:t xml:space="preserve">i miast na prawach powiatu </w:t>
      </w:r>
      <w:r w:rsidR="00D43669" w:rsidRPr="00237760">
        <w:rPr>
          <w:rFonts w:ascii="Arial" w:hAnsi="Arial" w:cs="Arial"/>
          <w:color w:val="auto"/>
          <w:sz w:val="24"/>
          <w:szCs w:val="24"/>
          <w:lang w:eastAsia="pl-PL"/>
        </w:rPr>
        <w:t>województwa podkarpackiego.</w:t>
      </w:r>
    </w:p>
    <w:p w14:paraId="27354C31" w14:textId="77777777" w:rsidR="003761C4" w:rsidRPr="00237760" w:rsidRDefault="00FA1C1D" w:rsidP="009367B4">
      <w:pPr>
        <w:jc w:val="left"/>
        <w:rPr>
          <w:rFonts w:ascii="Arial" w:hAnsi="Arial" w:cs="Arial"/>
          <w:bCs/>
          <w:color w:val="auto"/>
          <w:sz w:val="24"/>
          <w:szCs w:val="24"/>
          <w:lang w:eastAsia="pl-PL"/>
        </w:rPr>
      </w:pPr>
      <w:r w:rsidRPr="00237760">
        <w:rPr>
          <w:rFonts w:ascii="Arial" w:hAnsi="Arial" w:cs="Arial"/>
          <w:color w:val="auto"/>
          <w:sz w:val="24"/>
          <w:szCs w:val="24"/>
          <w:lang w:eastAsia="pl-PL"/>
        </w:rPr>
        <w:t>Analiza planów zrównoważonego rozwoju publicznego transportu zbiorowego dla wybranych powiatów i miast na prawach powiatu w</w:t>
      </w:r>
      <w:r w:rsidR="00F62405" w:rsidRPr="00237760">
        <w:rPr>
          <w:rFonts w:ascii="Arial" w:hAnsi="Arial" w:cs="Arial"/>
          <w:color w:val="auto"/>
          <w:sz w:val="24"/>
          <w:szCs w:val="24"/>
          <w:lang w:eastAsia="pl-PL"/>
        </w:rPr>
        <w:t>ykazał</w:t>
      </w:r>
      <w:r w:rsidR="00EB5D11" w:rsidRPr="00237760">
        <w:rPr>
          <w:rFonts w:ascii="Arial" w:hAnsi="Arial" w:cs="Arial"/>
          <w:color w:val="auto"/>
          <w:sz w:val="24"/>
          <w:szCs w:val="24"/>
          <w:lang w:eastAsia="pl-PL"/>
        </w:rPr>
        <w:t xml:space="preserve">a, iż niemalże wszystkie potrzeby </w:t>
      </w:r>
      <w:r w:rsidR="00FF74CA" w:rsidRPr="00237760">
        <w:rPr>
          <w:rFonts w:ascii="Arial" w:hAnsi="Arial" w:cs="Arial"/>
          <w:color w:val="auto"/>
          <w:sz w:val="24"/>
          <w:szCs w:val="24"/>
          <w:lang w:eastAsia="pl-PL"/>
        </w:rPr>
        <w:t>tych</w:t>
      </w:r>
      <w:r w:rsidR="00326A5D" w:rsidRPr="00237760">
        <w:rPr>
          <w:rFonts w:ascii="Arial" w:hAnsi="Arial" w:cs="Arial"/>
          <w:color w:val="auto"/>
          <w:sz w:val="24"/>
          <w:szCs w:val="24"/>
          <w:lang w:eastAsia="pl-PL"/>
        </w:rPr>
        <w:t xml:space="preserve"> </w:t>
      </w:r>
      <w:r w:rsidR="00FF74CA" w:rsidRPr="00237760">
        <w:rPr>
          <w:rFonts w:ascii="Arial" w:hAnsi="Arial" w:cs="Arial"/>
          <w:color w:val="auto"/>
          <w:sz w:val="24"/>
          <w:szCs w:val="24"/>
          <w:lang w:eastAsia="pl-PL"/>
        </w:rPr>
        <w:t>obszarów</w:t>
      </w:r>
      <w:r w:rsidR="00EB5D11" w:rsidRPr="00237760">
        <w:rPr>
          <w:rFonts w:ascii="Arial" w:hAnsi="Arial" w:cs="Arial"/>
          <w:color w:val="auto"/>
          <w:sz w:val="24"/>
          <w:szCs w:val="24"/>
          <w:lang w:eastAsia="pl-PL"/>
        </w:rPr>
        <w:t xml:space="preserve"> będą zaspokojone </w:t>
      </w:r>
      <w:r w:rsidR="00F869C0" w:rsidRPr="00237760">
        <w:rPr>
          <w:rFonts w:ascii="Arial" w:hAnsi="Arial" w:cs="Arial"/>
          <w:color w:val="auto"/>
          <w:sz w:val="24"/>
          <w:szCs w:val="24"/>
          <w:lang w:eastAsia="pl-PL"/>
        </w:rPr>
        <w:t>w wyniku realizacji</w:t>
      </w:r>
      <w:r w:rsidR="00EB5D11" w:rsidRPr="00237760">
        <w:rPr>
          <w:rFonts w:ascii="Arial" w:hAnsi="Arial" w:cs="Arial"/>
          <w:color w:val="auto"/>
          <w:sz w:val="24"/>
          <w:szCs w:val="24"/>
          <w:lang w:eastAsia="pl-PL"/>
        </w:rPr>
        <w:t xml:space="preserve"> PSRT WP. </w:t>
      </w:r>
      <w:r w:rsidR="00F62405" w:rsidRPr="00237760">
        <w:rPr>
          <w:rFonts w:ascii="Arial" w:hAnsi="Arial" w:cs="Arial"/>
          <w:color w:val="auto"/>
          <w:sz w:val="24"/>
          <w:szCs w:val="24"/>
          <w:lang w:eastAsia="pl-PL"/>
        </w:rPr>
        <w:t xml:space="preserve">Liczne czynniki wskazywały </w:t>
      </w:r>
      <w:r w:rsidR="00EB5D11" w:rsidRPr="00237760">
        <w:rPr>
          <w:rFonts w:ascii="Arial" w:hAnsi="Arial" w:cs="Arial"/>
          <w:color w:val="auto"/>
          <w:sz w:val="24"/>
          <w:szCs w:val="24"/>
          <w:lang w:eastAsia="pl-PL"/>
        </w:rPr>
        <w:t xml:space="preserve">na zły stan dróg, </w:t>
      </w:r>
      <w:r w:rsidR="00F62405" w:rsidRPr="00237760">
        <w:rPr>
          <w:rFonts w:ascii="Arial" w:hAnsi="Arial" w:cs="Arial"/>
          <w:color w:val="auto"/>
          <w:sz w:val="24"/>
          <w:szCs w:val="24"/>
          <w:lang w:eastAsia="pl-PL"/>
        </w:rPr>
        <w:t>niską jakość transportu zbiorowego, zły stan taboru</w:t>
      </w:r>
      <w:r w:rsidR="00B93E37" w:rsidRPr="00237760">
        <w:rPr>
          <w:rFonts w:ascii="Arial" w:hAnsi="Arial" w:cs="Arial"/>
          <w:color w:val="auto"/>
          <w:sz w:val="24"/>
          <w:szCs w:val="24"/>
          <w:lang w:eastAsia="pl-PL"/>
        </w:rPr>
        <w:t xml:space="preserve">, zmiany demograficzne czy dostosowanie </w:t>
      </w:r>
      <w:r w:rsidR="00001927" w:rsidRPr="00237760">
        <w:rPr>
          <w:rFonts w:ascii="Arial" w:hAnsi="Arial" w:cs="Arial"/>
          <w:color w:val="auto"/>
          <w:sz w:val="24"/>
          <w:szCs w:val="24"/>
          <w:lang w:eastAsia="pl-PL"/>
        </w:rPr>
        <w:t>infrastruktury do osób z niepełnosprawnościami</w:t>
      </w:r>
      <w:r w:rsidR="00F869C0" w:rsidRPr="00237760">
        <w:rPr>
          <w:rFonts w:ascii="Arial" w:hAnsi="Arial" w:cs="Arial"/>
          <w:color w:val="auto"/>
          <w:sz w:val="24"/>
          <w:szCs w:val="24"/>
          <w:lang w:eastAsia="pl-PL"/>
        </w:rPr>
        <w:t>.</w:t>
      </w:r>
      <w:r w:rsidR="00001927" w:rsidRPr="00237760">
        <w:rPr>
          <w:rFonts w:ascii="Arial" w:hAnsi="Arial" w:cs="Arial"/>
          <w:color w:val="auto"/>
          <w:sz w:val="24"/>
          <w:szCs w:val="24"/>
          <w:lang w:eastAsia="pl-PL"/>
        </w:rPr>
        <w:t xml:space="preserve"> </w:t>
      </w:r>
      <w:r w:rsidR="00F869C0" w:rsidRPr="00237760">
        <w:rPr>
          <w:rFonts w:ascii="Arial" w:hAnsi="Arial" w:cs="Arial"/>
          <w:color w:val="auto"/>
          <w:sz w:val="24"/>
          <w:szCs w:val="24"/>
          <w:lang w:eastAsia="pl-PL"/>
        </w:rPr>
        <w:t xml:space="preserve">Ze względu na charakter </w:t>
      </w:r>
      <w:r w:rsidR="00AB0C3A" w:rsidRPr="00237760">
        <w:rPr>
          <w:rFonts w:ascii="Arial" w:hAnsi="Arial" w:cs="Arial"/>
          <w:color w:val="auto"/>
          <w:sz w:val="24"/>
          <w:szCs w:val="24"/>
          <w:lang w:eastAsia="pl-PL"/>
        </w:rPr>
        <w:t xml:space="preserve">problemów regionu określonych w </w:t>
      </w:r>
      <w:r w:rsidR="00F869C0" w:rsidRPr="00237760">
        <w:rPr>
          <w:rFonts w:ascii="Arial" w:hAnsi="Arial" w:cs="Arial"/>
          <w:color w:val="auto"/>
          <w:sz w:val="24"/>
          <w:szCs w:val="24"/>
          <w:lang w:eastAsia="pl-PL"/>
        </w:rPr>
        <w:t>plan</w:t>
      </w:r>
      <w:r w:rsidR="00AB0C3A" w:rsidRPr="00237760">
        <w:rPr>
          <w:rFonts w:ascii="Arial" w:hAnsi="Arial" w:cs="Arial"/>
          <w:color w:val="auto"/>
          <w:sz w:val="24"/>
          <w:szCs w:val="24"/>
          <w:lang w:eastAsia="pl-PL"/>
        </w:rPr>
        <w:t xml:space="preserve">ach, </w:t>
      </w:r>
      <w:r w:rsidR="00F869C0" w:rsidRPr="00237760">
        <w:rPr>
          <w:rFonts w:ascii="Arial" w:hAnsi="Arial" w:cs="Arial"/>
          <w:color w:val="auto"/>
          <w:sz w:val="24"/>
          <w:szCs w:val="24"/>
          <w:lang w:eastAsia="pl-PL"/>
        </w:rPr>
        <w:t>s</w:t>
      </w:r>
      <w:r w:rsidR="00001927" w:rsidRPr="00237760">
        <w:rPr>
          <w:rFonts w:ascii="Arial" w:hAnsi="Arial" w:cs="Arial"/>
          <w:color w:val="auto"/>
          <w:sz w:val="24"/>
          <w:szCs w:val="24"/>
          <w:lang w:eastAsia="pl-PL"/>
        </w:rPr>
        <w:t xml:space="preserve">zczególnie </w:t>
      </w:r>
      <w:r w:rsidR="001A509C" w:rsidRPr="00237760">
        <w:rPr>
          <w:rFonts w:ascii="Arial" w:hAnsi="Arial" w:cs="Arial"/>
          <w:color w:val="auto"/>
          <w:sz w:val="24"/>
          <w:szCs w:val="24"/>
          <w:lang w:eastAsia="pl-PL"/>
        </w:rPr>
        <w:t>istotn</w:t>
      </w:r>
      <w:r w:rsidR="00AB0C3A" w:rsidRPr="00237760">
        <w:rPr>
          <w:rFonts w:ascii="Arial" w:hAnsi="Arial" w:cs="Arial"/>
          <w:color w:val="auto"/>
          <w:sz w:val="24"/>
          <w:szCs w:val="24"/>
          <w:lang w:eastAsia="pl-PL"/>
        </w:rPr>
        <w:t xml:space="preserve">a będzie realizacja </w:t>
      </w:r>
      <w:r w:rsidR="006C1E64" w:rsidRPr="00237760">
        <w:rPr>
          <w:rFonts w:ascii="Arial" w:hAnsi="Arial" w:cs="Arial"/>
          <w:color w:val="auto"/>
          <w:sz w:val="24"/>
          <w:szCs w:val="24"/>
          <w:lang w:eastAsia="pl-PL"/>
        </w:rPr>
        <w:t>C</w:t>
      </w:r>
      <w:r w:rsidR="00001927" w:rsidRPr="00237760">
        <w:rPr>
          <w:rFonts w:ascii="Arial" w:hAnsi="Arial" w:cs="Arial"/>
          <w:color w:val="auto"/>
          <w:sz w:val="24"/>
          <w:szCs w:val="24"/>
          <w:lang w:eastAsia="pl-PL"/>
        </w:rPr>
        <w:t>el</w:t>
      </w:r>
      <w:r w:rsidR="00AB0C3A" w:rsidRPr="00237760">
        <w:rPr>
          <w:rFonts w:ascii="Arial" w:hAnsi="Arial" w:cs="Arial"/>
          <w:color w:val="auto"/>
          <w:sz w:val="24"/>
          <w:szCs w:val="24"/>
          <w:lang w:eastAsia="pl-PL"/>
        </w:rPr>
        <w:t>u</w:t>
      </w:r>
      <w:r w:rsidR="00001927" w:rsidRPr="00237760">
        <w:rPr>
          <w:rFonts w:ascii="Arial" w:hAnsi="Arial" w:cs="Arial"/>
          <w:color w:val="auto"/>
          <w:sz w:val="24"/>
          <w:szCs w:val="24"/>
          <w:lang w:eastAsia="pl-PL"/>
        </w:rPr>
        <w:t xml:space="preserve"> horyzontaln</w:t>
      </w:r>
      <w:r w:rsidR="00AB0C3A" w:rsidRPr="00237760">
        <w:rPr>
          <w:rFonts w:ascii="Arial" w:hAnsi="Arial" w:cs="Arial"/>
          <w:color w:val="auto"/>
          <w:sz w:val="24"/>
          <w:szCs w:val="24"/>
          <w:lang w:eastAsia="pl-PL"/>
        </w:rPr>
        <w:t>ego</w:t>
      </w:r>
      <w:r w:rsidR="00001927" w:rsidRPr="00237760">
        <w:rPr>
          <w:rFonts w:ascii="Arial" w:hAnsi="Arial" w:cs="Arial"/>
          <w:color w:val="auto"/>
          <w:sz w:val="24"/>
          <w:szCs w:val="24"/>
          <w:lang w:eastAsia="pl-PL"/>
        </w:rPr>
        <w:t xml:space="preserve"> 3. Transport publiczny. Cele, które również odpowiadają na </w:t>
      </w:r>
      <w:r w:rsidR="00175F35" w:rsidRPr="00237760">
        <w:rPr>
          <w:rFonts w:ascii="Arial" w:hAnsi="Arial" w:cs="Arial"/>
          <w:color w:val="auto"/>
          <w:sz w:val="24"/>
          <w:szCs w:val="24"/>
          <w:lang w:eastAsia="pl-PL"/>
        </w:rPr>
        <w:t>wymienione</w:t>
      </w:r>
      <w:r w:rsidR="00001927" w:rsidRPr="00237760">
        <w:rPr>
          <w:rFonts w:ascii="Arial" w:hAnsi="Arial" w:cs="Arial"/>
          <w:color w:val="auto"/>
          <w:sz w:val="24"/>
          <w:szCs w:val="24"/>
          <w:lang w:eastAsia="pl-PL"/>
        </w:rPr>
        <w:t xml:space="preserve"> </w:t>
      </w:r>
      <w:r w:rsidR="000A1A49" w:rsidRPr="00237760">
        <w:rPr>
          <w:rFonts w:ascii="Arial" w:hAnsi="Arial" w:cs="Arial"/>
          <w:color w:val="auto"/>
          <w:sz w:val="24"/>
          <w:szCs w:val="24"/>
          <w:lang w:eastAsia="pl-PL"/>
        </w:rPr>
        <w:t xml:space="preserve">czynniki to wszystkie cele podstawowe oraz </w:t>
      </w:r>
      <w:r w:rsidR="006C1E64" w:rsidRPr="00237760">
        <w:rPr>
          <w:rFonts w:ascii="Arial" w:hAnsi="Arial" w:cs="Arial"/>
          <w:color w:val="auto"/>
          <w:sz w:val="24"/>
          <w:szCs w:val="24"/>
          <w:lang w:eastAsia="pl-PL"/>
        </w:rPr>
        <w:t>C</w:t>
      </w:r>
      <w:r w:rsidR="000A1A49" w:rsidRPr="00237760">
        <w:rPr>
          <w:rFonts w:ascii="Arial" w:hAnsi="Arial" w:cs="Arial"/>
          <w:color w:val="auto"/>
          <w:sz w:val="24"/>
          <w:szCs w:val="24"/>
          <w:lang w:eastAsia="pl-PL"/>
        </w:rPr>
        <w:t>el horyzontalny 1.</w:t>
      </w:r>
      <w:r w:rsidR="000A1A49" w:rsidRPr="00237760">
        <w:rPr>
          <w:rFonts w:ascii="Arial" w:hAnsi="Arial" w:cs="Arial"/>
          <w:b/>
          <w:color w:val="auto"/>
          <w:sz w:val="24"/>
          <w:szCs w:val="24"/>
          <w:lang w:eastAsia="pl-PL"/>
        </w:rPr>
        <w:t xml:space="preserve"> </w:t>
      </w:r>
      <w:r w:rsidR="000A1A49" w:rsidRPr="00237760">
        <w:rPr>
          <w:rFonts w:ascii="Arial" w:hAnsi="Arial" w:cs="Arial"/>
          <w:bCs/>
          <w:color w:val="auto"/>
          <w:sz w:val="24"/>
          <w:szCs w:val="24"/>
          <w:lang w:eastAsia="pl-PL"/>
        </w:rPr>
        <w:t>Ograniczenie negatywnego oddziaływania sektora transportu na klimat oraz na regionalne środowisko naturalne</w:t>
      </w:r>
      <w:r w:rsidR="003B7F8D" w:rsidRPr="00237760">
        <w:rPr>
          <w:rFonts w:ascii="Arial" w:hAnsi="Arial" w:cs="Arial"/>
          <w:bCs/>
          <w:color w:val="auto"/>
          <w:sz w:val="24"/>
          <w:szCs w:val="24"/>
          <w:lang w:eastAsia="pl-PL"/>
        </w:rPr>
        <w:t xml:space="preserve">. </w:t>
      </w:r>
      <w:r w:rsidR="00007392" w:rsidRPr="00237760">
        <w:rPr>
          <w:rFonts w:ascii="Arial" w:hAnsi="Arial" w:cs="Arial"/>
          <w:bCs/>
          <w:color w:val="auto"/>
          <w:sz w:val="24"/>
          <w:szCs w:val="24"/>
          <w:lang w:eastAsia="pl-PL"/>
        </w:rPr>
        <w:t>Pojawiły się również zagadnienia, na które Program nie odpowiada. Wynika to, w opinii ewaluatora, w znacznej mierze z lokalnych uwarunkowań i lokalnych potrzeb danego obszaru</w:t>
      </w:r>
      <w:r w:rsidR="004D48DF" w:rsidRPr="00237760">
        <w:rPr>
          <w:rFonts w:ascii="Arial" w:hAnsi="Arial" w:cs="Arial"/>
          <w:bCs/>
          <w:color w:val="auto"/>
          <w:sz w:val="24"/>
          <w:szCs w:val="24"/>
          <w:lang w:eastAsia="pl-PL"/>
        </w:rPr>
        <w:t xml:space="preserve"> (np. zlokalizowanie woonerfów czy dostosowanie komunikacji do planów zagospodarowania przestrzennego gmin</w:t>
      </w:r>
      <w:r w:rsidR="00F3608D" w:rsidRPr="00237760">
        <w:rPr>
          <w:rFonts w:ascii="Arial" w:hAnsi="Arial" w:cs="Arial"/>
          <w:bCs/>
          <w:color w:val="auto"/>
          <w:sz w:val="24"/>
          <w:szCs w:val="24"/>
          <w:lang w:eastAsia="pl-PL"/>
        </w:rPr>
        <w:t xml:space="preserve"> i</w:t>
      </w:r>
      <w:r w:rsidR="004D48DF" w:rsidRPr="00237760">
        <w:rPr>
          <w:rFonts w:ascii="Arial" w:hAnsi="Arial" w:cs="Arial"/>
          <w:bCs/>
          <w:color w:val="auto"/>
          <w:sz w:val="24"/>
          <w:szCs w:val="24"/>
          <w:lang w:eastAsia="pl-PL"/>
        </w:rPr>
        <w:t xml:space="preserve"> powiatów)</w:t>
      </w:r>
      <w:r w:rsidR="00356872" w:rsidRPr="00237760">
        <w:rPr>
          <w:rFonts w:ascii="Arial" w:hAnsi="Arial" w:cs="Arial"/>
          <w:bCs/>
          <w:color w:val="auto"/>
          <w:sz w:val="24"/>
          <w:szCs w:val="24"/>
          <w:lang w:eastAsia="pl-PL"/>
        </w:rPr>
        <w:t>, które swoją szczegółowością wykraczają poza charakter Programu.</w:t>
      </w:r>
      <w:r w:rsidR="004D48DF" w:rsidRPr="00237760">
        <w:rPr>
          <w:rFonts w:ascii="Arial" w:hAnsi="Arial" w:cs="Arial"/>
          <w:bCs/>
          <w:color w:val="auto"/>
          <w:sz w:val="24"/>
          <w:szCs w:val="24"/>
          <w:lang w:eastAsia="pl-PL"/>
        </w:rPr>
        <w:t xml:space="preserve"> </w:t>
      </w:r>
    </w:p>
    <w:p w14:paraId="16C2BC6A" w14:textId="71EC6981" w:rsidR="002A603D" w:rsidRPr="00237760" w:rsidRDefault="00AE67B1" w:rsidP="009367B4">
      <w:pPr>
        <w:jc w:val="left"/>
        <w:rPr>
          <w:rFonts w:ascii="Arial" w:hAnsi="Arial" w:cs="Arial"/>
          <w:color w:val="auto"/>
          <w:sz w:val="24"/>
          <w:szCs w:val="24"/>
        </w:rPr>
      </w:pPr>
      <w:r w:rsidRPr="00237760">
        <w:rPr>
          <w:rFonts w:ascii="Arial" w:hAnsi="Arial" w:cs="Arial"/>
          <w:color w:val="auto"/>
          <w:sz w:val="24"/>
          <w:szCs w:val="24"/>
          <w:lang w:eastAsia="pl-PL"/>
        </w:rPr>
        <w:t xml:space="preserve">Analiza </w:t>
      </w:r>
      <w:r w:rsidR="00555523" w:rsidRPr="00237760">
        <w:rPr>
          <w:rFonts w:ascii="Arial" w:hAnsi="Arial" w:cs="Arial"/>
          <w:color w:val="auto"/>
          <w:sz w:val="24"/>
          <w:szCs w:val="24"/>
          <w:lang w:eastAsia="pl-PL"/>
        </w:rPr>
        <w:t xml:space="preserve">słabości, szans i zagrożeń zapisanych w </w:t>
      </w:r>
      <w:r w:rsidR="00CD39CC" w:rsidRPr="00237760">
        <w:rPr>
          <w:rFonts w:ascii="Arial" w:hAnsi="Arial" w:cs="Arial"/>
          <w:color w:val="auto"/>
          <w:sz w:val="24"/>
          <w:szCs w:val="24"/>
          <w:lang w:eastAsia="pl-PL"/>
        </w:rPr>
        <w:t>strategi</w:t>
      </w:r>
      <w:r w:rsidR="00555523" w:rsidRPr="00237760">
        <w:rPr>
          <w:rFonts w:ascii="Arial" w:hAnsi="Arial" w:cs="Arial"/>
          <w:color w:val="auto"/>
          <w:sz w:val="24"/>
          <w:szCs w:val="24"/>
          <w:lang w:eastAsia="pl-PL"/>
        </w:rPr>
        <w:t>ach</w:t>
      </w:r>
      <w:r w:rsidR="00CD39CC" w:rsidRPr="00237760">
        <w:rPr>
          <w:rFonts w:ascii="Arial" w:hAnsi="Arial" w:cs="Arial"/>
          <w:color w:val="auto"/>
          <w:sz w:val="24"/>
          <w:szCs w:val="24"/>
          <w:lang w:eastAsia="pl-PL"/>
        </w:rPr>
        <w:t xml:space="preserve"> rozwoju gmin</w:t>
      </w:r>
      <w:r w:rsidR="00555523" w:rsidRPr="00237760">
        <w:rPr>
          <w:rFonts w:ascii="Arial" w:hAnsi="Arial" w:cs="Arial"/>
          <w:color w:val="auto"/>
          <w:sz w:val="24"/>
          <w:szCs w:val="24"/>
          <w:lang w:eastAsia="pl-PL"/>
        </w:rPr>
        <w:t xml:space="preserve"> </w:t>
      </w:r>
      <w:r w:rsidR="00C378D3">
        <w:rPr>
          <w:rFonts w:ascii="Arial" w:hAnsi="Arial" w:cs="Arial"/>
          <w:color w:val="auto"/>
          <w:sz w:val="24"/>
          <w:szCs w:val="24"/>
          <w:lang w:eastAsia="pl-PL"/>
        </w:rPr>
        <w:t>p</w:t>
      </w:r>
      <w:r w:rsidR="00555523" w:rsidRPr="00237760">
        <w:rPr>
          <w:rFonts w:ascii="Arial" w:hAnsi="Arial" w:cs="Arial"/>
          <w:color w:val="auto"/>
          <w:sz w:val="24"/>
          <w:szCs w:val="24"/>
          <w:lang w:eastAsia="pl-PL"/>
        </w:rPr>
        <w:t>ołożonych</w:t>
      </w:r>
      <w:r w:rsidR="001F5FF2" w:rsidRPr="00237760">
        <w:rPr>
          <w:rFonts w:ascii="Arial" w:hAnsi="Arial" w:cs="Arial"/>
          <w:color w:val="auto"/>
          <w:sz w:val="24"/>
          <w:szCs w:val="24"/>
          <w:lang w:eastAsia="pl-PL"/>
        </w:rPr>
        <w:t xml:space="preserve"> poza granicami MOF</w:t>
      </w:r>
      <w:r w:rsidR="00766D83" w:rsidRPr="00237760">
        <w:rPr>
          <w:rFonts w:ascii="Arial" w:hAnsi="Arial" w:cs="Arial"/>
          <w:color w:val="auto"/>
          <w:sz w:val="24"/>
          <w:szCs w:val="24"/>
          <w:lang w:eastAsia="pl-PL"/>
        </w:rPr>
        <w:t>-ów prowadzi do podobnych wniosków</w:t>
      </w:r>
      <w:r w:rsidR="002D7DD9" w:rsidRPr="00237760">
        <w:rPr>
          <w:rStyle w:val="Odwoanieprzypisudolnego"/>
          <w:rFonts w:ascii="Arial" w:hAnsi="Arial" w:cs="Arial"/>
          <w:color w:val="auto"/>
          <w:sz w:val="24"/>
          <w:szCs w:val="24"/>
          <w:lang w:eastAsia="pl-PL"/>
        </w:rPr>
        <w:footnoteReference w:id="12"/>
      </w:r>
      <w:r w:rsidR="00E823D3" w:rsidRPr="00237760">
        <w:rPr>
          <w:rFonts w:ascii="Arial" w:hAnsi="Arial" w:cs="Arial"/>
          <w:color w:val="auto"/>
          <w:sz w:val="24"/>
          <w:szCs w:val="24"/>
          <w:lang w:eastAsia="pl-PL"/>
        </w:rPr>
        <w:t xml:space="preserve">. </w:t>
      </w:r>
      <w:r w:rsidR="004106EF" w:rsidRPr="00237760">
        <w:rPr>
          <w:rFonts w:ascii="Arial" w:hAnsi="Arial" w:cs="Arial"/>
          <w:color w:val="auto"/>
          <w:sz w:val="24"/>
          <w:szCs w:val="24"/>
        </w:rPr>
        <w:t xml:space="preserve">W ramach 18 przeanalizowanych SWOT-ów </w:t>
      </w:r>
      <w:r w:rsidR="00AD6FA6" w:rsidRPr="00237760">
        <w:rPr>
          <w:rFonts w:ascii="Arial" w:hAnsi="Arial" w:cs="Arial"/>
          <w:color w:val="auto"/>
          <w:sz w:val="24"/>
          <w:szCs w:val="24"/>
        </w:rPr>
        <w:t>oceniono</w:t>
      </w:r>
      <w:r w:rsidR="00DC5F6D" w:rsidRPr="00237760">
        <w:rPr>
          <w:rFonts w:ascii="Arial" w:hAnsi="Arial" w:cs="Arial"/>
          <w:color w:val="auto"/>
          <w:sz w:val="24"/>
          <w:szCs w:val="24"/>
        </w:rPr>
        <w:t xml:space="preserve"> potencjalną </w:t>
      </w:r>
      <w:r w:rsidR="004106EF" w:rsidRPr="00237760">
        <w:rPr>
          <w:rFonts w:ascii="Arial" w:hAnsi="Arial" w:cs="Arial"/>
          <w:color w:val="auto"/>
          <w:sz w:val="24"/>
          <w:szCs w:val="24"/>
        </w:rPr>
        <w:t>realizację przez PSRT WP 1155 czynników (</w:t>
      </w:r>
      <w:r w:rsidR="000C2625" w:rsidRPr="00237760">
        <w:rPr>
          <w:rFonts w:ascii="Arial" w:hAnsi="Arial" w:cs="Arial"/>
          <w:color w:val="auto"/>
          <w:sz w:val="24"/>
          <w:szCs w:val="24"/>
        </w:rPr>
        <w:t xml:space="preserve">zapisanych w słabościach, szansach </w:t>
      </w:r>
      <w:r w:rsidR="00685DA2" w:rsidRPr="00237760">
        <w:rPr>
          <w:rFonts w:ascii="Arial" w:hAnsi="Arial" w:cs="Arial"/>
          <w:color w:val="auto"/>
          <w:sz w:val="24"/>
          <w:szCs w:val="24"/>
        </w:rPr>
        <w:br/>
      </w:r>
      <w:r w:rsidR="000C2625" w:rsidRPr="00237760">
        <w:rPr>
          <w:rFonts w:ascii="Arial" w:hAnsi="Arial" w:cs="Arial"/>
          <w:color w:val="auto"/>
          <w:sz w:val="24"/>
          <w:szCs w:val="24"/>
        </w:rPr>
        <w:t>i zagrożeniach)</w:t>
      </w:r>
      <w:r w:rsidR="00AD47A8" w:rsidRPr="00237760">
        <w:rPr>
          <w:rFonts w:ascii="Arial" w:hAnsi="Arial" w:cs="Arial"/>
          <w:color w:val="auto"/>
          <w:sz w:val="24"/>
          <w:szCs w:val="24"/>
        </w:rPr>
        <w:t xml:space="preserve"> (</w:t>
      </w:r>
      <w:r w:rsidR="006523C5" w:rsidRPr="00237760">
        <w:rPr>
          <w:rFonts w:ascii="Arial" w:hAnsi="Arial" w:cs="Arial"/>
          <w:color w:val="auto"/>
          <w:sz w:val="24"/>
          <w:szCs w:val="24"/>
        </w:rPr>
        <w:fldChar w:fldCharType="begin"/>
      </w:r>
      <w:r w:rsidR="006523C5" w:rsidRPr="00237760">
        <w:rPr>
          <w:rFonts w:ascii="Arial" w:hAnsi="Arial" w:cs="Arial"/>
          <w:color w:val="auto"/>
          <w:sz w:val="24"/>
          <w:szCs w:val="24"/>
        </w:rPr>
        <w:instrText xml:space="preserve"> REF _Ref100926420 \h </w:instrText>
      </w:r>
      <w:r w:rsidR="00237760" w:rsidRPr="00237760">
        <w:rPr>
          <w:rFonts w:ascii="Arial" w:hAnsi="Arial" w:cs="Arial"/>
          <w:color w:val="auto"/>
          <w:sz w:val="24"/>
          <w:szCs w:val="24"/>
        </w:rPr>
        <w:instrText xml:space="preserve"> \* MERGEFORMAT </w:instrText>
      </w:r>
      <w:r w:rsidR="006523C5" w:rsidRPr="00237760">
        <w:rPr>
          <w:rFonts w:ascii="Arial" w:hAnsi="Arial" w:cs="Arial"/>
          <w:color w:val="auto"/>
          <w:sz w:val="24"/>
          <w:szCs w:val="24"/>
        </w:rPr>
      </w:r>
      <w:r w:rsidR="006523C5" w:rsidRPr="00237760">
        <w:rPr>
          <w:rFonts w:ascii="Arial" w:hAnsi="Arial" w:cs="Arial"/>
          <w:color w:val="auto"/>
          <w:sz w:val="24"/>
          <w:szCs w:val="24"/>
        </w:rPr>
        <w:fldChar w:fldCharType="separate"/>
      </w:r>
      <w:r w:rsidR="00E52C19" w:rsidRPr="00237760">
        <w:rPr>
          <w:rFonts w:ascii="Arial" w:hAnsi="Arial" w:cs="Arial"/>
          <w:color w:val="auto"/>
          <w:sz w:val="24"/>
          <w:szCs w:val="24"/>
        </w:rPr>
        <w:t xml:space="preserve">Tabela </w:t>
      </w:r>
      <w:r w:rsidR="00E52C19" w:rsidRPr="00237760">
        <w:rPr>
          <w:rFonts w:ascii="Arial" w:hAnsi="Arial" w:cs="Arial"/>
          <w:noProof/>
          <w:color w:val="auto"/>
          <w:sz w:val="24"/>
          <w:szCs w:val="24"/>
        </w:rPr>
        <w:t>8</w:t>
      </w:r>
      <w:r w:rsidR="006523C5" w:rsidRPr="00237760">
        <w:rPr>
          <w:rFonts w:ascii="Arial" w:hAnsi="Arial" w:cs="Arial"/>
          <w:color w:val="auto"/>
          <w:sz w:val="24"/>
          <w:szCs w:val="24"/>
        </w:rPr>
        <w:fldChar w:fldCharType="end"/>
      </w:r>
      <w:r w:rsidR="00AD47A8" w:rsidRPr="00237760">
        <w:rPr>
          <w:rFonts w:ascii="Arial" w:hAnsi="Arial" w:cs="Arial"/>
          <w:color w:val="auto"/>
          <w:sz w:val="24"/>
          <w:szCs w:val="24"/>
        </w:rPr>
        <w:t>)</w:t>
      </w:r>
      <w:r w:rsidR="000C2625" w:rsidRPr="00237760">
        <w:rPr>
          <w:rFonts w:ascii="Arial" w:hAnsi="Arial" w:cs="Arial"/>
          <w:color w:val="auto"/>
          <w:sz w:val="24"/>
          <w:szCs w:val="24"/>
        </w:rPr>
        <w:t xml:space="preserve">. </w:t>
      </w:r>
      <w:r w:rsidR="004106EF" w:rsidRPr="00237760">
        <w:rPr>
          <w:rFonts w:ascii="Arial" w:hAnsi="Arial" w:cs="Arial"/>
          <w:color w:val="auto"/>
          <w:sz w:val="24"/>
          <w:szCs w:val="24"/>
        </w:rPr>
        <w:t>Jedynie jedna gmina nie wskazała</w:t>
      </w:r>
      <w:r w:rsidR="003441BD" w:rsidRPr="00237760">
        <w:rPr>
          <w:rFonts w:ascii="Arial" w:hAnsi="Arial" w:cs="Arial"/>
          <w:color w:val="auto"/>
          <w:sz w:val="24"/>
          <w:szCs w:val="24"/>
        </w:rPr>
        <w:t xml:space="preserve"> czynników </w:t>
      </w:r>
      <w:r w:rsidR="004106EF" w:rsidRPr="00237760">
        <w:rPr>
          <w:rFonts w:ascii="Arial" w:hAnsi="Arial" w:cs="Arial"/>
          <w:color w:val="auto"/>
          <w:sz w:val="24"/>
          <w:szCs w:val="24"/>
        </w:rPr>
        <w:t xml:space="preserve">związanych z rozwojem transportu. </w:t>
      </w:r>
      <w:r w:rsidR="00B809A7" w:rsidRPr="00237760">
        <w:rPr>
          <w:rFonts w:ascii="Arial" w:hAnsi="Arial" w:cs="Arial"/>
          <w:color w:val="auto"/>
          <w:sz w:val="24"/>
          <w:szCs w:val="24"/>
        </w:rPr>
        <w:t>Generalnie</w:t>
      </w:r>
      <w:r w:rsidR="00947B80" w:rsidRPr="00237760">
        <w:rPr>
          <w:rFonts w:ascii="Arial" w:hAnsi="Arial" w:cs="Arial"/>
          <w:color w:val="auto"/>
          <w:sz w:val="24"/>
          <w:szCs w:val="24"/>
        </w:rPr>
        <w:t xml:space="preserve"> w</w:t>
      </w:r>
      <w:r w:rsidR="00AD08FC" w:rsidRPr="00237760">
        <w:rPr>
          <w:rFonts w:ascii="Arial" w:hAnsi="Arial" w:cs="Arial"/>
          <w:color w:val="auto"/>
          <w:sz w:val="24"/>
          <w:szCs w:val="24"/>
        </w:rPr>
        <w:t xml:space="preserve"> analizowanych strategiach ok. 10% czynników dotyczy zagadnień transportowych. </w:t>
      </w:r>
      <w:r w:rsidR="004106EF" w:rsidRPr="00237760">
        <w:rPr>
          <w:rFonts w:ascii="Arial" w:hAnsi="Arial" w:cs="Arial"/>
          <w:color w:val="auto"/>
          <w:sz w:val="24"/>
          <w:szCs w:val="24"/>
        </w:rPr>
        <w:t>Świadczy to o powszechnym uznaniu tematu dostępności transportowej jako istotnego czynnika rozwojowego</w:t>
      </w:r>
      <w:r w:rsidR="00BA56C8" w:rsidRPr="00237760">
        <w:rPr>
          <w:rFonts w:ascii="Arial" w:hAnsi="Arial" w:cs="Arial"/>
          <w:color w:val="auto"/>
          <w:sz w:val="24"/>
          <w:szCs w:val="24"/>
        </w:rPr>
        <w:t xml:space="preserve"> regionu.</w:t>
      </w:r>
    </w:p>
    <w:p w14:paraId="6C446AE8" w14:textId="1564D6B2" w:rsidR="002A603D" w:rsidRPr="00237760" w:rsidRDefault="002A603D" w:rsidP="009367B4">
      <w:pPr>
        <w:jc w:val="left"/>
        <w:rPr>
          <w:rFonts w:ascii="Arial" w:hAnsi="Arial" w:cs="Arial"/>
          <w:color w:val="auto"/>
          <w:sz w:val="24"/>
          <w:szCs w:val="24"/>
        </w:rPr>
      </w:pPr>
      <w:r w:rsidRPr="00237760">
        <w:rPr>
          <w:rFonts w:ascii="Arial" w:hAnsi="Arial" w:cs="Arial"/>
          <w:color w:val="auto"/>
          <w:sz w:val="24"/>
          <w:szCs w:val="24"/>
        </w:rPr>
        <w:t xml:space="preserve">Z </w:t>
      </w:r>
      <w:r w:rsidR="00BA56C8" w:rsidRPr="00237760">
        <w:rPr>
          <w:rFonts w:ascii="Arial" w:hAnsi="Arial" w:cs="Arial"/>
          <w:color w:val="auto"/>
          <w:sz w:val="24"/>
          <w:szCs w:val="24"/>
        </w:rPr>
        <w:t xml:space="preserve">przeprowadzonej </w:t>
      </w:r>
      <w:r w:rsidRPr="00237760">
        <w:rPr>
          <w:rFonts w:ascii="Arial" w:hAnsi="Arial" w:cs="Arial"/>
          <w:color w:val="auto"/>
          <w:sz w:val="24"/>
          <w:szCs w:val="24"/>
        </w:rPr>
        <w:t>analizy wynika, że:</w:t>
      </w:r>
    </w:p>
    <w:p w14:paraId="6404C186" w14:textId="737EBB64" w:rsidR="008D7C41" w:rsidRPr="00237760" w:rsidRDefault="00B809A7" w:rsidP="009367B4">
      <w:pPr>
        <w:pStyle w:val="Akapitzlist"/>
        <w:numPr>
          <w:ilvl w:val="0"/>
          <w:numId w:val="15"/>
        </w:numPr>
        <w:ind w:left="425" w:hanging="357"/>
        <w:contextualSpacing/>
        <w:jc w:val="left"/>
        <w:rPr>
          <w:rFonts w:ascii="Arial" w:hAnsi="Arial" w:cs="Arial"/>
          <w:color w:val="auto"/>
          <w:sz w:val="24"/>
          <w:szCs w:val="24"/>
        </w:rPr>
      </w:pPr>
      <w:r w:rsidRPr="00237760">
        <w:rPr>
          <w:rFonts w:ascii="Arial" w:hAnsi="Arial" w:cs="Arial"/>
          <w:color w:val="auto"/>
          <w:sz w:val="24"/>
          <w:szCs w:val="24"/>
        </w:rPr>
        <w:t>N</w:t>
      </w:r>
      <w:r w:rsidR="008D7C41" w:rsidRPr="00237760">
        <w:rPr>
          <w:rFonts w:ascii="Arial" w:hAnsi="Arial" w:cs="Arial"/>
          <w:color w:val="auto"/>
          <w:sz w:val="24"/>
          <w:szCs w:val="24"/>
        </w:rPr>
        <w:t xml:space="preserve">ajważniejszym, bo podnoszonym w niemal połowie przypadków (48%) tematem transportowym jest rozwój infrastruktury (głównie dróg, chodników, jak i ścieżek rowerowych), </w:t>
      </w:r>
      <w:r w:rsidR="0010055D" w:rsidRPr="00237760">
        <w:rPr>
          <w:rFonts w:ascii="Arial" w:hAnsi="Arial" w:cs="Arial"/>
          <w:color w:val="auto"/>
          <w:sz w:val="24"/>
          <w:szCs w:val="24"/>
        </w:rPr>
        <w:t xml:space="preserve">a </w:t>
      </w:r>
      <w:r w:rsidR="008738FF" w:rsidRPr="00237760">
        <w:rPr>
          <w:rFonts w:ascii="Arial" w:hAnsi="Arial" w:cs="Arial"/>
          <w:color w:val="auto"/>
          <w:sz w:val="24"/>
          <w:szCs w:val="24"/>
        </w:rPr>
        <w:t>najczęściej</w:t>
      </w:r>
      <w:r w:rsidR="008D7C41" w:rsidRPr="00237760">
        <w:rPr>
          <w:rFonts w:ascii="Arial" w:hAnsi="Arial" w:cs="Arial"/>
          <w:color w:val="auto"/>
          <w:sz w:val="24"/>
          <w:szCs w:val="24"/>
        </w:rPr>
        <w:t xml:space="preserve"> wskazywany jest niewystarczający jej rozwój</w:t>
      </w:r>
      <w:r w:rsidRPr="00237760">
        <w:rPr>
          <w:rFonts w:ascii="Arial" w:hAnsi="Arial" w:cs="Arial"/>
          <w:color w:val="auto"/>
          <w:sz w:val="24"/>
          <w:szCs w:val="24"/>
        </w:rPr>
        <w:t>.</w:t>
      </w:r>
    </w:p>
    <w:p w14:paraId="3A2C0DB1" w14:textId="44835AC1" w:rsidR="008F791F" w:rsidRPr="00237760" w:rsidRDefault="00B809A7" w:rsidP="009367B4">
      <w:pPr>
        <w:pStyle w:val="Akapitzlist"/>
        <w:numPr>
          <w:ilvl w:val="0"/>
          <w:numId w:val="15"/>
        </w:numPr>
        <w:ind w:left="425" w:hanging="357"/>
        <w:contextualSpacing/>
        <w:jc w:val="left"/>
        <w:rPr>
          <w:rFonts w:ascii="Arial" w:hAnsi="Arial" w:cs="Arial"/>
          <w:color w:val="auto"/>
          <w:sz w:val="24"/>
          <w:szCs w:val="24"/>
        </w:rPr>
      </w:pPr>
      <w:r w:rsidRPr="00237760">
        <w:rPr>
          <w:rFonts w:ascii="Arial" w:hAnsi="Arial" w:cs="Arial"/>
          <w:color w:val="auto"/>
          <w:sz w:val="24"/>
          <w:szCs w:val="24"/>
        </w:rPr>
        <w:t>G</w:t>
      </w:r>
      <w:r w:rsidR="008D7C41" w:rsidRPr="00237760">
        <w:rPr>
          <w:rFonts w:ascii="Arial" w:hAnsi="Arial" w:cs="Arial"/>
          <w:color w:val="auto"/>
          <w:sz w:val="24"/>
          <w:szCs w:val="24"/>
        </w:rPr>
        <w:t>miny widzą duży potencjał w wykorzystaniu środków zewnętrznych, przede wszystki</w:t>
      </w:r>
      <w:r w:rsidR="008738FF" w:rsidRPr="00237760">
        <w:rPr>
          <w:rFonts w:ascii="Arial" w:hAnsi="Arial" w:cs="Arial"/>
          <w:color w:val="auto"/>
          <w:sz w:val="24"/>
          <w:szCs w:val="24"/>
        </w:rPr>
        <w:t>m</w:t>
      </w:r>
      <w:r w:rsidR="008D7C41" w:rsidRPr="00237760">
        <w:rPr>
          <w:rFonts w:ascii="Arial" w:hAnsi="Arial" w:cs="Arial"/>
          <w:color w:val="auto"/>
          <w:sz w:val="24"/>
          <w:szCs w:val="24"/>
        </w:rPr>
        <w:t xml:space="preserve"> funduszy unijnych (kwestia </w:t>
      </w:r>
      <w:r w:rsidR="0010055D" w:rsidRPr="00237760">
        <w:rPr>
          <w:rFonts w:ascii="Arial" w:hAnsi="Arial" w:cs="Arial"/>
          <w:color w:val="auto"/>
          <w:sz w:val="24"/>
          <w:szCs w:val="24"/>
        </w:rPr>
        <w:t xml:space="preserve">ta </w:t>
      </w:r>
      <w:r w:rsidR="008D7C41" w:rsidRPr="00237760">
        <w:rPr>
          <w:rFonts w:ascii="Arial" w:hAnsi="Arial" w:cs="Arial"/>
          <w:color w:val="auto"/>
          <w:sz w:val="24"/>
          <w:szCs w:val="24"/>
        </w:rPr>
        <w:t xml:space="preserve">poruszona </w:t>
      </w:r>
      <w:r w:rsidR="0010055D" w:rsidRPr="00237760">
        <w:rPr>
          <w:rFonts w:ascii="Arial" w:hAnsi="Arial" w:cs="Arial"/>
          <w:color w:val="auto"/>
          <w:sz w:val="24"/>
          <w:szCs w:val="24"/>
        </w:rPr>
        <w:t xml:space="preserve">jest </w:t>
      </w:r>
      <w:r w:rsidR="008D7C41" w:rsidRPr="00237760">
        <w:rPr>
          <w:rFonts w:ascii="Arial" w:hAnsi="Arial" w:cs="Arial"/>
          <w:color w:val="auto"/>
          <w:sz w:val="24"/>
          <w:szCs w:val="24"/>
        </w:rPr>
        <w:t>w 15% czynników transportowych)</w:t>
      </w:r>
      <w:r w:rsidRPr="00237760">
        <w:rPr>
          <w:rFonts w:ascii="Arial" w:hAnsi="Arial" w:cs="Arial"/>
          <w:color w:val="auto"/>
          <w:sz w:val="24"/>
          <w:szCs w:val="24"/>
        </w:rPr>
        <w:t>.</w:t>
      </w:r>
    </w:p>
    <w:p w14:paraId="5030EE48" w14:textId="5D297B6C" w:rsidR="00535167" w:rsidRPr="00237760" w:rsidRDefault="00B809A7" w:rsidP="009367B4">
      <w:pPr>
        <w:pStyle w:val="Akapitzlist"/>
        <w:numPr>
          <w:ilvl w:val="0"/>
          <w:numId w:val="15"/>
        </w:numPr>
        <w:ind w:left="425" w:hanging="357"/>
        <w:contextualSpacing/>
        <w:jc w:val="left"/>
        <w:rPr>
          <w:rFonts w:ascii="Arial" w:hAnsi="Arial" w:cs="Arial"/>
          <w:color w:val="auto"/>
          <w:sz w:val="24"/>
          <w:szCs w:val="24"/>
        </w:rPr>
      </w:pPr>
      <w:r w:rsidRPr="00237760">
        <w:rPr>
          <w:rFonts w:ascii="Arial" w:hAnsi="Arial" w:cs="Arial"/>
          <w:color w:val="auto"/>
          <w:sz w:val="24"/>
          <w:szCs w:val="24"/>
        </w:rPr>
        <w:lastRenderedPageBreak/>
        <w:t>Wa</w:t>
      </w:r>
      <w:r w:rsidR="00535167" w:rsidRPr="00237760">
        <w:rPr>
          <w:rFonts w:ascii="Arial" w:hAnsi="Arial" w:cs="Arial"/>
          <w:color w:val="auto"/>
          <w:sz w:val="24"/>
          <w:szCs w:val="24"/>
        </w:rPr>
        <w:t>żnym (stanowiącym 10% czynników) tematem jest rozwój transportu związanego z turystyką</w:t>
      </w:r>
      <w:r w:rsidRPr="00237760">
        <w:rPr>
          <w:rFonts w:ascii="Arial" w:hAnsi="Arial" w:cs="Arial"/>
          <w:color w:val="auto"/>
          <w:sz w:val="24"/>
          <w:szCs w:val="24"/>
        </w:rPr>
        <w:t>.</w:t>
      </w:r>
    </w:p>
    <w:p w14:paraId="7DDDD17A" w14:textId="483B6BDF" w:rsidR="008F791F" w:rsidRPr="00237760" w:rsidRDefault="00B809A7" w:rsidP="009367B4">
      <w:pPr>
        <w:pStyle w:val="Akapitzlist"/>
        <w:numPr>
          <w:ilvl w:val="0"/>
          <w:numId w:val="15"/>
        </w:numPr>
        <w:ind w:left="425" w:hanging="357"/>
        <w:contextualSpacing/>
        <w:jc w:val="left"/>
        <w:rPr>
          <w:rFonts w:ascii="Arial" w:hAnsi="Arial" w:cs="Arial"/>
          <w:color w:val="auto"/>
          <w:sz w:val="24"/>
          <w:szCs w:val="24"/>
        </w:rPr>
      </w:pPr>
      <w:r w:rsidRPr="00237760">
        <w:rPr>
          <w:rFonts w:ascii="Arial" w:hAnsi="Arial" w:cs="Arial"/>
          <w:color w:val="auto"/>
          <w:sz w:val="24"/>
          <w:szCs w:val="24"/>
        </w:rPr>
        <w:t>N</w:t>
      </w:r>
      <w:r w:rsidR="00535167" w:rsidRPr="00237760">
        <w:rPr>
          <w:rFonts w:ascii="Arial" w:hAnsi="Arial" w:cs="Arial"/>
          <w:color w:val="auto"/>
          <w:sz w:val="24"/>
          <w:szCs w:val="24"/>
        </w:rPr>
        <w:t>iewielką uwagę przykłada się do problematyki transportu zbiorowego (4% czynników transportowych), przy czym skupiono się jedynie na problemach</w:t>
      </w:r>
      <w:r w:rsidR="003B7465" w:rsidRPr="00237760">
        <w:rPr>
          <w:rFonts w:ascii="Arial" w:hAnsi="Arial" w:cs="Arial"/>
          <w:color w:val="auto"/>
          <w:sz w:val="24"/>
          <w:szCs w:val="24"/>
        </w:rPr>
        <w:t xml:space="preserve"> związanych z rozwojem tej formy transportu</w:t>
      </w:r>
      <w:r w:rsidR="00535167" w:rsidRPr="00237760">
        <w:rPr>
          <w:rFonts w:ascii="Arial" w:hAnsi="Arial" w:cs="Arial"/>
          <w:color w:val="auto"/>
          <w:sz w:val="24"/>
          <w:szCs w:val="24"/>
        </w:rPr>
        <w:t>.</w:t>
      </w:r>
    </w:p>
    <w:p w14:paraId="378456A7" w14:textId="30C3E0C6" w:rsidR="004106EF" w:rsidRPr="00237760" w:rsidRDefault="004106EF" w:rsidP="009367B4">
      <w:pPr>
        <w:jc w:val="left"/>
        <w:rPr>
          <w:rFonts w:ascii="Arial" w:hAnsi="Arial" w:cs="Arial"/>
          <w:color w:val="auto"/>
          <w:sz w:val="24"/>
          <w:szCs w:val="24"/>
        </w:rPr>
      </w:pPr>
      <w:r w:rsidRPr="00237760">
        <w:rPr>
          <w:rFonts w:ascii="Arial" w:hAnsi="Arial" w:cs="Arial"/>
          <w:color w:val="auto"/>
          <w:sz w:val="24"/>
          <w:szCs w:val="24"/>
        </w:rPr>
        <w:t xml:space="preserve">Do wszystkich </w:t>
      </w:r>
      <w:r w:rsidR="001E4581" w:rsidRPr="00237760">
        <w:rPr>
          <w:rFonts w:ascii="Arial" w:hAnsi="Arial" w:cs="Arial"/>
          <w:color w:val="auto"/>
          <w:sz w:val="24"/>
          <w:szCs w:val="24"/>
        </w:rPr>
        <w:t xml:space="preserve">analizowanych </w:t>
      </w:r>
      <w:r w:rsidRPr="00237760">
        <w:rPr>
          <w:rFonts w:ascii="Arial" w:hAnsi="Arial" w:cs="Arial"/>
          <w:color w:val="auto"/>
          <w:sz w:val="24"/>
          <w:szCs w:val="24"/>
        </w:rPr>
        <w:t>czynników</w:t>
      </w:r>
      <w:r w:rsidR="001E4581" w:rsidRPr="00237760">
        <w:rPr>
          <w:rFonts w:ascii="Arial" w:hAnsi="Arial" w:cs="Arial"/>
          <w:color w:val="auto"/>
          <w:sz w:val="24"/>
          <w:szCs w:val="24"/>
        </w:rPr>
        <w:t xml:space="preserve"> dotyczących transportu</w:t>
      </w:r>
      <w:r w:rsidR="00D26A59" w:rsidRPr="00237760">
        <w:rPr>
          <w:rFonts w:ascii="Arial" w:hAnsi="Arial" w:cs="Arial"/>
          <w:color w:val="auto"/>
          <w:sz w:val="24"/>
          <w:szCs w:val="24"/>
        </w:rPr>
        <w:t>, które zostały wskazane w</w:t>
      </w:r>
      <w:r w:rsidR="001E4581" w:rsidRPr="00237760">
        <w:rPr>
          <w:rFonts w:ascii="Arial" w:hAnsi="Arial" w:cs="Arial"/>
          <w:color w:val="auto"/>
          <w:sz w:val="24"/>
          <w:szCs w:val="24"/>
        </w:rPr>
        <w:t xml:space="preserve"> </w:t>
      </w:r>
      <w:r w:rsidR="005233B3" w:rsidRPr="00237760">
        <w:rPr>
          <w:rFonts w:ascii="Arial" w:hAnsi="Arial" w:cs="Arial"/>
          <w:color w:val="auto"/>
          <w:sz w:val="24"/>
          <w:szCs w:val="24"/>
        </w:rPr>
        <w:t>strategi</w:t>
      </w:r>
      <w:r w:rsidR="00D26A59" w:rsidRPr="00237760">
        <w:rPr>
          <w:rFonts w:ascii="Arial" w:hAnsi="Arial" w:cs="Arial"/>
          <w:color w:val="auto"/>
          <w:sz w:val="24"/>
          <w:szCs w:val="24"/>
        </w:rPr>
        <w:t xml:space="preserve">ach </w:t>
      </w:r>
      <w:r w:rsidR="005233B3" w:rsidRPr="00237760">
        <w:rPr>
          <w:rFonts w:ascii="Arial" w:hAnsi="Arial" w:cs="Arial"/>
          <w:color w:val="auto"/>
          <w:sz w:val="24"/>
          <w:szCs w:val="24"/>
        </w:rPr>
        <w:t>gminnych</w:t>
      </w:r>
      <w:r w:rsidR="004D21BB" w:rsidRPr="00237760">
        <w:rPr>
          <w:rFonts w:ascii="Arial" w:hAnsi="Arial" w:cs="Arial"/>
          <w:color w:val="auto"/>
          <w:sz w:val="24"/>
          <w:szCs w:val="24"/>
        </w:rPr>
        <w:t xml:space="preserve"> można przypisać działania </w:t>
      </w:r>
      <w:r w:rsidRPr="00237760">
        <w:rPr>
          <w:rFonts w:ascii="Arial" w:hAnsi="Arial" w:cs="Arial"/>
          <w:color w:val="auto"/>
          <w:sz w:val="24"/>
          <w:szCs w:val="24"/>
        </w:rPr>
        <w:t xml:space="preserve">PSRT WP. Na ok. 87% z nich </w:t>
      </w:r>
      <w:r w:rsidR="00E820C9" w:rsidRPr="00237760">
        <w:rPr>
          <w:rFonts w:ascii="Arial" w:hAnsi="Arial" w:cs="Arial"/>
          <w:color w:val="auto"/>
          <w:sz w:val="24"/>
          <w:szCs w:val="24"/>
        </w:rPr>
        <w:t>założenia programu stanowią</w:t>
      </w:r>
      <w:r w:rsidRPr="00237760">
        <w:rPr>
          <w:rFonts w:ascii="Arial" w:hAnsi="Arial" w:cs="Arial"/>
          <w:color w:val="auto"/>
          <w:sz w:val="24"/>
          <w:szCs w:val="24"/>
        </w:rPr>
        <w:t xml:space="preserve"> co najmniej częściow</w:t>
      </w:r>
      <w:r w:rsidR="00E820C9" w:rsidRPr="00237760">
        <w:rPr>
          <w:rFonts w:ascii="Arial" w:hAnsi="Arial" w:cs="Arial"/>
          <w:color w:val="auto"/>
          <w:sz w:val="24"/>
          <w:szCs w:val="24"/>
        </w:rPr>
        <w:t>ą</w:t>
      </w:r>
      <w:r w:rsidRPr="00237760">
        <w:rPr>
          <w:rFonts w:ascii="Arial" w:hAnsi="Arial" w:cs="Arial"/>
          <w:color w:val="auto"/>
          <w:sz w:val="24"/>
          <w:szCs w:val="24"/>
        </w:rPr>
        <w:t xml:space="preserve"> (</w:t>
      </w:r>
      <w:r w:rsidR="006A0562" w:rsidRPr="00237760">
        <w:rPr>
          <w:rFonts w:ascii="Arial" w:hAnsi="Arial" w:cs="Arial"/>
          <w:color w:val="auto"/>
          <w:sz w:val="24"/>
          <w:szCs w:val="24"/>
        </w:rPr>
        <w:t xml:space="preserve">gdy cele </w:t>
      </w:r>
      <w:r w:rsidR="00422D52" w:rsidRPr="00237760">
        <w:rPr>
          <w:rFonts w:ascii="Arial" w:hAnsi="Arial" w:cs="Arial"/>
          <w:color w:val="auto"/>
          <w:sz w:val="24"/>
          <w:szCs w:val="24"/>
        </w:rPr>
        <w:t xml:space="preserve">PSRT WP </w:t>
      </w:r>
      <w:r w:rsidR="006A0562" w:rsidRPr="00237760">
        <w:rPr>
          <w:rFonts w:ascii="Arial" w:hAnsi="Arial" w:cs="Arial"/>
          <w:color w:val="auto"/>
          <w:sz w:val="24"/>
          <w:szCs w:val="24"/>
        </w:rPr>
        <w:t xml:space="preserve">odnoszą się do fragmentów </w:t>
      </w:r>
      <w:r w:rsidR="0090678E" w:rsidRPr="00237760">
        <w:rPr>
          <w:rFonts w:ascii="Arial" w:hAnsi="Arial" w:cs="Arial"/>
          <w:color w:val="auto"/>
          <w:sz w:val="24"/>
          <w:szCs w:val="24"/>
        </w:rPr>
        <w:t>– bardziej złożonych</w:t>
      </w:r>
      <w:r w:rsidR="006A0562" w:rsidRPr="00237760">
        <w:rPr>
          <w:rFonts w:ascii="Arial" w:hAnsi="Arial" w:cs="Arial"/>
          <w:color w:val="auto"/>
          <w:sz w:val="24"/>
          <w:szCs w:val="24"/>
        </w:rPr>
        <w:t xml:space="preserve"> </w:t>
      </w:r>
      <w:r w:rsidR="002A5ECC" w:rsidRPr="00237760">
        <w:rPr>
          <w:rFonts w:ascii="Arial" w:hAnsi="Arial" w:cs="Arial"/>
          <w:color w:val="auto"/>
          <w:sz w:val="24"/>
          <w:szCs w:val="24"/>
        </w:rPr>
        <w:t xml:space="preserve">– czynników </w:t>
      </w:r>
      <w:r w:rsidR="006A0C60" w:rsidRPr="00237760">
        <w:rPr>
          <w:rFonts w:ascii="Arial" w:hAnsi="Arial" w:cs="Arial"/>
          <w:color w:val="auto"/>
          <w:sz w:val="24"/>
          <w:szCs w:val="24"/>
        </w:rPr>
        <w:t>zapisanych w analizie SWOT</w:t>
      </w:r>
      <w:r w:rsidR="002A5ECC" w:rsidRPr="00237760">
        <w:rPr>
          <w:rFonts w:ascii="Arial" w:hAnsi="Arial" w:cs="Arial"/>
          <w:color w:val="auto"/>
          <w:sz w:val="24"/>
          <w:szCs w:val="24"/>
        </w:rPr>
        <w:t>)</w:t>
      </w:r>
      <w:r w:rsidR="006A0C60" w:rsidRPr="00237760">
        <w:rPr>
          <w:rFonts w:ascii="Arial" w:hAnsi="Arial" w:cs="Arial"/>
          <w:color w:val="auto"/>
          <w:sz w:val="24"/>
          <w:szCs w:val="24"/>
        </w:rPr>
        <w:t xml:space="preserve"> </w:t>
      </w:r>
      <w:r w:rsidRPr="00237760">
        <w:rPr>
          <w:rFonts w:ascii="Arial" w:hAnsi="Arial" w:cs="Arial"/>
          <w:color w:val="auto"/>
          <w:sz w:val="24"/>
          <w:szCs w:val="24"/>
        </w:rPr>
        <w:t xml:space="preserve">lub </w:t>
      </w:r>
      <w:r w:rsidR="002A0D5D" w:rsidRPr="00237760">
        <w:rPr>
          <w:rFonts w:ascii="Arial" w:hAnsi="Arial" w:cs="Arial"/>
          <w:color w:val="auto"/>
          <w:sz w:val="24"/>
          <w:szCs w:val="24"/>
        </w:rPr>
        <w:t>potencjalną</w:t>
      </w:r>
      <w:r w:rsidR="002A5ECC" w:rsidRPr="00237760">
        <w:rPr>
          <w:rFonts w:ascii="Arial" w:hAnsi="Arial" w:cs="Arial"/>
          <w:color w:val="auto"/>
          <w:sz w:val="24"/>
          <w:szCs w:val="24"/>
        </w:rPr>
        <w:t xml:space="preserve"> </w:t>
      </w:r>
      <w:r w:rsidR="00B61298" w:rsidRPr="00237760">
        <w:rPr>
          <w:rFonts w:ascii="Arial" w:hAnsi="Arial" w:cs="Arial"/>
          <w:color w:val="auto"/>
          <w:sz w:val="24"/>
          <w:szCs w:val="24"/>
        </w:rPr>
        <w:t>odpowiedź</w:t>
      </w:r>
      <w:r w:rsidR="002A5ECC" w:rsidRPr="00237760">
        <w:rPr>
          <w:rFonts w:ascii="Arial" w:hAnsi="Arial" w:cs="Arial"/>
          <w:color w:val="auto"/>
          <w:sz w:val="24"/>
          <w:szCs w:val="24"/>
        </w:rPr>
        <w:t xml:space="preserve"> (gdy</w:t>
      </w:r>
      <w:r w:rsidRPr="00237760">
        <w:rPr>
          <w:rFonts w:ascii="Arial" w:hAnsi="Arial" w:cs="Arial"/>
          <w:color w:val="auto"/>
          <w:sz w:val="24"/>
          <w:szCs w:val="24"/>
        </w:rPr>
        <w:t xml:space="preserve"> </w:t>
      </w:r>
      <w:r w:rsidR="003A3A3E" w:rsidRPr="00237760">
        <w:rPr>
          <w:rFonts w:ascii="Arial" w:hAnsi="Arial" w:cs="Arial"/>
          <w:color w:val="auto"/>
          <w:sz w:val="24"/>
          <w:szCs w:val="24"/>
        </w:rPr>
        <w:t xml:space="preserve">poziom ogólności </w:t>
      </w:r>
      <w:r w:rsidR="00170FCC" w:rsidRPr="00237760">
        <w:rPr>
          <w:rFonts w:ascii="Arial" w:hAnsi="Arial" w:cs="Arial"/>
          <w:color w:val="auto"/>
          <w:sz w:val="24"/>
          <w:szCs w:val="24"/>
        </w:rPr>
        <w:t>zapis</w:t>
      </w:r>
      <w:r w:rsidR="003A3A3E" w:rsidRPr="00237760">
        <w:rPr>
          <w:rFonts w:ascii="Arial" w:hAnsi="Arial" w:cs="Arial"/>
          <w:color w:val="auto"/>
          <w:sz w:val="24"/>
          <w:szCs w:val="24"/>
        </w:rPr>
        <w:t>ów</w:t>
      </w:r>
      <w:r w:rsidR="00170FCC" w:rsidRPr="00237760">
        <w:rPr>
          <w:rFonts w:ascii="Arial" w:hAnsi="Arial" w:cs="Arial"/>
          <w:color w:val="auto"/>
          <w:sz w:val="24"/>
          <w:szCs w:val="24"/>
        </w:rPr>
        <w:t xml:space="preserve"> czynników </w:t>
      </w:r>
      <w:r w:rsidR="00685DA2" w:rsidRPr="00237760">
        <w:rPr>
          <w:rFonts w:ascii="Arial" w:hAnsi="Arial" w:cs="Arial"/>
          <w:color w:val="auto"/>
          <w:sz w:val="24"/>
          <w:szCs w:val="24"/>
        </w:rPr>
        <w:br/>
      </w:r>
      <w:r w:rsidR="00170FCC" w:rsidRPr="00237760">
        <w:rPr>
          <w:rFonts w:ascii="Arial" w:hAnsi="Arial" w:cs="Arial"/>
          <w:color w:val="auto"/>
          <w:sz w:val="24"/>
          <w:szCs w:val="24"/>
        </w:rPr>
        <w:t xml:space="preserve">w strategiach gminnych pozwala </w:t>
      </w:r>
      <w:r w:rsidR="003A3A3E" w:rsidRPr="00237760">
        <w:rPr>
          <w:rFonts w:ascii="Arial" w:hAnsi="Arial" w:cs="Arial"/>
          <w:color w:val="auto"/>
          <w:sz w:val="24"/>
          <w:szCs w:val="24"/>
        </w:rPr>
        <w:t>sądzić, że wybrane</w:t>
      </w:r>
      <w:r w:rsidRPr="00237760">
        <w:rPr>
          <w:rFonts w:ascii="Arial" w:hAnsi="Arial" w:cs="Arial"/>
          <w:color w:val="auto"/>
          <w:sz w:val="24"/>
          <w:szCs w:val="24"/>
        </w:rPr>
        <w:t xml:space="preserve"> cele PSRT WP</w:t>
      </w:r>
      <w:r w:rsidR="003A3A3E" w:rsidRPr="00237760">
        <w:rPr>
          <w:rFonts w:ascii="Arial" w:hAnsi="Arial" w:cs="Arial"/>
          <w:color w:val="auto"/>
          <w:sz w:val="24"/>
          <w:szCs w:val="24"/>
        </w:rPr>
        <w:t xml:space="preserve"> mogą stanowić odpowiedź</w:t>
      </w:r>
      <w:r w:rsidR="00937A23" w:rsidRPr="00237760">
        <w:rPr>
          <w:rFonts w:ascii="Arial" w:hAnsi="Arial" w:cs="Arial"/>
          <w:color w:val="auto"/>
          <w:sz w:val="24"/>
          <w:szCs w:val="24"/>
        </w:rPr>
        <w:t xml:space="preserve"> – lub </w:t>
      </w:r>
      <w:r w:rsidR="00685DA2" w:rsidRPr="00237760">
        <w:rPr>
          <w:rFonts w:ascii="Arial" w:hAnsi="Arial" w:cs="Arial"/>
          <w:color w:val="auto"/>
          <w:sz w:val="24"/>
          <w:szCs w:val="24"/>
        </w:rPr>
        <w:br/>
      </w:r>
      <w:r w:rsidR="00937A23" w:rsidRPr="00237760">
        <w:rPr>
          <w:rFonts w:ascii="Arial" w:hAnsi="Arial" w:cs="Arial"/>
          <w:color w:val="auto"/>
          <w:sz w:val="24"/>
          <w:szCs w:val="24"/>
        </w:rPr>
        <w:t>w sytuacji odwrotnej</w:t>
      </w:r>
      <w:r w:rsidR="003A3A3E" w:rsidRPr="00237760">
        <w:rPr>
          <w:rFonts w:ascii="Arial" w:hAnsi="Arial" w:cs="Arial"/>
          <w:color w:val="auto"/>
          <w:sz w:val="24"/>
          <w:szCs w:val="24"/>
        </w:rPr>
        <w:t>).</w:t>
      </w:r>
      <w:r w:rsidR="00B30466" w:rsidRPr="00237760">
        <w:rPr>
          <w:rFonts w:ascii="Arial" w:hAnsi="Arial" w:cs="Arial"/>
          <w:color w:val="auto"/>
          <w:sz w:val="24"/>
          <w:szCs w:val="24"/>
        </w:rPr>
        <w:t xml:space="preserve"> </w:t>
      </w:r>
      <w:r w:rsidRPr="00237760">
        <w:rPr>
          <w:rFonts w:ascii="Arial" w:hAnsi="Arial" w:cs="Arial"/>
          <w:color w:val="auto"/>
          <w:sz w:val="24"/>
          <w:szCs w:val="24"/>
        </w:rPr>
        <w:t xml:space="preserve">Często, bo w </w:t>
      </w:r>
      <w:r w:rsidR="00B30466" w:rsidRPr="00237760">
        <w:rPr>
          <w:rFonts w:ascii="Arial" w:hAnsi="Arial" w:cs="Arial"/>
          <w:color w:val="auto"/>
          <w:sz w:val="24"/>
          <w:szCs w:val="24"/>
        </w:rPr>
        <w:t>przypadku ok.</w:t>
      </w:r>
      <w:r w:rsidRPr="00237760">
        <w:rPr>
          <w:rFonts w:ascii="Arial" w:hAnsi="Arial" w:cs="Arial"/>
          <w:color w:val="auto"/>
          <w:sz w:val="24"/>
          <w:szCs w:val="24"/>
        </w:rPr>
        <w:t xml:space="preserve"> 28% związan</w:t>
      </w:r>
      <w:r w:rsidR="00B30466" w:rsidRPr="00237760">
        <w:rPr>
          <w:rFonts w:ascii="Arial" w:hAnsi="Arial" w:cs="Arial"/>
          <w:color w:val="auto"/>
          <w:sz w:val="24"/>
          <w:szCs w:val="24"/>
        </w:rPr>
        <w:t>ych</w:t>
      </w:r>
      <w:r w:rsidRPr="00237760">
        <w:rPr>
          <w:rFonts w:ascii="Arial" w:hAnsi="Arial" w:cs="Arial"/>
          <w:color w:val="auto"/>
          <w:sz w:val="24"/>
          <w:szCs w:val="24"/>
        </w:rPr>
        <w:t xml:space="preserve"> z transportem zapis</w:t>
      </w:r>
      <w:r w:rsidR="00B30466" w:rsidRPr="00237760">
        <w:rPr>
          <w:rFonts w:ascii="Arial" w:hAnsi="Arial" w:cs="Arial"/>
          <w:color w:val="auto"/>
          <w:sz w:val="24"/>
          <w:szCs w:val="24"/>
        </w:rPr>
        <w:t>ów</w:t>
      </w:r>
      <w:r w:rsidRPr="00237760">
        <w:rPr>
          <w:rFonts w:ascii="Arial" w:hAnsi="Arial" w:cs="Arial"/>
          <w:color w:val="auto"/>
          <w:sz w:val="24"/>
          <w:szCs w:val="24"/>
        </w:rPr>
        <w:t xml:space="preserve"> w analizach SWOT,</w:t>
      </w:r>
      <w:r w:rsidR="00B30466" w:rsidRPr="00237760">
        <w:rPr>
          <w:rFonts w:ascii="Arial" w:hAnsi="Arial" w:cs="Arial"/>
          <w:color w:val="auto"/>
          <w:sz w:val="24"/>
          <w:szCs w:val="24"/>
        </w:rPr>
        <w:t xml:space="preserve"> </w:t>
      </w:r>
      <w:r w:rsidR="00EF50C0" w:rsidRPr="00237760">
        <w:rPr>
          <w:rFonts w:ascii="Arial" w:hAnsi="Arial" w:cs="Arial"/>
          <w:color w:val="auto"/>
          <w:sz w:val="24"/>
          <w:szCs w:val="24"/>
        </w:rPr>
        <w:t xml:space="preserve">ich </w:t>
      </w:r>
      <w:r w:rsidR="00B30466" w:rsidRPr="00237760">
        <w:rPr>
          <w:rFonts w:ascii="Arial" w:hAnsi="Arial" w:cs="Arial"/>
          <w:color w:val="auto"/>
          <w:sz w:val="24"/>
          <w:szCs w:val="24"/>
        </w:rPr>
        <w:t xml:space="preserve">ogólność </w:t>
      </w:r>
      <w:r w:rsidR="00EF50C0" w:rsidRPr="00237760">
        <w:rPr>
          <w:rFonts w:ascii="Arial" w:hAnsi="Arial" w:cs="Arial"/>
          <w:color w:val="auto"/>
          <w:sz w:val="24"/>
          <w:szCs w:val="24"/>
        </w:rPr>
        <w:t>pozwalała</w:t>
      </w:r>
      <w:r w:rsidRPr="00237760">
        <w:rPr>
          <w:rFonts w:ascii="Arial" w:hAnsi="Arial" w:cs="Arial"/>
          <w:color w:val="auto"/>
          <w:sz w:val="24"/>
          <w:szCs w:val="24"/>
        </w:rPr>
        <w:t xml:space="preserve"> mówić o spójności ze wszystkimi </w:t>
      </w:r>
      <w:r w:rsidR="004D21BB" w:rsidRPr="00237760">
        <w:rPr>
          <w:rFonts w:ascii="Arial" w:hAnsi="Arial" w:cs="Arial"/>
          <w:color w:val="auto"/>
          <w:sz w:val="24"/>
          <w:szCs w:val="24"/>
        </w:rPr>
        <w:t xml:space="preserve">celami, </w:t>
      </w:r>
      <w:r w:rsidRPr="00237760">
        <w:rPr>
          <w:rFonts w:ascii="Arial" w:hAnsi="Arial" w:cs="Arial"/>
          <w:color w:val="auto"/>
          <w:sz w:val="24"/>
          <w:szCs w:val="24"/>
        </w:rPr>
        <w:t xml:space="preserve">poza wykluczonym </w:t>
      </w:r>
      <w:r w:rsidR="004D21BB" w:rsidRPr="00237760">
        <w:rPr>
          <w:rFonts w:ascii="Arial" w:hAnsi="Arial" w:cs="Arial"/>
          <w:color w:val="auto"/>
          <w:sz w:val="24"/>
          <w:szCs w:val="24"/>
        </w:rPr>
        <w:t xml:space="preserve">z analizy </w:t>
      </w:r>
      <w:r w:rsidRPr="00237760">
        <w:rPr>
          <w:rFonts w:ascii="Arial" w:hAnsi="Arial" w:cs="Arial"/>
          <w:color w:val="auto"/>
          <w:sz w:val="24"/>
          <w:szCs w:val="24"/>
        </w:rPr>
        <w:t>celem podstawowym 3</w:t>
      </w:r>
      <w:r w:rsidR="00BC179A" w:rsidRPr="00237760">
        <w:rPr>
          <w:rFonts w:ascii="Arial" w:hAnsi="Arial" w:cs="Arial"/>
          <w:color w:val="auto"/>
          <w:sz w:val="24"/>
          <w:szCs w:val="24"/>
        </w:rPr>
        <w:t xml:space="preserve"> (t</w:t>
      </w:r>
      <w:r w:rsidR="00EF50C0" w:rsidRPr="00237760">
        <w:rPr>
          <w:rFonts w:ascii="Arial" w:hAnsi="Arial" w:cs="Arial"/>
          <w:color w:val="auto"/>
          <w:sz w:val="24"/>
          <w:szCs w:val="24"/>
        </w:rPr>
        <w:t>akim pojawi</w:t>
      </w:r>
      <w:r w:rsidR="008738FF" w:rsidRPr="00237760">
        <w:rPr>
          <w:rFonts w:ascii="Arial" w:hAnsi="Arial" w:cs="Arial"/>
          <w:color w:val="auto"/>
          <w:sz w:val="24"/>
          <w:szCs w:val="24"/>
        </w:rPr>
        <w:t>a</w:t>
      </w:r>
      <w:r w:rsidR="00EF50C0" w:rsidRPr="00237760">
        <w:rPr>
          <w:rFonts w:ascii="Arial" w:hAnsi="Arial" w:cs="Arial"/>
          <w:color w:val="auto"/>
          <w:sz w:val="24"/>
          <w:szCs w:val="24"/>
        </w:rPr>
        <w:t xml:space="preserve">jącym się często przykładem </w:t>
      </w:r>
      <w:r w:rsidR="002A0D5D" w:rsidRPr="00237760">
        <w:rPr>
          <w:rFonts w:ascii="Arial" w:hAnsi="Arial" w:cs="Arial"/>
          <w:color w:val="auto"/>
          <w:sz w:val="24"/>
          <w:szCs w:val="24"/>
        </w:rPr>
        <w:t>w strategiach gminnych</w:t>
      </w:r>
      <w:r w:rsidR="00EF50C0" w:rsidRPr="00237760">
        <w:rPr>
          <w:rFonts w:ascii="Arial" w:hAnsi="Arial" w:cs="Arial"/>
          <w:color w:val="auto"/>
          <w:sz w:val="24"/>
          <w:szCs w:val="24"/>
        </w:rPr>
        <w:t xml:space="preserve"> jest kwestia słabej dostępności komunikacyjnej</w:t>
      </w:r>
      <w:r w:rsidR="00BC179A" w:rsidRPr="00237760">
        <w:rPr>
          <w:rFonts w:ascii="Arial" w:hAnsi="Arial" w:cs="Arial"/>
          <w:color w:val="auto"/>
          <w:sz w:val="24"/>
          <w:szCs w:val="24"/>
        </w:rPr>
        <w:t>).</w:t>
      </w:r>
      <w:r w:rsidR="00EF50C0" w:rsidRPr="00237760">
        <w:rPr>
          <w:rFonts w:ascii="Arial" w:hAnsi="Arial" w:cs="Arial"/>
          <w:color w:val="auto"/>
          <w:sz w:val="24"/>
          <w:szCs w:val="24"/>
        </w:rPr>
        <w:t xml:space="preserve"> </w:t>
      </w:r>
      <w:r w:rsidR="000E6EC6" w:rsidRPr="00237760">
        <w:rPr>
          <w:rFonts w:ascii="Arial" w:hAnsi="Arial" w:cs="Arial"/>
          <w:color w:val="auto"/>
          <w:sz w:val="24"/>
          <w:szCs w:val="24"/>
        </w:rPr>
        <w:t xml:space="preserve"> W przypadku pozostałych</w:t>
      </w:r>
      <w:r w:rsidR="00B30466" w:rsidRPr="00237760">
        <w:rPr>
          <w:rFonts w:ascii="Arial" w:hAnsi="Arial" w:cs="Arial"/>
          <w:color w:val="auto"/>
          <w:sz w:val="24"/>
          <w:szCs w:val="24"/>
        </w:rPr>
        <w:t xml:space="preserve"> </w:t>
      </w:r>
      <w:r w:rsidR="00306665" w:rsidRPr="00237760">
        <w:rPr>
          <w:rFonts w:ascii="Arial" w:hAnsi="Arial" w:cs="Arial"/>
          <w:color w:val="auto"/>
          <w:sz w:val="24"/>
          <w:szCs w:val="24"/>
        </w:rPr>
        <w:t>czynników transportowych</w:t>
      </w:r>
      <w:r w:rsidR="000E6EC6" w:rsidRPr="00237760">
        <w:rPr>
          <w:rFonts w:ascii="Arial" w:hAnsi="Arial" w:cs="Arial"/>
          <w:color w:val="auto"/>
          <w:sz w:val="24"/>
          <w:szCs w:val="24"/>
        </w:rPr>
        <w:t xml:space="preserve"> (ok.</w:t>
      </w:r>
      <w:r w:rsidR="00B30466" w:rsidRPr="00237760">
        <w:rPr>
          <w:rFonts w:ascii="Arial" w:hAnsi="Arial" w:cs="Arial"/>
          <w:color w:val="auto"/>
          <w:sz w:val="24"/>
          <w:szCs w:val="24"/>
        </w:rPr>
        <w:t xml:space="preserve"> 13%</w:t>
      </w:r>
      <w:r w:rsidR="000E6EC6" w:rsidRPr="00237760">
        <w:rPr>
          <w:rFonts w:ascii="Arial" w:hAnsi="Arial" w:cs="Arial"/>
          <w:color w:val="auto"/>
          <w:sz w:val="24"/>
          <w:szCs w:val="24"/>
        </w:rPr>
        <w:t>),</w:t>
      </w:r>
      <w:r w:rsidRPr="00237760">
        <w:rPr>
          <w:rFonts w:ascii="Arial" w:hAnsi="Arial" w:cs="Arial"/>
          <w:color w:val="auto"/>
          <w:sz w:val="24"/>
          <w:szCs w:val="24"/>
        </w:rPr>
        <w:t xml:space="preserve"> zauważa się poruszenie danej kwestii w części diagnostycznej lub/i w analizie ryzyk. </w:t>
      </w:r>
    </w:p>
    <w:p w14:paraId="078DDF7E" w14:textId="33C8F9A2" w:rsidR="0032204D" w:rsidRPr="00237760" w:rsidRDefault="001405D9" w:rsidP="009367B4">
      <w:pPr>
        <w:pStyle w:val="Legenda"/>
        <w:jc w:val="left"/>
        <w:rPr>
          <w:rFonts w:ascii="Arial" w:hAnsi="Arial" w:cs="Arial"/>
          <w:color w:val="auto"/>
          <w:sz w:val="24"/>
          <w:szCs w:val="24"/>
        </w:rPr>
      </w:pPr>
      <w:bookmarkStart w:id="54" w:name="_Ref100926420"/>
      <w:bookmarkStart w:id="55" w:name="_Toc101904249"/>
      <w:r w:rsidRPr="00237760">
        <w:rPr>
          <w:rFonts w:ascii="Arial" w:hAnsi="Arial" w:cs="Arial"/>
          <w:color w:val="auto"/>
          <w:sz w:val="24"/>
          <w:szCs w:val="24"/>
        </w:rPr>
        <w:t xml:space="preserve">Tabela </w:t>
      </w:r>
      <w:r w:rsidRPr="00237760">
        <w:rPr>
          <w:rFonts w:ascii="Arial" w:hAnsi="Arial" w:cs="Arial"/>
          <w:noProof/>
          <w:color w:val="auto"/>
          <w:sz w:val="24"/>
          <w:szCs w:val="24"/>
        </w:rPr>
        <w:fldChar w:fldCharType="begin"/>
      </w:r>
      <w:r w:rsidRPr="00237760">
        <w:rPr>
          <w:rFonts w:ascii="Arial" w:hAnsi="Arial" w:cs="Arial"/>
          <w:noProof/>
          <w:color w:val="auto"/>
          <w:sz w:val="24"/>
          <w:szCs w:val="24"/>
        </w:rPr>
        <w:instrText xml:space="preserve"> SEQ Tabela \* ARABIC </w:instrText>
      </w:r>
      <w:r w:rsidRPr="00237760">
        <w:rPr>
          <w:rFonts w:ascii="Arial" w:hAnsi="Arial" w:cs="Arial"/>
          <w:noProof/>
          <w:color w:val="auto"/>
          <w:sz w:val="24"/>
          <w:szCs w:val="24"/>
        </w:rPr>
        <w:fldChar w:fldCharType="separate"/>
      </w:r>
      <w:r w:rsidR="00762B20" w:rsidRPr="00237760">
        <w:rPr>
          <w:rFonts w:ascii="Arial" w:hAnsi="Arial" w:cs="Arial"/>
          <w:noProof/>
          <w:color w:val="auto"/>
          <w:sz w:val="24"/>
          <w:szCs w:val="24"/>
        </w:rPr>
        <w:t>8</w:t>
      </w:r>
      <w:r w:rsidRPr="00237760">
        <w:rPr>
          <w:rFonts w:ascii="Arial" w:hAnsi="Arial" w:cs="Arial"/>
          <w:noProof/>
          <w:color w:val="auto"/>
          <w:sz w:val="24"/>
          <w:szCs w:val="24"/>
        </w:rPr>
        <w:fldChar w:fldCharType="end"/>
      </w:r>
      <w:bookmarkEnd w:id="54"/>
      <w:r w:rsidRPr="00237760">
        <w:rPr>
          <w:rFonts w:ascii="Arial" w:hAnsi="Arial" w:cs="Arial"/>
          <w:color w:val="auto"/>
          <w:sz w:val="24"/>
          <w:szCs w:val="24"/>
        </w:rPr>
        <w:t>. Wyzwania i potrzeby społeczno-gospodarcze województwa wskazane w strategiach wybranych gmin a PSRT WP</w:t>
      </w:r>
      <w:bookmarkEnd w:id="55"/>
      <w:r w:rsidRPr="00237760">
        <w:rPr>
          <w:rFonts w:ascii="Arial" w:hAnsi="Arial" w:cs="Arial"/>
          <w:color w:val="auto"/>
          <w:sz w:val="24"/>
          <w:szCs w:val="24"/>
        </w:rPr>
        <w:t xml:space="preserve"> </w:t>
      </w:r>
    </w:p>
    <w:tbl>
      <w:tblPr>
        <w:tblStyle w:val="Tabela-Siatka"/>
        <w:tblW w:w="9075"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57" w:type="dxa"/>
          <w:right w:w="57" w:type="dxa"/>
        </w:tblCellMar>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5103"/>
        <w:gridCol w:w="3972"/>
      </w:tblGrid>
      <w:tr w:rsidR="00237760" w:rsidRPr="00237760" w14:paraId="7FF5CB13" w14:textId="77777777" w:rsidTr="00F077C6">
        <w:trPr>
          <w:trHeight w:val="502"/>
          <w:tblHeader/>
        </w:trPr>
        <w:tc>
          <w:tcPr>
            <w:tcW w:w="5103" w:type="dxa"/>
            <w:tcBorders>
              <w:top w:val="single" w:sz="12" w:space="0" w:color="002060"/>
              <w:left w:val="nil"/>
              <w:bottom w:val="single" w:sz="4" w:space="0" w:color="BDD6EE" w:themeColor="accent1" w:themeTint="66"/>
              <w:right w:val="nil"/>
            </w:tcBorders>
            <w:shd w:val="clear" w:color="auto" w:fill="auto"/>
            <w:tcMar>
              <w:left w:w="28" w:type="dxa"/>
              <w:right w:w="28" w:type="dxa"/>
            </w:tcMar>
            <w:vAlign w:val="center"/>
          </w:tcPr>
          <w:p w14:paraId="6B1D5620" w14:textId="77777777" w:rsidR="001405D9" w:rsidRPr="00237760" w:rsidRDefault="001405D9"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Wyzwania i potrzeby regionu sformułowane w strategiach</w:t>
            </w:r>
          </w:p>
        </w:tc>
        <w:tc>
          <w:tcPr>
            <w:tcW w:w="3972" w:type="dxa"/>
            <w:tcBorders>
              <w:top w:val="single" w:sz="12" w:space="0" w:color="002060"/>
              <w:left w:val="nil"/>
              <w:bottom w:val="single" w:sz="4" w:space="0" w:color="BDD6EE" w:themeColor="accent1" w:themeTint="66"/>
              <w:right w:val="nil"/>
            </w:tcBorders>
            <w:shd w:val="clear" w:color="auto" w:fill="auto"/>
            <w:tcMar>
              <w:left w:w="28" w:type="dxa"/>
              <w:right w:w="28" w:type="dxa"/>
            </w:tcMar>
            <w:vAlign w:val="center"/>
          </w:tcPr>
          <w:p w14:paraId="5F7E00E9" w14:textId="271B1558" w:rsidR="001405D9" w:rsidRPr="00237760" w:rsidRDefault="00814696"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Cele</w:t>
            </w:r>
            <w:r w:rsidR="001405D9" w:rsidRPr="00237760">
              <w:rPr>
                <w:rFonts w:ascii="Arial" w:hAnsi="Arial" w:cs="Arial"/>
                <w:b/>
                <w:color w:val="auto"/>
                <w:sz w:val="24"/>
                <w:szCs w:val="24"/>
              </w:rPr>
              <w:t xml:space="preserve"> PSRT WP </w:t>
            </w:r>
            <w:r w:rsidRPr="00237760">
              <w:rPr>
                <w:rFonts w:ascii="Arial" w:hAnsi="Arial" w:cs="Arial"/>
                <w:b/>
                <w:color w:val="auto"/>
                <w:sz w:val="24"/>
                <w:szCs w:val="24"/>
              </w:rPr>
              <w:t>wpływające</w:t>
            </w:r>
            <w:r w:rsidR="001405D9" w:rsidRPr="00237760">
              <w:rPr>
                <w:rFonts w:ascii="Arial" w:hAnsi="Arial" w:cs="Arial"/>
                <w:b/>
                <w:color w:val="auto"/>
                <w:sz w:val="24"/>
                <w:szCs w:val="24"/>
              </w:rPr>
              <w:t xml:space="preserve"> na sprostanie wyzwaniom oraz </w:t>
            </w:r>
            <w:r w:rsidRPr="00237760">
              <w:rPr>
                <w:rFonts w:ascii="Arial" w:hAnsi="Arial" w:cs="Arial"/>
                <w:b/>
                <w:color w:val="auto"/>
                <w:sz w:val="24"/>
                <w:szCs w:val="24"/>
              </w:rPr>
              <w:t>zaspokojenie</w:t>
            </w:r>
            <w:r w:rsidR="001405D9" w:rsidRPr="00237760">
              <w:rPr>
                <w:rFonts w:ascii="Arial" w:hAnsi="Arial" w:cs="Arial"/>
                <w:b/>
                <w:color w:val="auto"/>
                <w:sz w:val="24"/>
                <w:szCs w:val="24"/>
              </w:rPr>
              <w:t xml:space="preserve"> potrzeb regionu</w:t>
            </w:r>
          </w:p>
        </w:tc>
      </w:tr>
      <w:tr w:rsidR="00237760" w:rsidRPr="00237760" w14:paraId="2C93C4C3" w14:textId="77777777" w:rsidTr="00F077C6">
        <w:trPr>
          <w:trHeight w:val="151"/>
        </w:trPr>
        <w:tc>
          <w:tcPr>
            <w:tcW w:w="9075" w:type="dxa"/>
            <w:gridSpan w:val="2"/>
            <w:tcBorders>
              <w:top w:val="single" w:sz="4" w:space="0" w:color="BDD6EE" w:themeColor="accent1" w:themeTint="66"/>
              <w:left w:val="nil"/>
              <w:right w:val="nil"/>
            </w:tcBorders>
            <w:shd w:val="clear" w:color="auto" w:fill="auto"/>
            <w:tcMar>
              <w:left w:w="28" w:type="dxa"/>
              <w:right w:w="28" w:type="dxa"/>
            </w:tcMar>
            <w:vAlign w:val="center"/>
          </w:tcPr>
          <w:p w14:paraId="137C8F57" w14:textId="7E3AFF92" w:rsidR="001405D9" w:rsidRPr="00237760" w:rsidRDefault="001405D9" w:rsidP="009367B4">
            <w:pPr>
              <w:spacing w:after="0" w:line="240" w:lineRule="auto"/>
              <w:ind w:left="57" w:right="57"/>
              <w:jc w:val="left"/>
              <w:rPr>
                <w:rFonts w:ascii="Arial" w:hAnsi="Arial" w:cs="Arial"/>
                <w:b/>
                <w:bCs/>
                <w:color w:val="auto"/>
                <w:sz w:val="24"/>
                <w:szCs w:val="24"/>
              </w:rPr>
            </w:pPr>
            <w:bookmarkStart w:id="56" w:name="_Hlk98240276"/>
            <w:r w:rsidRPr="00237760">
              <w:rPr>
                <w:rFonts w:ascii="Arial" w:hAnsi="Arial" w:cs="Arial"/>
                <w:b/>
                <w:bCs/>
                <w:color w:val="auto"/>
                <w:sz w:val="24"/>
                <w:szCs w:val="24"/>
              </w:rPr>
              <w:t xml:space="preserve">Strategia </w:t>
            </w:r>
            <w:r w:rsidR="00DC4184" w:rsidRPr="00237760">
              <w:rPr>
                <w:rFonts w:ascii="Arial" w:hAnsi="Arial" w:cs="Arial"/>
                <w:b/>
                <w:bCs/>
                <w:color w:val="auto"/>
                <w:sz w:val="24"/>
                <w:szCs w:val="24"/>
              </w:rPr>
              <w:t>Rozwoju Gminy Adamówka</w:t>
            </w:r>
            <w:r w:rsidR="001F53F2" w:rsidRPr="00237760">
              <w:rPr>
                <w:rFonts w:ascii="Arial" w:hAnsi="Arial" w:cs="Arial"/>
                <w:b/>
                <w:bCs/>
                <w:color w:val="auto"/>
                <w:sz w:val="24"/>
                <w:szCs w:val="24"/>
              </w:rPr>
              <w:t xml:space="preserve"> na lata 2015-2022</w:t>
            </w:r>
          </w:p>
        </w:tc>
      </w:tr>
      <w:tr w:rsidR="00237760" w:rsidRPr="00237760" w14:paraId="2C812012" w14:textId="77777777" w:rsidTr="009367B4">
        <w:trPr>
          <w:trHeight w:val="151"/>
        </w:trPr>
        <w:tc>
          <w:tcPr>
            <w:tcW w:w="9075" w:type="dxa"/>
            <w:gridSpan w:val="2"/>
            <w:tcBorders>
              <w:top w:val="single" w:sz="4" w:space="0" w:color="BDD6EE" w:themeColor="accent1" w:themeTint="66"/>
              <w:left w:val="nil"/>
              <w:right w:val="nil"/>
            </w:tcBorders>
            <w:shd w:val="clear" w:color="auto" w:fill="auto"/>
            <w:tcMar>
              <w:left w:w="28" w:type="dxa"/>
              <w:right w:w="28" w:type="dxa"/>
            </w:tcMar>
            <w:vAlign w:val="center"/>
          </w:tcPr>
          <w:p w14:paraId="065CADB8" w14:textId="77777777" w:rsidR="00AB171D" w:rsidRPr="00237760" w:rsidRDefault="00AB171D" w:rsidP="009367B4">
            <w:pPr>
              <w:spacing w:after="0" w:line="240" w:lineRule="auto"/>
              <w:ind w:left="57" w:right="57"/>
              <w:jc w:val="left"/>
              <w:rPr>
                <w:rFonts w:ascii="Arial" w:hAnsi="Arial" w:cs="Arial"/>
                <w:b/>
                <w:color w:val="auto"/>
                <w:sz w:val="24"/>
                <w:szCs w:val="24"/>
              </w:rPr>
            </w:pPr>
            <w:bookmarkStart w:id="57" w:name="_Hlk98268400"/>
            <w:bookmarkEnd w:id="56"/>
            <w:r w:rsidRPr="00237760">
              <w:rPr>
                <w:rFonts w:ascii="Arial" w:hAnsi="Arial" w:cs="Arial"/>
                <w:b/>
                <w:color w:val="auto"/>
                <w:sz w:val="24"/>
                <w:szCs w:val="24"/>
              </w:rPr>
              <w:t xml:space="preserve">SZANSE </w:t>
            </w:r>
          </w:p>
        </w:tc>
      </w:tr>
      <w:tr w:rsidR="00237760" w:rsidRPr="00237760" w14:paraId="69806C94" w14:textId="77777777" w:rsidTr="009367B4">
        <w:trPr>
          <w:trHeight w:val="151"/>
        </w:trPr>
        <w:tc>
          <w:tcPr>
            <w:tcW w:w="5103" w:type="dxa"/>
            <w:tcBorders>
              <w:top w:val="single" w:sz="4" w:space="0" w:color="BDD6EE" w:themeColor="accent1" w:themeTint="66"/>
              <w:left w:val="nil"/>
              <w:bottom w:val="single" w:sz="4" w:space="0" w:color="BDD6EE" w:themeColor="accent1" w:themeTint="66"/>
              <w:right w:val="nil"/>
            </w:tcBorders>
            <w:tcMar>
              <w:left w:w="28" w:type="dxa"/>
              <w:right w:w="28" w:type="dxa"/>
            </w:tcMar>
            <w:vAlign w:val="center"/>
          </w:tcPr>
          <w:p w14:paraId="67923259" w14:textId="58CEF023" w:rsidR="00857F42" w:rsidRPr="00237760" w:rsidRDefault="008F501B"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Mechanizmy wsparcia finansowego na rozwój infrastruktury</w:t>
            </w:r>
          </w:p>
        </w:tc>
        <w:tc>
          <w:tcPr>
            <w:tcW w:w="3972"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6EA27571" w14:textId="25015E26" w:rsidR="00857F42" w:rsidRPr="00237760" w:rsidRDefault="00440594"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Wszystkie cele</w:t>
            </w:r>
          </w:p>
        </w:tc>
      </w:tr>
      <w:bookmarkEnd w:id="57"/>
      <w:tr w:rsidR="00237760" w:rsidRPr="00237760" w14:paraId="6770ED38" w14:textId="77777777" w:rsidTr="009367B4">
        <w:trPr>
          <w:trHeight w:val="151"/>
        </w:trPr>
        <w:tc>
          <w:tcPr>
            <w:tcW w:w="9075" w:type="dxa"/>
            <w:gridSpan w:val="2"/>
            <w:tcBorders>
              <w:top w:val="single" w:sz="4" w:space="0" w:color="BDD6EE" w:themeColor="accent1" w:themeTint="66"/>
              <w:left w:val="nil"/>
              <w:right w:val="nil"/>
            </w:tcBorders>
            <w:shd w:val="clear" w:color="auto" w:fill="auto"/>
            <w:tcMar>
              <w:left w:w="28" w:type="dxa"/>
              <w:right w:w="28" w:type="dxa"/>
            </w:tcMar>
            <w:vAlign w:val="center"/>
          </w:tcPr>
          <w:p w14:paraId="29ACDB97" w14:textId="67899502" w:rsidR="000F3CDF" w:rsidRPr="00237760" w:rsidRDefault="000F3CDF" w:rsidP="009367B4">
            <w:pPr>
              <w:spacing w:after="0" w:line="240" w:lineRule="auto"/>
              <w:ind w:left="57" w:right="57"/>
              <w:jc w:val="left"/>
              <w:rPr>
                <w:rFonts w:ascii="Arial" w:hAnsi="Arial" w:cs="Arial"/>
                <w:b/>
                <w:bCs/>
                <w:color w:val="auto"/>
                <w:sz w:val="24"/>
                <w:szCs w:val="24"/>
              </w:rPr>
            </w:pPr>
            <w:r w:rsidRPr="00237760">
              <w:rPr>
                <w:rFonts w:ascii="Arial" w:hAnsi="Arial" w:cs="Arial"/>
                <w:b/>
                <w:bCs/>
                <w:color w:val="auto"/>
                <w:sz w:val="24"/>
                <w:szCs w:val="24"/>
              </w:rPr>
              <w:t>Strategia Rozwoju Gminy Cmolas</w:t>
            </w:r>
            <w:r w:rsidR="00D42D6F" w:rsidRPr="00237760">
              <w:rPr>
                <w:rFonts w:ascii="Arial" w:hAnsi="Arial" w:cs="Arial"/>
                <w:b/>
                <w:bCs/>
                <w:color w:val="auto"/>
                <w:sz w:val="24"/>
                <w:szCs w:val="24"/>
              </w:rPr>
              <w:t xml:space="preserve"> na lata 2016-2022</w:t>
            </w:r>
          </w:p>
        </w:tc>
      </w:tr>
      <w:tr w:rsidR="00237760" w:rsidRPr="00237760" w14:paraId="60192AB3" w14:textId="77777777" w:rsidTr="009367B4">
        <w:trPr>
          <w:trHeight w:val="151"/>
        </w:trPr>
        <w:tc>
          <w:tcPr>
            <w:tcW w:w="5103" w:type="dxa"/>
            <w:tcBorders>
              <w:top w:val="single" w:sz="4" w:space="0" w:color="BDD6EE" w:themeColor="accent1" w:themeTint="66"/>
              <w:left w:val="nil"/>
              <w:right w:val="nil"/>
            </w:tcBorders>
            <w:shd w:val="clear" w:color="auto" w:fill="auto"/>
            <w:tcMar>
              <w:left w:w="28" w:type="dxa"/>
              <w:right w:w="28" w:type="dxa"/>
            </w:tcMar>
            <w:vAlign w:val="center"/>
          </w:tcPr>
          <w:p w14:paraId="57924BD6" w14:textId="4439E0C0" w:rsidR="00D42D6F" w:rsidRPr="00237760" w:rsidRDefault="00D42D6F"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 xml:space="preserve">SŁABOŚCI </w:t>
            </w:r>
          </w:p>
        </w:tc>
        <w:tc>
          <w:tcPr>
            <w:tcW w:w="3972" w:type="dxa"/>
            <w:tcBorders>
              <w:top w:val="single" w:sz="4" w:space="0" w:color="BDD6EE" w:themeColor="accent1" w:themeTint="66"/>
              <w:left w:val="nil"/>
              <w:right w:val="nil"/>
            </w:tcBorders>
            <w:shd w:val="clear" w:color="auto" w:fill="auto"/>
            <w:tcMar>
              <w:left w:w="28" w:type="dxa"/>
              <w:right w:w="28" w:type="dxa"/>
            </w:tcMar>
          </w:tcPr>
          <w:p w14:paraId="22743B71" w14:textId="77777777" w:rsidR="00D42D6F" w:rsidRPr="00237760" w:rsidRDefault="00D42D6F" w:rsidP="009367B4">
            <w:pPr>
              <w:spacing w:after="0" w:line="240" w:lineRule="auto"/>
              <w:ind w:left="57" w:right="57"/>
              <w:jc w:val="left"/>
              <w:rPr>
                <w:rFonts w:ascii="Arial" w:hAnsi="Arial" w:cs="Arial"/>
                <w:color w:val="auto"/>
                <w:sz w:val="24"/>
                <w:szCs w:val="24"/>
              </w:rPr>
            </w:pPr>
          </w:p>
        </w:tc>
      </w:tr>
      <w:tr w:rsidR="00237760" w:rsidRPr="00237760" w14:paraId="746A238C" w14:textId="77777777" w:rsidTr="009367B4">
        <w:trPr>
          <w:trHeight w:val="151"/>
        </w:trPr>
        <w:tc>
          <w:tcPr>
            <w:tcW w:w="5103" w:type="dxa"/>
            <w:tcBorders>
              <w:top w:val="single" w:sz="4" w:space="0" w:color="BDD6EE" w:themeColor="accent1" w:themeTint="66"/>
              <w:left w:val="nil"/>
              <w:right w:val="nil"/>
            </w:tcBorders>
            <w:shd w:val="clear" w:color="auto" w:fill="auto"/>
            <w:tcMar>
              <w:left w:w="28" w:type="dxa"/>
              <w:right w:w="28" w:type="dxa"/>
            </w:tcMar>
            <w:vAlign w:val="center"/>
          </w:tcPr>
          <w:p w14:paraId="66CA4F5D" w14:textId="1BA3FF11" w:rsidR="00D42D6F" w:rsidRPr="00237760" w:rsidRDefault="00D42D6F"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Zła jakość dróg lokalnych i osiedlowych</w:t>
            </w:r>
          </w:p>
        </w:tc>
        <w:tc>
          <w:tcPr>
            <w:tcW w:w="3972" w:type="dxa"/>
            <w:tcBorders>
              <w:top w:val="single" w:sz="4" w:space="0" w:color="BDD6EE" w:themeColor="accent1" w:themeTint="66"/>
              <w:left w:val="nil"/>
              <w:right w:val="nil"/>
            </w:tcBorders>
            <w:shd w:val="clear" w:color="auto" w:fill="auto"/>
            <w:tcMar>
              <w:left w:w="28" w:type="dxa"/>
              <w:right w:w="28" w:type="dxa"/>
            </w:tcMar>
            <w:vAlign w:val="center"/>
          </w:tcPr>
          <w:p w14:paraId="7A539AE4" w14:textId="78416D50" w:rsidR="00D42D6F" w:rsidRPr="00237760" w:rsidRDefault="0055341A"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tc>
      </w:tr>
      <w:tr w:rsidR="00237760" w:rsidRPr="00237760" w14:paraId="2DCD8F31" w14:textId="77777777" w:rsidTr="009367B4">
        <w:trPr>
          <w:trHeight w:val="151"/>
        </w:trPr>
        <w:tc>
          <w:tcPr>
            <w:tcW w:w="9075" w:type="dxa"/>
            <w:gridSpan w:val="2"/>
            <w:tcBorders>
              <w:top w:val="single" w:sz="4" w:space="0" w:color="BDD6EE" w:themeColor="accent1" w:themeTint="66"/>
              <w:left w:val="nil"/>
              <w:right w:val="nil"/>
            </w:tcBorders>
            <w:shd w:val="clear" w:color="auto" w:fill="auto"/>
            <w:tcMar>
              <w:left w:w="28" w:type="dxa"/>
              <w:right w:w="28" w:type="dxa"/>
            </w:tcMar>
            <w:vAlign w:val="center"/>
          </w:tcPr>
          <w:p w14:paraId="208BC9E8" w14:textId="77777777" w:rsidR="00D42D6F" w:rsidRPr="00237760" w:rsidRDefault="00D42D6F"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 xml:space="preserve">SZANSE </w:t>
            </w:r>
          </w:p>
        </w:tc>
      </w:tr>
      <w:tr w:rsidR="00237760" w:rsidRPr="00237760" w14:paraId="55128DE9" w14:textId="77777777" w:rsidTr="009367B4">
        <w:trPr>
          <w:trHeight w:val="151"/>
        </w:trPr>
        <w:tc>
          <w:tcPr>
            <w:tcW w:w="5103"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6A80DF3B" w14:textId="05A41E70" w:rsidR="00D42D6F" w:rsidRPr="00237760" w:rsidRDefault="000C6560"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Możliwość pozyskiwania środków finansowych</w:t>
            </w:r>
            <w:r w:rsidR="004D12B3" w:rsidRPr="00237760">
              <w:rPr>
                <w:rFonts w:ascii="Arial" w:hAnsi="Arial" w:cs="Arial"/>
                <w:color w:val="auto"/>
                <w:sz w:val="24"/>
                <w:szCs w:val="24"/>
              </w:rPr>
              <w:t xml:space="preserve"> </w:t>
            </w:r>
            <w:r w:rsidRPr="00237760">
              <w:rPr>
                <w:rFonts w:ascii="Arial" w:hAnsi="Arial" w:cs="Arial"/>
                <w:color w:val="auto"/>
                <w:sz w:val="24"/>
                <w:szCs w:val="24"/>
              </w:rPr>
              <w:t>UE</w:t>
            </w:r>
          </w:p>
        </w:tc>
        <w:tc>
          <w:tcPr>
            <w:tcW w:w="3972" w:type="dxa"/>
            <w:tcBorders>
              <w:top w:val="single" w:sz="4" w:space="0" w:color="BDD6EE" w:themeColor="accent1" w:themeTint="66"/>
              <w:left w:val="nil"/>
              <w:bottom w:val="single" w:sz="4" w:space="0" w:color="BDD6EE" w:themeColor="accent1" w:themeTint="66"/>
              <w:right w:val="nil"/>
            </w:tcBorders>
            <w:shd w:val="clear" w:color="auto" w:fill="auto"/>
            <w:tcMar>
              <w:left w:w="28" w:type="dxa"/>
              <w:right w:w="28" w:type="dxa"/>
            </w:tcMar>
            <w:vAlign w:val="center"/>
          </w:tcPr>
          <w:p w14:paraId="6D00DC5B" w14:textId="78F72628" w:rsidR="00D42D6F" w:rsidRPr="00237760" w:rsidRDefault="00D519CE"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Wszystkie cele</w:t>
            </w:r>
          </w:p>
        </w:tc>
      </w:tr>
      <w:tr w:rsidR="00237760" w:rsidRPr="00237760" w14:paraId="55EB905F" w14:textId="77777777" w:rsidTr="009367B4">
        <w:trPr>
          <w:trHeight w:val="151"/>
        </w:trPr>
        <w:tc>
          <w:tcPr>
            <w:tcW w:w="9075" w:type="dxa"/>
            <w:gridSpan w:val="2"/>
            <w:tcBorders>
              <w:top w:val="single" w:sz="4" w:space="0" w:color="BDD6EE" w:themeColor="accent1" w:themeTint="66"/>
              <w:left w:val="nil"/>
              <w:right w:val="nil"/>
            </w:tcBorders>
            <w:shd w:val="clear" w:color="auto" w:fill="auto"/>
            <w:tcMar>
              <w:left w:w="28" w:type="dxa"/>
              <w:right w:w="28" w:type="dxa"/>
            </w:tcMar>
            <w:vAlign w:val="center"/>
          </w:tcPr>
          <w:p w14:paraId="177A9D27" w14:textId="4D6A79A9" w:rsidR="00832B33" w:rsidRPr="00237760" w:rsidRDefault="00E8617D" w:rsidP="009367B4">
            <w:pPr>
              <w:spacing w:after="0" w:line="240" w:lineRule="auto"/>
              <w:ind w:left="57" w:right="57"/>
              <w:jc w:val="left"/>
              <w:rPr>
                <w:rFonts w:ascii="Arial" w:hAnsi="Arial" w:cs="Arial"/>
                <w:b/>
                <w:bCs/>
                <w:color w:val="auto"/>
                <w:sz w:val="24"/>
                <w:szCs w:val="24"/>
              </w:rPr>
            </w:pPr>
            <w:r w:rsidRPr="00237760">
              <w:rPr>
                <w:rFonts w:ascii="Arial" w:hAnsi="Arial" w:cs="Arial"/>
                <w:b/>
                <w:bCs/>
                <w:color w:val="auto"/>
                <w:sz w:val="24"/>
                <w:szCs w:val="24"/>
              </w:rPr>
              <w:t>Strategia Rozwoju Gminy Dynów na lata 2016-2026</w:t>
            </w:r>
          </w:p>
        </w:tc>
      </w:tr>
      <w:tr w:rsidR="00237760" w:rsidRPr="00237760" w14:paraId="69F77D77" w14:textId="77777777" w:rsidTr="009367B4">
        <w:trPr>
          <w:trHeight w:val="151"/>
        </w:trPr>
        <w:tc>
          <w:tcPr>
            <w:tcW w:w="510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204E5220" w14:textId="7B6FFC83" w:rsidR="00E8617D" w:rsidRPr="00237760" w:rsidRDefault="00E8617D"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 xml:space="preserve">SŁABOŚCI </w:t>
            </w:r>
          </w:p>
        </w:tc>
        <w:tc>
          <w:tcPr>
            <w:tcW w:w="3972"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tcPr>
          <w:p w14:paraId="77B15ADB" w14:textId="77777777" w:rsidR="00E8617D" w:rsidRPr="00237760" w:rsidRDefault="00E8617D" w:rsidP="009367B4">
            <w:pPr>
              <w:spacing w:after="0" w:line="240" w:lineRule="auto"/>
              <w:ind w:left="57" w:right="57"/>
              <w:jc w:val="left"/>
              <w:rPr>
                <w:rFonts w:ascii="Arial" w:hAnsi="Arial" w:cs="Arial"/>
                <w:color w:val="auto"/>
                <w:sz w:val="24"/>
                <w:szCs w:val="24"/>
              </w:rPr>
            </w:pPr>
          </w:p>
        </w:tc>
      </w:tr>
      <w:tr w:rsidR="00237760" w:rsidRPr="00237760" w14:paraId="390DE48D" w14:textId="77777777" w:rsidTr="00D707B7">
        <w:trPr>
          <w:trHeight w:val="151"/>
        </w:trPr>
        <w:tc>
          <w:tcPr>
            <w:tcW w:w="5103" w:type="dxa"/>
            <w:tcBorders>
              <w:top w:val="single" w:sz="4" w:space="0" w:color="BDD6EE" w:themeColor="accent1" w:themeTint="66"/>
              <w:left w:val="nil"/>
              <w:bottom w:val="single" w:sz="4" w:space="0" w:color="BDD6EE" w:themeColor="accent1" w:themeTint="66"/>
              <w:right w:val="nil"/>
            </w:tcBorders>
            <w:tcMar>
              <w:top w:w="0" w:type="dxa"/>
              <w:left w:w="28" w:type="dxa"/>
              <w:bottom w:w="0" w:type="dxa"/>
              <w:right w:w="28" w:type="dxa"/>
            </w:tcMar>
            <w:vAlign w:val="center"/>
          </w:tcPr>
          <w:p w14:paraId="788DF83D" w14:textId="487AB8BA" w:rsidR="006359B5" w:rsidRPr="00237760" w:rsidRDefault="006359B5"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Zły stan i standard techniczny części dróg</w:t>
            </w:r>
          </w:p>
        </w:tc>
        <w:tc>
          <w:tcPr>
            <w:tcW w:w="3972" w:type="dxa"/>
            <w:tcBorders>
              <w:top w:val="single" w:sz="4" w:space="0" w:color="BDD6EE" w:themeColor="accent1" w:themeTint="66"/>
              <w:left w:val="nil"/>
              <w:bottom w:val="single" w:sz="4" w:space="0" w:color="BDD6EE" w:themeColor="accent1" w:themeTint="66"/>
              <w:right w:val="nil"/>
            </w:tcBorders>
            <w:tcMar>
              <w:top w:w="0" w:type="dxa"/>
              <w:left w:w="28" w:type="dxa"/>
              <w:bottom w:w="0" w:type="dxa"/>
              <w:right w:w="28" w:type="dxa"/>
            </w:tcMar>
            <w:vAlign w:val="center"/>
          </w:tcPr>
          <w:p w14:paraId="79792F06" w14:textId="24DBF936" w:rsidR="006359B5" w:rsidRPr="00237760" w:rsidRDefault="00E17BB0"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tc>
      </w:tr>
      <w:tr w:rsidR="00237760" w:rsidRPr="00237760" w14:paraId="1146A662" w14:textId="77777777" w:rsidTr="006B1EFF">
        <w:trPr>
          <w:trHeight w:val="151"/>
        </w:trPr>
        <w:tc>
          <w:tcPr>
            <w:tcW w:w="5103" w:type="dxa"/>
            <w:tcBorders>
              <w:top w:val="single" w:sz="4" w:space="0" w:color="BDD6EE" w:themeColor="accent1" w:themeTint="66"/>
              <w:left w:val="nil"/>
              <w:bottom w:val="single" w:sz="4" w:space="0" w:color="BDD6EE" w:themeColor="accent1" w:themeTint="66"/>
              <w:right w:val="nil"/>
            </w:tcBorders>
            <w:tcMar>
              <w:top w:w="0" w:type="dxa"/>
              <w:left w:w="28" w:type="dxa"/>
              <w:bottom w:w="0" w:type="dxa"/>
              <w:right w:w="28" w:type="dxa"/>
            </w:tcMar>
            <w:vAlign w:val="center"/>
          </w:tcPr>
          <w:p w14:paraId="5EB5272D" w14:textId="5E69B1D3" w:rsidR="00913619" w:rsidRPr="00237760" w:rsidRDefault="00913619"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Zbyt mała ilość chodników</w:t>
            </w:r>
          </w:p>
        </w:tc>
        <w:tc>
          <w:tcPr>
            <w:tcW w:w="3972" w:type="dxa"/>
            <w:tcBorders>
              <w:top w:val="single" w:sz="4" w:space="0" w:color="BDD6EE" w:themeColor="accent1" w:themeTint="66"/>
              <w:left w:val="nil"/>
              <w:bottom w:val="single" w:sz="4" w:space="0" w:color="BDD6EE" w:themeColor="accent1" w:themeTint="66"/>
              <w:right w:val="nil"/>
            </w:tcBorders>
            <w:tcMar>
              <w:top w:w="0" w:type="dxa"/>
              <w:left w:w="28" w:type="dxa"/>
              <w:bottom w:w="0" w:type="dxa"/>
              <w:right w:w="28" w:type="dxa"/>
            </w:tcMar>
            <w:vAlign w:val="center"/>
          </w:tcPr>
          <w:p w14:paraId="66ACE128" w14:textId="0AB6B3D7" w:rsidR="00913619" w:rsidRPr="00237760" w:rsidRDefault="00913619"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Cel horyzontalny 4. Poprawa bezpieczeństwa w transporcie</w:t>
            </w:r>
          </w:p>
        </w:tc>
      </w:tr>
      <w:tr w:rsidR="00237760" w:rsidRPr="00237760" w14:paraId="58D5E82B" w14:textId="77777777" w:rsidTr="006B1EFF">
        <w:trPr>
          <w:trHeight w:val="151"/>
        </w:trPr>
        <w:tc>
          <w:tcPr>
            <w:tcW w:w="5103" w:type="dxa"/>
            <w:tcBorders>
              <w:top w:val="single" w:sz="4" w:space="0" w:color="BDD6EE" w:themeColor="accent1" w:themeTint="66"/>
              <w:left w:val="nil"/>
              <w:bottom w:val="single" w:sz="4" w:space="0" w:color="BDD6EE" w:themeColor="accent1" w:themeTint="66"/>
              <w:right w:val="nil"/>
            </w:tcBorders>
            <w:tcMar>
              <w:top w:w="0" w:type="dxa"/>
              <w:left w:w="28" w:type="dxa"/>
              <w:bottom w:w="0" w:type="dxa"/>
              <w:right w:w="28" w:type="dxa"/>
            </w:tcMar>
            <w:vAlign w:val="center"/>
          </w:tcPr>
          <w:p w14:paraId="1830BD18" w14:textId="54D0F433" w:rsidR="006359B5" w:rsidRPr="00237760" w:rsidRDefault="006359B5"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Zły stan urządzeń odwadniających</w:t>
            </w:r>
            <w:r w:rsidR="00D707B7" w:rsidRPr="00237760">
              <w:rPr>
                <w:rFonts w:ascii="Arial" w:hAnsi="Arial" w:cs="Arial"/>
                <w:color w:val="auto"/>
                <w:sz w:val="24"/>
                <w:szCs w:val="24"/>
              </w:rPr>
              <w:t xml:space="preserve"> </w:t>
            </w:r>
            <w:r w:rsidRPr="00237760">
              <w:rPr>
                <w:rFonts w:ascii="Arial" w:hAnsi="Arial" w:cs="Arial"/>
                <w:color w:val="auto"/>
                <w:sz w:val="24"/>
                <w:szCs w:val="24"/>
              </w:rPr>
              <w:t>i melioracyjnych</w:t>
            </w:r>
          </w:p>
        </w:tc>
        <w:tc>
          <w:tcPr>
            <w:tcW w:w="3972" w:type="dxa"/>
            <w:tcBorders>
              <w:top w:val="single" w:sz="4" w:space="0" w:color="BDD6EE" w:themeColor="accent1" w:themeTint="66"/>
              <w:left w:val="nil"/>
              <w:bottom w:val="single" w:sz="4" w:space="0" w:color="BDD6EE" w:themeColor="accent1" w:themeTint="66"/>
              <w:right w:val="nil"/>
            </w:tcBorders>
            <w:tcMar>
              <w:top w:w="0" w:type="dxa"/>
              <w:left w:w="28" w:type="dxa"/>
              <w:bottom w:w="0" w:type="dxa"/>
              <w:right w:w="28" w:type="dxa"/>
            </w:tcMar>
            <w:vAlign w:val="center"/>
          </w:tcPr>
          <w:p w14:paraId="20D2FA38" w14:textId="5FFCB781" w:rsidR="006359B5" w:rsidRPr="00237760" w:rsidRDefault="001065D8"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 xml:space="preserve">Częściowo (potencjalnie) Cel horyzontalny 1. Ograniczenie negatywnego oddziaływania </w:t>
            </w:r>
            <w:r w:rsidRPr="00237760">
              <w:rPr>
                <w:rFonts w:ascii="Arial" w:hAnsi="Arial" w:cs="Arial"/>
                <w:color w:val="auto"/>
                <w:sz w:val="24"/>
                <w:szCs w:val="24"/>
              </w:rPr>
              <w:lastRenderedPageBreak/>
              <w:t>sektora transportu na klimat oraz na regionalne środowisko naturalne</w:t>
            </w:r>
          </w:p>
        </w:tc>
      </w:tr>
      <w:tr w:rsidR="00237760" w:rsidRPr="00237760" w14:paraId="7C886D8A" w14:textId="77777777" w:rsidTr="006B1EFF">
        <w:trPr>
          <w:trHeight w:val="151"/>
        </w:trPr>
        <w:tc>
          <w:tcPr>
            <w:tcW w:w="5103" w:type="dxa"/>
            <w:tcBorders>
              <w:top w:val="single" w:sz="4" w:space="0" w:color="BDD6EE" w:themeColor="accent1" w:themeTint="66"/>
              <w:left w:val="nil"/>
              <w:bottom w:val="single" w:sz="4" w:space="0" w:color="BDD6EE" w:themeColor="accent1" w:themeTint="66"/>
              <w:right w:val="nil"/>
            </w:tcBorders>
            <w:tcMar>
              <w:top w:w="0" w:type="dxa"/>
              <w:left w:w="28" w:type="dxa"/>
              <w:bottom w:w="0" w:type="dxa"/>
              <w:right w:w="28" w:type="dxa"/>
            </w:tcMar>
            <w:vAlign w:val="center"/>
          </w:tcPr>
          <w:p w14:paraId="6F573602" w14:textId="434F8105" w:rsidR="00D25E2B" w:rsidRPr="00237760" w:rsidRDefault="00557297"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lastRenderedPageBreak/>
              <w:t>Infrastruktura techniczna (kanalizacja,</w:t>
            </w:r>
            <w:r w:rsidR="0075757E" w:rsidRPr="00237760">
              <w:rPr>
                <w:rFonts w:ascii="Arial" w:hAnsi="Arial" w:cs="Arial"/>
                <w:color w:val="auto"/>
                <w:sz w:val="24"/>
                <w:szCs w:val="24"/>
              </w:rPr>
              <w:t xml:space="preserve"> </w:t>
            </w:r>
            <w:r w:rsidRPr="00237760">
              <w:rPr>
                <w:rFonts w:ascii="Arial" w:hAnsi="Arial" w:cs="Arial"/>
                <w:color w:val="auto"/>
                <w:sz w:val="24"/>
                <w:szCs w:val="24"/>
              </w:rPr>
              <w:t>oczyszczalnia ścieków, wodociągi, chodniki)</w:t>
            </w:r>
          </w:p>
        </w:tc>
        <w:tc>
          <w:tcPr>
            <w:tcW w:w="3972" w:type="dxa"/>
            <w:tcBorders>
              <w:top w:val="single" w:sz="4" w:space="0" w:color="BDD6EE" w:themeColor="accent1" w:themeTint="66"/>
              <w:left w:val="nil"/>
              <w:bottom w:val="single" w:sz="4" w:space="0" w:color="BDD6EE" w:themeColor="accent1" w:themeTint="66"/>
              <w:right w:val="nil"/>
            </w:tcBorders>
            <w:tcMar>
              <w:top w:w="0" w:type="dxa"/>
              <w:left w:w="28" w:type="dxa"/>
              <w:bottom w:w="0" w:type="dxa"/>
              <w:right w:w="28" w:type="dxa"/>
            </w:tcMar>
            <w:vAlign w:val="center"/>
          </w:tcPr>
          <w:p w14:paraId="7FBFCF80" w14:textId="23992A88" w:rsidR="00D25E2B" w:rsidRPr="00237760" w:rsidRDefault="00810C7F"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Cel horyzontalny 4. Poprawa bezpieczeństwa w transporcie</w:t>
            </w:r>
          </w:p>
        </w:tc>
      </w:tr>
      <w:tr w:rsidR="00237760" w:rsidRPr="00237760" w14:paraId="2AF30539" w14:textId="77777777" w:rsidTr="006B1EFF">
        <w:trPr>
          <w:trHeight w:val="151"/>
        </w:trPr>
        <w:tc>
          <w:tcPr>
            <w:tcW w:w="5103" w:type="dxa"/>
            <w:tcBorders>
              <w:top w:val="single" w:sz="4" w:space="0" w:color="BDD6EE" w:themeColor="accent1" w:themeTint="66"/>
              <w:left w:val="nil"/>
              <w:bottom w:val="single" w:sz="4" w:space="0" w:color="BDD6EE" w:themeColor="accent1" w:themeTint="66"/>
              <w:right w:val="nil"/>
            </w:tcBorders>
            <w:tcMar>
              <w:top w:w="0" w:type="dxa"/>
              <w:left w:w="28" w:type="dxa"/>
              <w:bottom w:w="0" w:type="dxa"/>
              <w:right w:w="28" w:type="dxa"/>
            </w:tcMar>
            <w:vAlign w:val="center"/>
          </w:tcPr>
          <w:p w14:paraId="0FFF453C" w14:textId="69462C43" w:rsidR="00D25E2B" w:rsidRPr="00237760" w:rsidRDefault="00557297"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Wymagające remontów i przebudowy</w:t>
            </w:r>
            <w:r w:rsidR="0075757E" w:rsidRPr="00237760">
              <w:rPr>
                <w:rFonts w:ascii="Arial" w:hAnsi="Arial" w:cs="Arial"/>
                <w:color w:val="auto"/>
                <w:sz w:val="24"/>
                <w:szCs w:val="24"/>
              </w:rPr>
              <w:t xml:space="preserve"> </w:t>
            </w:r>
            <w:r w:rsidRPr="00237760">
              <w:rPr>
                <w:rFonts w:ascii="Arial" w:hAnsi="Arial" w:cs="Arial"/>
                <w:color w:val="auto"/>
                <w:sz w:val="24"/>
                <w:szCs w:val="24"/>
              </w:rPr>
              <w:t>mosty w ciągach dróg gminnych</w:t>
            </w:r>
          </w:p>
        </w:tc>
        <w:tc>
          <w:tcPr>
            <w:tcW w:w="3972" w:type="dxa"/>
            <w:tcBorders>
              <w:top w:val="single" w:sz="4" w:space="0" w:color="BDD6EE" w:themeColor="accent1" w:themeTint="66"/>
              <w:left w:val="nil"/>
              <w:bottom w:val="single" w:sz="4" w:space="0" w:color="BDD6EE" w:themeColor="accent1" w:themeTint="66"/>
              <w:right w:val="nil"/>
            </w:tcBorders>
            <w:tcMar>
              <w:top w:w="0" w:type="dxa"/>
              <w:left w:w="28" w:type="dxa"/>
              <w:bottom w:w="0" w:type="dxa"/>
              <w:right w:w="28" w:type="dxa"/>
            </w:tcMar>
            <w:vAlign w:val="center"/>
          </w:tcPr>
          <w:p w14:paraId="4F0FC485" w14:textId="7F242503" w:rsidR="00D25E2B" w:rsidRPr="00237760" w:rsidRDefault="00801CDD"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tc>
      </w:tr>
      <w:tr w:rsidR="00237760" w:rsidRPr="00237760" w14:paraId="68D50B56" w14:textId="77777777" w:rsidTr="006B1EFF">
        <w:trPr>
          <w:trHeight w:val="151"/>
        </w:trPr>
        <w:tc>
          <w:tcPr>
            <w:tcW w:w="5103" w:type="dxa"/>
            <w:tcBorders>
              <w:top w:val="single" w:sz="4" w:space="0" w:color="BDD6EE" w:themeColor="accent1" w:themeTint="66"/>
              <w:left w:val="nil"/>
              <w:bottom w:val="single" w:sz="4" w:space="0" w:color="BDD6EE" w:themeColor="accent1" w:themeTint="66"/>
              <w:right w:val="nil"/>
            </w:tcBorders>
            <w:tcMar>
              <w:top w:w="0" w:type="dxa"/>
              <w:left w:w="28" w:type="dxa"/>
              <w:bottom w:w="0" w:type="dxa"/>
              <w:right w:w="28" w:type="dxa"/>
            </w:tcMar>
            <w:vAlign w:val="center"/>
          </w:tcPr>
          <w:p w14:paraId="54D958ED" w14:textId="29FC8DD7" w:rsidR="003B3B4E" w:rsidRPr="00237760" w:rsidRDefault="00E47A97"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Słaba promocja Gminy pod względem rozwoju turystyki</w:t>
            </w:r>
          </w:p>
        </w:tc>
        <w:tc>
          <w:tcPr>
            <w:tcW w:w="3972" w:type="dxa"/>
            <w:tcBorders>
              <w:top w:val="single" w:sz="4" w:space="0" w:color="BDD6EE" w:themeColor="accent1" w:themeTint="66"/>
              <w:left w:val="nil"/>
              <w:bottom w:val="single" w:sz="4" w:space="0" w:color="BDD6EE" w:themeColor="accent1" w:themeTint="66"/>
              <w:right w:val="nil"/>
            </w:tcBorders>
            <w:tcMar>
              <w:top w:w="0" w:type="dxa"/>
              <w:left w:w="28" w:type="dxa"/>
              <w:bottom w:w="0" w:type="dxa"/>
              <w:right w:w="28" w:type="dxa"/>
            </w:tcMar>
            <w:vAlign w:val="center"/>
          </w:tcPr>
          <w:p w14:paraId="3135679F" w14:textId="53D5EE45" w:rsidR="003B3B4E" w:rsidRPr="00237760" w:rsidRDefault="00F21F77"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 xml:space="preserve">Potencjalnie </w:t>
            </w:r>
            <w:r w:rsidR="00373D30" w:rsidRPr="00237760">
              <w:rPr>
                <w:rFonts w:ascii="Arial" w:hAnsi="Arial" w:cs="Arial"/>
                <w:color w:val="auto"/>
                <w:sz w:val="24"/>
                <w:szCs w:val="24"/>
              </w:rPr>
              <w:t>Cel podstawowy 1. Dostępność zewnętrzna</w:t>
            </w:r>
            <w:r w:rsidRPr="00237760">
              <w:rPr>
                <w:rStyle w:val="Odwoanieprzypisudolnego"/>
                <w:rFonts w:ascii="Arial" w:hAnsi="Arial" w:cs="Arial"/>
                <w:color w:val="auto"/>
                <w:sz w:val="24"/>
                <w:szCs w:val="24"/>
              </w:rPr>
              <w:footnoteReference w:id="13"/>
            </w:r>
          </w:p>
        </w:tc>
      </w:tr>
      <w:tr w:rsidR="00237760" w:rsidRPr="00237760" w14:paraId="4CF7F681" w14:textId="77777777" w:rsidTr="00D707B7">
        <w:trPr>
          <w:trHeight w:val="151"/>
        </w:trPr>
        <w:tc>
          <w:tcPr>
            <w:tcW w:w="5103" w:type="dxa"/>
            <w:tcBorders>
              <w:top w:val="single" w:sz="4" w:space="0" w:color="BDD6EE" w:themeColor="accent1" w:themeTint="66"/>
              <w:left w:val="nil"/>
              <w:bottom w:val="single" w:sz="4" w:space="0" w:color="BDD6EE" w:themeColor="accent1" w:themeTint="66"/>
              <w:right w:val="nil"/>
            </w:tcBorders>
            <w:tcMar>
              <w:top w:w="0" w:type="dxa"/>
              <w:left w:w="28" w:type="dxa"/>
              <w:bottom w:w="0" w:type="dxa"/>
              <w:right w:w="28" w:type="dxa"/>
            </w:tcMar>
            <w:vAlign w:val="center"/>
          </w:tcPr>
          <w:p w14:paraId="3BAEDA53" w14:textId="7E0B1BBA" w:rsidR="00D25E2B" w:rsidRPr="00237760" w:rsidRDefault="00E47A97"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Słabo rozwinięta infrastruktura turystyczna</w:t>
            </w:r>
          </w:p>
        </w:tc>
        <w:tc>
          <w:tcPr>
            <w:tcW w:w="3972" w:type="dxa"/>
            <w:tcBorders>
              <w:top w:val="single" w:sz="4" w:space="0" w:color="BDD6EE" w:themeColor="accent1" w:themeTint="66"/>
              <w:left w:val="nil"/>
              <w:bottom w:val="single" w:sz="4" w:space="0" w:color="BDD6EE" w:themeColor="accent1" w:themeTint="66"/>
              <w:right w:val="nil"/>
            </w:tcBorders>
            <w:tcMar>
              <w:top w:w="0" w:type="dxa"/>
              <w:left w:w="28" w:type="dxa"/>
              <w:bottom w:w="0" w:type="dxa"/>
              <w:right w:w="28" w:type="dxa"/>
            </w:tcMar>
            <w:vAlign w:val="center"/>
          </w:tcPr>
          <w:p w14:paraId="3DFA78C5" w14:textId="2C41E23B" w:rsidR="00D25E2B" w:rsidRPr="00237760" w:rsidRDefault="00F21F77"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 xml:space="preserve">Potencjalnie </w:t>
            </w:r>
            <w:r w:rsidR="00373D30" w:rsidRPr="00237760">
              <w:rPr>
                <w:rFonts w:ascii="Arial" w:hAnsi="Arial" w:cs="Arial"/>
                <w:color w:val="auto"/>
                <w:sz w:val="24"/>
                <w:szCs w:val="24"/>
              </w:rPr>
              <w:t>Cel podstawowy 1. Dostępność zewnętrzna</w:t>
            </w:r>
            <w:r w:rsidR="00AB7681" w:rsidRPr="00237760">
              <w:rPr>
                <w:rStyle w:val="Odwoanieprzypisudolnego"/>
                <w:rFonts w:ascii="Arial" w:hAnsi="Arial" w:cs="Arial"/>
                <w:color w:val="auto"/>
                <w:sz w:val="24"/>
                <w:szCs w:val="24"/>
              </w:rPr>
              <w:footnoteReference w:id="14"/>
            </w:r>
          </w:p>
        </w:tc>
      </w:tr>
      <w:tr w:rsidR="00237760" w:rsidRPr="00237760" w14:paraId="082A416D" w14:textId="77777777" w:rsidTr="009367B4">
        <w:trPr>
          <w:trHeight w:val="151"/>
        </w:trPr>
        <w:tc>
          <w:tcPr>
            <w:tcW w:w="510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2B469714" w14:textId="77777777" w:rsidR="00D25E2B" w:rsidRPr="00237760" w:rsidRDefault="00D25E2B"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ZAGROŻENIA</w:t>
            </w:r>
          </w:p>
        </w:tc>
        <w:tc>
          <w:tcPr>
            <w:tcW w:w="3972"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tcPr>
          <w:p w14:paraId="4E1EA199" w14:textId="77777777" w:rsidR="00D25E2B" w:rsidRPr="00237760" w:rsidRDefault="00D25E2B" w:rsidP="009367B4">
            <w:pPr>
              <w:spacing w:after="0" w:line="240" w:lineRule="auto"/>
              <w:ind w:left="57" w:right="57"/>
              <w:jc w:val="left"/>
              <w:rPr>
                <w:rFonts w:ascii="Arial" w:hAnsi="Arial" w:cs="Arial"/>
                <w:color w:val="auto"/>
                <w:sz w:val="24"/>
                <w:szCs w:val="24"/>
              </w:rPr>
            </w:pPr>
          </w:p>
        </w:tc>
      </w:tr>
      <w:tr w:rsidR="00237760" w:rsidRPr="00237760" w14:paraId="366B2C1D" w14:textId="77777777" w:rsidTr="00D707B7">
        <w:trPr>
          <w:trHeight w:val="151"/>
        </w:trPr>
        <w:tc>
          <w:tcPr>
            <w:tcW w:w="5103" w:type="dxa"/>
            <w:tcBorders>
              <w:top w:val="single" w:sz="4" w:space="0" w:color="BDD6EE" w:themeColor="accent1" w:themeTint="66"/>
              <w:left w:val="nil"/>
              <w:bottom w:val="single" w:sz="4" w:space="0" w:color="BDD6EE" w:themeColor="accent1" w:themeTint="66"/>
              <w:right w:val="nil"/>
            </w:tcBorders>
            <w:tcMar>
              <w:top w:w="0" w:type="dxa"/>
              <w:left w:w="28" w:type="dxa"/>
              <w:bottom w:w="0" w:type="dxa"/>
              <w:right w:w="28" w:type="dxa"/>
            </w:tcMar>
            <w:vAlign w:val="center"/>
          </w:tcPr>
          <w:p w14:paraId="51D97D22" w14:textId="3C95257F" w:rsidR="0075757E" w:rsidRPr="00237760" w:rsidRDefault="009D6CF2"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Rosnące koszty budowy, remontów, modernizacji i utrzymania infrastruktury</w:t>
            </w:r>
          </w:p>
        </w:tc>
        <w:tc>
          <w:tcPr>
            <w:tcW w:w="3972" w:type="dxa"/>
            <w:tcBorders>
              <w:top w:val="single" w:sz="4" w:space="0" w:color="BDD6EE" w:themeColor="accent1" w:themeTint="66"/>
              <w:left w:val="nil"/>
              <w:bottom w:val="single" w:sz="4" w:space="0" w:color="BDD6EE" w:themeColor="accent1" w:themeTint="66"/>
              <w:right w:val="nil"/>
            </w:tcBorders>
            <w:tcMar>
              <w:top w:w="0" w:type="dxa"/>
              <w:left w:w="28" w:type="dxa"/>
              <w:bottom w:w="0" w:type="dxa"/>
              <w:right w:w="28" w:type="dxa"/>
            </w:tcMar>
            <w:vAlign w:val="center"/>
          </w:tcPr>
          <w:p w14:paraId="1FA274E5" w14:textId="1B4CCD22" w:rsidR="0075757E" w:rsidRPr="00237760" w:rsidRDefault="00A85FDD"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Poruszone w diagnozie</w:t>
            </w:r>
          </w:p>
        </w:tc>
      </w:tr>
      <w:tr w:rsidR="00237760" w:rsidRPr="00237760" w14:paraId="02083503" w14:textId="77777777" w:rsidTr="00D707B7">
        <w:trPr>
          <w:trHeight w:val="151"/>
        </w:trPr>
        <w:tc>
          <w:tcPr>
            <w:tcW w:w="5103" w:type="dxa"/>
            <w:tcBorders>
              <w:top w:val="single" w:sz="4" w:space="0" w:color="BDD6EE" w:themeColor="accent1" w:themeTint="66"/>
              <w:left w:val="nil"/>
              <w:bottom w:val="single" w:sz="4" w:space="0" w:color="BDD6EE" w:themeColor="accent1" w:themeTint="66"/>
              <w:right w:val="nil"/>
            </w:tcBorders>
            <w:tcMar>
              <w:top w:w="0" w:type="dxa"/>
              <w:left w:w="28" w:type="dxa"/>
              <w:bottom w:w="0" w:type="dxa"/>
              <w:right w:w="28" w:type="dxa"/>
            </w:tcMar>
            <w:vAlign w:val="center"/>
          </w:tcPr>
          <w:p w14:paraId="3EB20845" w14:textId="664CF0E5" w:rsidR="0075757E" w:rsidRPr="00237760" w:rsidRDefault="009D6CF2"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Skomplikowane procedury formalno-prawne przygotowywania i realizacji inwestycji budowlanych (np. pozwolenia na budowę, nadzór, geodezja, decyzje środowiskowe)</w:t>
            </w:r>
          </w:p>
        </w:tc>
        <w:tc>
          <w:tcPr>
            <w:tcW w:w="3972" w:type="dxa"/>
            <w:tcBorders>
              <w:top w:val="single" w:sz="4" w:space="0" w:color="BDD6EE" w:themeColor="accent1" w:themeTint="66"/>
              <w:left w:val="nil"/>
              <w:bottom w:val="single" w:sz="4" w:space="0" w:color="BDD6EE" w:themeColor="accent1" w:themeTint="66"/>
              <w:right w:val="nil"/>
            </w:tcBorders>
            <w:tcMar>
              <w:top w:w="0" w:type="dxa"/>
              <w:left w:w="28" w:type="dxa"/>
              <w:bottom w:w="0" w:type="dxa"/>
              <w:right w:w="28" w:type="dxa"/>
            </w:tcMar>
            <w:vAlign w:val="center"/>
          </w:tcPr>
          <w:p w14:paraId="4EF40247" w14:textId="524E56D7" w:rsidR="0075757E" w:rsidRPr="00237760" w:rsidRDefault="00587951"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Brak odniesień</w:t>
            </w:r>
            <w:r w:rsidR="00582539" w:rsidRPr="00237760">
              <w:rPr>
                <w:rFonts w:ascii="Arial" w:hAnsi="Arial" w:cs="Arial"/>
                <w:color w:val="auto"/>
                <w:sz w:val="24"/>
                <w:szCs w:val="24"/>
              </w:rPr>
              <w:t xml:space="preserve"> (</w:t>
            </w:r>
            <w:r w:rsidR="009C669B" w:rsidRPr="00237760">
              <w:rPr>
                <w:rFonts w:ascii="Arial" w:hAnsi="Arial" w:cs="Arial"/>
                <w:color w:val="auto"/>
                <w:sz w:val="24"/>
                <w:szCs w:val="24"/>
              </w:rPr>
              <w:t>odniesienia w części diagnostycznej)</w:t>
            </w:r>
            <w:r w:rsidR="00582539" w:rsidRPr="00237760">
              <w:rPr>
                <w:rFonts w:ascii="Arial" w:hAnsi="Arial" w:cs="Arial"/>
                <w:color w:val="auto"/>
                <w:sz w:val="24"/>
                <w:szCs w:val="24"/>
              </w:rPr>
              <w:t xml:space="preserve"> </w:t>
            </w:r>
          </w:p>
        </w:tc>
      </w:tr>
      <w:tr w:rsidR="00237760" w:rsidRPr="00237760" w14:paraId="18303DEE" w14:textId="77777777" w:rsidTr="00D707B7">
        <w:trPr>
          <w:trHeight w:val="151"/>
        </w:trPr>
        <w:tc>
          <w:tcPr>
            <w:tcW w:w="5103" w:type="dxa"/>
            <w:tcBorders>
              <w:top w:val="single" w:sz="4" w:space="0" w:color="BDD6EE" w:themeColor="accent1" w:themeTint="66"/>
              <w:left w:val="nil"/>
              <w:bottom w:val="single" w:sz="4" w:space="0" w:color="BDD6EE" w:themeColor="accent1" w:themeTint="66"/>
              <w:right w:val="nil"/>
            </w:tcBorders>
            <w:tcMar>
              <w:top w:w="0" w:type="dxa"/>
              <w:left w:w="28" w:type="dxa"/>
              <w:bottom w:w="0" w:type="dxa"/>
              <w:right w:w="28" w:type="dxa"/>
            </w:tcMar>
            <w:vAlign w:val="center"/>
          </w:tcPr>
          <w:p w14:paraId="23DF02DD" w14:textId="5BFD9299" w:rsidR="006C0D37" w:rsidRPr="00237760" w:rsidRDefault="006C0D37"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Rygorystyczność przepisów związanych</w:t>
            </w:r>
            <w:r w:rsidR="00A05D0F" w:rsidRPr="00237760">
              <w:rPr>
                <w:rFonts w:ascii="Arial" w:hAnsi="Arial" w:cs="Arial"/>
                <w:color w:val="auto"/>
                <w:sz w:val="24"/>
                <w:szCs w:val="24"/>
              </w:rPr>
              <w:t xml:space="preserve"> </w:t>
            </w:r>
            <w:r w:rsidRPr="00237760">
              <w:rPr>
                <w:rFonts w:ascii="Arial" w:hAnsi="Arial" w:cs="Arial"/>
                <w:color w:val="auto"/>
                <w:sz w:val="24"/>
                <w:szCs w:val="24"/>
              </w:rPr>
              <w:t>z ochroną środowiska</w:t>
            </w:r>
          </w:p>
        </w:tc>
        <w:tc>
          <w:tcPr>
            <w:tcW w:w="3972" w:type="dxa"/>
            <w:tcBorders>
              <w:top w:val="single" w:sz="4" w:space="0" w:color="BDD6EE" w:themeColor="accent1" w:themeTint="66"/>
              <w:left w:val="nil"/>
              <w:bottom w:val="single" w:sz="4" w:space="0" w:color="BDD6EE" w:themeColor="accent1" w:themeTint="66"/>
              <w:right w:val="nil"/>
            </w:tcBorders>
            <w:tcMar>
              <w:top w:w="0" w:type="dxa"/>
              <w:left w:w="28" w:type="dxa"/>
              <w:bottom w:w="0" w:type="dxa"/>
              <w:right w:w="28" w:type="dxa"/>
            </w:tcMar>
            <w:vAlign w:val="center"/>
          </w:tcPr>
          <w:p w14:paraId="31A46D6E" w14:textId="77777777" w:rsidR="00A05D0F" w:rsidRPr="00237760" w:rsidRDefault="00CC7256"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Częściowo</w:t>
            </w:r>
            <w:r w:rsidR="0015582E" w:rsidRPr="00237760">
              <w:rPr>
                <w:rFonts w:ascii="Arial" w:hAnsi="Arial" w:cs="Arial"/>
                <w:color w:val="auto"/>
                <w:sz w:val="24"/>
                <w:szCs w:val="24"/>
              </w:rPr>
              <w:t>:</w:t>
            </w:r>
          </w:p>
          <w:p w14:paraId="065ED8BC" w14:textId="77777777" w:rsidR="0015582E" w:rsidRPr="00237760" w:rsidRDefault="0015582E"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Cel horyzontalny 1. Ograniczenie negatywnego oddziaływania sektora transportu na klimat oraz na regionalne środowisko naturalne</w:t>
            </w:r>
          </w:p>
          <w:p w14:paraId="73DA9002" w14:textId="77777777" w:rsidR="0015582E" w:rsidRPr="00237760" w:rsidRDefault="0015582E"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Cel horyzontalny 2. Wzmocnienie rozwiązań multimodalnych</w:t>
            </w:r>
          </w:p>
          <w:p w14:paraId="3D7DA503" w14:textId="65E7A471" w:rsidR="006C0D37" w:rsidRPr="00237760" w:rsidRDefault="0015582E"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14E2BA97" w14:textId="77777777" w:rsidTr="009367B4">
        <w:trPr>
          <w:trHeight w:val="151"/>
        </w:trPr>
        <w:tc>
          <w:tcPr>
            <w:tcW w:w="9075" w:type="dxa"/>
            <w:gridSpan w:val="2"/>
            <w:tcBorders>
              <w:top w:val="single" w:sz="4" w:space="0" w:color="BDD6EE" w:themeColor="accent1" w:themeTint="66"/>
              <w:left w:val="nil"/>
              <w:right w:val="nil"/>
            </w:tcBorders>
            <w:shd w:val="clear" w:color="auto" w:fill="auto"/>
            <w:tcMar>
              <w:left w:w="28" w:type="dxa"/>
              <w:right w:w="28" w:type="dxa"/>
            </w:tcMar>
            <w:vAlign w:val="center"/>
          </w:tcPr>
          <w:p w14:paraId="7EAED9B4" w14:textId="4677112D" w:rsidR="009F0C37" w:rsidRPr="00237760" w:rsidRDefault="00BA6750" w:rsidP="009367B4">
            <w:pPr>
              <w:spacing w:after="0" w:line="240" w:lineRule="auto"/>
              <w:ind w:left="57" w:right="57"/>
              <w:jc w:val="left"/>
              <w:rPr>
                <w:rFonts w:ascii="Arial" w:hAnsi="Arial" w:cs="Arial"/>
                <w:b/>
                <w:bCs/>
                <w:color w:val="auto"/>
                <w:sz w:val="24"/>
                <w:szCs w:val="24"/>
              </w:rPr>
            </w:pPr>
            <w:r w:rsidRPr="00237760">
              <w:rPr>
                <w:rFonts w:ascii="Arial" w:hAnsi="Arial" w:cs="Arial"/>
                <w:b/>
                <w:bCs/>
                <w:color w:val="auto"/>
                <w:sz w:val="24"/>
                <w:szCs w:val="24"/>
              </w:rPr>
              <w:t>Strategia Rozwoju Gminy Harasiuki na lata 2015-2025</w:t>
            </w:r>
          </w:p>
        </w:tc>
      </w:tr>
      <w:tr w:rsidR="00237760" w:rsidRPr="00237760" w14:paraId="48BCAC41" w14:textId="77777777" w:rsidTr="009367B4">
        <w:trPr>
          <w:trHeight w:val="151"/>
        </w:trPr>
        <w:tc>
          <w:tcPr>
            <w:tcW w:w="9075" w:type="dxa"/>
            <w:gridSpan w:val="2"/>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08D75AA2" w14:textId="5D8B6F51" w:rsidR="005C4233" w:rsidRPr="00237760" w:rsidRDefault="005C4233"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 xml:space="preserve">SZANSE </w:t>
            </w:r>
          </w:p>
        </w:tc>
      </w:tr>
      <w:tr w:rsidR="00237760" w:rsidRPr="00237760" w14:paraId="6DE41257" w14:textId="77777777" w:rsidTr="00D707B7">
        <w:trPr>
          <w:trHeight w:val="151"/>
        </w:trPr>
        <w:tc>
          <w:tcPr>
            <w:tcW w:w="5103" w:type="dxa"/>
            <w:tcBorders>
              <w:top w:val="single" w:sz="4" w:space="0" w:color="BDD6EE" w:themeColor="accent1" w:themeTint="66"/>
              <w:left w:val="nil"/>
              <w:bottom w:val="single" w:sz="4" w:space="0" w:color="BDD6EE" w:themeColor="accent1" w:themeTint="66"/>
              <w:right w:val="nil"/>
            </w:tcBorders>
            <w:tcMar>
              <w:top w:w="0" w:type="dxa"/>
              <w:left w:w="28" w:type="dxa"/>
              <w:bottom w:w="0" w:type="dxa"/>
              <w:right w:w="28" w:type="dxa"/>
            </w:tcMar>
            <w:vAlign w:val="center"/>
          </w:tcPr>
          <w:p w14:paraId="4E906399" w14:textId="63CB5882" w:rsidR="005C4233" w:rsidRPr="00237760" w:rsidRDefault="0016200E"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Możliwość korzystania ze środków europejskich i innych źródeł finansowania zewnętrznego</w:t>
            </w:r>
          </w:p>
        </w:tc>
        <w:tc>
          <w:tcPr>
            <w:tcW w:w="3972" w:type="dxa"/>
            <w:tcBorders>
              <w:top w:val="single" w:sz="4" w:space="0" w:color="BDD6EE" w:themeColor="accent1" w:themeTint="66"/>
              <w:left w:val="nil"/>
              <w:bottom w:val="single" w:sz="4" w:space="0" w:color="BDD6EE" w:themeColor="accent1" w:themeTint="66"/>
              <w:right w:val="nil"/>
            </w:tcBorders>
            <w:tcMar>
              <w:top w:w="0" w:type="dxa"/>
              <w:left w:w="28" w:type="dxa"/>
              <w:bottom w:w="0" w:type="dxa"/>
              <w:right w:w="28" w:type="dxa"/>
            </w:tcMar>
            <w:vAlign w:val="center"/>
          </w:tcPr>
          <w:p w14:paraId="1449CA56" w14:textId="73615414" w:rsidR="005C4233" w:rsidRPr="00237760" w:rsidRDefault="00E37DA3"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Wszystkie cele</w:t>
            </w:r>
          </w:p>
        </w:tc>
      </w:tr>
    </w:tbl>
    <w:tbl>
      <w:tblPr>
        <w:tblStyle w:val="Tabela-Siatka3"/>
        <w:tblW w:w="9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9075"/>
      </w:tblGrid>
      <w:tr w:rsidR="00237760" w:rsidRPr="00237760" w14:paraId="7384BB4E" w14:textId="77777777" w:rsidTr="009367B4">
        <w:trPr>
          <w:trHeight w:val="151"/>
        </w:trPr>
        <w:tc>
          <w:tcPr>
            <w:tcW w:w="9075" w:type="dxa"/>
            <w:shd w:val="clear" w:color="auto" w:fill="auto"/>
            <w:tcMar>
              <w:left w:w="28" w:type="dxa"/>
              <w:right w:w="28" w:type="dxa"/>
            </w:tcMar>
            <w:vAlign w:val="center"/>
          </w:tcPr>
          <w:p w14:paraId="47506D7A" w14:textId="39056CEB" w:rsidR="00313A8E" w:rsidRPr="00237760" w:rsidRDefault="00313A8E" w:rsidP="009367B4">
            <w:pPr>
              <w:spacing w:after="0" w:line="240" w:lineRule="auto"/>
              <w:ind w:left="57" w:right="57"/>
              <w:jc w:val="left"/>
              <w:rPr>
                <w:rFonts w:ascii="Arial" w:hAnsi="Arial" w:cs="Arial"/>
                <w:b/>
                <w:bCs/>
                <w:color w:val="auto"/>
                <w:sz w:val="24"/>
                <w:szCs w:val="24"/>
              </w:rPr>
            </w:pPr>
            <w:r w:rsidRPr="00237760">
              <w:rPr>
                <w:rFonts w:ascii="Arial" w:hAnsi="Arial" w:cs="Arial"/>
                <w:b/>
                <w:bCs/>
                <w:color w:val="auto"/>
                <w:sz w:val="24"/>
                <w:szCs w:val="24"/>
              </w:rPr>
              <w:t xml:space="preserve">Strategia Rozwoju </w:t>
            </w:r>
            <w:r w:rsidR="00136118" w:rsidRPr="00237760">
              <w:rPr>
                <w:rFonts w:ascii="Arial" w:hAnsi="Arial" w:cs="Arial"/>
                <w:b/>
                <w:bCs/>
                <w:color w:val="auto"/>
                <w:sz w:val="24"/>
                <w:szCs w:val="24"/>
              </w:rPr>
              <w:t xml:space="preserve">Społeczno-Gospodarczego dla </w:t>
            </w:r>
            <w:r w:rsidRPr="00237760">
              <w:rPr>
                <w:rFonts w:ascii="Arial" w:hAnsi="Arial" w:cs="Arial"/>
                <w:b/>
                <w:bCs/>
                <w:color w:val="auto"/>
                <w:sz w:val="24"/>
                <w:szCs w:val="24"/>
              </w:rPr>
              <w:t xml:space="preserve">Gminy </w:t>
            </w:r>
            <w:r w:rsidR="00136118" w:rsidRPr="00237760">
              <w:rPr>
                <w:rFonts w:ascii="Arial" w:hAnsi="Arial" w:cs="Arial"/>
                <w:b/>
                <w:bCs/>
                <w:color w:val="auto"/>
                <w:sz w:val="24"/>
                <w:szCs w:val="24"/>
              </w:rPr>
              <w:t>Iwonicz-Zdrój</w:t>
            </w:r>
            <w:r w:rsidRPr="00237760">
              <w:rPr>
                <w:rFonts w:ascii="Arial" w:hAnsi="Arial" w:cs="Arial"/>
                <w:b/>
                <w:bCs/>
                <w:color w:val="auto"/>
                <w:sz w:val="24"/>
                <w:szCs w:val="24"/>
              </w:rPr>
              <w:t xml:space="preserve"> na lata 2016-</w:t>
            </w:r>
            <w:r w:rsidR="00136118" w:rsidRPr="00237760">
              <w:rPr>
                <w:rFonts w:ascii="Arial" w:hAnsi="Arial" w:cs="Arial"/>
                <w:b/>
                <w:bCs/>
                <w:color w:val="auto"/>
                <w:sz w:val="24"/>
                <w:szCs w:val="24"/>
              </w:rPr>
              <w:t>2022</w:t>
            </w:r>
          </w:p>
        </w:tc>
      </w:tr>
    </w:tbl>
    <w:tbl>
      <w:tblPr>
        <w:tblStyle w:val="Tabela-Siatka5"/>
        <w:tblW w:w="9075" w:type="dxa"/>
        <w:tblInd w:w="0"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57" w:type="dxa"/>
          <w:right w:w="57" w:type="dxa"/>
        </w:tblCellMar>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5103"/>
        <w:gridCol w:w="3972"/>
      </w:tblGrid>
      <w:tr w:rsidR="00237760" w:rsidRPr="00237760" w14:paraId="1622C90B" w14:textId="77777777" w:rsidTr="009367B4">
        <w:trPr>
          <w:trHeight w:val="151"/>
        </w:trPr>
        <w:tc>
          <w:tcPr>
            <w:tcW w:w="510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0A7BFE58" w14:textId="7A7C8DB0" w:rsidR="00136118" w:rsidRPr="00237760" w:rsidRDefault="00136118"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 xml:space="preserve">SŁABOŚCI </w:t>
            </w:r>
          </w:p>
        </w:tc>
        <w:tc>
          <w:tcPr>
            <w:tcW w:w="3972"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tcPr>
          <w:p w14:paraId="51D93DC0" w14:textId="77777777" w:rsidR="00136118" w:rsidRPr="00237760" w:rsidRDefault="00136118" w:rsidP="009367B4">
            <w:pPr>
              <w:spacing w:after="0" w:line="240" w:lineRule="auto"/>
              <w:ind w:left="57" w:right="57"/>
              <w:jc w:val="left"/>
              <w:rPr>
                <w:rFonts w:ascii="Arial" w:hAnsi="Arial" w:cs="Arial"/>
                <w:color w:val="auto"/>
                <w:sz w:val="24"/>
                <w:szCs w:val="24"/>
              </w:rPr>
            </w:pPr>
          </w:p>
        </w:tc>
      </w:tr>
      <w:tr w:rsidR="00237760" w:rsidRPr="00237760" w14:paraId="563413F7" w14:textId="77777777" w:rsidTr="00D707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51"/>
        </w:trPr>
        <w:tc>
          <w:tcPr>
            <w:tcW w:w="5103" w:type="dxa"/>
            <w:tcBorders>
              <w:top w:val="single" w:sz="4" w:space="0" w:color="BDD6EE" w:themeColor="accent1" w:themeTint="66"/>
              <w:left w:val="nil"/>
              <w:bottom w:val="single" w:sz="4" w:space="0" w:color="BDD6EE" w:themeColor="accent1" w:themeTint="66"/>
              <w:right w:val="nil"/>
            </w:tcBorders>
          </w:tcPr>
          <w:p w14:paraId="153E77C5" w14:textId="20F985D8" w:rsidR="00136118" w:rsidRPr="00237760" w:rsidRDefault="0071527E"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S</w:t>
            </w:r>
            <w:r w:rsidR="009B60F4" w:rsidRPr="00237760">
              <w:rPr>
                <w:rFonts w:ascii="Arial" w:hAnsi="Arial" w:cs="Arial"/>
                <w:color w:val="auto"/>
                <w:sz w:val="24"/>
                <w:szCs w:val="24"/>
              </w:rPr>
              <w:t>łaba dostępność komunikacyjna</w:t>
            </w:r>
          </w:p>
        </w:tc>
        <w:tc>
          <w:tcPr>
            <w:tcW w:w="3972" w:type="dxa"/>
            <w:tcBorders>
              <w:top w:val="single" w:sz="4" w:space="0" w:color="BDD6EE" w:themeColor="accent1" w:themeTint="66"/>
              <w:left w:val="nil"/>
              <w:bottom w:val="single" w:sz="4" w:space="0" w:color="BDD6EE" w:themeColor="accent1" w:themeTint="66"/>
              <w:right w:val="nil"/>
            </w:tcBorders>
          </w:tcPr>
          <w:p w14:paraId="18858B0C" w14:textId="4F3A0EDC" w:rsidR="00136118" w:rsidRPr="00237760" w:rsidRDefault="00507FF5"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Wszystkie cele</w:t>
            </w:r>
          </w:p>
        </w:tc>
      </w:tr>
      <w:tr w:rsidR="00237760" w:rsidRPr="00237760" w14:paraId="3F4300FC" w14:textId="77777777" w:rsidTr="001353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51"/>
        </w:trPr>
        <w:tc>
          <w:tcPr>
            <w:tcW w:w="5103" w:type="dxa"/>
            <w:tcBorders>
              <w:top w:val="single" w:sz="4" w:space="0" w:color="BDD6EE" w:themeColor="accent1" w:themeTint="66"/>
              <w:left w:val="nil"/>
              <w:bottom w:val="single" w:sz="4" w:space="0" w:color="BDD6EE" w:themeColor="accent1" w:themeTint="66"/>
              <w:right w:val="nil"/>
            </w:tcBorders>
          </w:tcPr>
          <w:p w14:paraId="7B5E9823" w14:textId="1363C4D7" w:rsidR="0071527E" w:rsidRPr="00237760" w:rsidRDefault="00C0670E"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Zła infrastruktura drogowo-komunikacyjna</w:t>
            </w:r>
          </w:p>
        </w:tc>
        <w:tc>
          <w:tcPr>
            <w:tcW w:w="3972" w:type="dxa"/>
            <w:tcBorders>
              <w:top w:val="single" w:sz="4" w:space="0" w:color="BDD6EE" w:themeColor="accent1" w:themeTint="66"/>
              <w:left w:val="nil"/>
              <w:bottom w:val="single" w:sz="4" w:space="0" w:color="BDD6EE" w:themeColor="accent1" w:themeTint="66"/>
              <w:right w:val="nil"/>
            </w:tcBorders>
            <w:vAlign w:val="center"/>
          </w:tcPr>
          <w:p w14:paraId="76FF67EE" w14:textId="041A0A89" w:rsidR="0071527E" w:rsidRPr="00237760" w:rsidRDefault="005F0C9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Wszystkie cele</w:t>
            </w:r>
          </w:p>
        </w:tc>
      </w:tr>
      <w:tr w:rsidR="00237760" w:rsidRPr="00237760" w14:paraId="276E21E0" w14:textId="77777777" w:rsidTr="001353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51"/>
        </w:trPr>
        <w:tc>
          <w:tcPr>
            <w:tcW w:w="5103" w:type="dxa"/>
            <w:tcBorders>
              <w:top w:val="single" w:sz="4" w:space="0" w:color="BDD6EE" w:themeColor="accent1" w:themeTint="66"/>
              <w:left w:val="nil"/>
              <w:bottom w:val="single" w:sz="4" w:space="0" w:color="BDD6EE" w:themeColor="accent1" w:themeTint="66"/>
              <w:right w:val="nil"/>
            </w:tcBorders>
          </w:tcPr>
          <w:p w14:paraId="239E60AA" w14:textId="681BFD87" w:rsidR="006057EF" w:rsidRPr="00237760" w:rsidRDefault="00DC05B0"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Nieo</w:t>
            </w:r>
            <w:r w:rsidR="006057EF" w:rsidRPr="00237760">
              <w:rPr>
                <w:rFonts w:ascii="Arial" w:hAnsi="Arial" w:cs="Arial"/>
                <w:color w:val="auto"/>
                <w:sz w:val="24"/>
                <w:szCs w:val="24"/>
              </w:rPr>
              <w:t xml:space="preserve">dpowiadająca bieżącym wymaganiom sieć komunikacyjna </w:t>
            </w:r>
            <w:r w:rsidR="00902DAE" w:rsidRPr="00237760">
              <w:rPr>
                <w:rFonts w:ascii="Arial" w:hAnsi="Arial" w:cs="Arial"/>
                <w:color w:val="auto"/>
                <w:sz w:val="24"/>
                <w:szCs w:val="24"/>
              </w:rPr>
              <w:t>–</w:t>
            </w:r>
            <w:r w:rsidR="006057EF" w:rsidRPr="00237760">
              <w:rPr>
                <w:rFonts w:ascii="Arial" w:hAnsi="Arial" w:cs="Arial"/>
                <w:color w:val="auto"/>
                <w:sz w:val="24"/>
                <w:szCs w:val="24"/>
              </w:rPr>
              <w:t xml:space="preserve"> słaby dojazd do uzdrowiska główną drogą</w:t>
            </w:r>
          </w:p>
        </w:tc>
        <w:tc>
          <w:tcPr>
            <w:tcW w:w="3972" w:type="dxa"/>
            <w:tcBorders>
              <w:top w:val="single" w:sz="4" w:space="0" w:color="BDD6EE" w:themeColor="accent1" w:themeTint="66"/>
              <w:left w:val="nil"/>
              <w:bottom w:val="single" w:sz="4" w:space="0" w:color="BDD6EE" w:themeColor="accent1" w:themeTint="66"/>
              <w:right w:val="nil"/>
            </w:tcBorders>
            <w:vAlign w:val="center"/>
          </w:tcPr>
          <w:p w14:paraId="0015DF23" w14:textId="77777777" w:rsidR="00507FF5" w:rsidRPr="00237760" w:rsidRDefault="00F5310C"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0DEF110F" w14:textId="1E4A2AC0" w:rsidR="006057EF" w:rsidRPr="00237760" w:rsidRDefault="00957376"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Częściowo: Cel podstawowy 1. Dostępność zewnętrzna</w:t>
            </w:r>
          </w:p>
        </w:tc>
      </w:tr>
      <w:tr w:rsidR="00237760" w:rsidRPr="00237760" w14:paraId="671F743F" w14:textId="77777777" w:rsidTr="006B1E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7ECB6958" w14:textId="44F0853C" w:rsidR="00F96C67" w:rsidRPr="00237760" w:rsidRDefault="00DC05B0"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lastRenderedPageBreak/>
              <w:t>Brak parkingów</w:t>
            </w:r>
          </w:p>
        </w:tc>
        <w:tc>
          <w:tcPr>
            <w:tcW w:w="3972" w:type="dxa"/>
            <w:tcBorders>
              <w:top w:val="single" w:sz="4" w:space="0" w:color="BDD6EE" w:themeColor="accent1" w:themeTint="66"/>
              <w:left w:val="nil"/>
              <w:bottom w:val="single" w:sz="4" w:space="0" w:color="BDD6EE" w:themeColor="accent1" w:themeTint="66"/>
              <w:right w:val="nil"/>
            </w:tcBorders>
            <w:vAlign w:val="center"/>
          </w:tcPr>
          <w:p w14:paraId="7A76ABA5" w14:textId="121257C6" w:rsidR="00EE3127" w:rsidRPr="00237760" w:rsidRDefault="00B90C6B"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Częściowo</w:t>
            </w:r>
            <w:r w:rsidR="00EE3127" w:rsidRPr="00237760">
              <w:rPr>
                <w:rStyle w:val="Odwoanieprzypisudolnego"/>
                <w:rFonts w:ascii="Arial" w:hAnsi="Arial" w:cs="Arial"/>
                <w:color w:val="auto"/>
                <w:sz w:val="24"/>
                <w:szCs w:val="24"/>
              </w:rPr>
              <w:footnoteReference w:id="15"/>
            </w:r>
            <w:r w:rsidRPr="00237760">
              <w:rPr>
                <w:rFonts w:ascii="Arial" w:hAnsi="Arial" w:cs="Arial"/>
                <w:color w:val="auto"/>
                <w:sz w:val="24"/>
                <w:szCs w:val="24"/>
              </w:rPr>
              <w:t xml:space="preserve">: </w:t>
            </w:r>
          </w:p>
          <w:p w14:paraId="207DD3C0" w14:textId="16314026" w:rsidR="00EE3127" w:rsidRPr="00237760" w:rsidRDefault="008E647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065F22E3" w14:textId="77777777" w:rsidR="00EE3127" w:rsidRPr="00237760" w:rsidRDefault="00EE3127"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 xml:space="preserve">Cel horyzontalny 2. Wzmocnienie rozwiązań multimodalnych </w:t>
            </w:r>
          </w:p>
          <w:p w14:paraId="5C954FB3" w14:textId="31F15338" w:rsidR="00F96C67" w:rsidRPr="00237760" w:rsidRDefault="008E647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48FD15A5" w14:textId="77777777" w:rsidTr="00BD25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51"/>
        </w:trPr>
        <w:tc>
          <w:tcPr>
            <w:tcW w:w="5103" w:type="dxa"/>
            <w:tcBorders>
              <w:top w:val="single" w:sz="4" w:space="0" w:color="BDD6EE" w:themeColor="accent1" w:themeTint="66"/>
              <w:left w:val="nil"/>
              <w:bottom w:val="single" w:sz="4" w:space="0" w:color="BDD6EE" w:themeColor="accent1" w:themeTint="66"/>
              <w:right w:val="nil"/>
            </w:tcBorders>
          </w:tcPr>
          <w:p w14:paraId="74879177" w14:textId="2FDB14A1" w:rsidR="00F96C67" w:rsidRPr="00237760" w:rsidRDefault="00DC05B0"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Utrudnienia dla osób</w:t>
            </w:r>
            <w:r w:rsidR="00D25051" w:rsidRPr="00237760">
              <w:rPr>
                <w:rFonts w:ascii="Arial" w:hAnsi="Arial" w:cs="Arial"/>
                <w:color w:val="auto"/>
                <w:sz w:val="24"/>
                <w:szCs w:val="24"/>
              </w:rPr>
              <w:t xml:space="preserve"> niepełnosprawnych</w:t>
            </w:r>
          </w:p>
        </w:tc>
        <w:tc>
          <w:tcPr>
            <w:tcW w:w="3972" w:type="dxa"/>
            <w:tcBorders>
              <w:top w:val="single" w:sz="4" w:space="0" w:color="BDD6EE" w:themeColor="accent1" w:themeTint="66"/>
              <w:left w:val="nil"/>
              <w:bottom w:val="single" w:sz="4" w:space="0" w:color="BDD6EE" w:themeColor="accent1" w:themeTint="66"/>
              <w:right w:val="nil"/>
            </w:tcBorders>
            <w:vAlign w:val="center"/>
          </w:tcPr>
          <w:p w14:paraId="0FE46B82" w14:textId="609A0884" w:rsidR="00F96C67" w:rsidRPr="00237760" w:rsidRDefault="00A0431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43F6B84E" w14:textId="77777777" w:rsidTr="009367B4">
        <w:trPr>
          <w:trHeight w:val="151"/>
        </w:trPr>
        <w:tc>
          <w:tcPr>
            <w:tcW w:w="510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440607AB" w14:textId="6D83CBB9" w:rsidR="00D25051" w:rsidRPr="00237760" w:rsidRDefault="00D25051"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 xml:space="preserve">SZANSE </w:t>
            </w:r>
          </w:p>
        </w:tc>
        <w:tc>
          <w:tcPr>
            <w:tcW w:w="3972"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tcPr>
          <w:p w14:paraId="36610B2E" w14:textId="77777777" w:rsidR="00D25051" w:rsidRPr="00237760" w:rsidRDefault="00D25051" w:rsidP="009367B4">
            <w:pPr>
              <w:spacing w:after="0" w:line="240" w:lineRule="auto"/>
              <w:ind w:left="57" w:right="57"/>
              <w:jc w:val="left"/>
              <w:rPr>
                <w:rFonts w:ascii="Arial" w:hAnsi="Arial" w:cs="Arial"/>
                <w:color w:val="auto"/>
                <w:sz w:val="24"/>
                <w:szCs w:val="24"/>
              </w:rPr>
            </w:pPr>
          </w:p>
        </w:tc>
      </w:tr>
      <w:tr w:rsidR="00237760" w:rsidRPr="00237760" w14:paraId="5D75E656" w14:textId="77777777" w:rsidTr="00D707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51"/>
        </w:trPr>
        <w:tc>
          <w:tcPr>
            <w:tcW w:w="5103" w:type="dxa"/>
            <w:tcBorders>
              <w:top w:val="single" w:sz="4" w:space="0" w:color="BDD6EE" w:themeColor="accent1" w:themeTint="66"/>
              <w:left w:val="nil"/>
              <w:bottom w:val="single" w:sz="4" w:space="0" w:color="BDD6EE" w:themeColor="accent1" w:themeTint="66"/>
              <w:right w:val="nil"/>
            </w:tcBorders>
          </w:tcPr>
          <w:p w14:paraId="640C1911" w14:textId="3F3A884A" w:rsidR="00DE1392" w:rsidRPr="00237760" w:rsidRDefault="00DC05B0"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 xml:space="preserve">Wykorzystanie </w:t>
            </w:r>
            <w:r w:rsidR="00DE1392" w:rsidRPr="00237760">
              <w:rPr>
                <w:rFonts w:ascii="Arial" w:hAnsi="Arial" w:cs="Arial"/>
                <w:color w:val="auto"/>
                <w:sz w:val="24"/>
                <w:szCs w:val="24"/>
              </w:rPr>
              <w:t>środków z Programu Operacyjnego Polski Wschodniej 2014-2020</w:t>
            </w:r>
          </w:p>
        </w:tc>
        <w:tc>
          <w:tcPr>
            <w:tcW w:w="3972" w:type="dxa"/>
            <w:tcBorders>
              <w:top w:val="single" w:sz="4" w:space="0" w:color="BDD6EE" w:themeColor="accent1" w:themeTint="66"/>
              <w:left w:val="nil"/>
              <w:bottom w:val="single" w:sz="4" w:space="0" w:color="BDD6EE" w:themeColor="accent1" w:themeTint="66"/>
              <w:right w:val="nil"/>
            </w:tcBorders>
          </w:tcPr>
          <w:p w14:paraId="3F2A867B" w14:textId="3F1FF95D" w:rsidR="00DE1392" w:rsidRPr="00237760" w:rsidRDefault="00CB5557"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Wszystkie cele</w:t>
            </w:r>
          </w:p>
        </w:tc>
      </w:tr>
      <w:tr w:rsidR="00237760" w:rsidRPr="00237760" w14:paraId="7369F2DA" w14:textId="77777777" w:rsidTr="006B1E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7E599D8A" w14:textId="35C0C916" w:rsidR="00E7601E" w:rsidRPr="00237760" w:rsidRDefault="00DC05B0"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 xml:space="preserve">Polityka </w:t>
            </w:r>
            <w:r w:rsidR="00E7601E" w:rsidRPr="00237760">
              <w:rPr>
                <w:rFonts w:ascii="Arial" w:hAnsi="Arial" w:cs="Arial"/>
                <w:color w:val="auto"/>
                <w:sz w:val="24"/>
                <w:szCs w:val="24"/>
              </w:rPr>
              <w:t>państwa, w tym podpisanie ustawy antysmogowej przez Prezydenta RP</w:t>
            </w:r>
          </w:p>
        </w:tc>
        <w:tc>
          <w:tcPr>
            <w:tcW w:w="3972" w:type="dxa"/>
            <w:tcBorders>
              <w:top w:val="single" w:sz="4" w:space="0" w:color="BDD6EE" w:themeColor="accent1" w:themeTint="66"/>
              <w:left w:val="nil"/>
              <w:bottom w:val="single" w:sz="4" w:space="0" w:color="BDD6EE" w:themeColor="accent1" w:themeTint="66"/>
              <w:right w:val="nil"/>
            </w:tcBorders>
          </w:tcPr>
          <w:p w14:paraId="7D1A9460" w14:textId="77777777" w:rsidR="00507FF5" w:rsidRPr="00237760" w:rsidRDefault="00986E9B"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1. Ograniczenie negatywnego oddziaływania sektora transportu na klimat oraz na regionalne środowisko naturalne</w:t>
            </w:r>
          </w:p>
          <w:p w14:paraId="4EFDA32E" w14:textId="45D9485B" w:rsidR="00E7601E" w:rsidRPr="00237760" w:rsidRDefault="00986E9B"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2FFBFCE4" w14:textId="77777777" w:rsidTr="006B1E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084EFDA8" w14:textId="456F82AA" w:rsidR="00E7601E" w:rsidRPr="00237760" w:rsidRDefault="00DC05B0"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Zwiększająca się świadomość</w:t>
            </w:r>
            <w:r w:rsidR="00E7601E" w:rsidRPr="00237760">
              <w:rPr>
                <w:rFonts w:ascii="Arial" w:hAnsi="Arial" w:cs="Arial"/>
                <w:color w:val="auto"/>
                <w:sz w:val="24"/>
                <w:szCs w:val="24"/>
              </w:rPr>
              <w:t xml:space="preserve"> </w:t>
            </w:r>
            <w:r w:rsidRPr="00237760">
              <w:rPr>
                <w:rFonts w:ascii="Arial" w:hAnsi="Arial" w:cs="Arial"/>
                <w:color w:val="auto"/>
                <w:sz w:val="24"/>
                <w:szCs w:val="24"/>
              </w:rPr>
              <w:t>społeczna dot. Ochrony</w:t>
            </w:r>
            <w:r w:rsidR="00E7601E" w:rsidRPr="00237760">
              <w:rPr>
                <w:rFonts w:ascii="Arial" w:hAnsi="Arial" w:cs="Arial"/>
                <w:color w:val="auto"/>
                <w:sz w:val="24"/>
                <w:szCs w:val="24"/>
              </w:rPr>
              <w:t xml:space="preserve"> środowiska naturalnego</w:t>
            </w:r>
          </w:p>
        </w:tc>
        <w:tc>
          <w:tcPr>
            <w:tcW w:w="3972" w:type="dxa"/>
            <w:tcBorders>
              <w:top w:val="single" w:sz="4" w:space="0" w:color="BDD6EE" w:themeColor="accent1" w:themeTint="66"/>
              <w:left w:val="nil"/>
              <w:bottom w:val="single" w:sz="4" w:space="0" w:color="BDD6EE" w:themeColor="accent1" w:themeTint="66"/>
              <w:right w:val="nil"/>
            </w:tcBorders>
          </w:tcPr>
          <w:p w14:paraId="04B28DE4" w14:textId="77777777" w:rsidR="00986E9B" w:rsidRPr="00237760" w:rsidRDefault="00986E9B"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1. Ograniczenie negatywnego oddziaływania sektora transportu na klimat oraz na regionalne środowisko naturalne</w:t>
            </w:r>
          </w:p>
          <w:p w14:paraId="5965C323" w14:textId="50FA22C4" w:rsidR="00E7601E" w:rsidRPr="00237760" w:rsidRDefault="00986E9B"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19B69381" w14:textId="77777777" w:rsidTr="006B1E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19E904AE" w14:textId="7D05E278" w:rsidR="00E7601E" w:rsidRPr="00237760" w:rsidRDefault="00DC05B0"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 xml:space="preserve">Pozyskanie </w:t>
            </w:r>
            <w:r w:rsidR="00E7601E" w:rsidRPr="00237760">
              <w:rPr>
                <w:rFonts w:ascii="Arial" w:hAnsi="Arial" w:cs="Arial"/>
                <w:color w:val="auto"/>
                <w:sz w:val="24"/>
                <w:szCs w:val="24"/>
              </w:rPr>
              <w:t>środków europejskich z nowej perspektywy finansowej: RPO WP na lata 2014-2020 na ochronę powietrza</w:t>
            </w:r>
          </w:p>
        </w:tc>
        <w:tc>
          <w:tcPr>
            <w:tcW w:w="3972" w:type="dxa"/>
            <w:tcBorders>
              <w:top w:val="single" w:sz="4" w:space="0" w:color="BDD6EE" w:themeColor="accent1" w:themeTint="66"/>
              <w:left w:val="nil"/>
              <w:bottom w:val="single" w:sz="4" w:space="0" w:color="BDD6EE" w:themeColor="accent1" w:themeTint="66"/>
              <w:right w:val="nil"/>
            </w:tcBorders>
          </w:tcPr>
          <w:p w14:paraId="1C80AB7D" w14:textId="77777777" w:rsidR="005A4ED9" w:rsidRPr="00237760" w:rsidRDefault="005A4ED9"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1. Ograniczenie negatywnego oddziaływania sektora transportu na klimat oraz na regionalne środowisko naturalne</w:t>
            </w:r>
          </w:p>
          <w:p w14:paraId="1B655690" w14:textId="0F3FA45E" w:rsidR="00E7601E" w:rsidRPr="00237760" w:rsidRDefault="005A4ED9"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34165BA5" w14:textId="77777777" w:rsidTr="009367B4">
        <w:trPr>
          <w:trHeight w:val="151"/>
        </w:trPr>
        <w:tc>
          <w:tcPr>
            <w:tcW w:w="510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55014FD2" w14:textId="527C3C22" w:rsidR="00BA06F8" w:rsidRPr="00237760" w:rsidRDefault="00BA06F8"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 xml:space="preserve">ZAGROŻENIA </w:t>
            </w:r>
          </w:p>
        </w:tc>
        <w:tc>
          <w:tcPr>
            <w:tcW w:w="3972"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tcPr>
          <w:p w14:paraId="2E600115" w14:textId="77777777" w:rsidR="00BA06F8" w:rsidRPr="00237760" w:rsidRDefault="00BA06F8" w:rsidP="009367B4">
            <w:pPr>
              <w:spacing w:after="0" w:line="240" w:lineRule="auto"/>
              <w:ind w:left="57" w:right="57"/>
              <w:jc w:val="left"/>
              <w:rPr>
                <w:rFonts w:ascii="Arial" w:hAnsi="Arial" w:cs="Arial"/>
                <w:color w:val="auto"/>
                <w:sz w:val="24"/>
                <w:szCs w:val="24"/>
              </w:rPr>
            </w:pPr>
          </w:p>
        </w:tc>
      </w:tr>
      <w:tr w:rsidR="00237760" w:rsidRPr="00237760" w14:paraId="4C2A5429" w14:textId="77777777" w:rsidTr="006B1E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4E6532AD" w14:textId="47FA9FB3" w:rsidR="00CC0419" w:rsidRPr="00237760" w:rsidRDefault="00FD3E63"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Rozwój turys</w:t>
            </w:r>
            <w:r w:rsidR="00CC0419" w:rsidRPr="00237760">
              <w:rPr>
                <w:rFonts w:ascii="Arial" w:hAnsi="Arial" w:cs="Arial"/>
                <w:color w:val="auto"/>
                <w:sz w:val="24"/>
                <w:szCs w:val="24"/>
              </w:rPr>
              <w:t>tyki powodujący dewastacje naturalnych terenów</w:t>
            </w:r>
          </w:p>
        </w:tc>
        <w:tc>
          <w:tcPr>
            <w:tcW w:w="3972" w:type="dxa"/>
            <w:tcBorders>
              <w:top w:val="single" w:sz="4" w:space="0" w:color="BDD6EE" w:themeColor="accent1" w:themeTint="66"/>
              <w:left w:val="nil"/>
              <w:bottom w:val="single" w:sz="4" w:space="0" w:color="BDD6EE" w:themeColor="accent1" w:themeTint="66"/>
              <w:right w:val="nil"/>
            </w:tcBorders>
            <w:vAlign w:val="center"/>
          </w:tcPr>
          <w:p w14:paraId="1B55F87B" w14:textId="7D769DF7" w:rsidR="00CC0419" w:rsidRPr="00237760" w:rsidRDefault="00C95A5F"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1. Ograniczenie negatywnego oddziaływania sektora transportu na klimat oraz na regionalne środowisko naturalne</w:t>
            </w:r>
          </w:p>
        </w:tc>
      </w:tr>
      <w:tr w:rsidR="00237760" w:rsidRPr="00237760" w14:paraId="227EEE36" w14:textId="77777777" w:rsidTr="006B1E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60466B6A" w14:textId="04F6105C" w:rsidR="002B06E1" w:rsidRPr="00237760" w:rsidRDefault="00FD3E63"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Brak inwestycji w gminie</w:t>
            </w:r>
          </w:p>
        </w:tc>
        <w:tc>
          <w:tcPr>
            <w:tcW w:w="3972" w:type="dxa"/>
            <w:tcBorders>
              <w:top w:val="single" w:sz="4" w:space="0" w:color="BDD6EE" w:themeColor="accent1" w:themeTint="66"/>
              <w:left w:val="nil"/>
              <w:bottom w:val="single" w:sz="4" w:space="0" w:color="BDD6EE" w:themeColor="accent1" w:themeTint="66"/>
              <w:right w:val="nil"/>
            </w:tcBorders>
            <w:vAlign w:val="center"/>
          </w:tcPr>
          <w:p w14:paraId="0893A072" w14:textId="659DEB58" w:rsidR="002B06E1" w:rsidRPr="00237760" w:rsidRDefault="00C95A5F"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Wszystkie cele</w:t>
            </w:r>
          </w:p>
        </w:tc>
      </w:tr>
    </w:tbl>
    <w:tbl>
      <w:tblPr>
        <w:tblStyle w:val="Tabela-Siatka3"/>
        <w:tblW w:w="9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9075"/>
      </w:tblGrid>
      <w:tr w:rsidR="00237760" w:rsidRPr="00237760" w14:paraId="7A56F2EF" w14:textId="77777777" w:rsidTr="009367B4">
        <w:trPr>
          <w:trHeight w:val="151"/>
        </w:trPr>
        <w:tc>
          <w:tcPr>
            <w:tcW w:w="9075" w:type="dxa"/>
            <w:shd w:val="clear" w:color="auto" w:fill="auto"/>
            <w:tcMar>
              <w:left w:w="28" w:type="dxa"/>
              <w:right w:w="28" w:type="dxa"/>
            </w:tcMar>
            <w:vAlign w:val="center"/>
          </w:tcPr>
          <w:p w14:paraId="58F9985C" w14:textId="74247A58" w:rsidR="00C637D6" w:rsidRPr="00237760" w:rsidRDefault="000723A0" w:rsidP="009367B4">
            <w:pPr>
              <w:spacing w:after="0" w:line="240" w:lineRule="auto"/>
              <w:ind w:left="57" w:right="57"/>
              <w:jc w:val="left"/>
              <w:rPr>
                <w:rFonts w:ascii="Arial" w:hAnsi="Arial" w:cs="Arial"/>
                <w:b/>
                <w:bCs/>
                <w:color w:val="auto"/>
                <w:sz w:val="24"/>
                <w:szCs w:val="24"/>
              </w:rPr>
            </w:pPr>
            <w:r w:rsidRPr="00237760">
              <w:rPr>
                <w:rFonts w:ascii="Arial" w:hAnsi="Arial" w:cs="Arial"/>
                <w:b/>
                <w:bCs/>
                <w:color w:val="auto"/>
                <w:sz w:val="24"/>
                <w:szCs w:val="24"/>
              </w:rPr>
              <w:t>Strategia Rozwoju Gminy Jasienica Rosielna do 2024 roku</w:t>
            </w:r>
          </w:p>
        </w:tc>
      </w:tr>
    </w:tbl>
    <w:tbl>
      <w:tblPr>
        <w:tblStyle w:val="Tabela-Siatka5"/>
        <w:tblW w:w="9072" w:type="dxa"/>
        <w:tblInd w:w="0"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57" w:type="dxa"/>
          <w:right w:w="57" w:type="dxa"/>
        </w:tblCellMar>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5103"/>
        <w:gridCol w:w="3969"/>
      </w:tblGrid>
      <w:tr w:rsidR="00237760" w:rsidRPr="00237760" w14:paraId="0BA5BA86" w14:textId="77777777" w:rsidTr="009367B4">
        <w:trPr>
          <w:trHeight w:val="151"/>
        </w:trPr>
        <w:tc>
          <w:tcPr>
            <w:tcW w:w="510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397B335C" w14:textId="47F9EC05" w:rsidR="00C637D6" w:rsidRPr="00237760" w:rsidRDefault="00C637D6"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 xml:space="preserve">SŁABOŚCI </w:t>
            </w:r>
          </w:p>
        </w:tc>
        <w:tc>
          <w:tcPr>
            <w:tcW w:w="396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tcPr>
          <w:p w14:paraId="466E2C49" w14:textId="77777777" w:rsidR="00C637D6" w:rsidRPr="00237760" w:rsidRDefault="00C637D6" w:rsidP="009367B4">
            <w:pPr>
              <w:spacing w:after="0" w:line="240" w:lineRule="auto"/>
              <w:ind w:left="57" w:right="57"/>
              <w:jc w:val="left"/>
              <w:rPr>
                <w:rFonts w:ascii="Arial" w:hAnsi="Arial" w:cs="Arial"/>
                <w:color w:val="auto"/>
                <w:sz w:val="24"/>
                <w:szCs w:val="24"/>
              </w:rPr>
            </w:pPr>
          </w:p>
        </w:tc>
      </w:tr>
      <w:tr w:rsidR="00237760" w:rsidRPr="00237760" w14:paraId="7757949B" w14:textId="77777777" w:rsidTr="006B1E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2114D2FA" w14:textId="7BCB3615" w:rsidR="0075687A" w:rsidRPr="00237760" w:rsidRDefault="001A6273"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Brak chodników przy drodze krajowej</w:t>
            </w:r>
            <w:r w:rsidR="00FC6762" w:rsidRPr="00237760">
              <w:rPr>
                <w:rFonts w:ascii="Arial" w:hAnsi="Arial" w:cs="Arial"/>
                <w:color w:val="auto"/>
                <w:sz w:val="24"/>
                <w:szCs w:val="24"/>
              </w:rPr>
              <w:t xml:space="preserve"> </w:t>
            </w:r>
            <w:r w:rsidR="0075687A" w:rsidRPr="00237760">
              <w:rPr>
                <w:rFonts w:ascii="Arial" w:hAnsi="Arial" w:cs="Arial"/>
                <w:color w:val="auto"/>
                <w:sz w:val="24"/>
                <w:szCs w:val="24"/>
              </w:rPr>
              <w:t>i niewystarczająca ilość chodników przy</w:t>
            </w:r>
            <w:r w:rsidR="00FC6762" w:rsidRPr="00237760">
              <w:rPr>
                <w:rFonts w:ascii="Arial" w:hAnsi="Arial" w:cs="Arial"/>
                <w:color w:val="auto"/>
                <w:sz w:val="24"/>
                <w:szCs w:val="24"/>
              </w:rPr>
              <w:t xml:space="preserve"> </w:t>
            </w:r>
            <w:r w:rsidR="0075687A" w:rsidRPr="00237760">
              <w:rPr>
                <w:rFonts w:ascii="Arial" w:hAnsi="Arial" w:cs="Arial"/>
                <w:color w:val="auto"/>
                <w:sz w:val="24"/>
                <w:szCs w:val="24"/>
              </w:rPr>
              <w:t>drogach wojewódzkich</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36EE8455" w14:textId="59E360FA" w:rsidR="0075687A" w:rsidRPr="00237760" w:rsidRDefault="00645076"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4. Poprawa bezpieczeństwa w transporcie</w:t>
            </w:r>
          </w:p>
        </w:tc>
      </w:tr>
      <w:tr w:rsidR="00237760" w:rsidRPr="00237760" w14:paraId="6B0A967E" w14:textId="77777777" w:rsidTr="006B1E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15F2692F" w14:textId="7D240A4D" w:rsidR="0075687A" w:rsidRPr="00237760" w:rsidRDefault="001A6273"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lastRenderedPageBreak/>
              <w:t>Brak niektórych elementów infrastruktury</w:t>
            </w:r>
            <w:r w:rsidR="00872DFE" w:rsidRPr="00237760">
              <w:rPr>
                <w:rFonts w:ascii="Arial" w:hAnsi="Arial" w:cs="Arial"/>
                <w:color w:val="auto"/>
                <w:sz w:val="24"/>
                <w:szCs w:val="24"/>
              </w:rPr>
              <w:t xml:space="preserve"> </w:t>
            </w:r>
            <w:r w:rsidRPr="00237760">
              <w:rPr>
                <w:rFonts w:ascii="Arial" w:hAnsi="Arial" w:cs="Arial"/>
                <w:color w:val="auto"/>
                <w:sz w:val="24"/>
                <w:szCs w:val="24"/>
              </w:rPr>
              <w:t xml:space="preserve">sportowo-rekreacyjnej (skate-parków, </w:t>
            </w:r>
            <w:r w:rsidR="002543D9" w:rsidRPr="00237760">
              <w:rPr>
                <w:rFonts w:ascii="Arial" w:hAnsi="Arial" w:cs="Arial"/>
                <w:color w:val="auto"/>
                <w:sz w:val="24"/>
                <w:szCs w:val="24"/>
              </w:rPr>
              <w:t>ścieżek</w:t>
            </w:r>
            <w:r w:rsidR="00872DFE" w:rsidRPr="00237760">
              <w:rPr>
                <w:rFonts w:ascii="Arial" w:hAnsi="Arial" w:cs="Arial"/>
                <w:color w:val="auto"/>
                <w:sz w:val="24"/>
                <w:szCs w:val="24"/>
              </w:rPr>
              <w:t xml:space="preserve"> </w:t>
            </w:r>
            <w:r w:rsidR="0075687A" w:rsidRPr="00237760">
              <w:rPr>
                <w:rFonts w:ascii="Arial" w:hAnsi="Arial" w:cs="Arial"/>
                <w:color w:val="auto"/>
                <w:sz w:val="24"/>
                <w:szCs w:val="24"/>
              </w:rPr>
              <w:t>rowerowych, torów crossowych,</w:t>
            </w:r>
            <w:r w:rsidR="00FB03A1" w:rsidRPr="00237760">
              <w:rPr>
                <w:rFonts w:ascii="Arial" w:hAnsi="Arial" w:cs="Arial"/>
                <w:color w:val="auto"/>
                <w:sz w:val="24"/>
                <w:szCs w:val="24"/>
              </w:rPr>
              <w:t xml:space="preserve"> </w:t>
            </w:r>
            <w:r w:rsidR="0075687A" w:rsidRPr="00237760">
              <w:rPr>
                <w:rFonts w:ascii="Arial" w:hAnsi="Arial" w:cs="Arial"/>
                <w:color w:val="auto"/>
                <w:sz w:val="24"/>
                <w:szCs w:val="24"/>
              </w:rPr>
              <w:t>sprawnościowych dróg samochodowych,</w:t>
            </w:r>
            <w:r w:rsidR="000723A0" w:rsidRPr="00237760">
              <w:rPr>
                <w:rFonts w:ascii="Arial" w:hAnsi="Arial" w:cs="Arial"/>
                <w:color w:val="auto"/>
                <w:sz w:val="24"/>
                <w:szCs w:val="24"/>
              </w:rPr>
              <w:t xml:space="preserve"> </w:t>
            </w:r>
            <w:r w:rsidR="0075687A" w:rsidRPr="00237760">
              <w:rPr>
                <w:rFonts w:ascii="Arial" w:hAnsi="Arial" w:cs="Arial"/>
                <w:color w:val="auto"/>
                <w:sz w:val="24"/>
                <w:szCs w:val="24"/>
              </w:rPr>
              <w:t>parków linowych)</w:t>
            </w:r>
          </w:p>
        </w:tc>
        <w:tc>
          <w:tcPr>
            <w:tcW w:w="3969" w:type="dxa"/>
            <w:tcBorders>
              <w:top w:val="single" w:sz="4" w:space="0" w:color="BDD6EE" w:themeColor="accent1" w:themeTint="66"/>
              <w:left w:val="nil"/>
              <w:bottom w:val="single" w:sz="4" w:space="0" w:color="BDD6EE" w:themeColor="accent1" w:themeTint="66"/>
              <w:right w:val="nil"/>
            </w:tcBorders>
          </w:tcPr>
          <w:p w14:paraId="0D444BD0" w14:textId="073947AB" w:rsidR="00645076" w:rsidRPr="00237760" w:rsidRDefault="00A61993"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 xml:space="preserve">Częściowo: </w:t>
            </w:r>
          </w:p>
          <w:p w14:paraId="0215E7FA" w14:textId="77777777" w:rsidR="0016545B" w:rsidRPr="00237760" w:rsidRDefault="000A710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3162034A" w14:textId="77777777" w:rsidR="000A7101" w:rsidRPr="00237760" w:rsidRDefault="000A710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7FAEF2C8" w14:textId="77777777" w:rsidR="000A7101" w:rsidRPr="00237760" w:rsidRDefault="002B594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1. Ograniczenie negatywnego oddziaływania sektora transportu na klimat oraz na regionalne środowisko naturalne</w:t>
            </w:r>
          </w:p>
          <w:p w14:paraId="0FB9EECB" w14:textId="64D39CF7" w:rsidR="0075687A" w:rsidRPr="00237760" w:rsidRDefault="00711E8C"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4. Poprawa bezpieczeństwa w transporcie</w:t>
            </w:r>
          </w:p>
        </w:tc>
      </w:tr>
      <w:tr w:rsidR="00237760" w:rsidRPr="00237760" w14:paraId="66B6A3F6" w14:textId="77777777" w:rsidTr="00D707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51"/>
        </w:trPr>
        <w:tc>
          <w:tcPr>
            <w:tcW w:w="5103" w:type="dxa"/>
            <w:tcBorders>
              <w:top w:val="single" w:sz="4" w:space="0" w:color="BDD6EE" w:themeColor="accent1" w:themeTint="66"/>
              <w:left w:val="nil"/>
              <w:bottom w:val="single" w:sz="4" w:space="0" w:color="BDD6EE" w:themeColor="accent1" w:themeTint="66"/>
              <w:right w:val="nil"/>
            </w:tcBorders>
            <w:vAlign w:val="bottom"/>
          </w:tcPr>
          <w:p w14:paraId="39B510A2" w14:textId="40B11A4D" w:rsidR="00733B01" w:rsidRPr="00237760" w:rsidRDefault="001A6273"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Słabo rozwinięta infrastruktura liniowa</w:t>
            </w:r>
          </w:p>
        </w:tc>
        <w:tc>
          <w:tcPr>
            <w:tcW w:w="3969" w:type="dxa"/>
            <w:tcBorders>
              <w:top w:val="single" w:sz="4" w:space="0" w:color="BDD6EE" w:themeColor="accent1" w:themeTint="66"/>
              <w:left w:val="nil"/>
              <w:bottom w:val="single" w:sz="4" w:space="0" w:color="BDD6EE" w:themeColor="accent1" w:themeTint="66"/>
              <w:right w:val="nil"/>
            </w:tcBorders>
          </w:tcPr>
          <w:p w14:paraId="724BF303" w14:textId="77AB4A2E" w:rsidR="00733B01" w:rsidRPr="00237760" w:rsidRDefault="000D10C5"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Wszystkie cele</w:t>
            </w:r>
          </w:p>
        </w:tc>
      </w:tr>
      <w:tr w:rsidR="00237760" w:rsidRPr="00237760" w14:paraId="67A70E97" w14:textId="77777777" w:rsidTr="009367B4">
        <w:trPr>
          <w:trHeight w:val="151"/>
        </w:trPr>
        <w:tc>
          <w:tcPr>
            <w:tcW w:w="510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24D3114A" w14:textId="17BEC312" w:rsidR="0019632C" w:rsidRPr="00237760" w:rsidRDefault="004C715F"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 xml:space="preserve">SZANSE </w:t>
            </w:r>
          </w:p>
        </w:tc>
        <w:tc>
          <w:tcPr>
            <w:tcW w:w="396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tcPr>
          <w:p w14:paraId="504AFBB4" w14:textId="77777777" w:rsidR="0019632C" w:rsidRPr="00237760" w:rsidRDefault="0019632C" w:rsidP="009367B4">
            <w:pPr>
              <w:spacing w:after="0" w:line="240" w:lineRule="auto"/>
              <w:ind w:left="57" w:right="57"/>
              <w:jc w:val="left"/>
              <w:rPr>
                <w:rFonts w:ascii="Arial" w:hAnsi="Arial" w:cs="Arial"/>
                <w:color w:val="auto"/>
                <w:sz w:val="24"/>
                <w:szCs w:val="24"/>
              </w:rPr>
            </w:pPr>
          </w:p>
        </w:tc>
      </w:tr>
      <w:tr w:rsidR="00237760" w:rsidRPr="00237760" w14:paraId="7AB9ADAB" w14:textId="77777777" w:rsidTr="00936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7"/>
        </w:trPr>
        <w:tc>
          <w:tcPr>
            <w:tcW w:w="5103" w:type="dxa"/>
            <w:tcBorders>
              <w:top w:val="single" w:sz="4" w:space="0" w:color="BDD6EE" w:themeColor="accent1" w:themeTint="66"/>
              <w:left w:val="nil"/>
              <w:bottom w:val="single" w:sz="4" w:space="0" w:color="BDD6EE" w:themeColor="accent1" w:themeTint="66"/>
              <w:right w:val="nil"/>
            </w:tcBorders>
            <w:shd w:val="clear" w:color="auto" w:fill="auto"/>
            <w:vAlign w:val="bottom"/>
          </w:tcPr>
          <w:p w14:paraId="38959CC3" w14:textId="0AC63DB5" w:rsidR="00574642" w:rsidRPr="00237760" w:rsidRDefault="001A6273"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Dostępne i planowane śr</w:t>
            </w:r>
            <w:r w:rsidR="00574642" w:rsidRPr="00237760">
              <w:rPr>
                <w:rFonts w:ascii="Arial" w:hAnsi="Arial" w:cs="Arial"/>
                <w:color w:val="auto"/>
                <w:sz w:val="24"/>
                <w:szCs w:val="24"/>
              </w:rPr>
              <w:t>odki dotacyjne na</w:t>
            </w:r>
            <w:r w:rsidR="00872DFE" w:rsidRPr="00237760">
              <w:rPr>
                <w:rFonts w:ascii="Arial" w:hAnsi="Arial" w:cs="Arial"/>
                <w:color w:val="auto"/>
                <w:sz w:val="24"/>
                <w:szCs w:val="24"/>
              </w:rPr>
              <w:t xml:space="preserve"> </w:t>
            </w:r>
            <w:r w:rsidR="00574642" w:rsidRPr="00237760">
              <w:rPr>
                <w:rFonts w:ascii="Arial" w:hAnsi="Arial" w:cs="Arial"/>
                <w:color w:val="auto"/>
                <w:sz w:val="24"/>
                <w:szCs w:val="24"/>
              </w:rPr>
              <w:t>rozwój infrastruktury</w:t>
            </w:r>
          </w:p>
        </w:tc>
        <w:tc>
          <w:tcPr>
            <w:tcW w:w="3969" w:type="dxa"/>
            <w:tcBorders>
              <w:top w:val="single" w:sz="4" w:space="0" w:color="BDD6EE" w:themeColor="accent1" w:themeTint="66"/>
              <w:left w:val="nil"/>
              <w:bottom w:val="single" w:sz="4" w:space="0" w:color="BDD6EE" w:themeColor="accent1" w:themeTint="66"/>
              <w:right w:val="nil"/>
            </w:tcBorders>
            <w:shd w:val="clear" w:color="auto" w:fill="auto"/>
          </w:tcPr>
          <w:p w14:paraId="5EABAA86" w14:textId="6166BD8F" w:rsidR="00574642" w:rsidRPr="00237760" w:rsidRDefault="0065035F"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Wszystkie cele</w:t>
            </w:r>
          </w:p>
        </w:tc>
      </w:tr>
      <w:tr w:rsidR="00237760" w:rsidRPr="00237760" w14:paraId="061DCF4A" w14:textId="77777777" w:rsidTr="009367B4">
        <w:trPr>
          <w:trHeight w:val="151"/>
        </w:trPr>
        <w:tc>
          <w:tcPr>
            <w:tcW w:w="510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334A583D" w14:textId="5897FCC7" w:rsidR="00C148EE" w:rsidRPr="00237760" w:rsidRDefault="001A6273"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Z</w:t>
            </w:r>
            <w:r w:rsidR="004C715F" w:rsidRPr="00237760">
              <w:rPr>
                <w:rFonts w:ascii="Arial" w:hAnsi="Arial" w:cs="Arial"/>
                <w:b/>
                <w:color w:val="auto"/>
                <w:sz w:val="24"/>
                <w:szCs w:val="24"/>
              </w:rPr>
              <w:t>AGROŻENIA</w:t>
            </w:r>
          </w:p>
        </w:tc>
        <w:tc>
          <w:tcPr>
            <w:tcW w:w="396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tcPr>
          <w:p w14:paraId="4627F639" w14:textId="77777777" w:rsidR="00C148EE" w:rsidRPr="00237760" w:rsidRDefault="00C148EE" w:rsidP="009367B4">
            <w:pPr>
              <w:spacing w:after="0" w:line="240" w:lineRule="auto"/>
              <w:ind w:left="57" w:right="57"/>
              <w:jc w:val="left"/>
              <w:rPr>
                <w:rFonts w:ascii="Arial" w:hAnsi="Arial" w:cs="Arial"/>
                <w:color w:val="auto"/>
                <w:sz w:val="24"/>
                <w:szCs w:val="24"/>
              </w:rPr>
            </w:pPr>
          </w:p>
        </w:tc>
      </w:tr>
      <w:tr w:rsidR="00237760" w:rsidRPr="00237760" w14:paraId="3863C1F2" w14:textId="77777777" w:rsidTr="00936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51"/>
        </w:trPr>
        <w:tc>
          <w:tcPr>
            <w:tcW w:w="5103" w:type="dxa"/>
            <w:tcBorders>
              <w:top w:val="single" w:sz="4" w:space="0" w:color="BDD6EE" w:themeColor="accent1" w:themeTint="66"/>
              <w:left w:val="nil"/>
              <w:bottom w:val="single" w:sz="4" w:space="0" w:color="BDD6EE" w:themeColor="accent1" w:themeTint="66"/>
              <w:right w:val="nil"/>
            </w:tcBorders>
            <w:shd w:val="clear" w:color="auto" w:fill="auto"/>
            <w:vAlign w:val="bottom"/>
          </w:tcPr>
          <w:p w14:paraId="4AD48D16" w14:textId="2474E0A3" w:rsidR="00375A5D" w:rsidRPr="00237760" w:rsidRDefault="001A6273"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Skomplikowane procedury uzyskania dotacji</w:t>
            </w:r>
            <w:r w:rsidR="00872DFE" w:rsidRPr="00237760">
              <w:rPr>
                <w:rFonts w:ascii="Arial" w:hAnsi="Arial" w:cs="Arial"/>
                <w:color w:val="auto"/>
                <w:sz w:val="24"/>
                <w:szCs w:val="24"/>
              </w:rPr>
              <w:t xml:space="preserve"> </w:t>
            </w:r>
            <w:r w:rsidR="00375A5D" w:rsidRPr="00237760">
              <w:rPr>
                <w:rFonts w:ascii="Arial" w:hAnsi="Arial" w:cs="Arial"/>
                <w:color w:val="auto"/>
                <w:sz w:val="24"/>
                <w:szCs w:val="24"/>
              </w:rPr>
              <w:t>zewnętrznych na poprawę stanu technicznego</w:t>
            </w:r>
            <w:r w:rsidR="00872DFE" w:rsidRPr="00237760">
              <w:rPr>
                <w:rFonts w:ascii="Arial" w:hAnsi="Arial" w:cs="Arial"/>
                <w:color w:val="auto"/>
                <w:sz w:val="24"/>
                <w:szCs w:val="24"/>
              </w:rPr>
              <w:t xml:space="preserve"> </w:t>
            </w:r>
            <w:r w:rsidR="00375A5D" w:rsidRPr="00237760">
              <w:rPr>
                <w:rFonts w:ascii="Arial" w:hAnsi="Arial" w:cs="Arial"/>
                <w:color w:val="auto"/>
                <w:sz w:val="24"/>
                <w:szCs w:val="24"/>
              </w:rPr>
              <w:t>zasobów komunalnych</w:t>
            </w:r>
          </w:p>
        </w:tc>
        <w:tc>
          <w:tcPr>
            <w:tcW w:w="3969"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57357203" w14:textId="7C5B7254" w:rsidR="00375A5D" w:rsidRPr="00237760" w:rsidRDefault="00623200"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Poruszone w analizie ryzyka</w:t>
            </w:r>
          </w:p>
        </w:tc>
      </w:tr>
      <w:tr w:rsidR="00237760" w:rsidRPr="00237760" w14:paraId="2A05CC0F" w14:textId="77777777" w:rsidTr="00F12C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51"/>
        </w:trPr>
        <w:tc>
          <w:tcPr>
            <w:tcW w:w="5103" w:type="dxa"/>
            <w:tcBorders>
              <w:top w:val="single" w:sz="4" w:space="0" w:color="BDD6EE" w:themeColor="accent1" w:themeTint="66"/>
              <w:left w:val="nil"/>
              <w:bottom w:val="single" w:sz="4" w:space="0" w:color="BDD6EE" w:themeColor="accent1" w:themeTint="66"/>
              <w:right w:val="nil"/>
            </w:tcBorders>
            <w:vAlign w:val="bottom"/>
          </w:tcPr>
          <w:p w14:paraId="6614271F" w14:textId="05ACDF46" w:rsidR="00375A5D" w:rsidRPr="00237760" w:rsidRDefault="001A6273"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Rosnące koszty budowy, remontów,</w:t>
            </w:r>
            <w:r w:rsidR="00872DFE" w:rsidRPr="00237760">
              <w:rPr>
                <w:rFonts w:ascii="Arial" w:hAnsi="Arial" w:cs="Arial"/>
                <w:color w:val="auto"/>
                <w:sz w:val="24"/>
                <w:szCs w:val="24"/>
              </w:rPr>
              <w:t xml:space="preserve"> </w:t>
            </w:r>
            <w:r w:rsidRPr="00237760">
              <w:rPr>
                <w:rFonts w:ascii="Arial" w:hAnsi="Arial" w:cs="Arial"/>
                <w:color w:val="auto"/>
                <w:sz w:val="24"/>
                <w:szCs w:val="24"/>
              </w:rPr>
              <w:t>modernizacji i utrzymania infrastruktury</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2E2DB1AB" w14:textId="2526B320" w:rsidR="00375A5D" w:rsidRPr="00237760" w:rsidRDefault="00837714"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Poruszone w diagnozie</w:t>
            </w:r>
          </w:p>
        </w:tc>
      </w:tr>
      <w:tr w:rsidR="00237760" w:rsidRPr="00237760" w14:paraId="10C19C32" w14:textId="77777777" w:rsidTr="008738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0"/>
        </w:trPr>
        <w:tc>
          <w:tcPr>
            <w:tcW w:w="5103" w:type="dxa"/>
            <w:tcBorders>
              <w:top w:val="single" w:sz="4" w:space="0" w:color="BDD6EE" w:themeColor="accent1" w:themeTint="66"/>
              <w:left w:val="nil"/>
              <w:bottom w:val="single" w:sz="4" w:space="0" w:color="BDD6EE" w:themeColor="accent1" w:themeTint="66"/>
              <w:right w:val="nil"/>
            </w:tcBorders>
            <w:vAlign w:val="bottom"/>
          </w:tcPr>
          <w:p w14:paraId="3B72143F" w14:textId="25C55F3D" w:rsidR="00375A5D" w:rsidRPr="00237760" w:rsidRDefault="001A6273"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Skomplikowane procedury formalno-prawne</w:t>
            </w:r>
            <w:r w:rsidR="00872DFE" w:rsidRPr="00237760">
              <w:rPr>
                <w:rFonts w:ascii="Arial" w:hAnsi="Arial" w:cs="Arial"/>
                <w:color w:val="auto"/>
                <w:sz w:val="24"/>
                <w:szCs w:val="24"/>
              </w:rPr>
              <w:t xml:space="preserve"> </w:t>
            </w:r>
            <w:r w:rsidRPr="00237760">
              <w:rPr>
                <w:rFonts w:ascii="Arial" w:hAnsi="Arial" w:cs="Arial"/>
                <w:color w:val="auto"/>
                <w:sz w:val="24"/>
                <w:szCs w:val="24"/>
              </w:rPr>
              <w:t>przygotowywania i realizacji inwestycji</w:t>
            </w:r>
            <w:r w:rsidR="00872DFE" w:rsidRPr="00237760">
              <w:rPr>
                <w:rFonts w:ascii="Arial" w:hAnsi="Arial" w:cs="Arial"/>
                <w:color w:val="auto"/>
                <w:sz w:val="24"/>
                <w:szCs w:val="24"/>
              </w:rPr>
              <w:t xml:space="preserve"> </w:t>
            </w:r>
            <w:r w:rsidRPr="00237760">
              <w:rPr>
                <w:rFonts w:ascii="Arial" w:hAnsi="Arial" w:cs="Arial"/>
                <w:color w:val="auto"/>
                <w:sz w:val="24"/>
                <w:szCs w:val="24"/>
              </w:rPr>
              <w:t>budowlanych (np. Pozwolenia na bu</w:t>
            </w:r>
            <w:r w:rsidR="00375A5D" w:rsidRPr="00237760">
              <w:rPr>
                <w:rFonts w:ascii="Arial" w:hAnsi="Arial" w:cs="Arial"/>
                <w:color w:val="auto"/>
                <w:sz w:val="24"/>
                <w:szCs w:val="24"/>
              </w:rPr>
              <w:t>dowę,</w:t>
            </w:r>
            <w:r w:rsidR="00872DFE" w:rsidRPr="00237760">
              <w:rPr>
                <w:rFonts w:ascii="Arial" w:hAnsi="Arial" w:cs="Arial"/>
                <w:color w:val="auto"/>
                <w:sz w:val="24"/>
                <w:szCs w:val="24"/>
              </w:rPr>
              <w:t xml:space="preserve"> </w:t>
            </w:r>
            <w:r w:rsidR="00375A5D" w:rsidRPr="00237760">
              <w:rPr>
                <w:rFonts w:ascii="Arial" w:hAnsi="Arial" w:cs="Arial"/>
                <w:color w:val="auto"/>
                <w:sz w:val="24"/>
                <w:szCs w:val="24"/>
              </w:rPr>
              <w:t>nadzór geodezja, decyzje środowiskowe)</w:t>
            </w:r>
          </w:p>
        </w:tc>
        <w:tc>
          <w:tcPr>
            <w:tcW w:w="3969" w:type="dxa"/>
            <w:tcBorders>
              <w:top w:val="single" w:sz="4" w:space="0" w:color="BDD6EE" w:themeColor="accent1" w:themeTint="66"/>
              <w:left w:val="nil"/>
              <w:bottom w:val="single" w:sz="4" w:space="0" w:color="BDD6EE" w:themeColor="accent1" w:themeTint="66"/>
              <w:right w:val="nil"/>
            </w:tcBorders>
          </w:tcPr>
          <w:p w14:paraId="227F8297" w14:textId="01C75248" w:rsidR="00375A5D" w:rsidRPr="00237760" w:rsidRDefault="000736EF"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Poruszone w analizie ryzyka i diagnozie</w:t>
            </w:r>
          </w:p>
        </w:tc>
      </w:tr>
      <w:tr w:rsidR="00237760" w:rsidRPr="00237760" w14:paraId="0F5C60ED" w14:textId="77777777" w:rsidTr="00D707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51"/>
        </w:trPr>
        <w:tc>
          <w:tcPr>
            <w:tcW w:w="5103" w:type="dxa"/>
            <w:tcBorders>
              <w:top w:val="single" w:sz="4" w:space="0" w:color="BDD6EE" w:themeColor="accent1" w:themeTint="66"/>
              <w:left w:val="nil"/>
              <w:bottom w:val="single" w:sz="4" w:space="0" w:color="BDD6EE" w:themeColor="accent1" w:themeTint="66"/>
              <w:right w:val="nil"/>
            </w:tcBorders>
            <w:vAlign w:val="bottom"/>
          </w:tcPr>
          <w:p w14:paraId="6E91EC9F" w14:textId="7590D1E7" w:rsidR="00375A5D" w:rsidRPr="00237760" w:rsidRDefault="001A6273"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Regulacje prawne uniemożliwiające szybkie</w:t>
            </w:r>
            <w:r w:rsidR="00872DFE" w:rsidRPr="00237760">
              <w:rPr>
                <w:rFonts w:ascii="Arial" w:hAnsi="Arial" w:cs="Arial"/>
                <w:color w:val="auto"/>
                <w:sz w:val="24"/>
                <w:szCs w:val="24"/>
              </w:rPr>
              <w:t xml:space="preserve"> </w:t>
            </w:r>
            <w:r w:rsidRPr="00237760">
              <w:rPr>
                <w:rFonts w:ascii="Arial" w:hAnsi="Arial" w:cs="Arial"/>
                <w:color w:val="auto"/>
                <w:sz w:val="24"/>
                <w:szCs w:val="24"/>
              </w:rPr>
              <w:t>ustalenie warunków zabudowy w</w:t>
            </w:r>
            <w:r w:rsidR="009D1A2C" w:rsidRPr="00237760">
              <w:rPr>
                <w:rFonts w:ascii="Arial" w:hAnsi="Arial" w:cs="Arial"/>
                <w:color w:val="auto"/>
                <w:sz w:val="24"/>
                <w:szCs w:val="24"/>
              </w:rPr>
              <w:t xml:space="preserve"> </w:t>
            </w:r>
            <w:r w:rsidR="00C148EE" w:rsidRPr="00237760">
              <w:rPr>
                <w:rFonts w:ascii="Arial" w:hAnsi="Arial" w:cs="Arial"/>
                <w:color w:val="auto"/>
                <w:sz w:val="24"/>
                <w:szCs w:val="24"/>
              </w:rPr>
              <w:t>o</w:t>
            </w:r>
            <w:r w:rsidR="00375A5D" w:rsidRPr="00237760">
              <w:rPr>
                <w:rFonts w:ascii="Arial" w:hAnsi="Arial" w:cs="Arial"/>
                <w:color w:val="auto"/>
                <w:sz w:val="24"/>
                <w:szCs w:val="24"/>
              </w:rPr>
              <w:t>dniesieniu</w:t>
            </w:r>
            <w:r w:rsidR="009D1A2C" w:rsidRPr="00237760">
              <w:rPr>
                <w:rFonts w:ascii="Arial" w:hAnsi="Arial" w:cs="Arial"/>
                <w:color w:val="auto"/>
                <w:sz w:val="24"/>
                <w:szCs w:val="24"/>
              </w:rPr>
              <w:t xml:space="preserve"> </w:t>
            </w:r>
            <w:r w:rsidR="00375A5D" w:rsidRPr="00237760">
              <w:rPr>
                <w:rFonts w:ascii="Arial" w:hAnsi="Arial" w:cs="Arial"/>
                <w:color w:val="auto"/>
                <w:sz w:val="24"/>
                <w:szCs w:val="24"/>
              </w:rPr>
              <w:t>do dokumentacji formalno-prawnej</w:t>
            </w:r>
          </w:p>
        </w:tc>
        <w:tc>
          <w:tcPr>
            <w:tcW w:w="3969" w:type="dxa"/>
            <w:tcBorders>
              <w:top w:val="single" w:sz="4" w:space="0" w:color="BDD6EE" w:themeColor="accent1" w:themeTint="66"/>
              <w:left w:val="nil"/>
              <w:bottom w:val="single" w:sz="4" w:space="0" w:color="BDD6EE" w:themeColor="accent1" w:themeTint="66"/>
              <w:right w:val="nil"/>
            </w:tcBorders>
          </w:tcPr>
          <w:p w14:paraId="6F2F9462" w14:textId="4A1547B6" w:rsidR="00375A5D" w:rsidRPr="00237760" w:rsidRDefault="000D1E95"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Poruszone w analizie ryzyka i diagnozie</w:t>
            </w:r>
          </w:p>
        </w:tc>
      </w:tr>
    </w:tbl>
    <w:tbl>
      <w:tblPr>
        <w:tblStyle w:val="Tabela-Siatka3"/>
        <w:tblW w:w="9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9075"/>
      </w:tblGrid>
      <w:tr w:rsidR="00237760" w:rsidRPr="00237760" w14:paraId="57673552" w14:textId="77777777" w:rsidTr="009367B4">
        <w:trPr>
          <w:trHeight w:val="151"/>
        </w:trPr>
        <w:tc>
          <w:tcPr>
            <w:tcW w:w="9075" w:type="dxa"/>
            <w:shd w:val="clear" w:color="auto" w:fill="auto"/>
            <w:tcMar>
              <w:left w:w="28" w:type="dxa"/>
              <w:right w:w="28" w:type="dxa"/>
            </w:tcMar>
            <w:vAlign w:val="center"/>
          </w:tcPr>
          <w:p w14:paraId="52F68C0A" w14:textId="6D0C1044" w:rsidR="000723A0" w:rsidRPr="00237760" w:rsidRDefault="000723A0" w:rsidP="009367B4">
            <w:pPr>
              <w:spacing w:after="0" w:line="240" w:lineRule="auto"/>
              <w:ind w:left="57" w:right="57"/>
              <w:jc w:val="left"/>
              <w:rPr>
                <w:rFonts w:ascii="Arial" w:hAnsi="Arial" w:cs="Arial"/>
                <w:b/>
                <w:bCs/>
                <w:color w:val="auto"/>
                <w:sz w:val="24"/>
                <w:szCs w:val="24"/>
              </w:rPr>
            </w:pPr>
            <w:r w:rsidRPr="00237760">
              <w:rPr>
                <w:rFonts w:ascii="Arial" w:hAnsi="Arial" w:cs="Arial"/>
                <w:b/>
                <w:bCs/>
                <w:color w:val="auto"/>
                <w:sz w:val="24"/>
                <w:szCs w:val="24"/>
              </w:rPr>
              <w:t>Strategia Rozwoju Gminy Jeżowe na lata 2016</w:t>
            </w:r>
            <w:r w:rsidR="00902DAE" w:rsidRPr="00237760">
              <w:rPr>
                <w:rFonts w:ascii="Arial" w:hAnsi="Arial" w:cs="Arial"/>
                <w:b/>
                <w:bCs/>
                <w:color w:val="auto"/>
                <w:sz w:val="24"/>
                <w:szCs w:val="24"/>
              </w:rPr>
              <w:t>-</w:t>
            </w:r>
            <w:r w:rsidRPr="00237760">
              <w:rPr>
                <w:rFonts w:ascii="Arial" w:hAnsi="Arial" w:cs="Arial"/>
                <w:b/>
                <w:bCs/>
                <w:color w:val="auto"/>
                <w:sz w:val="24"/>
                <w:szCs w:val="24"/>
              </w:rPr>
              <w:t>2022</w:t>
            </w:r>
          </w:p>
        </w:tc>
      </w:tr>
    </w:tbl>
    <w:tbl>
      <w:tblPr>
        <w:tblStyle w:val="Tabela-Siatka5"/>
        <w:tblW w:w="9072" w:type="dxa"/>
        <w:tblInd w:w="0"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57" w:type="dxa"/>
          <w:right w:w="57" w:type="dxa"/>
        </w:tblCellMar>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5103"/>
        <w:gridCol w:w="3969"/>
      </w:tblGrid>
      <w:tr w:rsidR="00237760" w:rsidRPr="00237760" w14:paraId="7398F891" w14:textId="77777777" w:rsidTr="009367B4">
        <w:trPr>
          <w:trHeight w:val="151"/>
        </w:trPr>
        <w:tc>
          <w:tcPr>
            <w:tcW w:w="5103"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75B34FEF" w14:textId="08D190A9" w:rsidR="000723A0" w:rsidRPr="00237760" w:rsidRDefault="000723A0"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SŁABOŚCI</w:t>
            </w:r>
          </w:p>
        </w:tc>
        <w:tc>
          <w:tcPr>
            <w:tcW w:w="3969"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tcPr>
          <w:p w14:paraId="7B0E6DD8" w14:textId="77777777" w:rsidR="000723A0" w:rsidRPr="00237760" w:rsidRDefault="000723A0" w:rsidP="009367B4">
            <w:pPr>
              <w:spacing w:after="0" w:line="240" w:lineRule="auto"/>
              <w:ind w:left="57" w:right="57"/>
              <w:jc w:val="left"/>
              <w:rPr>
                <w:rFonts w:ascii="Arial" w:hAnsi="Arial" w:cs="Arial"/>
                <w:color w:val="auto"/>
                <w:sz w:val="24"/>
                <w:szCs w:val="24"/>
              </w:rPr>
            </w:pPr>
          </w:p>
        </w:tc>
      </w:tr>
      <w:tr w:rsidR="00237760" w:rsidRPr="00237760" w14:paraId="7A6F348E" w14:textId="77777777" w:rsidTr="006B1E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415785C8" w14:textId="39C09301" w:rsidR="00D90FD8" w:rsidRPr="00237760" w:rsidRDefault="000723A0"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Stan techniczny drogi wojewódzkiej Nr 861</w:t>
            </w:r>
          </w:p>
        </w:tc>
        <w:tc>
          <w:tcPr>
            <w:tcW w:w="3969" w:type="dxa"/>
            <w:tcBorders>
              <w:top w:val="single" w:sz="4" w:space="0" w:color="BDD6EE" w:themeColor="accent1" w:themeTint="66"/>
              <w:left w:val="nil"/>
              <w:bottom w:val="single" w:sz="4" w:space="0" w:color="BDD6EE" w:themeColor="accent1" w:themeTint="66"/>
              <w:right w:val="nil"/>
            </w:tcBorders>
          </w:tcPr>
          <w:p w14:paraId="55B42152" w14:textId="7178DCEC" w:rsidR="00D90FD8" w:rsidRPr="00237760" w:rsidRDefault="00D97347"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tc>
      </w:tr>
      <w:tr w:rsidR="00237760" w:rsidRPr="00237760" w14:paraId="69D4FCAE" w14:textId="77777777" w:rsidTr="006B1E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17402FC3" w14:textId="2BD45944" w:rsidR="00D90FD8" w:rsidRPr="00237760" w:rsidRDefault="000723A0"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Niewystarczająca liczba tras rowerowych i chodników</w:t>
            </w:r>
          </w:p>
        </w:tc>
        <w:tc>
          <w:tcPr>
            <w:tcW w:w="3969" w:type="dxa"/>
            <w:tcBorders>
              <w:top w:val="single" w:sz="4" w:space="0" w:color="BDD6EE" w:themeColor="accent1" w:themeTint="66"/>
              <w:left w:val="nil"/>
              <w:bottom w:val="single" w:sz="4" w:space="0" w:color="BDD6EE" w:themeColor="accent1" w:themeTint="66"/>
              <w:right w:val="nil"/>
            </w:tcBorders>
          </w:tcPr>
          <w:p w14:paraId="7DAEB39C" w14:textId="77777777" w:rsidR="00646224" w:rsidRPr="00237760" w:rsidRDefault="00646224"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34FEE2BB" w14:textId="3FC5E8CA" w:rsidR="00BF359E" w:rsidRPr="00237760" w:rsidRDefault="00646224"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11E5BA56" w14:textId="77777777" w:rsidR="00646224" w:rsidRPr="00237760" w:rsidRDefault="00646224"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1. Ograniczenie negatywnego oddziaływania sektora transportu na klimat oraz na regionalne środowisko naturalne</w:t>
            </w:r>
          </w:p>
          <w:p w14:paraId="14750F34" w14:textId="352A3023" w:rsidR="00D90FD8" w:rsidRPr="00237760" w:rsidRDefault="00646224"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4. Poprawa bezpieczeństwa w transporcie</w:t>
            </w:r>
          </w:p>
        </w:tc>
      </w:tr>
      <w:tr w:rsidR="00237760" w:rsidRPr="00237760" w14:paraId="0E64B10F" w14:textId="77777777" w:rsidTr="006B1E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2AEE814B" w14:textId="2BDAD34A" w:rsidR="00D90FD8" w:rsidRPr="00237760" w:rsidRDefault="000723A0"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Ograniczone połączenia komunikacyjne na terenie gminy</w:t>
            </w:r>
          </w:p>
        </w:tc>
        <w:tc>
          <w:tcPr>
            <w:tcW w:w="3969" w:type="dxa"/>
            <w:tcBorders>
              <w:top w:val="single" w:sz="4" w:space="0" w:color="BDD6EE" w:themeColor="accent1" w:themeTint="66"/>
              <w:left w:val="nil"/>
              <w:bottom w:val="single" w:sz="4" w:space="0" w:color="BDD6EE" w:themeColor="accent1" w:themeTint="66"/>
              <w:right w:val="nil"/>
            </w:tcBorders>
          </w:tcPr>
          <w:p w14:paraId="30DE2451" w14:textId="77168A13" w:rsidR="00FE61C8" w:rsidRPr="00237760" w:rsidRDefault="00FE61C8"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1F3DCF3F" w14:textId="786AB63C" w:rsidR="00D90FD8" w:rsidRPr="00237760" w:rsidRDefault="00364739"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7661EAAD" w14:textId="77777777" w:rsidR="005E5EB2" w:rsidRPr="00237760" w:rsidRDefault="005E5EB2"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lastRenderedPageBreak/>
              <w:t xml:space="preserve">Cel horyzontalny 2. Wzmocnienie rozwiązań multimodalnych </w:t>
            </w:r>
          </w:p>
          <w:p w14:paraId="1AE2EB2C" w14:textId="1D3CEC23" w:rsidR="00D90FD8" w:rsidRPr="00237760" w:rsidRDefault="00B83FC0"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5C8F4856" w14:textId="77777777" w:rsidTr="006B1E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2D633453" w14:textId="1AFF5671" w:rsidR="000723A0" w:rsidRPr="00237760" w:rsidRDefault="000723A0"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lastRenderedPageBreak/>
              <w:t>Za mała liczba tras rowerowych</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78837EDB" w14:textId="77777777" w:rsidR="00E876E7" w:rsidRPr="00237760" w:rsidRDefault="00E876E7"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67A684CD" w14:textId="77777777" w:rsidR="00E876E7" w:rsidRPr="00237760" w:rsidRDefault="00E876E7"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7A41A661" w14:textId="77777777" w:rsidR="00E876E7" w:rsidRPr="00237760" w:rsidRDefault="00E876E7"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1. Ograniczenie negatywnego oddziaływania sektora transportu na klimat oraz na regionalne środowisko naturalne</w:t>
            </w:r>
          </w:p>
          <w:p w14:paraId="51DB13B1" w14:textId="4398C562" w:rsidR="000723A0" w:rsidRPr="00237760" w:rsidRDefault="00D24F2F"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4. Poprawa bezpieczeństwa w transporcie</w:t>
            </w:r>
          </w:p>
        </w:tc>
      </w:tr>
    </w:tbl>
    <w:tbl>
      <w:tblPr>
        <w:tblStyle w:val="Tabela-Siatka51"/>
        <w:tblW w:w="9075" w:type="dxa"/>
        <w:tblInd w:w="0"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57" w:type="dxa"/>
          <w:right w:w="57" w:type="dxa"/>
        </w:tblCellMar>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3970"/>
        <w:gridCol w:w="5105"/>
      </w:tblGrid>
      <w:tr w:rsidR="00237760" w:rsidRPr="00237760" w14:paraId="14E73A78" w14:textId="77777777" w:rsidTr="009367B4">
        <w:trPr>
          <w:trHeight w:val="151"/>
        </w:trPr>
        <w:tc>
          <w:tcPr>
            <w:tcW w:w="3970"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17CD2A0C" w14:textId="78591C2C" w:rsidR="000723A0" w:rsidRPr="00237760" w:rsidRDefault="000723A0"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SZANSE</w:t>
            </w:r>
          </w:p>
        </w:tc>
        <w:tc>
          <w:tcPr>
            <w:tcW w:w="5105"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tcPr>
          <w:p w14:paraId="34D2C548" w14:textId="77777777" w:rsidR="000723A0" w:rsidRPr="00237760" w:rsidRDefault="000723A0" w:rsidP="009367B4">
            <w:pPr>
              <w:spacing w:after="0" w:line="240" w:lineRule="auto"/>
              <w:ind w:left="57" w:right="57"/>
              <w:jc w:val="left"/>
              <w:rPr>
                <w:rFonts w:ascii="Arial" w:hAnsi="Arial" w:cs="Arial"/>
                <w:color w:val="auto"/>
                <w:sz w:val="24"/>
                <w:szCs w:val="24"/>
              </w:rPr>
            </w:pPr>
          </w:p>
        </w:tc>
      </w:tr>
    </w:tbl>
    <w:tbl>
      <w:tblPr>
        <w:tblStyle w:val="Tabela-Siatka5"/>
        <w:tblW w:w="9072" w:type="dxa"/>
        <w:tblInd w:w="0" w:type="dxa"/>
        <w:tblLayout w:type="fixed"/>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5103"/>
        <w:gridCol w:w="3969"/>
      </w:tblGrid>
      <w:tr w:rsidR="00237760" w:rsidRPr="00237760" w14:paraId="653A4157" w14:textId="77777777" w:rsidTr="00872DFE">
        <w:trPr>
          <w:trHeight w:val="151"/>
        </w:trPr>
        <w:tc>
          <w:tcPr>
            <w:tcW w:w="5103" w:type="dxa"/>
            <w:tcBorders>
              <w:top w:val="single" w:sz="4" w:space="0" w:color="BDD6EE" w:themeColor="accent1" w:themeTint="66"/>
              <w:left w:val="nil"/>
              <w:bottom w:val="single" w:sz="4" w:space="0" w:color="BDD6EE" w:themeColor="accent1" w:themeTint="66"/>
              <w:right w:val="nil"/>
            </w:tcBorders>
          </w:tcPr>
          <w:p w14:paraId="29057E3A" w14:textId="74623689" w:rsidR="000723A0" w:rsidRPr="00237760" w:rsidRDefault="000723A0"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Dotacje UE dla samorządów i przedsiębiorstw</w:t>
            </w:r>
          </w:p>
        </w:tc>
        <w:tc>
          <w:tcPr>
            <w:tcW w:w="3969" w:type="dxa"/>
            <w:tcBorders>
              <w:top w:val="single" w:sz="4" w:space="0" w:color="BDD6EE" w:themeColor="accent1" w:themeTint="66"/>
              <w:left w:val="nil"/>
              <w:bottom w:val="single" w:sz="4" w:space="0" w:color="BDD6EE" w:themeColor="accent1" w:themeTint="66"/>
              <w:right w:val="nil"/>
            </w:tcBorders>
          </w:tcPr>
          <w:p w14:paraId="52C83230" w14:textId="5BA474FF" w:rsidR="000723A0" w:rsidRPr="00237760" w:rsidRDefault="007452EE"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Wszystkie cele</w:t>
            </w:r>
          </w:p>
        </w:tc>
      </w:tr>
      <w:tr w:rsidR="00237760" w:rsidRPr="00237760" w14:paraId="0C3ABFB2" w14:textId="77777777" w:rsidTr="00F12C65">
        <w:trPr>
          <w:trHeight w:val="151"/>
        </w:trPr>
        <w:tc>
          <w:tcPr>
            <w:tcW w:w="5103" w:type="dxa"/>
            <w:tcBorders>
              <w:top w:val="single" w:sz="4" w:space="0" w:color="BDD6EE" w:themeColor="accent1" w:themeTint="66"/>
              <w:left w:val="nil"/>
              <w:bottom w:val="single" w:sz="4" w:space="0" w:color="BDD6EE" w:themeColor="accent1" w:themeTint="66"/>
              <w:right w:val="nil"/>
            </w:tcBorders>
          </w:tcPr>
          <w:p w14:paraId="46B518E3" w14:textId="25AB20F5" w:rsidR="000723A0" w:rsidRPr="00237760" w:rsidRDefault="000723A0"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Rozwój turystyki krajoznawczej i edukacyjnej (muzeum, zabytki i walory przyrodnicze)</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2C8883F3" w14:textId="358DEF3F" w:rsidR="000723A0" w:rsidRPr="00237760" w:rsidRDefault="00881FB8"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Częściowo Cel podstawowy 1. Dostępność zewnętrzna</w:t>
            </w:r>
            <w:r w:rsidRPr="00237760">
              <w:rPr>
                <w:rStyle w:val="Odwoanieprzypisudolnego"/>
                <w:rFonts w:ascii="Arial" w:hAnsi="Arial" w:cs="Arial"/>
                <w:color w:val="auto"/>
                <w:sz w:val="24"/>
                <w:szCs w:val="24"/>
              </w:rPr>
              <w:footnoteReference w:id="16"/>
            </w:r>
          </w:p>
        </w:tc>
      </w:tr>
      <w:tr w:rsidR="00237760" w:rsidRPr="00237760" w14:paraId="592248F9" w14:textId="77777777" w:rsidTr="00F12C65">
        <w:trPr>
          <w:trHeight w:val="151"/>
        </w:trPr>
        <w:tc>
          <w:tcPr>
            <w:tcW w:w="5103" w:type="dxa"/>
            <w:tcBorders>
              <w:top w:val="single" w:sz="4" w:space="0" w:color="BDD6EE" w:themeColor="accent1" w:themeTint="66"/>
              <w:left w:val="nil"/>
              <w:bottom w:val="single" w:sz="4" w:space="0" w:color="BDD6EE" w:themeColor="accent1" w:themeTint="66"/>
              <w:right w:val="nil"/>
            </w:tcBorders>
          </w:tcPr>
          <w:p w14:paraId="44D8CEE7" w14:textId="1C8CA4A1" w:rsidR="000723A0" w:rsidRPr="00237760" w:rsidRDefault="000723A0"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Budowa trasy ekspresowej S-19</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0737368F" w14:textId="77777777" w:rsidR="00CF6407" w:rsidRPr="00237760" w:rsidRDefault="00CF6407"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4C865972" w14:textId="750CB9F9" w:rsidR="000723A0" w:rsidRPr="00237760" w:rsidRDefault="00CF6407"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tc>
      </w:tr>
    </w:tbl>
    <w:tbl>
      <w:tblPr>
        <w:tblStyle w:val="Tabela-Siatka31"/>
        <w:tblW w:w="907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9075"/>
      </w:tblGrid>
      <w:tr w:rsidR="00237760" w:rsidRPr="00237760" w14:paraId="4381812A" w14:textId="77777777" w:rsidTr="009367B4">
        <w:trPr>
          <w:trHeight w:val="151"/>
        </w:trPr>
        <w:tc>
          <w:tcPr>
            <w:tcW w:w="9075" w:type="dxa"/>
            <w:shd w:val="clear" w:color="auto" w:fill="auto"/>
            <w:tcMar>
              <w:top w:w="0" w:type="dxa"/>
              <w:left w:w="28" w:type="dxa"/>
              <w:bottom w:w="0" w:type="dxa"/>
              <w:right w:w="28" w:type="dxa"/>
            </w:tcMar>
            <w:vAlign w:val="center"/>
            <w:hideMark/>
          </w:tcPr>
          <w:p w14:paraId="10CA7F47" w14:textId="0AED2DF5" w:rsidR="002C0E7C" w:rsidRPr="00237760" w:rsidRDefault="001E477B" w:rsidP="009367B4">
            <w:pPr>
              <w:spacing w:after="0" w:line="240" w:lineRule="auto"/>
              <w:ind w:left="57" w:right="57"/>
              <w:jc w:val="left"/>
              <w:rPr>
                <w:rFonts w:ascii="Arial" w:hAnsi="Arial" w:cs="Arial"/>
                <w:b/>
                <w:bCs/>
                <w:color w:val="auto"/>
                <w:sz w:val="24"/>
                <w:szCs w:val="24"/>
              </w:rPr>
            </w:pPr>
            <w:r w:rsidRPr="00237760">
              <w:rPr>
                <w:rFonts w:ascii="Arial" w:hAnsi="Arial" w:cs="Arial"/>
                <w:b/>
                <w:bCs/>
                <w:color w:val="auto"/>
                <w:sz w:val="24"/>
                <w:szCs w:val="24"/>
              </w:rPr>
              <w:t>Strategia Zrównoważonego Rozwoju Gminy Jodłowa na lata 2014-2020</w:t>
            </w:r>
            <w:r w:rsidR="00D707B7" w:rsidRPr="00237760">
              <w:rPr>
                <w:rFonts w:ascii="Arial" w:hAnsi="Arial" w:cs="Arial"/>
                <w:b/>
                <w:bCs/>
                <w:color w:val="auto"/>
                <w:sz w:val="24"/>
                <w:szCs w:val="24"/>
              </w:rPr>
              <w:t xml:space="preserve"> </w:t>
            </w:r>
          </w:p>
        </w:tc>
      </w:tr>
    </w:tbl>
    <w:tbl>
      <w:tblPr>
        <w:tblStyle w:val="Tabela-Siatka521"/>
        <w:tblW w:w="9075" w:type="dxa"/>
        <w:tblInd w:w="0"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57" w:type="dxa"/>
          <w:right w:w="57" w:type="dxa"/>
        </w:tblCellMar>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3970"/>
        <w:gridCol w:w="5105"/>
      </w:tblGrid>
      <w:tr w:rsidR="00237760" w:rsidRPr="00237760" w14:paraId="2DAB3BB7" w14:textId="77777777" w:rsidTr="009367B4">
        <w:trPr>
          <w:trHeight w:val="151"/>
        </w:trPr>
        <w:tc>
          <w:tcPr>
            <w:tcW w:w="3970"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2CFC70F9" w14:textId="348A62B4" w:rsidR="00C71112" w:rsidRPr="00237760" w:rsidRDefault="00C71112"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SŁABOŚCI</w:t>
            </w:r>
          </w:p>
        </w:tc>
        <w:tc>
          <w:tcPr>
            <w:tcW w:w="5105"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tcPr>
          <w:p w14:paraId="6B86CE74" w14:textId="77777777" w:rsidR="00C71112" w:rsidRPr="00237760" w:rsidRDefault="00C71112" w:rsidP="009367B4">
            <w:pPr>
              <w:spacing w:after="0" w:line="240" w:lineRule="auto"/>
              <w:ind w:left="57" w:right="57"/>
              <w:jc w:val="left"/>
              <w:rPr>
                <w:rFonts w:ascii="Arial" w:hAnsi="Arial" w:cs="Arial"/>
                <w:color w:val="auto"/>
                <w:sz w:val="24"/>
                <w:szCs w:val="24"/>
              </w:rPr>
            </w:pPr>
          </w:p>
        </w:tc>
      </w:tr>
    </w:tbl>
    <w:tbl>
      <w:tblPr>
        <w:tblStyle w:val="Tabela-Siatka5"/>
        <w:tblW w:w="9072" w:type="dxa"/>
        <w:tblInd w:w="0" w:type="dxa"/>
        <w:tblLayout w:type="fixed"/>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5103"/>
        <w:gridCol w:w="3969"/>
      </w:tblGrid>
      <w:tr w:rsidR="00237760" w:rsidRPr="00237760" w14:paraId="1E7582DB" w14:textId="77777777" w:rsidTr="00F12C65">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7F9E32C7" w14:textId="0F13DB4F" w:rsidR="00C71112" w:rsidRPr="00237760" w:rsidRDefault="00C71112"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Niska jakość dróg powiatowych, brak chodników</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74965D50" w14:textId="77777777" w:rsidR="00A856C8" w:rsidRPr="00237760" w:rsidRDefault="005D7226"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730EEBB5" w14:textId="155EDA04" w:rsidR="00C71112" w:rsidRPr="00237760" w:rsidRDefault="008B4C1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4. Poprawa bezpieczeństwa w transporcie</w:t>
            </w:r>
          </w:p>
        </w:tc>
      </w:tr>
      <w:tr w:rsidR="00237760" w:rsidRPr="00237760" w14:paraId="7FF5DA77" w14:textId="77777777" w:rsidTr="00F12C65">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7DA839EA" w14:textId="56FE3940" w:rsidR="00F25171" w:rsidRPr="00237760" w:rsidRDefault="00F25171"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Brak ścieżek rowerowych</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645AE089" w14:textId="77777777" w:rsidR="006D36AA" w:rsidRPr="00237760" w:rsidRDefault="006D36AA"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0D64C38F" w14:textId="77777777" w:rsidR="006D36AA" w:rsidRPr="00237760" w:rsidRDefault="006D36AA"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6DAF0BFB" w14:textId="77777777" w:rsidR="00E876E7" w:rsidRPr="00237760" w:rsidRDefault="006D36AA"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1. Ograniczenie negatywnego oddziaływania sektora transportu na klimat oraz na regionalne środowisko naturalne</w:t>
            </w:r>
          </w:p>
          <w:p w14:paraId="39C2C46A" w14:textId="6F6B7D83" w:rsidR="00F25171" w:rsidRPr="00237760" w:rsidRDefault="00E876E7"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4. Poprawa bezpieczeństwa w transporcie</w:t>
            </w:r>
          </w:p>
        </w:tc>
      </w:tr>
    </w:tbl>
    <w:tbl>
      <w:tblPr>
        <w:tblStyle w:val="Tabela-Siatka524"/>
        <w:tblW w:w="9075" w:type="dxa"/>
        <w:tblInd w:w="0"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57" w:type="dxa"/>
          <w:right w:w="57" w:type="dxa"/>
        </w:tblCellMar>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3970"/>
        <w:gridCol w:w="5105"/>
      </w:tblGrid>
      <w:tr w:rsidR="00237760" w:rsidRPr="00237760" w14:paraId="1D1FD62C" w14:textId="77777777" w:rsidTr="009367B4">
        <w:trPr>
          <w:trHeight w:val="151"/>
        </w:trPr>
        <w:tc>
          <w:tcPr>
            <w:tcW w:w="3970"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4AEDC88D" w14:textId="52FA7718" w:rsidR="0068429D" w:rsidRPr="00237760" w:rsidRDefault="00965AAF"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SZANSE</w:t>
            </w:r>
          </w:p>
        </w:tc>
        <w:tc>
          <w:tcPr>
            <w:tcW w:w="5105"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tcPr>
          <w:p w14:paraId="1F33B127" w14:textId="77777777" w:rsidR="0068429D" w:rsidRPr="00237760" w:rsidRDefault="0068429D" w:rsidP="009367B4">
            <w:pPr>
              <w:spacing w:after="0" w:line="240" w:lineRule="auto"/>
              <w:ind w:left="57" w:right="57"/>
              <w:jc w:val="left"/>
              <w:rPr>
                <w:rFonts w:ascii="Arial" w:hAnsi="Arial" w:cs="Arial"/>
                <w:color w:val="auto"/>
                <w:sz w:val="24"/>
                <w:szCs w:val="24"/>
              </w:rPr>
            </w:pPr>
          </w:p>
        </w:tc>
      </w:tr>
    </w:tbl>
    <w:tbl>
      <w:tblPr>
        <w:tblStyle w:val="Tabela-Siatka5"/>
        <w:tblW w:w="9072" w:type="dxa"/>
        <w:tblInd w:w="0" w:type="dxa"/>
        <w:tblLayout w:type="fixed"/>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5103"/>
        <w:gridCol w:w="3969"/>
      </w:tblGrid>
      <w:tr w:rsidR="00237760" w:rsidRPr="00237760" w14:paraId="271C803C" w14:textId="77777777" w:rsidTr="00F12C65">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53892474" w14:textId="425E74A7" w:rsidR="00055405" w:rsidRPr="00237760" w:rsidRDefault="00247F2F"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Możliwość korzystania z dopłat unijnych</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4F486376" w14:textId="1FFAF84A" w:rsidR="00055405" w:rsidRPr="00237760" w:rsidRDefault="005947BB"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Wszystkie cele</w:t>
            </w:r>
          </w:p>
        </w:tc>
      </w:tr>
    </w:tbl>
    <w:tbl>
      <w:tblPr>
        <w:tblStyle w:val="Tabela-Siatka31"/>
        <w:tblW w:w="907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9075"/>
      </w:tblGrid>
      <w:tr w:rsidR="00237760" w:rsidRPr="00237760" w14:paraId="1DFA3DFC" w14:textId="77777777" w:rsidTr="009367B4">
        <w:trPr>
          <w:trHeight w:val="151"/>
        </w:trPr>
        <w:tc>
          <w:tcPr>
            <w:tcW w:w="9075" w:type="dxa"/>
            <w:shd w:val="clear" w:color="auto" w:fill="auto"/>
            <w:tcMar>
              <w:top w:w="0" w:type="dxa"/>
              <w:left w:w="28" w:type="dxa"/>
              <w:bottom w:w="0" w:type="dxa"/>
              <w:right w:w="28" w:type="dxa"/>
            </w:tcMar>
            <w:vAlign w:val="center"/>
            <w:hideMark/>
          </w:tcPr>
          <w:p w14:paraId="3AD52507" w14:textId="7AE818F2" w:rsidR="000723A0" w:rsidRPr="00237760" w:rsidRDefault="000723A0" w:rsidP="009367B4">
            <w:pPr>
              <w:spacing w:after="0" w:line="240" w:lineRule="auto"/>
              <w:ind w:left="57" w:right="57"/>
              <w:jc w:val="left"/>
              <w:rPr>
                <w:rFonts w:ascii="Arial" w:hAnsi="Arial" w:cs="Arial"/>
                <w:b/>
                <w:bCs/>
                <w:color w:val="auto"/>
                <w:sz w:val="24"/>
                <w:szCs w:val="24"/>
              </w:rPr>
            </w:pPr>
            <w:r w:rsidRPr="00237760">
              <w:rPr>
                <w:rFonts w:ascii="Arial" w:hAnsi="Arial" w:cs="Arial"/>
                <w:b/>
                <w:bCs/>
                <w:color w:val="auto"/>
                <w:sz w:val="24"/>
                <w:szCs w:val="24"/>
              </w:rPr>
              <w:t>Strategia Rozwoju Gminy Komańcza do roku 2030</w:t>
            </w:r>
          </w:p>
        </w:tc>
      </w:tr>
    </w:tbl>
    <w:tbl>
      <w:tblPr>
        <w:tblStyle w:val="Tabela-Siatka52"/>
        <w:tblW w:w="9075" w:type="dxa"/>
        <w:tblInd w:w="0"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57" w:type="dxa"/>
          <w:right w:w="57" w:type="dxa"/>
        </w:tblCellMar>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3970"/>
        <w:gridCol w:w="5105"/>
      </w:tblGrid>
      <w:tr w:rsidR="00237760" w:rsidRPr="00237760" w14:paraId="43090676" w14:textId="77777777" w:rsidTr="009367B4">
        <w:trPr>
          <w:trHeight w:val="151"/>
        </w:trPr>
        <w:tc>
          <w:tcPr>
            <w:tcW w:w="3970"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171F3709" w14:textId="0F3A267A" w:rsidR="000723A0" w:rsidRPr="00237760" w:rsidRDefault="000723A0"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SZANSE</w:t>
            </w:r>
          </w:p>
        </w:tc>
        <w:tc>
          <w:tcPr>
            <w:tcW w:w="5105"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tcPr>
          <w:p w14:paraId="238F1443" w14:textId="77777777" w:rsidR="000723A0" w:rsidRPr="00237760" w:rsidRDefault="000723A0" w:rsidP="009367B4">
            <w:pPr>
              <w:spacing w:after="0" w:line="240" w:lineRule="auto"/>
              <w:ind w:left="57" w:right="57"/>
              <w:jc w:val="left"/>
              <w:rPr>
                <w:rFonts w:ascii="Arial" w:hAnsi="Arial" w:cs="Arial"/>
                <w:color w:val="auto"/>
                <w:sz w:val="24"/>
                <w:szCs w:val="24"/>
              </w:rPr>
            </w:pPr>
          </w:p>
        </w:tc>
      </w:tr>
    </w:tbl>
    <w:tbl>
      <w:tblPr>
        <w:tblStyle w:val="Tabela-Siatka5"/>
        <w:tblW w:w="9072" w:type="dxa"/>
        <w:tblInd w:w="0" w:type="dxa"/>
        <w:tblLayout w:type="fixed"/>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5103"/>
        <w:gridCol w:w="3969"/>
      </w:tblGrid>
      <w:tr w:rsidR="00237760" w:rsidRPr="00237760" w14:paraId="5F090080" w14:textId="77777777" w:rsidTr="00F12C65">
        <w:trPr>
          <w:trHeight w:val="151"/>
        </w:trPr>
        <w:tc>
          <w:tcPr>
            <w:tcW w:w="5103" w:type="dxa"/>
            <w:tcBorders>
              <w:top w:val="single" w:sz="4" w:space="0" w:color="BDD6EE" w:themeColor="accent1" w:themeTint="66"/>
              <w:left w:val="nil"/>
              <w:bottom w:val="single" w:sz="4" w:space="0" w:color="BDD6EE" w:themeColor="accent1" w:themeTint="66"/>
              <w:right w:val="nil"/>
            </w:tcBorders>
          </w:tcPr>
          <w:p w14:paraId="112FC5EC" w14:textId="5494DDD0" w:rsidR="000723A0" w:rsidRPr="00237760" w:rsidRDefault="000723A0"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lastRenderedPageBreak/>
              <w:t>Możliwość pozyskania środków z funduszy europejskich na lata 2014–2020 oraz środków krajowych</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70C8B65D" w14:textId="18B9B985" w:rsidR="000723A0" w:rsidRPr="00237760" w:rsidRDefault="00E75D0B"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Wszystkie cele</w:t>
            </w:r>
          </w:p>
        </w:tc>
      </w:tr>
    </w:tbl>
    <w:tbl>
      <w:tblPr>
        <w:tblStyle w:val="Tabela-Siatka31"/>
        <w:tblW w:w="907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9075"/>
      </w:tblGrid>
      <w:tr w:rsidR="00237760" w:rsidRPr="00237760" w14:paraId="05FC3771" w14:textId="77777777" w:rsidTr="009367B4">
        <w:trPr>
          <w:trHeight w:val="151"/>
        </w:trPr>
        <w:tc>
          <w:tcPr>
            <w:tcW w:w="9075" w:type="dxa"/>
            <w:shd w:val="clear" w:color="auto" w:fill="auto"/>
            <w:tcMar>
              <w:top w:w="0" w:type="dxa"/>
              <w:left w:w="28" w:type="dxa"/>
              <w:bottom w:w="0" w:type="dxa"/>
              <w:right w:w="28" w:type="dxa"/>
            </w:tcMar>
            <w:vAlign w:val="center"/>
            <w:hideMark/>
          </w:tcPr>
          <w:p w14:paraId="7F51F3A0" w14:textId="46235F7C" w:rsidR="000723A0" w:rsidRPr="00237760" w:rsidRDefault="000723A0" w:rsidP="009367B4">
            <w:pPr>
              <w:spacing w:after="0" w:line="240" w:lineRule="auto"/>
              <w:ind w:left="57" w:right="57"/>
              <w:jc w:val="left"/>
              <w:rPr>
                <w:rFonts w:ascii="Arial" w:hAnsi="Arial" w:cs="Arial"/>
                <w:b/>
                <w:bCs/>
                <w:color w:val="auto"/>
                <w:sz w:val="24"/>
                <w:szCs w:val="24"/>
              </w:rPr>
            </w:pPr>
            <w:r w:rsidRPr="00237760">
              <w:rPr>
                <w:rFonts w:ascii="Arial" w:hAnsi="Arial" w:cs="Arial"/>
                <w:b/>
                <w:bCs/>
                <w:color w:val="auto"/>
                <w:sz w:val="24"/>
                <w:szCs w:val="24"/>
              </w:rPr>
              <w:t>Strategia Rozwoju Gminy Kuryłówka na lata 2015-2022</w:t>
            </w:r>
          </w:p>
        </w:tc>
      </w:tr>
    </w:tbl>
    <w:tbl>
      <w:tblPr>
        <w:tblStyle w:val="Tabela-Siatka526"/>
        <w:tblW w:w="9075" w:type="dxa"/>
        <w:tblInd w:w="0"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57" w:type="dxa"/>
          <w:right w:w="57" w:type="dxa"/>
        </w:tblCellMar>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3970"/>
        <w:gridCol w:w="5105"/>
      </w:tblGrid>
      <w:tr w:rsidR="00237760" w:rsidRPr="00237760" w14:paraId="7B28BCAD" w14:textId="77777777" w:rsidTr="009367B4">
        <w:trPr>
          <w:trHeight w:val="151"/>
        </w:trPr>
        <w:tc>
          <w:tcPr>
            <w:tcW w:w="3970"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383A13C6" w14:textId="56E69932" w:rsidR="000723A0" w:rsidRPr="00237760" w:rsidRDefault="000723A0"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SŁABOŚCI</w:t>
            </w:r>
          </w:p>
        </w:tc>
        <w:tc>
          <w:tcPr>
            <w:tcW w:w="5105"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tcPr>
          <w:p w14:paraId="2715674D" w14:textId="77777777" w:rsidR="000723A0" w:rsidRPr="00237760" w:rsidRDefault="000723A0" w:rsidP="009367B4">
            <w:pPr>
              <w:spacing w:after="0" w:line="240" w:lineRule="auto"/>
              <w:ind w:left="57" w:right="57"/>
              <w:jc w:val="left"/>
              <w:rPr>
                <w:rFonts w:ascii="Arial" w:hAnsi="Arial" w:cs="Arial"/>
                <w:color w:val="auto"/>
                <w:sz w:val="24"/>
                <w:szCs w:val="24"/>
              </w:rPr>
            </w:pPr>
          </w:p>
        </w:tc>
      </w:tr>
    </w:tbl>
    <w:tbl>
      <w:tblPr>
        <w:tblStyle w:val="Tabela-Siatka5"/>
        <w:tblW w:w="9072" w:type="dxa"/>
        <w:tblInd w:w="0" w:type="dxa"/>
        <w:tblLayout w:type="fixed"/>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5103"/>
        <w:gridCol w:w="3969"/>
      </w:tblGrid>
      <w:tr w:rsidR="00237760" w:rsidRPr="00237760" w14:paraId="6232275A" w14:textId="77777777" w:rsidTr="006B1EFF">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2BB426DA" w14:textId="6A606BC8" w:rsidR="000723A0" w:rsidRPr="00237760" w:rsidRDefault="000723A0"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Ograniczona dostępność komunikacyjna</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495442E1" w14:textId="77777777" w:rsidR="000B7D00" w:rsidRPr="00237760" w:rsidRDefault="000B7D00"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40969ADD" w14:textId="77777777" w:rsidR="000B7D00" w:rsidRPr="00237760" w:rsidRDefault="000B7D00"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 xml:space="preserve">Cel podstawowy 2. Transportowa spójność wewnętrzna </w:t>
            </w:r>
          </w:p>
          <w:p w14:paraId="6CBFE40D" w14:textId="77777777" w:rsidR="000B7D00" w:rsidRPr="00237760" w:rsidRDefault="000B7D00"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 xml:space="preserve">Cel horyzontalny 2. Wzmocnienie rozwiązań multimodalnych </w:t>
            </w:r>
          </w:p>
          <w:p w14:paraId="39433417" w14:textId="189CC9C6" w:rsidR="000723A0" w:rsidRPr="00237760" w:rsidRDefault="000B7D00"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1ED98690" w14:textId="77777777" w:rsidTr="006B1EFF">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64AF13D5" w14:textId="4B9A78A1" w:rsidR="000723A0" w:rsidRPr="00237760" w:rsidRDefault="000723A0"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Niedostateczna ilość i jakość szlaków turystycznych</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2B98C565" w14:textId="1E4AB227" w:rsidR="000723A0" w:rsidRPr="00237760" w:rsidRDefault="002603A6"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 xml:space="preserve">Częściowo </w:t>
            </w:r>
            <w:r w:rsidR="00F00148" w:rsidRPr="00237760">
              <w:rPr>
                <w:rFonts w:ascii="Arial" w:hAnsi="Arial" w:cs="Arial"/>
                <w:color w:val="auto"/>
                <w:sz w:val="24"/>
                <w:szCs w:val="24"/>
              </w:rPr>
              <w:t>Cel podstawowy 1. Dostępność zewnętrzna</w:t>
            </w:r>
            <w:r w:rsidR="00F00148" w:rsidRPr="00237760">
              <w:rPr>
                <w:rStyle w:val="Odwoanieprzypisudolnego"/>
                <w:rFonts w:ascii="Arial" w:hAnsi="Arial" w:cs="Arial"/>
                <w:color w:val="auto"/>
                <w:sz w:val="24"/>
                <w:szCs w:val="24"/>
              </w:rPr>
              <w:footnoteReference w:id="17"/>
            </w:r>
          </w:p>
        </w:tc>
      </w:tr>
      <w:tr w:rsidR="00237760" w:rsidRPr="00237760" w14:paraId="665FE7DE" w14:textId="77777777" w:rsidTr="006B1EFF">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4BC3EFB7" w14:textId="5FA49EDD" w:rsidR="000723A0" w:rsidRPr="00237760" w:rsidRDefault="000723A0"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Brak kompleksowej oferty związanej z promowaniem i rozwojem zasobów kulturowo-historycznych i przyrodniczych</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36D00BC2" w14:textId="0B466B6E" w:rsidR="000723A0" w:rsidRPr="00237760" w:rsidRDefault="00F00148"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Częściowo Cel podstawowy 1. Dostępność zewnętrzna</w:t>
            </w:r>
            <w:r w:rsidRPr="00237760">
              <w:rPr>
                <w:rStyle w:val="Odwoanieprzypisudolnego"/>
                <w:rFonts w:ascii="Arial" w:hAnsi="Arial" w:cs="Arial"/>
                <w:color w:val="auto"/>
                <w:sz w:val="24"/>
                <w:szCs w:val="24"/>
              </w:rPr>
              <w:footnoteReference w:id="18"/>
            </w:r>
          </w:p>
        </w:tc>
      </w:tr>
    </w:tbl>
    <w:tbl>
      <w:tblPr>
        <w:tblStyle w:val="Tabela-Siatka522"/>
        <w:tblW w:w="9075" w:type="dxa"/>
        <w:tblInd w:w="0"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57" w:type="dxa"/>
          <w:right w:w="57" w:type="dxa"/>
        </w:tblCellMar>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3970"/>
        <w:gridCol w:w="5105"/>
      </w:tblGrid>
      <w:tr w:rsidR="00237760" w:rsidRPr="00237760" w14:paraId="052B62C9" w14:textId="77777777" w:rsidTr="009367B4">
        <w:trPr>
          <w:trHeight w:val="151"/>
        </w:trPr>
        <w:tc>
          <w:tcPr>
            <w:tcW w:w="3970"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4DB0AA55" w14:textId="2A9F2777" w:rsidR="000723A0" w:rsidRPr="00237760" w:rsidRDefault="000723A0"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SZANSE</w:t>
            </w:r>
          </w:p>
        </w:tc>
        <w:tc>
          <w:tcPr>
            <w:tcW w:w="5105"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tcPr>
          <w:p w14:paraId="0D8367A2" w14:textId="77777777" w:rsidR="000723A0" w:rsidRPr="00237760" w:rsidRDefault="000723A0" w:rsidP="009367B4">
            <w:pPr>
              <w:spacing w:after="0" w:line="240" w:lineRule="auto"/>
              <w:ind w:left="57" w:right="57"/>
              <w:jc w:val="left"/>
              <w:rPr>
                <w:rFonts w:ascii="Arial" w:hAnsi="Arial" w:cs="Arial"/>
                <w:color w:val="auto"/>
                <w:sz w:val="24"/>
                <w:szCs w:val="24"/>
              </w:rPr>
            </w:pPr>
          </w:p>
        </w:tc>
      </w:tr>
    </w:tbl>
    <w:tbl>
      <w:tblPr>
        <w:tblStyle w:val="Tabela-Siatka5"/>
        <w:tblW w:w="9072" w:type="dxa"/>
        <w:tblInd w:w="0" w:type="dxa"/>
        <w:tblLayout w:type="fixed"/>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5103"/>
        <w:gridCol w:w="3969"/>
      </w:tblGrid>
      <w:tr w:rsidR="00237760" w:rsidRPr="00237760" w14:paraId="3EE5C199" w14:textId="77777777" w:rsidTr="00F12C65">
        <w:trPr>
          <w:trHeight w:val="151"/>
        </w:trPr>
        <w:tc>
          <w:tcPr>
            <w:tcW w:w="5103" w:type="dxa"/>
            <w:tcBorders>
              <w:top w:val="single" w:sz="4" w:space="0" w:color="BDD6EE" w:themeColor="accent1" w:themeTint="66"/>
              <w:left w:val="nil"/>
              <w:bottom w:val="single" w:sz="4" w:space="0" w:color="BDD6EE" w:themeColor="accent1" w:themeTint="66"/>
              <w:right w:val="nil"/>
            </w:tcBorders>
          </w:tcPr>
          <w:p w14:paraId="3D22611D" w14:textId="4BF4E8AE" w:rsidR="000723A0" w:rsidRPr="00237760" w:rsidRDefault="000723A0"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Większa dostępność funduszy zewnętrznych</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6AF472D2" w14:textId="38B1F33A" w:rsidR="000723A0" w:rsidRPr="00237760" w:rsidRDefault="00D25157"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Wszystkie cele</w:t>
            </w:r>
          </w:p>
        </w:tc>
      </w:tr>
      <w:tr w:rsidR="00237760" w:rsidRPr="00237760" w14:paraId="408C0E2B" w14:textId="77777777" w:rsidTr="00F12C65">
        <w:trPr>
          <w:trHeight w:val="151"/>
        </w:trPr>
        <w:tc>
          <w:tcPr>
            <w:tcW w:w="5103" w:type="dxa"/>
            <w:tcBorders>
              <w:top w:val="single" w:sz="4" w:space="0" w:color="BDD6EE" w:themeColor="accent1" w:themeTint="66"/>
              <w:left w:val="nil"/>
              <w:bottom w:val="single" w:sz="4" w:space="0" w:color="BDD6EE" w:themeColor="accent1" w:themeTint="66"/>
              <w:right w:val="nil"/>
            </w:tcBorders>
          </w:tcPr>
          <w:p w14:paraId="3B525B5F" w14:textId="5C918D9E" w:rsidR="000723A0" w:rsidRPr="00237760" w:rsidRDefault="000723A0"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Mechanizmy wsparcia finansowego na rozwój infrastruktury</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61882F51" w14:textId="1DF5EB94" w:rsidR="000723A0" w:rsidRPr="00237760" w:rsidRDefault="00D25157"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Wszystkie cele</w:t>
            </w:r>
          </w:p>
        </w:tc>
      </w:tr>
    </w:tbl>
    <w:tbl>
      <w:tblPr>
        <w:tblStyle w:val="Tabela-Siatka31"/>
        <w:tblW w:w="907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9075"/>
      </w:tblGrid>
      <w:tr w:rsidR="00237760" w:rsidRPr="00237760" w14:paraId="15C45E87" w14:textId="77777777" w:rsidTr="009367B4">
        <w:trPr>
          <w:trHeight w:val="151"/>
        </w:trPr>
        <w:tc>
          <w:tcPr>
            <w:tcW w:w="9075" w:type="dxa"/>
            <w:shd w:val="clear" w:color="auto" w:fill="auto"/>
            <w:tcMar>
              <w:top w:w="0" w:type="dxa"/>
              <w:left w:w="28" w:type="dxa"/>
              <w:bottom w:w="0" w:type="dxa"/>
              <w:right w:w="28" w:type="dxa"/>
            </w:tcMar>
            <w:vAlign w:val="center"/>
            <w:hideMark/>
          </w:tcPr>
          <w:p w14:paraId="5CC89336" w14:textId="330240EF" w:rsidR="000723A0" w:rsidRPr="00237760" w:rsidRDefault="006D7AB7" w:rsidP="009367B4">
            <w:pPr>
              <w:spacing w:after="0" w:line="240" w:lineRule="auto"/>
              <w:ind w:left="57" w:right="57"/>
              <w:jc w:val="left"/>
              <w:rPr>
                <w:rFonts w:ascii="Arial" w:hAnsi="Arial" w:cs="Arial"/>
                <w:b/>
                <w:bCs/>
                <w:color w:val="auto"/>
                <w:sz w:val="24"/>
                <w:szCs w:val="24"/>
              </w:rPr>
            </w:pPr>
            <w:r w:rsidRPr="00237760">
              <w:rPr>
                <w:rFonts w:ascii="Arial" w:hAnsi="Arial" w:cs="Arial"/>
                <w:b/>
                <w:bCs/>
                <w:color w:val="auto"/>
                <w:sz w:val="24"/>
                <w:szCs w:val="24"/>
              </w:rPr>
              <w:t>Strategia Rozwoju Gminy Lutowiska do roku 2026</w:t>
            </w:r>
            <w:r w:rsidR="00D707B7" w:rsidRPr="00237760">
              <w:rPr>
                <w:rFonts w:ascii="Arial" w:hAnsi="Arial" w:cs="Arial"/>
                <w:b/>
                <w:bCs/>
                <w:color w:val="auto"/>
                <w:sz w:val="24"/>
                <w:szCs w:val="24"/>
              </w:rPr>
              <w:t xml:space="preserve"> </w:t>
            </w:r>
          </w:p>
        </w:tc>
      </w:tr>
    </w:tbl>
    <w:tbl>
      <w:tblPr>
        <w:tblStyle w:val="Tabela-Siatka526"/>
        <w:tblW w:w="9075" w:type="dxa"/>
        <w:tblInd w:w="0"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57" w:type="dxa"/>
          <w:right w:w="57" w:type="dxa"/>
        </w:tblCellMar>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9075"/>
      </w:tblGrid>
      <w:tr w:rsidR="00237760" w:rsidRPr="00237760" w14:paraId="0B834AA1" w14:textId="77777777" w:rsidTr="009367B4">
        <w:trPr>
          <w:trHeight w:val="151"/>
        </w:trPr>
        <w:tc>
          <w:tcPr>
            <w:tcW w:w="9075"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4722577E" w14:textId="62C4DF42" w:rsidR="006D7AB7" w:rsidRPr="00237760" w:rsidRDefault="006D7AB7"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SŁABOŚCI</w:t>
            </w:r>
          </w:p>
        </w:tc>
      </w:tr>
    </w:tbl>
    <w:tbl>
      <w:tblPr>
        <w:tblStyle w:val="Tabela-Siatka5"/>
        <w:tblW w:w="9072" w:type="dxa"/>
        <w:tblInd w:w="0" w:type="dxa"/>
        <w:tblLayout w:type="fixed"/>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5103"/>
        <w:gridCol w:w="3969"/>
      </w:tblGrid>
      <w:tr w:rsidR="00237760" w:rsidRPr="00237760" w14:paraId="2A4A7D77" w14:textId="77777777" w:rsidTr="006B1EFF">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7D7018FC" w14:textId="3BC9D525" w:rsidR="00C91B29" w:rsidRPr="00237760" w:rsidRDefault="006B7126"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Duże</w:t>
            </w:r>
            <w:r w:rsidR="00D707B7" w:rsidRPr="00237760">
              <w:rPr>
                <w:rFonts w:ascii="Arial" w:hAnsi="Arial" w:cs="Arial"/>
                <w:color w:val="auto"/>
                <w:sz w:val="24"/>
                <w:szCs w:val="24"/>
              </w:rPr>
              <w:t xml:space="preserve"> </w:t>
            </w:r>
            <w:r w:rsidRPr="00237760">
              <w:rPr>
                <w:rFonts w:ascii="Arial" w:hAnsi="Arial" w:cs="Arial"/>
                <w:color w:val="auto"/>
                <w:sz w:val="24"/>
                <w:szCs w:val="24"/>
              </w:rPr>
              <w:t>oddalenie</w:t>
            </w:r>
            <w:r w:rsidR="00D707B7" w:rsidRPr="00237760">
              <w:rPr>
                <w:rFonts w:ascii="Arial" w:hAnsi="Arial" w:cs="Arial"/>
                <w:color w:val="auto"/>
                <w:sz w:val="24"/>
                <w:szCs w:val="24"/>
              </w:rPr>
              <w:t xml:space="preserve"> </w:t>
            </w:r>
            <w:r w:rsidRPr="00237760">
              <w:rPr>
                <w:rFonts w:ascii="Arial" w:hAnsi="Arial" w:cs="Arial"/>
                <w:color w:val="auto"/>
                <w:sz w:val="24"/>
                <w:szCs w:val="24"/>
              </w:rPr>
              <w:t>od</w:t>
            </w:r>
            <w:r w:rsidR="00D707B7" w:rsidRPr="00237760">
              <w:rPr>
                <w:rFonts w:ascii="Arial" w:hAnsi="Arial" w:cs="Arial"/>
                <w:color w:val="auto"/>
                <w:sz w:val="24"/>
                <w:szCs w:val="24"/>
              </w:rPr>
              <w:t xml:space="preserve"> </w:t>
            </w:r>
            <w:r w:rsidRPr="00237760">
              <w:rPr>
                <w:rFonts w:ascii="Arial" w:hAnsi="Arial" w:cs="Arial"/>
                <w:color w:val="auto"/>
                <w:sz w:val="24"/>
                <w:szCs w:val="24"/>
              </w:rPr>
              <w:t>rynków</w:t>
            </w:r>
            <w:r w:rsidR="00D707B7" w:rsidRPr="00237760">
              <w:rPr>
                <w:rFonts w:ascii="Arial" w:hAnsi="Arial" w:cs="Arial"/>
                <w:color w:val="auto"/>
                <w:sz w:val="24"/>
                <w:szCs w:val="24"/>
              </w:rPr>
              <w:t xml:space="preserve"> </w:t>
            </w:r>
            <w:r w:rsidRPr="00237760">
              <w:rPr>
                <w:rFonts w:ascii="Arial" w:hAnsi="Arial" w:cs="Arial"/>
                <w:color w:val="auto"/>
                <w:sz w:val="24"/>
                <w:szCs w:val="24"/>
              </w:rPr>
              <w:t>pracy -</w:t>
            </w:r>
            <w:r w:rsidR="003A641D" w:rsidRPr="00237760">
              <w:rPr>
                <w:rFonts w:ascii="Arial" w:hAnsi="Arial" w:cs="Arial"/>
                <w:color w:val="auto"/>
                <w:sz w:val="24"/>
                <w:szCs w:val="24"/>
              </w:rPr>
              <w:t xml:space="preserve"> </w:t>
            </w:r>
            <w:r w:rsidRPr="00237760">
              <w:rPr>
                <w:rFonts w:ascii="Arial" w:hAnsi="Arial" w:cs="Arial"/>
                <w:color w:val="auto"/>
                <w:sz w:val="24"/>
                <w:szCs w:val="24"/>
              </w:rPr>
              <w:t>utrudnienia komunikacyjne w dotarciu do miejsca pracy</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7BCCA5A9" w14:textId="77777777" w:rsidR="003A641D" w:rsidRPr="00237760" w:rsidRDefault="003A641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74FC3BE7" w14:textId="77777777" w:rsidR="003A641D" w:rsidRPr="00237760" w:rsidRDefault="003A641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0B930256" w14:textId="77777777" w:rsidR="003A641D" w:rsidRPr="00237760" w:rsidRDefault="003A641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 xml:space="preserve">Cel horyzontalny 2. Wzmocnienie rozwiązań multimodalnych </w:t>
            </w:r>
          </w:p>
          <w:p w14:paraId="507B6E7C" w14:textId="21CD42A2" w:rsidR="00C91B29" w:rsidRPr="00237760" w:rsidRDefault="003A641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792A2ED0" w14:textId="77777777" w:rsidTr="006B1EFF">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302FE7B6" w14:textId="45DE80DB" w:rsidR="00C91B29" w:rsidRPr="00237760" w:rsidRDefault="006B7126"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 xml:space="preserve">Zwężenia </w:t>
            </w:r>
            <w:r w:rsidR="00C91B29" w:rsidRPr="00237760">
              <w:rPr>
                <w:rFonts w:ascii="Arial" w:hAnsi="Arial" w:cs="Arial"/>
                <w:color w:val="auto"/>
                <w:sz w:val="24"/>
                <w:szCs w:val="24"/>
              </w:rPr>
              <w:t>mostów</w:t>
            </w:r>
            <w:r w:rsidR="00D707B7" w:rsidRPr="00237760">
              <w:rPr>
                <w:rFonts w:ascii="Arial" w:hAnsi="Arial" w:cs="Arial"/>
                <w:color w:val="auto"/>
                <w:sz w:val="24"/>
                <w:szCs w:val="24"/>
              </w:rPr>
              <w:t xml:space="preserve"> </w:t>
            </w:r>
            <w:r w:rsidR="00C91B29" w:rsidRPr="00237760">
              <w:rPr>
                <w:rFonts w:ascii="Arial" w:hAnsi="Arial" w:cs="Arial"/>
                <w:color w:val="auto"/>
                <w:sz w:val="24"/>
                <w:szCs w:val="24"/>
              </w:rPr>
              <w:t>na głównym</w:t>
            </w:r>
            <w:r w:rsidR="00D707B7" w:rsidRPr="00237760">
              <w:rPr>
                <w:rFonts w:ascii="Arial" w:hAnsi="Arial" w:cs="Arial"/>
                <w:color w:val="auto"/>
                <w:sz w:val="24"/>
                <w:szCs w:val="24"/>
              </w:rPr>
              <w:t xml:space="preserve"> </w:t>
            </w:r>
            <w:r w:rsidR="00C91B29" w:rsidRPr="00237760">
              <w:rPr>
                <w:rFonts w:ascii="Arial" w:hAnsi="Arial" w:cs="Arial"/>
                <w:color w:val="auto"/>
                <w:sz w:val="24"/>
                <w:szCs w:val="24"/>
              </w:rPr>
              <w:t xml:space="preserve">szlaku komunikacyjnym w </w:t>
            </w:r>
            <w:r w:rsidR="00FF4C87" w:rsidRPr="00237760">
              <w:rPr>
                <w:rFonts w:ascii="Arial" w:hAnsi="Arial" w:cs="Arial"/>
                <w:color w:val="auto"/>
                <w:sz w:val="24"/>
                <w:szCs w:val="24"/>
              </w:rPr>
              <w:t>Bieszczad</w:t>
            </w:r>
            <w:r w:rsidR="00BC742C" w:rsidRPr="00237760">
              <w:rPr>
                <w:rFonts w:ascii="Arial" w:hAnsi="Arial" w:cs="Arial"/>
                <w:color w:val="auto"/>
                <w:sz w:val="24"/>
                <w:szCs w:val="24"/>
              </w:rPr>
              <w:t>ach</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1B42D691" w14:textId="3B7C6547" w:rsidR="00372A00" w:rsidRPr="00237760" w:rsidRDefault="00372A00"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38D9088F" w14:textId="004CBEDD" w:rsidR="00C91B29" w:rsidRPr="00237760" w:rsidRDefault="00372A00"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tc>
      </w:tr>
      <w:tr w:rsidR="00237760" w:rsidRPr="00237760" w14:paraId="5A4AE87B" w14:textId="77777777" w:rsidTr="006B1EFF">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6B5B12B4" w14:textId="163B2424" w:rsidR="00C91B29" w:rsidRPr="00237760" w:rsidRDefault="006B7126"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Ciężki transport drewna na droga</w:t>
            </w:r>
            <w:r w:rsidR="00FE1FD0" w:rsidRPr="00237760">
              <w:rPr>
                <w:rFonts w:ascii="Arial" w:hAnsi="Arial" w:cs="Arial"/>
                <w:color w:val="auto"/>
                <w:sz w:val="24"/>
                <w:szCs w:val="24"/>
              </w:rPr>
              <w:t>ch przebiegających przez gminę</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1FE9756F" w14:textId="399F9EE6" w:rsidR="00C91B29" w:rsidRPr="00237760" w:rsidRDefault="006904E9"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tc>
      </w:tr>
      <w:tr w:rsidR="00237760" w:rsidRPr="00237760" w14:paraId="42C48575" w14:textId="77777777" w:rsidTr="006B1EFF">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06C5A9A1" w14:textId="6B44AD09" w:rsidR="00C91B29" w:rsidRPr="00237760" w:rsidRDefault="006B7126"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Zbyt mało wyznaczonych/oznakowanych przejść dla pieszych</w:t>
            </w:r>
            <w:r w:rsidR="00D707B7" w:rsidRPr="00237760">
              <w:rPr>
                <w:rFonts w:ascii="Arial" w:hAnsi="Arial" w:cs="Arial"/>
                <w:color w:val="auto"/>
                <w:sz w:val="24"/>
                <w:szCs w:val="24"/>
              </w:rPr>
              <w:t xml:space="preserve"> </w:t>
            </w:r>
            <w:r w:rsidRPr="00237760">
              <w:rPr>
                <w:rFonts w:ascii="Arial" w:hAnsi="Arial" w:cs="Arial"/>
                <w:color w:val="auto"/>
                <w:sz w:val="24"/>
                <w:szCs w:val="24"/>
              </w:rPr>
              <w:t>w</w:t>
            </w:r>
            <w:r w:rsidR="00D707B7" w:rsidRPr="00237760">
              <w:rPr>
                <w:rFonts w:ascii="Arial" w:hAnsi="Arial" w:cs="Arial"/>
                <w:color w:val="auto"/>
                <w:sz w:val="24"/>
                <w:szCs w:val="24"/>
              </w:rPr>
              <w:t xml:space="preserve"> </w:t>
            </w:r>
            <w:r w:rsidRPr="00237760">
              <w:rPr>
                <w:rFonts w:ascii="Arial" w:hAnsi="Arial" w:cs="Arial"/>
                <w:color w:val="auto"/>
                <w:sz w:val="24"/>
                <w:szCs w:val="24"/>
              </w:rPr>
              <w:t>miejscach</w:t>
            </w:r>
            <w:r w:rsidR="00D707B7" w:rsidRPr="00237760">
              <w:rPr>
                <w:rFonts w:ascii="Arial" w:hAnsi="Arial" w:cs="Arial"/>
                <w:color w:val="auto"/>
                <w:sz w:val="24"/>
                <w:szCs w:val="24"/>
              </w:rPr>
              <w:t xml:space="preserve"> </w:t>
            </w:r>
            <w:r w:rsidRPr="00237760">
              <w:rPr>
                <w:rFonts w:ascii="Arial" w:hAnsi="Arial" w:cs="Arial"/>
                <w:color w:val="auto"/>
                <w:sz w:val="24"/>
                <w:szCs w:val="24"/>
              </w:rPr>
              <w:t>szczególnie</w:t>
            </w:r>
            <w:r w:rsidR="00D707B7" w:rsidRPr="00237760">
              <w:rPr>
                <w:rFonts w:ascii="Arial" w:hAnsi="Arial" w:cs="Arial"/>
                <w:color w:val="auto"/>
                <w:sz w:val="24"/>
                <w:szCs w:val="24"/>
              </w:rPr>
              <w:t xml:space="preserve"> </w:t>
            </w:r>
            <w:r w:rsidRPr="00237760">
              <w:rPr>
                <w:rFonts w:ascii="Arial" w:hAnsi="Arial" w:cs="Arial"/>
                <w:color w:val="auto"/>
                <w:sz w:val="24"/>
                <w:szCs w:val="24"/>
              </w:rPr>
              <w:t>uczęszcz</w:t>
            </w:r>
            <w:r w:rsidR="00C91B29" w:rsidRPr="00237760">
              <w:rPr>
                <w:rFonts w:ascii="Arial" w:hAnsi="Arial" w:cs="Arial"/>
                <w:color w:val="auto"/>
                <w:sz w:val="24"/>
                <w:szCs w:val="24"/>
              </w:rPr>
              <w:t>anych przez pieszych (oznakowanie poziome)</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68092B06" w14:textId="64F7C445" w:rsidR="00C91B29" w:rsidRPr="00237760" w:rsidRDefault="006904E9"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4. Poprawa bezpieczeństwa w transporcie</w:t>
            </w:r>
          </w:p>
        </w:tc>
      </w:tr>
      <w:tr w:rsidR="00237760" w:rsidRPr="00237760" w14:paraId="224E7DC6" w14:textId="77777777" w:rsidTr="006B1EFF">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71055F78" w14:textId="738BFEB1" w:rsidR="00C91B29" w:rsidRPr="00237760" w:rsidRDefault="006B7126"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Peryferyjne położenie gminy</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762C7341" w14:textId="2DB0C732" w:rsidR="00C91B29" w:rsidRPr="00237760" w:rsidRDefault="00382D80"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tc>
      </w:tr>
      <w:tr w:rsidR="00237760" w:rsidRPr="00237760" w14:paraId="247BD21D" w14:textId="77777777" w:rsidTr="006B1EFF">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1D6B38EB" w14:textId="4EC71417" w:rsidR="00C91B29" w:rsidRPr="00237760" w:rsidRDefault="006B7126"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lastRenderedPageBreak/>
              <w:t>Zmniejszająca</w:t>
            </w:r>
            <w:r w:rsidR="00D707B7" w:rsidRPr="00237760">
              <w:rPr>
                <w:rFonts w:ascii="Arial" w:hAnsi="Arial" w:cs="Arial"/>
                <w:color w:val="auto"/>
                <w:sz w:val="24"/>
                <w:szCs w:val="24"/>
              </w:rPr>
              <w:t xml:space="preserve"> </w:t>
            </w:r>
            <w:r w:rsidRPr="00237760">
              <w:rPr>
                <w:rFonts w:ascii="Arial" w:hAnsi="Arial" w:cs="Arial"/>
                <w:color w:val="auto"/>
                <w:sz w:val="24"/>
                <w:szCs w:val="24"/>
              </w:rPr>
              <w:t>się</w:t>
            </w:r>
            <w:r w:rsidR="00D707B7" w:rsidRPr="00237760">
              <w:rPr>
                <w:rFonts w:ascii="Arial" w:hAnsi="Arial" w:cs="Arial"/>
                <w:color w:val="auto"/>
                <w:sz w:val="24"/>
                <w:szCs w:val="24"/>
              </w:rPr>
              <w:t xml:space="preserve"> </w:t>
            </w:r>
            <w:r w:rsidRPr="00237760">
              <w:rPr>
                <w:rFonts w:ascii="Arial" w:hAnsi="Arial" w:cs="Arial"/>
                <w:color w:val="auto"/>
                <w:sz w:val="24"/>
                <w:szCs w:val="24"/>
              </w:rPr>
              <w:t>liczba</w:t>
            </w:r>
            <w:r w:rsidR="00D707B7" w:rsidRPr="00237760">
              <w:rPr>
                <w:rFonts w:ascii="Arial" w:hAnsi="Arial" w:cs="Arial"/>
                <w:color w:val="auto"/>
                <w:sz w:val="24"/>
                <w:szCs w:val="24"/>
              </w:rPr>
              <w:t xml:space="preserve"> </w:t>
            </w:r>
            <w:r w:rsidRPr="00237760">
              <w:rPr>
                <w:rFonts w:ascii="Arial" w:hAnsi="Arial" w:cs="Arial"/>
                <w:color w:val="auto"/>
                <w:sz w:val="24"/>
                <w:szCs w:val="24"/>
              </w:rPr>
              <w:t>połączeń</w:t>
            </w:r>
            <w:r w:rsidR="00D707B7" w:rsidRPr="00237760">
              <w:rPr>
                <w:rFonts w:ascii="Arial" w:hAnsi="Arial" w:cs="Arial"/>
                <w:color w:val="auto"/>
                <w:sz w:val="24"/>
                <w:szCs w:val="24"/>
              </w:rPr>
              <w:t xml:space="preserve"> </w:t>
            </w:r>
            <w:r w:rsidRPr="00237760">
              <w:rPr>
                <w:rFonts w:ascii="Arial" w:hAnsi="Arial" w:cs="Arial"/>
                <w:color w:val="auto"/>
                <w:sz w:val="24"/>
                <w:szCs w:val="24"/>
              </w:rPr>
              <w:t xml:space="preserve">komunikacji publicznej </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35735475" w14:textId="0CBFFD27" w:rsidR="00C91B29" w:rsidRPr="00237760" w:rsidRDefault="00E27078"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5898E492" w14:textId="77777777" w:rsidTr="006B1EFF">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3D38728F" w14:textId="200617DA" w:rsidR="00C91B29" w:rsidRPr="00237760" w:rsidRDefault="006B7126"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Małe</w:t>
            </w:r>
            <w:r w:rsidR="00D707B7" w:rsidRPr="00237760">
              <w:rPr>
                <w:rFonts w:ascii="Arial" w:hAnsi="Arial" w:cs="Arial"/>
                <w:color w:val="auto"/>
                <w:sz w:val="24"/>
                <w:szCs w:val="24"/>
              </w:rPr>
              <w:t xml:space="preserve"> </w:t>
            </w:r>
            <w:r w:rsidRPr="00237760">
              <w:rPr>
                <w:rFonts w:ascii="Arial" w:hAnsi="Arial" w:cs="Arial"/>
                <w:color w:val="auto"/>
                <w:sz w:val="24"/>
                <w:szCs w:val="24"/>
              </w:rPr>
              <w:t>możliwości</w:t>
            </w:r>
            <w:r w:rsidR="00D707B7" w:rsidRPr="00237760">
              <w:rPr>
                <w:rFonts w:ascii="Arial" w:hAnsi="Arial" w:cs="Arial"/>
                <w:color w:val="auto"/>
                <w:sz w:val="24"/>
                <w:szCs w:val="24"/>
              </w:rPr>
              <w:t xml:space="preserve"> </w:t>
            </w:r>
            <w:r w:rsidR="00C91B29" w:rsidRPr="00237760">
              <w:rPr>
                <w:rFonts w:ascii="Arial" w:hAnsi="Arial" w:cs="Arial"/>
                <w:color w:val="auto"/>
                <w:sz w:val="24"/>
                <w:szCs w:val="24"/>
              </w:rPr>
              <w:t>inwestycyjne</w:t>
            </w:r>
            <w:r w:rsidR="00D707B7" w:rsidRPr="00237760">
              <w:rPr>
                <w:rFonts w:ascii="Arial" w:hAnsi="Arial" w:cs="Arial"/>
                <w:color w:val="auto"/>
                <w:sz w:val="24"/>
                <w:szCs w:val="24"/>
              </w:rPr>
              <w:t xml:space="preserve"> </w:t>
            </w:r>
            <w:r w:rsidR="00C91B29" w:rsidRPr="00237760">
              <w:rPr>
                <w:rFonts w:ascii="Arial" w:hAnsi="Arial" w:cs="Arial"/>
                <w:color w:val="auto"/>
                <w:sz w:val="24"/>
                <w:szCs w:val="24"/>
              </w:rPr>
              <w:t>ze</w:t>
            </w:r>
            <w:r w:rsidR="00D707B7" w:rsidRPr="00237760">
              <w:rPr>
                <w:rFonts w:ascii="Arial" w:hAnsi="Arial" w:cs="Arial"/>
                <w:color w:val="auto"/>
                <w:sz w:val="24"/>
                <w:szCs w:val="24"/>
              </w:rPr>
              <w:t xml:space="preserve"> </w:t>
            </w:r>
            <w:r w:rsidR="00C91B29" w:rsidRPr="00237760">
              <w:rPr>
                <w:rFonts w:ascii="Arial" w:hAnsi="Arial" w:cs="Arial"/>
                <w:color w:val="auto"/>
                <w:sz w:val="24"/>
                <w:szCs w:val="24"/>
              </w:rPr>
              <w:t>względu</w:t>
            </w:r>
            <w:r w:rsidR="00D707B7" w:rsidRPr="00237760">
              <w:rPr>
                <w:rFonts w:ascii="Arial" w:hAnsi="Arial" w:cs="Arial"/>
                <w:color w:val="auto"/>
                <w:sz w:val="24"/>
                <w:szCs w:val="24"/>
              </w:rPr>
              <w:t xml:space="preserve"> </w:t>
            </w:r>
            <w:r w:rsidR="00C91B29" w:rsidRPr="00237760">
              <w:rPr>
                <w:rFonts w:ascii="Arial" w:hAnsi="Arial" w:cs="Arial"/>
                <w:color w:val="auto"/>
                <w:sz w:val="24"/>
                <w:szCs w:val="24"/>
              </w:rPr>
              <w:t>na ograniczenia budżetu gminy</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398FB17D" w14:textId="58435923" w:rsidR="00C91B29" w:rsidRPr="00237760" w:rsidRDefault="00FF4C87"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Nie dotyczy</w:t>
            </w:r>
          </w:p>
        </w:tc>
      </w:tr>
      <w:tr w:rsidR="00237760" w:rsidRPr="00237760" w14:paraId="62E95D22" w14:textId="77777777" w:rsidTr="006B1EFF">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7C859EE9" w14:textId="37525552" w:rsidR="00C91B29" w:rsidRPr="00237760" w:rsidRDefault="006B7126"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Wysokie koszty zimowego utrzymania dróg</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2D2E43BC" w14:textId="1C72DD2C" w:rsidR="00C91B29" w:rsidRPr="00237760" w:rsidRDefault="00E27078"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Poruszone w diagnozie</w:t>
            </w:r>
          </w:p>
        </w:tc>
      </w:tr>
      <w:tr w:rsidR="00237760" w:rsidRPr="00237760" w14:paraId="7D586548" w14:textId="77777777" w:rsidTr="006B1EFF">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2DA6D963" w14:textId="4E496F6A" w:rsidR="00C91B29" w:rsidRPr="00237760" w:rsidRDefault="006B7126"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Niskie wykorzystanie alternatywnych źródeł energii</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74EE845A" w14:textId="255FD476" w:rsidR="00C91B29" w:rsidRPr="00237760" w:rsidRDefault="00AB31FE"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Nie dotyczy</w:t>
            </w:r>
          </w:p>
        </w:tc>
      </w:tr>
      <w:tr w:rsidR="00237760" w:rsidRPr="00237760" w14:paraId="62372A49" w14:textId="77777777" w:rsidTr="006B1EFF">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137E6389" w14:textId="2A41A575" w:rsidR="00C91B29" w:rsidRPr="00237760" w:rsidRDefault="006B7126"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Zwężenia</w:t>
            </w:r>
            <w:r w:rsidR="00D707B7" w:rsidRPr="00237760">
              <w:rPr>
                <w:rFonts w:ascii="Arial" w:hAnsi="Arial" w:cs="Arial"/>
                <w:color w:val="auto"/>
                <w:sz w:val="24"/>
                <w:szCs w:val="24"/>
              </w:rPr>
              <w:t xml:space="preserve"> </w:t>
            </w:r>
            <w:r w:rsidRPr="00237760">
              <w:rPr>
                <w:rFonts w:ascii="Arial" w:hAnsi="Arial" w:cs="Arial"/>
                <w:color w:val="auto"/>
                <w:sz w:val="24"/>
                <w:szCs w:val="24"/>
              </w:rPr>
              <w:t xml:space="preserve"> </w:t>
            </w:r>
            <w:r w:rsidR="00C91B29" w:rsidRPr="00237760">
              <w:rPr>
                <w:rFonts w:ascii="Arial" w:hAnsi="Arial" w:cs="Arial"/>
                <w:color w:val="auto"/>
                <w:sz w:val="24"/>
                <w:szCs w:val="24"/>
              </w:rPr>
              <w:t>mostów</w:t>
            </w:r>
            <w:r w:rsidR="00D707B7" w:rsidRPr="00237760">
              <w:rPr>
                <w:rFonts w:ascii="Arial" w:hAnsi="Arial" w:cs="Arial"/>
                <w:color w:val="auto"/>
                <w:sz w:val="24"/>
                <w:szCs w:val="24"/>
              </w:rPr>
              <w:t xml:space="preserve"> </w:t>
            </w:r>
            <w:r w:rsidR="00C91B29" w:rsidRPr="00237760">
              <w:rPr>
                <w:rFonts w:ascii="Arial" w:hAnsi="Arial" w:cs="Arial"/>
                <w:color w:val="auto"/>
                <w:sz w:val="24"/>
                <w:szCs w:val="24"/>
              </w:rPr>
              <w:t xml:space="preserve"> na</w:t>
            </w:r>
            <w:r w:rsidR="00D707B7" w:rsidRPr="00237760">
              <w:rPr>
                <w:rFonts w:ascii="Arial" w:hAnsi="Arial" w:cs="Arial"/>
                <w:color w:val="auto"/>
                <w:sz w:val="24"/>
                <w:szCs w:val="24"/>
              </w:rPr>
              <w:t xml:space="preserve"> </w:t>
            </w:r>
            <w:r w:rsidR="00C91B29" w:rsidRPr="00237760">
              <w:rPr>
                <w:rFonts w:ascii="Arial" w:hAnsi="Arial" w:cs="Arial"/>
                <w:color w:val="auto"/>
                <w:sz w:val="24"/>
                <w:szCs w:val="24"/>
              </w:rPr>
              <w:t xml:space="preserve"> głównych</w:t>
            </w:r>
            <w:r w:rsidR="00D707B7" w:rsidRPr="00237760">
              <w:rPr>
                <w:rFonts w:ascii="Arial" w:hAnsi="Arial" w:cs="Arial"/>
                <w:color w:val="auto"/>
                <w:sz w:val="24"/>
                <w:szCs w:val="24"/>
              </w:rPr>
              <w:t xml:space="preserve"> </w:t>
            </w:r>
            <w:r w:rsidR="00C91B29" w:rsidRPr="00237760">
              <w:rPr>
                <w:rFonts w:ascii="Arial" w:hAnsi="Arial" w:cs="Arial"/>
                <w:color w:val="auto"/>
                <w:sz w:val="24"/>
                <w:szCs w:val="24"/>
              </w:rPr>
              <w:t xml:space="preserve"> ciągach</w:t>
            </w:r>
            <w:r w:rsidRPr="00237760">
              <w:rPr>
                <w:rFonts w:ascii="Arial" w:hAnsi="Arial" w:cs="Arial"/>
                <w:color w:val="auto"/>
                <w:sz w:val="24"/>
                <w:szCs w:val="24"/>
              </w:rPr>
              <w:t xml:space="preserve"> </w:t>
            </w:r>
            <w:r w:rsidR="00C91B29" w:rsidRPr="00237760">
              <w:rPr>
                <w:rFonts w:ascii="Arial" w:hAnsi="Arial" w:cs="Arial"/>
                <w:color w:val="auto"/>
                <w:sz w:val="24"/>
                <w:szCs w:val="24"/>
              </w:rPr>
              <w:t xml:space="preserve">komunikacyjnych w </w:t>
            </w:r>
            <w:r w:rsidR="00AB31FE" w:rsidRPr="00237760">
              <w:rPr>
                <w:rFonts w:ascii="Arial" w:hAnsi="Arial" w:cs="Arial"/>
                <w:color w:val="auto"/>
                <w:sz w:val="24"/>
                <w:szCs w:val="24"/>
              </w:rPr>
              <w:t>Bieszczad</w:t>
            </w:r>
            <w:r w:rsidR="00211C56" w:rsidRPr="00237760">
              <w:rPr>
                <w:rFonts w:ascii="Arial" w:hAnsi="Arial" w:cs="Arial"/>
                <w:color w:val="auto"/>
                <w:sz w:val="24"/>
                <w:szCs w:val="24"/>
              </w:rPr>
              <w:t>ach</w:t>
            </w:r>
            <w:r w:rsidR="00C91B29" w:rsidRPr="00237760">
              <w:rPr>
                <w:rFonts w:ascii="Arial" w:hAnsi="Arial" w:cs="Arial"/>
                <w:color w:val="auto"/>
                <w:sz w:val="24"/>
                <w:szCs w:val="24"/>
              </w:rPr>
              <w:t xml:space="preserve">, </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280C93D3" w14:textId="77777777" w:rsidR="00DB6C16" w:rsidRPr="00237760" w:rsidRDefault="00DB6C16"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72BD4619" w14:textId="058FD7C7" w:rsidR="00C91B29" w:rsidRPr="00237760" w:rsidRDefault="00DB6C16" w:rsidP="009367B4">
            <w:pPr>
              <w:spacing w:after="0" w:line="240" w:lineRule="auto"/>
              <w:ind w:right="57"/>
              <w:jc w:val="left"/>
              <w:rPr>
                <w:rFonts w:ascii="Arial" w:hAnsi="Arial" w:cs="Arial"/>
                <w:b/>
                <w:color w:val="auto"/>
                <w:sz w:val="24"/>
                <w:szCs w:val="24"/>
              </w:rPr>
            </w:pPr>
            <w:r w:rsidRPr="00237760">
              <w:rPr>
                <w:rFonts w:ascii="Arial" w:hAnsi="Arial" w:cs="Arial"/>
                <w:color w:val="auto"/>
                <w:sz w:val="24"/>
                <w:szCs w:val="24"/>
              </w:rPr>
              <w:t>Cel podstawowy 2. Transportowa spójność wewnętrzna</w:t>
            </w:r>
          </w:p>
        </w:tc>
      </w:tr>
      <w:tr w:rsidR="00237760" w:rsidRPr="00237760" w14:paraId="062707F6" w14:textId="77777777" w:rsidTr="006B1EFF">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795E2070" w14:textId="1F0AD61F" w:rsidR="00C91B29" w:rsidRPr="00237760" w:rsidRDefault="006B7126"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 xml:space="preserve">Niewystarczająca ilość chodników dla pieszych </w:t>
            </w:r>
          </w:p>
        </w:tc>
        <w:tc>
          <w:tcPr>
            <w:tcW w:w="3969" w:type="dxa"/>
            <w:tcBorders>
              <w:top w:val="single" w:sz="4" w:space="0" w:color="BDD6EE" w:themeColor="accent1" w:themeTint="66"/>
              <w:left w:val="nil"/>
              <w:bottom w:val="single" w:sz="4" w:space="0" w:color="BDD6EE" w:themeColor="accent1" w:themeTint="66"/>
              <w:right w:val="nil"/>
            </w:tcBorders>
          </w:tcPr>
          <w:p w14:paraId="2B0F5470" w14:textId="41EF34D1" w:rsidR="00C91B29" w:rsidRPr="00237760" w:rsidRDefault="00DB6C16" w:rsidP="009367B4">
            <w:pPr>
              <w:spacing w:after="0"/>
              <w:jc w:val="left"/>
              <w:rPr>
                <w:rFonts w:ascii="Arial" w:eastAsiaTheme="minorHAnsi" w:hAnsi="Arial" w:cs="Arial"/>
                <w:color w:val="auto"/>
                <w:sz w:val="24"/>
                <w:szCs w:val="24"/>
              </w:rPr>
            </w:pPr>
            <w:r w:rsidRPr="00237760">
              <w:rPr>
                <w:rFonts w:ascii="Arial" w:eastAsiaTheme="minorHAnsi" w:hAnsi="Arial" w:cs="Arial"/>
                <w:color w:val="auto"/>
                <w:sz w:val="24"/>
                <w:szCs w:val="24"/>
              </w:rPr>
              <w:t>Cel horyzontalny 4. Poprawa bezpieczeństwa w transporcie</w:t>
            </w:r>
          </w:p>
        </w:tc>
      </w:tr>
      <w:tr w:rsidR="00237760" w:rsidRPr="00237760" w14:paraId="6DBBC6A8" w14:textId="77777777" w:rsidTr="00872DFE">
        <w:trPr>
          <w:trHeight w:val="151"/>
        </w:trPr>
        <w:tc>
          <w:tcPr>
            <w:tcW w:w="5103" w:type="dxa"/>
            <w:tcBorders>
              <w:top w:val="single" w:sz="4" w:space="0" w:color="BDD6EE" w:themeColor="accent1" w:themeTint="66"/>
              <w:left w:val="nil"/>
              <w:bottom w:val="single" w:sz="4" w:space="0" w:color="BDD6EE" w:themeColor="accent1" w:themeTint="66"/>
              <w:right w:val="nil"/>
            </w:tcBorders>
            <w:vAlign w:val="bottom"/>
          </w:tcPr>
          <w:p w14:paraId="2A8823F9" w14:textId="7011143A" w:rsidR="00EE7C7C" w:rsidRPr="00237760" w:rsidRDefault="006B7126"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Zmniejszająca</w:t>
            </w:r>
            <w:r w:rsidR="00D707B7" w:rsidRPr="00237760">
              <w:rPr>
                <w:rFonts w:ascii="Arial" w:hAnsi="Arial" w:cs="Arial"/>
                <w:color w:val="auto"/>
                <w:sz w:val="24"/>
                <w:szCs w:val="24"/>
              </w:rPr>
              <w:t xml:space="preserve"> </w:t>
            </w:r>
            <w:r w:rsidRPr="00237760">
              <w:rPr>
                <w:rFonts w:ascii="Arial" w:hAnsi="Arial" w:cs="Arial"/>
                <w:color w:val="auto"/>
                <w:sz w:val="24"/>
                <w:szCs w:val="24"/>
              </w:rPr>
              <w:t>się</w:t>
            </w:r>
            <w:r w:rsidR="00D707B7" w:rsidRPr="00237760">
              <w:rPr>
                <w:rFonts w:ascii="Arial" w:hAnsi="Arial" w:cs="Arial"/>
                <w:color w:val="auto"/>
                <w:sz w:val="24"/>
                <w:szCs w:val="24"/>
              </w:rPr>
              <w:t xml:space="preserve"> </w:t>
            </w:r>
            <w:r w:rsidRPr="00237760">
              <w:rPr>
                <w:rFonts w:ascii="Arial" w:hAnsi="Arial" w:cs="Arial"/>
                <w:color w:val="auto"/>
                <w:sz w:val="24"/>
                <w:szCs w:val="24"/>
              </w:rPr>
              <w:t>liczba</w:t>
            </w:r>
            <w:r w:rsidR="00D707B7" w:rsidRPr="00237760">
              <w:rPr>
                <w:rFonts w:ascii="Arial" w:hAnsi="Arial" w:cs="Arial"/>
                <w:color w:val="auto"/>
                <w:sz w:val="24"/>
                <w:szCs w:val="24"/>
              </w:rPr>
              <w:t xml:space="preserve"> </w:t>
            </w:r>
            <w:r w:rsidRPr="00237760">
              <w:rPr>
                <w:rFonts w:ascii="Arial" w:hAnsi="Arial" w:cs="Arial"/>
                <w:color w:val="auto"/>
                <w:sz w:val="24"/>
                <w:szCs w:val="24"/>
              </w:rPr>
              <w:t>połączeń</w:t>
            </w:r>
            <w:r w:rsidR="00D707B7" w:rsidRPr="00237760">
              <w:rPr>
                <w:rFonts w:ascii="Arial" w:hAnsi="Arial" w:cs="Arial"/>
                <w:color w:val="auto"/>
                <w:sz w:val="24"/>
                <w:szCs w:val="24"/>
              </w:rPr>
              <w:t xml:space="preserve"> </w:t>
            </w:r>
            <w:r w:rsidRPr="00237760">
              <w:rPr>
                <w:rFonts w:ascii="Arial" w:hAnsi="Arial" w:cs="Arial"/>
                <w:color w:val="auto"/>
                <w:sz w:val="24"/>
                <w:szCs w:val="24"/>
              </w:rPr>
              <w:t>komunikacji publicznej</w:t>
            </w:r>
          </w:p>
        </w:tc>
        <w:tc>
          <w:tcPr>
            <w:tcW w:w="3969" w:type="dxa"/>
            <w:tcBorders>
              <w:top w:val="single" w:sz="4" w:space="0" w:color="BDD6EE" w:themeColor="accent1" w:themeTint="66"/>
              <w:left w:val="nil"/>
              <w:bottom w:val="single" w:sz="4" w:space="0" w:color="BDD6EE" w:themeColor="accent1" w:themeTint="66"/>
              <w:right w:val="nil"/>
            </w:tcBorders>
          </w:tcPr>
          <w:p w14:paraId="43D8C2F3" w14:textId="52477431" w:rsidR="00EE7C7C" w:rsidRPr="00237760" w:rsidRDefault="00B55A07"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3A15194D" w14:textId="77777777" w:rsidTr="00872DFE">
        <w:trPr>
          <w:trHeight w:val="151"/>
        </w:trPr>
        <w:tc>
          <w:tcPr>
            <w:tcW w:w="5103" w:type="dxa"/>
            <w:tcBorders>
              <w:top w:val="single" w:sz="4" w:space="0" w:color="BDD6EE" w:themeColor="accent1" w:themeTint="66"/>
              <w:left w:val="nil"/>
              <w:bottom w:val="single" w:sz="4" w:space="0" w:color="BDD6EE" w:themeColor="accent1" w:themeTint="66"/>
              <w:right w:val="nil"/>
            </w:tcBorders>
            <w:vAlign w:val="bottom"/>
          </w:tcPr>
          <w:p w14:paraId="57C107D3" w14:textId="5025953A" w:rsidR="00EE7C7C" w:rsidRPr="00237760" w:rsidRDefault="006B7126"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 xml:space="preserve">Peryferyjne położenie </w:t>
            </w:r>
          </w:p>
        </w:tc>
        <w:tc>
          <w:tcPr>
            <w:tcW w:w="3969" w:type="dxa"/>
            <w:tcBorders>
              <w:top w:val="single" w:sz="4" w:space="0" w:color="BDD6EE" w:themeColor="accent1" w:themeTint="66"/>
              <w:left w:val="nil"/>
              <w:bottom w:val="single" w:sz="4" w:space="0" w:color="BDD6EE" w:themeColor="accent1" w:themeTint="66"/>
              <w:right w:val="nil"/>
            </w:tcBorders>
          </w:tcPr>
          <w:p w14:paraId="23561FF7" w14:textId="19BCD3EE" w:rsidR="00EE7C7C" w:rsidRPr="00237760" w:rsidRDefault="00705140"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tc>
      </w:tr>
      <w:tr w:rsidR="00237760" w:rsidRPr="00237760" w14:paraId="6A748AC8" w14:textId="77777777" w:rsidTr="00872DFE">
        <w:trPr>
          <w:trHeight w:val="151"/>
        </w:trPr>
        <w:tc>
          <w:tcPr>
            <w:tcW w:w="5103" w:type="dxa"/>
            <w:tcBorders>
              <w:top w:val="single" w:sz="4" w:space="0" w:color="BDD6EE" w:themeColor="accent1" w:themeTint="66"/>
              <w:left w:val="nil"/>
              <w:bottom w:val="single" w:sz="4" w:space="0" w:color="BDD6EE" w:themeColor="accent1" w:themeTint="66"/>
              <w:right w:val="nil"/>
            </w:tcBorders>
            <w:vAlign w:val="bottom"/>
          </w:tcPr>
          <w:p w14:paraId="56787F41" w14:textId="7E85BE58" w:rsidR="00EE7C7C" w:rsidRPr="00237760" w:rsidRDefault="006B7126"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Niska jakość infrastruktury drogowej</w:t>
            </w:r>
          </w:p>
        </w:tc>
        <w:tc>
          <w:tcPr>
            <w:tcW w:w="3969" w:type="dxa"/>
            <w:tcBorders>
              <w:top w:val="single" w:sz="4" w:space="0" w:color="BDD6EE" w:themeColor="accent1" w:themeTint="66"/>
              <w:left w:val="nil"/>
              <w:bottom w:val="single" w:sz="4" w:space="0" w:color="BDD6EE" w:themeColor="accent1" w:themeTint="66"/>
              <w:right w:val="nil"/>
            </w:tcBorders>
          </w:tcPr>
          <w:p w14:paraId="67B6CA1C" w14:textId="788AAFCB" w:rsidR="00EE7C7C" w:rsidRPr="00237760" w:rsidRDefault="00705140"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Wszystkie cele</w:t>
            </w:r>
          </w:p>
        </w:tc>
      </w:tr>
    </w:tbl>
    <w:tbl>
      <w:tblPr>
        <w:tblStyle w:val="Tabela-Siatka526"/>
        <w:tblW w:w="9075" w:type="dxa"/>
        <w:tblInd w:w="0"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57" w:type="dxa"/>
          <w:right w:w="57" w:type="dxa"/>
        </w:tblCellMar>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9075"/>
      </w:tblGrid>
      <w:tr w:rsidR="00237760" w:rsidRPr="00237760" w14:paraId="2A595A1E" w14:textId="77777777" w:rsidTr="005067E3">
        <w:trPr>
          <w:trHeight w:val="151"/>
        </w:trPr>
        <w:tc>
          <w:tcPr>
            <w:tcW w:w="9075"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5A4F2C0A" w14:textId="6E6BF0AB" w:rsidR="00701323" w:rsidRPr="00237760" w:rsidRDefault="00701323"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SZANSE</w:t>
            </w:r>
          </w:p>
        </w:tc>
      </w:tr>
    </w:tbl>
    <w:tbl>
      <w:tblPr>
        <w:tblStyle w:val="Tabela-Siatka5"/>
        <w:tblW w:w="9072" w:type="dxa"/>
        <w:tblInd w:w="0" w:type="dxa"/>
        <w:tblLayout w:type="fixed"/>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5103"/>
        <w:gridCol w:w="3969"/>
      </w:tblGrid>
      <w:tr w:rsidR="00237760" w:rsidRPr="00237760" w14:paraId="25AB2E1C" w14:textId="77777777" w:rsidTr="008B7FC7">
        <w:trPr>
          <w:trHeight w:val="151"/>
        </w:trPr>
        <w:tc>
          <w:tcPr>
            <w:tcW w:w="5103" w:type="dxa"/>
            <w:tcBorders>
              <w:top w:val="single" w:sz="4" w:space="0" w:color="BDD6EE" w:themeColor="accent1" w:themeTint="66"/>
              <w:left w:val="nil"/>
              <w:bottom w:val="single" w:sz="4" w:space="0" w:color="BDD6EE" w:themeColor="accent1" w:themeTint="66"/>
              <w:right w:val="nil"/>
            </w:tcBorders>
            <w:vAlign w:val="bottom"/>
          </w:tcPr>
          <w:p w14:paraId="47E66397" w14:textId="0C723DDF" w:rsidR="00FA16BB" w:rsidRPr="00237760" w:rsidRDefault="00567BA7"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Dostępne i planowane środ</w:t>
            </w:r>
            <w:r w:rsidR="00FA16BB" w:rsidRPr="00237760">
              <w:rPr>
                <w:rFonts w:ascii="Arial" w:hAnsi="Arial" w:cs="Arial"/>
                <w:color w:val="auto"/>
                <w:sz w:val="24"/>
                <w:szCs w:val="24"/>
              </w:rPr>
              <w:t>ki dotacyjne na rozwój infrastruktury</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6C8782A0" w14:textId="0A75ECCA" w:rsidR="00FA16BB" w:rsidRPr="00237760" w:rsidRDefault="00F7749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Wszystkie cele</w:t>
            </w:r>
          </w:p>
        </w:tc>
      </w:tr>
    </w:tbl>
    <w:tbl>
      <w:tblPr>
        <w:tblStyle w:val="Tabela-Siatka526"/>
        <w:tblW w:w="9075" w:type="dxa"/>
        <w:tblInd w:w="0"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57" w:type="dxa"/>
          <w:right w:w="57" w:type="dxa"/>
        </w:tblCellMar>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9075"/>
      </w:tblGrid>
      <w:tr w:rsidR="00237760" w:rsidRPr="00237760" w14:paraId="15351CA2" w14:textId="77777777" w:rsidTr="005067E3">
        <w:trPr>
          <w:trHeight w:val="151"/>
        </w:trPr>
        <w:tc>
          <w:tcPr>
            <w:tcW w:w="9075"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25F077EA" w14:textId="4491555C" w:rsidR="00567BA7" w:rsidRPr="00237760" w:rsidRDefault="00567BA7"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ZAGROŻENIA</w:t>
            </w:r>
          </w:p>
        </w:tc>
      </w:tr>
    </w:tbl>
    <w:tbl>
      <w:tblPr>
        <w:tblStyle w:val="Tabela-Siatka5"/>
        <w:tblW w:w="9072" w:type="dxa"/>
        <w:tblInd w:w="0" w:type="dxa"/>
        <w:tblLayout w:type="fixed"/>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5103"/>
        <w:gridCol w:w="3969"/>
      </w:tblGrid>
      <w:tr w:rsidR="00237760" w:rsidRPr="00237760" w14:paraId="42A77A1A" w14:textId="77777777" w:rsidTr="008B7FC7">
        <w:trPr>
          <w:trHeight w:val="151"/>
        </w:trPr>
        <w:tc>
          <w:tcPr>
            <w:tcW w:w="5103" w:type="dxa"/>
            <w:tcBorders>
              <w:top w:val="single" w:sz="4" w:space="0" w:color="BDD6EE" w:themeColor="accent1" w:themeTint="66"/>
              <w:left w:val="nil"/>
              <w:bottom w:val="single" w:sz="4" w:space="0" w:color="BDD6EE" w:themeColor="accent1" w:themeTint="66"/>
              <w:right w:val="nil"/>
            </w:tcBorders>
            <w:vAlign w:val="bottom"/>
          </w:tcPr>
          <w:p w14:paraId="6E727D12" w14:textId="33F91AB3" w:rsidR="005B05D3" w:rsidRPr="00237760" w:rsidRDefault="004B1495"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Skomplikowane</w:t>
            </w:r>
            <w:r w:rsidR="00D707B7" w:rsidRPr="00237760">
              <w:rPr>
                <w:rFonts w:ascii="Arial" w:hAnsi="Arial" w:cs="Arial"/>
                <w:color w:val="auto"/>
                <w:sz w:val="24"/>
                <w:szCs w:val="24"/>
              </w:rPr>
              <w:t xml:space="preserve"> </w:t>
            </w:r>
            <w:r w:rsidRPr="00237760">
              <w:rPr>
                <w:rFonts w:ascii="Arial" w:hAnsi="Arial" w:cs="Arial"/>
                <w:color w:val="auto"/>
                <w:sz w:val="24"/>
                <w:szCs w:val="24"/>
              </w:rPr>
              <w:t>procedury</w:t>
            </w:r>
            <w:r w:rsidR="00D707B7" w:rsidRPr="00237760">
              <w:rPr>
                <w:rFonts w:ascii="Arial" w:hAnsi="Arial" w:cs="Arial"/>
                <w:color w:val="auto"/>
                <w:sz w:val="24"/>
                <w:szCs w:val="24"/>
              </w:rPr>
              <w:t xml:space="preserve"> </w:t>
            </w:r>
            <w:r w:rsidRPr="00237760">
              <w:rPr>
                <w:rFonts w:ascii="Arial" w:hAnsi="Arial" w:cs="Arial"/>
                <w:color w:val="auto"/>
                <w:sz w:val="24"/>
                <w:szCs w:val="24"/>
              </w:rPr>
              <w:t>formalno-prawne przygotowywania i realizacji inwestycji budowlanych (np. Pozwolenia na budowę, nadzór, geodezja)</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39350903" w14:textId="17E88B59" w:rsidR="005B05D3" w:rsidRPr="00237760" w:rsidRDefault="00C86624"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Poruszone w diagnozie</w:t>
            </w:r>
          </w:p>
        </w:tc>
      </w:tr>
      <w:tr w:rsidR="00237760" w:rsidRPr="00237760" w14:paraId="76D9E04B" w14:textId="77777777" w:rsidTr="008B7FC7">
        <w:trPr>
          <w:trHeight w:val="151"/>
        </w:trPr>
        <w:tc>
          <w:tcPr>
            <w:tcW w:w="5103" w:type="dxa"/>
            <w:tcBorders>
              <w:top w:val="single" w:sz="4" w:space="0" w:color="BDD6EE" w:themeColor="accent1" w:themeTint="66"/>
              <w:left w:val="nil"/>
              <w:bottom w:val="single" w:sz="4" w:space="0" w:color="BDD6EE" w:themeColor="accent1" w:themeTint="66"/>
              <w:right w:val="nil"/>
            </w:tcBorders>
            <w:vAlign w:val="bottom"/>
          </w:tcPr>
          <w:p w14:paraId="4CE3F734" w14:textId="49C72A73" w:rsidR="005B05D3" w:rsidRPr="00237760" w:rsidRDefault="004B1495"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Kosztowne</w:t>
            </w:r>
            <w:r w:rsidR="00D707B7" w:rsidRPr="00237760">
              <w:rPr>
                <w:rFonts w:ascii="Arial" w:hAnsi="Arial" w:cs="Arial"/>
                <w:color w:val="auto"/>
                <w:sz w:val="24"/>
                <w:szCs w:val="24"/>
              </w:rPr>
              <w:t xml:space="preserve"> </w:t>
            </w:r>
            <w:r w:rsidRPr="00237760">
              <w:rPr>
                <w:rFonts w:ascii="Arial" w:hAnsi="Arial" w:cs="Arial"/>
                <w:color w:val="auto"/>
                <w:sz w:val="24"/>
                <w:szCs w:val="24"/>
              </w:rPr>
              <w:t>i</w:t>
            </w:r>
            <w:r w:rsidR="00D707B7" w:rsidRPr="00237760">
              <w:rPr>
                <w:rFonts w:ascii="Arial" w:hAnsi="Arial" w:cs="Arial"/>
                <w:color w:val="auto"/>
                <w:sz w:val="24"/>
                <w:szCs w:val="24"/>
              </w:rPr>
              <w:t xml:space="preserve"> </w:t>
            </w:r>
            <w:r w:rsidRPr="00237760">
              <w:rPr>
                <w:rFonts w:ascii="Arial" w:hAnsi="Arial" w:cs="Arial"/>
                <w:color w:val="auto"/>
                <w:sz w:val="24"/>
                <w:szCs w:val="24"/>
              </w:rPr>
              <w:t>skomplikowane</w:t>
            </w:r>
            <w:r w:rsidR="00D707B7" w:rsidRPr="00237760">
              <w:rPr>
                <w:rFonts w:ascii="Arial" w:hAnsi="Arial" w:cs="Arial"/>
                <w:color w:val="auto"/>
                <w:sz w:val="24"/>
                <w:szCs w:val="24"/>
              </w:rPr>
              <w:t xml:space="preserve"> </w:t>
            </w:r>
            <w:r w:rsidRPr="00237760">
              <w:rPr>
                <w:rFonts w:ascii="Arial" w:hAnsi="Arial" w:cs="Arial"/>
                <w:color w:val="auto"/>
                <w:sz w:val="24"/>
                <w:szCs w:val="24"/>
              </w:rPr>
              <w:t>procedury</w:t>
            </w:r>
            <w:r w:rsidR="00D707B7" w:rsidRPr="00237760">
              <w:rPr>
                <w:rFonts w:ascii="Arial" w:hAnsi="Arial" w:cs="Arial"/>
                <w:color w:val="auto"/>
                <w:sz w:val="24"/>
                <w:szCs w:val="24"/>
              </w:rPr>
              <w:t xml:space="preserve"> </w:t>
            </w:r>
            <w:r w:rsidRPr="00237760">
              <w:rPr>
                <w:rFonts w:ascii="Arial" w:hAnsi="Arial" w:cs="Arial"/>
                <w:color w:val="auto"/>
                <w:sz w:val="24"/>
                <w:szCs w:val="24"/>
              </w:rPr>
              <w:t>formalno-prawne</w:t>
            </w:r>
            <w:r w:rsidR="00D707B7" w:rsidRPr="00237760">
              <w:rPr>
                <w:rFonts w:ascii="Arial" w:hAnsi="Arial" w:cs="Arial"/>
                <w:color w:val="auto"/>
                <w:sz w:val="24"/>
                <w:szCs w:val="24"/>
              </w:rPr>
              <w:t xml:space="preserve"> </w:t>
            </w:r>
            <w:r w:rsidRPr="00237760">
              <w:rPr>
                <w:rFonts w:ascii="Arial" w:hAnsi="Arial" w:cs="Arial"/>
                <w:color w:val="auto"/>
                <w:sz w:val="24"/>
                <w:szCs w:val="24"/>
              </w:rPr>
              <w:t>przygotowywania</w:t>
            </w:r>
            <w:r w:rsidR="00D707B7" w:rsidRPr="00237760">
              <w:rPr>
                <w:rFonts w:ascii="Arial" w:hAnsi="Arial" w:cs="Arial"/>
                <w:color w:val="auto"/>
                <w:sz w:val="24"/>
                <w:szCs w:val="24"/>
              </w:rPr>
              <w:t xml:space="preserve"> </w:t>
            </w:r>
            <w:r w:rsidRPr="00237760">
              <w:rPr>
                <w:rFonts w:ascii="Arial" w:hAnsi="Arial" w:cs="Arial"/>
                <w:color w:val="auto"/>
                <w:sz w:val="24"/>
                <w:szCs w:val="24"/>
              </w:rPr>
              <w:t>i</w:t>
            </w:r>
            <w:r w:rsidR="00D707B7" w:rsidRPr="00237760">
              <w:rPr>
                <w:rFonts w:ascii="Arial" w:hAnsi="Arial" w:cs="Arial"/>
                <w:color w:val="auto"/>
                <w:sz w:val="24"/>
                <w:szCs w:val="24"/>
              </w:rPr>
              <w:t xml:space="preserve"> </w:t>
            </w:r>
            <w:r w:rsidRPr="00237760">
              <w:rPr>
                <w:rFonts w:ascii="Arial" w:hAnsi="Arial" w:cs="Arial"/>
                <w:color w:val="auto"/>
                <w:sz w:val="24"/>
                <w:szCs w:val="24"/>
              </w:rPr>
              <w:t>realizacji</w:t>
            </w:r>
            <w:r w:rsidR="00D707B7" w:rsidRPr="00237760">
              <w:rPr>
                <w:rFonts w:ascii="Arial" w:hAnsi="Arial" w:cs="Arial"/>
                <w:color w:val="auto"/>
                <w:sz w:val="24"/>
                <w:szCs w:val="24"/>
              </w:rPr>
              <w:t xml:space="preserve"> </w:t>
            </w:r>
            <w:r w:rsidRPr="00237760">
              <w:rPr>
                <w:rFonts w:ascii="Arial" w:hAnsi="Arial" w:cs="Arial"/>
                <w:color w:val="auto"/>
                <w:sz w:val="24"/>
                <w:szCs w:val="24"/>
              </w:rPr>
              <w:t>inwestycji budowlanych (np. Pozwolenia na budowę, nadzór, geodezja)</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608F5C6E" w14:textId="11D86EAB" w:rsidR="005B05D3" w:rsidRPr="00237760" w:rsidRDefault="006410A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Poruszone w diagnozie</w:t>
            </w:r>
            <w:r w:rsidR="001202A7" w:rsidRPr="00237760">
              <w:rPr>
                <w:rFonts w:ascii="Arial" w:hAnsi="Arial" w:cs="Arial"/>
                <w:color w:val="auto"/>
                <w:sz w:val="24"/>
                <w:szCs w:val="24"/>
              </w:rPr>
              <w:t xml:space="preserve"> i w analizie ry</w:t>
            </w:r>
            <w:r w:rsidR="00A0511A" w:rsidRPr="00237760">
              <w:rPr>
                <w:rFonts w:ascii="Arial" w:hAnsi="Arial" w:cs="Arial"/>
                <w:color w:val="auto"/>
                <w:sz w:val="24"/>
                <w:szCs w:val="24"/>
              </w:rPr>
              <w:t>z</w:t>
            </w:r>
            <w:r w:rsidR="001202A7" w:rsidRPr="00237760">
              <w:rPr>
                <w:rFonts w:ascii="Arial" w:hAnsi="Arial" w:cs="Arial"/>
                <w:color w:val="auto"/>
                <w:sz w:val="24"/>
                <w:szCs w:val="24"/>
              </w:rPr>
              <w:t>yka</w:t>
            </w:r>
          </w:p>
        </w:tc>
      </w:tr>
      <w:tr w:rsidR="00237760" w:rsidRPr="00237760" w14:paraId="3747F481" w14:textId="77777777" w:rsidTr="00872DFE">
        <w:trPr>
          <w:trHeight w:val="151"/>
        </w:trPr>
        <w:tc>
          <w:tcPr>
            <w:tcW w:w="5103" w:type="dxa"/>
            <w:tcBorders>
              <w:top w:val="single" w:sz="4" w:space="0" w:color="BDD6EE" w:themeColor="accent1" w:themeTint="66"/>
              <w:left w:val="nil"/>
              <w:bottom w:val="single" w:sz="4" w:space="0" w:color="BDD6EE" w:themeColor="accent1" w:themeTint="66"/>
              <w:right w:val="nil"/>
            </w:tcBorders>
            <w:vAlign w:val="bottom"/>
          </w:tcPr>
          <w:p w14:paraId="684439E3" w14:textId="505EDAB1" w:rsidR="000A526A" w:rsidRPr="00237760" w:rsidRDefault="004B1495"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Skomplikowane procedury uzyskania dotacji zewnętrznych na poprawę stanu technicznego zasobów komunalnych</w:t>
            </w:r>
          </w:p>
        </w:tc>
        <w:tc>
          <w:tcPr>
            <w:tcW w:w="3969" w:type="dxa"/>
            <w:tcBorders>
              <w:top w:val="single" w:sz="4" w:space="0" w:color="BDD6EE" w:themeColor="accent1" w:themeTint="66"/>
              <w:left w:val="nil"/>
              <w:bottom w:val="single" w:sz="4" w:space="0" w:color="BDD6EE" w:themeColor="accent1" w:themeTint="66"/>
              <w:right w:val="nil"/>
            </w:tcBorders>
          </w:tcPr>
          <w:p w14:paraId="1C6DB1BA" w14:textId="4BB89243" w:rsidR="000A526A" w:rsidRPr="00237760" w:rsidRDefault="006815F4"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Poruszone w diagnozie</w:t>
            </w:r>
          </w:p>
        </w:tc>
      </w:tr>
      <w:tr w:rsidR="00237760" w:rsidRPr="00237760" w14:paraId="4FE38330" w14:textId="77777777" w:rsidTr="00872DFE">
        <w:trPr>
          <w:trHeight w:val="151"/>
        </w:trPr>
        <w:tc>
          <w:tcPr>
            <w:tcW w:w="5103" w:type="dxa"/>
            <w:tcBorders>
              <w:top w:val="single" w:sz="4" w:space="0" w:color="BDD6EE" w:themeColor="accent1" w:themeTint="66"/>
              <w:left w:val="nil"/>
              <w:bottom w:val="single" w:sz="4" w:space="0" w:color="BDD6EE" w:themeColor="accent1" w:themeTint="66"/>
              <w:right w:val="nil"/>
            </w:tcBorders>
            <w:vAlign w:val="bottom"/>
          </w:tcPr>
          <w:p w14:paraId="5E7BBAB9" w14:textId="172B21D8" w:rsidR="000A526A" w:rsidRPr="00237760" w:rsidRDefault="004B1495"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Rosnące koszty budowy, remontów, modernizacji i utrzymania infrastruktury</w:t>
            </w:r>
          </w:p>
        </w:tc>
        <w:tc>
          <w:tcPr>
            <w:tcW w:w="3969" w:type="dxa"/>
            <w:tcBorders>
              <w:top w:val="single" w:sz="4" w:space="0" w:color="BDD6EE" w:themeColor="accent1" w:themeTint="66"/>
              <w:left w:val="nil"/>
              <w:bottom w:val="single" w:sz="4" w:space="0" w:color="BDD6EE" w:themeColor="accent1" w:themeTint="66"/>
              <w:right w:val="nil"/>
            </w:tcBorders>
          </w:tcPr>
          <w:p w14:paraId="4BB73E72" w14:textId="5AEBA384" w:rsidR="000A526A" w:rsidRPr="00237760" w:rsidRDefault="00C67B2B"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Poruszone w diagnozie</w:t>
            </w:r>
          </w:p>
        </w:tc>
      </w:tr>
      <w:tr w:rsidR="00237760" w:rsidRPr="00237760" w14:paraId="3F107D95" w14:textId="77777777" w:rsidTr="008B7FC7">
        <w:trPr>
          <w:trHeight w:val="151"/>
        </w:trPr>
        <w:tc>
          <w:tcPr>
            <w:tcW w:w="5103" w:type="dxa"/>
            <w:tcBorders>
              <w:top w:val="single" w:sz="4" w:space="0" w:color="BDD6EE" w:themeColor="accent1" w:themeTint="66"/>
              <w:left w:val="nil"/>
              <w:bottom w:val="single" w:sz="4" w:space="0" w:color="BDD6EE" w:themeColor="accent1" w:themeTint="66"/>
              <w:right w:val="nil"/>
            </w:tcBorders>
            <w:vAlign w:val="bottom"/>
          </w:tcPr>
          <w:p w14:paraId="2BAB7E70" w14:textId="07B91E0D" w:rsidR="000A526A" w:rsidRPr="00237760" w:rsidRDefault="004B1495"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Skomplikowane</w:t>
            </w:r>
            <w:r w:rsidR="00D707B7" w:rsidRPr="00237760">
              <w:rPr>
                <w:rFonts w:ascii="Arial" w:hAnsi="Arial" w:cs="Arial"/>
                <w:color w:val="auto"/>
                <w:sz w:val="24"/>
                <w:szCs w:val="24"/>
              </w:rPr>
              <w:t xml:space="preserve"> </w:t>
            </w:r>
            <w:r w:rsidRPr="00237760">
              <w:rPr>
                <w:rFonts w:ascii="Arial" w:hAnsi="Arial" w:cs="Arial"/>
                <w:color w:val="auto"/>
                <w:sz w:val="24"/>
                <w:szCs w:val="24"/>
              </w:rPr>
              <w:t>procedury</w:t>
            </w:r>
            <w:r w:rsidR="00D707B7" w:rsidRPr="00237760">
              <w:rPr>
                <w:rFonts w:ascii="Arial" w:hAnsi="Arial" w:cs="Arial"/>
                <w:color w:val="auto"/>
                <w:sz w:val="24"/>
                <w:szCs w:val="24"/>
              </w:rPr>
              <w:t xml:space="preserve"> </w:t>
            </w:r>
            <w:r w:rsidRPr="00237760">
              <w:rPr>
                <w:rFonts w:ascii="Arial" w:hAnsi="Arial" w:cs="Arial"/>
                <w:color w:val="auto"/>
                <w:sz w:val="24"/>
                <w:szCs w:val="24"/>
              </w:rPr>
              <w:t>formalno-prawne przygotowywania i realizacji inwestycji budowlanych (np. Pozwolenia na budowę, nadzór, geodezja)</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6D1E50D9" w14:textId="009B60F8" w:rsidR="000A526A" w:rsidRPr="00237760" w:rsidRDefault="00621F95"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Poruszone w diagnozie</w:t>
            </w:r>
          </w:p>
        </w:tc>
      </w:tr>
    </w:tbl>
    <w:tbl>
      <w:tblPr>
        <w:tblStyle w:val="Tabela-Siatka31"/>
        <w:tblW w:w="907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9075"/>
      </w:tblGrid>
      <w:tr w:rsidR="00237760" w:rsidRPr="00237760" w14:paraId="7A4BC5F3" w14:textId="77777777" w:rsidTr="005067E3">
        <w:trPr>
          <w:trHeight w:val="151"/>
        </w:trPr>
        <w:tc>
          <w:tcPr>
            <w:tcW w:w="9075" w:type="dxa"/>
            <w:shd w:val="clear" w:color="auto" w:fill="auto"/>
            <w:tcMar>
              <w:top w:w="0" w:type="dxa"/>
              <w:left w:w="28" w:type="dxa"/>
              <w:bottom w:w="0" w:type="dxa"/>
              <w:right w:w="28" w:type="dxa"/>
            </w:tcMar>
            <w:vAlign w:val="center"/>
            <w:hideMark/>
          </w:tcPr>
          <w:p w14:paraId="72607A96" w14:textId="20E022C3" w:rsidR="004B1495" w:rsidRPr="00237760" w:rsidRDefault="00F11853" w:rsidP="009367B4">
            <w:pPr>
              <w:spacing w:after="0" w:line="240" w:lineRule="auto"/>
              <w:ind w:left="57" w:right="57"/>
              <w:jc w:val="left"/>
              <w:rPr>
                <w:rFonts w:ascii="Arial" w:hAnsi="Arial" w:cs="Arial"/>
                <w:b/>
                <w:bCs/>
                <w:color w:val="auto"/>
                <w:sz w:val="24"/>
                <w:szCs w:val="24"/>
              </w:rPr>
            </w:pPr>
            <w:r w:rsidRPr="00237760">
              <w:rPr>
                <w:rFonts w:ascii="Arial" w:hAnsi="Arial" w:cs="Arial"/>
                <w:b/>
                <w:bCs/>
                <w:color w:val="auto"/>
                <w:sz w:val="24"/>
                <w:szCs w:val="24"/>
              </w:rPr>
              <w:t>Strategia Rozwoju Gminy Majdan Królewski na lata 2014-2022</w:t>
            </w:r>
          </w:p>
        </w:tc>
      </w:tr>
    </w:tbl>
    <w:tbl>
      <w:tblPr>
        <w:tblStyle w:val="Tabela-Siatka5261"/>
        <w:tblW w:w="9075" w:type="dxa"/>
        <w:tblInd w:w="0"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57" w:type="dxa"/>
          <w:right w:w="57" w:type="dxa"/>
        </w:tblCellMar>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9075"/>
      </w:tblGrid>
      <w:tr w:rsidR="00237760" w:rsidRPr="00237760" w14:paraId="7FA98038" w14:textId="77777777" w:rsidTr="005067E3">
        <w:trPr>
          <w:trHeight w:val="151"/>
        </w:trPr>
        <w:tc>
          <w:tcPr>
            <w:tcW w:w="9075"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3BA9E456" w14:textId="77777777" w:rsidR="00F11853" w:rsidRPr="00237760" w:rsidRDefault="00F11853"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SŁABOŚCI</w:t>
            </w:r>
          </w:p>
        </w:tc>
      </w:tr>
    </w:tbl>
    <w:tbl>
      <w:tblPr>
        <w:tblStyle w:val="Tabela-Siatka5"/>
        <w:tblW w:w="9072" w:type="dxa"/>
        <w:tblInd w:w="0" w:type="dxa"/>
        <w:tblLayout w:type="fixed"/>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5103"/>
        <w:gridCol w:w="3969"/>
      </w:tblGrid>
      <w:tr w:rsidR="00237760" w:rsidRPr="00237760" w14:paraId="0C972198" w14:textId="77777777" w:rsidTr="006B1EFF">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51ED29E8" w14:textId="0DFA34FB" w:rsidR="0091162A" w:rsidRPr="00237760" w:rsidRDefault="0063650D"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Niedostateczne zapewnienia bezpieczeństwa pieszych – niewystarczająca liczba chodników</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126D77BC" w14:textId="1475B61E" w:rsidR="0091162A" w:rsidRPr="00237760" w:rsidRDefault="00102BFC"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4. Poprawa bezpieczeństwa w transporcie</w:t>
            </w:r>
          </w:p>
        </w:tc>
      </w:tr>
      <w:tr w:rsidR="00237760" w:rsidRPr="00237760" w14:paraId="4B31C1C9" w14:textId="77777777" w:rsidTr="006B1EFF">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305321B3" w14:textId="53D58E6C" w:rsidR="004D7F3A" w:rsidRPr="00237760" w:rsidRDefault="004D7F3A"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Niedostateczne oznakowanie drogowe </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0040A620" w14:textId="3C9AC1FF" w:rsidR="004D7F3A" w:rsidRPr="00237760" w:rsidRDefault="00604117"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Potencjalnie Cel horyzontalny 4. Poprawa bezpieczeństwa w transporcie</w:t>
            </w:r>
          </w:p>
        </w:tc>
      </w:tr>
    </w:tbl>
    <w:tbl>
      <w:tblPr>
        <w:tblStyle w:val="Tabela-Siatka5261"/>
        <w:tblW w:w="9075" w:type="dxa"/>
        <w:tblInd w:w="0"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57" w:type="dxa"/>
          <w:right w:w="57" w:type="dxa"/>
        </w:tblCellMar>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9075"/>
      </w:tblGrid>
      <w:tr w:rsidR="00237760" w:rsidRPr="00237760" w14:paraId="16E26F38" w14:textId="77777777" w:rsidTr="005067E3">
        <w:trPr>
          <w:trHeight w:val="151"/>
        </w:trPr>
        <w:tc>
          <w:tcPr>
            <w:tcW w:w="9075"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7B4B6805" w14:textId="7FD1B775" w:rsidR="00D037B5" w:rsidRPr="00237760" w:rsidRDefault="005C50AA"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SZANSE</w:t>
            </w:r>
          </w:p>
        </w:tc>
      </w:tr>
    </w:tbl>
    <w:tbl>
      <w:tblPr>
        <w:tblStyle w:val="Tabela-Siatka5"/>
        <w:tblW w:w="9072" w:type="dxa"/>
        <w:tblInd w:w="0" w:type="dxa"/>
        <w:tblLayout w:type="fixed"/>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5103"/>
        <w:gridCol w:w="3969"/>
      </w:tblGrid>
      <w:tr w:rsidR="00237760" w:rsidRPr="00237760" w14:paraId="55D50210" w14:textId="77777777" w:rsidTr="006B1EFF">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79586AC1" w14:textId="3965062A" w:rsidR="005C50AA" w:rsidRPr="00237760" w:rsidRDefault="005C50AA"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lastRenderedPageBreak/>
              <w:t>Środki finansowe UE, pozabudżetowe gminy – możliwość korzystania z nich </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500473A3" w14:textId="09CC8F76" w:rsidR="005C50AA" w:rsidRPr="00237760" w:rsidRDefault="00B865DF"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Wszystkie cele</w:t>
            </w:r>
          </w:p>
        </w:tc>
      </w:tr>
      <w:tr w:rsidR="00237760" w:rsidRPr="00237760" w14:paraId="315AAEE7" w14:textId="77777777" w:rsidTr="006B1EFF">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6025CF16" w14:textId="5A4E1785" w:rsidR="005C50AA" w:rsidRPr="00237760" w:rsidRDefault="005C50AA"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Wykorzystanie przebiegu drogi wojewódzkiej i krajowej</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0B668B79" w14:textId="77777777" w:rsidR="00DC1851" w:rsidRPr="00237760" w:rsidRDefault="00DC185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25866EF0" w14:textId="78014525" w:rsidR="005C50AA" w:rsidRPr="00237760" w:rsidRDefault="00DC185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tc>
      </w:tr>
    </w:tbl>
    <w:tbl>
      <w:tblPr>
        <w:tblStyle w:val="Tabela-Siatka5261"/>
        <w:tblW w:w="9075" w:type="dxa"/>
        <w:tblInd w:w="0"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57" w:type="dxa"/>
          <w:right w:w="57" w:type="dxa"/>
        </w:tblCellMar>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9075"/>
      </w:tblGrid>
      <w:tr w:rsidR="00237760" w:rsidRPr="00237760" w14:paraId="15AFF3ED" w14:textId="77777777" w:rsidTr="005067E3">
        <w:trPr>
          <w:trHeight w:val="151"/>
        </w:trPr>
        <w:tc>
          <w:tcPr>
            <w:tcW w:w="9075"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7AC5EA06" w14:textId="6A8E192B" w:rsidR="00DD1E80" w:rsidRPr="00237760" w:rsidRDefault="00DD1E80"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ZAGROŻENIA</w:t>
            </w:r>
          </w:p>
        </w:tc>
      </w:tr>
    </w:tbl>
    <w:tbl>
      <w:tblPr>
        <w:tblStyle w:val="Tabela-Siatka5"/>
        <w:tblW w:w="9072" w:type="dxa"/>
        <w:tblInd w:w="0" w:type="dxa"/>
        <w:tblLayout w:type="fixed"/>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5103"/>
        <w:gridCol w:w="3969"/>
      </w:tblGrid>
      <w:tr w:rsidR="00237760" w:rsidRPr="00237760" w14:paraId="1543A587" w14:textId="77777777" w:rsidTr="008B7FC7">
        <w:trPr>
          <w:trHeight w:val="151"/>
        </w:trPr>
        <w:tc>
          <w:tcPr>
            <w:tcW w:w="5103" w:type="dxa"/>
            <w:tcBorders>
              <w:top w:val="single" w:sz="4" w:space="0" w:color="BDD6EE" w:themeColor="accent1" w:themeTint="66"/>
              <w:left w:val="nil"/>
              <w:bottom w:val="single" w:sz="4" w:space="0" w:color="BDD6EE" w:themeColor="accent1" w:themeTint="66"/>
              <w:right w:val="nil"/>
            </w:tcBorders>
          </w:tcPr>
          <w:p w14:paraId="6EDFD87B" w14:textId="5C10591A" w:rsidR="002A47D7" w:rsidRPr="00237760" w:rsidRDefault="002A47D7"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 xml:space="preserve">Zmniejszenie środków finansowych UE </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1C80D3A2" w14:textId="53BE3AC9" w:rsidR="002A47D7" w:rsidRPr="00237760" w:rsidRDefault="006B630F"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Poruszone w analizie ryzyka</w:t>
            </w:r>
          </w:p>
        </w:tc>
      </w:tr>
    </w:tbl>
    <w:tbl>
      <w:tblPr>
        <w:tblStyle w:val="Tabela-Siatka31"/>
        <w:tblW w:w="907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9075"/>
      </w:tblGrid>
      <w:tr w:rsidR="00237760" w:rsidRPr="00237760" w14:paraId="4DE3F8B7" w14:textId="77777777" w:rsidTr="005067E3">
        <w:trPr>
          <w:trHeight w:val="151"/>
        </w:trPr>
        <w:tc>
          <w:tcPr>
            <w:tcW w:w="9075" w:type="dxa"/>
            <w:shd w:val="clear" w:color="auto" w:fill="auto"/>
            <w:tcMar>
              <w:top w:w="0" w:type="dxa"/>
              <w:left w:w="28" w:type="dxa"/>
              <w:bottom w:w="0" w:type="dxa"/>
              <w:right w:w="28" w:type="dxa"/>
            </w:tcMar>
            <w:vAlign w:val="center"/>
            <w:hideMark/>
          </w:tcPr>
          <w:p w14:paraId="7D3DFB70" w14:textId="565F253C" w:rsidR="002D2622" w:rsidRPr="00237760" w:rsidRDefault="00893590" w:rsidP="009367B4">
            <w:pPr>
              <w:spacing w:after="0" w:line="240" w:lineRule="auto"/>
              <w:ind w:left="57" w:right="57"/>
              <w:jc w:val="left"/>
              <w:rPr>
                <w:rFonts w:ascii="Arial" w:hAnsi="Arial" w:cs="Arial"/>
                <w:b/>
                <w:bCs/>
                <w:color w:val="auto"/>
                <w:sz w:val="24"/>
                <w:szCs w:val="24"/>
              </w:rPr>
            </w:pPr>
            <w:r w:rsidRPr="00237760">
              <w:rPr>
                <w:rFonts w:ascii="Arial" w:hAnsi="Arial" w:cs="Arial"/>
                <w:b/>
                <w:bCs/>
                <w:color w:val="auto"/>
                <w:sz w:val="24"/>
                <w:szCs w:val="24"/>
              </w:rPr>
              <w:t>Strategia Rozwoju Gminy Narol na lata 2021-2030</w:t>
            </w:r>
          </w:p>
        </w:tc>
      </w:tr>
    </w:tbl>
    <w:tbl>
      <w:tblPr>
        <w:tblStyle w:val="Tabela-Siatka52611"/>
        <w:tblW w:w="9075" w:type="dxa"/>
        <w:tblInd w:w="0"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57" w:type="dxa"/>
          <w:right w:w="57" w:type="dxa"/>
        </w:tblCellMar>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9075"/>
      </w:tblGrid>
      <w:tr w:rsidR="00237760" w:rsidRPr="00237760" w14:paraId="2E0C27F8" w14:textId="77777777" w:rsidTr="005067E3">
        <w:trPr>
          <w:trHeight w:val="151"/>
        </w:trPr>
        <w:tc>
          <w:tcPr>
            <w:tcW w:w="9075"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6227DB12" w14:textId="3B94D6B1" w:rsidR="00893590" w:rsidRPr="00237760" w:rsidRDefault="00893590"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SŁABOŚCI</w:t>
            </w:r>
          </w:p>
        </w:tc>
      </w:tr>
    </w:tbl>
    <w:tbl>
      <w:tblPr>
        <w:tblStyle w:val="Tabela-Siatka5"/>
        <w:tblW w:w="9072" w:type="dxa"/>
        <w:tblInd w:w="0" w:type="dxa"/>
        <w:tblLayout w:type="fixed"/>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5103"/>
        <w:gridCol w:w="3969"/>
      </w:tblGrid>
      <w:tr w:rsidR="00237760" w:rsidRPr="00237760" w14:paraId="25FE730A" w14:textId="77777777" w:rsidTr="008B7FC7">
        <w:trPr>
          <w:trHeight w:val="151"/>
        </w:trPr>
        <w:tc>
          <w:tcPr>
            <w:tcW w:w="5103" w:type="dxa"/>
            <w:tcBorders>
              <w:top w:val="single" w:sz="4" w:space="0" w:color="BDD6EE" w:themeColor="accent1" w:themeTint="66"/>
              <w:left w:val="nil"/>
              <w:bottom w:val="single" w:sz="4" w:space="0" w:color="BDD6EE" w:themeColor="accent1" w:themeTint="66"/>
              <w:right w:val="nil"/>
            </w:tcBorders>
            <w:vAlign w:val="bottom"/>
          </w:tcPr>
          <w:p w14:paraId="65C07B01" w14:textId="2BF03365" w:rsidR="00A17E97" w:rsidRPr="00237760" w:rsidRDefault="00130813"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 xml:space="preserve">Brak infrastruktury umożliwiającej rozwój </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243BD245" w14:textId="0A9FF97F" w:rsidR="00A17E97" w:rsidRPr="00237760" w:rsidRDefault="00686B8C"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Wszystkie cele</w:t>
            </w:r>
          </w:p>
        </w:tc>
      </w:tr>
      <w:tr w:rsidR="00237760" w:rsidRPr="00237760" w14:paraId="75647E7C" w14:textId="77777777" w:rsidTr="008B7FC7">
        <w:trPr>
          <w:trHeight w:val="151"/>
        </w:trPr>
        <w:tc>
          <w:tcPr>
            <w:tcW w:w="5103" w:type="dxa"/>
            <w:tcBorders>
              <w:top w:val="single" w:sz="4" w:space="0" w:color="BDD6EE" w:themeColor="accent1" w:themeTint="66"/>
              <w:left w:val="nil"/>
              <w:bottom w:val="single" w:sz="4" w:space="0" w:color="BDD6EE" w:themeColor="accent1" w:themeTint="66"/>
              <w:right w:val="nil"/>
            </w:tcBorders>
            <w:vAlign w:val="bottom"/>
          </w:tcPr>
          <w:p w14:paraId="6B646D24" w14:textId="7B6B754B" w:rsidR="00130813" w:rsidRPr="00237760" w:rsidRDefault="00130813"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Zły stan techniczny części dróg gminnych i powiatowych</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06BC004F" w14:textId="0F4EAB71" w:rsidR="00130813" w:rsidRPr="00237760" w:rsidRDefault="00686B8C"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tc>
      </w:tr>
    </w:tbl>
    <w:tbl>
      <w:tblPr>
        <w:tblStyle w:val="Tabela-Siatka52611"/>
        <w:tblW w:w="9075" w:type="dxa"/>
        <w:tblInd w:w="0"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57" w:type="dxa"/>
          <w:right w:w="57" w:type="dxa"/>
        </w:tblCellMar>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9075"/>
      </w:tblGrid>
      <w:tr w:rsidR="00237760" w:rsidRPr="00237760" w14:paraId="196CD8F1" w14:textId="77777777" w:rsidTr="005067E3">
        <w:trPr>
          <w:trHeight w:val="151"/>
        </w:trPr>
        <w:tc>
          <w:tcPr>
            <w:tcW w:w="9075"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70E1970E" w14:textId="659C46C5" w:rsidR="00A83F75" w:rsidRPr="00237760" w:rsidRDefault="00A83F75"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SZANSE</w:t>
            </w:r>
          </w:p>
        </w:tc>
      </w:tr>
    </w:tbl>
    <w:tbl>
      <w:tblPr>
        <w:tblStyle w:val="Tabela-Siatka5"/>
        <w:tblW w:w="9072" w:type="dxa"/>
        <w:tblInd w:w="0" w:type="dxa"/>
        <w:tblLayout w:type="fixed"/>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5103"/>
        <w:gridCol w:w="3969"/>
      </w:tblGrid>
      <w:tr w:rsidR="00237760" w:rsidRPr="00237760" w14:paraId="1122D36B" w14:textId="77777777" w:rsidTr="006B1EFF">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3B42C261" w14:textId="41C300CA" w:rsidR="00A83F75" w:rsidRPr="00237760" w:rsidRDefault="00A83F75"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Rozwój infrastruktury drogowej</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0B27CE52" w14:textId="13A30120" w:rsidR="00A83F75" w:rsidRPr="00237760" w:rsidRDefault="001313C2"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Wszystkie cele</w:t>
            </w:r>
          </w:p>
        </w:tc>
      </w:tr>
      <w:tr w:rsidR="00237760" w:rsidRPr="00237760" w14:paraId="24E706E1" w14:textId="77777777" w:rsidTr="006B1EFF">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755DDCBB" w14:textId="4BF5EDC4" w:rsidR="00A83F75" w:rsidRPr="00237760" w:rsidRDefault="00A83F75"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Rozwój elektromobilności na terenie gminy oraz odnawialnych źródeł energii</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2CE9EAF2" w14:textId="7B89A9E2" w:rsidR="00A83F75" w:rsidRPr="00237760" w:rsidRDefault="000B22DA"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1. Ograniczenie negatywnego oddziaływania sektora transportu na klimat oraz na regionalne środowisko naturalne</w:t>
            </w:r>
          </w:p>
        </w:tc>
      </w:tr>
    </w:tbl>
    <w:tbl>
      <w:tblPr>
        <w:tblStyle w:val="Tabela-Siatka31"/>
        <w:tblW w:w="907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9075"/>
      </w:tblGrid>
      <w:tr w:rsidR="00237760" w:rsidRPr="00237760" w14:paraId="0F083037" w14:textId="77777777" w:rsidTr="005067E3">
        <w:trPr>
          <w:trHeight w:val="151"/>
        </w:trPr>
        <w:tc>
          <w:tcPr>
            <w:tcW w:w="9075" w:type="dxa"/>
            <w:shd w:val="clear" w:color="auto" w:fill="auto"/>
            <w:tcMar>
              <w:top w:w="0" w:type="dxa"/>
              <w:left w:w="28" w:type="dxa"/>
              <w:bottom w:w="0" w:type="dxa"/>
              <w:right w:w="28" w:type="dxa"/>
            </w:tcMar>
            <w:vAlign w:val="center"/>
            <w:hideMark/>
          </w:tcPr>
          <w:p w14:paraId="3C406FA7" w14:textId="24D2CFE9" w:rsidR="00FC24F6" w:rsidRPr="00237760" w:rsidRDefault="00176FD8" w:rsidP="009367B4">
            <w:pPr>
              <w:spacing w:after="0" w:line="240" w:lineRule="auto"/>
              <w:ind w:left="57" w:right="57"/>
              <w:jc w:val="left"/>
              <w:rPr>
                <w:rFonts w:ascii="Arial" w:hAnsi="Arial" w:cs="Arial"/>
                <w:b/>
                <w:bCs/>
                <w:color w:val="auto"/>
                <w:sz w:val="24"/>
                <w:szCs w:val="24"/>
              </w:rPr>
            </w:pPr>
            <w:r w:rsidRPr="00237760">
              <w:rPr>
                <w:rFonts w:ascii="Arial" w:hAnsi="Arial" w:cs="Arial"/>
                <w:b/>
                <w:bCs/>
                <w:color w:val="auto"/>
                <w:sz w:val="24"/>
                <w:szCs w:val="24"/>
              </w:rPr>
              <w:t>Strategia Rozwoju Gminy Radomyśl nad Sanem na lata 2015 – 2022</w:t>
            </w:r>
          </w:p>
        </w:tc>
      </w:tr>
    </w:tbl>
    <w:tbl>
      <w:tblPr>
        <w:tblStyle w:val="Tabela-Siatka52611"/>
        <w:tblW w:w="9075" w:type="dxa"/>
        <w:tblInd w:w="0"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57" w:type="dxa"/>
          <w:right w:w="57" w:type="dxa"/>
        </w:tblCellMar>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9075"/>
      </w:tblGrid>
      <w:tr w:rsidR="00237760" w:rsidRPr="00237760" w14:paraId="74FFE2F9" w14:textId="77777777" w:rsidTr="005067E3">
        <w:trPr>
          <w:trHeight w:val="151"/>
        </w:trPr>
        <w:tc>
          <w:tcPr>
            <w:tcW w:w="9075"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36F52101" w14:textId="2E63FB40" w:rsidR="00176FD8" w:rsidRPr="00237760" w:rsidRDefault="00176FD8"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SŁABOŚCI</w:t>
            </w:r>
          </w:p>
        </w:tc>
      </w:tr>
    </w:tbl>
    <w:tbl>
      <w:tblPr>
        <w:tblStyle w:val="Tabela-Siatka5"/>
        <w:tblW w:w="9072" w:type="dxa"/>
        <w:tblInd w:w="0" w:type="dxa"/>
        <w:tblLayout w:type="fixed"/>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5103"/>
        <w:gridCol w:w="3969"/>
      </w:tblGrid>
      <w:tr w:rsidR="00237760" w:rsidRPr="00237760" w14:paraId="4EE533EC" w14:textId="77777777" w:rsidTr="006B1EFF">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3FCED538" w14:textId="7CC7F745" w:rsidR="00C924F5" w:rsidRPr="00237760" w:rsidRDefault="00C924F5"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Niepełna infrastruktura drogowo-mostowa</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7CD6937E" w14:textId="381BF005" w:rsidR="00C924F5" w:rsidRPr="00237760" w:rsidRDefault="0049747A"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tc>
      </w:tr>
      <w:tr w:rsidR="00237760" w:rsidRPr="00237760" w14:paraId="1D81C34A" w14:textId="77777777" w:rsidTr="006B1EFF">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4A05B4FB" w14:textId="35DAD569" w:rsidR="00C924F5" w:rsidRPr="00237760" w:rsidRDefault="00C924F5"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Niepełna infrastruktura w zakresie ciągów pieszo-rowerowych</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6D8A5E0C" w14:textId="77777777" w:rsidR="008E54E4" w:rsidRPr="00237760" w:rsidRDefault="008E54E4"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7046DDA7" w14:textId="77777777" w:rsidR="00955D6E" w:rsidRPr="00237760" w:rsidRDefault="00955D6E"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69B25410" w14:textId="77777777" w:rsidR="008E54E4" w:rsidRPr="00237760" w:rsidRDefault="008E54E4"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1. Ograniczenie negatywnego oddziaływania sektora transportu na klimat oraz na regionalne środowisko naturalne</w:t>
            </w:r>
          </w:p>
          <w:p w14:paraId="57FCEFA0" w14:textId="794FE883" w:rsidR="00C924F5" w:rsidRPr="00237760" w:rsidRDefault="00955D6E"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4. Poprawa bezpieczeństwa w transporcie</w:t>
            </w:r>
          </w:p>
        </w:tc>
      </w:tr>
      <w:tr w:rsidR="00237760" w:rsidRPr="00237760" w14:paraId="2FDF2F04" w14:textId="77777777" w:rsidTr="006B1EFF">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637CC3FB" w14:textId="4C283D2B" w:rsidR="00C924F5" w:rsidRPr="00237760" w:rsidRDefault="00C924F5"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Transport zbiorowy wymagający interwencji</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44774D59" w14:textId="7CFE3F87" w:rsidR="00C924F5" w:rsidRPr="00237760" w:rsidRDefault="00CC34E4"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35E7F897" w14:textId="77777777" w:rsidTr="006B1EFF">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62C9CDD8" w14:textId="407CE17D" w:rsidR="00C924F5" w:rsidRPr="00237760" w:rsidRDefault="00C924F5"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Brak współpracy z sąsiednimi Gminami</w:t>
            </w:r>
            <w:r w:rsidR="00160ED5" w:rsidRPr="00237760">
              <w:rPr>
                <w:rFonts w:ascii="Arial" w:hAnsi="Arial" w:cs="Arial"/>
                <w:color w:val="auto"/>
                <w:sz w:val="24"/>
                <w:szCs w:val="24"/>
              </w:rPr>
              <w:t xml:space="preserve"> </w:t>
            </w:r>
            <w:r w:rsidRPr="00237760">
              <w:rPr>
                <w:rFonts w:ascii="Arial" w:hAnsi="Arial" w:cs="Arial"/>
                <w:color w:val="auto"/>
                <w:sz w:val="24"/>
                <w:szCs w:val="24"/>
              </w:rPr>
              <w:t>w zakresie rozwoju turystyki</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72EAD485" w14:textId="49CDDFB4" w:rsidR="00C924F5" w:rsidRPr="00237760" w:rsidRDefault="00034EA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 xml:space="preserve">Częściowo </w:t>
            </w:r>
            <w:r w:rsidR="00502B9C" w:rsidRPr="00237760">
              <w:rPr>
                <w:rFonts w:ascii="Arial" w:hAnsi="Arial" w:cs="Arial"/>
                <w:color w:val="auto"/>
                <w:sz w:val="24"/>
                <w:szCs w:val="24"/>
              </w:rPr>
              <w:t>Cel podstawowy 1. Dostępność zewnętrzna</w:t>
            </w:r>
            <w:r w:rsidR="003977CA" w:rsidRPr="00237760">
              <w:rPr>
                <w:rStyle w:val="Odwoanieprzypisudolnego"/>
                <w:rFonts w:ascii="Arial" w:hAnsi="Arial" w:cs="Arial"/>
                <w:color w:val="auto"/>
                <w:sz w:val="24"/>
                <w:szCs w:val="24"/>
              </w:rPr>
              <w:footnoteReference w:id="19"/>
            </w:r>
          </w:p>
        </w:tc>
      </w:tr>
    </w:tbl>
    <w:tbl>
      <w:tblPr>
        <w:tblStyle w:val="Tabela-Siatka52611"/>
        <w:tblW w:w="9075" w:type="dxa"/>
        <w:tblInd w:w="0"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57" w:type="dxa"/>
          <w:right w:w="57" w:type="dxa"/>
        </w:tblCellMar>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9075"/>
      </w:tblGrid>
      <w:tr w:rsidR="00237760" w:rsidRPr="00237760" w14:paraId="074482F1" w14:textId="77777777" w:rsidTr="005067E3">
        <w:trPr>
          <w:trHeight w:val="151"/>
        </w:trPr>
        <w:tc>
          <w:tcPr>
            <w:tcW w:w="9075"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284F5A36" w14:textId="67EBF6F5" w:rsidR="00601736" w:rsidRPr="00237760" w:rsidRDefault="005C4219"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SZANSE</w:t>
            </w:r>
          </w:p>
        </w:tc>
      </w:tr>
    </w:tbl>
    <w:tbl>
      <w:tblPr>
        <w:tblStyle w:val="Tabela-Siatka5"/>
        <w:tblW w:w="9072" w:type="dxa"/>
        <w:tblInd w:w="0" w:type="dxa"/>
        <w:tblLayout w:type="fixed"/>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5103"/>
        <w:gridCol w:w="3969"/>
      </w:tblGrid>
      <w:tr w:rsidR="00237760" w:rsidRPr="00237760" w14:paraId="4D53E590" w14:textId="77777777" w:rsidTr="00FE1FD0">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2FEE69C8" w14:textId="7476B467" w:rsidR="00E50EDC" w:rsidRPr="00237760" w:rsidRDefault="00E50EDC"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Możliwość uzyskania pomocy finansowej ze</w:t>
            </w:r>
            <w:r w:rsidR="0087179F" w:rsidRPr="00237760">
              <w:rPr>
                <w:rFonts w:ascii="Arial" w:hAnsi="Arial" w:cs="Arial"/>
                <w:color w:val="auto"/>
                <w:sz w:val="24"/>
                <w:szCs w:val="24"/>
              </w:rPr>
              <w:t xml:space="preserve"> </w:t>
            </w:r>
            <w:r w:rsidRPr="00237760">
              <w:rPr>
                <w:rFonts w:ascii="Arial" w:hAnsi="Arial" w:cs="Arial"/>
                <w:color w:val="auto"/>
                <w:sz w:val="24"/>
                <w:szCs w:val="24"/>
              </w:rPr>
              <w:t>środków pomocowych Unii Europejskiej n</w:t>
            </w:r>
            <w:r w:rsidR="0087179F" w:rsidRPr="00237760">
              <w:rPr>
                <w:rFonts w:ascii="Arial" w:hAnsi="Arial" w:cs="Arial"/>
                <w:color w:val="auto"/>
                <w:sz w:val="24"/>
                <w:szCs w:val="24"/>
              </w:rPr>
              <w:t xml:space="preserve">a </w:t>
            </w:r>
            <w:r w:rsidRPr="00237760">
              <w:rPr>
                <w:rFonts w:ascii="Arial" w:hAnsi="Arial" w:cs="Arial"/>
                <w:color w:val="auto"/>
                <w:sz w:val="24"/>
                <w:szCs w:val="24"/>
              </w:rPr>
              <w:t>finansowanie</w:t>
            </w:r>
            <w:r w:rsidR="0087179F" w:rsidRPr="00237760">
              <w:rPr>
                <w:rFonts w:ascii="Arial" w:hAnsi="Arial" w:cs="Arial"/>
                <w:color w:val="auto"/>
                <w:sz w:val="24"/>
                <w:szCs w:val="24"/>
              </w:rPr>
              <w:t xml:space="preserve"> </w:t>
            </w:r>
            <w:r w:rsidRPr="00237760">
              <w:rPr>
                <w:rFonts w:ascii="Arial" w:hAnsi="Arial" w:cs="Arial"/>
                <w:color w:val="auto"/>
                <w:sz w:val="24"/>
                <w:szCs w:val="24"/>
              </w:rPr>
              <w:t>głównych priorytetów Gminy</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685CDB3F" w14:textId="19D62D15" w:rsidR="00E50EDC" w:rsidRPr="00237760" w:rsidRDefault="003977CA"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Wszystkie cele</w:t>
            </w:r>
          </w:p>
        </w:tc>
      </w:tr>
      <w:tr w:rsidR="00237760" w:rsidRPr="00237760" w14:paraId="10514C46" w14:textId="77777777" w:rsidTr="00FE1FD0">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269AB1CF" w14:textId="2D984DA2" w:rsidR="00E50EDC" w:rsidRPr="00237760" w:rsidRDefault="00E50EDC"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Rozbudowa regionalnej sieci drogowej</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17A42CA4" w14:textId="32807D17" w:rsidR="00E50EDC" w:rsidRPr="00237760" w:rsidRDefault="00256A6E"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Wszystkie cele</w:t>
            </w:r>
          </w:p>
        </w:tc>
      </w:tr>
      <w:tr w:rsidR="00237760" w:rsidRPr="00237760" w14:paraId="32B7E3E5" w14:textId="77777777" w:rsidTr="006B1EFF">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1D20654D" w14:textId="1183C8F7" w:rsidR="00E50EDC" w:rsidRPr="00237760" w:rsidRDefault="00E50EDC"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lastRenderedPageBreak/>
              <w:t>Inwestycje w infrastrukturę turystyczną, np.</w:t>
            </w:r>
            <w:r w:rsidR="0087179F" w:rsidRPr="00237760">
              <w:rPr>
                <w:rFonts w:ascii="Arial" w:hAnsi="Arial" w:cs="Arial"/>
                <w:color w:val="auto"/>
                <w:sz w:val="24"/>
                <w:szCs w:val="24"/>
              </w:rPr>
              <w:t xml:space="preserve"> </w:t>
            </w:r>
            <w:r w:rsidRPr="00237760">
              <w:rPr>
                <w:rFonts w:ascii="Arial" w:hAnsi="Arial" w:cs="Arial"/>
                <w:color w:val="auto"/>
                <w:sz w:val="24"/>
                <w:szCs w:val="24"/>
              </w:rPr>
              <w:t>budowa ścieżek rowerowych</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45FD0C8A" w14:textId="77777777" w:rsidR="008E54E4" w:rsidRPr="00237760" w:rsidRDefault="008E54E4"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17D6E194" w14:textId="77777777" w:rsidR="003A7B9E" w:rsidRPr="00237760" w:rsidRDefault="003A7B9E"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29989D45" w14:textId="77777777" w:rsidR="008E54E4" w:rsidRPr="00237760" w:rsidRDefault="008E54E4"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1. Ograniczenie negatywnego oddziaływania sektora transportu na klimat oraz na regionalne środowisko naturalne</w:t>
            </w:r>
          </w:p>
          <w:p w14:paraId="7EDB00BA" w14:textId="5ED623E0" w:rsidR="00E50EDC" w:rsidRPr="00237760" w:rsidRDefault="008E54E4"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4. Poprawa bezpieczeństwa w transporcie</w:t>
            </w:r>
          </w:p>
        </w:tc>
      </w:tr>
      <w:tr w:rsidR="00237760" w:rsidRPr="00237760" w14:paraId="6CBE5F7B" w14:textId="77777777" w:rsidTr="006B1EFF">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5E76A7E8" w14:textId="0F66D1D0" w:rsidR="00FC24F6" w:rsidRPr="00237760" w:rsidRDefault="0087179F"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Wzrastające zapotrzebowanie na wypoczynek w formie turystyki rowerowej</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2CAAF952" w14:textId="77777777" w:rsidR="00660FBB" w:rsidRPr="00237760" w:rsidRDefault="00660FBB"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71F54C9E" w14:textId="77777777" w:rsidR="003A7B9E" w:rsidRPr="00237760" w:rsidRDefault="003A7B9E"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788BF3C5" w14:textId="29004F3F" w:rsidR="00326E91" w:rsidRPr="00237760" w:rsidRDefault="00326E9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1. Ograniczenie negatywnego oddziaływania sektora transportu na klimat oraz na regionalne środowisko naturalne</w:t>
            </w:r>
          </w:p>
          <w:p w14:paraId="0914599C" w14:textId="3040E60A" w:rsidR="00FC24F6" w:rsidRPr="00237760" w:rsidRDefault="003A7B9E"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4. Poprawa bezpieczeństwa w transporcie</w:t>
            </w:r>
          </w:p>
        </w:tc>
      </w:tr>
    </w:tbl>
    <w:tbl>
      <w:tblPr>
        <w:tblStyle w:val="Tabela-Siatka52611"/>
        <w:tblW w:w="9075" w:type="dxa"/>
        <w:tblInd w:w="0"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57" w:type="dxa"/>
          <w:right w:w="57" w:type="dxa"/>
        </w:tblCellMar>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9075"/>
      </w:tblGrid>
      <w:tr w:rsidR="00237760" w:rsidRPr="00237760" w14:paraId="0E587B9E" w14:textId="77777777" w:rsidTr="005067E3">
        <w:trPr>
          <w:trHeight w:val="151"/>
        </w:trPr>
        <w:tc>
          <w:tcPr>
            <w:tcW w:w="9075"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230EEAF5" w14:textId="77777777" w:rsidR="005C4219" w:rsidRPr="00237760" w:rsidRDefault="005C4219"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ZAGROŻENIA</w:t>
            </w:r>
          </w:p>
        </w:tc>
      </w:tr>
    </w:tbl>
    <w:tbl>
      <w:tblPr>
        <w:tblStyle w:val="Tabela-Siatka5"/>
        <w:tblW w:w="9072" w:type="dxa"/>
        <w:tblInd w:w="0" w:type="dxa"/>
        <w:tblLayout w:type="fixed"/>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5103"/>
        <w:gridCol w:w="3969"/>
      </w:tblGrid>
      <w:tr w:rsidR="00237760" w:rsidRPr="00237760" w14:paraId="1B98A7DA" w14:textId="77777777" w:rsidTr="00096DAA">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5F90A10F" w14:textId="734660E0" w:rsidR="004010D9" w:rsidRPr="00237760" w:rsidRDefault="004010D9"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Duża odległość do autostrady i dróg ekspresowych</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0CE608E6" w14:textId="77777777" w:rsidR="008B7FC7" w:rsidRPr="00237760" w:rsidRDefault="008B7FC7"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4A7F958A" w14:textId="6FF007DD" w:rsidR="004010D9" w:rsidRPr="00237760" w:rsidRDefault="008B7FC7" w:rsidP="009367B4">
            <w:pPr>
              <w:spacing w:after="0" w:line="240" w:lineRule="auto"/>
              <w:ind w:right="57"/>
              <w:jc w:val="left"/>
              <w:rPr>
                <w:rFonts w:ascii="Arial" w:hAnsi="Arial" w:cs="Arial"/>
                <w:b/>
                <w:color w:val="auto"/>
                <w:sz w:val="24"/>
                <w:szCs w:val="24"/>
              </w:rPr>
            </w:pPr>
            <w:r w:rsidRPr="00237760">
              <w:rPr>
                <w:rFonts w:ascii="Arial" w:hAnsi="Arial" w:cs="Arial"/>
                <w:color w:val="auto"/>
                <w:sz w:val="24"/>
                <w:szCs w:val="24"/>
              </w:rPr>
              <w:t>Cel podstawowy 2. Transportowa spójność wewnętrzna</w:t>
            </w:r>
          </w:p>
        </w:tc>
      </w:tr>
    </w:tbl>
    <w:tbl>
      <w:tblPr>
        <w:tblStyle w:val="Tabela-Siatka31"/>
        <w:tblW w:w="907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9075"/>
      </w:tblGrid>
      <w:tr w:rsidR="00237760" w:rsidRPr="00237760" w14:paraId="6BDF7DF2" w14:textId="77777777" w:rsidTr="005067E3">
        <w:trPr>
          <w:trHeight w:val="151"/>
        </w:trPr>
        <w:tc>
          <w:tcPr>
            <w:tcW w:w="9075" w:type="dxa"/>
            <w:shd w:val="clear" w:color="auto" w:fill="auto"/>
            <w:tcMar>
              <w:top w:w="0" w:type="dxa"/>
              <w:left w:w="28" w:type="dxa"/>
              <w:bottom w:w="0" w:type="dxa"/>
              <w:right w:w="28" w:type="dxa"/>
            </w:tcMar>
            <w:vAlign w:val="center"/>
            <w:hideMark/>
          </w:tcPr>
          <w:p w14:paraId="73C51C67" w14:textId="16965B21" w:rsidR="005C4219" w:rsidRPr="00237760" w:rsidRDefault="000C77CF" w:rsidP="009367B4">
            <w:pPr>
              <w:spacing w:after="0" w:line="240" w:lineRule="auto"/>
              <w:ind w:left="57" w:right="57"/>
              <w:jc w:val="left"/>
              <w:rPr>
                <w:rFonts w:ascii="Arial" w:hAnsi="Arial" w:cs="Arial"/>
                <w:b/>
                <w:bCs/>
                <w:color w:val="auto"/>
                <w:sz w:val="24"/>
                <w:szCs w:val="24"/>
              </w:rPr>
            </w:pPr>
            <w:r w:rsidRPr="00237760">
              <w:rPr>
                <w:rFonts w:ascii="Arial" w:hAnsi="Arial" w:cs="Arial"/>
                <w:b/>
                <w:bCs/>
                <w:color w:val="auto"/>
                <w:sz w:val="24"/>
                <w:szCs w:val="24"/>
              </w:rPr>
              <w:t>Strategia Rozwoju Gminy Radomyśl Wielki na lata 2021-2030</w:t>
            </w:r>
          </w:p>
        </w:tc>
      </w:tr>
    </w:tbl>
    <w:tbl>
      <w:tblPr>
        <w:tblStyle w:val="Tabela-Siatka52611"/>
        <w:tblW w:w="9075" w:type="dxa"/>
        <w:tblInd w:w="0"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57" w:type="dxa"/>
          <w:right w:w="57" w:type="dxa"/>
        </w:tblCellMar>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9075"/>
      </w:tblGrid>
      <w:tr w:rsidR="00237760" w:rsidRPr="00237760" w14:paraId="1970F4A0" w14:textId="77777777" w:rsidTr="005067E3">
        <w:trPr>
          <w:trHeight w:val="151"/>
        </w:trPr>
        <w:tc>
          <w:tcPr>
            <w:tcW w:w="9075"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4AEDA21C" w14:textId="2EAF758B" w:rsidR="005C4219" w:rsidRPr="00237760" w:rsidRDefault="005C4219"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SŁABOŚCI</w:t>
            </w:r>
          </w:p>
        </w:tc>
      </w:tr>
    </w:tbl>
    <w:tbl>
      <w:tblPr>
        <w:tblStyle w:val="Tabela-Siatka5"/>
        <w:tblW w:w="9072" w:type="dxa"/>
        <w:tblInd w:w="0" w:type="dxa"/>
        <w:tblLayout w:type="fixed"/>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5103"/>
        <w:gridCol w:w="3969"/>
      </w:tblGrid>
      <w:tr w:rsidR="00237760" w:rsidRPr="00237760" w14:paraId="1DF23FAF" w14:textId="77777777" w:rsidTr="006B1EFF">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4CAD2E54" w14:textId="7A1EB328" w:rsidR="00FC24F6" w:rsidRPr="00237760" w:rsidRDefault="00504AF2"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Brak ścieżek rowerowych</w:t>
            </w:r>
          </w:p>
        </w:tc>
        <w:tc>
          <w:tcPr>
            <w:tcW w:w="3969" w:type="dxa"/>
            <w:tcBorders>
              <w:top w:val="single" w:sz="4" w:space="0" w:color="BDD6EE" w:themeColor="accent1" w:themeTint="66"/>
              <w:left w:val="nil"/>
              <w:bottom w:val="single" w:sz="4" w:space="0" w:color="BDD6EE" w:themeColor="accent1" w:themeTint="66"/>
              <w:right w:val="nil"/>
            </w:tcBorders>
          </w:tcPr>
          <w:p w14:paraId="276BB72C" w14:textId="77777777" w:rsidR="00F05C00" w:rsidRPr="00237760" w:rsidRDefault="00F05C00"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6A5ED24C" w14:textId="77777777" w:rsidR="00F05C00" w:rsidRPr="00237760" w:rsidRDefault="00F05C00"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04E48264" w14:textId="77777777" w:rsidR="00FC24F6" w:rsidRPr="00237760" w:rsidRDefault="00F05C00"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1. Ograniczenie negatywnego oddziaływania sektora transportu na klimat oraz na regionalne środowisko naturalne</w:t>
            </w:r>
          </w:p>
          <w:p w14:paraId="2AD73AA9" w14:textId="19D416E1" w:rsidR="00FC24F6" w:rsidRPr="00237760" w:rsidRDefault="00D456F4"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4. Poprawa bezpieczeństwa w transporcie</w:t>
            </w:r>
          </w:p>
        </w:tc>
      </w:tr>
      <w:tr w:rsidR="00237760" w:rsidRPr="00237760" w14:paraId="4ED36F66" w14:textId="77777777" w:rsidTr="006B1EFF">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2B2F5B4C" w14:textId="55B850EB" w:rsidR="00FC24F6" w:rsidRPr="00237760" w:rsidRDefault="00EF23D0"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Brak miejsc parkingowych</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7625A7DE" w14:textId="77777777" w:rsidR="00191AD6" w:rsidRPr="00237760" w:rsidRDefault="00191AD6"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Częściowo</w:t>
            </w:r>
            <w:r w:rsidRPr="00237760">
              <w:rPr>
                <w:rStyle w:val="Odwoanieprzypisudolnego"/>
                <w:rFonts w:ascii="Arial" w:hAnsi="Arial" w:cs="Arial"/>
                <w:color w:val="auto"/>
                <w:sz w:val="24"/>
                <w:szCs w:val="24"/>
              </w:rPr>
              <w:footnoteReference w:id="20"/>
            </w:r>
            <w:r w:rsidRPr="00237760">
              <w:rPr>
                <w:rFonts w:ascii="Arial" w:hAnsi="Arial" w:cs="Arial"/>
                <w:color w:val="auto"/>
                <w:sz w:val="24"/>
                <w:szCs w:val="24"/>
              </w:rPr>
              <w:t xml:space="preserve">: </w:t>
            </w:r>
          </w:p>
          <w:p w14:paraId="1DA5E8A9" w14:textId="77777777" w:rsidR="00191AD6" w:rsidRPr="00237760" w:rsidRDefault="00191AD6"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00DB5C5D" w14:textId="77777777" w:rsidR="00191AD6" w:rsidRPr="00237760" w:rsidRDefault="00191AD6"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 xml:space="preserve">Cel horyzontalny 2. Wzmocnienie rozwiązań multimodalnych </w:t>
            </w:r>
          </w:p>
          <w:p w14:paraId="52CE4900" w14:textId="7A72FB67" w:rsidR="00FC24F6" w:rsidRPr="00237760" w:rsidRDefault="00191AD6"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lastRenderedPageBreak/>
              <w:t>Cel horyzontalny 3. Transport publiczny</w:t>
            </w:r>
          </w:p>
        </w:tc>
      </w:tr>
      <w:tr w:rsidR="00237760" w:rsidRPr="00237760" w14:paraId="1A7C4A9D" w14:textId="77777777" w:rsidTr="006B1EFF">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20657333" w14:textId="15687166" w:rsidR="00FC24F6" w:rsidRPr="00237760" w:rsidRDefault="00EF23D0"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lastRenderedPageBreak/>
              <w:t>Braki w zakresie infrastruktury drogowej</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6F012884" w14:textId="6C1B36D9" w:rsidR="00FC24F6" w:rsidRPr="00237760" w:rsidRDefault="00B367BA"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Wszystkie cele</w:t>
            </w:r>
          </w:p>
        </w:tc>
      </w:tr>
      <w:tr w:rsidR="00237760" w:rsidRPr="00237760" w14:paraId="3EC277B7" w14:textId="77777777" w:rsidTr="006B1EFF">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31C7E181" w14:textId="03B0324F" w:rsidR="00FC24F6" w:rsidRPr="00237760" w:rsidRDefault="00EF23D0"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Brak chodników, oświetlenia dróg</w:t>
            </w:r>
          </w:p>
        </w:tc>
        <w:tc>
          <w:tcPr>
            <w:tcW w:w="3969" w:type="dxa"/>
            <w:tcBorders>
              <w:top w:val="single" w:sz="4" w:space="0" w:color="BDD6EE" w:themeColor="accent1" w:themeTint="66"/>
              <w:left w:val="nil"/>
              <w:bottom w:val="single" w:sz="4" w:space="0" w:color="BDD6EE" w:themeColor="accent1" w:themeTint="66"/>
              <w:right w:val="nil"/>
            </w:tcBorders>
          </w:tcPr>
          <w:p w14:paraId="5C22D140" w14:textId="115E0AC4" w:rsidR="00FC24F6" w:rsidRPr="00237760" w:rsidRDefault="00DC53D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4. Poprawa bezpieczeństwa w transporcie</w:t>
            </w:r>
          </w:p>
        </w:tc>
      </w:tr>
    </w:tbl>
    <w:tbl>
      <w:tblPr>
        <w:tblStyle w:val="Tabela-Siatka52611"/>
        <w:tblW w:w="9075" w:type="dxa"/>
        <w:tblInd w:w="0"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57" w:type="dxa"/>
          <w:right w:w="57" w:type="dxa"/>
        </w:tblCellMar>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9075"/>
      </w:tblGrid>
      <w:tr w:rsidR="00237760" w:rsidRPr="00237760" w14:paraId="64829FDE" w14:textId="77777777" w:rsidTr="005067E3">
        <w:trPr>
          <w:trHeight w:val="151"/>
        </w:trPr>
        <w:tc>
          <w:tcPr>
            <w:tcW w:w="9075"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541FD6DC" w14:textId="7E318E1D" w:rsidR="00670E45" w:rsidRPr="00237760" w:rsidRDefault="00670E45"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SZANSE</w:t>
            </w:r>
          </w:p>
        </w:tc>
      </w:tr>
    </w:tbl>
    <w:tbl>
      <w:tblPr>
        <w:tblStyle w:val="Tabela-Siatka5"/>
        <w:tblW w:w="9072" w:type="dxa"/>
        <w:tblInd w:w="0" w:type="dxa"/>
        <w:tblLayout w:type="fixed"/>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5103"/>
        <w:gridCol w:w="3969"/>
      </w:tblGrid>
      <w:tr w:rsidR="00237760" w:rsidRPr="00237760" w14:paraId="1B86E84F" w14:textId="77777777" w:rsidTr="00A0173B">
        <w:trPr>
          <w:trHeight w:val="151"/>
        </w:trPr>
        <w:tc>
          <w:tcPr>
            <w:tcW w:w="5103" w:type="dxa"/>
            <w:tcBorders>
              <w:top w:val="single" w:sz="4" w:space="0" w:color="BDD6EE" w:themeColor="accent1" w:themeTint="66"/>
              <w:left w:val="nil"/>
              <w:bottom w:val="single" w:sz="4" w:space="0" w:color="BDD6EE" w:themeColor="accent1" w:themeTint="66"/>
              <w:right w:val="nil"/>
            </w:tcBorders>
            <w:vAlign w:val="bottom"/>
          </w:tcPr>
          <w:p w14:paraId="781823E0" w14:textId="7C16D28C" w:rsidR="00EF23D0" w:rsidRPr="00237760" w:rsidRDefault="00293E80"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Nowe funduszy Unii Europejskiej w okresie</w:t>
            </w:r>
            <w:r w:rsidR="00D707B7" w:rsidRPr="00237760">
              <w:rPr>
                <w:rFonts w:ascii="Arial" w:hAnsi="Arial" w:cs="Arial"/>
                <w:color w:val="auto"/>
                <w:sz w:val="24"/>
                <w:szCs w:val="24"/>
              </w:rPr>
              <w:t xml:space="preserve"> </w:t>
            </w:r>
            <w:r w:rsidRPr="00237760">
              <w:rPr>
                <w:rFonts w:ascii="Arial" w:hAnsi="Arial" w:cs="Arial"/>
                <w:color w:val="auto"/>
                <w:sz w:val="24"/>
                <w:szCs w:val="24"/>
              </w:rPr>
              <w:t>programowania 2021-2027</w:t>
            </w:r>
          </w:p>
        </w:tc>
        <w:tc>
          <w:tcPr>
            <w:tcW w:w="3969" w:type="dxa"/>
            <w:tcBorders>
              <w:top w:val="single" w:sz="4" w:space="0" w:color="BDD6EE" w:themeColor="accent1" w:themeTint="66"/>
              <w:left w:val="nil"/>
              <w:bottom w:val="single" w:sz="4" w:space="0" w:color="BDD6EE" w:themeColor="accent1" w:themeTint="66"/>
              <w:right w:val="nil"/>
            </w:tcBorders>
          </w:tcPr>
          <w:p w14:paraId="5125359F" w14:textId="4FA954D9" w:rsidR="00EF23D0" w:rsidRPr="00237760" w:rsidRDefault="002E6E86"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Wszystkie cele</w:t>
            </w:r>
          </w:p>
        </w:tc>
      </w:tr>
      <w:tr w:rsidR="00237760" w:rsidRPr="00237760" w14:paraId="0E413740" w14:textId="77777777" w:rsidTr="00A0173B">
        <w:trPr>
          <w:trHeight w:val="151"/>
        </w:trPr>
        <w:tc>
          <w:tcPr>
            <w:tcW w:w="5103" w:type="dxa"/>
            <w:tcBorders>
              <w:top w:val="single" w:sz="4" w:space="0" w:color="BDD6EE" w:themeColor="accent1" w:themeTint="66"/>
              <w:left w:val="nil"/>
              <w:bottom w:val="single" w:sz="4" w:space="0" w:color="BDD6EE" w:themeColor="accent1" w:themeTint="66"/>
              <w:right w:val="nil"/>
            </w:tcBorders>
            <w:vAlign w:val="bottom"/>
          </w:tcPr>
          <w:p w14:paraId="2AF53408" w14:textId="133E341A" w:rsidR="00293E80" w:rsidRPr="00237760" w:rsidRDefault="00293E80"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Rozwój infrastruktury drogowej</w:t>
            </w:r>
          </w:p>
        </w:tc>
        <w:tc>
          <w:tcPr>
            <w:tcW w:w="3969" w:type="dxa"/>
            <w:tcBorders>
              <w:top w:val="single" w:sz="4" w:space="0" w:color="BDD6EE" w:themeColor="accent1" w:themeTint="66"/>
              <w:left w:val="nil"/>
              <w:bottom w:val="single" w:sz="4" w:space="0" w:color="BDD6EE" w:themeColor="accent1" w:themeTint="66"/>
              <w:right w:val="nil"/>
            </w:tcBorders>
          </w:tcPr>
          <w:p w14:paraId="1BD9D15A" w14:textId="21DDC852" w:rsidR="00293E80" w:rsidRPr="00237760" w:rsidRDefault="002E6E86"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Wszystkie cele</w:t>
            </w:r>
          </w:p>
        </w:tc>
      </w:tr>
    </w:tbl>
    <w:tbl>
      <w:tblPr>
        <w:tblStyle w:val="Tabela-Siatka31"/>
        <w:tblW w:w="907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9075"/>
      </w:tblGrid>
      <w:tr w:rsidR="00237760" w:rsidRPr="00237760" w14:paraId="5BF25749" w14:textId="77777777" w:rsidTr="005067E3">
        <w:trPr>
          <w:trHeight w:val="151"/>
        </w:trPr>
        <w:tc>
          <w:tcPr>
            <w:tcW w:w="9075" w:type="dxa"/>
            <w:shd w:val="clear" w:color="auto" w:fill="auto"/>
            <w:tcMar>
              <w:top w:w="0" w:type="dxa"/>
              <w:left w:w="28" w:type="dxa"/>
              <w:bottom w:w="0" w:type="dxa"/>
              <w:right w:w="28" w:type="dxa"/>
            </w:tcMar>
            <w:vAlign w:val="center"/>
            <w:hideMark/>
          </w:tcPr>
          <w:p w14:paraId="78291AB4" w14:textId="47967FC1" w:rsidR="002B0BE1" w:rsidRPr="00237760" w:rsidRDefault="005638CE" w:rsidP="009367B4">
            <w:pPr>
              <w:spacing w:after="0" w:line="240" w:lineRule="auto"/>
              <w:ind w:left="57" w:right="57"/>
              <w:jc w:val="left"/>
              <w:rPr>
                <w:rFonts w:ascii="Arial" w:hAnsi="Arial" w:cs="Arial"/>
                <w:b/>
                <w:bCs/>
                <w:color w:val="auto"/>
                <w:sz w:val="24"/>
                <w:szCs w:val="24"/>
              </w:rPr>
            </w:pPr>
            <w:r w:rsidRPr="00237760">
              <w:rPr>
                <w:rFonts w:ascii="Arial" w:hAnsi="Arial" w:cs="Arial"/>
                <w:b/>
                <w:bCs/>
                <w:color w:val="auto"/>
                <w:sz w:val="24"/>
                <w:szCs w:val="24"/>
              </w:rPr>
              <w:t>Strategia Rozwoju Gminy Solina do roku 2025</w:t>
            </w:r>
          </w:p>
        </w:tc>
      </w:tr>
    </w:tbl>
    <w:tbl>
      <w:tblPr>
        <w:tblStyle w:val="Tabela-Siatka52611"/>
        <w:tblW w:w="9075" w:type="dxa"/>
        <w:tblInd w:w="0"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57" w:type="dxa"/>
          <w:right w:w="57" w:type="dxa"/>
        </w:tblCellMar>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9075"/>
      </w:tblGrid>
      <w:tr w:rsidR="00237760" w:rsidRPr="00237760" w14:paraId="54ACE0E2" w14:textId="77777777" w:rsidTr="005067E3">
        <w:trPr>
          <w:trHeight w:val="151"/>
        </w:trPr>
        <w:tc>
          <w:tcPr>
            <w:tcW w:w="9075"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53DCB231" w14:textId="5EE11A22" w:rsidR="00BD13A3" w:rsidRPr="00237760" w:rsidRDefault="00BD13A3"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SŁABOŚCI</w:t>
            </w:r>
          </w:p>
        </w:tc>
      </w:tr>
    </w:tbl>
    <w:tbl>
      <w:tblPr>
        <w:tblStyle w:val="Tabela-Siatka5"/>
        <w:tblW w:w="9072" w:type="dxa"/>
        <w:tblInd w:w="0" w:type="dxa"/>
        <w:tblLayout w:type="fixed"/>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5103"/>
        <w:gridCol w:w="3969"/>
      </w:tblGrid>
      <w:tr w:rsidR="00237760" w:rsidRPr="00237760" w14:paraId="52783963" w14:textId="77777777" w:rsidTr="006B1EFF">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045D222A" w14:textId="406A0B91" w:rsidR="006F1F3A" w:rsidRPr="00237760" w:rsidRDefault="00303052"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Zły stan dróg</w:t>
            </w:r>
            <w:r w:rsidR="00BD13A3" w:rsidRPr="00237760">
              <w:rPr>
                <w:rFonts w:ascii="Arial" w:hAnsi="Arial" w:cs="Arial"/>
                <w:color w:val="auto"/>
                <w:sz w:val="24"/>
                <w:szCs w:val="24"/>
              </w:rPr>
              <w:t xml:space="preserve">  </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03F4694C" w14:textId="4BB34808" w:rsidR="006F1F3A" w:rsidRPr="00237760" w:rsidRDefault="00D606B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Wszystkie cele</w:t>
            </w:r>
          </w:p>
        </w:tc>
      </w:tr>
      <w:tr w:rsidR="00237760" w:rsidRPr="00237760" w14:paraId="37B094A1" w14:textId="77777777" w:rsidTr="006B1EFF">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3E3152B0" w14:textId="2BD8F751" w:rsidR="006F1F3A" w:rsidRPr="00237760" w:rsidRDefault="00303052"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Słabo rozwinięty układ sieci drogowej</w:t>
            </w:r>
            <w:r w:rsidR="00BD13A3" w:rsidRPr="00237760">
              <w:rPr>
                <w:rFonts w:ascii="Arial" w:hAnsi="Arial" w:cs="Arial"/>
                <w:color w:val="auto"/>
                <w:sz w:val="24"/>
                <w:szCs w:val="24"/>
              </w:rPr>
              <w:t xml:space="preserve">  </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053E0774" w14:textId="1BE62A54" w:rsidR="006F1F3A" w:rsidRPr="00237760" w:rsidRDefault="009A4F6F"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Wszystkie cele</w:t>
            </w:r>
          </w:p>
        </w:tc>
      </w:tr>
      <w:tr w:rsidR="00237760" w:rsidRPr="00237760" w14:paraId="75315A5F" w14:textId="77777777" w:rsidTr="006B1EFF">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205D8740" w14:textId="42521430" w:rsidR="006F1F3A" w:rsidRPr="00237760" w:rsidRDefault="00303052"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Zły stan drogi wojewódzkiej nr 894</w:t>
            </w:r>
            <w:r w:rsidR="00BD13A3" w:rsidRPr="00237760">
              <w:rPr>
                <w:rFonts w:ascii="Arial" w:hAnsi="Arial" w:cs="Arial"/>
                <w:color w:val="auto"/>
                <w:sz w:val="24"/>
                <w:szCs w:val="24"/>
              </w:rPr>
              <w:t xml:space="preserve">  </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7C29CB9D" w14:textId="1BACF422" w:rsidR="007F00E2" w:rsidRPr="00237760" w:rsidRDefault="007F00E2"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Potencjalnie:</w:t>
            </w:r>
          </w:p>
          <w:p w14:paraId="551E7F43" w14:textId="77777777" w:rsidR="007F00E2" w:rsidRPr="00237760" w:rsidRDefault="007F00E2"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3F1A7618" w14:textId="6EE768C8" w:rsidR="006F1F3A" w:rsidRPr="00237760" w:rsidRDefault="007F00E2"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tc>
      </w:tr>
    </w:tbl>
    <w:tbl>
      <w:tblPr>
        <w:tblStyle w:val="Tabela-Siatka52611"/>
        <w:tblW w:w="9075" w:type="dxa"/>
        <w:tblInd w:w="0"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57" w:type="dxa"/>
          <w:right w:w="57" w:type="dxa"/>
        </w:tblCellMar>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9075"/>
      </w:tblGrid>
      <w:tr w:rsidR="00237760" w:rsidRPr="00237760" w14:paraId="18D89168" w14:textId="77777777" w:rsidTr="005067E3">
        <w:trPr>
          <w:trHeight w:val="151"/>
        </w:trPr>
        <w:tc>
          <w:tcPr>
            <w:tcW w:w="9075"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6CF54803" w14:textId="5E972757" w:rsidR="00A314E0" w:rsidRPr="00237760" w:rsidRDefault="00A314E0"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SZANSE</w:t>
            </w:r>
          </w:p>
        </w:tc>
      </w:tr>
    </w:tbl>
    <w:tbl>
      <w:tblPr>
        <w:tblStyle w:val="Tabela-Siatka5"/>
        <w:tblW w:w="9072" w:type="dxa"/>
        <w:tblInd w:w="0" w:type="dxa"/>
        <w:tblLayout w:type="fixed"/>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5103"/>
        <w:gridCol w:w="3969"/>
      </w:tblGrid>
      <w:tr w:rsidR="00237760" w:rsidRPr="00237760" w14:paraId="09665A70" w14:textId="77777777" w:rsidTr="00F67B08">
        <w:trPr>
          <w:trHeight w:val="151"/>
        </w:trPr>
        <w:tc>
          <w:tcPr>
            <w:tcW w:w="5103" w:type="dxa"/>
            <w:tcBorders>
              <w:top w:val="single" w:sz="4" w:space="0" w:color="BDD6EE" w:themeColor="accent1" w:themeTint="66"/>
              <w:left w:val="nil"/>
              <w:bottom w:val="single" w:sz="4" w:space="0" w:color="BDD6EE" w:themeColor="accent1" w:themeTint="66"/>
              <w:right w:val="nil"/>
            </w:tcBorders>
            <w:vAlign w:val="bottom"/>
          </w:tcPr>
          <w:p w14:paraId="1D1A452C" w14:textId="7DF058EF" w:rsidR="00EC085A" w:rsidRPr="00237760" w:rsidRDefault="00BD13A3"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Dostępne i planowane środki dotacyjne na</w:t>
            </w:r>
            <w:r w:rsidR="00872DFE" w:rsidRPr="00237760">
              <w:rPr>
                <w:rFonts w:ascii="Arial" w:hAnsi="Arial" w:cs="Arial"/>
                <w:color w:val="auto"/>
                <w:sz w:val="24"/>
                <w:szCs w:val="24"/>
              </w:rPr>
              <w:t xml:space="preserve"> </w:t>
            </w:r>
            <w:r w:rsidR="00EC085A" w:rsidRPr="00237760">
              <w:rPr>
                <w:rFonts w:ascii="Arial" w:hAnsi="Arial" w:cs="Arial"/>
                <w:color w:val="auto"/>
                <w:sz w:val="24"/>
                <w:szCs w:val="24"/>
              </w:rPr>
              <w:t>rozwój infrastruktury</w:t>
            </w:r>
            <w:r w:rsidRPr="00237760">
              <w:rPr>
                <w:rFonts w:ascii="Arial" w:hAnsi="Arial" w:cs="Arial"/>
                <w:color w:val="auto"/>
                <w:sz w:val="24"/>
                <w:szCs w:val="24"/>
              </w:rPr>
              <w:t xml:space="preserve">  </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13DC66F4" w14:textId="1FB20877" w:rsidR="00EC085A" w:rsidRPr="00237760" w:rsidRDefault="00514E16"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Wszystkie cele</w:t>
            </w:r>
          </w:p>
        </w:tc>
      </w:tr>
    </w:tbl>
    <w:tbl>
      <w:tblPr>
        <w:tblStyle w:val="Tabela-Siatka52611"/>
        <w:tblW w:w="9075" w:type="dxa"/>
        <w:tblInd w:w="0"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57" w:type="dxa"/>
          <w:right w:w="57" w:type="dxa"/>
        </w:tblCellMar>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9075"/>
      </w:tblGrid>
      <w:tr w:rsidR="00237760" w:rsidRPr="00237760" w14:paraId="4228BA81" w14:textId="77777777" w:rsidTr="005067E3">
        <w:trPr>
          <w:trHeight w:val="151"/>
        </w:trPr>
        <w:tc>
          <w:tcPr>
            <w:tcW w:w="9075"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2590E187" w14:textId="0077E8F8" w:rsidR="00DA3995" w:rsidRPr="00237760" w:rsidRDefault="00DA3995"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ZAGROŻENIA</w:t>
            </w:r>
          </w:p>
        </w:tc>
      </w:tr>
    </w:tbl>
    <w:tbl>
      <w:tblPr>
        <w:tblStyle w:val="Tabela-Siatka5"/>
        <w:tblW w:w="9072" w:type="dxa"/>
        <w:tblInd w:w="0" w:type="dxa"/>
        <w:tblLayout w:type="fixed"/>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5103"/>
        <w:gridCol w:w="3969"/>
      </w:tblGrid>
      <w:tr w:rsidR="00237760" w:rsidRPr="00237760" w14:paraId="105E7514" w14:textId="77777777" w:rsidTr="00A0173B">
        <w:trPr>
          <w:trHeight w:val="151"/>
        </w:trPr>
        <w:tc>
          <w:tcPr>
            <w:tcW w:w="5103" w:type="dxa"/>
            <w:tcBorders>
              <w:top w:val="single" w:sz="4" w:space="0" w:color="BDD6EE" w:themeColor="accent1" w:themeTint="66"/>
              <w:left w:val="nil"/>
              <w:bottom w:val="single" w:sz="4" w:space="0" w:color="BDD6EE" w:themeColor="accent1" w:themeTint="66"/>
              <w:right w:val="nil"/>
            </w:tcBorders>
            <w:vAlign w:val="bottom"/>
          </w:tcPr>
          <w:p w14:paraId="324F3D0A" w14:textId="7812E6E9" w:rsidR="00F64D29" w:rsidRPr="00237760" w:rsidRDefault="00BD13A3"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 xml:space="preserve">Zły stan dróg  </w:t>
            </w:r>
          </w:p>
        </w:tc>
        <w:tc>
          <w:tcPr>
            <w:tcW w:w="3969" w:type="dxa"/>
            <w:tcBorders>
              <w:top w:val="single" w:sz="4" w:space="0" w:color="BDD6EE" w:themeColor="accent1" w:themeTint="66"/>
              <w:left w:val="nil"/>
              <w:bottom w:val="single" w:sz="4" w:space="0" w:color="BDD6EE" w:themeColor="accent1" w:themeTint="66"/>
              <w:right w:val="nil"/>
            </w:tcBorders>
          </w:tcPr>
          <w:p w14:paraId="24E56B9F" w14:textId="5FEFAD4F" w:rsidR="00F64D29" w:rsidRPr="00237760" w:rsidRDefault="00D606B1"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W</w:t>
            </w:r>
            <w:r w:rsidR="00681617" w:rsidRPr="00237760">
              <w:rPr>
                <w:rFonts w:ascii="Arial" w:hAnsi="Arial" w:cs="Arial"/>
                <w:color w:val="auto"/>
                <w:sz w:val="24"/>
                <w:szCs w:val="24"/>
              </w:rPr>
              <w:t>szystkie cele</w:t>
            </w:r>
          </w:p>
        </w:tc>
      </w:tr>
      <w:tr w:rsidR="00237760" w:rsidRPr="00237760" w14:paraId="516326F4" w14:textId="77777777" w:rsidTr="00F67B08">
        <w:trPr>
          <w:trHeight w:val="151"/>
        </w:trPr>
        <w:tc>
          <w:tcPr>
            <w:tcW w:w="5103" w:type="dxa"/>
            <w:tcBorders>
              <w:top w:val="single" w:sz="4" w:space="0" w:color="BDD6EE" w:themeColor="accent1" w:themeTint="66"/>
              <w:left w:val="nil"/>
              <w:bottom w:val="single" w:sz="4" w:space="0" w:color="BDD6EE" w:themeColor="accent1" w:themeTint="66"/>
              <w:right w:val="nil"/>
            </w:tcBorders>
            <w:vAlign w:val="bottom"/>
          </w:tcPr>
          <w:p w14:paraId="1531EAF1" w14:textId="693E794F" w:rsidR="00F64D29" w:rsidRPr="00237760" w:rsidRDefault="00BD13A3"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 xml:space="preserve">Słabo rozwinięty układ sieci drogowej  </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370EE490" w14:textId="0BA03F0B" w:rsidR="00F64D29" w:rsidRPr="00237760" w:rsidRDefault="009E2BCB"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Wszystkie cele</w:t>
            </w:r>
          </w:p>
        </w:tc>
      </w:tr>
    </w:tbl>
    <w:tbl>
      <w:tblPr>
        <w:tblStyle w:val="Tabela-Siatka31"/>
        <w:tblW w:w="907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9075"/>
      </w:tblGrid>
      <w:tr w:rsidR="00237760" w:rsidRPr="00237760" w14:paraId="428CFEE3" w14:textId="77777777" w:rsidTr="005067E3">
        <w:trPr>
          <w:trHeight w:val="151"/>
        </w:trPr>
        <w:tc>
          <w:tcPr>
            <w:tcW w:w="9075" w:type="dxa"/>
            <w:shd w:val="clear" w:color="auto" w:fill="auto"/>
            <w:tcMar>
              <w:top w:w="0" w:type="dxa"/>
              <w:left w:w="28" w:type="dxa"/>
              <w:bottom w:w="0" w:type="dxa"/>
              <w:right w:w="28" w:type="dxa"/>
            </w:tcMar>
            <w:vAlign w:val="center"/>
            <w:hideMark/>
          </w:tcPr>
          <w:p w14:paraId="387D8611" w14:textId="06BBA082" w:rsidR="00323A13" w:rsidRPr="00237760" w:rsidRDefault="000F3A3D" w:rsidP="009367B4">
            <w:pPr>
              <w:spacing w:after="0" w:line="240" w:lineRule="auto"/>
              <w:ind w:left="57" w:right="57"/>
              <w:jc w:val="left"/>
              <w:rPr>
                <w:rFonts w:ascii="Arial" w:hAnsi="Arial" w:cs="Arial"/>
                <w:b/>
                <w:bCs/>
                <w:color w:val="auto"/>
                <w:sz w:val="24"/>
                <w:szCs w:val="24"/>
              </w:rPr>
            </w:pPr>
            <w:r w:rsidRPr="00237760">
              <w:rPr>
                <w:rFonts w:ascii="Arial" w:hAnsi="Arial" w:cs="Arial"/>
                <w:b/>
                <w:bCs/>
                <w:color w:val="auto"/>
                <w:sz w:val="24"/>
                <w:szCs w:val="24"/>
              </w:rPr>
              <w:t xml:space="preserve">Strategia Rozwoju Gminy Pruchnik </w:t>
            </w:r>
            <w:r w:rsidR="00352E1E" w:rsidRPr="00237760">
              <w:rPr>
                <w:rFonts w:ascii="Arial" w:hAnsi="Arial" w:cs="Arial"/>
                <w:b/>
                <w:bCs/>
                <w:color w:val="auto"/>
                <w:sz w:val="24"/>
                <w:szCs w:val="24"/>
              </w:rPr>
              <w:t xml:space="preserve">na lata </w:t>
            </w:r>
            <w:r w:rsidRPr="00237760">
              <w:rPr>
                <w:rFonts w:ascii="Arial" w:hAnsi="Arial" w:cs="Arial"/>
                <w:b/>
                <w:bCs/>
                <w:color w:val="auto"/>
                <w:sz w:val="24"/>
                <w:szCs w:val="24"/>
              </w:rPr>
              <w:t>2007-2022</w:t>
            </w:r>
          </w:p>
        </w:tc>
      </w:tr>
    </w:tbl>
    <w:tbl>
      <w:tblPr>
        <w:tblStyle w:val="Tabela-Siatka52611"/>
        <w:tblW w:w="9075" w:type="dxa"/>
        <w:tblInd w:w="0"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57" w:type="dxa"/>
          <w:right w:w="57" w:type="dxa"/>
        </w:tblCellMar>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9075"/>
      </w:tblGrid>
      <w:tr w:rsidR="00237760" w:rsidRPr="00237760" w14:paraId="10B84540" w14:textId="77777777" w:rsidTr="005067E3">
        <w:trPr>
          <w:trHeight w:val="151"/>
        </w:trPr>
        <w:tc>
          <w:tcPr>
            <w:tcW w:w="9075"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5FF33800" w14:textId="1F6E6C58" w:rsidR="002D6BE8" w:rsidRPr="00237760" w:rsidRDefault="002D6BE8"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SŁABOŚCI</w:t>
            </w:r>
          </w:p>
        </w:tc>
      </w:tr>
    </w:tbl>
    <w:tbl>
      <w:tblPr>
        <w:tblStyle w:val="Tabela-Siatka5"/>
        <w:tblW w:w="9072" w:type="dxa"/>
        <w:tblInd w:w="0" w:type="dxa"/>
        <w:tblLayout w:type="fixed"/>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5103"/>
        <w:gridCol w:w="3969"/>
      </w:tblGrid>
      <w:tr w:rsidR="00237760" w:rsidRPr="00237760" w14:paraId="0F669075" w14:textId="77777777" w:rsidTr="00F67B08">
        <w:trPr>
          <w:trHeight w:val="151"/>
        </w:trPr>
        <w:tc>
          <w:tcPr>
            <w:tcW w:w="5103" w:type="dxa"/>
            <w:tcBorders>
              <w:top w:val="single" w:sz="4" w:space="0" w:color="BDD6EE" w:themeColor="accent1" w:themeTint="66"/>
              <w:left w:val="nil"/>
              <w:bottom w:val="single" w:sz="4" w:space="0" w:color="BDD6EE" w:themeColor="accent1" w:themeTint="66"/>
              <w:right w:val="nil"/>
            </w:tcBorders>
            <w:vAlign w:val="bottom"/>
          </w:tcPr>
          <w:p w14:paraId="37735F8B" w14:textId="47F30C80" w:rsidR="00EA1DCA" w:rsidRPr="00237760" w:rsidRDefault="00EA1DCA"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Konieczność posiadania wkładu własnego przy</w:t>
            </w:r>
            <w:r w:rsidR="00887023" w:rsidRPr="00237760">
              <w:rPr>
                <w:rFonts w:ascii="Arial" w:hAnsi="Arial" w:cs="Arial"/>
                <w:color w:val="auto"/>
                <w:sz w:val="24"/>
                <w:szCs w:val="24"/>
              </w:rPr>
              <w:t xml:space="preserve"> </w:t>
            </w:r>
            <w:r w:rsidRPr="00237760">
              <w:rPr>
                <w:rFonts w:ascii="Arial" w:hAnsi="Arial" w:cs="Arial"/>
                <w:color w:val="auto"/>
                <w:sz w:val="24"/>
                <w:szCs w:val="24"/>
              </w:rPr>
              <w:t>realizacji projektów z wykorzystaniem</w:t>
            </w:r>
            <w:r w:rsidR="00887023" w:rsidRPr="00237760">
              <w:rPr>
                <w:rFonts w:ascii="Arial" w:hAnsi="Arial" w:cs="Arial"/>
                <w:color w:val="auto"/>
                <w:sz w:val="24"/>
                <w:szCs w:val="24"/>
              </w:rPr>
              <w:t xml:space="preserve"> </w:t>
            </w:r>
            <w:r w:rsidRPr="00237760">
              <w:rPr>
                <w:rFonts w:ascii="Arial" w:hAnsi="Arial" w:cs="Arial"/>
                <w:color w:val="auto"/>
                <w:sz w:val="24"/>
                <w:szCs w:val="24"/>
              </w:rPr>
              <w:t>środków z funduszy krajowych i zagranicznych</w:t>
            </w:r>
            <w:r w:rsidR="00887023" w:rsidRPr="00237760">
              <w:rPr>
                <w:rFonts w:ascii="Arial" w:hAnsi="Arial" w:cs="Arial"/>
                <w:color w:val="auto"/>
                <w:sz w:val="24"/>
                <w:szCs w:val="24"/>
              </w:rPr>
              <w:t xml:space="preserve"> </w:t>
            </w:r>
            <w:r w:rsidRPr="00237760">
              <w:rPr>
                <w:rFonts w:ascii="Arial" w:hAnsi="Arial" w:cs="Arial"/>
                <w:color w:val="auto"/>
                <w:sz w:val="24"/>
                <w:szCs w:val="24"/>
              </w:rPr>
              <w:t>(posiadanych przez samorządy</w:t>
            </w:r>
            <w:r w:rsidR="00887023" w:rsidRPr="00237760">
              <w:rPr>
                <w:rFonts w:ascii="Arial" w:hAnsi="Arial" w:cs="Arial"/>
                <w:color w:val="auto"/>
                <w:sz w:val="24"/>
                <w:szCs w:val="24"/>
              </w:rPr>
              <w:t xml:space="preserve"> </w:t>
            </w:r>
            <w:r w:rsidRPr="00237760">
              <w:rPr>
                <w:rFonts w:ascii="Arial" w:hAnsi="Arial" w:cs="Arial"/>
                <w:color w:val="auto"/>
                <w:sz w:val="24"/>
                <w:szCs w:val="24"/>
              </w:rPr>
              <w:t>przedsiębiorców organizacje)</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60253B73" w14:textId="20B0189F" w:rsidR="00EA1DCA" w:rsidRPr="00237760" w:rsidRDefault="00D74BE6"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Poruszone w diagnozie (Rozwój transportu w województwie podkarpackim w perspektywie do 2030 roku. Raport końcowy)</w:t>
            </w:r>
          </w:p>
        </w:tc>
      </w:tr>
      <w:tr w:rsidR="00237760" w:rsidRPr="00237760" w14:paraId="7A1CC2CB" w14:textId="77777777" w:rsidTr="00F67B08">
        <w:trPr>
          <w:trHeight w:val="151"/>
        </w:trPr>
        <w:tc>
          <w:tcPr>
            <w:tcW w:w="5103" w:type="dxa"/>
            <w:tcBorders>
              <w:top w:val="single" w:sz="4" w:space="0" w:color="BDD6EE" w:themeColor="accent1" w:themeTint="66"/>
              <w:left w:val="nil"/>
              <w:bottom w:val="single" w:sz="4" w:space="0" w:color="BDD6EE" w:themeColor="accent1" w:themeTint="66"/>
              <w:right w:val="nil"/>
            </w:tcBorders>
            <w:vAlign w:val="bottom"/>
          </w:tcPr>
          <w:p w14:paraId="6CC09EA2" w14:textId="1CB0AD57" w:rsidR="00EA1DCA" w:rsidRPr="00237760" w:rsidRDefault="00EA1DCA"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Słabo rozwinięta baza turystyczna m.in. brak</w:t>
            </w:r>
            <w:r w:rsidR="00887023" w:rsidRPr="00237760">
              <w:rPr>
                <w:rFonts w:ascii="Arial" w:hAnsi="Arial" w:cs="Arial"/>
                <w:color w:val="auto"/>
                <w:sz w:val="24"/>
                <w:szCs w:val="24"/>
              </w:rPr>
              <w:t xml:space="preserve"> </w:t>
            </w:r>
            <w:r w:rsidRPr="00237760">
              <w:rPr>
                <w:rFonts w:ascii="Arial" w:hAnsi="Arial" w:cs="Arial"/>
                <w:color w:val="auto"/>
                <w:sz w:val="24"/>
                <w:szCs w:val="24"/>
              </w:rPr>
              <w:t>oznaczeń tras turystycznych rowerowych</w:t>
            </w:r>
            <w:r w:rsidR="00887023" w:rsidRPr="00237760">
              <w:rPr>
                <w:rFonts w:ascii="Arial" w:hAnsi="Arial" w:cs="Arial"/>
                <w:color w:val="auto"/>
                <w:sz w:val="24"/>
                <w:szCs w:val="24"/>
              </w:rPr>
              <w:t xml:space="preserve"> </w:t>
            </w:r>
            <w:r w:rsidRPr="00237760">
              <w:rPr>
                <w:rFonts w:ascii="Arial" w:hAnsi="Arial" w:cs="Arial"/>
                <w:color w:val="auto"/>
                <w:sz w:val="24"/>
                <w:szCs w:val="24"/>
              </w:rPr>
              <w:t>i pieszych</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3DAF54C1" w14:textId="77777777" w:rsidR="00FD48CD" w:rsidRPr="00237760" w:rsidRDefault="00FD48C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3492ADA8" w14:textId="0A533E6B" w:rsidR="00EA1DCA" w:rsidRPr="00237760" w:rsidRDefault="00FD48CD"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tc>
      </w:tr>
      <w:tr w:rsidR="00237760" w:rsidRPr="00237760" w14:paraId="00653F32" w14:textId="77777777" w:rsidTr="00FE1FD0">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032BD36C" w14:textId="3E1211C9" w:rsidR="00EA1DCA" w:rsidRPr="00237760" w:rsidRDefault="00EA1DCA"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Słaba dostępność komunikacyjna gminy</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115A51B9" w14:textId="77777777" w:rsidR="00FC273A" w:rsidRPr="00237760" w:rsidRDefault="00FC273A"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40692508" w14:textId="77777777" w:rsidR="00900BDA" w:rsidRPr="00237760" w:rsidRDefault="00FC273A"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r w:rsidR="00900BDA" w:rsidRPr="00237760">
              <w:rPr>
                <w:rFonts w:ascii="Arial" w:hAnsi="Arial" w:cs="Arial"/>
                <w:color w:val="auto"/>
                <w:sz w:val="24"/>
                <w:szCs w:val="24"/>
              </w:rPr>
              <w:t xml:space="preserve"> </w:t>
            </w:r>
          </w:p>
          <w:p w14:paraId="297F0030" w14:textId="26AC709E" w:rsidR="00900BDA" w:rsidRPr="00237760" w:rsidRDefault="00900BDA"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 xml:space="preserve">Cel horyzontalny 2. Wzmocnienie rozwiązań multimodalnych </w:t>
            </w:r>
          </w:p>
          <w:p w14:paraId="435A75C8" w14:textId="0836FFAB" w:rsidR="00EA1DCA" w:rsidRPr="00237760" w:rsidRDefault="00900BDA"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112DFC49" w14:textId="77777777" w:rsidTr="006B1EFF">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2BB30370" w14:textId="67C146FF" w:rsidR="00D41726" w:rsidRPr="00237760" w:rsidRDefault="00D41726"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Zły stan nawierzchni dróg gminnych i powiatowych</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0D97BCAD" w14:textId="79D8CEE8" w:rsidR="00D41726" w:rsidRPr="00237760" w:rsidRDefault="00FE564E"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tc>
      </w:tr>
      <w:tr w:rsidR="00237760" w:rsidRPr="00237760" w14:paraId="779B6C68" w14:textId="77777777" w:rsidTr="006B1EFF">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2C344248" w14:textId="164E97C9" w:rsidR="00D41726" w:rsidRPr="00237760" w:rsidRDefault="00D41726"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Niedostateczne przystosowanie drogi wojewódzkiej</w:t>
            </w:r>
            <w:r w:rsidR="00887023" w:rsidRPr="00237760">
              <w:rPr>
                <w:rFonts w:ascii="Arial" w:hAnsi="Arial" w:cs="Arial"/>
                <w:color w:val="auto"/>
                <w:sz w:val="24"/>
                <w:szCs w:val="24"/>
              </w:rPr>
              <w:t xml:space="preserve"> </w:t>
            </w:r>
            <w:r w:rsidRPr="00237760">
              <w:rPr>
                <w:rFonts w:ascii="Arial" w:hAnsi="Arial" w:cs="Arial"/>
                <w:color w:val="auto"/>
                <w:sz w:val="24"/>
                <w:szCs w:val="24"/>
              </w:rPr>
              <w:t xml:space="preserve">nr 881 do pełnienia funkcji </w:t>
            </w:r>
            <w:r w:rsidRPr="00237760">
              <w:rPr>
                <w:rFonts w:ascii="Arial" w:hAnsi="Arial" w:cs="Arial"/>
                <w:color w:val="auto"/>
                <w:sz w:val="24"/>
                <w:szCs w:val="24"/>
              </w:rPr>
              <w:lastRenderedPageBreak/>
              <w:t>bezkolizyjnego ruchu</w:t>
            </w:r>
            <w:r w:rsidR="00887023" w:rsidRPr="00237760">
              <w:rPr>
                <w:rFonts w:ascii="Arial" w:hAnsi="Arial" w:cs="Arial"/>
                <w:color w:val="auto"/>
                <w:sz w:val="24"/>
                <w:szCs w:val="24"/>
              </w:rPr>
              <w:t xml:space="preserve"> </w:t>
            </w:r>
            <w:r w:rsidRPr="00237760">
              <w:rPr>
                <w:rFonts w:ascii="Arial" w:hAnsi="Arial" w:cs="Arial"/>
                <w:color w:val="auto"/>
                <w:sz w:val="24"/>
                <w:szCs w:val="24"/>
              </w:rPr>
              <w:t>tranzytowego i lokalnego oraz jej bardzo zły stan</w:t>
            </w:r>
            <w:r w:rsidR="00887023" w:rsidRPr="00237760">
              <w:rPr>
                <w:rFonts w:ascii="Arial" w:hAnsi="Arial" w:cs="Arial"/>
                <w:color w:val="auto"/>
                <w:sz w:val="24"/>
                <w:szCs w:val="24"/>
              </w:rPr>
              <w:t xml:space="preserve"> </w:t>
            </w:r>
            <w:r w:rsidRPr="00237760">
              <w:rPr>
                <w:rFonts w:ascii="Arial" w:hAnsi="Arial" w:cs="Arial"/>
                <w:color w:val="auto"/>
                <w:sz w:val="24"/>
                <w:szCs w:val="24"/>
              </w:rPr>
              <w:t>techniczny</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6BDF7BC0" w14:textId="0302247A" w:rsidR="00D41726" w:rsidRPr="00237760" w:rsidRDefault="00CC3183"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lastRenderedPageBreak/>
              <w:t>Cel podstawowy 2. Transportowa spójność wewnętrzna</w:t>
            </w:r>
          </w:p>
        </w:tc>
      </w:tr>
      <w:tr w:rsidR="00237760" w:rsidRPr="00237760" w14:paraId="050DEEC5" w14:textId="77777777" w:rsidTr="006B1EFF">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1CDA9C7B" w14:textId="41742AE3" w:rsidR="00D41726" w:rsidRPr="00237760" w:rsidRDefault="00D41726"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Niezadowalająca sieć komunikacji publicznej</w:t>
            </w:r>
            <w:r w:rsidR="00887023" w:rsidRPr="00237760">
              <w:rPr>
                <w:rFonts w:ascii="Arial" w:hAnsi="Arial" w:cs="Arial"/>
                <w:color w:val="auto"/>
                <w:sz w:val="24"/>
                <w:szCs w:val="24"/>
              </w:rPr>
              <w:t xml:space="preserve"> </w:t>
            </w:r>
            <w:r w:rsidRPr="00237760">
              <w:rPr>
                <w:rFonts w:ascii="Arial" w:hAnsi="Arial" w:cs="Arial"/>
                <w:color w:val="auto"/>
                <w:sz w:val="24"/>
                <w:szCs w:val="24"/>
              </w:rPr>
              <w:t>i sprawnego połączenia</w:t>
            </w:r>
            <w:r w:rsidR="00887023" w:rsidRPr="00237760">
              <w:rPr>
                <w:rFonts w:ascii="Arial" w:hAnsi="Arial" w:cs="Arial"/>
                <w:color w:val="auto"/>
                <w:sz w:val="24"/>
                <w:szCs w:val="24"/>
              </w:rPr>
              <w:t xml:space="preserve"> </w:t>
            </w:r>
            <w:r w:rsidRPr="00237760">
              <w:rPr>
                <w:rFonts w:ascii="Arial" w:hAnsi="Arial" w:cs="Arial"/>
                <w:color w:val="auto"/>
                <w:sz w:val="24"/>
                <w:szCs w:val="24"/>
              </w:rPr>
              <w:t>głównymi węzłami komunikacyjnymi</w:t>
            </w:r>
            <w:r w:rsidR="00887023" w:rsidRPr="00237760">
              <w:rPr>
                <w:rFonts w:ascii="Arial" w:hAnsi="Arial" w:cs="Arial"/>
                <w:color w:val="auto"/>
                <w:sz w:val="24"/>
                <w:szCs w:val="24"/>
              </w:rPr>
              <w:t xml:space="preserve"> </w:t>
            </w:r>
            <w:r w:rsidRPr="00237760">
              <w:rPr>
                <w:rFonts w:ascii="Arial" w:hAnsi="Arial" w:cs="Arial"/>
                <w:color w:val="auto"/>
                <w:sz w:val="24"/>
                <w:szCs w:val="24"/>
              </w:rPr>
              <w:t>w województwie w szczególności w kierunku</w:t>
            </w:r>
            <w:r w:rsidR="00887023" w:rsidRPr="00237760">
              <w:rPr>
                <w:rFonts w:ascii="Arial" w:hAnsi="Arial" w:cs="Arial"/>
                <w:color w:val="auto"/>
                <w:sz w:val="24"/>
                <w:szCs w:val="24"/>
              </w:rPr>
              <w:t xml:space="preserve"> </w:t>
            </w:r>
            <w:r w:rsidRPr="00237760">
              <w:rPr>
                <w:rFonts w:ascii="Arial" w:hAnsi="Arial" w:cs="Arial"/>
                <w:color w:val="auto"/>
                <w:sz w:val="24"/>
                <w:szCs w:val="24"/>
              </w:rPr>
              <w:t>południowym z drogą wojewódzką nr 884</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38BA00B5" w14:textId="77777777" w:rsidR="00AB0E7E" w:rsidRPr="00237760" w:rsidRDefault="004C6E0A"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09B1CCE4" w14:textId="363A5C67" w:rsidR="00D41726" w:rsidRPr="00237760" w:rsidRDefault="004C6E0A"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6677BF1A" w14:textId="77777777" w:rsidTr="006B1EFF">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078C4D32" w14:textId="16C6717F" w:rsidR="00D41726" w:rsidRPr="00237760" w:rsidRDefault="00D41726"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Konieczność posiadania środków własnych przy</w:t>
            </w:r>
            <w:r w:rsidR="00887023" w:rsidRPr="00237760">
              <w:rPr>
                <w:rFonts w:ascii="Arial" w:hAnsi="Arial" w:cs="Arial"/>
                <w:color w:val="auto"/>
                <w:sz w:val="24"/>
                <w:szCs w:val="24"/>
              </w:rPr>
              <w:t xml:space="preserve"> </w:t>
            </w:r>
            <w:r w:rsidRPr="00237760">
              <w:rPr>
                <w:rFonts w:ascii="Arial" w:hAnsi="Arial" w:cs="Arial"/>
                <w:color w:val="auto"/>
                <w:sz w:val="24"/>
                <w:szCs w:val="24"/>
              </w:rPr>
              <w:t>realizacji projektów w dziedzinie infrastruktury</w:t>
            </w:r>
            <w:r w:rsidR="00887023" w:rsidRPr="00237760">
              <w:rPr>
                <w:rFonts w:ascii="Arial" w:hAnsi="Arial" w:cs="Arial"/>
                <w:color w:val="auto"/>
                <w:sz w:val="24"/>
                <w:szCs w:val="24"/>
              </w:rPr>
              <w:t xml:space="preserve"> </w:t>
            </w:r>
            <w:r w:rsidRPr="00237760">
              <w:rPr>
                <w:rFonts w:ascii="Arial" w:hAnsi="Arial" w:cs="Arial"/>
                <w:color w:val="auto"/>
                <w:sz w:val="24"/>
                <w:szCs w:val="24"/>
              </w:rPr>
              <w:t>z funduszy krajowych i zagranicznych w tym z UE</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2C7A2F5D" w14:textId="2E55DA1E" w:rsidR="00D41726" w:rsidRPr="00237760" w:rsidRDefault="003F1D86"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Poruszone w diagnozie (Rozwój transportu w województwie podkarpackim w perspektywie do 2030 roku. Raport końcowy)</w:t>
            </w:r>
          </w:p>
        </w:tc>
      </w:tr>
      <w:tr w:rsidR="00237760" w:rsidRPr="00237760" w14:paraId="443B5B7D" w14:textId="77777777" w:rsidTr="006B1EFF">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28BA82D4" w14:textId="43700F7A" w:rsidR="00D41726" w:rsidRPr="00237760" w:rsidRDefault="00D41726"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Brak chodników w znacznej części miejscowości</w:t>
            </w:r>
            <w:r w:rsidR="00887023" w:rsidRPr="00237760">
              <w:rPr>
                <w:rFonts w:ascii="Arial" w:hAnsi="Arial" w:cs="Arial"/>
                <w:color w:val="auto"/>
                <w:sz w:val="24"/>
                <w:szCs w:val="24"/>
              </w:rPr>
              <w:t xml:space="preserve"> </w:t>
            </w:r>
            <w:r w:rsidRPr="00237760">
              <w:rPr>
                <w:rFonts w:ascii="Arial" w:hAnsi="Arial" w:cs="Arial"/>
                <w:color w:val="auto"/>
                <w:sz w:val="24"/>
                <w:szCs w:val="24"/>
              </w:rPr>
              <w:t xml:space="preserve">gminy </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1639D8B5" w14:textId="7EAFC735" w:rsidR="00D41726" w:rsidRPr="00237760" w:rsidRDefault="00946457"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4. Poprawa bezpieczeństwa w transporcie</w:t>
            </w:r>
          </w:p>
        </w:tc>
      </w:tr>
      <w:tr w:rsidR="00237760" w:rsidRPr="00237760" w14:paraId="68B75AEC" w14:textId="77777777" w:rsidTr="006B1EFF">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29C08F99" w14:textId="1A7632B6" w:rsidR="00D41726" w:rsidRPr="00237760" w:rsidRDefault="00D41726"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Niewystarczająca ilość przygotowanych</w:t>
            </w:r>
            <w:r w:rsidR="00887023" w:rsidRPr="00237760">
              <w:rPr>
                <w:rFonts w:ascii="Arial" w:hAnsi="Arial" w:cs="Arial"/>
                <w:color w:val="auto"/>
                <w:sz w:val="24"/>
                <w:szCs w:val="24"/>
              </w:rPr>
              <w:t xml:space="preserve"> </w:t>
            </w:r>
            <w:r w:rsidRPr="00237760">
              <w:rPr>
                <w:rFonts w:ascii="Arial" w:hAnsi="Arial" w:cs="Arial"/>
                <w:color w:val="auto"/>
                <w:sz w:val="24"/>
                <w:szCs w:val="24"/>
              </w:rPr>
              <w:t>szlaków turystycznych rowerowych</w:t>
            </w:r>
            <w:r w:rsidR="00887023" w:rsidRPr="00237760">
              <w:rPr>
                <w:rFonts w:ascii="Arial" w:hAnsi="Arial" w:cs="Arial"/>
                <w:color w:val="auto"/>
                <w:sz w:val="24"/>
                <w:szCs w:val="24"/>
              </w:rPr>
              <w:t xml:space="preserve"> </w:t>
            </w:r>
            <w:r w:rsidRPr="00237760">
              <w:rPr>
                <w:rFonts w:ascii="Arial" w:hAnsi="Arial" w:cs="Arial"/>
                <w:color w:val="auto"/>
                <w:sz w:val="24"/>
                <w:szCs w:val="24"/>
              </w:rPr>
              <w:t>i pieszych</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0AC3F61A" w14:textId="77777777" w:rsidR="002D7FEA" w:rsidRPr="00237760" w:rsidRDefault="002D7FEA"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5B51B5C6" w14:textId="1AC4FC9E" w:rsidR="00D41726" w:rsidRPr="00237760" w:rsidRDefault="002D7FEA"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tc>
      </w:tr>
    </w:tbl>
    <w:tbl>
      <w:tblPr>
        <w:tblStyle w:val="Tabela-Siatka52611"/>
        <w:tblW w:w="9075" w:type="dxa"/>
        <w:tblInd w:w="0"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57" w:type="dxa"/>
          <w:right w:w="57" w:type="dxa"/>
        </w:tblCellMar>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9075"/>
      </w:tblGrid>
      <w:tr w:rsidR="00237760" w:rsidRPr="00237760" w14:paraId="215D1585" w14:textId="77777777" w:rsidTr="005067E3">
        <w:trPr>
          <w:trHeight w:val="151"/>
        </w:trPr>
        <w:tc>
          <w:tcPr>
            <w:tcW w:w="9075"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78885621" w14:textId="4FC39C1C" w:rsidR="006D409C" w:rsidRPr="00237760" w:rsidRDefault="006D409C"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SZANSE</w:t>
            </w:r>
          </w:p>
        </w:tc>
      </w:tr>
    </w:tbl>
    <w:tbl>
      <w:tblPr>
        <w:tblStyle w:val="Tabela-Siatka5"/>
        <w:tblW w:w="9072" w:type="dxa"/>
        <w:tblInd w:w="0" w:type="dxa"/>
        <w:tblLayout w:type="fixed"/>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5103"/>
        <w:gridCol w:w="3969"/>
      </w:tblGrid>
      <w:tr w:rsidR="00237760" w:rsidRPr="00237760" w14:paraId="476B80D8" w14:textId="77777777" w:rsidTr="006B1EFF">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2E380719" w14:textId="4AC1C71A" w:rsidR="00564C1E" w:rsidRPr="00237760" w:rsidRDefault="00564C1E"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Możliwość wykorzystania środków z funduszy</w:t>
            </w:r>
            <w:r w:rsidR="00887023" w:rsidRPr="00237760">
              <w:rPr>
                <w:rFonts w:ascii="Arial" w:hAnsi="Arial" w:cs="Arial"/>
                <w:color w:val="auto"/>
                <w:sz w:val="24"/>
                <w:szCs w:val="24"/>
              </w:rPr>
              <w:t xml:space="preserve"> </w:t>
            </w:r>
            <w:r w:rsidRPr="00237760">
              <w:rPr>
                <w:rFonts w:ascii="Arial" w:hAnsi="Arial" w:cs="Arial"/>
                <w:color w:val="auto"/>
                <w:sz w:val="24"/>
                <w:szCs w:val="24"/>
              </w:rPr>
              <w:t>krajowych i zagranicznych w tym z UE na</w:t>
            </w:r>
            <w:r w:rsidR="00887023" w:rsidRPr="00237760">
              <w:rPr>
                <w:rFonts w:ascii="Arial" w:hAnsi="Arial" w:cs="Arial"/>
                <w:color w:val="auto"/>
                <w:sz w:val="24"/>
                <w:szCs w:val="24"/>
              </w:rPr>
              <w:t xml:space="preserve"> </w:t>
            </w:r>
            <w:r w:rsidRPr="00237760">
              <w:rPr>
                <w:rFonts w:ascii="Arial" w:hAnsi="Arial" w:cs="Arial"/>
                <w:color w:val="auto"/>
                <w:sz w:val="24"/>
                <w:szCs w:val="24"/>
              </w:rPr>
              <w:t>współfinansowanie projektów gminy w zakresie</w:t>
            </w:r>
            <w:r w:rsidR="00887023" w:rsidRPr="00237760">
              <w:rPr>
                <w:rFonts w:ascii="Arial" w:hAnsi="Arial" w:cs="Arial"/>
                <w:color w:val="auto"/>
                <w:sz w:val="24"/>
                <w:szCs w:val="24"/>
              </w:rPr>
              <w:t xml:space="preserve"> </w:t>
            </w:r>
            <w:r w:rsidRPr="00237760">
              <w:rPr>
                <w:rFonts w:ascii="Arial" w:hAnsi="Arial" w:cs="Arial"/>
                <w:color w:val="auto"/>
                <w:sz w:val="24"/>
                <w:szCs w:val="24"/>
              </w:rPr>
              <w:t>infrastruktury</w:t>
            </w:r>
            <w:r w:rsidR="003C3D19" w:rsidRPr="00237760">
              <w:rPr>
                <w:rFonts w:ascii="Arial" w:hAnsi="Arial" w:cs="Arial"/>
                <w:color w:val="auto"/>
                <w:sz w:val="24"/>
                <w:szCs w:val="24"/>
              </w:rPr>
              <w:t>,</w:t>
            </w:r>
            <w:r w:rsidRPr="00237760">
              <w:rPr>
                <w:rFonts w:ascii="Arial" w:hAnsi="Arial" w:cs="Arial"/>
                <w:color w:val="auto"/>
                <w:sz w:val="24"/>
                <w:szCs w:val="24"/>
              </w:rPr>
              <w:t xml:space="preserve"> gospodarki</w:t>
            </w:r>
            <w:r w:rsidR="003C3D19" w:rsidRPr="00237760">
              <w:rPr>
                <w:rFonts w:ascii="Arial" w:hAnsi="Arial" w:cs="Arial"/>
                <w:color w:val="auto"/>
                <w:sz w:val="24"/>
                <w:szCs w:val="24"/>
              </w:rPr>
              <w:t>,</w:t>
            </w:r>
            <w:r w:rsidRPr="00237760">
              <w:rPr>
                <w:rFonts w:ascii="Arial" w:hAnsi="Arial" w:cs="Arial"/>
                <w:color w:val="auto"/>
                <w:sz w:val="24"/>
                <w:szCs w:val="24"/>
              </w:rPr>
              <w:t xml:space="preserve"> ekologii</w:t>
            </w:r>
            <w:r w:rsidR="003C3D19" w:rsidRPr="00237760">
              <w:rPr>
                <w:rFonts w:ascii="Arial" w:hAnsi="Arial" w:cs="Arial"/>
                <w:color w:val="auto"/>
                <w:sz w:val="24"/>
                <w:szCs w:val="24"/>
              </w:rPr>
              <w:t>,</w:t>
            </w:r>
            <w:r w:rsidRPr="00237760">
              <w:rPr>
                <w:rFonts w:ascii="Arial" w:hAnsi="Arial" w:cs="Arial"/>
                <w:color w:val="auto"/>
                <w:sz w:val="24"/>
                <w:szCs w:val="24"/>
              </w:rPr>
              <w:t xml:space="preserve"> edukacji</w:t>
            </w:r>
            <w:r w:rsidR="003C3D19" w:rsidRPr="00237760">
              <w:rPr>
                <w:rFonts w:ascii="Arial" w:hAnsi="Arial" w:cs="Arial"/>
                <w:color w:val="auto"/>
                <w:sz w:val="24"/>
                <w:szCs w:val="24"/>
              </w:rPr>
              <w:t>,</w:t>
            </w:r>
            <w:r w:rsidR="00887023" w:rsidRPr="00237760">
              <w:rPr>
                <w:rFonts w:ascii="Arial" w:hAnsi="Arial" w:cs="Arial"/>
                <w:color w:val="auto"/>
                <w:sz w:val="24"/>
                <w:szCs w:val="24"/>
              </w:rPr>
              <w:t xml:space="preserve"> </w:t>
            </w:r>
            <w:r w:rsidRPr="00237760">
              <w:rPr>
                <w:rFonts w:ascii="Arial" w:hAnsi="Arial" w:cs="Arial"/>
                <w:color w:val="auto"/>
                <w:sz w:val="24"/>
                <w:szCs w:val="24"/>
              </w:rPr>
              <w:t>turystyki</w:t>
            </w:r>
            <w:r w:rsidR="003C3D19" w:rsidRPr="00237760">
              <w:rPr>
                <w:rFonts w:ascii="Arial" w:hAnsi="Arial" w:cs="Arial"/>
                <w:color w:val="auto"/>
                <w:sz w:val="24"/>
                <w:szCs w:val="24"/>
              </w:rPr>
              <w:t>,</w:t>
            </w:r>
            <w:r w:rsidRPr="00237760">
              <w:rPr>
                <w:rFonts w:ascii="Arial" w:hAnsi="Arial" w:cs="Arial"/>
                <w:color w:val="auto"/>
                <w:sz w:val="24"/>
                <w:szCs w:val="24"/>
              </w:rPr>
              <w:t xml:space="preserve"> kultury oraz na działalność</w:t>
            </w:r>
            <w:r w:rsidR="00887023" w:rsidRPr="00237760">
              <w:rPr>
                <w:rFonts w:ascii="Arial" w:hAnsi="Arial" w:cs="Arial"/>
                <w:color w:val="auto"/>
                <w:sz w:val="24"/>
                <w:szCs w:val="24"/>
              </w:rPr>
              <w:t xml:space="preserve"> </w:t>
            </w:r>
            <w:r w:rsidRPr="00237760">
              <w:rPr>
                <w:rFonts w:ascii="Arial" w:hAnsi="Arial" w:cs="Arial"/>
                <w:color w:val="auto"/>
                <w:sz w:val="24"/>
                <w:szCs w:val="24"/>
              </w:rPr>
              <w:t>gospodarczą przez indywidualnych</w:t>
            </w:r>
            <w:r w:rsidR="00887023" w:rsidRPr="00237760">
              <w:rPr>
                <w:rFonts w:ascii="Arial" w:hAnsi="Arial" w:cs="Arial"/>
                <w:color w:val="auto"/>
                <w:sz w:val="24"/>
                <w:szCs w:val="24"/>
              </w:rPr>
              <w:t xml:space="preserve"> </w:t>
            </w:r>
            <w:r w:rsidRPr="00237760">
              <w:rPr>
                <w:rFonts w:ascii="Arial" w:hAnsi="Arial" w:cs="Arial"/>
                <w:color w:val="auto"/>
                <w:sz w:val="24"/>
                <w:szCs w:val="24"/>
              </w:rPr>
              <w:t>przedsiębiorców grupy producenckie na</w:t>
            </w:r>
            <w:r w:rsidR="00887023" w:rsidRPr="00237760">
              <w:rPr>
                <w:rFonts w:ascii="Arial" w:hAnsi="Arial" w:cs="Arial"/>
                <w:color w:val="auto"/>
                <w:sz w:val="24"/>
                <w:szCs w:val="24"/>
              </w:rPr>
              <w:t xml:space="preserve"> </w:t>
            </w:r>
            <w:r w:rsidRPr="00237760">
              <w:rPr>
                <w:rFonts w:ascii="Arial" w:hAnsi="Arial" w:cs="Arial"/>
                <w:color w:val="auto"/>
                <w:sz w:val="24"/>
                <w:szCs w:val="24"/>
              </w:rPr>
              <w:t xml:space="preserve">działanie organizacji pozarządowych </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36752725" w14:textId="69D89FC1" w:rsidR="00564C1E" w:rsidRPr="00237760" w:rsidRDefault="003C3D19"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Wszystkie cele (w zakresie transportu)</w:t>
            </w:r>
          </w:p>
        </w:tc>
      </w:tr>
      <w:tr w:rsidR="00237760" w:rsidRPr="00237760" w14:paraId="6FA90422" w14:textId="77777777" w:rsidTr="006B1EFF">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2BC8F503" w14:textId="4E03DEDA" w:rsidR="00564C1E" w:rsidRPr="00237760" w:rsidRDefault="00564C1E"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Przystosowanie drogi wojewódzkiej nr 881 do</w:t>
            </w:r>
            <w:r w:rsidR="00887023" w:rsidRPr="00237760">
              <w:rPr>
                <w:rFonts w:ascii="Arial" w:hAnsi="Arial" w:cs="Arial"/>
                <w:color w:val="auto"/>
                <w:sz w:val="24"/>
                <w:szCs w:val="24"/>
              </w:rPr>
              <w:t xml:space="preserve"> </w:t>
            </w:r>
            <w:r w:rsidRPr="00237760">
              <w:rPr>
                <w:rFonts w:ascii="Arial" w:hAnsi="Arial" w:cs="Arial"/>
                <w:color w:val="auto"/>
                <w:sz w:val="24"/>
                <w:szCs w:val="24"/>
              </w:rPr>
              <w:t>pełnienia bezkolizyjnych funkcji ruchu</w:t>
            </w:r>
            <w:r w:rsidR="00887023" w:rsidRPr="00237760">
              <w:rPr>
                <w:rFonts w:ascii="Arial" w:hAnsi="Arial" w:cs="Arial"/>
                <w:color w:val="auto"/>
                <w:sz w:val="24"/>
                <w:szCs w:val="24"/>
              </w:rPr>
              <w:t xml:space="preserve"> </w:t>
            </w:r>
            <w:r w:rsidRPr="00237760">
              <w:rPr>
                <w:rFonts w:ascii="Arial" w:hAnsi="Arial" w:cs="Arial"/>
                <w:color w:val="auto"/>
                <w:sz w:val="24"/>
                <w:szCs w:val="24"/>
              </w:rPr>
              <w:t>tranzytowego i lokalnego</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576C453C" w14:textId="78B2EDB4" w:rsidR="00564C1E" w:rsidRPr="00237760" w:rsidRDefault="00CB2D4C"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tc>
      </w:tr>
      <w:tr w:rsidR="00237760" w:rsidRPr="00237760" w14:paraId="04B9E5DE" w14:textId="77777777" w:rsidTr="006B1EFF">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752383BD" w14:textId="58770B60" w:rsidR="00564C1E" w:rsidRPr="00237760" w:rsidRDefault="00564C1E"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Utrzymanie dobrego stanu technicznego</w:t>
            </w:r>
            <w:r w:rsidR="00887023" w:rsidRPr="00237760">
              <w:rPr>
                <w:rFonts w:ascii="Arial" w:hAnsi="Arial" w:cs="Arial"/>
                <w:color w:val="auto"/>
                <w:sz w:val="24"/>
                <w:szCs w:val="24"/>
              </w:rPr>
              <w:t xml:space="preserve"> </w:t>
            </w:r>
            <w:r w:rsidRPr="00237760">
              <w:rPr>
                <w:rFonts w:ascii="Arial" w:hAnsi="Arial" w:cs="Arial"/>
                <w:color w:val="auto"/>
                <w:sz w:val="24"/>
                <w:szCs w:val="24"/>
              </w:rPr>
              <w:t>infrastruktury</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6E81CD9D" w14:textId="2CCC565C" w:rsidR="00564C1E" w:rsidRPr="00237760" w:rsidRDefault="00D87254"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Wszystkie cele (w zakresie transp</w:t>
            </w:r>
            <w:r w:rsidR="003242BB" w:rsidRPr="00237760">
              <w:rPr>
                <w:rFonts w:ascii="Arial" w:hAnsi="Arial" w:cs="Arial"/>
                <w:color w:val="auto"/>
                <w:sz w:val="24"/>
                <w:szCs w:val="24"/>
              </w:rPr>
              <w:t>ortu)</w:t>
            </w:r>
          </w:p>
        </w:tc>
      </w:tr>
      <w:tr w:rsidR="00237760" w:rsidRPr="00237760" w14:paraId="319E074F" w14:textId="77777777" w:rsidTr="006B1EFF">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6AB4236D" w14:textId="6D18F28B" w:rsidR="00564C1E" w:rsidRPr="00237760" w:rsidRDefault="00564C1E"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Poprawa bezpieczeństwa w zakresie</w:t>
            </w:r>
            <w:r w:rsidR="00887023" w:rsidRPr="00237760">
              <w:rPr>
                <w:rFonts w:ascii="Arial" w:hAnsi="Arial" w:cs="Arial"/>
                <w:color w:val="auto"/>
                <w:sz w:val="24"/>
                <w:szCs w:val="24"/>
              </w:rPr>
              <w:t xml:space="preserve"> </w:t>
            </w:r>
            <w:r w:rsidRPr="00237760">
              <w:rPr>
                <w:rFonts w:ascii="Arial" w:hAnsi="Arial" w:cs="Arial"/>
                <w:color w:val="auto"/>
                <w:sz w:val="24"/>
                <w:szCs w:val="24"/>
              </w:rPr>
              <w:t>komunikacji poprzez budowę chodników przy</w:t>
            </w:r>
            <w:r w:rsidR="00887023" w:rsidRPr="00237760">
              <w:rPr>
                <w:rFonts w:ascii="Arial" w:hAnsi="Arial" w:cs="Arial"/>
                <w:color w:val="auto"/>
                <w:sz w:val="24"/>
                <w:szCs w:val="24"/>
              </w:rPr>
              <w:t xml:space="preserve"> </w:t>
            </w:r>
            <w:r w:rsidRPr="00237760">
              <w:rPr>
                <w:rFonts w:ascii="Arial" w:hAnsi="Arial" w:cs="Arial"/>
                <w:color w:val="auto"/>
                <w:sz w:val="24"/>
                <w:szCs w:val="24"/>
              </w:rPr>
              <w:t>drogach wojewódzkich powiatowych i</w:t>
            </w:r>
            <w:r w:rsidR="00887023" w:rsidRPr="00237760">
              <w:rPr>
                <w:rFonts w:ascii="Arial" w:hAnsi="Arial" w:cs="Arial"/>
                <w:color w:val="auto"/>
                <w:sz w:val="24"/>
                <w:szCs w:val="24"/>
              </w:rPr>
              <w:t xml:space="preserve"> </w:t>
            </w:r>
            <w:r w:rsidRPr="00237760">
              <w:rPr>
                <w:rFonts w:ascii="Arial" w:hAnsi="Arial" w:cs="Arial"/>
                <w:color w:val="auto"/>
                <w:sz w:val="24"/>
                <w:szCs w:val="24"/>
              </w:rPr>
              <w:t>gminnych</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1BC00C21" w14:textId="3C1C00C6" w:rsidR="00564C1E" w:rsidRPr="00237760" w:rsidRDefault="001A12B2"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4. Poprawa bezpieczeństwa w transporcie</w:t>
            </w:r>
          </w:p>
        </w:tc>
      </w:tr>
      <w:tr w:rsidR="00237760" w:rsidRPr="00237760" w14:paraId="09BDAABE" w14:textId="77777777" w:rsidTr="006B1EFF">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168B39D1" w14:textId="674F776D" w:rsidR="00564C1E" w:rsidRPr="00237760" w:rsidRDefault="00564C1E"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Budowa parkingów</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127A10ED" w14:textId="77777777" w:rsidR="00FF6FE6" w:rsidRPr="00237760" w:rsidRDefault="00FF6FE6"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Częściowo</w:t>
            </w:r>
            <w:r w:rsidRPr="00237760">
              <w:rPr>
                <w:rStyle w:val="Odwoanieprzypisudolnego"/>
                <w:rFonts w:ascii="Arial" w:hAnsi="Arial" w:cs="Arial"/>
                <w:color w:val="auto"/>
                <w:sz w:val="24"/>
                <w:szCs w:val="24"/>
              </w:rPr>
              <w:footnoteReference w:id="21"/>
            </w:r>
            <w:r w:rsidRPr="00237760">
              <w:rPr>
                <w:rFonts w:ascii="Arial" w:hAnsi="Arial" w:cs="Arial"/>
                <w:color w:val="auto"/>
                <w:sz w:val="24"/>
                <w:szCs w:val="24"/>
              </w:rPr>
              <w:t xml:space="preserve">: </w:t>
            </w:r>
          </w:p>
          <w:p w14:paraId="6FE80BEB" w14:textId="77777777" w:rsidR="00FF6FE6" w:rsidRPr="00237760" w:rsidRDefault="00FF6FE6"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341E1C93" w14:textId="77777777" w:rsidR="00FF6FE6" w:rsidRPr="00237760" w:rsidRDefault="00FF6FE6"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 xml:space="preserve">Cel horyzontalny 2. Wzmocnienie rozwiązań multimodalnych </w:t>
            </w:r>
          </w:p>
          <w:p w14:paraId="7635D1C7" w14:textId="023B03F4" w:rsidR="00564C1E" w:rsidRPr="00237760" w:rsidRDefault="00FF6FE6"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tc>
      </w:tr>
      <w:tr w:rsidR="00237760" w:rsidRPr="00237760" w14:paraId="59243CB2" w14:textId="77777777" w:rsidTr="006B1EFF">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4C4C00C8" w14:textId="1FE952A2" w:rsidR="00564C1E" w:rsidRPr="00237760" w:rsidRDefault="00564C1E"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Wykorzystanie zewnętrznych</w:t>
            </w:r>
            <w:r w:rsidR="00887023" w:rsidRPr="00237760">
              <w:rPr>
                <w:rFonts w:ascii="Arial" w:hAnsi="Arial" w:cs="Arial"/>
                <w:color w:val="auto"/>
                <w:sz w:val="24"/>
                <w:szCs w:val="24"/>
              </w:rPr>
              <w:t xml:space="preserve"> </w:t>
            </w:r>
            <w:r w:rsidRPr="00237760">
              <w:rPr>
                <w:rFonts w:ascii="Arial" w:hAnsi="Arial" w:cs="Arial"/>
                <w:color w:val="auto"/>
                <w:sz w:val="24"/>
                <w:szCs w:val="24"/>
              </w:rPr>
              <w:t>środków finansowych w tym z UE do poprawy</w:t>
            </w:r>
            <w:r w:rsidR="00887023" w:rsidRPr="00237760">
              <w:rPr>
                <w:rFonts w:ascii="Arial" w:hAnsi="Arial" w:cs="Arial"/>
                <w:color w:val="auto"/>
                <w:sz w:val="24"/>
                <w:szCs w:val="24"/>
              </w:rPr>
              <w:t xml:space="preserve"> </w:t>
            </w:r>
            <w:r w:rsidRPr="00237760">
              <w:rPr>
                <w:rFonts w:ascii="Arial" w:hAnsi="Arial" w:cs="Arial"/>
                <w:color w:val="auto"/>
                <w:sz w:val="24"/>
                <w:szCs w:val="24"/>
              </w:rPr>
              <w:t>stanu infrastruktury technicznej</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1AC6D69E" w14:textId="3FC038CB" w:rsidR="00564C1E" w:rsidRPr="00237760" w:rsidRDefault="003242BB"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Wszystkie cele</w:t>
            </w:r>
          </w:p>
        </w:tc>
      </w:tr>
      <w:tr w:rsidR="00237760" w:rsidRPr="00237760" w14:paraId="5F4586AD" w14:textId="77777777" w:rsidTr="006B1EFF">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5E395593" w14:textId="00FEC4DC" w:rsidR="00564C1E" w:rsidRPr="00237760" w:rsidRDefault="00564C1E"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lastRenderedPageBreak/>
              <w:t>Modernizacja drogi powiatowej łączącej gminę</w:t>
            </w:r>
            <w:r w:rsidR="00887023" w:rsidRPr="00237760">
              <w:rPr>
                <w:rFonts w:ascii="Arial" w:hAnsi="Arial" w:cs="Arial"/>
                <w:color w:val="auto"/>
                <w:sz w:val="24"/>
                <w:szCs w:val="24"/>
              </w:rPr>
              <w:t xml:space="preserve"> </w:t>
            </w:r>
            <w:r w:rsidRPr="00237760">
              <w:rPr>
                <w:rFonts w:ascii="Arial" w:hAnsi="Arial" w:cs="Arial"/>
                <w:color w:val="auto"/>
                <w:sz w:val="24"/>
                <w:szCs w:val="24"/>
              </w:rPr>
              <w:t>z drogą Dynów – Przemyśl w kierunku</w:t>
            </w:r>
            <w:r w:rsidR="00887023" w:rsidRPr="00237760">
              <w:rPr>
                <w:rFonts w:ascii="Arial" w:hAnsi="Arial" w:cs="Arial"/>
                <w:color w:val="auto"/>
                <w:sz w:val="24"/>
                <w:szCs w:val="24"/>
              </w:rPr>
              <w:t xml:space="preserve"> </w:t>
            </w:r>
            <w:r w:rsidRPr="00237760">
              <w:rPr>
                <w:rFonts w:ascii="Arial" w:hAnsi="Arial" w:cs="Arial"/>
                <w:color w:val="auto"/>
                <w:sz w:val="24"/>
                <w:szCs w:val="24"/>
              </w:rPr>
              <w:t>południowej części województwa</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5894CB3B" w14:textId="42F9412E" w:rsidR="00564C1E" w:rsidRPr="00237760" w:rsidRDefault="006A7D9F"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tc>
      </w:tr>
      <w:tr w:rsidR="00237760" w:rsidRPr="00237760" w14:paraId="79321599" w14:textId="77777777" w:rsidTr="006B1EFF">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20CFD4D5" w14:textId="0160D4BE" w:rsidR="00564C1E" w:rsidRPr="00237760" w:rsidRDefault="00564C1E"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Utrzymywanie w dobrym stanie technicznym</w:t>
            </w:r>
            <w:r w:rsidR="00887023" w:rsidRPr="00237760">
              <w:rPr>
                <w:rFonts w:ascii="Arial" w:hAnsi="Arial" w:cs="Arial"/>
                <w:color w:val="auto"/>
                <w:sz w:val="24"/>
                <w:szCs w:val="24"/>
              </w:rPr>
              <w:t xml:space="preserve"> </w:t>
            </w:r>
            <w:r w:rsidRPr="00237760">
              <w:rPr>
                <w:rFonts w:ascii="Arial" w:hAnsi="Arial" w:cs="Arial"/>
                <w:color w:val="auto"/>
                <w:sz w:val="24"/>
                <w:szCs w:val="24"/>
              </w:rPr>
              <w:t>infrastruktury technicznej w gminie i regionie</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6024A746" w14:textId="6E92D3C5" w:rsidR="00564C1E" w:rsidRPr="00237760" w:rsidRDefault="00E67D69"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Wszystkie cele (w zakresie transportu)</w:t>
            </w:r>
          </w:p>
        </w:tc>
      </w:tr>
      <w:tr w:rsidR="00237760" w:rsidRPr="00237760" w14:paraId="5A1D7B06" w14:textId="77777777" w:rsidTr="006B1EFF">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0F09EE3B" w14:textId="4B31CED9" w:rsidR="00564C1E" w:rsidRPr="00237760" w:rsidRDefault="00564C1E"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Możliwość rozwoju turystyki; rowerowej</w:t>
            </w:r>
            <w:r w:rsidR="00887023" w:rsidRPr="00237760">
              <w:rPr>
                <w:rFonts w:ascii="Arial" w:hAnsi="Arial" w:cs="Arial"/>
                <w:color w:val="auto"/>
                <w:sz w:val="24"/>
                <w:szCs w:val="24"/>
              </w:rPr>
              <w:t xml:space="preserve"> </w:t>
            </w:r>
            <w:r w:rsidRPr="00237760">
              <w:rPr>
                <w:rFonts w:ascii="Arial" w:hAnsi="Arial" w:cs="Arial"/>
                <w:color w:val="auto"/>
                <w:sz w:val="24"/>
                <w:szCs w:val="24"/>
              </w:rPr>
              <w:t>i pieszej– przyjaznej środowisku</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5EFC9800" w14:textId="77777777" w:rsidR="007C50AC" w:rsidRPr="00237760" w:rsidRDefault="007C50AC"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1B6024CC" w14:textId="77777777" w:rsidR="007C50AC" w:rsidRPr="00237760" w:rsidRDefault="007C50AC"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436DA98D" w14:textId="77777777" w:rsidR="002D7FEA" w:rsidRPr="00237760" w:rsidRDefault="007C50AC"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1. Ograniczenie negatywnego oddziaływania sektora transportu na klimat oraz na regionalne środowisko naturalne</w:t>
            </w:r>
          </w:p>
          <w:p w14:paraId="0B0501AA" w14:textId="755FCC1F" w:rsidR="00564C1E" w:rsidRPr="00237760" w:rsidRDefault="00FF2F50"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4. Poprawa bezpieczeństwa w transporcie</w:t>
            </w:r>
          </w:p>
        </w:tc>
      </w:tr>
      <w:tr w:rsidR="00237760" w:rsidRPr="00237760" w14:paraId="00BDE8C1" w14:textId="77777777" w:rsidTr="00FE1FD0">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590585C6" w14:textId="17BB6BA5" w:rsidR="00564C1E" w:rsidRPr="00237760" w:rsidRDefault="00564C1E"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Tworzenie i rozwój szlaków turystycznych</w:t>
            </w:r>
            <w:r w:rsidR="00887023" w:rsidRPr="00237760">
              <w:rPr>
                <w:rFonts w:ascii="Arial" w:hAnsi="Arial" w:cs="Arial"/>
                <w:color w:val="auto"/>
                <w:sz w:val="24"/>
                <w:szCs w:val="24"/>
              </w:rPr>
              <w:t xml:space="preserve"> </w:t>
            </w:r>
            <w:r w:rsidRPr="00237760">
              <w:rPr>
                <w:rFonts w:ascii="Arial" w:hAnsi="Arial" w:cs="Arial"/>
                <w:color w:val="auto"/>
                <w:sz w:val="24"/>
                <w:szCs w:val="24"/>
              </w:rPr>
              <w:t>i ścieżek dydaktycznych</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43E9F08B" w14:textId="018C1271" w:rsidR="00564C1E" w:rsidRPr="00237760" w:rsidRDefault="00D532F4"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Potencjalnie Cel podstawowy 2. Transportowa spójność wewnętrzna</w:t>
            </w:r>
          </w:p>
        </w:tc>
      </w:tr>
    </w:tbl>
    <w:tbl>
      <w:tblPr>
        <w:tblStyle w:val="Tabela-Siatka52611"/>
        <w:tblW w:w="9075" w:type="dxa"/>
        <w:tblInd w:w="0"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57" w:type="dxa"/>
          <w:right w:w="57" w:type="dxa"/>
        </w:tblCellMar>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9075"/>
      </w:tblGrid>
      <w:tr w:rsidR="00237760" w:rsidRPr="00237760" w14:paraId="2983D4B1" w14:textId="77777777" w:rsidTr="005067E3">
        <w:trPr>
          <w:trHeight w:val="151"/>
        </w:trPr>
        <w:tc>
          <w:tcPr>
            <w:tcW w:w="9075" w:type="dxa"/>
            <w:tcBorders>
              <w:top w:val="single" w:sz="4" w:space="0" w:color="BDD6EE" w:themeColor="accent1" w:themeTint="66"/>
              <w:left w:val="nil"/>
              <w:bottom w:val="single" w:sz="4" w:space="0" w:color="BDD6EE" w:themeColor="accent1" w:themeTint="66"/>
              <w:right w:val="nil"/>
            </w:tcBorders>
            <w:shd w:val="clear" w:color="auto" w:fill="auto"/>
            <w:tcMar>
              <w:top w:w="0" w:type="dxa"/>
              <w:left w:w="28" w:type="dxa"/>
              <w:bottom w:w="0" w:type="dxa"/>
              <w:right w:w="28" w:type="dxa"/>
            </w:tcMar>
            <w:vAlign w:val="center"/>
            <w:hideMark/>
          </w:tcPr>
          <w:p w14:paraId="5D6FEA7E" w14:textId="2BD2E6C6" w:rsidR="0022323D" w:rsidRPr="00237760" w:rsidRDefault="00DB2B5D" w:rsidP="009367B4">
            <w:pPr>
              <w:spacing w:after="0" w:line="240" w:lineRule="auto"/>
              <w:ind w:left="57" w:right="57"/>
              <w:jc w:val="left"/>
              <w:rPr>
                <w:rFonts w:ascii="Arial" w:hAnsi="Arial" w:cs="Arial"/>
                <w:b/>
                <w:color w:val="auto"/>
                <w:sz w:val="24"/>
                <w:szCs w:val="24"/>
              </w:rPr>
            </w:pPr>
            <w:r w:rsidRPr="00237760">
              <w:rPr>
                <w:rFonts w:ascii="Arial" w:hAnsi="Arial" w:cs="Arial"/>
                <w:b/>
                <w:color w:val="auto"/>
                <w:sz w:val="24"/>
                <w:szCs w:val="24"/>
              </w:rPr>
              <w:t>ZAGROŻENIA</w:t>
            </w:r>
          </w:p>
        </w:tc>
      </w:tr>
    </w:tbl>
    <w:tbl>
      <w:tblPr>
        <w:tblStyle w:val="Tabela-Siatka5"/>
        <w:tblW w:w="9072" w:type="dxa"/>
        <w:tblInd w:w="0" w:type="dxa"/>
        <w:tblLayout w:type="fixed"/>
        <w:tblLook w:val="04A0" w:firstRow="1" w:lastRow="0" w:firstColumn="1" w:lastColumn="0" w:noHBand="0" w:noVBand="1"/>
        <w:tblCaption w:val="Tabela 8. Wyzwania i potrzeby społeczno-gospodarcze województwa wskazane w strategiach wybranych gmin a PSRT WP "/>
        <w:tblDescription w:val="Tabela zawiera Wyzwania i potrzeby regionu sformułowane w strategiach i Cele PSRT WP wpływające na sprostanie wyzwaniom oraz zaspokojenie potrzeb regionu"/>
      </w:tblPr>
      <w:tblGrid>
        <w:gridCol w:w="5103"/>
        <w:gridCol w:w="3969"/>
      </w:tblGrid>
      <w:tr w:rsidR="00237760" w:rsidRPr="00237760" w14:paraId="08E8CCDD" w14:textId="77777777" w:rsidTr="006B1EFF">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1BED3B8B" w14:textId="32A979D8" w:rsidR="00704233" w:rsidRPr="00237760" w:rsidRDefault="00704233"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Niewystarczające własne środki finansowe</w:t>
            </w:r>
            <w:r w:rsidR="00887023" w:rsidRPr="00237760">
              <w:rPr>
                <w:rFonts w:ascii="Arial" w:hAnsi="Arial" w:cs="Arial"/>
                <w:color w:val="auto"/>
                <w:sz w:val="24"/>
                <w:szCs w:val="24"/>
              </w:rPr>
              <w:t xml:space="preserve"> </w:t>
            </w:r>
            <w:r w:rsidRPr="00237760">
              <w:rPr>
                <w:rFonts w:ascii="Arial" w:hAnsi="Arial" w:cs="Arial"/>
                <w:color w:val="auto"/>
                <w:sz w:val="24"/>
                <w:szCs w:val="24"/>
              </w:rPr>
              <w:t>oraz środki z budżetu państwa na poprawę</w:t>
            </w:r>
            <w:r w:rsidR="00887023" w:rsidRPr="00237760">
              <w:rPr>
                <w:rFonts w:ascii="Arial" w:hAnsi="Arial" w:cs="Arial"/>
                <w:color w:val="auto"/>
                <w:sz w:val="24"/>
                <w:szCs w:val="24"/>
              </w:rPr>
              <w:t xml:space="preserve"> </w:t>
            </w:r>
            <w:r w:rsidRPr="00237760">
              <w:rPr>
                <w:rFonts w:ascii="Arial" w:hAnsi="Arial" w:cs="Arial"/>
                <w:color w:val="auto"/>
                <w:sz w:val="24"/>
                <w:szCs w:val="24"/>
              </w:rPr>
              <w:t>stanu infrastruktury technicznej</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77120222" w14:textId="68007B54" w:rsidR="00704233" w:rsidRPr="00237760" w:rsidRDefault="000310E6"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 xml:space="preserve">Poruszone w diagnozie </w:t>
            </w:r>
            <w:r w:rsidR="003F0959" w:rsidRPr="00237760">
              <w:rPr>
                <w:rFonts w:ascii="Arial" w:hAnsi="Arial" w:cs="Arial"/>
                <w:color w:val="auto"/>
                <w:sz w:val="24"/>
                <w:szCs w:val="24"/>
              </w:rPr>
              <w:t>(Rozwój transportu w województwie podkarpackim w perspektywie do 2030 roku. Raport końcowy) i w analizie ryzyka</w:t>
            </w:r>
          </w:p>
        </w:tc>
      </w:tr>
      <w:tr w:rsidR="00237760" w:rsidRPr="00237760" w14:paraId="0DE0E2DB" w14:textId="77777777" w:rsidTr="006B1EFF">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6607ED29" w14:textId="5EF1ACCC" w:rsidR="00704233" w:rsidRPr="00237760" w:rsidRDefault="00704233"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Niewykorzystanie możliwości jakie stwarzają</w:t>
            </w:r>
            <w:r w:rsidR="00887023" w:rsidRPr="00237760">
              <w:rPr>
                <w:rFonts w:ascii="Arial" w:hAnsi="Arial" w:cs="Arial"/>
                <w:color w:val="auto"/>
                <w:sz w:val="24"/>
                <w:szCs w:val="24"/>
              </w:rPr>
              <w:t xml:space="preserve"> </w:t>
            </w:r>
            <w:r w:rsidRPr="00237760">
              <w:rPr>
                <w:rFonts w:ascii="Arial" w:hAnsi="Arial" w:cs="Arial"/>
                <w:color w:val="auto"/>
                <w:sz w:val="24"/>
                <w:szCs w:val="24"/>
              </w:rPr>
              <w:t>zewnętrzne źródła finansowe w tym z UE na</w:t>
            </w:r>
            <w:r w:rsidR="00887023" w:rsidRPr="00237760">
              <w:rPr>
                <w:rFonts w:ascii="Arial" w:hAnsi="Arial" w:cs="Arial"/>
                <w:color w:val="auto"/>
                <w:sz w:val="24"/>
                <w:szCs w:val="24"/>
              </w:rPr>
              <w:t xml:space="preserve"> </w:t>
            </w:r>
            <w:r w:rsidRPr="00237760">
              <w:rPr>
                <w:rFonts w:ascii="Arial" w:hAnsi="Arial" w:cs="Arial"/>
                <w:color w:val="auto"/>
                <w:sz w:val="24"/>
                <w:szCs w:val="24"/>
              </w:rPr>
              <w:t>poprawę stanu infrastruktury</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5922248C" w14:textId="2705A7F5" w:rsidR="00704233" w:rsidRPr="00237760" w:rsidRDefault="0036157E"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 xml:space="preserve">Wszystkie cele (w zakresie </w:t>
            </w:r>
            <w:r w:rsidR="007A0A65" w:rsidRPr="00237760">
              <w:rPr>
                <w:rFonts w:ascii="Arial" w:hAnsi="Arial" w:cs="Arial"/>
                <w:color w:val="auto"/>
                <w:sz w:val="24"/>
                <w:szCs w:val="24"/>
              </w:rPr>
              <w:t>transportu</w:t>
            </w:r>
            <w:r w:rsidRPr="00237760">
              <w:rPr>
                <w:rFonts w:ascii="Arial" w:hAnsi="Arial" w:cs="Arial"/>
                <w:color w:val="auto"/>
                <w:sz w:val="24"/>
                <w:szCs w:val="24"/>
              </w:rPr>
              <w:t>)</w:t>
            </w:r>
          </w:p>
        </w:tc>
      </w:tr>
      <w:tr w:rsidR="00237760" w:rsidRPr="00237760" w14:paraId="7FA62F47" w14:textId="77777777" w:rsidTr="000D0641">
        <w:trPr>
          <w:trHeight w:val="151"/>
        </w:trPr>
        <w:tc>
          <w:tcPr>
            <w:tcW w:w="5103" w:type="dxa"/>
            <w:tcBorders>
              <w:top w:val="single" w:sz="4" w:space="0" w:color="BDD6EE" w:themeColor="accent1" w:themeTint="66"/>
              <w:left w:val="nil"/>
              <w:bottom w:val="single" w:sz="4" w:space="0" w:color="BDD6EE" w:themeColor="accent1" w:themeTint="66"/>
              <w:right w:val="nil"/>
            </w:tcBorders>
            <w:vAlign w:val="center"/>
          </w:tcPr>
          <w:p w14:paraId="076BB6CA" w14:textId="38333FD6" w:rsidR="00704233" w:rsidRPr="00237760" w:rsidRDefault="00704233"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Niedostateczne tempo modernizacji dróg</w:t>
            </w:r>
            <w:r w:rsidR="00887023" w:rsidRPr="00237760">
              <w:rPr>
                <w:rFonts w:ascii="Arial" w:hAnsi="Arial" w:cs="Arial"/>
                <w:color w:val="auto"/>
                <w:sz w:val="24"/>
                <w:szCs w:val="24"/>
              </w:rPr>
              <w:t xml:space="preserve"> </w:t>
            </w:r>
            <w:r w:rsidRPr="00237760">
              <w:rPr>
                <w:rFonts w:ascii="Arial" w:hAnsi="Arial" w:cs="Arial"/>
                <w:color w:val="auto"/>
                <w:sz w:val="24"/>
                <w:szCs w:val="24"/>
              </w:rPr>
              <w:t xml:space="preserve">powiatowych i drogi wojewódzkiej </w:t>
            </w:r>
          </w:p>
        </w:tc>
        <w:tc>
          <w:tcPr>
            <w:tcW w:w="3969" w:type="dxa"/>
            <w:tcBorders>
              <w:top w:val="single" w:sz="4" w:space="0" w:color="BDD6EE" w:themeColor="accent1" w:themeTint="66"/>
              <w:left w:val="nil"/>
              <w:bottom w:val="single" w:sz="4" w:space="0" w:color="BDD6EE" w:themeColor="accent1" w:themeTint="66"/>
              <w:right w:val="nil"/>
            </w:tcBorders>
            <w:vAlign w:val="center"/>
          </w:tcPr>
          <w:p w14:paraId="4A5024F2" w14:textId="4A0CAE25" w:rsidR="00704233" w:rsidRPr="00237760" w:rsidRDefault="00A47A1C"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tc>
      </w:tr>
      <w:tr w:rsidR="00237760" w:rsidRPr="00237760" w14:paraId="4C8A858C" w14:textId="77777777" w:rsidTr="000D0641">
        <w:trPr>
          <w:trHeight w:val="151"/>
        </w:trPr>
        <w:tc>
          <w:tcPr>
            <w:tcW w:w="5103" w:type="dxa"/>
            <w:tcBorders>
              <w:top w:val="single" w:sz="4" w:space="0" w:color="BDD6EE" w:themeColor="accent1" w:themeTint="66"/>
              <w:left w:val="nil"/>
              <w:bottom w:val="single" w:sz="12" w:space="0" w:color="002060"/>
              <w:right w:val="nil"/>
            </w:tcBorders>
            <w:vAlign w:val="center"/>
          </w:tcPr>
          <w:p w14:paraId="2570AF0E" w14:textId="33319B05" w:rsidR="00704233" w:rsidRPr="00237760" w:rsidRDefault="00704233" w:rsidP="009367B4">
            <w:pPr>
              <w:spacing w:after="0" w:line="240" w:lineRule="auto"/>
              <w:ind w:left="57" w:right="57"/>
              <w:jc w:val="left"/>
              <w:rPr>
                <w:rFonts w:ascii="Arial" w:hAnsi="Arial" w:cs="Arial"/>
                <w:color w:val="auto"/>
                <w:sz w:val="24"/>
                <w:szCs w:val="24"/>
              </w:rPr>
            </w:pPr>
            <w:r w:rsidRPr="00237760">
              <w:rPr>
                <w:rFonts w:ascii="Arial" w:hAnsi="Arial" w:cs="Arial"/>
                <w:color w:val="auto"/>
                <w:sz w:val="24"/>
                <w:szCs w:val="24"/>
              </w:rPr>
              <w:t>Ograniczenia w rozwoju infrastruktury</w:t>
            </w:r>
            <w:r w:rsidR="00887023" w:rsidRPr="00237760">
              <w:rPr>
                <w:rFonts w:ascii="Arial" w:hAnsi="Arial" w:cs="Arial"/>
                <w:color w:val="auto"/>
                <w:sz w:val="24"/>
                <w:szCs w:val="24"/>
              </w:rPr>
              <w:t xml:space="preserve"> </w:t>
            </w:r>
            <w:r w:rsidRPr="00237760">
              <w:rPr>
                <w:rFonts w:ascii="Arial" w:hAnsi="Arial" w:cs="Arial"/>
                <w:color w:val="auto"/>
                <w:sz w:val="24"/>
                <w:szCs w:val="24"/>
              </w:rPr>
              <w:t>związane z usytuowaniem części gminy w</w:t>
            </w:r>
            <w:r w:rsidR="00887023" w:rsidRPr="00237760">
              <w:rPr>
                <w:rFonts w:ascii="Arial" w:hAnsi="Arial" w:cs="Arial"/>
                <w:color w:val="auto"/>
                <w:sz w:val="24"/>
                <w:szCs w:val="24"/>
              </w:rPr>
              <w:t xml:space="preserve"> </w:t>
            </w:r>
            <w:r w:rsidRPr="00237760">
              <w:rPr>
                <w:rFonts w:ascii="Arial" w:hAnsi="Arial" w:cs="Arial"/>
                <w:color w:val="auto"/>
                <w:sz w:val="24"/>
                <w:szCs w:val="24"/>
              </w:rPr>
              <w:t>Przemysko - Dynowskim Obszarze</w:t>
            </w:r>
            <w:r w:rsidR="00887023" w:rsidRPr="00237760">
              <w:rPr>
                <w:rFonts w:ascii="Arial" w:hAnsi="Arial" w:cs="Arial"/>
                <w:color w:val="auto"/>
                <w:sz w:val="24"/>
                <w:szCs w:val="24"/>
              </w:rPr>
              <w:t xml:space="preserve"> </w:t>
            </w:r>
            <w:r w:rsidRPr="00237760">
              <w:rPr>
                <w:rFonts w:ascii="Arial" w:hAnsi="Arial" w:cs="Arial"/>
                <w:color w:val="auto"/>
                <w:sz w:val="24"/>
                <w:szCs w:val="24"/>
              </w:rPr>
              <w:t xml:space="preserve">Chronionego Krajobrazu </w:t>
            </w:r>
          </w:p>
        </w:tc>
        <w:tc>
          <w:tcPr>
            <w:tcW w:w="3969" w:type="dxa"/>
            <w:tcBorders>
              <w:top w:val="single" w:sz="4" w:space="0" w:color="BDD6EE" w:themeColor="accent1" w:themeTint="66"/>
              <w:left w:val="nil"/>
              <w:bottom w:val="single" w:sz="12" w:space="0" w:color="002060"/>
              <w:right w:val="nil"/>
            </w:tcBorders>
            <w:vAlign w:val="center"/>
          </w:tcPr>
          <w:p w14:paraId="6EF87417" w14:textId="55DB46C9" w:rsidR="00704233" w:rsidRPr="00237760" w:rsidRDefault="00A47A1C"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Poruszone w diagnozie</w:t>
            </w:r>
          </w:p>
        </w:tc>
      </w:tr>
    </w:tbl>
    <w:p w14:paraId="363D3133" w14:textId="77777777" w:rsidR="00D0780A" w:rsidRPr="00237760" w:rsidRDefault="00D0780A"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Uwaga: ocenie poddano wszystkie elementy Strategii wskazane w analizie SWOT (w słabościach, szansach i zagrożeniach). W tabeli wskazano tylko te elementy, do których odnosi się Program.</w:t>
      </w:r>
    </w:p>
    <w:p w14:paraId="7E06B523" w14:textId="6FD92B77" w:rsidR="00887023" w:rsidRPr="00237760" w:rsidRDefault="00887023"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 xml:space="preserve">Źródło: opracowanie własne na podstawie PSRT WP oraz strategii </w:t>
      </w:r>
      <w:r w:rsidR="00AC53C6" w:rsidRPr="00237760">
        <w:rPr>
          <w:rFonts w:ascii="Arial" w:hAnsi="Arial" w:cs="Arial"/>
          <w:color w:val="auto"/>
          <w:sz w:val="24"/>
          <w:szCs w:val="24"/>
          <w:lang w:eastAsia="pl-PL"/>
        </w:rPr>
        <w:t xml:space="preserve">rozwoju </w:t>
      </w:r>
      <w:r w:rsidRPr="00237760">
        <w:rPr>
          <w:rFonts w:ascii="Arial" w:hAnsi="Arial" w:cs="Arial"/>
          <w:color w:val="auto"/>
          <w:sz w:val="24"/>
          <w:szCs w:val="24"/>
          <w:lang w:eastAsia="pl-PL"/>
        </w:rPr>
        <w:t>gmin.</w:t>
      </w:r>
    </w:p>
    <w:p w14:paraId="7A2EB382" w14:textId="6CA973F7" w:rsidR="008E33BF" w:rsidRPr="00237760" w:rsidRDefault="008E33BF" w:rsidP="009367B4">
      <w:pPr>
        <w:spacing w:after="160" w:line="259" w:lineRule="auto"/>
        <w:jc w:val="left"/>
        <w:rPr>
          <w:rFonts w:ascii="Arial" w:hAnsi="Arial" w:cs="Arial"/>
          <w:color w:val="auto"/>
          <w:sz w:val="24"/>
          <w:szCs w:val="24"/>
          <w:lang w:eastAsia="pl-PL"/>
        </w:rPr>
      </w:pPr>
      <w:r w:rsidRPr="00237760">
        <w:rPr>
          <w:rFonts w:ascii="Arial" w:hAnsi="Arial" w:cs="Arial"/>
          <w:color w:val="auto"/>
          <w:sz w:val="24"/>
          <w:szCs w:val="24"/>
          <w:lang w:eastAsia="pl-PL"/>
        </w:rPr>
        <w:br w:type="page"/>
      </w:r>
    </w:p>
    <w:p w14:paraId="087BCB92" w14:textId="27678602" w:rsidR="004A5E5D" w:rsidRPr="00237760" w:rsidRDefault="0076710D" w:rsidP="009367B4">
      <w:pPr>
        <w:pStyle w:val="Nagwek2"/>
        <w:rPr>
          <w:rFonts w:ascii="Arial" w:hAnsi="Arial" w:cs="Arial"/>
          <w:color w:val="auto"/>
          <w:sz w:val="24"/>
          <w:szCs w:val="24"/>
        </w:rPr>
      </w:pPr>
      <w:bookmarkStart w:id="58" w:name="_Toc101904108"/>
      <w:r w:rsidRPr="00237760">
        <w:rPr>
          <w:rFonts w:ascii="Arial" w:hAnsi="Arial" w:cs="Arial"/>
          <w:color w:val="auto"/>
          <w:sz w:val="24"/>
          <w:szCs w:val="24"/>
        </w:rPr>
        <w:lastRenderedPageBreak/>
        <w:t xml:space="preserve">Ocena </w:t>
      </w:r>
      <w:bookmarkStart w:id="59" w:name="_Toc89524134"/>
      <w:bookmarkStart w:id="60" w:name="_Toc89589722"/>
      <w:bookmarkStart w:id="61" w:name="_Toc90226441"/>
      <w:r w:rsidR="00030112" w:rsidRPr="00237760">
        <w:rPr>
          <w:rFonts w:ascii="Arial" w:hAnsi="Arial" w:cs="Arial"/>
          <w:color w:val="auto"/>
          <w:sz w:val="24"/>
          <w:szCs w:val="24"/>
        </w:rPr>
        <w:t>trafności w kontekście rozwijających się i prawdopodobnych do zaistnienia przyszłości trendów</w:t>
      </w:r>
      <w:bookmarkEnd w:id="58"/>
      <w:bookmarkEnd w:id="59"/>
      <w:bookmarkEnd w:id="60"/>
      <w:bookmarkEnd w:id="61"/>
    </w:p>
    <w:p w14:paraId="103D4B80" w14:textId="3C28EE62" w:rsidR="004A5E5D" w:rsidRPr="00D352FD" w:rsidRDefault="004A5E5D" w:rsidP="00D352FD">
      <w:pPr>
        <w:pStyle w:val="Nagwek3"/>
        <w:numPr>
          <w:ilvl w:val="0"/>
          <w:numId w:val="0"/>
        </w:numPr>
        <w:ind w:left="851" w:hanging="851"/>
        <w:rPr>
          <w:rFonts w:ascii="Arial" w:hAnsi="Arial" w:cs="Arial"/>
          <w:color w:val="auto"/>
          <w:sz w:val="24"/>
          <w:szCs w:val="24"/>
        </w:rPr>
      </w:pPr>
      <w:bookmarkStart w:id="62" w:name="_Toc89524135"/>
      <w:bookmarkStart w:id="63" w:name="_Toc89589723"/>
      <w:bookmarkStart w:id="64" w:name="_Toc90226442"/>
      <w:bookmarkStart w:id="65" w:name="_Toc101904109"/>
      <w:r w:rsidRPr="00D352FD">
        <w:rPr>
          <w:rFonts w:ascii="Arial" w:hAnsi="Arial" w:cs="Arial"/>
          <w:color w:val="auto"/>
          <w:sz w:val="24"/>
          <w:szCs w:val="24"/>
        </w:rPr>
        <w:t>Synteza</w:t>
      </w:r>
      <w:bookmarkEnd w:id="62"/>
      <w:bookmarkEnd w:id="63"/>
      <w:bookmarkEnd w:id="64"/>
      <w:bookmarkEnd w:id="65"/>
    </w:p>
    <w:p w14:paraId="1A862E77" w14:textId="77777777" w:rsidR="004A5E5D" w:rsidRPr="00237760" w:rsidRDefault="004A5E5D" w:rsidP="009367B4">
      <w:pPr>
        <w:jc w:val="left"/>
        <w:rPr>
          <w:rFonts w:ascii="Arial" w:hAnsi="Arial" w:cs="Arial"/>
          <w:bCs/>
          <w:iCs/>
          <w:color w:val="auto"/>
          <w:sz w:val="24"/>
          <w:szCs w:val="24"/>
        </w:rPr>
      </w:pPr>
      <w:r w:rsidRPr="00237760">
        <w:rPr>
          <w:rFonts w:ascii="Arial" w:hAnsi="Arial" w:cs="Arial"/>
          <w:color w:val="auto"/>
          <w:sz w:val="24"/>
          <w:szCs w:val="24"/>
        </w:rPr>
        <w:t>Pytanie ewaluacyjne:</w:t>
      </w:r>
      <w:r w:rsidRPr="00237760">
        <w:rPr>
          <w:rFonts w:ascii="Arial" w:hAnsi="Arial" w:cs="Arial"/>
          <w:bCs/>
          <w:iCs/>
          <w:color w:val="auto"/>
          <w:sz w:val="24"/>
          <w:szCs w:val="24"/>
        </w:rPr>
        <w:t xml:space="preserve"> </w:t>
      </w:r>
    </w:p>
    <w:p w14:paraId="28B15137" w14:textId="704EAC88" w:rsidR="004A5E5D" w:rsidRPr="00237760" w:rsidRDefault="00030112" w:rsidP="009367B4">
      <w:pPr>
        <w:jc w:val="left"/>
        <w:rPr>
          <w:rFonts w:ascii="Arial" w:hAnsi="Arial" w:cs="Arial"/>
          <w:color w:val="auto"/>
          <w:sz w:val="24"/>
          <w:szCs w:val="24"/>
        </w:rPr>
      </w:pPr>
      <w:r w:rsidRPr="00237760">
        <w:rPr>
          <w:rFonts w:ascii="Arial" w:hAnsi="Arial" w:cs="Arial"/>
          <w:b/>
          <w:i/>
          <w:color w:val="auto"/>
          <w:sz w:val="24"/>
          <w:szCs w:val="24"/>
        </w:rPr>
        <w:t xml:space="preserve">Czy projekt Programu trafnie odpowiada na rozwijające się i prawdopodobne do zaistnienia </w:t>
      </w:r>
      <w:r w:rsidR="00685DA2" w:rsidRPr="00237760">
        <w:rPr>
          <w:rFonts w:ascii="Arial" w:hAnsi="Arial" w:cs="Arial"/>
          <w:b/>
          <w:i/>
          <w:color w:val="auto"/>
          <w:sz w:val="24"/>
          <w:szCs w:val="24"/>
        </w:rPr>
        <w:br/>
      </w:r>
      <w:r w:rsidR="00E508C9" w:rsidRPr="00237760">
        <w:rPr>
          <w:rFonts w:ascii="Arial" w:hAnsi="Arial" w:cs="Arial"/>
          <w:b/>
          <w:i/>
          <w:color w:val="auto"/>
          <w:sz w:val="24"/>
          <w:szCs w:val="24"/>
        </w:rPr>
        <w:t xml:space="preserve">w </w:t>
      </w:r>
      <w:r w:rsidRPr="00237760">
        <w:rPr>
          <w:rFonts w:ascii="Arial" w:hAnsi="Arial" w:cs="Arial"/>
          <w:b/>
          <w:i/>
          <w:color w:val="auto"/>
          <w:sz w:val="24"/>
          <w:szCs w:val="24"/>
        </w:rPr>
        <w:t>przyszłości trendy, które mogą mieć istotny wpływ na zmiany w sektorze transportu?</w:t>
      </w:r>
    </w:p>
    <w:p w14:paraId="3585777C" w14:textId="77777777" w:rsidR="004A5E5D" w:rsidRPr="00237760" w:rsidRDefault="004A5E5D" w:rsidP="009367B4">
      <w:pPr>
        <w:jc w:val="left"/>
        <w:rPr>
          <w:rFonts w:ascii="Arial" w:hAnsi="Arial" w:cs="Arial"/>
          <w:color w:val="auto"/>
          <w:sz w:val="24"/>
          <w:szCs w:val="24"/>
        </w:rPr>
      </w:pPr>
      <w:r w:rsidRPr="00237760">
        <w:rPr>
          <w:rFonts w:ascii="Arial" w:hAnsi="Arial" w:cs="Arial"/>
          <w:color w:val="auto"/>
          <w:sz w:val="24"/>
          <w:szCs w:val="24"/>
        </w:rPr>
        <w:t>Syntetyczna odpowiedź:</w:t>
      </w:r>
    </w:p>
    <w:p w14:paraId="51ADA74A" w14:textId="74AB1EDD" w:rsidR="00DE5DA0" w:rsidRPr="00237760" w:rsidRDefault="00E508C9" w:rsidP="009367B4">
      <w:pPr>
        <w:jc w:val="left"/>
        <w:rPr>
          <w:rFonts w:ascii="Arial" w:hAnsi="Arial" w:cs="Arial"/>
          <w:b/>
          <w:i/>
          <w:color w:val="auto"/>
          <w:sz w:val="24"/>
          <w:szCs w:val="24"/>
        </w:rPr>
      </w:pPr>
      <w:r w:rsidRPr="00237760">
        <w:rPr>
          <w:rFonts w:ascii="Arial" w:hAnsi="Arial" w:cs="Arial"/>
          <w:b/>
          <w:i/>
          <w:color w:val="auto"/>
          <w:sz w:val="24"/>
          <w:szCs w:val="24"/>
        </w:rPr>
        <w:t>Tak, d</w:t>
      </w:r>
      <w:r w:rsidR="00C81D74" w:rsidRPr="00237760">
        <w:rPr>
          <w:rFonts w:ascii="Arial" w:hAnsi="Arial" w:cs="Arial"/>
          <w:b/>
          <w:i/>
          <w:color w:val="auto"/>
          <w:sz w:val="24"/>
          <w:szCs w:val="24"/>
        </w:rPr>
        <w:t>okument odnosi się do opisywanych w popularnym dyskursie trendów globalnych i ich następstw w sektorze transportu w skali europejskiej na poziomie wskazanych kierunków rozwoju.</w:t>
      </w:r>
    </w:p>
    <w:p w14:paraId="74713F37" w14:textId="77777777" w:rsidR="004A5E5D" w:rsidRPr="00237760" w:rsidRDefault="004A5E5D" w:rsidP="009367B4">
      <w:pPr>
        <w:pStyle w:val="Nagwek4"/>
        <w:shd w:val="clear" w:color="auto" w:fill="auto"/>
        <w:rPr>
          <w:rFonts w:ascii="Arial" w:hAnsi="Arial" w:cs="Arial"/>
          <w:color w:val="auto"/>
        </w:rPr>
      </w:pPr>
      <w:r w:rsidRPr="00237760">
        <w:rPr>
          <w:rFonts w:ascii="Arial" w:hAnsi="Arial" w:cs="Arial"/>
          <w:color w:val="auto"/>
        </w:rPr>
        <w:t xml:space="preserve"> </w:t>
      </w:r>
      <w:bookmarkStart w:id="66" w:name="_Toc89524136"/>
      <w:bookmarkStart w:id="67" w:name="_Toc89589724"/>
      <w:bookmarkStart w:id="68" w:name="_Toc90226443"/>
      <w:bookmarkStart w:id="69" w:name="_Toc101904110"/>
      <w:r w:rsidRPr="00237760">
        <w:rPr>
          <w:rFonts w:ascii="Arial" w:hAnsi="Arial" w:cs="Arial"/>
          <w:color w:val="auto"/>
        </w:rPr>
        <w:t>Analiza</w:t>
      </w:r>
      <w:bookmarkEnd w:id="66"/>
      <w:bookmarkEnd w:id="67"/>
      <w:bookmarkEnd w:id="68"/>
      <w:bookmarkEnd w:id="69"/>
    </w:p>
    <w:p w14:paraId="783DA347" w14:textId="6592E518" w:rsidR="00AB13DF" w:rsidRPr="00237760" w:rsidRDefault="00AB13DF" w:rsidP="009367B4">
      <w:pPr>
        <w:jc w:val="left"/>
        <w:rPr>
          <w:rFonts w:ascii="Arial" w:hAnsi="Arial" w:cs="Arial"/>
          <w:color w:val="auto"/>
          <w:sz w:val="24"/>
          <w:szCs w:val="24"/>
          <w:lang w:eastAsia="pl-PL"/>
        </w:rPr>
      </w:pPr>
      <w:bookmarkStart w:id="70" w:name="_Hlk101351439"/>
      <w:r w:rsidRPr="00237760">
        <w:rPr>
          <w:rFonts w:ascii="Arial" w:hAnsi="Arial" w:cs="Arial"/>
          <w:color w:val="auto"/>
          <w:sz w:val="24"/>
          <w:szCs w:val="24"/>
          <w:lang w:eastAsia="pl-PL"/>
        </w:rPr>
        <w:t xml:space="preserve">Sformułowanie trendów w zależności od skali (globalnej, krajowej, regionalnej) oraz dziedzin (np. transport) jest zróżnicowane w poszczególnych opracowaniach i badaniach. Na zlecanie i publikacje takich opracowań i badań decydują się różne podmioty – od organizacji międzynarodowych, jak ONZ </w:t>
      </w:r>
      <w:r w:rsidR="00685DA2" w:rsidRPr="00237760">
        <w:rPr>
          <w:rFonts w:ascii="Arial" w:hAnsi="Arial" w:cs="Arial"/>
          <w:color w:val="auto"/>
          <w:sz w:val="24"/>
          <w:szCs w:val="24"/>
          <w:lang w:eastAsia="pl-PL"/>
        </w:rPr>
        <w:br/>
      </w:r>
      <w:r w:rsidRPr="00237760">
        <w:rPr>
          <w:rFonts w:ascii="Arial" w:hAnsi="Arial" w:cs="Arial"/>
          <w:color w:val="auto"/>
          <w:sz w:val="24"/>
          <w:szCs w:val="24"/>
          <w:lang w:eastAsia="pl-PL"/>
        </w:rPr>
        <w:t xml:space="preserve">i UE, przez rządy krajowe, po instytuty badawcze i prywatne przedsiębiorstwa. Globalne trendy wyróżniane przez Parlament Europejski do 2035 to: </w:t>
      </w:r>
    </w:p>
    <w:p w14:paraId="6FADC783" w14:textId="77777777" w:rsidR="00AB13DF" w:rsidRPr="00237760" w:rsidRDefault="00AB13DF" w:rsidP="009367B4">
      <w:pPr>
        <w:pStyle w:val="Akapitzlist"/>
        <w:numPr>
          <w:ilvl w:val="0"/>
          <w:numId w:val="21"/>
        </w:numPr>
        <w:contextualSpacing/>
        <w:jc w:val="left"/>
        <w:rPr>
          <w:rFonts w:ascii="Arial" w:hAnsi="Arial" w:cs="Arial"/>
          <w:color w:val="auto"/>
          <w:sz w:val="24"/>
          <w:szCs w:val="24"/>
        </w:rPr>
      </w:pPr>
      <w:r w:rsidRPr="00237760">
        <w:rPr>
          <w:rFonts w:ascii="Arial" w:hAnsi="Arial" w:cs="Arial"/>
          <w:color w:val="auto"/>
          <w:sz w:val="24"/>
          <w:szCs w:val="24"/>
        </w:rPr>
        <w:t>starzenie się społeczeństwa,</w:t>
      </w:r>
    </w:p>
    <w:p w14:paraId="78CBDC01" w14:textId="77777777" w:rsidR="00AB13DF" w:rsidRPr="00237760" w:rsidRDefault="00AB13DF" w:rsidP="009367B4">
      <w:pPr>
        <w:pStyle w:val="Akapitzlist"/>
        <w:numPr>
          <w:ilvl w:val="0"/>
          <w:numId w:val="21"/>
        </w:numPr>
        <w:contextualSpacing/>
        <w:jc w:val="left"/>
        <w:rPr>
          <w:rFonts w:ascii="Arial" w:hAnsi="Arial" w:cs="Arial"/>
          <w:color w:val="auto"/>
          <w:sz w:val="24"/>
          <w:szCs w:val="24"/>
        </w:rPr>
      </w:pPr>
      <w:r w:rsidRPr="00237760">
        <w:rPr>
          <w:rFonts w:ascii="Arial" w:hAnsi="Arial" w:cs="Arial"/>
          <w:color w:val="auto"/>
          <w:sz w:val="24"/>
          <w:szCs w:val="24"/>
        </w:rPr>
        <w:t>wrażliwość globalizacji,</w:t>
      </w:r>
    </w:p>
    <w:p w14:paraId="3FC41676" w14:textId="77777777" w:rsidR="00AB13DF" w:rsidRPr="00237760" w:rsidRDefault="00AB13DF" w:rsidP="009367B4">
      <w:pPr>
        <w:pStyle w:val="Akapitzlist"/>
        <w:numPr>
          <w:ilvl w:val="0"/>
          <w:numId w:val="21"/>
        </w:numPr>
        <w:contextualSpacing/>
        <w:jc w:val="left"/>
        <w:rPr>
          <w:rFonts w:ascii="Arial" w:hAnsi="Arial" w:cs="Arial"/>
          <w:color w:val="auto"/>
          <w:sz w:val="24"/>
          <w:szCs w:val="24"/>
        </w:rPr>
      </w:pPr>
      <w:r w:rsidRPr="00237760">
        <w:rPr>
          <w:rFonts w:ascii="Arial" w:hAnsi="Arial" w:cs="Arial"/>
          <w:color w:val="auto"/>
          <w:sz w:val="24"/>
          <w:szCs w:val="24"/>
        </w:rPr>
        <w:t>rewolucja technologiczna i przemysłowa,</w:t>
      </w:r>
    </w:p>
    <w:p w14:paraId="609E8FB2" w14:textId="77777777" w:rsidR="00AB13DF" w:rsidRPr="00237760" w:rsidRDefault="00AB13DF" w:rsidP="009367B4">
      <w:pPr>
        <w:pStyle w:val="Akapitzlist"/>
        <w:numPr>
          <w:ilvl w:val="0"/>
          <w:numId w:val="21"/>
        </w:numPr>
        <w:contextualSpacing/>
        <w:jc w:val="left"/>
        <w:rPr>
          <w:rFonts w:ascii="Arial" w:hAnsi="Arial" w:cs="Arial"/>
          <w:color w:val="auto"/>
          <w:sz w:val="24"/>
          <w:szCs w:val="24"/>
        </w:rPr>
      </w:pPr>
      <w:r w:rsidRPr="00237760">
        <w:rPr>
          <w:rFonts w:ascii="Arial" w:hAnsi="Arial" w:cs="Arial"/>
          <w:color w:val="auto"/>
          <w:sz w:val="24"/>
          <w:szCs w:val="24"/>
        </w:rPr>
        <w:t>zmiany klimatyczne i kurczenie się zasobów</w:t>
      </w:r>
    </w:p>
    <w:p w14:paraId="3DFB8FE8" w14:textId="77777777" w:rsidR="00AB13DF" w:rsidRPr="00237760" w:rsidRDefault="00AB13DF" w:rsidP="009367B4">
      <w:pPr>
        <w:pStyle w:val="Akapitzlist"/>
        <w:numPr>
          <w:ilvl w:val="0"/>
          <w:numId w:val="21"/>
        </w:numPr>
        <w:contextualSpacing/>
        <w:jc w:val="left"/>
        <w:rPr>
          <w:rFonts w:ascii="Arial" w:hAnsi="Arial" w:cs="Arial"/>
          <w:color w:val="auto"/>
          <w:sz w:val="24"/>
          <w:szCs w:val="24"/>
        </w:rPr>
      </w:pPr>
      <w:r w:rsidRPr="00237760">
        <w:rPr>
          <w:rFonts w:ascii="Arial" w:hAnsi="Arial" w:cs="Arial"/>
          <w:color w:val="auto"/>
          <w:sz w:val="24"/>
          <w:szCs w:val="24"/>
        </w:rPr>
        <w:t>zmiany w międzynarodowym układzie sił,</w:t>
      </w:r>
    </w:p>
    <w:p w14:paraId="76CC94DD" w14:textId="77777777" w:rsidR="00AB13DF" w:rsidRPr="00237760" w:rsidRDefault="00AB13DF" w:rsidP="009367B4">
      <w:pPr>
        <w:pStyle w:val="Akapitzlist"/>
        <w:numPr>
          <w:ilvl w:val="0"/>
          <w:numId w:val="21"/>
        </w:numPr>
        <w:contextualSpacing/>
        <w:jc w:val="left"/>
        <w:rPr>
          <w:rFonts w:ascii="Arial" w:hAnsi="Arial" w:cs="Arial"/>
          <w:color w:val="auto"/>
          <w:sz w:val="24"/>
          <w:szCs w:val="24"/>
        </w:rPr>
      </w:pPr>
      <w:r w:rsidRPr="00237760">
        <w:rPr>
          <w:rFonts w:ascii="Arial" w:hAnsi="Arial" w:cs="Arial"/>
          <w:color w:val="auto"/>
          <w:sz w:val="24"/>
          <w:szCs w:val="24"/>
        </w:rPr>
        <w:t>nowe pola rywalizacji międzynarodowej,</w:t>
      </w:r>
    </w:p>
    <w:p w14:paraId="2177DD78" w14:textId="77777777" w:rsidR="00AB13DF" w:rsidRPr="00237760" w:rsidRDefault="00AB13DF" w:rsidP="009367B4">
      <w:pPr>
        <w:pStyle w:val="Akapitzlist"/>
        <w:numPr>
          <w:ilvl w:val="0"/>
          <w:numId w:val="21"/>
        </w:numPr>
        <w:contextualSpacing/>
        <w:jc w:val="left"/>
        <w:rPr>
          <w:rFonts w:ascii="Arial" w:hAnsi="Arial" w:cs="Arial"/>
          <w:color w:val="auto"/>
          <w:sz w:val="24"/>
          <w:szCs w:val="24"/>
        </w:rPr>
      </w:pPr>
      <w:r w:rsidRPr="00237760">
        <w:rPr>
          <w:rFonts w:ascii="Arial" w:hAnsi="Arial" w:cs="Arial"/>
          <w:color w:val="auto"/>
          <w:sz w:val="24"/>
          <w:szCs w:val="24"/>
        </w:rPr>
        <w:t>polityki ery informacyjnej,</w:t>
      </w:r>
    </w:p>
    <w:p w14:paraId="0E780FC0" w14:textId="77777777" w:rsidR="00AB13DF" w:rsidRPr="00237760" w:rsidRDefault="00AB13DF" w:rsidP="009367B4">
      <w:pPr>
        <w:pStyle w:val="Akapitzlist"/>
        <w:numPr>
          <w:ilvl w:val="0"/>
          <w:numId w:val="21"/>
        </w:numPr>
        <w:jc w:val="left"/>
        <w:rPr>
          <w:rFonts w:ascii="Arial" w:hAnsi="Arial" w:cs="Arial"/>
          <w:color w:val="auto"/>
          <w:sz w:val="24"/>
          <w:szCs w:val="24"/>
        </w:rPr>
      </w:pPr>
      <w:r w:rsidRPr="00237760">
        <w:rPr>
          <w:rFonts w:ascii="Arial" w:hAnsi="Arial" w:cs="Arial"/>
          <w:color w:val="auto"/>
          <w:sz w:val="24"/>
          <w:szCs w:val="24"/>
        </w:rPr>
        <w:t>zagrożenia ekologiczne (</w:t>
      </w:r>
      <w:r w:rsidRPr="00237760">
        <w:rPr>
          <w:rFonts w:ascii="Arial" w:hAnsi="Arial" w:cs="Arial"/>
          <w:i/>
          <w:iCs/>
          <w:color w:val="auto"/>
          <w:sz w:val="24"/>
          <w:szCs w:val="24"/>
        </w:rPr>
        <w:t>Global Trends to 2035…</w:t>
      </w:r>
      <w:r w:rsidRPr="00237760">
        <w:rPr>
          <w:rFonts w:ascii="Arial" w:hAnsi="Arial" w:cs="Arial"/>
          <w:color w:val="auto"/>
          <w:sz w:val="24"/>
          <w:szCs w:val="24"/>
        </w:rPr>
        <w:t>, 2017).</w:t>
      </w:r>
    </w:p>
    <w:p w14:paraId="2F00F358" w14:textId="4F6BA967" w:rsidR="00AB13DF" w:rsidRPr="00237760" w:rsidRDefault="00AB13DF"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 xml:space="preserve">Nawiązują one </w:t>
      </w:r>
      <w:r w:rsidR="00906798" w:rsidRPr="00237760">
        <w:rPr>
          <w:rFonts w:ascii="Arial" w:hAnsi="Arial" w:cs="Arial"/>
          <w:color w:val="auto"/>
          <w:sz w:val="24"/>
          <w:szCs w:val="24"/>
          <w:lang w:eastAsia="pl-PL"/>
        </w:rPr>
        <w:t>do</w:t>
      </w:r>
      <w:r w:rsidRPr="00237760">
        <w:rPr>
          <w:rFonts w:ascii="Arial" w:hAnsi="Arial" w:cs="Arial"/>
          <w:color w:val="auto"/>
          <w:sz w:val="24"/>
          <w:szCs w:val="24"/>
          <w:lang w:eastAsia="pl-PL"/>
        </w:rPr>
        <w:t xml:space="preserve"> przyjętego paradygmatu myślenia o globalnych trendach. W podobnej myśli </w:t>
      </w:r>
      <w:r w:rsidR="00906798" w:rsidRPr="00237760">
        <w:rPr>
          <w:rFonts w:ascii="Arial" w:hAnsi="Arial" w:cs="Arial"/>
          <w:color w:val="auto"/>
          <w:sz w:val="24"/>
          <w:szCs w:val="24"/>
          <w:lang w:eastAsia="pl-PL"/>
        </w:rPr>
        <w:t>n</w:t>
      </w:r>
      <w:r w:rsidRPr="00237760">
        <w:rPr>
          <w:rFonts w:ascii="Arial" w:hAnsi="Arial" w:cs="Arial"/>
          <w:color w:val="auto"/>
          <w:sz w:val="24"/>
          <w:szCs w:val="24"/>
          <w:lang w:eastAsia="pl-PL"/>
        </w:rPr>
        <w:t>akreśla się tren</w:t>
      </w:r>
      <w:r w:rsidR="00F66BA3" w:rsidRPr="00237760">
        <w:rPr>
          <w:rFonts w:ascii="Arial" w:hAnsi="Arial" w:cs="Arial"/>
          <w:color w:val="auto"/>
          <w:sz w:val="24"/>
          <w:szCs w:val="24"/>
          <w:lang w:eastAsia="pl-PL"/>
        </w:rPr>
        <w:t>d</w:t>
      </w:r>
      <w:r w:rsidRPr="00237760">
        <w:rPr>
          <w:rFonts w:ascii="Arial" w:hAnsi="Arial" w:cs="Arial"/>
          <w:color w:val="auto"/>
          <w:sz w:val="24"/>
          <w:szCs w:val="24"/>
          <w:lang w:eastAsia="pl-PL"/>
        </w:rPr>
        <w:t xml:space="preserve">y mające wpływać na Polskę w najbliższych 30 latach, z uzupełnieniem m.in. o wzrost populacji świata, malejące bezpieczeństwo żywnościowe, nasilające się migracje, wzrost urbanizacji </w:t>
      </w:r>
      <w:r w:rsidR="00685DA2" w:rsidRPr="00237760">
        <w:rPr>
          <w:rFonts w:ascii="Arial" w:hAnsi="Arial" w:cs="Arial"/>
          <w:color w:val="auto"/>
          <w:sz w:val="24"/>
          <w:szCs w:val="24"/>
          <w:lang w:eastAsia="pl-PL"/>
        </w:rPr>
        <w:br/>
      </w:r>
      <w:r w:rsidRPr="00237760">
        <w:rPr>
          <w:rFonts w:ascii="Arial" w:hAnsi="Arial" w:cs="Arial"/>
          <w:color w:val="auto"/>
          <w:sz w:val="24"/>
          <w:szCs w:val="24"/>
          <w:lang w:eastAsia="pl-PL"/>
        </w:rPr>
        <w:t>i rosnącą klasę średnią (</w:t>
      </w:r>
      <w:r w:rsidRPr="00237760">
        <w:rPr>
          <w:rFonts w:ascii="Arial" w:hAnsi="Arial" w:cs="Arial"/>
          <w:i/>
          <w:iCs/>
          <w:color w:val="auto"/>
          <w:sz w:val="24"/>
          <w:szCs w:val="24"/>
          <w:lang w:eastAsia="pl-PL"/>
        </w:rPr>
        <w:t>Scenariusze rozwojowe…</w:t>
      </w:r>
      <w:r w:rsidRPr="00237760">
        <w:rPr>
          <w:rFonts w:ascii="Arial" w:hAnsi="Arial" w:cs="Arial"/>
          <w:color w:val="auto"/>
          <w:sz w:val="24"/>
          <w:szCs w:val="24"/>
          <w:lang w:eastAsia="pl-PL"/>
        </w:rPr>
        <w:t xml:space="preserve">, 2019). </w:t>
      </w:r>
    </w:p>
    <w:p w14:paraId="52845275" w14:textId="5E808EA9" w:rsidR="00AB13DF" w:rsidRPr="00237760" w:rsidRDefault="00AB13DF"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 xml:space="preserve">Część z wyżej wymienionych zjawisk rzutuje bezpośrednio na infrastrukturę transportową w każdej skali. Implikują bowiem przygotowanie transportu do zmian technologicznych, większego natężenia ruchu, lepszej dostępności i ograniczenia wpływu na środowisko i klimat oraz społeczne postrzeganie różnych środków transportu. Zmiany technologiczne są często komplementarne z pozostałymi, </w:t>
      </w:r>
      <w:r w:rsidRPr="00237760">
        <w:rPr>
          <w:rFonts w:ascii="Arial" w:hAnsi="Arial" w:cs="Arial"/>
          <w:color w:val="auto"/>
          <w:sz w:val="24"/>
          <w:szCs w:val="24"/>
          <w:lang w:eastAsia="pl-PL"/>
        </w:rPr>
        <w:lastRenderedPageBreak/>
        <w:t>ponieważ zawierają w sobie nie tylko takie aspekty jak automatyzacja, ale i redukcj</w:t>
      </w:r>
      <w:r w:rsidR="001346BD" w:rsidRPr="00237760">
        <w:rPr>
          <w:rFonts w:ascii="Arial" w:hAnsi="Arial" w:cs="Arial"/>
          <w:color w:val="auto"/>
          <w:sz w:val="24"/>
          <w:szCs w:val="24"/>
          <w:lang w:eastAsia="pl-PL"/>
        </w:rPr>
        <w:t>ę</w:t>
      </w:r>
      <w:r w:rsidRPr="00237760">
        <w:rPr>
          <w:rFonts w:ascii="Arial" w:hAnsi="Arial" w:cs="Arial"/>
          <w:color w:val="auto"/>
          <w:sz w:val="24"/>
          <w:szCs w:val="24"/>
          <w:lang w:eastAsia="pl-PL"/>
        </w:rPr>
        <w:t xml:space="preserve"> emisyjności, lepszą wydajność, czy lepsze dostosowanie do specjalnych potrzeb użytkowników.</w:t>
      </w:r>
    </w:p>
    <w:p w14:paraId="395C2407" w14:textId="75B803D6" w:rsidR="00AB13DF" w:rsidRPr="00237760" w:rsidRDefault="00AB13DF"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Znajduje to potwierdzenie w krajowych</w:t>
      </w:r>
      <w:r w:rsidR="007F10FE" w:rsidRPr="00237760">
        <w:rPr>
          <w:rFonts w:ascii="Arial" w:hAnsi="Arial" w:cs="Arial"/>
          <w:color w:val="auto"/>
          <w:sz w:val="24"/>
          <w:szCs w:val="24"/>
          <w:lang w:eastAsia="pl-PL"/>
        </w:rPr>
        <w:t xml:space="preserve"> </w:t>
      </w:r>
      <w:r w:rsidR="00151B9D" w:rsidRPr="00237760">
        <w:rPr>
          <w:rFonts w:ascii="Arial" w:hAnsi="Arial" w:cs="Arial"/>
          <w:color w:val="auto"/>
          <w:sz w:val="24"/>
          <w:szCs w:val="24"/>
          <w:lang w:eastAsia="pl-PL"/>
        </w:rPr>
        <w:t xml:space="preserve">planach odbudowy i zwiększania odporności </w:t>
      </w:r>
      <w:r w:rsidRPr="00237760">
        <w:rPr>
          <w:rFonts w:ascii="Arial" w:hAnsi="Arial" w:cs="Arial"/>
          <w:color w:val="auto"/>
          <w:sz w:val="24"/>
          <w:szCs w:val="24"/>
          <w:lang w:eastAsia="pl-PL"/>
        </w:rPr>
        <w:t>państw wspólnoty europejskiej. Kładzie się w nich nacisk na nowoczesny transport kolejowy, czyste pojazdy i niezbędną do nich infrastrukturę, ekologiczny transport publiczny o lepszej jakości, ograniczanie użytkowania aut osobowych, promocj</w:t>
      </w:r>
      <w:r w:rsidR="00F73945" w:rsidRPr="00237760">
        <w:rPr>
          <w:rFonts w:ascii="Arial" w:hAnsi="Arial" w:cs="Arial"/>
          <w:color w:val="auto"/>
          <w:sz w:val="24"/>
          <w:szCs w:val="24"/>
          <w:lang w:eastAsia="pl-PL"/>
        </w:rPr>
        <w:t>ę</w:t>
      </w:r>
      <w:r w:rsidRPr="00237760">
        <w:rPr>
          <w:rFonts w:ascii="Arial" w:hAnsi="Arial" w:cs="Arial"/>
          <w:color w:val="auto"/>
          <w:sz w:val="24"/>
          <w:szCs w:val="24"/>
          <w:lang w:eastAsia="pl-PL"/>
        </w:rPr>
        <w:t xml:space="preserve"> aktywnej mobilności oraz modernizacj</w:t>
      </w:r>
      <w:r w:rsidR="00F73945" w:rsidRPr="00237760">
        <w:rPr>
          <w:rFonts w:ascii="Arial" w:hAnsi="Arial" w:cs="Arial"/>
          <w:color w:val="auto"/>
          <w:sz w:val="24"/>
          <w:szCs w:val="24"/>
          <w:lang w:eastAsia="pl-PL"/>
        </w:rPr>
        <w:t>ę</w:t>
      </w:r>
      <w:r w:rsidRPr="00237760">
        <w:rPr>
          <w:rFonts w:ascii="Arial" w:hAnsi="Arial" w:cs="Arial"/>
          <w:color w:val="auto"/>
          <w:sz w:val="24"/>
          <w:szCs w:val="24"/>
          <w:lang w:eastAsia="pl-PL"/>
        </w:rPr>
        <w:t xml:space="preserve"> dróg</w:t>
      </w:r>
      <w:r w:rsidR="00F73945" w:rsidRPr="00237760">
        <w:rPr>
          <w:rFonts w:ascii="Arial" w:hAnsi="Arial" w:cs="Arial"/>
          <w:color w:val="auto"/>
          <w:sz w:val="24"/>
          <w:szCs w:val="24"/>
          <w:lang w:eastAsia="pl-PL"/>
        </w:rPr>
        <w:t>,</w:t>
      </w:r>
      <w:r w:rsidRPr="00237760">
        <w:rPr>
          <w:rFonts w:ascii="Arial" w:hAnsi="Arial" w:cs="Arial"/>
          <w:color w:val="auto"/>
          <w:sz w:val="24"/>
          <w:szCs w:val="24"/>
          <w:lang w:eastAsia="pl-PL"/>
        </w:rPr>
        <w:t xml:space="preserve"> portów lotniczych i wodnych</w:t>
      </w:r>
      <w:r w:rsidR="00A0116F" w:rsidRPr="00237760">
        <w:rPr>
          <w:rFonts w:ascii="Arial" w:hAnsi="Arial" w:cs="Arial"/>
          <w:color w:val="auto"/>
          <w:sz w:val="24"/>
          <w:szCs w:val="24"/>
          <w:lang w:eastAsia="pl-PL"/>
        </w:rPr>
        <w:t xml:space="preserve"> (</w:t>
      </w:r>
      <w:r w:rsidR="00A0116F" w:rsidRPr="00237760">
        <w:rPr>
          <w:rFonts w:ascii="Arial" w:hAnsi="Arial" w:cs="Arial"/>
          <w:i/>
          <w:iCs/>
          <w:color w:val="auto"/>
          <w:sz w:val="24"/>
          <w:szCs w:val="24"/>
          <w:lang w:eastAsia="pl-PL"/>
        </w:rPr>
        <w:t>Transport trends in</w:t>
      </w:r>
      <w:r w:rsidR="0068510E" w:rsidRPr="00237760">
        <w:rPr>
          <w:rFonts w:ascii="Arial" w:hAnsi="Arial" w:cs="Arial"/>
          <w:i/>
          <w:iCs/>
          <w:color w:val="auto"/>
          <w:sz w:val="24"/>
          <w:szCs w:val="24"/>
          <w:lang w:eastAsia="pl-PL"/>
        </w:rPr>
        <w:t xml:space="preserve"> national</w:t>
      </w:r>
      <w:r w:rsidR="00A0116F" w:rsidRPr="00237760">
        <w:rPr>
          <w:rFonts w:ascii="Arial" w:hAnsi="Arial" w:cs="Arial"/>
          <w:i/>
          <w:iCs/>
          <w:color w:val="auto"/>
          <w:sz w:val="24"/>
          <w:szCs w:val="24"/>
          <w:lang w:eastAsia="pl-PL"/>
        </w:rPr>
        <w:t>…</w:t>
      </w:r>
      <w:r w:rsidR="00A0116F" w:rsidRPr="00237760">
        <w:rPr>
          <w:rFonts w:ascii="Arial" w:hAnsi="Arial" w:cs="Arial"/>
          <w:color w:val="auto"/>
          <w:sz w:val="24"/>
          <w:szCs w:val="24"/>
          <w:lang w:eastAsia="pl-PL"/>
        </w:rPr>
        <w:t>, 2022)</w:t>
      </w:r>
      <w:r w:rsidRPr="00237760">
        <w:rPr>
          <w:rFonts w:ascii="Arial" w:hAnsi="Arial" w:cs="Arial"/>
          <w:color w:val="auto"/>
          <w:sz w:val="24"/>
          <w:szCs w:val="24"/>
          <w:lang w:eastAsia="pl-PL"/>
        </w:rPr>
        <w:t>.</w:t>
      </w:r>
    </w:p>
    <w:p w14:paraId="1EDEEC00" w14:textId="7427FA9C" w:rsidR="00AB13DF" w:rsidRPr="00237760" w:rsidRDefault="00094218"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Wnioskując z powyższych ustaleń,</w:t>
      </w:r>
      <w:r w:rsidR="00AB13DF" w:rsidRPr="00237760">
        <w:rPr>
          <w:rFonts w:ascii="Arial" w:hAnsi="Arial" w:cs="Arial"/>
          <w:color w:val="auto"/>
          <w:sz w:val="24"/>
          <w:szCs w:val="24"/>
          <w:lang w:eastAsia="pl-PL"/>
        </w:rPr>
        <w:t xml:space="preserve"> za trendy międzynarodowe, które prawdopodobnie będą wpływały na system transportowy, można uznać: rewolucj</w:t>
      </w:r>
      <w:r w:rsidR="00F66BA3" w:rsidRPr="00237760">
        <w:rPr>
          <w:rFonts w:ascii="Arial" w:hAnsi="Arial" w:cs="Arial"/>
          <w:color w:val="auto"/>
          <w:sz w:val="24"/>
          <w:szCs w:val="24"/>
          <w:lang w:eastAsia="pl-PL"/>
        </w:rPr>
        <w:t>ę</w:t>
      </w:r>
      <w:r w:rsidR="00AB13DF" w:rsidRPr="00237760">
        <w:rPr>
          <w:rFonts w:ascii="Arial" w:hAnsi="Arial" w:cs="Arial"/>
          <w:color w:val="auto"/>
          <w:sz w:val="24"/>
          <w:szCs w:val="24"/>
          <w:lang w:eastAsia="pl-PL"/>
        </w:rPr>
        <w:t xml:space="preserve"> technologiczną, w tym automatyzacj</w:t>
      </w:r>
      <w:r w:rsidR="00F66BA3" w:rsidRPr="00237760">
        <w:rPr>
          <w:rFonts w:ascii="Arial" w:hAnsi="Arial" w:cs="Arial"/>
          <w:color w:val="auto"/>
          <w:sz w:val="24"/>
          <w:szCs w:val="24"/>
          <w:lang w:eastAsia="pl-PL"/>
        </w:rPr>
        <w:t>ę i cyfryzację</w:t>
      </w:r>
      <w:r w:rsidR="00AB13DF" w:rsidRPr="00237760">
        <w:rPr>
          <w:rFonts w:ascii="Arial" w:hAnsi="Arial" w:cs="Arial"/>
          <w:color w:val="auto"/>
          <w:sz w:val="24"/>
          <w:szCs w:val="24"/>
          <w:lang w:eastAsia="pl-PL"/>
        </w:rPr>
        <w:t xml:space="preserve"> procesów; wzrost liczby osób o ograniczonych możliwościach fizycznych; działania na rzecz środowiska i klimatu; nasilające się migracje międzynarodowe; wrażliwość łańcuchów dostaw (globalizacji). Odpowiedzi na każde z powyższych znajdują się wśród kierunków rozwoju wyszczególnionych w </w:t>
      </w:r>
      <w:r w:rsidR="00F311FF" w:rsidRPr="00237760">
        <w:rPr>
          <w:rFonts w:ascii="Arial" w:hAnsi="Arial" w:cs="Arial"/>
          <w:color w:val="auto"/>
          <w:sz w:val="24"/>
          <w:szCs w:val="24"/>
          <w:lang w:eastAsia="pl-PL"/>
        </w:rPr>
        <w:t>PSRT WP</w:t>
      </w:r>
      <w:r w:rsidR="00AB13DF" w:rsidRPr="00237760">
        <w:rPr>
          <w:rFonts w:ascii="Arial" w:hAnsi="Arial" w:cs="Arial"/>
          <w:color w:val="auto"/>
          <w:sz w:val="24"/>
          <w:szCs w:val="24"/>
          <w:lang w:eastAsia="pl-PL"/>
        </w:rPr>
        <w:t xml:space="preserve">. Szczególnie dobrze reprezentowane są te związane z rewolucją technologiczną, chociaż pod względem ich treści można zarzucić brak odniesienia do rozwoju pojazdów autonomicznych. </w:t>
      </w:r>
    </w:p>
    <w:p w14:paraId="69106C1A" w14:textId="153DCEA0" w:rsidR="00AB13DF" w:rsidRPr="00237760" w:rsidRDefault="00AB13DF"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W zakresie dostosowania kierunków rozwoju</w:t>
      </w:r>
      <w:r w:rsidR="00942617" w:rsidRPr="00237760">
        <w:rPr>
          <w:rFonts w:ascii="Arial" w:hAnsi="Arial" w:cs="Arial"/>
          <w:color w:val="auto"/>
          <w:sz w:val="24"/>
          <w:szCs w:val="24"/>
          <w:lang w:eastAsia="pl-PL"/>
        </w:rPr>
        <w:t xml:space="preserve"> </w:t>
      </w:r>
      <w:r w:rsidR="00A521D6" w:rsidRPr="00237760">
        <w:rPr>
          <w:rFonts w:ascii="Arial" w:hAnsi="Arial" w:cs="Arial"/>
          <w:color w:val="auto"/>
          <w:sz w:val="24"/>
          <w:szCs w:val="24"/>
          <w:lang w:eastAsia="pl-PL"/>
        </w:rPr>
        <w:t>Programu</w:t>
      </w:r>
      <w:r w:rsidRPr="00237760">
        <w:rPr>
          <w:rFonts w:ascii="Arial" w:hAnsi="Arial" w:cs="Arial"/>
          <w:color w:val="auto"/>
          <w:sz w:val="24"/>
          <w:szCs w:val="24"/>
          <w:lang w:eastAsia="pl-PL"/>
        </w:rPr>
        <w:t xml:space="preserve"> do tendencji zmian w systemach transportowych w krajach UE</w:t>
      </w:r>
      <w:r w:rsidR="00B9135F" w:rsidRPr="00237760">
        <w:rPr>
          <w:rFonts w:ascii="Arial" w:hAnsi="Arial" w:cs="Arial"/>
          <w:color w:val="auto"/>
          <w:sz w:val="24"/>
          <w:szCs w:val="24"/>
          <w:lang w:eastAsia="pl-PL"/>
        </w:rPr>
        <w:t xml:space="preserve"> także wykazano </w:t>
      </w:r>
      <w:r w:rsidRPr="00237760">
        <w:rPr>
          <w:rFonts w:ascii="Arial" w:hAnsi="Arial" w:cs="Arial"/>
          <w:color w:val="auto"/>
          <w:sz w:val="24"/>
          <w:szCs w:val="24"/>
          <w:lang w:eastAsia="pl-PL"/>
        </w:rPr>
        <w:t>zbieżność. Wśród nich najczęściej pojawiają się te związane z modernizacją dróg, portów lotniczych i wodnych (bez tych ostatnich, które nie są szczególnie istotną i obecną infrastrukturą w województwie)</w:t>
      </w:r>
      <w:r w:rsidR="00C80325" w:rsidRPr="00237760">
        <w:rPr>
          <w:rFonts w:ascii="Arial" w:hAnsi="Arial" w:cs="Arial"/>
          <w:color w:val="auto"/>
          <w:sz w:val="24"/>
          <w:szCs w:val="24"/>
          <w:lang w:eastAsia="pl-PL"/>
        </w:rPr>
        <w:t xml:space="preserve">, a także z </w:t>
      </w:r>
      <w:r w:rsidRPr="00237760">
        <w:rPr>
          <w:rFonts w:ascii="Arial" w:hAnsi="Arial" w:cs="Arial"/>
          <w:color w:val="auto"/>
          <w:sz w:val="24"/>
          <w:szCs w:val="24"/>
          <w:lang w:eastAsia="pl-PL"/>
        </w:rPr>
        <w:t xml:space="preserve">nowoczesną siecią kolejową </w:t>
      </w:r>
      <w:r w:rsidR="00685DA2" w:rsidRPr="00237760">
        <w:rPr>
          <w:rFonts w:ascii="Arial" w:hAnsi="Arial" w:cs="Arial"/>
          <w:color w:val="auto"/>
          <w:sz w:val="24"/>
          <w:szCs w:val="24"/>
          <w:lang w:eastAsia="pl-PL"/>
        </w:rPr>
        <w:br/>
      </w:r>
      <w:r w:rsidRPr="00237760">
        <w:rPr>
          <w:rFonts w:ascii="Arial" w:hAnsi="Arial" w:cs="Arial"/>
          <w:color w:val="auto"/>
          <w:sz w:val="24"/>
          <w:szCs w:val="24"/>
          <w:lang w:eastAsia="pl-PL"/>
        </w:rPr>
        <w:t>i aktywną mobilnością.</w:t>
      </w:r>
    </w:p>
    <w:p w14:paraId="361012D0" w14:textId="25A4AF75" w:rsidR="00AB13DF" w:rsidRPr="00237760" w:rsidRDefault="00AB13DF" w:rsidP="009367B4">
      <w:pPr>
        <w:jc w:val="left"/>
        <w:rPr>
          <w:rFonts w:ascii="Arial" w:hAnsi="Arial" w:cs="Arial"/>
          <w:bCs/>
          <w:color w:val="auto"/>
          <w:sz w:val="24"/>
          <w:szCs w:val="24"/>
          <w:lang w:eastAsia="pl-PL"/>
        </w:rPr>
      </w:pPr>
      <w:r w:rsidRPr="00237760">
        <w:rPr>
          <w:rFonts w:ascii="Arial" w:hAnsi="Arial" w:cs="Arial"/>
          <w:bCs/>
          <w:color w:val="auto"/>
          <w:sz w:val="24"/>
          <w:szCs w:val="24"/>
          <w:lang w:eastAsia="pl-PL"/>
        </w:rPr>
        <w:t xml:space="preserve">Zatem dokument </w:t>
      </w:r>
      <w:r w:rsidR="00C62971" w:rsidRPr="00237760">
        <w:rPr>
          <w:rFonts w:ascii="Arial" w:hAnsi="Arial" w:cs="Arial"/>
          <w:bCs/>
          <w:color w:val="auto"/>
          <w:sz w:val="24"/>
          <w:szCs w:val="24"/>
          <w:lang w:eastAsia="pl-PL"/>
        </w:rPr>
        <w:t>P</w:t>
      </w:r>
      <w:r w:rsidRPr="00237760">
        <w:rPr>
          <w:rFonts w:ascii="Arial" w:hAnsi="Arial" w:cs="Arial"/>
          <w:bCs/>
          <w:color w:val="auto"/>
          <w:sz w:val="24"/>
          <w:szCs w:val="24"/>
          <w:lang w:eastAsia="pl-PL"/>
        </w:rPr>
        <w:t xml:space="preserve">SRT WP odnosi się do opisywanych trendów globalnych i ich następstw w sektorze transportu w skali europejskiej. </w:t>
      </w:r>
    </w:p>
    <w:p w14:paraId="3B41E13C" w14:textId="6E4355DA" w:rsidR="000719A7" w:rsidRPr="00237760" w:rsidRDefault="000719A7" w:rsidP="009367B4">
      <w:pPr>
        <w:pStyle w:val="Legenda"/>
        <w:keepNext/>
        <w:jc w:val="left"/>
        <w:rPr>
          <w:rFonts w:ascii="Arial" w:hAnsi="Arial" w:cs="Arial"/>
          <w:color w:val="auto"/>
          <w:sz w:val="24"/>
          <w:szCs w:val="24"/>
        </w:rPr>
      </w:pPr>
      <w:bookmarkStart w:id="71" w:name="_Toc101904250"/>
      <w:r w:rsidRPr="00237760">
        <w:rPr>
          <w:rFonts w:ascii="Arial" w:hAnsi="Arial" w:cs="Arial"/>
          <w:color w:val="auto"/>
          <w:sz w:val="24"/>
          <w:szCs w:val="24"/>
        </w:rPr>
        <w:t xml:space="preserve">Tabela </w:t>
      </w:r>
      <w:r w:rsidR="00A61695" w:rsidRPr="00237760">
        <w:rPr>
          <w:rFonts w:ascii="Arial" w:hAnsi="Arial" w:cs="Arial"/>
          <w:noProof/>
          <w:color w:val="auto"/>
          <w:sz w:val="24"/>
          <w:szCs w:val="24"/>
        </w:rPr>
        <w:fldChar w:fldCharType="begin"/>
      </w:r>
      <w:r w:rsidR="00A61695" w:rsidRPr="00237760">
        <w:rPr>
          <w:rFonts w:ascii="Arial" w:hAnsi="Arial" w:cs="Arial"/>
          <w:noProof/>
          <w:color w:val="auto"/>
          <w:sz w:val="24"/>
          <w:szCs w:val="24"/>
        </w:rPr>
        <w:instrText xml:space="preserve"> SEQ Tabela \* ARABIC </w:instrText>
      </w:r>
      <w:r w:rsidR="00A61695" w:rsidRPr="00237760">
        <w:rPr>
          <w:rFonts w:ascii="Arial" w:hAnsi="Arial" w:cs="Arial"/>
          <w:noProof/>
          <w:color w:val="auto"/>
          <w:sz w:val="24"/>
          <w:szCs w:val="24"/>
        </w:rPr>
        <w:fldChar w:fldCharType="separate"/>
      </w:r>
      <w:r w:rsidR="00762B20" w:rsidRPr="00237760">
        <w:rPr>
          <w:rFonts w:ascii="Arial" w:hAnsi="Arial" w:cs="Arial"/>
          <w:noProof/>
          <w:color w:val="auto"/>
          <w:sz w:val="24"/>
          <w:szCs w:val="24"/>
        </w:rPr>
        <w:t>9</w:t>
      </w:r>
      <w:r w:rsidR="00A61695" w:rsidRPr="00237760">
        <w:rPr>
          <w:rFonts w:ascii="Arial" w:hAnsi="Arial" w:cs="Arial"/>
          <w:noProof/>
          <w:color w:val="auto"/>
          <w:sz w:val="24"/>
          <w:szCs w:val="24"/>
        </w:rPr>
        <w:fldChar w:fldCharType="end"/>
      </w:r>
      <w:r w:rsidR="005D7831" w:rsidRPr="00237760">
        <w:rPr>
          <w:rFonts w:ascii="Arial" w:hAnsi="Arial" w:cs="Arial"/>
          <w:noProof/>
          <w:color w:val="auto"/>
          <w:sz w:val="24"/>
          <w:szCs w:val="24"/>
        </w:rPr>
        <w:t>.</w:t>
      </w:r>
      <w:r w:rsidRPr="00237760">
        <w:rPr>
          <w:rFonts w:ascii="Arial" w:hAnsi="Arial" w:cs="Arial"/>
          <w:color w:val="auto"/>
          <w:sz w:val="24"/>
          <w:szCs w:val="24"/>
        </w:rPr>
        <w:t xml:space="preserve"> Ocena trafności w kontekście trendów global</w:t>
      </w:r>
      <w:r w:rsidR="001356E5" w:rsidRPr="00237760">
        <w:rPr>
          <w:rFonts w:ascii="Arial" w:hAnsi="Arial" w:cs="Arial"/>
          <w:color w:val="auto"/>
          <w:sz w:val="24"/>
          <w:szCs w:val="24"/>
        </w:rPr>
        <w:t>nych i europejskich zmian w transporcie</w:t>
      </w:r>
      <w:bookmarkEnd w:id="71"/>
    </w:p>
    <w:tbl>
      <w:tblPr>
        <w:tblStyle w:val="Tabela-Siatka"/>
        <w:tblW w:w="9219" w:type="dxa"/>
        <w:tblInd w:w="-5"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57" w:type="dxa"/>
          <w:right w:w="57" w:type="dxa"/>
        </w:tblCellMar>
        <w:tblLook w:val="04A0" w:firstRow="1" w:lastRow="0" w:firstColumn="1" w:lastColumn="0" w:noHBand="0" w:noVBand="1"/>
        <w:tblCaption w:val="Tabela 9. Ocena trafności w kontekście trendów globalnych i europejskich zmian w transporcie"/>
        <w:tblDescription w:val="Tabela zawiera Trendy globalne i europejskie tendencje zmiany w transporcie, Cele podstawowe PSRT WP, Cele horyzontalne PSRT WP"/>
      </w:tblPr>
      <w:tblGrid>
        <w:gridCol w:w="3974"/>
        <w:gridCol w:w="748"/>
        <w:gridCol w:w="748"/>
        <w:gridCol w:w="749"/>
        <w:gridCol w:w="23"/>
        <w:gridCol w:w="725"/>
        <w:gridCol w:w="749"/>
        <w:gridCol w:w="748"/>
        <w:gridCol w:w="749"/>
        <w:gridCol w:w="6"/>
      </w:tblGrid>
      <w:tr w:rsidR="00237760" w:rsidRPr="00237760" w14:paraId="1FF172BF" w14:textId="77777777" w:rsidTr="000F012A">
        <w:trPr>
          <w:trHeight w:val="450"/>
          <w:tblHeader/>
        </w:trPr>
        <w:tc>
          <w:tcPr>
            <w:tcW w:w="3974" w:type="dxa"/>
            <w:tcBorders>
              <w:top w:val="single" w:sz="12" w:space="0" w:color="002060"/>
              <w:left w:val="nil"/>
              <w:bottom w:val="single" w:sz="4" w:space="0" w:color="BDD6EE" w:themeColor="accent1" w:themeTint="66"/>
              <w:right w:val="nil"/>
            </w:tcBorders>
            <w:shd w:val="clear" w:color="auto" w:fill="auto"/>
            <w:vAlign w:val="center"/>
            <w:hideMark/>
          </w:tcPr>
          <w:p w14:paraId="75938BB1" w14:textId="73AF0B51" w:rsidR="00AB13DF" w:rsidRPr="00237760" w:rsidRDefault="005D7831"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Trendy globalne i europejskie tendencje zmiany w transporcie</w:t>
            </w:r>
          </w:p>
        </w:tc>
        <w:tc>
          <w:tcPr>
            <w:tcW w:w="2268" w:type="dxa"/>
            <w:gridSpan w:val="4"/>
            <w:tcBorders>
              <w:top w:val="single" w:sz="12" w:space="0" w:color="002060"/>
              <w:left w:val="nil"/>
              <w:bottom w:val="single" w:sz="4" w:space="0" w:color="BDD6EE" w:themeColor="accent1" w:themeTint="66"/>
            </w:tcBorders>
            <w:shd w:val="clear" w:color="auto" w:fill="auto"/>
            <w:vAlign w:val="center"/>
          </w:tcPr>
          <w:p w14:paraId="3862FE29" w14:textId="77777777" w:rsidR="00AB13DF" w:rsidRPr="00237760" w:rsidRDefault="00AB13DF"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podstawowe PSRT WP</w:t>
            </w:r>
          </w:p>
        </w:tc>
        <w:tc>
          <w:tcPr>
            <w:tcW w:w="2977" w:type="dxa"/>
            <w:gridSpan w:val="5"/>
            <w:tcBorders>
              <w:top w:val="single" w:sz="12" w:space="0" w:color="002060"/>
              <w:left w:val="nil"/>
              <w:bottom w:val="single" w:sz="4" w:space="0" w:color="BDD6EE" w:themeColor="accent1" w:themeTint="66"/>
            </w:tcBorders>
            <w:shd w:val="clear" w:color="auto" w:fill="auto"/>
            <w:vAlign w:val="center"/>
          </w:tcPr>
          <w:p w14:paraId="48BD4449" w14:textId="77777777" w:rsidR="00AB13DF" w:rsidRPr="00237760" w:rsidRDefault="00AB13DF"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horyzontalne PSRT WP</w:t>
            </w:r>
          </w:p>
        </w:tc>
      </w:tr>
      <w:tr w:rsidR="00237760" w:rsidRPr="00237760" w14:paraId="1C6F8057" w14:textId="77777777" w:rsidTr="000F012A">
        <w:trPr>
          <w:gridAfter w:val="1"/>
          <w:wAfter w:w="6" w:type="dxa"/>
          <w:trHeight w:val="60"/>
          <w:tblHeader/>
        </w:trPr>
        <w:tc>
          <w:tcPr>
            <w:tcW w:w="3974" w:type="dxa"/>
            <w:vMerge/>
            <w:tcBorders>
              <w:top w:val="nil"/>
              <w:left w:val="nil"/>
              <w:bottom w:val="single" w:sz="4" w:space="0" w:color="BDD6EE" w:themeColor="accent1" w:themeTint="66"/>
              <w:right w:val="nil"/>
            </w:tcBorders>
            <w:shd w:val="clear" w:color="auto" w:fill="auto"/>
            <w:vAlign w:val="center"/>
            <w:hideMark/>
          </w:tcPr>
          <w:p w14:paraId="0CCBD525" w14:textId="77777777" w:rsidR="00AB13DF" w:rsidRPr="00237760" w:rsidRDefault="00AB13DF" w:rsidP="009367B4">
            <w:pPr>
              <w:spacing w:after="0" w:line="240" w:lineRule="auto"/>
              <w:jc w:val="left"/>
              <w:rPr>
                <w:rFonts w:ascii="Arial" w:hAnsi="Arial" w:cs="Arial"/>
                <w:b/>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02BC920F" w14:textId="77777777" w:rsidR="00AB13DF" w:rsidRPr="00237760" w:rsidRDefault="00AB13DF"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173C03F9" w14:textId="77777777" w:rsidR="00AB13DF" w:rsidRPr="00237760" w:rsidRDefault="00AB13DF"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7471159D" w14:textId="77777777" w:rsidR="00AB13DF" w:rsidRPr="00237760" w:rsidRDefault="00AB13DF"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748"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315714AF" w14:textId="77777777" w:rsidR="00AB13DF" w:rsidRPr="00237760" w:rsidRDefault="00AB13DF"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74C13FBC" w14:textId="77777777" w:rsidR="00AB13DF" w:rsidRPr="00237760" w:rsidRDefault="00AB13DF"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nil"/>
            </w:tcBorders>
            <w:shd w:val="clear" w:color="auto" w:fill="auto"/>
          </w:tcPr>
          <w:p w14:paraId="34B6F80C" w14:textId="77777777" w:rsidR="00AB13DF" w:rsidRPr="00237760" w:rsidRDefault="00AB13DF"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nil"/>
            </w:tcBorders>
            <w:shd w:val="clear" w:color="auto" w:fill="auto"/>
          </w:tcPr>
          <w:p w14:paraId="6A56BBCC" w14:textId="77777777" w:rsidR="00AB13DF" w:rsidRPr="00237760" w:rsidRDefault="00AB13DF"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4.</w:t>
            </w:r>
          </w:p>
        </w:tc>
      </w:tr>
      <w:tr w:rsidR="00237760" w:rsidRPr="00237760" w14:paraId="1604D978" w14:textId="77777777" w:rsidTr="000F012A">
        <w:trPr>
          <w:gridAfter w:val="1"/>
          <w:wAfter w:w="6" w:type="dxa"/>
          <w:trHeight w:val="428"/>
        </w:trPr>
        <w:tc>
          <w:tcPr>
            <w:tcW w:w="3974"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7C9B4D6A" w14:textId="77777777" w:rsidR="00AB13DF" w:rsidRPr="00237760" w:rsidRDefault="00AB13DF"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Rewolucja technologiczna, w tym automatyzacja i cyfryzacja procesów</w:t>
            </w: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6CF5C41B" w14:textId="77777777" w:rsidR="00AB13DF" w:rsidRPr="00237760" w:rsidRDefault="00AB13DF"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2B712F87" w14:textId="77777777" w:rsidR="00AB13DF" w:rsidRPr="00237760" w:rsidRDefault="00AB13DF"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3039214A" w14:textId="77777777" w:rsidR="00AB13DF" w:rsidRPr="00237760" w:rsidRDefault="00AB13DF" w:rsidP="009367B4">
            <w:pPr>
              <w:spacing w:after="0" w:line="240" w:lineRule="auto"/>
              <w:jc w:val="left"/>
              <w:rPr>
                <w:rFonts w:ascii="Arial" w:hAnsi="Arial" w:cs="Arial"/>
                <w:color w:val="auto"/>
                <w:sz w:val="24"/>
                <w:szCs w:val="24"/>
              </w:rPr>
            </w:pPr>
          </w:p>
        </w:tc>
        <w:tc>
          <w:tcPr>
            <w:tcW w:w="748"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1ABEE628" w14:textId="77777777" w:rsidR="00AB13DF" w:rsidRPr="00237760" w:rsidRDefault="00AB13DF"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289050F1" w14:textId="77777777" w:rsidR="00AB13DF" w:rsidRPr="00237760" w:rsidRDefault="00AB13DF"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437E012C" w14:textId="77777777" w:rsidR="00AB13DF" w:rsidRPr="00237760" w:rsidRDefault="00AB13DF"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53FFC3BC" w14:textId="77777777" w:rsidR="00AB13DF" w:rsidRPr="00237760" w:rsidRDefault="00AB13DF" w:rsidP="009367B4">
            <w:pPr>
              <w:spacing w:after="0" w:line="240" w:lineRule="auto"/>
              <w:jc w:val="left"/>
              <w:rPr>
                <w:rFonts w:ascii="Arial" w:hAnsi="Arial" w:cs="Arial"/>
                <w:color w:val="auto"/>
                <w:sz w:val="24"/>
                <w:szCs w:val="24"/>
              </w:rPr>
            </w:pPr>
          </w:p>
        </w:tc>
      </w:tr>
      <w:tr w:rsidR="00237760" w:rsidRPr="00237760" w14:paraId="1A7CD36B" w14:textId="77777777" w:rsidTr="000F012A">
        <w:trPr>
          <w:gridAfter w:val="1"/>
          <w:wAfter w:w="6" w:type="dxa"/>
          <w:trHeight w:val="14"/>
        </w:trPr>
        <w:tc>
          <w:tcPr>
            <w:tcW w:w="3974"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53177FB9" w14:textId="77777777" w:rsidR="00AB13DF" w:rsidRPr="00237760" w:rsidRDefault="00AB13DF"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Wzrost liczby osób o ograniczonych możliwościach fizycznych</w:t>
            </w: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478BBFB6" w14:textId="77777777" w:rsidR="00AB13DF" w:rsidRPr="00237760" w:rsidRDefault="00AB13DF"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57468B59" w14:textId="77777777" w:rsidR="00AB13DF" w:rsidRPr="00237760" w:rsidRDefault="00AB13DF"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485CB431" w14:textId="77777777" w:rsidR="00AB13DF" w:rsidRPr="00237760" w:rsidRDefault="00AB13DF" w:rsidP="009367B4">
            <w:pPr>
              <w:spacing w:after="0" w:line="240" w:lineRule="auto"/>
              <w:jc w:val="left"/>
              <w:rPr>
                <w:rFonts w:ascii="Arial" w:hAnsi="Arial" w:cs="Arial"/>
                <w:color w:val="auto"/>
                <w:sz w:val="24"/>
                <w:szCs w:val="24"/>
              </w:rPr>
            </w:pPr>
          </w:p>
        </w:tc>
        <w:tc>
          <w:tcPr>
            <w:tcW w:w="748"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277993FE" w14:textId="77777777" w:rsidR="00AB13DF" w:rsidRPr="00237760" w:rsidRDefault="00AB13DF"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7E2F4917" w14:textId="77777777" w:rsidR="00AB13DF" w:rsidRPr="00237760" w:rsidRDefault="00AB13DF"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7714050B" w14:textId="77777777" w:rsidR="00AB13DF" w:rsidRPr="00237760" w:rsidRDefault="00AB13DF"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5612636B" w14:textId="77777777" w:rsidR="00AB13DF" w:rsidRPr="00237760" w:rsidRDefault="00AB13DF" w:rsidP="009367B4">
            <w:pPr>
              <w:spacing w:after="0" w:line="240" w:lineRule="auto"/>
              <w:jc w:val="left"/>
              <w:rPr>
                <w:rFonts w:ascii="Arial" w:hAnsi="Arial" w:cs="Arial"/>
                <w:color w:val="auto"/>
                <w:sz w:val="24"/>
                <w:szCs w:val="24"/>
              </w:rPr>
            </w:pPr>
          </w:p>
        </w:tc>
      </w:tr>
      <w:tr w:rsidR="00237760" w:rsidRPr="00237760" w14:paraId="2BDEE72D" w14:textId="77777777" w:rsidTr="000F012A">
        <w:trPr>
          <w:gridAfter w:val="1"/>
          <w:wAfter w:w="6" w:type="dxa"/>
          <w:trHeight w:val="14"/>
        </w:trPr>
        <w:tc>
          <w:tcPr>
            <w:tcW w:w="3974"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41C777A7" w14:textId="77777777" w:rsidR="00AB13DF" w:rsidRPr="00237760" w:rsidRDefault="00AB13DF"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Działania na rzecz środowiska i klimatu</w:t>
            </w: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1C461BF6" w14:textId="77777777" w:rsidR="00AB13DF" w:rsidRPr="00237760" w:rsidRDefault="00AB13DF"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48AB5B1F" w14:textId="77777777" w:rsidR="00AB13DF" w:rsidRPr="00237760" w:rsidRDefault="00AB13DF"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70D39B49" w14:textId="77777777" w:rsidR="00AB13DF" w:rsidRPr="00237760" w:rsidRDefault="00AB13DF" w:rsidP="009367B4">
            <w:pPr>
              <w:spacing w:after="0" w:line="240" w:lineRule="auto"/>
              <w:jc w:val="left"/>
              <w:rPr>
                <w:rFonts w:ascii="Arial" w:hAnsi="Arial" w:cs="Arial"/>
                <w:color w:val="auto"/>
                <w:sz w:val="24"/>
                <w:szCs w:val="24"/>
              </w:rPr>
            </w:pPr>
          </w:p>
        </w:tc>
        <w:tc>
          <w:tcPr>
            <w:tcW w:w="748"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00F9365C" w14:textId="77777777" w:rsidR="00AB13DF" w:rsidRPr="00237760" w:rsidRDefault="00AB13DF"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73A71E31" w14:textId="77777777" w:rsidR="00AB13DF" w:rsidRPr="00237760" w:rsidRDefault="00AB13DF"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6D3E3589" w14:textId="77777777" w:rsidR="00AB13DF" w:rsidRPr="00237760" w:rsidRDefault="00AB13DF"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0698B831" w14:textId="77777777" w:rsidR="00AB13DF" w:rsidRPr="00237760" w:rsidRDefault="00AB13DF" w:rsidP="009367B4">
            <w:pPr>
              <w:spacing w:after="0" w:line="240" w:lineRule="auto"/>
              <w:jc w:val="left"/>
              <w:rPr>
                <w:rFonts w:ascii="Arial" w:hAnsi="Arial" w:cs="Arial"/>
                <w:color w:val="auto"/>
                <w:sz w:val="24"/>
                <w:szCs w:val="24"/>
              </w:rPr>
            </w:pPr>
          </w:p>
        </w:tc>
      </w:tr>
      <w:tr w:rsidR="00237760" w:rsidRPr="00237760" w14:paraId="41D7FF24" w14:textId="77777777" w:rsidTr="000F012A">
        <w:trPr>
          <w:gridAfter w:val="1"/>
          <w:wAfter w:w="6" w:type="dxa"/>
          <w:trHeight w:val="14"/>
        </w:trPr>
        <w:tc>
          <w:tcPr>
            <w:tcW w:w="3974"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215765BE" w14:textId="77777777" w:rsidR="00AB13DF" w:rsidRPr="00237760" w:rsidRDefault="00AB13DF"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Nasilające się migracje międzynarodowe</w:t>
            </w: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30E6ECF0" w14:textId="77777777" w:rsidR="00AB13DF" w:rsidRPr="00237760" w:rsidRDefault="00AB13DF"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261C6E88" w14:textId="77777777" w:rsidR="00AB13DF" w:rsidRPr="00237760" w:rsidRDefault="00AB13DF"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2BC92BDA" w14:textId="77777777" w:rsidR="00AB13DF" w:rsidRPr="00237760" w:rsidRDefault="00AB13DF" w:rsidP="009367B4">
            <w:pPr>
              <w:spacing w:after="0" w:line="240" w:lineRule="auto"/>
              <w:jc w:val="left"/>
              <w:rPr>
                <w:rFonts w:ascii="Arial" w:hAnsi="Arial" w:cs="Arial"/>
                <w:color w:val="auto"/>
                <w:sz w:val="24"/>
                <w:szCs w:val="24"/>
              </w:rPr>
            </w:pPr>
          </w:p>
        </w:tc>
        <w:tc>
          <w:tcPr>
            <w:tcW w:w="748"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5FA418DE" w14:textId="77777777" w:rsidR="00AB13DF" w:rsidRPr="00237760" w:rsidRDefault="00AB13DF"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355AF236" w14:textId="77777777" w:rsidR="00AB13DF" w:rsidRPr="00237760" w:rsidRDefault="00AB13DF"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7D0ADB3A" w14:textId="77777777" w:rsidR="00AB13DF" w:rsidRPr="00237760" w:rsidRDefault="00AB13DF"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24894991" w14:textId="77777777" w:rsidR="00AB13DF" w:rsidRPr="00237760" w:rsidRDefault="00AB13DF" w:rsidP="009367B4">
            <w:pPr>
              <w:spacing w:after="0" w:line="240" w:lineRule="auto"/>
              <w:jc w:val="left"/>
              <w:rPr>
                <w:rFonts w:ascii="Arial" w:hAnsi="Arial" w:cs="Arial"/>
                <w:color w:val="auto"/>
                <w:sz w:val="24"/>
                <w:szCs w:val="24"/>
              </w:rPr>
            </w:pPr>
          </w:p>
        </w:tc>
      </w:tr>
      <w:tr w:rsidR="00237760" w:rsidRPr="00237760" w14:paraId="753C02C8" w14:textId="77777777" w:rsidTr="000F012A">
        <w:trPr>
          <w:gridAfter w:val="1"/>
          <w:wAfter w:w="6" w:type="dxa"/>
          <w:trHeight w:val="14"/>
        </w:trPr>
        <w:tc>
          <w:tcPr>
            <w:tcW w:w="3974"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1663DC27" w14:textId="77777777" w:rsidR="00AB13DF" w:rsidRPr="00237760" w:rsidRDefault="00AB13DF"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Wrażliwość łańcuchów dostaw (globalizacji)</w:t>
            </w: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10017001" w14:textId="77777777" w:rsidR="00AB13DF" w:rsidRPr="00237760" w:rsidRDefault="00AB13DF"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223293CE" w14:textId="77777777" w:rsidR="00AB13DF" w:rsidRPr="00237760" w:rsidRDefault="00AB13DF"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095D1D95" w14:textId="77777777" w:rsidR="00AB13DF" w:rsidRPr="00237760" w:rsidRDefault="00AB13DF" w:rsidP="009367B4">
            <w:pPr>
              <w:spacing w:after="0" w:line="240" w:lineRule="auto"/>
              <w:jc w:val="left"/>
              <w:rPr>
                <w:rFonts w:ascii="Arial" w:hAnsi="Arial" w:cs="Arial"/>
                <w:color w:val="auto"/>
                <w:sz w:val="24"/>
                <w:szCs w:val="24"/>
              </w:rPr>
            </w:pPr>
          </w:p>
        </w:tc>
        <w:tc>
          <w:tcPr>
            <w:tcW w:w="748"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54448524" w14:textId="77777777" w:rsidR="00AB13DF" w:rsidRPr="00237760" w:rsidRDefault="00AB13DF"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63B48FC4" w14:textId="77777777" w:rsidR="00AB13DF" w:rsidRPr="00237760" w:rsidRDefault="00AB13DF"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20FC3C4E" w14:textId="77777777" w:rsidR="00AB13DF" w:rsidRPr="00237760" w:rsidRDefault="00AB13DF"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07A2379C" w14:textId="77777777" w:rsidR="00AB13DF" w:rsidRPr="00237760" w:rsidRDefault="00AB13DF" w:rsidP="009367B4">
            <w:pPr>
              <w:spacing w:after="0" w:line="240" w:lineRule="auto"/>
              <w:jc w:val="left"/>
              <w:rPr>
                <w:rFonts w:ascii="Arial" w:hAnsi="Arial" w:cs="Arial"/>
                <w:color w:val="auto"/>
                <w:sz w:val="24"/>
                <w:szCs w:val="24"/>
              </w:rPr>
            </w:pPr>
          </w:p>
        </w:tc>
      </w:tr>
      <w:tr w:rsidR="00237760" w:rsidRPr="00237760" w14:paraId="3CF72CB6" w14:textId="77777777" w:rsidTr="000F012A">
        <w:trPr>
          <w:gridAfter w:val="1"/>
          <w:wAfter w:w="6" w:type="dxa"/>
          <w:trHeight w:val="14"/>
        </w:trPr>
        <w:tc>
          <w:tcPr>
            <w:tcW w:w="3974"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1A43ABD1" w14:textId="77777777" w:rsidR="00AB13DF" w:rsidRPr="00237760" w:rsidRDefault="00AB13DF"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lastRenderedPageBreak/>
              <w:t>Nowoczesny transport kolejowy</w:t>
            </w: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31233FD4" w14:textId="77777777" w:rsidR="00AB13DF" w:rsidRPr="00237760" w:rsidRDefault="00AB13DF"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305465C2" w14:textId="77777777" w:rsidR="00AB13DF" w:rsidRPr="00237760" w:rsidRDefault="00AB13DF"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30D090BB" w14:textId="77777777" w:rsidR="00AB13DF" w:rsidRPr="00237760" w:rsidRDefault="00AB13DF" w:rsidP="009367B4">
            <w:pPr>
              <w:spacing w:after="0" w:line="240" w:lineRule="auto"/>
              <w:jc w:val="left"/>
              <w:rPr>
                <w:rFonts w:ascii="Arial" w:hAnsi="Arial" w:cs="Arial"/>
                <w:color w:val="auto"/>
                <w:sz w:val="24"/>
                <w:szCs w:val="24"/>
              </w:rPr>
            </w:pPr>
          </w:p>
        </w:tc>
        <w:tc>
          <w:tcPr>
            <w:tcW w:w="748"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4C4D13D3" w14:textId="77777777" w:rsidR="00AB13DF" w:rsidRPr="00237760" w:rsidRDefault="00AB13DF"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43FE60D7" w14:textId="77777777" w:rsidR="00AB13DF" w:rsidRPr="00237760" w:rsidRDefault="00AB13DF"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10D5F41F" w14:textId="77777777" w:rsidR="00AB13DF" w:rsidRPr="00237760" w:rsidRDefault="00AB13DF"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7B02FED5" w14:textId="77777777" w:rsidR="00AB13DF" w:rsidRPr="00237760" w:rsidRDefault="00AB13DF" w:rsidP="009367B4">
            <w:pPr>
              <w:spacing w:after="0" w:line="240" w:lineRule="auto"/>
              <w:jc w:val="left"/>
              <w:rPr>
                <w:rFonts w:ascii="Arial" w:hAnsi="Arial" w:cs="Arial"/>
                <w:color w:val="auto"/>
                <w:sz w:val="24"/>
                <w:szCs w:val="24"/>
              </w:rPr>
            </w:pPr>
          </w:p>
        </w:tc>
      </w:tr>
      <w:tr w:rsidR="00237760" w:rsidRPr="00237760" w14:paraId="427D636F" w14:textId="77777777" w:rsidTr="000F012A">
        <w:trPr>
          <w:gridAfter w:val="1"/>
          <w:wAfter w:w="6" w:type="dxa"/>
          <w:trHeight w:val="14"/>
        </w:trPr>
        <w:tc>
          <w:tcPr>
            <w:tcW w:w="3974"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717B1B5B" w14:textId="77777777" w:rsidR="00AB13DF" w:rsidRPr="00237760" w:rsidRDefault="00AB13DF"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Czyste pojazdy i niezbędna do nich infrastruktura</w:t>
            </w: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1AD558B7" w14:textId="77777777" w:rsidR="00AB13DF" w:rsidRPr="00237760" w:rsidRDefault="00AB13DF"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05B91244" w14:textId="77777777" w:rsidR="00AB13DF" w:rsidRPr="00237760" w:rsidRDefault="00AB13DF"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27FE6D82" w14:textId="77777777" w:rsidR="00AB13DF" w:rsidRPr="00237760" w:rsidRDefault="00AB13DF" w:rsidP="009367B4">
            <w:pPr>
              <w:spacing w:after="0" w:line="240" w:lineRule="auto"/>
              <w:jc w:val="left"/>
              <w:rPr>
                <w:rFonts w:ascii="Arial" w:hAnsi="Arial" w:cs="Arial"/>
                <w:color w:val="auto"/>
                <w:sz w:val="24"/>
                <w:szCs w:val="24"/>
              </w:rPr>
            </w:pPr>
          </w:p>
        </w:tc>
        <w:tc>
          <w:tcPr>
            <w:tcW w:w="748"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66BBCD8B" w14:textId="77777777" w:rsidR="00AB13DF" w:rsidRPr="00237760" w:rsidRDefault="00AB13DF"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4DC94BF9" w14:textId="77777777" w:rsidR="00AB13DF" w:rsidRPr="00237760" w:rsidRDefault="00AB13DF"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3E7480AD" w14:textId="77777777" w:rsidR="00AB13DF" w:rsidRPr="00237760" w:rsidRDefault="00AB13DF"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167931EF" w14:textId="77777777" w:rsidR="00AB13DF" w:rsidRPr="00237760" w:rsidRDefault="00AB13DF" w:rsidP="009367B4">
            <w:pPr>
              <w:spacing w:after="0" w:line="240" w:lineRule="auto"/>
              <w:jc w:val="left"/>
              <w:rPr>
                <w:rFonts w:ascii="Arial" w:hAnsi="Arial" w:cs="Arial"/>
                <w:color w:val="auto"/>
                <w:sz w:val="24"/>
                <w:szCs w:val="24"/>
              </w:rPr>
            </w:pPr>
          </w:p>
        </w:tc>
      </w:tr>
      <w:tr w:rsidR="00237760" w:rsidRPr="00237760" w14:paraId="21379036" w14:textId="77777777" w:rsidTr="000F012A">
        <w:trPr>
          <w:gridAfter w:val="1"/>
          <w:wAfter w:w="6" w:type="dxa"/>
          <w:trHeight w:val="14"/>
        </w:trPr>
        <w:tc>
          <w:tcPr>
            <w:tcW w:w="3974"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5F5C6959" w14:textId="77777777" w:rsidR="00AB13DF" w:rsidRPr="00237760" w:rsidRDefault="00AB13DF"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Ekologiczny transport publiczny o lepszej jakości</w:t>
            </w: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774254DE" w14:textId="77777777" w:rsidR="00AB13DF" w:rsidRPr="00237760" w:rsidRDefault="00AB13DF"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46BECB2C" w14:textId="77777777" w:rsidR="00AB13DF" w:rsidRPr="00237760" w:rsidRDefault="00AB13DF"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20854103" w14:textId="77777777" w:rsidR="00AB13DF" w:rsidRPr="00237760" w:rsidRDefault="00AB13DF" w:rsidP="009367B4">
            <w:pPr>
              <w:spacing w:after="0" w:line="240" w:lineRule="auto"/>
              <w:jc w:val="left"/>
              <w:rPr>
                <w:rFonts w:ascii="Arial" w:hAnsi="Arial" w:cs="Arial"/>
                <w:color w:val="auto"/>
                <w:sz w:val="24"/>
                <w:szCs w:val="24"/>
              </w:rPr>
            </w:pPr>
          </w:p>
        </w:tc>
        <w:tc>
          <w:tcPr>
            <w:tcW w:w="748"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331BC464" w14:textId="77777777" w:rsidR="00AB13DF" w:rsidRPr="00237760" w:rsidRDefault="00AB13DF"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4B4A01ED" w14:textId="77777777" w:rsidR="00AB13DF" w:rsidRPr="00237760" w:rsidRDefault="00AB13DF"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7138B384" w14:textId="77777777" w:rsidR="00AB13DF" w:rsidRPr="00237760" w:rsidRDefault="00AB13DF"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274BC7AA" w14:textId="77777777" w:rsidR="00AB13DF" w:rsidRPr="00237760" w:rsidRDefault="00AB13DF" w:rsidP="009367B4">
            <w:pPr>
              <w:spacing w:after="0" w:line="240" w:lineRule="auto"/>
              <w:jc w:val="left"/>
              <w:rPr>
                <w:rFonts w:ascii="Arial" w:hAnsi="Arial" w:cs="Arial"/>
                <w:color w:val="auto"/>
                <w:sz w:val="24"/>
                <w:szCs w:val="24"/>
              </w:rPr>
            </w:pPr>
          </w:p>
        </w:tc>
      </w:tr>
      <w:tr w:rsidR="00237760" w:rsidRPr="00237760" w14:paraId="57000242" w14:textId="77777777" w:rsidTr="000F012A">
        <w:trPr>
          <w:gridAfter w:val="1"/>
          <w:wAfter w:w="6" w:type="dxa"/>
          <w:trHeight w:val="14"/>
        </w:trPr>
        <w:tc>
          <w:tcPr>
            <w:tcW w:w="3974"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6BA43E15" w14:textId="77777777" w:rsidR="00AB13DF" w:rsidRPr="00237760" w:rsidRDefault="00AB13DF"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Ograniczanie użytkowania aut osobowych</w:t>
            </w: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16EE9D00" w14:textId="77777777" w:rsidR="00AB13DF" w:rsidRPr="00237760" w:rsidRDefault="00AB13DF"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5B09B5BB" w14:textId="77777777" w:rsidR="00AB13DF" w:rsidRPr="00237760" w:rsidRDefault="00AB13DF"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1E8DB1A2" w14:textId="77777777" w:rsidR="00AB13DF" w:rsidRPr="00237760" w:rsidRDefault="00AB13DF" w:rsidP="009367B4">
            <w:pPr>
              <w:spacing w:after="0" w:line="240" w:lineRule="auto"/>
              <w:jc w:val="left"/>
              <w:rPr>
                <w:rFonts w:ascii="Arial" w:hAnsi="Arial" w:cs="Arial"/>
                <w:color w:val="auto"/>
                <w:sz w:val="24"/>
                <w:szCs w:val="24"/>
              </w:rPr>
            </w:pPr>
          </w:p>
        </w:tc>
        <w:tc>
          <w:tcPr>
            <w:tcW w:w="748"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3CE46081" w14:textId="77777777" w:rsidR="00AB13DF" w:rsidRPr="00237760" w:rsidRDefault="00AB13DF"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205707BC" w14:textId="77777777" w:rsidR="00AB13DF" w:rsidRPr="00237760" w:rsidRDefault="00AB13DF"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45D08D17" w14:textId="77777777" w:rsidR="00AB13DF" w:rsidRPr="00237760" w:rsidRDefault="00AB13DF"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6CC1845E" w14:textId="77777777" w:rsidR="00AB13DF" w:rsidRPr="00237760" w:rsidRDefault="00AB13DF" w:rsidP="009367B4">
            <w:pPr>
              <w:spacing w:after="0" w:line="240" w:lineRule="auto"/>
              <w:jc w:val="left"/>
              <w:rPr>
                <w:rFonts w:ascii="Arial" w:hAnsi="Arial" w:cs="Arial"/>
                <w:color w:val="auto"/>
                <w:sz w:val="24"/>
                <w:szCs w:val="24"/>
              </w:rPr>
            </w:pPr>
          </w:p>
        </w:tc>
      </w:tr>
      <w:tr w:rsidR="00237760" w:rsidRPr="00237760" w14:paraId="66497513" w14:textId="77777777" w:rsidTr="000F012A">
        <w:trPr>
          <w:gridAfter w:val="1"/>
          <w:wAfter w:w="6" w:type="dxa"/>
          <w:trHeight w:val="14"/>
        </w:trPr>
        <w:tc>
          <w:tcPr>
            <w:tcW w:w="3974"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36637E69" w14:textId="77777777" w:rsidR="00AB13DF" w:rsidRPr="00237760" w:rsidRDefault="00AB13DF"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Promocje aktywnej mobilności</w:t>
            </w: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21F55338" w14:textId="77777777" w:rsidR="00AB13DF" w:rsidRPr="00237760" w:rsidRDefault="00AB13DF"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5B865359" w14:textId="77777777" w:rsidR="00AB13DF" w:rsidRPr="00237760" w:rsidRDefault="00AB13DF"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4B386C86" w14:textId="77777777" w:rsidR="00AB13DF" w:rsidRPr="00237760" w:rsidRDefault="00AB13DF" w:rsidP="009367B4">
            <w:pPr>
              <w:spacing w:after="0" w:line="240" w:lineRule="auto"/>
              <w:jc w:val="left"/>
              <w:rPr>
                <w:rFonts w:ascii="Arial" w:hAnsi="Arial" w:cs="Arial"/>
                <w:color w:val="auto"/>
                <w:sz w:val="24"/>
                <w:szCs w:val="24"/>
              </w:rPr>
            </w:pPr>
          </w:p>
        </w:tc>
        <w:tc>
          <w:tcPr>
            <w:tcW w:w="748"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4EA83FCC" w14:textId="77777777" w:rsidR="00AB13DF" w:rsidRPr="00237760" w:rsidRDefault="00AB13DF"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27A45D43" w14:textId="77777777" w:rsidR="00AB13DF" w:rsidRPr="00237760" w:rsidRDefault="00AB13DF"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679A993F" w14:textId="77777777" w:rsidR="00AB13DF" w:rsidRPr="00237760" w:rsidRDefault="00AB13DF"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30F5F1C9" w14:textId="77777777" w:rsidR="00AB13DF" w:rsidRPr="00237760" w:rsidRDefault="00AB13DF" w:rsidP="009367B4">
            <w:pPr>
              <w:spacing w:after="0" w:line="240" w:lineRule="auto"/>
              <w:jc w:val="left"/>
              <w:rPr>
                <w:rFonts w:ascii="Arial" w:hAnsi="Arial" w:cs="Arial"/>
                <w:color w:val="auto"/>
                <w:sz w:val="24"/>
                <w:szCs w:val="24"/>
              </w:rPr>
            </w:pPr>
          </w:p>
        </w:tc>
      </w:tr>
      <w:tr w:rsidR="00237760" w:rsidRPr="00237760" w14:paraId="08A0669C" w14:textId="77777777" w:rsidTr="000F012A">
        <w:trPr>
          <w:gridAfter w:val="1"/>
          <w:wAfter w:w="6" w:type="dxa"/>
          <w:trHeight w:val="60"/>
        </w:trPr>
        <w:tc>
          <w:tcPr>
            <w:tcW w:w="3974"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2B1D3790" w14:textId="77777777" w:rsidR="00AB13DF" w:rsidRPr="00237760" w:rsidRDefault="00AB13DF"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Modernizacja dróg i portów lotniczych i wodnych.</w:t>
            </w: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1AE96B1A" w14:textId="77777777" w:rsidR="00AB13DF" w:rsidRPr="00237760" w:rsidRDefault="00AB13DF"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07BE8B7B" w14:textId="77777777" w:rsidR="00AB13DF" w:rsidRPr="00237760" w:rsidRDefault="00AB13DF"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33F9A8A7" w14:textId="77777777" w:rsidR="00AB13DF" w:rsidRPr="00237760" w:rsidRDefault="00AB13DF" w:rsidP="009367B4">
            <w:pPr>
              <w:spacing w:after="0" w:line="240" w:lineRule="auto"/>
              <w:jc w:val="left"/>
              <w:rPr>
                <w:rFonts w:ascii="Arial" w:hAnsi="Arial" w:cs="Arial"/>
                <w:color w:val="auto"/>
                <w:sz w:val="24"/>
                <w:szCs w:val="24"/>
              </w:rPr>
            </w:pPr>
          </w:p>
        </w:tc>
        <w:tc>
          <w:tcPr>
            <w:tcW w:w="748"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0BC7E6A3" w14:textId="77777777" w:rsidR="00AB13DF" w:rsidRPr="00237760" w:rsidRDefault="00AB13DF"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0EE7B823" w14:textId="77777777" w:rsidR="00AB13DF" w:rsidRPr="00237760" w:rsidRDefault="00AB13DF"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6A8FBDAD" w14:textId="77777777" w:rsidR="00AB13DF" w:rsidRPr="00237760" w:rsidRDefault="00AB13DF"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276C8112" w14:textId="77777777" w:rsidR="00AB13DF" w:rsidRPr="00237760" w:rsidRDefault="00AB13DF" w:rsidP="009367B4">
            <w:pPr>
              <w:spacing w:after="0" w:line="240" w:lineRule="auto"/>
              <w:jc w:val="left"/>
              <w:rPr>
                <w:rFonts w:ascii="Arial" w:hAnsi="Arial" w:cs="Arial"/>
                <w:color w:val="auto"/>
                <w:sz w:val="24"/>
                <w:szCs w:val="24"/>
              </w:rPr>
            </w:pPr>
          </w:p>
        </w:tc>
      </w:tr>
    </w:tbl>
    <w:p w14:paraId="0C8D24B3" w14:textId="70314D0D" w:rsidR="00AB13DF" w:rsidRPr="00237760" w:rsidRDefault="00BE3E64"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Źródło:</w:t>
      </w:r>
      <w:r w:rsidR="001356E5" w:rsidRPr="00237760">
        <w:rPr>
          <w:rFonts w:ascii="Arial" w:hAnsi="Arial" w:cs="Arial"/>
          <w:color w:val="auto"/>
          <w:sz w:val="24"/>
          <w:szCs w:val="24"/>
          <w:lang w:eastAsia="pl-PL"/>
        </w:rPr>
        <w:t xml:space="preserve"> opracowanie własne</w:t>
      </w:r>
      <w:r w:rsidR="00034837" w:rsidRPr="00237760">
        <w:rPr>
          <w:rFonts w:ascii="Arial" w:hAnsi="Arial" w:cs="Arial"/>
          <w:color w:val="auto"/>
          <w:sz w:val="24"/>
          <w:szCs w:val="24"/>
          <w:lang w:eastAsia="pl-PL"/>
        </w:rPr>
        <w:t xml:space="preserve"> na podstawie: Global Trends to 2035, Transport trends in national oraz Scenariusze rozwojowe…</w:t>
      </w:r>
    </w:p>
    <w:p w14:paraId="732BD2D9" w14:textId="1B020878" w:rsidR="0076710D" w:rsidRPr="00237760" w:rsidRDefault="00C80325" w:rsidP="009367B4">
      <w:pPr>
        <w:jc w:val="left"/>
        <w:rPr>
          <w:rFonts w:ascii="Arial" w:hAnsi="Arial" w:cs="Arial"/>
          <w:color w:val="auto"/>
          <w:sz w:val="24"/>
          <w:szCs w:val="24"/>
          <w:lang w:eastAsia="pl-PL"/>
        </w:rPr>
      </w:pPr>
      <w:bookmarkStart w:id="72" w:name="_Hlk101334484"/>
      <w:r w:rsidRPr="00237760">
        <w:rPr>
          <w:rFonts w:ascii="Arial" w:hAnsi="Arial" w:cs="Arial"/>
          <w:bCs/>
          <w:color w:val="auto"/>
          <w:sz w:val="24"/>
          <w:szCs w:val="24"/>
          <w:lang w:eastAsia="pl-PL"/>
        </w:rPr>
        <w:t xml:space="preserve">Na etapie diagnozy i analiz w </w:t>
      </w:r>
      <w:r w:rsidR="00F311FF" w:rsidRPr="00237760">
        <w:rPr>
          <w:rFonts w:ascii="Arial" w:hAnsi="Arial" w:cs="Arial"/>
          <w:bCs/>
          <w:color w:val="auto"/>
          <w:sz w:val="24"/>
          <w:szCs w:val="24"/>
          <w:lang w:eastAsia="pl-PL"/>
        </w:rPr>
        <w:t>PSRT WP</w:t>
      </w:r>
      <w:r w:rsidRPr="00237760">
        <w:rPr>
          <w:rFonts w:ascii="Arial" w:hAnsi="Arial" w:cs="Arial"/>
          <w:bCs/>
          <w:color w:val="auto"/>
          <w:sz w:val="24"/>
          <w:szCs w:val="24"/>
          <w:lang w:eastAsia="pl-PL"/>
        </w:rPr>
        <w:t xml:space="preserve"> brakuje opisu istotnych trendów </w:t>
      </w:r>
      <w:r w:rsidR="00AB13DF" w:rsidRPr="00237760">
        <w:rPr>
          <w:rFonts w:ascii="Arial" w:hAnsi="Arial" w:cs="Arial"/>
          <w:bCs/>
          <w:color w:val="auto"/>
          <w:sz w:val="24"/>
          <w:szCs w:val="24"/>
          <w:lang w:eastAsia="pl-PL"/>
        </w:rPr>
        <w:t>wpływających na system transportowy województwa, a także poszczególnych nowych rozwiązań w nim wykorzystywanych</w:t>
      </w:r>
      <w:r w:rsidR="00AB13DF" w:rsidRPr="00237760">
        <w:rPr>
          <w:rFonts w:ascii="Arial" w:hAnsi="Arial" w:cs="Arial"/>
          <w:color w:val="auto"/>
          <w:sz w:val="24"/>
          <w:szCs w:val="24"/>
          <w:lang w:eastAsia="pl-PL"/>
        </w:rPr>
        <w:t xml:space="preserve">. Pojedyncze trendy są wspominane w opracowaniu, </w:t>
      </w:r>
      <w:r w:rsidR="000719A7" w:rsidRPr="00237760">
        <w:rPr>
          <w:rFonts w:ascii="Arial" w:hAnsi="Arial" w:cs="Arial"/>
          <w:color w:val="auto"/>
          <w:sz w:val="24"/>
          <w:szCs w:val="24"/>
          <w:lang w:eastAsia="pl-PL"/>
        </w:rPr>
        <w:t xml:space="preserve">czego </w:t>
      </w:r>
      <w:r w:rsidR="00AB13DF" w:rsidRPr="00237760">
        <w:rPr>
          <w:rFonts w:ascii="Arial" w:hAnsi="Arial" w:cs="Arial"/>
          <w:color w:val="auto"/>
          <w:sz w:val="24"/>
          <w:szCs w:val="24"/>
          <w:lang w:eastAsia="pl-PL"/>
        </w:rPr>
        <w:t>przykładem jest starzenie się społeczeństwa, ale w znacznej większości bazuje się na analizie obecnej sytuacji i osadzonych w niej modeli ruchu zależnych od sytuacji demograficznej. Jest to wystarczające, ale dobrą praktyką byłoby rozwinięcie wyżej wymienionych kwestii w dokumencie.</w:t>
      </w:r>
    </w:p>
    <w:bookmarkEnd w:id="72"/>
    <w:p w14:paraId="605F7233" w14:textId="48ACF8ED" w:rsidR="00E8625A" w:rsidRPr="00237760" w:rsidRDefault="00E8625A" w:rsidP="009367B4">
      <w:pPr>
        <w:spacing w:after="160" w:line="259" w:lineRule="auto"/>
        <w:jc w:val="left"/>
        <w:rPr>
          <w:rFonts w:ascii="Arial" w:hAnsi="Arial" w:cs="Arial"/>
          <w:color w:val="auto"/>
          <w:sz w:val="24"/>
          <w:szCs w:val="24"/>
          <w:lang w:eastAsia="pl-PL"/>
        </w:rPr>
      </w:pPr>
      <w:r w:rsidRPr="00237760">
        <w:rPr>
          <w:rFonts w:ascii="Arial" w:hAnsi="Arial" w:cs="Arial"/>
          <w:color w:val="auto"/>
          <w:sz w:val="24"/>
          <w:szCs w:val="24"/>
          <w:lang w:eastAsia="pl-PL"/>
        </w:rPr>
        <w:br w:type="page"/>
      </w:r>
    </w:p>
    <w:p w14:paraId="3530A7F5" w14:textId="61D9E362" w:rsidR="00DE5DA0" w:rsidRPr="00237760" w:rsidRDefault="00DE5DA0" w:rsidP="009367B4">
      <w:pPr>
        <w:pStyle w:val="Nagwek2"/>
        <w:rPr>
          <w:rFonts w:ascii="Arial" w:hAnsi="Arial" w:cs="Arial"/>
          <w:color w:val="auto"/>
          <w:sz w:val="24"/>
          <w:szCs w:val="24"/>
        </w:rPr>
      </w:pPr>
      <w:bookmarkStart w:id="73" w:name="_Toc101904111"/>
      <w:bookmarkEnd w:id="70"/>
      <w:r w:rsidRPr="00237760">
        <w:rPr>
          <w:rFonts w:ascii="Arial" w:hAnsi="Arial" w:cs="Arial"/>
          <w:color w:val="auto"/>
          <w:sz w:val="24"/>
          <w:szCs w:val="24"/>
        </w:rPr>
        <w:lastRenderedPageBreak/>
        <w:t>Ocena</w:t>
      </w:r>
      <w:r w:rsidR="00342CEE" w:rsidRPr="00237760">
        <w:rPr>
          <w:rFonts w:ascii="Arial" w:hAnsi="Arial" w:cs="Arial"/>
          <w:color w:val="auto"/>
          <w:sz w:val="24"/>
          <w:szCs w:val="24"/>
        </w:rPr>
        <w:t xml:space="preserve"> trafności w kontekście podstawow</w:t>
      </w:r>
      <w:r w:rsidR="00F6222B" w:rsidRPr="00237760">
        <w:rPr>
          <w:rFonts w:ascii="Arial" w:hAnsi="Arial" w:cs="Arial"/>
          <w:color w:val="auto"/>
          <w:sz w:val="24"/>
          <w:szCs w:val="24"/>
        </w:rPr>
        <w:t>ych</w:t>
      </w:r>
      <w:r w:rsidR="00342CEE" w:rsidRPr="00237760">
        <w:rPr>
          <w:rFonts w:ascii="Arial" w:hAnsi="Arial" w:cs="Arial"/>
          <w:color w:val="auto"/>
          <w:sz w:val="24"/>
          <w:szCs w:val="24"/>
        </w:rPr>
        <w:t xml:space="preserve"> warunk</w:t>
      </w:r>
      <w:r w:rsidR="00F6222B" w:rsidRPr="00237760">
        <w:rPr>
          <w:rFonts w:ascii="Arial" w:hAnsi="Arial" w:cs="Arial"/>
          <w:color w:val="auto"/>
          <w:sz w:val="24"/>
          <w:szCs w:val="24"/>
        </w:rPr>
        <w:t>ów</w:t>
      </w:r>
      <w:r w:rsidR="00342CEE" w:rsidRPr="00237760">
        <w:rPr>
          <w:rFonts w:ascii="Arial" w:hAnsi="Arial" w:cs="Arial"/>
          <w:color w:val="auto"/>
          <w:sz w:val="24"/>
          <w:szCs w:val="24"/>
        </w:rPr>
        <w:t xml:space="preserve"> dalszego rozwoju </w:t>
      </w:r>
      <w:r w:rsidR="00F6222B" w:rsidRPr="00237760">
        <w:rPr>
          <w:rFonts w:ascii="Arial" w:hAnsi="Arial" w:cs="Arial"/>
          <w:color w:val="auto"/>
          <w:sz w:val="24"/>
          <w:szCs w:val="24"/>
        </w:rPr>
        <w:t>województwa podkarpackiego</w:t>
      </w:r>
      <w:bookmarkEnd w:id="73"/>
    </w:p>
    <w:p w14:paraId="19DCCDB4" w14:textId="77777777" w:rsidR="00ED3D23" w:rsidRPr="00D352FD" w:rsidRDefault="00ED3D23" w:rsidP="00D352FD">
      <w:pPr>
        <w:pStyle w:val="Nagwek3"/>
        <w:numPr>
          <w:ilvl w:val="0"/>
          <w:numId w:val="0"/>
        </w:numPr>
        <w:ind w:left="851" w:hanging="851"/>
        <w:rPr>
          <w:rFonts w:ascii="Arial" w:hAnsi="Arial" w:cs="Arial"/>
          <w:color w:val="auto"/>
          <w:sz w:val="24"/>
          <w:szCs w:val="24"/>
        </w:rPr>
      </w:pPr>
      <w:bookmarkStart w:id="74" w:name="_Toc101904112"/>
      <w:r w:rsidRPr="00D352FD">
        <w:rPr>
          <w:rFonts w:ascii="Arial" w:hAnsi="Arial" w:cs="Arial"/>
          <w:color w:val="auto"/>
          <w:sz w:val="24"/>
          <w:szCs w:val="24"/>
        </w:rPr>
        <w:t>Synteza</w:t>
      </w:r>
      <w:bookmarkEnd w:id="74"/>
    </w:p>
    <w:p w14:paraId="46CC25A4" w14:textId="756B3EA9" w:rsidR="00ED3D23" w:rsidRPr="00237760" w:rsidRDefault="00ED3D23" w:rsidP="009367B4">
      <w:pPr>
        <w:jc w:val="left"/>
        <w:rPr>
          <w:rFonts w:ascii="Arial" w:hAnsi="Arial" w:cs="Arial"/>
          <w:b/>
          <w:color w:val="auto"/>
          <w:sz w:val="24"/>
          <w:szCs w:val="24"/>
        </w:rPr>
      </w:pPr>
      <w:r w:rsidRPr="00237760">
        <w:rPr>
          <w:rFonts w:ascii="Arial" w:hAnsi="Arial" w:cs="Arial"/>
          <w:color w:val="auto"/>
          <w:sz w:val="24"/>
          <w:szCs w:val="24"/>
        </w:rPr>
        <w:t>Pytanie ewaluacyjne:</w:t>
      </w:r>
    </w:p>
    <w:p w14:paraId="20CCE7B6" w14:textId="1F711113" w:rsidR="00ED3D23" w:rsidRPr="00237760" w:rsidRDefault="00ED3D23" w:rsidP="009367B4">
      <w:pPr>
        <w:jc w:val="left"/>
        <w:rPr>
          <w:rFonts w:ascii="Arial" w:hAnsi="Arial" w:cs="Arial"/>
          <w:color w:val="auto"/>
          <w:sz w:val="24"/>
          <w:szCs w:val="24"/>
        </w:rPr>
      </w:pPr>
      <w:r w:rsidRPr="00237760">
        <w:rPr>
          <w:rFonts w:ascii="Arial" w:hAnsi="Arial" w:cs="Arial"/>
          <w:b/>
          <w:i/>
          <w:color w:val="auto"/>
          <w:sz w:val="24"/>
          <w:szCs w:val="24"/>
        </w:rPr>
        <w:t>Czy wskazane w projekcie Programu przedsięwzięcia priorytetowe dla rozwoju systemu transportowego w województwie stanowią podstawowe warunki dalszego rozwoju tego obszaru?</w:t>
      </w:r>
    </w:p>
    <w:p w14:paraId="6FE1F081" w14:textId="77777777" w:rsidR="00ED3D23" w:rsidRPr="00237760" w:rsidRDefault="00ED3D23" w:rsidP="009367B4">
      <w:pPr>
        <w:jc w:val="left"/>
        <w:rPr>
          <w:rFonts w:ascii="Arial" w:hAnsi="Arial" w:cs="Arial"/>
          <w:color w:val="auto"/>
          <w:sz w:val="24"/>
          <w:szCs w:val="24"/>
        </w:rPr>
      </w:pPr>
      <w:r w:rsidRPr="00237760">
        <w:rPr>
          <w:rFonts w:ascii="Arial" w:hAnsi="Arial" w:cs="Arial"/>
          <w:color w:val="auto"/>
          <w:sz w:val="24"/>
          <w:szCs w:val="24"/>
        </w:rPr>
        <w:t>Syntetyczna odpowiedź:</w:t>
      </w:r>
    </w:p>
    <w:p w14:paraId="771904E8" w14:textId="67C03122" w:rsidR="00ED3D23" w:rsidRPr="00237760" w:rsidRDefault="00797D14" w:rsidP="009367B4">
      <w:pPr>
        <w:jc w:val="left"/>
        <w:rPr>
          <w:rFonts w:ascii="Arial" w:hAnsi="Arial" w:cs="Arial"/>
          <w:b/>
          <w:i/>
          <w:color w:val="auto"/>
          <w:sz w:val="24"/>
          <w:szCs w:val="24"/>
        </w:rPr>
      </w:pPr>
      <w:r w:rsidRPr="00237760">
        <w:rPr>
          <w:rFonts w:ascii="Arial" w:hAnsi="Arial" w:cs="Arial"/>
          <w:b/>
          <w:i/>
          <w:color w:val="auto"/>
          <w:sz w:val="24"/>
          <w:szCs w:val="24"/>
        </w:rPr>
        <w:t xml:space="preserve">Tak, </w:t>
      </w:r>
      <w:r w:rsidR="00C422B9" w:rsidRPr="00237760">
        <w:rPr>
          <w:rFonts w:ascii="Arial" w:hAnsi="Arial" w:cs="Arial"/>
          <w:b/>
          <w:i/>
          <w:color w:val="auto"/>
          <w:sz w:val="24"/>
          <w:szCs w:val="24"/>
        </w:rPr>
        <w:t xml:space="preserve">wskazane w projekcie PSRT WP przedsięwzięcia </w:t>
      </w:r>
      <w:r w:rsidR="00985700" w:rsidRPr="00237760">
        <w:rPr>
          <w:rFonts w:ascii="Arial" w:hAnsi="Arial" w:cs="Arial"/>
          <w:b/>
          <w:i/>
          <w:color w:val="auto"/>
          <w:sz w:val="24"/>
          <w:szCs w:val="24"/>
        </w:rPr>
        <w:t xml:space="preserve">w zdecydowanej większości bezpośrednio lub pośrednio oddziałują na zidentyfikowane w Diagnozie Stanu Systemu Transportowego </w:t>
      </w:r>
      <w:r w:rsidR="00685DA2" w:rsidRPr="00237760">
        <w:rPr>
          <w:rFonts w:ascii="Arial" w:hAnsi="Arial" w:cs="Arial"/>
          <w:b/>
          <w:i/>
          <w:color w:val="auto"/>
          <w:sz w:val="24"/>
          <w:szCs w:val="24"/>
        </w:rPr>
        <w:br/>
      </w:r>
      <w:r w:rsidR="00985700" w:rsidRPr="00237760">
        <w:rPr>
          <w:rFonts w:ascii="Arial" w:hAnsi="Arial" w:cs="Arial"/>
          <w:b/>
          <w:i/>
          <w:color w:val="auto"/>
          <w:sz w:val="24"/>
          <w:szCs w:val="24"/>
        </w:rPr>
        <w:t xml:space="preserve">w Województwie Podkarpackim potrzeby i wyzwania regionu. </w:t>
      </w:r>
      <w:r w:rsidR="00383AB7" w:rsidRPr="00237760">
        <w:rPr>
          <w:rFonts w:ascii="Arial" w:hAnsi="Arial" w:cs="Arial"/>
          <w:b/>
          <w:i/>
          <w:color w:val="auto"/>
          <w:sz w:val="24"/>
          <w:szCs w:val="24"/>
        </w:rPr>
        <w:t>Oddziaływania te są kompleksowe</w:t>
      </w:r>
      <w:r w:rsidR="00685DA2" w:rsidRPr="00237760">
        <w:rPr>
          <w:rFonts w:ascii="Arial" w:hAnsi="Arial" w:cs="Arial"/>
          <w:b/>
          <w:i/>
          <w:color w:val="auto"/>
          <w:sz w:val="24"/>
          <w:szCs w:val="24"/>
        </w:rPr>
        <w:br/>
      </w:r>
      <w:r w:rsidR="00383AB7" w:rsidRPr="00237760">
        <w:rPr>
          <w:rFonts w:ascii="Arial" w:hAnsi="Arial" w:cs="Arial"/>
          <w:b/>
          <w:i/>
          <w:color w:val="auto"/>
          <w:sz w:val="24"/>
          <w:szCs w:val="24"/>
        </w:rPr>
        <w:t>i wiel</w:t>
      </w:r>
      <w:r w:rsidR="00B07D13" w:rsidRPr="00237760">
        <w:rPr>
          <w:rFonts w:ascii="Arial" w:hAnsi="Arial" w:cs="Arial"/>
          <w:b/>
          <w:i/>
          <w:color w:val="auto"/>
          <w:sz w:val="24"/>
          <w:szCs w:val="24"/>
        </w:rPr>
        <w:t>o</w:t>
      </w:r>
      <w:r w:rsidR="00383AB7" w:rsidRPr="00237760">
        <w:rPr>
          <w:rFonts w:ascii="Arial" w:hAnsi="Arial" w:cs="Arial"/>
          <w:b/>
          <w:i/>
          <w:color w:val="auto"/>
          <w:sz w:val="24"/>
          <w:szCs w:val="24"/>
        </w:rPr>
        <w:t xml:space="preserve">płaszczyznowe. </w:t>
      </w:r>
      <w:r w:rsidR="00F912AE" w:rsidRPr="00237760">
        <w:rPr>
          <w:rFonts w:ascii="Arial" w:hAnsi="Arial" w:cs="Arial"/>
          <w:b/>
          <w:i/>
          <w:color w:val="auto"/>
          <w:sz w:val="24"/>
          <w:szCs w:val="24"/>
        </w:rPr>
        <w:t>Z tego powodu można zakładać, że dzięki realizacji PSRT WP wiele z tych potrzeb i problemów regionu zostanie częściowo bądź całkowicie zaspokojonych.</w:t>
      </w:r>
    </w:p>
    <w:p w14:paraId="091A1019" w14:textId="3B6961F7" w:rsidR="00D67372" w:rsidRPr="00237760" w:rsidRDefault="00ED3D23" w:rsidP="009367B4">
      <w:pPr>
        <w:pStyle w:val="Nagwek4"/>
        <w:shd w:val="clear" w:color="auto" w:fill="auto"/>
        <w:rPr>
          <w:rFonts w:ascii="Arial" w:eastAsia="Calibri Light" w:hAnsi="Arial" w:cs="Arial"/>
          <w:color w:val="auto"/>
        </w:rPr>
      </w:pPr>
      <w:r w:rsidRPr="00237760">
        <w:rPr>
          <w:rFonts w:ascii="Arial" w:hAnsi="Arial" w:cs="Arial"/>
          <w:color w:val="auto"/>
        </w:rPr>
        <w:t xml:space="preserve"> </w:t>
      </w:r>
      <w:bookmarkStart w:id="75" w:name="_Toc101904113"/>
      <w:r w:rsidRPr="00237760">
        <w:rPr>
          <w:rFonts w:ascii="Arial" w:hAnsi="Arial" w:cs="Arial"/>
          <w:color w:val="auto"/>
        </w:rPr>
        <w:t>Analiza</w:t>
      </w:r>
      <w:bookmarkEnd w:id="75"/>
    </w:p>
    <w:p w14:paraId="534E3419" w14:textId="7233D373" w:rsidR="00E20C99" w:rsidRPr="00237760" w:rsidRDefault="00A2456E" w:rsidP="009367B4">
      <w:pPr>
        <w:jc w:val="left"/>
        <w:rPr>
          <w:rFonts w:ascii="Arial" w:hAnsi="Arial" w:cs="Arial"/>
          <w:color w:val="auto"/>
          <w:sz w:val="24"/>
          <w:szCs w:val="24"/>
        </w:rPr>
      </w:pPr>
      <w:bookmarkStart w:id="76" w:name="_Hlk101334991"/>
      <w:r w:rsidRPr="00237760">
        <w:rPr>
          <w:rFonts w:ascii="Arial" w:hAnsi="Arial" w:cs="Arial"/>
          <w:color w:val="auto"/>
          <w:sz w:val="24"/>
          <w:szCs w:val="24"/>
        </w:rPr>
        <w:t>Analizę przeprowadzono</w:t>
      </w:r>
      <w:r w:rsidR="0026137F" w:rsidRPr="00237760">
        <w:rPr>
          <w:rFonts w:ascii="Arial" w:hAnsi="Arial" w:cs="Arial"/>
          <w:color w:val="auto"/>
          <w:sz w:val="24"/>
          <w:szCs w:val="24"/>
        </w:rPr>
        <w:t xml:space="preserve"> </w:t>
      </w:r>
      <w:r w:rsidR="00C3167D" w:rsidRPr="00237760">
        <w:rPr>
          <w:rFonts w:ascii="Arial" w:hAnsi="Arial" w:cs="Arial"/>
          <w:color w:val="auto"/>
          <w:sz w:val="24"/>
          <w:szCs w:val="24"/>
        </w:rPr>
        <w:t>w oparciu o</w:t>
      </w:r>
      <w:r w:rsidR="00592135" w:rsidRPr="00237760">
        <w:rPr>
          <w:rFonts w:ascii="Arial" w:hAnsi="Arial" w:cs="Arial"/>
          <w:color w:val="auto"/>
          <w:sz w:val="24"/>
          <w:szCs w:val="24"/>
        </w:rPr>
        <w:t xml:space="preserve"> </w:t>
      </w:r>
      <w:r w:rsidR="0026137F" w:rsidRPr="00237760">
        <w:rPr>
          <w:rFonts w:ascii="Arial" w:hAnsi="Arial" w:cs="Arial"/>
          <w:i/>
          <w:iCs/>
          <w:color w:val="auto"/>
          <w:sz w:val="24"/>
          <w:szCs w:val="24"/>
        </w:rPr>
        <w:t>Diagnoz</w:t>
      </w:r>
      <w:r w:rsidR="00C3167D" w:rsidRPr="00237760">
        <w:rPr>
          <w:rFonts w:ascii="Arial" w:hAnsi="Arial" w:cs="Arial"/>
          <w:i/>
          <w:iCs/>
          <w:color w:val="auto"/>
          <w:sz w:val="24"/>
          <w:szCs w:val="24"/>
        </w:rPr>
        <w:t>ę</w:t>
      </w:r>
      <w:r w:rsidR="0026137F" w:rsidRPr="00237760">
        <w:rPr>
          <w:rFonts w:ascii="Arial" w:hAnsi="Arial" w:cs="Arial"/>
          <w:i/>
          <w:iCs/>
          <w:color w:val="auto"/>
          <w:sz w:val="24"/>
          <w:szCs w:val="24"/>
        </w:rPr>
        <w:t xml:space="preserve"> Stanu Systemu Transportowego w Województwie Podkarpackim</w:t>
      </w:r>
      <w:r w:rsidR="00592135" w:rsidRPr="00237760">
        <w:rPr>
          <w:rFonts w:ascii="Arial" w:hAnsi="Arial" w:cs="Arial"/>
          <w:i/>
          <w:iCs/>
          <w:color w:val="auto"/>
          <w:sz w:val="24"/>
          <w:szCs w:val="24"/>
        </w:rPr>
        <w:t>.</w:t>
      </w:r>
      <w:r w:rsidR="00CC5FEF" w:rsidRPr="00237760">
        <w:rPr>
          <w:rFonts w:ascii="Arial" w:hAnsi="Arial" w:cs="Arial"/>
          <w:color w:val="auto"/>
          <w:sz w:val="24"/>
          <w:szCs w:val="24"/>
        </w:rPr>
        <w:t xml:space="preserve"> Z</w:t>
      </w:r>
      <w:r w:rsidR="006F6B72" w:rsidRPr="00237760">
        <w:rPr>
          <w:rFonts w:ascii="Arial" w:hAnsi="Arial" w:cs="Arial"/>
          <w:color w:val="auto"/>
          <w:sz w:val="24"/>
          <w:szCs w:val="24"/>
        </w:rPr>
        <w:t xml:space="preserve">estawiono </w:t>
      </w:r>
      <w:r w:rsidR="007F0301" w:rsidRPr="00237760">
        <w:rPr>
          <w:rFonts w:ascii="Arial" w:hAnsi="Arial" w:cs="Arial"/>
          <w:color w:val="auto"/>
          <w:sz w:val="24"/>
          <w:szCs w:val="24"/>
        </w:rPr>
        <w:t>zdiagnozowan</w:t>
      </w:r>
      <w:r w:rsidR="00CC5FEF" w:rsidRPr="00237760">
        <w:rPr>
          <w:rFonts w:ascii="Arial" w:hAnsi="Arial" w:cs="Arial"/>
          <w:color w:val="auto"/>
          <w:sz w:val="24"/>
          <w:szCs w:val="24"/>
        </w:rPr>
        <w:t>e</w:t>
      </w:r>
      <w:r w:rsidR="007F0301" w:rsidRPr="00237760">
        <w:rPr>
          <w:rFonts w:ascii="Arial" w:hAnsi="Arial" w:cs="Arial"/>
          <w:color w:val="auto"/>
          <w:sz w:val="24"/>
          <w:szCs w:val="24"/>
        </w:rPr>
        <w:t xml:space="preserve"> problemy i wyzwania ze </w:t>
      </w:r>
      <w:r w:rsidR="004805F2" w:rsidRPr="00237760">
        <w:rPr>
          <w:rFonts w:ascii="Arial" w:hAnsi="Arial" w:cs="Arial"/>
          <w:color w:val="auto"/>
          <w:sz w:val="24"/>
          <w:szCs w:val="24"/>
        </w:rPr>
        <w:t>sformułowanymi</w:t>
      </w:r>
      <w:r w:rsidR="007F0301" w:rsidRPr="00237760">
        <w:rPr>
          <w:rFonts w:ascii="Arial" w:hAnsi="Arial" w:cs="Arial"/>
          <w:color w:val="auto"/>
          <w:sz w:val="24"/>
          <w:szCs w:val="24"/>
        </w:rPr>
        <w:t xml:space="preserve"> w PSRT WP przedsięwzięciami</w:t>
      </w:r>
      <w:r w:rsidR="00CC5FEF" w:rsidRPr="00237760">
        <w:rPr>
          <w:rFonts w:ascii="Arial" w:hAnsi="Arial" w:cs="Arial"/>
          <w:color w:val="auto"/>
          <w:sz w:val="24"/>
          <w:szCs w:val="24"/>
        </w:rPr>
        <w:t xml:space="preserve"> priorytetowymi (</w:t>
      </w:r>
      <w:r w:rsidR="00CC5FEF" w:rsidRPr="00237760">
        <w:rPr>
          <w:rFonts w:ascii="Arial" w:hAnsi="Arial" w:cs="Arial"/>
          <w:color w:val="auto"/>
          <w:sz w:val="24"/>
          <w:szCs w:val="24"/>
        </w:rPr>
        <w:fldChar w:fldCharType="begin"/>
      </w:r>
      <w:r w:rsidR="00CC5FEF" w:rsidRPr="00237760">
        <w:rPr>
          <w:rFonts w:ascii="Arial" w:hAnsi="Arial" w:cs="Arial"/>
          <w:color w:val="auto"/>
          <w:sz w:val="24"/>
          <w:szCs w:val="24"/>
        </w:rPr>
        <w:instrText xml:space="preserve"> REF _Ref100921762 \h  \* MERGEFORMAT </w:instrText>
      </w:r>
      <w:r w:rsidR="00CC5FEF" w:rsidRPr="00237760">
        <w:rPr>
          <w:rFonts w:ascii="Arial" w:hAnsi="Arial" w:cs="Arial"/>
          <w:color w:val="auto"/>
          <w:sz w:val="24"/>
          <w:szCs w:val="24"/>
        </w:rPr>
      </w:r>
      <w:r w:rsidR="00CC5FEF" w:rsidRPr="00237760">
        <w:rPr>
          <w:rFonts w:ascii="Arial" w:hAnsi="Arial" w:cs="Arial"/>
          <w:color w:val="auto"/>
          <w:sz w:val="24"/>
          <w:szCs w:val="24"/>
        </w:rPr>
        <w:fldChar w:fldCharType="separate"/>
      </w:r>
      <w:r w:rsidR="00E52C19" w:rsidRPr="00237760">
        <w:rPr>
          <w:rFonts w:ascii="Arial" w:hAnsi="Arial" w:cs="Arial"/>
          <w:color w:val="auto"/>
          <w:sz w:val="24"/>
          <w:szCs w:val="24"/>
        </w:rPr>
        <w:t>Tabela 10</w:t>
      </w:r>
      <w:r w:rsidR="00CC5FEF" w:rsidRPr="00237760">
        <w:rPr>
          <w:rFonts w:ascii="Arial" w:hAnsi="Arial" w:cs="Arial"/>
          <w:color w:val="auto"/>
          <w:sz w:val="24"/>
          <w:szCs w:val="24"/>
        </w:rPr>
        <w:fldChar w:fldCharType="end"/>
      </w:r>
      <w:r w:rsidR="009F740E" w:rsidRPr="00237760">
        <w:rPr>
          <w:rFonts w:ascii="Arial" w:hAnsi="Arial" w:cs="Arial"/>
          <w:color w:val="auto"/>
          <w:sz w:val="24"/>
          <w:szCs w:val="24"/>
        </w:rPr>
        <w:t>)</w:t>
      </w:r>
      <w:r w:rsidR="007F0301" w:rsidRPr="00237760">
        <w:rPr>
          <w:rFonts w:ascii="Arial" w:hAnsi="Arial" w:cs="Arial"/>
          <w:color w:val="auto"/>
          <w:sz w:val="24"/>
          <w:szCs w:val="24"/>
        </w:rPr>
        <w:t>.</w:t>
      </w:r>
      <w:r w:rsidR="004805F2" w:rsidRPr="00237760">
        <w:rPr>
          <w:rFonts w:ascii="Arial" w:hAnsi="Arial" w:cs="Arial"/>
          <w:color w:val="auto"/>
          <w:sz w:val="24"/>
          <w:szCs w:val="24"/>
        </w:rPr>
        <w:t xml:space="preserve"> </w:t>
      </w:r>
    </w:p>
    <w:p w14:paraId="5EC0FC3B" w14:textId="0A079ACB" w:rsidR="0000476C" w:rsidRPr="00237760" w:rsidRDefault="0000476C"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 xml:space="preserve">Analiza wykazała, że zdecydowana większość </w:t>
      </w:r>
      <w:r w:rsidR="004805F2" w:rsidRPr="00237760">
        <w:rPr>
          <w:rFonts w:ascii="Arial" w:hAnsi="Arial" w:cs="Arial"/>
          <w:color w:val="auto"/>
          <w:sz w:val="24"/>
          <w:szCs w:val="24"/>
          <w:lang w:eastAsia="pl-PL"/>
        </w:rPr>
        <w:t>sformułowanych</w:t>
      </w:r>
      <w:r w:rsidRPr="00237760">
        <w:rPr>
          <w:rFonts w:ascii="Arial" w:hAnsi="Arial" w:cs="Arial"/>
          <w:color w:val="auto"/>
          <w:sz w:val="24"/>
          <w:szCs w:val="24"/>
          <w:lang w:eastAsia="pl-PL"/>
        </w:rPr>
        <w:t xml:space="preserve"> w </w:t>
      </w:r>
      <w:r w:rsidRPr="00237760">
        <w:rPr>
          <w:rFonts w:ascii="Arial" w:hAnsi="Arial" w:cs="Arial"/>
          <w:i/>
          <w:iCs/>
          <w:color w:val="auto"/>
          <w:sz w:val="24"/>
          <w:szCs w:val="24"/>
          <w:lang w:eastAsia="pl-PL"/>
        </w:rPr>
        <w:t xml:space="preserve">Diagnozie… </w:t>
      </w:r>
      <w:r w:rsidRPr="00237760">
        <w:rPr>
          <w:rFonts w:ascii="Arial" w:hAnsi="Arial" w:cs="Arial"/>
          <w:color w:val="auto"/>
          <w:sz w:val="24"/>
          <w:szCs w:val="24"/>
          <w:lang w:eastAsia="pl-PL"/>
        </w:rPr>
        <w:t xml:space="preserve">potrzeb i wyzwań regionu </w:t>
      </w:r>
      <w:r w:rsidR="0044779D" w:rsidRPr="00237760">
        <w:rPr>
          <w:rFonts w:ascii="Arial" w:hAnsi="Arial" w:cs="Arial"/>
          <w:color w:val="auto"/>
          <w:sz w:val="24"/>
          <w:szCs w:val="24"/>
          <w:lang w:eastAsia="pl-PL"/>
        </w:rPr>
        <w:t>znajduje odzwierciedlenie w planowanych przedsięwzięciach</w:t>
      </w:r>
      <w:r w:rsidR="00C726DF" w:rsidRPr="00237760">
        <w:rPr>
          <w:rFonts w:ascii="Arial" w:hAnsi="Arial" w:cs="Arial"/>
          <w:color w:val="auto"/>
          <w:sz w:val="24"/>
          <w:szCs w:val="24"/>
          <w:lang w:eastAsia="pl-PL"/>
        </w:rPr>
        <w:t xml:space="preserve">. Spośród wszystkich </w:t>
      </w:r>
      <w:r w:rsidR="00692330" w:rsidRPr="00237760">
        <w:rPr>
          <w:rFonts w:ascii="Arial" w:hAnsi="Arial" w:cs="Arial"/>
          <w:color w:val="auto"/>
          <w:sz w:val="24"/>
          <w:szCs w:val="24"/>
          <w:lang w:eastAsia="pl-PL"/>
        </w:rPr>
        <w:t xml:space="preserve">problemów </w:t>
      </w:r>
      <w:r w:rsidR="00685DA2" w:rsidRPr="00237760">
        <w:rPr>
          <w:rFonts w:ascii="Arial" w:hAnsi="Arial" w:cs="Arial"/>
          <w:color w:val="auto"/>
          <w:sz w:val="24"/>
          <w:szCs w:val="24"/>
          <w:lang w:eastAsia="pl-PL"/>
        </w:rPr>
        <w:br/>
      </w:r>
      <w:r w:rsidR="00692330" w:rsidRPr="00237760">
        <w:rPr>
          <w:rFonts w:ascii="Arial" w:hAnsi="Arial" w:cs="Arial"/>
          <w:color w:val="auto"/>
          <w:sz w:val="24"/>
          <w:szCs w:val="24"/>
          <w:lang w:eastAsia="pl-PL"/>
        </w:rPr>
        <w:t xml:space="preserve">i wyzwań jedynie </w:t>
      </w:r>
      <w:r w:rsidR="001D33C5" w:rsidRPr="00237760">
        <w:rPr>
          <w:rFonts w:ascii="Arial" w:hAnsi="Arial" w:cs="Arial"/>
          <w:color w:val="auto"/>
          <w:sz w:val="24"/>
          <w:szCs w:val="24"/>
          <w:lang w:eastAsia="pl-PL"/>
        </w:rPr>
        <w:t>cztery</w:t>
      </w:r>
      <w:r w:rsidR="00666C1A" w:rsidRPr="00237760">
        <w:rPr>
          <w:rFonts w:ascii="Arial" w:hAnsi="Arial" w:cs="Arial"/>
          <w:color w:val="auto"/>
          <w:sz w:val="24"/>
          <w:szCs w:val="24"/>
          <w:lang w:eastAsia="pl-PL"/>
        </w:rPr>
        <w:t xml:space="preserve"> </w:t>
      </w:r>
      <w:r w:rsidR="00692330" w:rsidRPr="00237760">
        <w:rPr>
          <w:rFonts w:ascii="Arial" w:hAnsi="Arial" w:cs="Arial"/>
          <w:color w:val="auto"/>
          <w:sz w:val="24"/>
          <w:szCs w:val="24"/>
          <w:lang w:eastAsia="pl-PL"/>
        </w:rPr>
        <w:t xml:space="preserve">z nich nie </w:t>
      </w:r>
      <w:r w:rsidR="005A10C8" w:rsidRPr="00237760">
        <w:rPr>
          <w:rFonts w:ascii="Arial" w:hAnsi="Arial" w:cs="Arial"/>
          <w:color w:val="auto"/>
          <w:sz w:val="24"/>
          <w:szCs w:val="24"/>
          <w:lang w:eastAsia="pl-PL"/>
        </w:rPr>
        <w:t xml:space="preserve">są podejmowane przez żadne z przedsięwzięć sformułowanych </w:t>
      </w:r>
      <w:r w:rsidR="00685DA2" w:rsidRPr="00237760">
        <w:rPr>
          <w:rFonts w:ascii="Arial" w:hAnsi="Arial" w:cs="Arial"/>
          <w:color w:val="auto"/>
          <w:sz w:val="24"/>
          <w:szCs w:val="24"/>
          <w:lang w:eastAsia="pl-PL"/>
        </w:rPr>
        <w:br/>
      </w:r>
      <w:r w:rsidR="005A10C8" w:rsidRPr="00237760">
        <w:rPr>
          <w:rFonts w:ascii="Arial" w:hAnsi="Arial" w:cs="Arial"/>
          <w:color w:val="auto"/>
          <w:sz w:val="24"/>
          <w:szCs w:val="24"/>
          <w:lang w:eastAsia="pl-PL"/>
        </w:rPr>
        <w:t xml:space="preserve">w PSRT WP. </w:t>
      </w:r>
      <w:r w:rsidR="00B22F1E" w:rsidRPr="00237760">
        <w:rPr>
          <w:rFonts w:ascii="Arial" w:hAnsi="Arial" w:cs="Arial"/>
          <w:color w:val="auto"/>
          <w:sz w:val="24"/>
          <w:szCs w:val="24"/>
          <w:lang w:eastAsia="pl-PL"/>
        </w:rPr>
        <w:t>W</w:t>
      </w:r>
      <w:r w:rsidR="00E82798" w:rsidRPr="00237760">
        <w:rPr>
          <w:rFonts w:ascii="Arial" w:hAnsi="Arial" w:cs="Arial"/>
          <w:color w:val="auto"/>
          <w:sz w:val="24"/>
          <w:szCs w:val="24"/>
          <w:lang w:eastAsia="pl-PL"/>
        </w:rPr>
        <w:t>yzwania te mają</w:t>
      </w:r>
      <w:r w:rsidR="00B22F1E" w:rsidRPr="00237760">
        <w:rPr>
          <w:rFonts w:ascii="Arial" w:hAnsi="Arial" w:cs="Arial"/>
          <w:color w:val="auto"/>
          <w:sz w:val="24"/>
          <w:szCs w:val="24"/>
          <w:lang w:eastAsia="pl-PL"/>
        </w:rPr>
        <w:t xml:space="preserve"> jednak</w:t>
      </w:r>
      <w:r w:rsidR="00E82798" w:rsidRPr="00237760">
        <w:rPr>
          <w:rFonts w:ascii="Arial" w:hAnsi="Arial" w:cs="Arial"/>
          <w:color w:val="auto"/>
          <w:sz w:val="24"/>
          <w:szCs w:val="24"/>
          <w:lang w:eastAsia="pl-PL"/>
        </w:rPr>
        <w:t xml:space="preserve"> charakter miękki i dotyczą głównie zagadnień społecznych </w:t>
      </w:r>
      <w:r w:rsidR="00685DA2" w:rsidRPr="00237760">
        <w:rPr>
          <w:rFonts w:ascii="Arial" w:hAnsi="Arial" w:cs="Arial"/>
          <w:color w:val="auto"/>
          <w:sz w:val="24"/>
          <w:szCs w:val="24"/>
          <w:lang w:eastAsia="pl-PL"/>
        </w:rPr>
        <w:br/>
      </w:r>
      <w:r w:rsidR="00E82798" w:rsidRPr="00237760">
        <w:rPr>
          <w:rFonts w:ascii="Arial" w:hAnsi="Arial" w:cs="Arial"/>
          <w:color w:val="auto"/>
          <w:sz w:val="24"/>
          <w:szCs w:val="24"/>
          <w:lang w:eastAsia="pl-PL"/>
        </w:rPr>
        <w:t xml:space="preserve">i instytucjonalnych. </w:t>
      </w:r>
      <w:r w:rsidR="00CE1BB9" w:rsidRPr="00237760">
        <w:rPr>
          <w:rFonts w:ascii="Arial" w:hAnsi="Arial" w:cs="Arial"/>
          <w:color w:val="auto"/>
          <w:sz w:val="24"/>
          <w:szCs w:val="24"/>
        </w:rPr>
        <w:t xml:space="preserve">Poza </w:t>
      </w:r>
      <w:r w:rsidR="00CF5014" w:rsidRPr="00237760">
        <w:rPr>
          <w:rFonts w:ascii="Arial" w:hAnsi="Arial" w:cs="Arial"/>
          <w:color w:val="auto"/>
          <w:sz w:val="24"/>
          <w:szCs w:val="24"/>
        </w:rPr>
        <w:t>powyższymi</w:t>
      </w:r>
      <w:r w:rsidR="00CE1BB9" w:rsidRPr="00237760">
        <w:rPr>
          <w:rFonts w:ascii="Arial" w:hAnsi="Arial" w:cs="Arial"/>
          <w:color w:val="auto"/>
          <w:sz w:val="24"/>
          <w:szCs w:val="24"/>
        </w:rPr>
        <w:t xml:space="preserve"> </w:t>
      </w:r>
      <w:r w:rsidR="00ED503D" w:rsidRPr="00237760">
        <w:rPr>
          <w:rFonts w:ascii="Arial" w:hAnsi="Arial" w:cs="Arial"/>
          <w:color w:val="auto"/>
          <w:sz w:val="24"/>
          <w:szCs w:val="24"/>
        </w:rPr>
        <w:t>czterema</w:t>
      </w:r>
      <w:r w:rsidR="00CE1BB9" w:rsidRPr="00237760">
        <w:rPr>
          <w:rFonts w:ascii="Arial" w:hAnsi="Arial" w:cs="Arial"/>
          <w:color w:val="auto"/>
          <w:sz w:val="24"/>
          <w:szCs w:val="24"/>
        </w:rPr>
        <w:t xml:space="preserve"> wyzwaniami, na wszystkie inne oddziałuje przynajmniej jedno przedsięwzięcie, a w wielu przypadkach jest to nawet kilkadziesiąt zaplanowanych kierunków działań</w:t>
      </w:r>
      <w:r w:rsidR="00A534A3" w:rsidRPr="00237760">
        <w:rPr>
          <w:rFonts w:ascii="Arial" w:hAnsi="Arial" w:cs="Arial"/>
          <w:color w:val="auto"/>
          <w:sz w:val="24"/>
          <w:szCs w:val="24"/>
        </w:rPr>
        <w:t>.</w:t>
      </w:r>
      <w:r w:rsidR="00CE1BB9" w:rsidRPr="00237760">
        <w:rPr>
          <w:rFonts w:ascii="Arial" w:hAnsi="Arial" w:cs="Arial"/>
          <w:color w:val="auto"/>
          <w:sz w:val="24"/>
          <w:szCs w:val="24"/>
        </w:rPr>
        <w:t xml:space="preserve"> </w:t>
      </w:r>
    </w:p>
    <w:p w14:paraId="1137C9F2" w14:textId="7A0647D7" w:rsidR="00194A1C" w:rsidRPr="00237760" w:rsidRDefault="00194A1C" w:rsidP="009367B4">
      <w:pPr>
        <w:pStyle w:val="Legenda"/>
        <w:keepNext/>
        <w:jc w:val="left"/>
        <w:rPr>
          <w:rFonts w:ascii="Arial" w:hAnsi="Arial" w:cs="Arial"/>
          <w:color w:val="auto"/>
          <w:sz w:val="24"/>
          <w:szCs w:val="24"/>
        </w:rPr>
      </w:pPr>
      <w:bookmarkStart w:id="77" w:name="_Ref100921762"/>
      <w:bookmarkStart w:id="78" w:name="_Toc101904251"/>
      <w:bookmarkEnd w:id="76"/>
      <w:r w:rsidRPr="00237760">
        <w:rPr>
          <w:rFonts w:ascii="Arial" w:hAnsi="Arial" w:cs="Arial"/>
          <w:color w:val="auto"/>
          <w:sz w:val="24"/>
          <w:szCs w:val="24"/>
        </w:rPr>
        <w:t xml:space="preserve">Tabela </w:t>
      </w:r>
      <w:r w:rsidR="00F64FED" w:rsidRPr="00237760">
        <w:rPr>
          <w:rFonts w:ascii="Arial" w:hAnsi="Arial" w:cs="Arial"/>
          <w:noProof/>
          <w:color w:val="auto"/>
          <w:sz w:val="24"/>
          <w:szCs w:val="24"/>
        </w:rPr>
        <w:fldChar w:fldCharType="begin"/>
      </w:r>
      <w:r w:rsidR="00F64FED" w:rsidRPr="00237760">
        <w:rPr>
          <w:rFonts w:ascii="Arial" w:hAnsi="Arial" w:cs="Arial"/>
          <w:noProof/>
          <w:color w:val="auto"/>
          <w:sz w:val="24"/>
          <w:szCs w:val="24"/>
        </w:rPr>
        <w:instrText xml:space="preserve"> SEQ Tabela \* ARABIC </w:instrText>
      </w:r>
      <w:r w:rsidR="00F64FED" w:rsidRPr="00237760">
        <w:rPr>
          <w:rFonts w:ascii="Arial" w:hAnsi="Arial" w:cs="Arial"/>
          <w:noProof/>
          <w:color w:val="auto"/>
          <w:sz w:val="24"/>
          <w:szCs w:val="24"/>
        </w:rPr>
        <w:fldChar w:fldCharType="separate"/>
      </w:r>
      <w:r w:rsidR="00762B20" w:rsidRPr="00237760">
        <w:rPr>
          <w:rFonts w:ascii="Arial" w:hAnsi="Arial" w:cs="Arial"/>
          <w:noProof/>
          <w:color w:val="auto"/>
          <w:sz w:val="24"/>
          <w:szCs w:val="24"/>
        </w:rPr>
        <w:t>10</w:t>
      </w:r>
      <w:r w:rsidR="00F64FED" w:rsidRPr="00237760">
        <w:rPr>
          <w:rFonts w:ascii="Arial" w:hAnsi="Arial" w:cs="Arial"/>
          <w:noProof/>
          <w:color w:val="auto"/>
          <w:sz w:val="24"/>
          <w:szCs w:val="24"/>
        </w:rPr>
        <w:fldChar w:fldCharType="end"/>
      </w:r>
      <w:bookmarkEnd w:id="77"/>
      <w:r w:rsidRPr="00237760">
        <w:rPr>
          <w:rFonts w:ascii="Arial" w:hAnsi="Arial" w:cs="Arial"/>
          <w:color w:val="auto"/>
          <w:sz w:val="24"/>
          <w:szCs w:val="24"/>
        </w:rPr>
        <w:t xml:space="preserve">. Ocena trafności priorytetowych </w:t>
      </w:r>
      <w:r w:rsidR="00B22F1E" w:rsidRPr="00237760">
        <w:rPr>
          <w:rFonts w:ascii="Arial" w:hAnsi="Arial" w:cs="Arial"/>
          <w:color w:val="auto"/>
          <w:sz w:val="24"/>
          <w:szCs w:val="24"/>
        </w:rPr>
        <w:t>przedsięwzięć PSRT</w:t>
      </w:r>
      <w:r w:rsidR="0049710D" w:rsidRPr="00237760">
        <w:rPr>
          <w:rFonts w:ascii="Arial" w:hAnsi="Arial" w:cs="Arial"/>
          <w:color w:val="auto"/>
          <w:sz w:val="24"/>
          <w:szCs w:val="24"/>
        </w:rPr>
        <w:t xml:space="preserve"> WP</w:t>
      </w:r>
      <w:r w:rsidR="00B22F1E" w:rsidRPr="00237760">
        <w:rPr>
          <w:rFonts w:ascii="Arial" w:hAnsi="Arial" w:cs="Arial"/>
          <w:color w:val="auto"/>
          <w:sz w:val="24"/>
          <w:szCs w:val="24"/>
        </w:rPr>
        <w:t xml:space="preserve"> z potrzebami</w:t>
      </w:r>
      <w:r w:rsidRPr="00237760">
        <w:rPr>
          <w:rFonts w:ascii="Arial" w:hAnsi="Arial" w:cs="Arial"/>
          <w:color w:val="auto"/>
          <w:sz w:val="24"/>
          <w:szCs w:val="24"/>
        </w:rPr>
        <w:t xml:space="preserve"> i wyzwaniami regionu</w:t>
      </w:r>
      <w:bookmarkEnd w:id="78"/>
    </w:p>
    <w:tbl>
      <w:tblPr>
        <w:tblStyle w:val="Tabela-Siatka"/>
        <w:tblW w:w="9085" w:type="dxa"/>
        <w:tblInd w:w="-5" w:type="dxa"/>
        <w:tblBorders>
          <w:top w:val="none" w:sz="0" w:space="0" w:color="auto"/>
          <w:left w:val="none" w:sz="0" w:space="0" w:color="auto"/>
          <w:bottom w:val="none" w:sz="0" w:space="0" w:color="auto"/>
          <w:right w:val="none" w:sz="0" w:space="0" w:color="auto"/>
          <w:insideH w:val="single" w:sz="4" w:space="0" w:color="002060"/>
          <w:insideV w:val="none" w:sz="0" w:space="0" w:color="auto"/>
        </w:tblBorders>
        <w:tblLayout w:type="fixed"/>
        <w:tblCellMar>
          <w:left w:w="57" w:type="dxa"/>
          <w:right w:w="57" w:type="dxa"/>
        </w:tblCellMar>
        <w:tblLook w:val="04A0" w:firstRow="1" w:lastRow="0" w:firstColumn="1" w:lastColumn="0" w:noHBand="0" w:noVBand="1"/>
        <w:tblCaption w:val="Tabela 10. Ocena trafności priorytetowych przedsięwzięć PSRT WP z potrzebami i wyzwaniami regionu"/>
        <w:tblDescription w:val="Tabela zawiera Problemy i wyzwania regionu, Poziom trafności, Komentarz"/>
      </w:tblPr>
      <w:tblGrid>
        <w:gridCol w:w="3690"/>
        <w:gridCol w:w="1134"/>
        <w:gridCol w:w="4240"/>
        <w:gridCol w:w="8"/>
        <w:gridCol w:w="13"/>
      </w:tblGrid>
      <w:tr w:rsidR="00237760" w:rsidRPr="00237760" w14:paraId="6BE7CFE2" w14:textId="77777777" w:rsidTr="00F077C6">
        <w:trPr>
          <w:trHeight w:val="450"/>
          <w:tblHeader/>
        </w:trPr>
        <w:tc>
          <w:tcPr>
            <w:tcW w:w="3691" w:type="dxa"/>
            <w:tcBorders>
              <w:top w:val="single" w:sz="12" w:space="0" w:color="002060"/>
              <w:bottom w:val="single" w:sz="4" w:space="0" w:color="002060"/>
            </w:tcBorders>
            <w:shd w:val="clear" w:color="auto" w:fill="auto"/>
            <w:vAlign w:val="center"/>
            <w:hideMark/>
          </w:tcPr>
          <w:p w14:paraId="319ECE9B" w14:textId="77777777" w:rsidR="002B4E5D" w:rsidRPr="00237760" w:rsidRDefault="002B4E5D" w:rsidP="009367B4">
            <w:pPr>
              <w:spacing w:after="0" w:line="240" w:lineRule="auto"/>
              <w:jc w:val="left"/>
              <w:rPr>
                <w:rFonts w:ascii="Arial" w:hAnsi="Arial" w:cs="Arial"/>
                <w:b/>
                <w:color w:val="auto"/>
                <w:sz w:val="24"/>
                <w:szCs w:val="24"/>
              </w:rPr>
            </w:pPr>
            <w:r w:rsidRPr="00237760">
              <w:rPr>
                <w:rFonts w:ascii="Arial" w:eastAsia="Segoe UI" w:hAnsi="Arial" w:cs="Arial"/>
                <w:b/>
                <w:color w:val="auto"/>
                <w:sz w:val="24"/>
                <w:szCs w:val="24"/>
              </w:rPr>
              <w:t>Problemy i wyzwania regionu</w:t>
            </w:r>
          </w:p>
        </w:tc>
        <w:tc>
          <w:tcPr>
            <w:tcW w:w="1134" w:type="dxa"/>
            <w:tcBorders>
              <w:top w:val="single" w:sz="12" w:space="0" w:color="002060"/>
              <w:bottom w:val="single" w:sz="4" w:space="0" w:color="002060"/>
            </w:tcBorders>
            <w:shd w:val="clear" w:color="auto" w:fill="auto"/>
            <w:vAlign w:val="center"/>
          </w:tcPr>
          <w:p w14:paraId="3468D0AC" w14:textId="77777777" w:rsidR="002B4E5D" w:rsidRPr="00237760" w:rsidRDefault="002B4E5D"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Poziom trafności</w:t>
            </w:r>
          </w:p>
        </w:tc>
        <w:tc>
          <w:tcPr>
            <w:tcW w:w="4258" w:type="dxa"/>
            <w:gridSpan w:val="3"/>
            <w:tcBorders>
              <w:top w:val="single" w:sz="12" w:space="0" w:color="002060"/>
              <w:bottom w:val="single" w:sz="4" w:space="0" w:color="002060"/>
            </w:tcBorders>
            <w:shd w:val="clear" w:color="auto" w:fill="auto"/>
            <w:vAlign w:val="center"/>
          </w:tcPr>
          <w:p w14:paraId="341A3173" w14:textId="77777777" w:rsidR="002B4E5D" w:rsidRPr="00237760" w:rsidRDefault="002B4E5D"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Komentarz</w:t>
            </w:r>
          </w:p>
        </w:tc>
      </w:tr>
      <w:tr w:rsidR="00237760" w:rsidRPr="00237760" w14:paraId="3A52B843" w14:textId="77777777" w:rsidTr="00F077C6">
        <w:trPr>
          <w:trHeight w:val="182"/>
        </w:trPr>
        <w:tc>
          <w:tcPr>
            <w:tcW w:w="9085" w:type="dxa"/>
            <w:gridSpan w:val="5"/>
            <w:tcBorders>
              <w:top w:val="single" w:sz="4" w:space="0" w:color="002060"/>
            </w:tcBorders>
            <w:shd w:val="clear" w:color="auto" w:fill="auto"/>
          </w:tcPr>
          <w:p w14:paraId="371EF967" w14:textId="77777777" w:rsidR="002B4E5D" w:rsidRPr="00237760" w:rsidRDefault="002B4E5D" w:rsidP="009367B4">
            <w:pPr>
              <w:spacing w:after="0" w:line="240" w:lineRule="auto"/>
              <w:jc w:val="left"/>
              <w:rPr>
                <w:rFonts w:ascii="Arial" w:hAnsi="Arial" w:cs="Arial"/>
                <w:b/>
                <w:bCs/>
                <w:color w:val="auto"/>
                <w:sz w:val="24"/>
                <w:szCs w:val="24"/>
              </w:rPr>
            </w:pPr>
            <w:r w:rsidRPr="00237760">
              <w:rPr>
                <w:rFonts w:ascii="Arial" w:hAnsi="Arial" w:cs="Arial"/>
                <w:b/>
                <w:bCs/>
                <w:color w:val="auto"/>
                <w:sz w:val="24"/>
                <w:szCs w:val="24"/>
              </w:rPr>
              <w:t>Wąskie gardła w systemie transportu WP</w:t>
            </w:r>
          </w:p>
        </w:tc>
      </w:tr>
      <w:tr w:rsidR="00237760" w:rsidRPr="00237760" w14:paraId="0F6AE310" w14:textId="77777777" w:rsidTr="00C378D3">
        <w:trPr>
          <w:gridAfter w:val="1"/>
          <w:wAfter w:w="13" w:type="dxa"/>
          <w:trHeight w:val="428"/>
        </w:trPr>
        <w:tc>
          <w:tcPr>
            <w:tcW w:w="3691" w:type="dxa"/>
            <w:vAlign w:val="center"/>
          </w:tcPr>
          <w:p w14:paraId="1273C5FF" w14:textId="77777777" w:rsidR="002B4E5D" w:rsidRPr="00237760" w:rsidRDefault="002B4E5D"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Peryferyjne położenie województwa – granica wschodnia i południowa Polski</w:t>
            </w:r>
          </w:p>
        </w:tc>
        <w:tc>
          <w:tcPr>
            <w:tcW w:w="1134" w:type="dxa"/>
            <w:shd w:val="clear" w:color="auto" w:fill="2F5496"/>
            <w:vAlign w:val="center"/>
          </w:tcPr>
          <w:p w14:paraId="7E7F9170" w14:textId="77777777" w:rsidR="002B4E5D" w:rsidRPr="00237760" w:rsidRDefault="002B4E5D" w:rsidP="009367B4">
            <w:pPr>
              <w:spacing w:after="0" w:line="240" w:lineRule="auto"/>
              <w:jc w:val="left"/>
              <w:rPr>
                <w:rFonts w:ascii="Arial" w:hAnsi="Arial" w:cs="Arial"/>
                <w:color w:val="auto"/>
                <w:sz w:val="24"/>
                <w:szCs w:val="24"/>
              </w:rPr>
            </w:pPr>
          </w:p>
        </w:tc>
        <w:tc>
          <w:tcPr>
            <w:tcW w:w="4247" w:type="dxa"/>
            <w:gridSpan w:val="2"/>
            <w:shd w:val="clear" w:color="auto" w:fill="auto"/>
            <w:vAlign w:val="center"/>
          </w:tcPr>
          <w:p w14:paraId="7EFB72AA" w14:textId="04524C46" w:rsidR="002B4E5D" w:rsidRPr="00237760" w:rsidRDefault="00333F67"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Wysoka trafność </w:t>
            </w:r>
            <w:r w:rsidR="00FE398D" w:rsidRPr="00237760">
              <w:rPr>
                <w:rFonts w:ascii="Arial" w:hAnsi="Arial" w:cs="Arial"/>
                <w:color w:val="auto"/>
                <w:sz w:val="24"/>
                <w:szCs w:val="24"/>
              </w:rPr>
              <w:t xml:space="preserve">zaproponowanych przedsięwzięć, </w:t>
            </w:r>
            <w:r w:rsidR="0065677C" w:rsidRPr="00237760">
              <w:rPr>
                <w:rFonts w:ascii="Arial" w:hAnsi="Arial" w:cs="Arial"/>
                <w:color w:val="auto"/>
                <w:sz w:val="24"/>
                <w:szCs w:val="24"/>
              </w:rPr>
              <w:t xml:space="preserve">liczne inwestycje w zakresie </w:t>
            </w:r>
            <w:r w:rsidR="0002145B" w:rsidRPr="00237760">
              <w:rPr>
                <w:rFonts w:ascii="Arial" w:hAnsi="Arial" w:cs="Arial"/>
                <w:color w:val="auto"/>
                <w:sz w:val="24"/>
                <w:szCs w:val="24"/>
              </w:rPr>
              <w:t xml:space="preserve">rozbudowy sieci drogowej </w:t>
            </w:r>
            <w:r w:rsidR="0002145B" w:rsidRPr="00237760">
              <w:rPr>
                <w:rFonts w:ascii="Arial" w:hAnsi="Arial" w:cs="Arial"/>
                <w:color w:val="auto"/>
                <w:sz w:val="24"/>
                <w:szCs w:val="24"/>
              </w:rPr>
              <w:lastRenderedPageBreak/>
              <w:t xml:space="preserve">poprawi dostępność komunikacyjną regionu </w:t>
            </w:r>
            <w:r w:rsidR="003B48BF" w:rsidRPr="00237760">
              <w:rPr>
                <w:rFonts w:ascii="Arial" w:hAnsi="Arial" w:cs="Arial"/>
                <w:color w:val="auto"/>
                <w:sz w:val="24"/>
                <w:szCs w:val="24"/>
              </w:rPr>
              <w:t>względem reszty kraju i Europy.</w:t>
            </w:r>
          </w:p>
        </w:tc>
      </w:tr>
      <w:tr w:rsidR="00237760" w:rsidRPr="00237760" w14:paraId="75D29C4E" w14:textId="77777777" w:rsidTr="00C378D3">
        <w:trPr>
          <w:gridAfter w:val="1"/>
          <w:wAfter w:w="13" w:type="dxa"/>
          <w:trHeight w:val="428"/>
        </w:trPr>
        <w:tc>
          <w:tcPr>
            <w:tcW w:w="3691" w:type="dxa"/>
            <w:vAlign w:val="center"/>
          </w:tcPr>
          <w:p w14:paraId="1295A7AB" w14:textId="77777777" w:rsidR="002B4E5D" w:rsidRPr="00237760" w:rsidRDefault="002B4E5D"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lastRenderedPageBreak/>
              <w:t>Warunki geograficzne – koszty inwestycji są znacznie wyższe ze względu na ukształtowanie powierzchni terenu</w:t>
            </w:r>
          </w:p>
        </w:tc>
        <w:tc>
          <w:tcPr>
            <w:tcW w:w="1134" w:type="dxa"/>
            <w:tcBorders>
              <w:bottom w:val="single" w:sz="4" w:space="0" w:color="002060"/>
            </w:tcBorders>
            <w:shd w:val="clear" w:color="auto" w:fill="B4C6E7"/>
            <w:vAlign w:val="center"/>
          </w:tcPr>
          <w:p w14:paraId="124E1035" w14:textId="77777777" w:rsidR="002B4E5D" w:rsidRPr="00237760" w:rsidRDefault="002B4E5D" w:rsidP="009367B4">
            <w:pPr>
              <w:spacing w:after="0" w:line="240" w:lineRule="auto"/>
              <w:jc w:val="left"/>
              <w:rPr>
                <w:rFonts w:ascii="Arial" w:hAnsi="Arial" w:cs="Arial"/>
                <w:color w:val="auto"/>
                <w:sz w:val="24"/>
                <w:szCs w:val="24"/>
              </w:rPr>
            </w:pPr>
          </w:p>
        </w:tc>
        <w:tc>
          <w:tcPr>
            <w:tcW w:w="4247" w:type="dxa"/>
            <w:gridSpan w:val="2"/>
            <w:shd w:val="clear" w:color="auto" w:fill="auto"/>
            <w:vAlign w:val="center"/>
          </w:tcPr>
          <w:p w14:paraId="57D086DC" w14:textId="389B86F1" w:rsidR="002B4E5D" w:rsidRPr="00237760" w:rsidRDefault="007F050A"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Wystarczająca trafność </w:t>
            </w:r>
            <w:r w:rsidR="006017B9" w:rsidRPr="00237760">
              <w:rPr>
                <w:rFonts w:ascii="Arial" w:hAnsi="Arial" w:cs="Arial"/>
                <w:color w:val="auto"/>
                <w:sz w:val="24"/>
                <w:szCs w:val="24"/>
              </w:rPr>
              <w:t xml:space="preserve">przedsięwzięć, wyzwanie </w:t>
            </w:r>
            <w:r w:rsidR="00720883" w:rsidRPr="00237760">
              <w:rPr>
                <w:rFonts w:ascii="Arial" w:hAnsi="Arial" w:cs="Arial"/>
                <w:color w:val="auto"/>
                <w:sz w:val="24"/>
                <w:szCs w:val="24"/>
              </w:rPr>
              <w:t xml:space="preserve">podejmowane głównie poprzez budowę nowych mostów i wysokiej jakości dróg w trudno dostępnych obszarach regionu oraz poprzez rozwój infrastruktury zwiększającej odporność regionu na zjawiska </w:t>
            </w:r>
            <w:r w:rsidR="00BB11E6" w:rsidRPr="00237760">
              <w:rPr>
                <w:rFonts w:ascii="Arial" w:hAnsi="Arial" w:cs="Arial"/>
                <w:color w:val="auto"/>
                <w:sz w:val="24"/>
                <w:szCs w:val="24"/>
              </w:rPr>
              <w:t xml:space="preserve">przyrodnicze </w:t>
            </w:r>
            <w:r w:rsidR="00746CDF" w:rsidRPr="00237760">
              <w:rPr>
                <w:rFonts w:ascii="Arial" w:hAnsi="Arial" w:cs="Arial"/>
                <w:color w:val="auto"/>
                <w:sz w:val="24"/>
                <w:szCs w:val="24"/>
              </w:rPr>
              <w:t>(infrastruktura przeciwpowodziowa, zabezpieczająca osuwiska, pobocza)</w:t>
            </w:r>
            <w:r w:rsidR="00E0430F" w:rsidRPr="00237760">
              <w:rPr>
                <w:rFonts w:ascii="Arial" w:hAnsi="Arial" w:cs="Arial"/>
                <w:color w:val="auto"/>
                <w:sz w:val="24"/>
                <w:szCs w:val="24"/>
              </w:rPr>
              <w:t>.</w:t>
            </w:r>
          </w:p>
        </w:tc>
      </w:tr>
      <w:tr w:rsidR="00237760" w:rsidRPr="00237760" w14:paraId="701D0360" w14:textId="77777777" w:rsidTr="00C378D3">
        <w:trPr>
          <w:gridAfter w:val="1"/>
          <w:wAfter w:w="13" w:type="dxa"/>
          <w:trHeight w:val="428"/>
        </w:trPr>
        <w:tc>
          <w:tcPr>
            <w:tcW w:w="3691" w:type="dxa"/>
            <w:vAlign w:val="center"/>
          </w:tcPr>
          <w:p w14:paraId="2BC35C3D" w14:textId="77777777" w:rsidR="002B4E5D" w:rsidRPr="00237760" w:rsidRDefault="002B4E5D"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Układ sieci osadniczej – rozproszenie zabudowy głównie na terenie wiejskich układów osadniczych zwiększa zapotrzebowanie na infrastrukturę lokalną</w:t>
            </w:r>
          </w:p>
        </w:tc>
        <w:tc>
          <w:tcPr>
            <w:tcW w:w="1134" w:type="dxa"/>
            <w:tcBorders>
              <w:top w:val="single" w:sz="4" w:space="0" w:color="002060"/>
              <w:bottom w:val="single" w:sz="4" w:space="0" w:color="002060"/>
            </w:tcBorders>
            <w:shd w:val="clear" w:color="auto" w:fill="2F5496"/>
            <w:vAlign w:val="center"/>
          </w:tcPr>
          <w:p w14:paraId="00B66C67" w14:textId="77777777" w:rsidR="002B4E5D" w:rsidRPr="00237760" w:rsidRDefault="002B4E5D" w:rsidP="009367B4">
            <w:pPr>
              <w:spacing w:after="0" w:line="240" w:lineRule="auto"/>
              <w:jc w:val="left"/>
              <w:rPr>
                <w:rFonts w:ascii="Arial" w:hAnsi="Arial" w:cs="Arial"/>
                <w:color w:val="auto"/>
                <w:sz w:val="24"/>
                <w:szCs w:val="24"/>
              </w:rPr>
            </w:pPr>
          </w:p>
        </w:tc>
        <w:tc>
          <w:tcPr>
            <w:tcW w:w="4247" w:type="dxa"/>
            <w:gridSpan w:val="2"/>
            <w:shd w:val="clear" w:color="auto" w:fill="auto"/>
            <w:vAlign w:val="center"/>
          </w:tcPr>
          <w:p w14:paraId="71694F88" w14:textId="6D2D8A54" w:rsidR="002B4E5D" w:rsidRPr="00237760" w:rsidRDefault="00D162E7"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Realizacja wyzwania poprzez liczne inwestycje drogowe </w:t>
            </w:r>
            <w:r w:rsidR="00E0430F" w:rsidRPr="00237760">
              <w:rPr>
                <w:rFonts w:ascii="Arial" w:hAnsi="Arial" w:cs="Arial"/>
                <w:color w:val="auto"/>
                <w:sz w:val="24"/>
                <w:szCs w:val="24"/>
              </w:rPr>
              <w:t>poprawiające dostępność wewnętrzną regionu, zarówno pomiędzy ośrodkami wzrostu jak i obszarami peryferyjnymi.</w:t>
            </w:r>
          </w:p>
        </w:tc>
      </w:tr>
      <w:tr w:rsidR="00237760" w:rsidRPr="00237760" w14:paraId="55D66082" w14:textId="77777777" w:rsidTr="00C378D3">
        <w:trPr>
          <w:gridAfter w:val="1"/>
          <w:wAfter w:w="13" w:type="dxa"/>
          <w:trHeight w:val="428"/>
        </w:trPr>
        <w:tc>
          <w:tcPr>
            <w:tcW w:w="3691" w:type="dxa"/>
            <w:tcBorders>
              <w:right w:val="nil"/>
            </w:tcBorders>
            <w:shd w:val="clear" w:color="auto" w:fill="auto"/>
            <w:vAlign w:val="center"/>
          </w:tcPr>
          <w:p w14:paraId="24175FB4" w14:textId="7545DDCD" w:rsidR="002B4E5D" w:rsidRPr="00237760" w:rsidRDefault="002B4E5D" w:rsidP="009367B4">
            <w:pPr>
              <w:spacing w:after="0" w:line="240" w:lineRule="auto"/>
              <w:jc w:val="left"/>
              <w:rPr>
                <w:rFonts w:ascii="Arial" w:hAnsi="Arial" w:cs="Arial"/>
                <w:color w:val="auto"/>
                <w:sz w:val="24"/>
                <w:szCs w:val="24"/>
              </w:rPr>
            </w:pPr>
            <w:bookmarkStart w:id="79" w:name="_Hlk101335033"/>
            <w:r w:rsidRPr="00237760">
              <w:rPr>
                <w:rFonts w:ascii="Arial" w:hAnsi="Arial" w:cs="Arial"/>
                <w:color w:val="auto"/>
                <w:sz w:val="24"/>
                <w:szCs w:val="24"/>
              </w:rPr>
              <w:t>Ogr</w:t>
            </w:r>
            <w:r w:rsidR="005C0E19" w:rsidRPr="00237760">
              <w:rPr>
                <w:rFonts w:ascii="Arial" w:hAnsi="Arial" w:cs="Arial"/>
                <w:color w:val="auto"/>
                <w:sz w:val="24"/>
                <w:szCs w:val="24"/>
              </w:rPr>
              <w:t>aniczenia proceduralne – m.in. s</w:t>
            </w:r>
            <w:r w:rsidRPr="00237760">
              <w:rPr>
                <w:rFonts w:ascii="Arial" w:hAnsi="Arial" w:cs="Arial"/>
                <w:color w:val="auto"/>
                <w:sz w:val="24"/>
                <w:szCs w:val="24"/>
              </w:rPr>
              <w:t>komplikowane procedury prawa zamówień publicznych</w:t>
            </w:r>
          </w:p>
        </w:tc>
        <w:tc>
          <w:tcPr>
            <w:tcW w:w="1134" w:type="dxa"/>
            <w:tcBorders>
              <w:top w:val="single" w:sz="4" w:space="0" w:color="002060"/>
              <w:left w:val="nil"/>
              <w:bottom w:val="single" w:sz="4" w:space="0" w:color="002060"/>
              <w:right w:val="nil"/>
            </w:tcBorders>
            <w:shd w:val="clear" w:color="auto" w:fill="auto"/>
            <w:vAlign w:val="center"/>
          </w:tcPr>
          <w:p w14:paraId="2FBF5089" w14:textId="77777777" w:rsidR="002B4E5D" w:rsidRPr="00237760" w:rsidRDefault="002B4E5D" w:rsidP="009367B4">
            <w:pPr>
              <w:spacing w:after="0" w:line="240" w:lineRule="auto"/>
              <w:jc w:val="left"/>
              <w:rPr>
                <w:rFonts w:ascii="Arial" w:hAnsi="Arial" w:cs="Arial"/>
                <w:color w:val="auto"/>
                <w:sz w:val="24"/>
                <w:szCs w:val="24"/>
              </w:rPr>
            </w:pPr>
          </w:p>
        </w:tc>
        <w:tc>
          <w:tcPr>
            <w:tcW w:w="4247" w:type="dxa"/>
            <w:gridSpan w:val="2"/>
            <w:tcBorders>
              <w:left w:val="nil"/>
            </w:tcBorders>
            <w:shd w:val="clear" w:color="auto" w:fill="auto"/>
            <w:vAlign w:val="center"/>
          </w:tcPr>
          <w:p w14:paraId="598170EF" w14:textId="2AF2C051" w:rsidR="002B4E5D" w:rsidRPr="00237760" w:rsidRDefault="00797D14"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 zidentyfikowano</w:t>
            </w:r>
          </w:p>
        </w:tc>
      </w:tr>
      <w:tr w:rsidR="00237760" w:rsidRPr="00237760" w14:paraId="12105846" w14:textId="77777777" w:rsidTr="00C378D3">
        <w:trPr>
          <w:gridAfter w:val="1"/>
          <w:wAfter w:w="13" w:type="dxa"/>
          <w:trHeight w:val="428"/>
        </w:trPr>
        <w:tc>
          <w:tcPr>
            <w:tcW w:w="3691" w:type="dxa"/>
            <w:tcBorders>
              <w:right w:val="nil"/>
            </w:tcBorders>
            <w:shd w:val="clear" w:color="auto" w:fill="auto"/>
            <w:vAlign w:val="center"/>
          </w:tcPr>
          <w:p w14:paraId="1C413358" w14:textId="77777777" w:rsidR="002B4E5D" w:rsidRPr="00237760" w:rsidRDefault="002B4E5D"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Niska elastyczność w zakresie wymogów technicznych dróg – wysokie wymogi techniczne powodują wysokie koszty inwestycji</w:t>
            </w:r>
          </w:p>
        </w:tc>
        <w:tc>
          <w:tcPr>
            <w:tcW w:w="1134" w:type="dxa"/>
            <w:tcBorders>
              <w:top w:val="single" w:sz="4" w:space="0" w:color="002060"/>
              <w:left w:val="nil"/>
              <w:bottom w:val="single" w:sz="4" w:space="0" w:color="002060"/>
              <w:right w:val="nil"/>
            </w:tcBorders>
            <w:shd w:val="clear" w:color="auto" w:fill="auto"/>
            <w:vAlign w:val="center"/>
          </w:tcPr>
          <w:p w14:paraId="0C5B81D3" w14:textId="77777777" w:rsidR="002B4E5D" w:rsidRPr="00237760" w:rsidRDefault="002B4E5D" w:rsidP="009367B4">
            <w:pPr>
              <w:spacing w:after="0" w:line="240" w:lineRule="auto"/>
              <w:jc w:val="left"/>
              <w:rPr>
                <w:rFonts w:ascii="Arial" w:hAnsi="Arial" w:cs="Arial"/>
                <w:color w:val="auto"/>
                <w:sz w:val="24"/>
                <w:szCs w:val="24"/>
              </w:rPr>
            </w:pPr>
          </w:p>
        </w:tc>
        <w:tc>
          <w:tcPr>
            <w:tcW w:w="4247" w:type="dxa"/>
            <w:gridSpan w:val="2"/>
            <w:tcBorders>
              <w:left w:val="nil"/>
            </w:tcBorders>
            <w:shd w:val="clear" w:color="auto" w:fill="auto"/>
            <w:vAlign w:val="center"/>
          </w:tcPr>
          <w:p w14:paraId="2D9040BD" w14:textId="7F178A49" w:rsidR="002B4E5D" w:rsidRPr="00237760" w:rsidRDefault="00797D14"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 zidentyfikowano</w:t>
            </w:r>
          </w:p>
        </w:tc>
      </w:tr>
      <w:tr w:rsidR="00237760" w:rsidRPr="00237760" w14:paraId="4DC13D92" w14:textId="77777777" w:rsidTr="00C378D3">
        <w:trPr>
          <w:gridAfter w:val="1"/>
          <w:wAfter w:w="13" w:type="dxa"/>
          <w:trHeight w:val="428"/>
        </w:trPr>
        <w:tc>
          <w:tcPr>
            <w:tcW w:w="3691" w:type="dxa"/>
            <w:tcBorders>
              <w:right w:val="nil"/>
            </w:tcBorders>
            <w:shd w:val="clear" w:color="auto" w:fill="auto"/>
            <w:vAlign w:val="center"/>
          </w:tcPr>
          <w:p w14:paraId="18171F18" w14:textId="77777777" w:rsidR="002B4E5D" w:rsidRPr="00237760" w:rsidRDefault="002B4E5D"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Sytuacja finansowa jednostek samorządu terytorialnego</w:t>
            </w:r>
          </w:p>
        </w:tc>
        <w:tc>
          <w:tcPr>
            <w:tcW w:w="1134" w:type="dxa"/>
            <w:tcBorders>
              <w:top w:val="single" w:sz="4" w:space="0" w:color="002060"/>
              <w:left w:val="nil"/>
              <w:bottom w:val="nil"/>
              <w:right w:val="nil"/>
            </w:tcBorders>
            <w:shd w:val="clear" w:color="auto" w:fill="auto"/>
            <w:vAlign w:val="center"/>
          </w:tcPr>
          <w:p w14:paraId="4A108EE5" w14:textId="77777777" w:rsidR="002B4E5D" w:rsidRPr="00237760" w:rsidRDefault="002B4E5D" w:rsidP="009367B4">
            <w:pPr>
              <w:spacing w:after="0" w:line="240" w:lineRule="auto"/>
              <w:jc w:val="left"/>
              <w:rPr>
                <w:rFonts w:ascii="Arial" w:hAnsi="Arial" w:cs="Arial"/>
                <w:color w:val="auto"/>
                <w:sz w:val="24"/>
                <w:szCs w:val="24"/>
              </w:rPr>
            </w:pPr>
          </w:p>
        </w:tc>
        <w:tc>
          <w:tcPr>
            <w:tcW w:w="4247" w:type="dxa"/>
            <w:gridSpan w:val="2"/>
            <w:tcBorders>
              <w:left w:val="nil"/>
            </w:tcBorders>
            <w:shd w:val="clear" w:color="auto" w:fill="auto"/>
            <w:vAlign w:val="center"/>
          </w:tcPr>
          <w:p w14:paraId="7846C35A" w14:textId="45211498" w:rsidR="002B4E5D" w:rsidRPr="00237760" w:rsidRDefault="00797D14"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 zidentyfikowano</w:t>
            </w:r>
          </w:p>
        </w:tc>
      </w:tr>
      <w:bookmarkEnd w:id="79"/>
      <w:tr w:rsidR="00237760" w:rsidRPr="00237760" w14:paraId="5635D6E9" w14:textId="77777777" w:rsidTr="00C378D3">
        <w:trPr>
          <w:trHeight w:val="50"/>
        </w:trPr>
        <w:tc>
          <w:tcPr>
            <w:tcW w:w="9085" w:type="dxa"/>
            <w:gridSpan w:val="5"/>
            <w:shd w:val="clear" w:color="auto" w:fill="auto"/>
            <w:vAlign w:val="center"/>
          </w:tcPr>
          <w:p w14:paraId="0963D6D8" w14:textId="77777777" w:rsidR="002B4E5D" w:rsidRPr="00237760" w:rsidRDefault="002B4E5D" w:rsidP="009367B4">
            <w:pPr>
              <w:spacing w:after="0" w:line="240" w:lineRule="auto"/>
              <w:jc w:val="left"/>
              <w:rPr>
                <w:rFonts w:ascii="Arial" w:hAnsi="Arial" w:cs="Arial"/>
                <w:b/>
                <w:bCs/>
                <w:color w:val="auto"/>
                <w:sz w:val="24"/>
                <w:szCs w:val="24"/>
              </w:rPr>
            </w:pPr>
            <w:r w:rsidRPr="00237760">
              <w:rPr>
                <w:rFonts w:ascii="Arial" w:hAnsi="Arial" w:cs="Arial"/>
                <w:b/>
                <w:bCs/>
                <w:color w:val="auto"/>
                <w:sz w:val="24"/>
                <w:szCs w:val="24"/>
              </w:rPr>
              <w:t>Bariery dla rozwoju transportu WP</w:t>
            </w:r>
          </w:p>
        </w:tc>
      </w:tr>
      <w:tr w:rsidR="00237760" w:rsidRPr="00237760" w14:paraId="389BAE96" w14:textId="77777777" w:rsidTr="00C378D3">
        <w:trPr>
          <w:gridAfter w:val="1"/>
          <w:wAfter w:w="13" w:type="dxa"/>
          <w:trHeight w:val="428"/>
        </w:trPr>
        <w:tc>
          <w:tcPr>
            <w:tcW w:w="3691" w:type="dxa"/>
            <w:shd w:val="clear" w:color="auto" w:fill="auto"/>
            <w:vAlign w:val="center"/>
          </w:tcPr>
          <w:p w14:paraId="6A829C8E" w14:textId="77777777" w:rsidR="002B4E5D" w:rsidRPr="00237760" w:rsidRDefault="002B4E5D"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Niskie zainteresowanie mieszkańców transportem publicznym – przewaga indywidualnych środków transportu</w:t>
            </w:r>
          </w:p>
        </w:tc>
        <w:tc>
          <w:tcPr>
            <w:tcW w:w="1134" w:type="dxa"/>
            <w:shd w:val="clear" w:color="auto" w:fill="auto"/>
            <w:vAlign w:val="center"/>
          </w:tcPr>
          <w:p w14:paraId="2FBCF3B7" w14:textId="77777777" w:rsidR="002B4E5D" w:rsidRPr="00237760" w:rsidRDefault="002B4E5D" w:rsidP="009367B4">
            <w:pPr>
              <w:spacing w:after="0" w:line="240" w:lineRule="auto"/>
              <w:jc w:val="left"/>
              <w:rPr>
                <w:rFonts w:ascii="Arial" w:hAnsi="Arial" w:cs="Arial"/>
                <w:color w:val="auto"/>
                <w:sz w:val="24"/>
                <w:szCs w:val="24"/>
              </w:rPr>
            </w:pPr>
          </w:p>
        </w:tc>
        <w:tc>
          <w:tcPr>
            <w:tcW w:w="4247" w:type="dxa"/>
            <w:gridSpan w:val="2"/>
            <w:shd w:val="clear" w:color="auto" w:fill="auto"/>
            <w:vAlign w:val="center"/>
          </w:tcPr>
          <w:p w14:paraId="7EDE7E2E" w14:textId="168C079C" w:rsidR="002B4E5D" w:rsidRPr="00237760" w:rsidRDefault="003D75A8"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Realizacja poprzez liczne pośrednie działania rozwijające sieć kolejową w regionie. Tworzenie nowych inwestycji, które stanowić będą faktyczną, często szybszą alternatywę dla transportu indywidualnego może bezpośrednio wpłynąć na zainteresowanie tym środkiem transportu.</w:t>
            </w:r>
          </w:p>
        </w:tc>
      </w:tr>
      <w:tr w:rsidR="00237760" w:rsidRPr="00237760" w14:paraId="003836D2" w14:textId="77777777" w:rsidTr="00C378D3">
        <w:trPr>
          <w:gridAfter w:val="1"/>
          <w:wAfter w:w="13" w:type="dxa"/>
          <w:trHeight w:val="428"/>
        </w:trPr>
        <w:tc>
          <w:tcPr>
            <w:tcW w:w="3691" w:type="dxa"/>
            <w:shd w:val="clear" w:color="auto" w:fill="auto"/>
            <w:vAlign w:val="center"/>
          </w:tcPr>
          <w:p w14:paraId="47857E58" w14:textId="77777777" w:rsidR="002B4E5D" w:rsidRPr="00237760" w:rsidRDefault="002B4E5D" w:rsidP="009367B4">
            <w:pPr>
              <w:spacing w:after="0" w:line="240" w:lineRule="auto"/>
              <w:jc w:val="left"/>
              <w:rPr>
                <w:rFonts w:ascii="Arial" w:hAnsi="Arial" w:cs="Arial"/>
                <w:color w:val="auto"/>
                <w:sz w:val="24"/>
                <w:szCs w:val="24"/>
              </w:rPr>
            </w:pPr>
            <w:bookmarkStart w:id="80" w:name="_Hlk101335090"/>
            <w:r w:rsidRPr="00237760">
              <w:rPr>
                <w:rFonts w:ascii="Arial" w:hAnsi="Arial" w:cs="Arial"/>
                <w:color w:val="auto"/>
                <w:sz w:val="24"/>
                <w:szCs w:val="24"/>
              </w:rPr>
              <w:t>Braki kadrowe w transporcie pasażerskim i towarowym</w:t>
            </w:r>
          </w:p>
        </w:tc>
        <w:tc>
          <w:tcPr>
            <w:tcW w:w="1134" w:type="dxa"/>
            <w:shd w:val="clear" w:color="auto" w:fill="auto"/>
            <w:vAlign w:val="center"/>
          </w:tcPr>
          <w:p w14:paraId="674CC53E" w14:textId="77777777" w:rsidR="002B4E5D" w:rsidRPr="00237760" w:rsidRDefault="002B4E5D" w:rsidP="009367B4">
            <w:pPr>
              <w:spacing w:after="0" w:line="240" w:lineRule="auto"/>
              <w:jc w:val="left"/>
              <w:rPr>
                <w:rFonts w:ascii="Arial" w:hAnsi="Arial" w:cs="Arial"/>
                <w:color w:val="auto"/>
                <w:sz w:val="24"/>
                <w:szCs w:val="24"/>
              </w:rPr>
            </w:pPr>
          </w:p>
        </w:tc>
        <w:tc>
          <w:tcPr>
            <w:tcW w:w="4247" w:type="dxa"/>
            <w:gridSpan w:val="2"/>
            <w:shd w:val="clear" w:color="auto" w:fill="auto"/>
            <w:vAlign w:val="center"/>
          </w:tcPr>
          <w:p w14:paraId="0737BC1C" w14:textId="3FD9670C" w:rsidR="002B4E5D" w:rsidRPr="00237760" w:rsidRDefault="00612838"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 zidentyfikowano</w:t>
            </w:r>
          </w:p>
        </w:tc>
      </w:tr>
      <w:bookmarkEnd w:id="80"/>
      <w:tr w:rsidR="00237760" w:rsidRPr="00237760" w14:paraId="4D7038DE" w14:textId="77777777" w:rsidTr="00C378D3">
        <w:trPr>
          <w:gridAfter w:val="1"/>
          <w:wAfter w:w="13" w:type="dxa"/>
          <w:trHeight w:val="428"/>
        </w:trPr>
        <w:tc>
          <w:tcPr>
            <w:tcW w:w="3691" w:type="dxa"/>
            <w:vAlign w:val="center"/>
          </w:tcPr>
          <w:p w14:paraId="079BD60F" w14:textId="77777777" w:rsidR="002B4E5D" w:rsidRPr="00237760" w:rsidRDefault="002B4E5D"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Trudności we współpracy jednostek samorządowych oraz przedsiębiorstw transportowych – trudności w integracji transportu</w:t>
            </w:r>
          </w:p>
        </w:tc>
        <w:tc>
          <w:tcPr>
            <w:tcW w:w="1134" w:type="dxa"/>
            <w:shd w:val="clear" w:color="auto" w:fill="B4C6E7"/>
            <w:vAlign w:val="center"/>
          </w:tcPr>
          <w:p w14:paraId="006FA0AC" w14:textId="77777777" w:rsidR="002B4E5D" w:rsidRPr="00237760" w:rsidRDefault="002B4E5D" w:rsidP="009367B4">
            <w:pPr>
              <w:spacing w:after="0" w:line="240" w:lineRule="auto"/>
              <w:jc w:val="left"/>
              <w:rPr>
                <w:rFonts w:ascii="Arial" w:hAnsi="Arial" w:cs="Arial"/>
                <w:color w:val="auto"/>
                <w:sz w:val="24"/>
                <w:szCs w:val="24"/>
              </w:rPr>
            </w:pPr>
          </w:p>
        </w:tc>
        <w:tc>
          <w:tcPr>
            <w:tcW w:w="4247" w:type="dxa"/>
            <w:gridSpan w:val="2"/>
            <w:shd w:val="clear" w:color="auto" w:fill="auto"/>
            <w:vAlign w:val="center"/>
          </w:tcPr>
          <w:p w14:paraId="55739036" w14:textId="28E5A33B" w:rsidR="002B4E5D" w:rsidRPr="00237760" w:rsidRDefault="00686CE2"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Wystarczająca reakcja na wyzwanie poprzez </w:t>
            </w:r>
            <w:r w:rsidR="009B327D" w:rsidRPr="00237760">
              <w:rPr>
                <w:rFonts w:ascii="Arial" w:hAnsi="Arial" w:cs="Arial"/>
                <w:color w:val="auto"/>
                <w:sz w:val="24"/>
                <w:szCs w:val="24"/>
              </w:rPr>
              <w:t>wsparcie JST w ponadlokalnych inwestycjach oraz poprzez intensywny rozwój PKA.</w:t>
            </w:r>
          </w:p>
        </w:tc>
      </w:tr>
      <w:tr w:rsidR="00237760" w:rsidRPr="00237760" w14:paraId="67C39826" w14:textId="77777777" w:rsidTr="00C378D3">
        <w:trPr>
          <w:gridAfter w:val="2"/>
          <w:wAfter w:w="19" w:type="dxa"/>
          <w:trHeight w:val="428"/>
        </w:trPr>
        <w:tc>
          <w:tcPr>
            <w:tcW w:w="3691" w:type="dxa"/>
            <w:vAlign w:val="center"/>
          </w:tcPr>
          <w:p w14:paraId="65428579" w14:textId="77777777" w:rsidR="00797D14" w:rsidRPr="00237760" w:rsidRDefault="00797D14"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Brak wygodnych powiązań z siecią dróg ekspresowych oraz </w:t>
            </w:r>
            <w:r w:rsidRPr="00237760">
              <w:rPr>
                <w:rFonts w:ascii="Arial" w:hAnsi="Arial" w:cs="Arial"/>
                <w:color w:val="auto"/>
                <w:sz w:val="24"/>
                <w:szCs w:val="24"/>
              </w:rPr>
              <w:lastRenderedPageBreak/>
              <w:t>ograniczenia związane z nośnością dróg</w:t>
            </w:r>
          </w:p>
        </w:tc>
        <w:tc>
          <w:tcPr>
            <w:tcW w:w="1134" w:type="dxa"/>
            <w:shd w:val="clear" w:color="auto" w:fill="B4C6E7"/>
            <w:vAlign w:val="center"/>
          </w:tcPr>
          <w:p w14:paraId="76B02109" w14:textId="77777777" w:rsidR="00797D14" w:rsidRPr="00237760" w:rsidRDefault="00797D14" w:rsidP="009367B4">
            <w:pPr>
              <w:spacing w:after="0" w:line="240" w:lineRule="auto"/>
              <w:jc w:val="left"/>
              <w:rPr>
                <w:rFonts w:ascii="Arial" w:hAnsi="Arial" w:cs="Arial"/>
                <w:color w:val="auto"/>
                <w:sz w:val="24"/>
                <w:szCs w:val="24"/>
              </w:rPr>
            </w:pPr>
          </w:p>
        </w:tc>
        <w:tc>
          <w:tcPr>
            <w:tcW w:w="4241" w:type="dxa"/>
            <w:shd w:val="clear" w:color="auto" w:fill="auto"/>
            <w:vAlign w:val="center"/>
          </w:tcPr>
          <w:p w14:paraId="44075138" w14:textId="18CB1E48" w:rsidR="00797D14" w:rsidRPr="00237760" w:rsidRDefault="00010A41"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Wyzwanie podejmowane poprzez </w:t>
            </w:r>
            <w:r w:rsidR="001B7DBF" w:rsidRPr="00237760">
              <w:rPr>
                <w:rFonts w:ascii="Arial" w:hAnsi="Arial" w:cs="Arial"/>
                <w:color w:val="auto"/>
                <w:sz w:val="24"/>
                <w:szCs w:val="24"/>
              </w:rPr>
              <w:t xml:space="preserve">liczne przedsięwzięcia związane ze </w:t>
            </w:r>
            <w:r w:rsidR="001B7DBF" w:rsidRPr="00237760">
              <w:rPr>
                <w:rFonts w:ascii="Arial" w:hAnsi="Arial" w:cs="Arial"/>
                <w:color w:val="auto"/>
                <w:sz w:val="24"/>
                <w:szCs w:val="24"/>
              </w:rPr>
              <w:lastRenderedPageBreak/>
              <w:t xml:space="preserve">zwiększaniem przepustowości istniejących już dróg oraz </w:t>
            </w:r>
            <w:r w:rsidR="00FD1492" w:rsidRPr="00237760">
              <w:rPr>
                <w:rFonts w:ascii="Arial" w:hAnsi="Arial" w:cs="Arial"/>
                <w:color w:val="auto"/>
                <w:sz w:val="24"/>
                <w:szCs w:val="24"/>
              </w:rPr>
              <w:t>tworzeniem brakujących odcinków dróg łączących istniejącą infrastrukturę z kolejnymi obszarami regionu.</w:t>
            </w:r>
          </w:p>
        </w:tc>
      </w:tr>
      <w:tr w:rsidR="00237760" w:rsidRPr="00237760" w14:paraId="7D0B978B" w14:textId="77777777" w:rsidTr="00F077C6">
        <w:trPr>
          <w:trHeight w:val="53"/>
        </w:trPr>
        <w:tc>
          <w:tcPr>
            <w:tcW w:w="9085" w:type="dxa"/>
            <w:gridSpan w:val="5"/>
            <w:shd w:val="clear" w:color="auto" w:fill="auto"/>
            <w:vAlign w:val="center"/>
          </w:tcPr>
          <w:p w14:paraId="55B0DC98" w14:textId="77777777" w:rsidR="002B4E5D" w:rsidRPr="00237760" w:rsidRDefault="002B4E5D" w:rsidP="009367B4">
            <w:pPr>
              <w:spacing w:after="0" w:line="240" w:lineRule="auto"/>
              <w:jc w:val="left"/>
              <w:rPr>
                <w:rFonts w:ascii="Arial" w:hAnsi="Arial" w:cs="Arial"/>
                <w:b/>
                <w:bCs/>
                <w:color w:val="auto"/>
                <w:sz w:val="24"/>
                <w:szCs w:val="24"/>
              </w:rPr>
            </w:pPr>
            <w:r w:rsidRPr="00237760">
              <w:rPr>
                <w:rFonts w:ascii="Arial" w:hAnsi="Arial" w:cs="Arial"/>
                <w:b/>
                <w:bCs/>
                <w:color w:val="auto"/>
                <w:sz w:val="24"/>
                <w:szCs w:val="24"/>
              </w:rPr>
              <w:lastRenderedPageBreak/>
              <w:t>Wąskie gardła rozwoju transportu w WP</w:t>
            </w:r>
          </w:p>
        </w:tc>
      </w:tr>
      <w:tr w:rsidR="00237760" w:rsidRPr="00237760" w14:paraId="6A661C62" w14:textId="77777777" w:rsidTr="00C378D3">
        <w:trPr>
          <w:gridAfter w:val="1"/>
          <w:wAfter w:w="13" w:type="dxa"/>
          <w:trHeight w:val="428"/>
        </w:trPr>
        <w:tc>
          <w:tcPr>
            <w:tcW w:w="3691" w:type="dxa"/>
            <w:vAlign w:val="center"/>
          </w:tcPr>
          <w:p w14:paraId="40C1B804" w14:textId="77777777" w:rsidR="002B4E5D" w:rsidRPr="00237760" w:rsidRDefault="002B4E5D"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Niewystarczające powiązanie drogowe południowej części województwa z Rzeszowem, infrastrukturą międzynarodową oraz z resztą kraju i Europą</w:t>
            </w:r>
          </w:p>
        </w:tc>
        <w:tc>
          <w:tcPr>
            <w:tcW w:w="1134" w:type="dxa"/>
            <w:shd w:val="clear" w:color="auto" w:fill="2F5496"/>
            <w:vAlign w:val="center"/>
          </w:tcPr>
          <w:p w14:paraId="62BD497E" w14:textId="77777777" w:rsidR="002B4E5D" w:rsidRPr="00237760" w:rsidRDefault="002B4E5D" w:rsidP="009367B4">
            <w:pPr>
              <w:spacing w:after="0" w:line="240" w:lineRule="auto"/>
              <w:jc w:val="left"/>
              <w:rPr>
                <w:rFonts w:ascii="Arial" w:hAnsi="Arial" w:cs="Arial"/>
                <w:color w:val="auto"/>
                <w:sz w:val="24"/>
                <w:szCs w:val="24"/>
              </w:rPr>
            </w:pPr>
          </w:p>
        </w:tc>
        <w:tc>
          <w:tcPr>
            <w:tcW w:w="4247" w:type="dxa"/>
            <w:gridSpan w:val="2"/>
            <w:shd w:val="clear" w:color="auto" w:fill="auto"/>
            <w:vAlign w:val="center"/>
          </w:tcPr>
          <w:p w14:paraId="12B95106" w14:textId="2F2129FC" w:rsidR="002B4E5D" w:rsidRPr="00237760" w:rsidRDefault="00FD1492"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Wysoka trafność przedsięwzięć, wyzwanie podejmowane poprzez liczne inwestycje </w:t>
            </w:r>
            <w:r w:rsidR="00B161BB" w:rsidRPr="00237760">
              <w:rPr>
                <w:rFonts w:ascii="Arial" w:hAnsi="Arial" w:cs="Arial"/>
                <w:color w:val="auto"/>
                <w:sz w:val="24"/>
                <w:szCs w:val="24"/>
              </w:rPr>
              <w:t>w zakresie budowy i przebudowy kolejnych odcinków dróg wojewódzkich</w:t>
            </w:r>
            <w:r w:rsidR="00FE1D27" w:rsidRPr="00237760">
              <w:rPr>
                <w:rFonts w:ascii="Arial" w:hAnsi="Arial" w:cs="Arial"/>
                <w:color w:val="auto"/>
                <w:sz w:val="24"/>
                <w:szCs w:val="24"/>
              </w:rPr>
              <w:t xml:space="preserve"> i obwodnic.</w:t>
            </w:r>
          </w:p>
        </w:tc>
      </w:tr>
      <w:tr w:rsidR="00237760" w:rsidRPr="00237760" w14:paraId="75814EDC" w14:textId="77777777" w:rsidTr="00C378D3">
        <w:trPr>
          <w:gridAfter w:val="1"/>
          <w:wAfter w:w="13" w:type="dxa"/>
          <w:trHeight w:val="428"/>
        </w:trPr>
        <w:tc>
          <w:tcPr>
            <w:tcW w:w="3691" w:type="dxa"/>
            <w:vAlign w:val="center"/>
          </w:tcPr>
          <w:p w14:paraId="6A5BC732" w14:textId="77777777" w:rsidR="002B4E5D" w:rsidRPr="00237760" w:rsidRDefault="002B4E5D"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Niekonkurencyjność połączeń kolejowych z południową częścią regionu</w:t>
            </w:r>
          </w:p>
        </w:tc>
        <w:tc>
          <w:tcPr>
            <w:tcW w:w="1134" w:type="dxa"/>
            <w:shd w:val="clear" w:color="auto" w:fill="2F5496"/>
            <w:vAlign w:val="center"/>
          </w:tcPr>
          <w:p w14:paraId="5DF5C312" w14:textId="77777777" w:rsidR="002B4E5D" w:rsidRPr="00237760" w:rsidRDefault="002B4E5D" w:rsidP="009367B4">
            <w:pPr>
              <w:spacing w:after="0" w:line="240" w:lineRule="auto"/>
              <w:jc w:val="left"/>
              <w:rPr>
                <w:rFonts w:ascii="Arial" w:hAnsi="Arial" w:cs="Arial"/>
                <w:color w:val="auto"/>
                <w:sz w:val="24"/>
                <w:szCs w:val="24"/>
              </w:rPr>
            </w:pPr>
          </w:p>
        </w:tc>
        <w:tc>
          <w:tcPr>
            <w:tcW w:w="4247" w:type="dxa"/>
            <w:gridSpan w:val="2"/>
            <w:shd w:val="clear" w:color="auto" w:fill="auto"/>
            <w:vAlign w:val="center"/>
          </w:tcPr>
          <w:p w14:paraId="384977AF" w14:textId="29112E9B" w:rsidR="002B4E5D" w:rsidRPr="00237760" w:rsidRDefault="00FE1D27"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Wyzwanie podejmowane poprzez modernizację i elektryfikację licznych linii kolejowych oraz rozwój infrastruktury towarzyszącej.</w:t>
            </w:r>
          </w:p>
        </w:tc>
      </w:tr>
      <w:tr w:rsidR="00237760" w:rsidRPr="00237760" w14:paraId="2F79E553" w14:textId="77777777" w:rsidTr="00C378D3">
        <w:trPr>
          <w:gridAfter w:val="1"/>
          <w:wAfter w:w="13" w:type="dxa"/>
          <w:trHeight w:val="428"/>
        </w:trPr>
        <w:tc>
          <w:tcPr>
            <w:tcW w:w="3691" w:type="dxa"/>
            <w:vAlign w:val="center"/>
          </w:tcPr>
          <w:p w14:paraId="7CBB4966" w14:textId="77777777" w:rsidR="002B4E5D" w:rsidRPr="00237760" w:rsidRDefault="002B4E5D"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Mosty na drogach wojewódzkich, powiatowych i gminnych (wiele lokalizacji), których nośność nie pozwala na ruch ciężki, co ogranicza aktywizację gospodarczą</w:t>
            </w:r>
          </w:p>
        </w:tc>
        <w:tc>
          <w:tcPr>
            <w:tcW w:w="1134" w:type="dxa"/>
            <w:shd w:val="clear" w:color="auto" w:fill="2F5496"/>
            <w:vAlign w:val="center"/>
          </w:tcPr>
          <w:p w14:paraId="37FBDB72" w14:textId="77777777" w:rsidR="002B4E5D" w:rsidRPr="00237760" w:rsidRDefault="002B4E5D" w:rsidP="009367B4">
            <w:pPr>
              <w:spacing w:after="0" w:line="240" w:lineRule="auto"/>
              <w:jc w:val="left"/>
              <w:rPr>
                <w:rFonts w:ascii="Arial" w:hAnsi="Arial" w:cs="Arial"/>
                <w:color w:val="auto"/>
                <w:sz w:val="24"/>
                <w:szCs w:val="24"/>
              </w:rPr>
            </w:pPr>
          </w:p>
        </w:tc>
        <w:tc>
          <w:tcPr>
            <w:tcW w:w="4247" w:type="dxa"/>
            <w:gridSpan w:val="2"/>
            <w:shd w:val="clear" w:color="auto" w:fill="auto"/>
            <w:vAlign w:val="center"/>
          </w:tcPr>
          <w:p w14:paraId="541E74F6" w14:textId="3E77A34E" w:rsidR="002B4E5D" w:rsidRPr="00237760" w:rsidRDefault="0060789B"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Na wyzwanie oddziałują bezpośrednio liczne przedsięwzięcia związane z budową nowych mostów </w:t>
            </w:r>
            <w:r w:rsidR="005A649C" w:rsidRPr="00237760">
              <w:rPr>
                <w:rFonts w:ascii="Arial" w:hAnsi="Arial" w:cs="Arial"/>
                <w:color w:val="auto"/>
                <w:sz w:val="24"/>
                <w:szCs w:val="24"/>
              </w:rPr>
              <w:t>i powiązanych z nimi dróg wojewódzkich.</w:t>
            </w:r>
          </w:p>
        </w:tc>
      </w:tr>
      <w:tr w:rsidR="00237760" w:rsidRPr="00237760" w14:paraId="61F42AC8" w14:textId="77777777" w:rsidTr="00C378D3">
        <w:trPr>
          <w:gridAfter w:val="1"/>
          <w:wAfter w:w="13" w:type="dxa"/>
          <w:trHeight w:val="428"/>
        </w:trPr>
        <w:tc>
          <w:tcPr>
            <w:tcW w:w="3691" w:type="dxa"/>
            <w:vAlign w:val="center"/>
          </w:tcPr>
          <w:p w14:paraId="725F6077" w14:textId="77777777" w:rsidR="002B4E5D" w:rsidRPr="00237760" w:rsidRDefault="002B4E5D"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Możliwości transportu intermodalnego (mała liczba terminali)</w:t>
            </w:r>
          </w:p>
        </w:tc>
        <w:tc>
          <w:tcPr>
            <w:tcW w:w="1134" w:type="dxa"/>
            <w:shd w:val="clear" w:color="auto" w:fill="B4C6E7"/>
            <w:vAlign w:val="center"/>
          </w:tcPr>
          <w:p w14:paraId="5004A1BA" w14:textId="77777777" w:rsidR="002B4E5D" w:rsidRPr="00237760" w:rsidRDefault="002B4E5D" w:rsidP="009367B4">
            <w:pPr>
              <w:spacing w:after="0" w:line="240" w:lineRule="auto"/>
              <w:jc w:val="left"/>
              <w:rPr>
                <w:rFonts w:ascii="Arial" w:hAnsi="Arial" w:cs="Arial"/>
                <w:color w:val="auto"/>
                <w:sz w:val="24"/>
                <w:szCs w:val="24"/>
              </w:rPr>
            </w:pPr>
          </w:p>
        </w:tc>
        <w:tc>
          <w:tcPr>
            <w:tcW w:w="4247" w:type="dxa"/>
            <w:gridSpan w:val="2"/>
            <w:shd w:val="clear" w:color="auto" w:fill="auto"/>
            <w:vAlign w:val="center"/>
          </w:tcPr>
          <w:p w14:paraId="5CBD3702" w14:textId="445C1D28" w:rsidR="002B4E5D" w:rsidRPr="00237760" w:rsidRDefault="005A649C"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Wyzwanie podejmowanie poprzez inwestycje związane </w:t>
            </w:r>
            <w:r w:rsidR="00BB3D21" w:rsidRPr="00237760">
              <w:rPr>
                <w:rFonts w:ascii="Arial" w:hAnsi="Arial" w:cs="Arial"/>
                <w:color w:val="auto"/>
                <w:sz w:val="24"/>
                <w:szCs w:val="24"/>
              </w:rPr>
              <w:t>budową terminali oraz kompleksowej infrastruktury przeładunkowej i przesiadkowej w regionie.</w:t>
            </w:r>
          </w:p>
        </w:tc>
      </w:tr>
      <w:tr w:rsidR="00237760" w:rsidRPr="00237760" w14:paraId="140C8777" w14:textId="77777777" w:rsidTr="00C378D3">
        <w:trPr>
          <w:gridAfter w:val="1"/>
          <w:wAfter w:w="13" w:type="dxa"/>
          <w:trHeight w:val="428"/>
        </w:trPr>
        <w:tc>
          <w:tcPr>
            <w:tcW w:w="3691" w:type="dxa"/>
            <w:vAlign w:val="center"/>
          </w:tcPr>
          <w:p w14:paraId="6F1A1970" w14:textId="77777777" w:rsidR="002B4E5D" w:rsidRPr="00237760" w:rsidRDefault="002B4E5D"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Obsługa dojazdów pracowniczych oraz dojazdów do usług w obrębie aglomeracji rzeszowskiej</w:t>
            </w:r>
          </w:p>
        </w:tc>
        <w:tc>
          <w:tcPr>
            <w:tcW w:w="1134" w:type="dxa"/>
            <w:shd w:val="clear" w:color="auto" w:fill="2F5496"/>
            <w:vAlign w:val="center"/>
          </w:tcPr>
          <w:p w14:paraId="574ED546" w14:textId="77777777" w:rsidR="002B4E5D" w:rsidRPr="00237760" w:rsidRDefault="002B4E5D" w:rsidP="009367B4">
            <w:pPr>
              <w:spacing w:after="0" w:line="240" w:lineRule="auto"/>
              <w:jc w:val="left"/>
              <w:rPr>
                <w:rFonts w:ascii="Arial" w:hAnsi="Arial" w:cs="Arial"/>
                <w:color w:val="auto"/>
                <w:sz w:val="24"/>
                <w:szCs w:val="24"/>
              </w:rPr>
            </w:pPr>
          </w:p>
        </w:tc>
        <w:tc>
          <w:tcPr>
            <w:tcW w:w="4247" w:type="dxa"/>
            <w:gridSpan w:val="2"/>
            <w:shd w:val="clear" w:color="auto" w:fill="auto"/>
            <w:vAlign w:val="center"/>
          </w:tcPr>
          <w:p w14:paraId="0658B460" w14:textId="04191B22" w:rsidR="002B4E5D" w:rsidRPr="00237760" w:rsidRDefault="00BB3D21"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w:t>
            </w:r>
            <w:r w:rsidR="008F23EB" w:rsidRPr="00237760">
              <w:rPr>
                <w:rFonts w:ascii="Arial" w:hAnsi="Arial" w:cs="Arial"/>
                <w:color w:val="auto"/>
                <w:sz w:val="24"/>
                <w:szCs w:val="24"/>
              </w:rPr>
              <w:t>a</w:t>
            </w:r>
            <w:r w:rsidRPr="00237760">
              <w:rPr>
                <w:rFonts w:ascii="Arial" w:hAnsi="Arial" w:cs="Arial"/>
                <w:color w:val="auto"/>
                <w:sz w:val="24"/>
                <w:szCs w:val="24"/>
              </w:rPr>
              <w:t xml:space="preserve"> </w:t>
            </w:r>
            <w:r w:rsidR="008F23EB" w:rsidRPr="00237760">
              <w:rPr>
                <w:rFonts w:ascii="Arial" w:hAnsi="Arial" w:cs="Arial"/>
                <w:color w:val="auto"/>
                <w:sz w:val="24"/>
                <w:szCs w:val="24"/>
              </w:rPr>
              <w:t>zagadnienie oddziałują liczne inwestycje z zakresu zwiększania spójności komunikacyjnej obszarów MOF</w:t>
            </w:r>
            <w:r w:rsidR="0049710D" w:rsidRPr="00237760">
              <w:rPr>
                <w:rFonts w:ascii="Arial" w:hAnsi="Arial" w:cs="Arial"/>
                <w:color w:val="auto"/>
                <w:sz w:val="24"/>
                <w:szCs w:val="24"/>
              </w:rPr>
              <w:t>-</w:t>
            </w:r>
            <w:r w:rsidR="008F23EB" w:rsidRPr="00237760">
              <w:rPr>
                <w:rFonts w:ascii="Arial" w:hAnsi="Arial" w:cs="Arial"/>
                <w:color w:val="auto"/>
                <w:sz w:val="24"/>
                <w:szCs w:val="24"/>
              </w:rPr>
              <w:t>ów w regionie, jak również inwestycje związane z rozwojem połączeń kolejowych i PKA.</w:t>
            </w:r>
          </w:p>
        </w:tc>
      </w:tr>
      <w:tr w:rsidR="00237760" w:rsidRPr="00237760" w14:paraId="73F1A1BF" w14:textId="77777777" w:rsidTr="00C378D3">
        <w:trPr>
          <w:gridAfter w:val="1"/>
          <w:wAfter w:w="13" w:type="dxa"/>
          <w:trHeight w:val="428"/>
        </w:trPr>
        <w:tc>
          <w:tcPr>
            <w:tcW w:w="3691" w:type="dxa"/>
            <w:vAlign w:val="center"/>
          </w:tcPr>
          <w:p w14:paraId="3FB5A9BC" w14:textId="77777777" w:rsidR="002B4E5D" w:rsidRPr="00237760" w:rsidRDefault="002B4E5D"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Powiązanie Sanoka i Przemyśla (niska jakość drogi krajowej nr 28 i brak zachodniej obwodnicy Przemyśla)</w:t>
            </w:r>
          </w:p>
        </w:tc>
        <w:tc>
          <w:tcPr>
            <w:tcW w:w="1134" w:type="dxa"/>
            <w:shd w:val="clear" w:color="auto" w:fill="B4C6E7"/>
            <w:vAlign w:val="center"/>
          </w:tcPr>
          <w:p w14:paraId="373D7268" w14:textId="77777777" w:rsidR="002B4E5D" w:rsidRPr="00237760" w:rsidRDefault="002B4E5D" w:rsidP="009367B4">
            <w:pPr>
              <w:spacing w:after="0" w:line="240" w:lineRule="auto"/>
              <w:jc w:val="left"/>
              <w:rPr>
                <w:rFonts w:ascii="Arial" w:hAnsi="Arial" w:cs="Arial"/>
                <w:color w:val="auto"/>
                <w:sz w:val="24"/>
                <w:szCs w:val="24"/>
              </w:rPr>
            </w:pPr>
          </w:p>
        </w:tc>
        <w:tc>
          <w:tcPr>
            <w:tcW w:w="4247" w:type="dxa"/>
            <w:gridSpan w:val="2"/>
            <w:shd w:val="clear" w:color="auto" w:fill="auto"/>
            <w:vAlign w:val="center"/>
          </w:tcPr>
          <w:p w14:paraId="4B5AC2D7" w14:textId="44AD9514" w:rsidR="002B4E5D" w:rsidRPr="00237760" w:rsidRDefault="0019039A"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Problem podjęty poprzez budowę obwodnicy Przemyśla w ciągu DK 28 i DK 77.</w:t>
            </w:r>
          </w:p>
        </w:tc>
      </w:tr>
      <w:tr w:rsidR="00237760" w:rsidRPr="00237760" w14:paraId="1631278A" w14:textId="77777777" w:rsidTr="00C378D3">
        <w:trPr>
          <w:gridAfter w:val="1"/>
          <w:wAfter w:w="13" w:type="dxa"/>
          <w:trHeight w:val="428"/>
        </w:trPr>
        <w:tc>
          <w:tcPr>
            <w:tcW w:w="3691" w:type="dxa"/>
            <w:vAlign w:val="center"/>
          </w:tcPr>
          <w:p w14:paraId="17D70EF4" w14:textId="77777777" w:rsidR="002B4E5D" w:rsidRPr="00237760" w:rsidRDefault="002B4E5D"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Niska jakość oraz przepustowość drogi wojewódzkiej nr 865, powodująca oderwanie komunikacyjne Lubaczowa i powiatu lubaczowskiego</w:t>
            </w:r>
          </w:p>
        </w:tc>
        <w:tc>
          <w:tcPr>
            <w:tcW w:w="1134" w:type="dxa"/>
            <w:shd w:val="clear" w:color="auto" w:fill="2F5496"/>
            <w:vAlign w:val="center"/>
          </w:tcPr>
          <w:p w14:paraId="30657624" w14:textId="77777777" w:rsidR="002B4E5D" w:rsidRPr="00237760" w:rsidRDefault="002B4E5D" w:rsidP="009367B4">
            <w:pPr>
              <w:spacing w:after="0" w:line="240" w:lineRule="auto"/>
              <w:jc w:val="left"/>
              <w:rPr>
                <w:rFonts w:ascii="Arial" w:hAnsi="Arial" w:cs="Arial"/>
                <w:color w:val="auto"/>
                <w:sz w:val="24"/>
                <w:szCs w:val="24"/>
              </w:rPr>
            </w:pPr>
          </w:p>
        </w:tc>
        <w:tc>
          <w:tcPr>
            <w:tcW w:w="4247" w:type="dxa"/>
            <w:gridSpan w:val="2"/>
            <w:shd w:val="clear" w:color="auto" w:fill="auto"/>
            <w:vAlign w:val="center"/>
          </w:tcPr>
          <w:p w14:paraId="3F721234" w14:textId="68637285" w:rsidR="002B4E5D" w:rsidRPr="00237760" w:rsidRDefault="0019039A"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Wyzwanie podjęte poprzez sformułowanie licznych przedsięwzięć w zakresie rozbudowy i modernizacji </w:t>
            </w:r>
            <w:r w:rsidR="00D2192F" w:rsidRPr="00237760">
              <w:rPr>
                <w:rFonts w:ascii="Arial" w:hAnsi="Arial" w:cs="Arial"/>
                <w:color w:val="auto"/>
                <w:sz w:val="24"/>
                <w:szCs w:val="24"/>
              </w:rPr>
              <w:t>DW 865.</w:t>
            </w:r>
          </w:p>
        </w:tc>
      </w:tr>
      <w:tr w:rsidR="00237760" w:rsidRPr="00237760" w14:paraId="3C0F9732" w14:textId="77777777" w:rsidTr="00F077C6">
        <w:trPr>
          <w:trHeight w:val="55"/>
        </w:trPr>
        <w:tc>
          <w:tcPr>
            <w:tcW w:w="9085" w:type="dxa"/>
            <w:gridSpan w:val="5"/>
            <w:shd w:val="clear" w:color="auto" w:fill="auto"/>
            <w:vAlign w:val="center"/>
          </w:tcPr>
          <w:p w14:paraId="76C69A05" w14:textId="77777777" w:rsidR="002B4E5D" w:rsidRPr="00237760" w:rsidRDefault="002B4E5D" w:rsidP="009367B4">
            <w:pPr>
              <w:spacing w:after="0" w:line="240" w:lineRule="auto"/>
              <w:jc w:val="left"/>
              <w:rPr>
                <w:rFonts w:ascii="Arial" w:hAnsi="Arial" w:cs="Arial"/>
                <w:b/>
                <w:bCs/>
                <w:color w:val="auto"/>
                <w:sz w:val="24"/>
                <w:szCs w:val="24"/>
              </w:rPr>
            </w:pPr>
            <w:r w:rsidRPr="00237760">
              <w:rPr>
                <w:rFonts w:ascii="Arial" w:hAnsi="Arial" w:cs="Arial"/>
                <w:b/>
                <w:bCs/>
                <w:color w:val="auto"/>
                <w:sz w:val="24"/>
                <w:szCs w:val="24"/>
              </w:rPr>
              <w:t>Luki w infrastrukturze systemu transportowego WP</w:t>
            </w:r>
          </w:p>
        </w:tc>
      </w:tr>
      <w:tr w:rsidR="00237760" w:rsidRPr="00237760" w14:paraId="7343C9E1" w14:textId="77777777" w:rsidTr="00C378D3">
        <w:trPr>
          <w:gridAfter w:val="1"/>
          <w:wAfter w:w="13" w:type="dxa"/>
          <w:trHeight w:val="14"/>
        </w:trPr>
        <w:tc>
          <w:tcPr>
            <w:tcW w:w="3691" w:type="dxa"/>
            <w:vAlign w:val="center"/>
          </w:tcPr>
          <w:p w14:paraId="3D2829DD" w14:textId="77777777" w:rsidR="002B4E5D" w:rsidRPr="00237760" w:rsidRDefault="002B4E5D"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Niedostateczne powiązanie południowej części regionu infrastrukturą drogową o wysokich parametrach technicznych z Rzeszowem (w </w:t>
            </w:r>
            <w:r w:rsidRPr="00237760">
              <w:rPr>
                <w:rFonts w:ascii="Arial" w:hAnsi="Arial" w:cs="Arial"/>
                <w:color w:val="auto"/>
                <w:sz w:val="24"/>
                <w:szCs w:val="24"/>
              </w:rPr>
              <w:lastRenderedPageBreak/>
              <w:t>szczególności obszarów na osi Rzeszów – Dynów – Bircza – Ustrzyki Dolne)</w:t>
            </w:r>
          </w:p>
        </w:tc>
        <w:tc>
          <w:tcPr>
            <w:tcW w:w="1134" w:type="dxa"/>
            <w:shd w:val="clear" w:color="auto" w:fill="B4C6E7"/>
            <w:vAlign w:val="center"/>
          </w:tcPr>
          <w:p w14:paraId="48DACED0" w14:textId="77777777" w:rsidR="002B4E5D" w:rsidRPr="00237760" w:rsidRDefault="002B4E5D" w:rsidP="009367B4">
            <w:pPr>
              <w:spacing w:after="0" w:line="240" w:lineRule="auto"/>
              <w:jc w:val="left"/>
              <w:rPr>
                <w:rFonts w:ascii="Arial" w:hAnsi="Arial" w:cs="Arial"/>
                <w:color w:val="auto"/>
                <w:sz w:val="24"/>
                <w:szCs w:val="24"/>
              </w:rPr>
            </w:pPr>
          </w:p>
        </w:tc>
        <w:tc>
          <w:tcPr>
            <w:tcW w:w="4247" w:type="dxa"/>
            <w:gridSpan w:val="2"/>
            <w:shd w:val="clear" w:color="auto" w:fill="auto"/>
            <w:vAlign w:val="center"/>
          </w:tcPr>
          <w:p w14:paraId="0D3CDF00" w14:textId="562400EE" w:rsidR="002B4E5D" w:rsidRPr="00237760" w:rsidRDefault="00D2192F"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Zagadnienie częściowo podjęte </w:t>
            </w:r>
            <w:r w:rsidR="000D0642" w:rsidRPr="00237760">
              <w:rPr>
                <w:rFonts w:ascii="Arial" w:hAnsi="Arial" w:cs="Arial"/>
                <w:color w:val="auto"/>
                <w:sz w:val="24"/>
                <w:szCs w:val="24"/>
              </w:rPr>
              <w:t>rozbudowę dróg wojewódzkich nr 835 oraz 878, a także poprzez planowaną budowę obwodnicy Tyczyna w ciągu drogi 878.</w:t>
            </w:r>
          </w:p>
        </w:tc>
      </w:tr>
      <w:tr w:rsidR="00237760" w:rsidRPr="00237760" w14:paraId="1847ACC3" w14:textId="77777777" w:rsidTr="00C378D3">
        <w:trPr>
          <w:gridAfter w:val="1"/>
          <w:wAfter w:w="13" w:type="dxa"/>
          <w:trHeight w:val="14"/>
        </w:trPr>
        <w:tc>
          <w:tcPr>
            <w:tcW w:w="3691" w:type="dxa"/>
            <w:vAlign w:val="center"/>
          </w:tcPr>
          <w:p w14:paraId="0AA4B680" w14:textId="77777777" w:rsidR="002B4E5D" w:rsidRPr="00237760" w:rsidRDefault="002B4E5D"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Brak powiązania północno-wschodniej części regionu (powiat lubaczowski) drogą wyższego rzędu z autostradą A4, a tym samym z Rzeszowem</w:t>
            </w:r>
          </w:p>
        </w:tc>
        <w:tc>
          <w:tcPr>
            <w:tcW w:w="1134" w:type="dxa"/>
            <w:shd w:val="clear" w:color="auto" w:fill="2F5496"/>
            <w:vAlign w:val="center"/>
          </w:tcPr>
          <w:p w14:paraId="6BFA066B" w14:textId="77777777" w:rsidR="002B4E5D" w:rsidRPr="00237760" w:rsidRDefault="002B4E5D" w:rsidP="009367B4">
            <w:pPr>
              <w:spacing w:after="0" w:line="240" w:lineRule="auto"/>
              <w:jc w:val="left"/>
              <w:rPr>
                <w:rFonts w:ascii="Arial" w:hAnsi="Arial" w:cs="Arial"/>
                <w:color w:val="auto"/>
                <w:sz w:val="24"/>
                <w:szCs w:val="24"/>
              </w:rPr>
            </w:pPr>
          </w:p>
        </w:tc>
        <w:tc>
          <w:tcPr>
            <w:tcW w:w="4247" w:type="dxa"/>
            <w:gridSpan w:val="2"/>
            <w:shd w:val="clear" w:color="auto" w:fill="auto"/>
            <w:vAlign w:val="center"/>
          </w:tcPr>
          <w:p w14:paraId="71D5205E" w14:textId="2F6458AE" w:rsidR="002B4E5D" w:rsidRPr="00237760" w:rsidRDefault="00D11F3D"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Wyzwanie podejmowane poprzez inwestycje związane z </w:t>
            </w:r>
            <w:r w:rsidR="00AD050B" w:rsidRPr="00237760">
              <w:rPr>
                <w:rFonts w:ascii="Arial" w:hAnsi="Arial" w:cs="Arial"/>
                <w:color w:val="auto"/>
                <w:sz w:val="24"/>
                <w:szCs w:val="24"/>
              </w:rPr>
              <w:t xml:space="preserve">rozbudową DW </w:t>
            </w:r>
            <w:r w:rsidRPr="00237760">
              <w:rPr>
                <w:rFonts w:ascii="Arial" w:hAnsi="Arial" w:cs="Arial"/>
                <w:color w:val="auto"/>
                <w:sz w:val="24"/>
                <w:szCs w:val="24"/>
              </w:rPr>
              <w:t xml:space="preserve">865 </w:t>
            </w:r>
            <w:r w:rsidR="00AD050B" w:rsidRPr="00237760">
              <w:rPr>
                <w:rFonts w:ascii="Arial" w:hAnsi="Arial" w:cs="Arial"/>
                <w:color w:val="auto"/>
                <w:sz w:val="24"/>
                <w:szCs w:val="24"/>
              </w:rPr>
              <w:t>i uspójnienie połączeń drogowych z autostradą A4.</w:t>
            </w:r>
          </w:p>
        </w:tc>
      </w:tr>
      <w:tr w:rsidR="00237760" w:rsidRPr="00237760" w14:paraId="685F0525" w14:textId="77777777" w:rsidTr="00C378D3">
        <w:trPr>
          <w:gridAfter w:val="1"/>
          <w:wAfter w:w="13" w:type="dxa"/>
          <w:trHeight w:val="14"/>
        </w:trPr>
        <w:tc>
          <w:tcPr>
            <w:tcW w:w="3691" w:type="dxa"/>
            <w:vAlign w:val="center"/>
          </w:tcPr>
          <w:p w14:paraId="10BB7D00" w14:textId="77777777" w:rsidR="002B4E5D" w:rsidRPr="00237760" w:rsidRDefault="002B4E5D"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Niedostateczne powiązanie południowo-zachodniej części regionu infrastrukturą drogową wyższego rzędu z autostradą A4, a tym samym z resztą kraju (węzeł Pilzno na A4)</w:t>
            </w:r>
          </w:p>
        </w:tc>
        <w:tc>
          <w:tcPr>
            <w:tcW w:w="1134" w:type="dxa"/>
            <w:shd w:val="clear" w:color="auto" w:fill="2F5496"/>
            <w:vAlign w:val="center"/>
          </w:tcPr>
          <w:p w14:paraId="03B71968" w14:textId="77777777" w:rsidR="002B4E5D" w:rsidRPr="00237760" w:rsidRDefault="002B4E5D" w:rsidP="009367B4">
            <w:pPr>
              <w:spacing w:after="0" w:line="240" w:lineRule="auto"/>
              <w:jc w:val="left"/>
              <w:rPr>
                <w:rFonts w:ascii="Arial" w:hAnsi="Arial" w:cs="Arial"/>
                <w:color w:val="auto"/>
                <w:sz w:val="24"/>
                <w:szCs w:val="24"/>
              </w:rPr>
            </w:pPr>
          </w:p>
        </w:tc>
        <w:tc>
          <w:tcPr>
            <w:tcW w:w="4247" w:type="dxa"/>
            <w:gridSpan w:val="2"/>
            <w:shd w:val="clear" w:color="auto" w:fill="auto"/>
            <w:vAlign w:val="center"/>
          </w:tcPr>
          <w:p w14:paraId="22566B4C" w14:textId="20964628" w:rsidR="002B4E5D" w:rsidRPr="00237760" w:rsidRDefault="00AD050B"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Wyzwanie podejmowane bezpośrednie poprzez </w:t>
            </w:r>
            <w:r w:rsidR="008E363F" w:rsidRPr="00237760">
              <w:rPr>
                <w:rFonts w:ascii="Arial" w:hAnsi="Arial" w:cs="Arial"/>
                <w:color w:val="auto"/>
                <w:sz w:val="24"/>
                <w:szCs w:val="24"/>
              </w:rPr>
              <w:t>przedsięwzięcia związane z budową dodatkowych węzłów autostrady A4 oraz rozbudowę drogi DK 73.</w:t>
            </w:r>
          </w:p>
        </w:tc>
      </w:tr>
      <w:tr w:rsidR="00237760" w:rsidRPr="00237760" w14:paraId="1CE729D5" w14:textId="77777777" w:rsidTr="00C378D3">
        <w:trPr>
          <w:gridAfter w:val="1"/>
          <w:wAfter w:w="13" w:type="dxa"/>
          <w:trHeight w:val="14"/>
        </w:trPr>
        <w:tc>
          <w:tcPr>
            <w:tcW w:w="3691" w:type="dxa"/>
            <w:vAlign w:val="center"/>
          </w:tcPr>
          <w:p w14:paraId="205541AC" w14:textId="77777777" w:rsidR="002B4E5D" w:rsidRPr="00237760" w:rsidRDefault="002B4E5D"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Niedostateczne powiązanie południowej części regionu infrastrukturą kolejową z Rzeszowem i z resztą kraju</w:t>
            </w:r>
          </w:p>
        </w:tc>
        <w:tc>
          <w:tcPr>
            <w:tcW w:w="1134" w:type="dxa"/>
            <w:shd w:val="clear" w:color="auto" w:fill="2F5496"/>
            <w:vAlign w:val="center"/>
          </w:tcPr>
          <w:p w14:paraId="01C5262D" w14:textId="77777777" w:rsidR="002B4E5D" w:rsidRPr="00237760" w:rsidRDefault="002B4E5D" w:rsidP="009367B4">
            <w:pPr>
              <w:spacing w:after="0" w:line="240" w:lineRule="auto"/>
              <w:jc w:val="left"/>
              <w:rPr>
                <w:rFonts w:ascii="Arial" w:hAnsi="Arial" w:cs="Arial"/>
                <w:color w:val="auto"/>
                <w:sz w:val="24"/>
                <w:szCs w:val="24"/>
              </w:rPr>
            </w:pPr>
          </w:p>
        </w:tc>
        <w:tc>
          <w:tcPr>
            <w:tcW w:w="4247" w:type="dxa"/>
            <w:gridSpan w:val="2"/>
            <w:shd w:val="clear" w:color="auto" w:fill="auto"/>
            <w:vAlign w:val="center"/>
          </w:tcPr>
          <w:p w14:paraId="035632CA" w14:textId="0EB1FAF8" w:rsidR="002B4E5D" w:rsidRPr="00237760" w:rsidRDefault="008E363F"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Zagadnienie kompleksowo podejmowane poprzez inwestycje w nową i istniejącą infrastrukturę kolejową w zakresie PKA, sieci bazowej TEN-T, oraz połączeń kolejowych Rzeszowa z ważnymi ośrodkami w innych regionach kraju.</w:t>
            </w:r>
          </w:p>
        </w:tc>
      </w:tr>
      <w:tr w:rsidR="00237760" w:rsidRPr="00237760" w14:paraId="3BE16705" w14:textId="77777777" w:rsidTr="00C378D3">
        <w:trPr>
          <w:gridAfter w:val="1"/>
          <w:wAfter w:w="13" w:type="dxa"/>
          <w:trHeight w:val="14"/>
        </w:trPr>
        <w:tc>
          <w:tcPr>
            <w:tcW w:w="3691" w:type="dxa"/>
            <w:vAlign w:val="center"/>
          </w:tcPr>
          <w:p w14:paraId="6B3C8E8F" w14:textId="77777777" w:rsidR="002B4E5D" w:rsidRPr="00237760" w:rsidRDefault="002B4E5D"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Niewystarczająca obsługa transportowa (kolejowa i drogowa) północnej i północno-zachodniej części województwa skupiających największą produkcję przemysłową, w tym eksportową</w:t>
            </w:r>
          </w:p>
        </w:tc>
        <w:tc>
          <w:tcPr>
            <w:tcW w:w="1134" w:type="dxa"/>
            <w:shd w:val="clear" w:color="auto" w:fill="B4C6E7"/>
            <w:vAlign w:val="center"/>
          </w:tcPr>
          <w:p w14:paraId="0D35EBC4" w14:textId="77777777" w:rsidR="002B4E5D" w:rsidRPr="00237760" w:rsidRDefault="002B4E5D" w:rsidP="009367B4">
            <w:pPr>
              <w:spacing w:after="0" w:line="240" w:lineRule="auto"/>
              <w:jc w:val="left"/>
              <w:rPr>
                <w:rFonts w:ascii="Arial" w:hAnsi="Arial" w:cs="Arial"/>
                <w:color w:val="auto"/>
                <w:sz w:val="24"/>
                <w:szCs w:val="24"/>
              </w:rPr>
            </w:pPr>
          </w:p>
        </w:tc>
        <w:tc>
          <w:tcPr>
            <w:tcW w:w="4247" w:type="dxa"/>
            <w:gridSpan w:val="2"/>
            <w:shd w:val="clear" w:color="auto" w:fill="auto"/>
            <w:vAlign w:val="center"/>
          </w:tcPr>
          <w:p w14:paraId="68A277F8" w14:textId="67283475" w:rsidR="002B4E5D" w:rsidRPr="00237760" w:rsidRDefault="00C3415C"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Zagadnienie pośrednio rozwiązywane poprzez liczne inwestycje </w:t>
            </w:r>
            <w:r w:rsidR="00B469E7" w:rsidRPr="00237760">
              <w:rPr>
                <w:rFonts w:ascii="Arial" w:hAnsi="Arial" w:cs="Arial"/>
                <w:color w:val="auto"/>
                <w:sz w:val="24"/>
                <w:szCs w:val="24"/>
              </w:rPr>
              <w:t xml:space="preserve">w zakresie transportu kolejowego i drogowe, </w:t>
            </w:r>
            <w:r w:rsidR="00D038A7" w:rsidRPr="00237760">
              <w:rPr>
                <w:rFonts w:ascii="Arial" w:hAnsi="Arial" w:cs="Arial"/>
                <w:color w:val="auto"/>
                <w:sz w:val="24"/>
                <w:szCs w:val="24"/>
              </w:rPr>
              <w:t>m. in. w przypadku DK9, autostrady A4, DW 985</w:t>
            </w:r>
            <w:r w:rsidR="00FC7898" w:rsidRPr="00237760">
              <w:rPr>
                <w:rFonts w:ascii="Arial" w:hAnsi="Arial" w:cs="Arial"/>
                <w:color w:val="auto"/>
                <w:sz w:val="24"/>
                <w:szCs w:val="24"/>
              </w:rPr>
              <w:t xml:space="preserve"> czy rozwoju systemu transportowego MOF na tym obszarze.</w:t>
            </w:r>
          </w:p>
        </w:tc>
      </w:tr>
      <w:tr w:rsidR="00237760" w:rsidRPr="00237760" w14:paraId="3B0CEF3B" w14:textId="77777777" w:rsidTr="00C378D3">
        <w:trPr>
          <w:gridAfter w:val="1"/>
          <w:wAfter w:w="13" w:type="dxa"/>
          <w:trHeight w:val="14"/>
        </w:trPr>
        <w:tc>
          <w:tcPr>
            <w:tcW w:w="3691" w:type="dxa"/>
            <w:vAlign w:val="center"/>
          </w:tcPr>
          <w:p w14:paraId="513A034E" w14:textId="77777777" w:rsidR="002B4E5D" w:rsidRPr="00237760" w:rsidRDefault="002B4E5D"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Duży odsetek dróg krajowych, wojewódzkich i powiatowych nie spełniających normatywu nośności 115 kn/oś, co utrudnia lub uniemożliwia prowadzenie aktywności gospodarczej</w:t>
            </w:r>
          </w:p>
        </w:tc>
        <w:tc>
          <w:tcPr>
            <w:tcW w:w="1134" w:type="dxa"/>
            <w:shd w:val="clear" w:color="auto" w:fill="2F5496"/>
            <w:vAlign w:val="center"/>
          </w:tcPr>
          <w:p w14:paraId="399DB508" w14:textId="77777777" w:rsidR="002B4E5D" w:rsidRPr="00237760" w:rsidRDefault="002B4E5D" w:rsidP="009367B4">
            <w:pPr>
              <w:spacing w:after="0" w:line="240" w:lineRule="auto"/>
              <w:jc w:val="left"/>
              <w:rPr>
                <w:rFonts w:ascii="Arial" w:hAnsi="Arial" w:cs="Arial"/>
                <w:color w:val="auto"/>
                <w:sz w:val="24"/>
                <w:szCs w:val="24"/>
              </w:rPr>
            </w:pPr>
          </w:p>
        </w:tc>
        <w:tc>
          <w:tcPr>
            <w:tcW w:w="4247" w:type="dxa"/>
            <w:gridSpan w:val="2"/>
            <w:shd w:val="clear" w:color="auto" w:fill="auto"/>
            <w:vAlign w:val="center"/>
          </w:tcPr>
          <w:p w14:paraId="7236CABF" w14:textId="6B8842CF" w:rsidR="002B4E5D" w:rsidRPr="00237760" w:rsidRDefault="00790BB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Wyzwanie podjęte poprzez sformułowanie wielu przedsięwzięć związanych z budową obwodnic ośrodków subregionalnych, rozwojem drogi S-19, oraz przebudową i rozbudową licznych dróg wojewódzkich.</w:t>
            </w:r>
          </w:p>
        </w:tc>
      </w:tr>
      <w:tr w:rsidR="00237760" w:rsidRPr="00237760" w14:paraId="66A69EB7" w14:textId="77777777" w:rsidTr="00C378D3">
        <w:trPr>
          <w:gridAfter w:val="1"/>
          <w:wAfter w:w="13" w:type="dxa"/>
          <w:trHeight w:val="14"/>
        </w:trPr>
        <w:tc>
          <w:tcPr>
            <w:tcW w:w="3691" w:type="dxa"/>
            <w:vAlign w:val="center"/>
          </w:tcPr>
          <w:p w14:paraId="7A428F5C" w14:textId="77777777" w:rsidR="002B4E5D" w:rsidRPr="00237760" w:rsidRDefault="002B4E5D"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Lepsza obsługa rynku pracy i rynku usług w aglomeracji rzeszowskiej niż w pozostałej części województwa</w:t>
            </w:r>
          </w:p>
        </w:tc>
        <w:tc>
          <w:tcPr>
            <w:tcW w:w="1134" w:type="dxa"/>
            <w:shd w:val="clear" w:color="auto" w:fill="2F5496"/>
            <w:vAlign w:val="center"/>
          </w:tcPr>
          <w:p w14:paraId="6682AFF6" w14:textId="77777777" w:rsidR="002B4E5D" w:rsidRPr="00237760" w:rsidRDefault="002B4E5D" w:rsidP="009367B4">
            <w:pPr>
              <w:spacing w:after="0" w:line="240" w:lineRule="auto"/>
              <w:jc w:val="left"/>
              <w:rPr>
                <w:rFonts w:ascii="Arial" w:hAnsi="Arial" w:cs="Arial"/>
                <w:color w:val="auto"/>
                <w:sz w:val="24"/>
                <w:szCs w:val="24"/>
              </w:rPr>
            </w:pPr>
          </w:p>
        </w:tc>
        <w:tc>
          <w:tcPr>
            <w:tcW w:w="4247" w:type="dxa"/>
            <w:gridSpan w:val="2"/>
            <w:shd w:val="clear" w:color="auto" w:fill="auto"/>
            <w:vAlign w:val="center"/>
          </w:tcPr>
          <w:p w14:paraId="3EA54DCE" w14:textId="093E9BEC" w:rsidR="002B4E5D" w:rsidRPr="00237760" w:rsidRDefault="00FA3199"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Wyzwanie podejmują liczne przedsięwzięcia z zakresu zwiększania spójności komunikacyjnej obszarów MOF,</w:t>
            </w:r>
            <w:r w:rsidR="008728C2" w:rsidRPr="00237760">
              <w:rPr>
                <w:rFonts w:ascii="Arial" w:hAnsi="Arial" w:cs="Arial"/>
                <w:color w:val="auto"/>
                <w:sz w:val="24"/>
                <w:szCs w:val="24"/>
              </w:rPr>
              <w:t xml:space="preserve"> a także inwestycje </w:t>
            </w:r>
            <w:r w:rsidR="00EF6DFE" w:rsidRPr="00237760">
              <w:rPr>
                <w:rFonts w:ascii="Arial" w:hAnsi="Arial" w:cs="Arial"/>
                <w:color w:val="auto"/>
                <w:sz w:val="24"/>
                <w:szCs w:val="24"/>
              </w:rPr>
              <w:t>w zakresie rozwoju linii kolejowych, pozwalających na rozwój transportu zbiorowego dla pracowników.</w:t>
            </w:r>
          </w:p>
        </w:tc>
      </w:tr>
      <w:tr w:rsidR="00237760" w:rsidRPr="00237760" w14:paraId="37131FA8" w14:textId="77777777" w:rsidTr="00C378D3">
        <w:trPr>
          <w:gridAfter w:val="1"/>
          <w:wAfter w:w="13" w:type="dxa"/>
          <w:trHeight w:val="14"/>
        </w:trPr>
        <w:tc>
          <w:tcPr>
            <w:tcW w:w="3691" w:type="dxa"/>
            <w:vAlign w:val="center"/>
          </w:tcPr>
          <w:p w14:paraId="2123CC3E" w14:textId="77777777" w:rsidR="002B4E5D" w:rsidRPr="00237760" w:rsidRDefault="002B4E5D"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Brak spójnej sieci połączonych ze sobą tras rowerowych województwa o jednolitych parametrach</w:t>
            </w:r>
          </w:p>
        </w:tc>
        <w:tc>
          <w:tcPr>
            <w:tcW w:w="1134" w:type="dxa"/>
            <w:shd w:val="clear" w:color="auto" w:fill="2F5496"/>
            <w:vAlign w:val="center"/>
          </w:tcPr>
          <w:p w14:paraId="755F205D" w14:textId="77777777" w:rsidR="002B4E5D" w:rsidRPr="00237760" w:rsidRDefault="002B4E5D" w:rsidP="009367B4">
            <w:pPr>
              <w:spacing w:after="0" w:line="240" w:lineRule="auto"/>
              <w:jc w:val="left"/>
              <w:rPr>
                <w:rFonts w:ascii="Arial" w:hAnsi="Arial" w:cs="Arial"/>
                <w:color w:val="auto"/>
                <w:sz w:val="24"/>
                <w:szCs w:val="24"/>
              </w:rPr>
            </w:pPr>
          </w:p>
        </w:tc>
        <w:tc>
          <w:tcPr>
            <w:tcW w:w="4247" w:type="dxa"/>
            <w:gridSpan w:val="2"/>
            <w:shd w:val="clear" w:color="auto" w:fill="auto"/>
            <w:vAlign w:val="center"/>
          </w:tcPr>
          <w:p w14:paraId="5D6998AD" w14:textId="6FD157F3" w:rsidR="002B4E5D" w:rsidRPr="00237760" w:rsidRDefault="00E76111"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Wyzwanie bezpośrednio podejmują liczne przedsięwzięcia </w:t>
            </w:r>
            <w:r w:rsidR="0057561A" w:rsidRPr="00237760">
              <w:rPr>
                <w:rFonts w:ascii="Arial" w:hAnsi="Arial" w:cs="Arial"/>
                <w:color w:val="auto"/>
                <w:sz w:val="24"/>
                <w:szCs w:val="24"/>
              </w:rPr>
              <w:t xml:space="preserve">związane z infrastrukturą rowerową w całym regionie, m. in. związane ze szlakami </w:t>
            </w:r>
            <w:r w:rsidR="0057561A" w:rsidRPr="00237760">
              <w:rPr>
                <w:rFonts w:ascii="Arial" w:hAnsi="Arial" w:cs="Arial"/>
                <w:color w:val="auto"/>
                <w:sz w:val="24"/>
                <w:szCs w:val="24"/>
              </w:rPr>
              <w:lastRenderedPageBreak/>
              <w:t xml:space="preserve">Greenways, GreenVelo czy </w:t>
            </w:r>
            <w:r w:rsidR="00EB3CF2" w:rsidRPr="00237760">
              <w:rPr>
                <w:rFonts w:ascii="Arial" w:hAnsi="Arial" w:cs="Arial"/>
                <w:color w:val="auto"/>
                <w:sz w:val="24"/>
                <w:szCs w:val="24"/>
              </w:rPr>
              <w:t>innymi szlakami rowerowymi.</w:t>
            </w:r>
          </w:p>
        </w:tc>
      </w:tr>
      <w:tr w:rsidR="00237760" w:rsidRPr="00237760" w14:paraId="181C74F5" w14:textId="77777777" w:rsidTr="00F077C6">
        <w:trPr>
          <w:trHeight w:val="14"/>
        </w:trPr>
        <w:tc>
          <w:tcPr>
            <w:tcW w:w="9085" w:type="dxa"/>
            <w:gridSpan w:val="5"/>
            <w:shd w:val="clear" w:color="auto" w:fill="auto"/>
            <w:vAlign w:val="center"/>
          </w:tcPr>
          <w:p w14:paraId="73B23EB4" w14:textId="77777777" w:rsidR="002B4E5D" w:rsidRPr="00237760" w:rsidRDefault="002B4E5D" w:rsidP="009367B4">
            <w:pPr>
              <w:spacing w:after="0" w:line="240" w:lineRule="auto"/>
              <w:jc w:val="left"/>
              <w:rPr>
                <w:rFonts w:ascii="Arial" w:hAnsi="Arial" w:cs="Arial"/>
                <w:b/>
                <w:bCs/>
                <w:color w:val="auto"/>
                <w:sz w:val="24"/>
                <w:szCs w:val="24"/>
              </w:rPr>
            </w:pPr>
            <w:r w:rsidRPr="00237760">
              <w:rPr>
                <w:rFonts w:ascii="Arial" w:hAnsi="Arial" w:cs="Arial"/>
                <w:b/>
                <w:bCs/>
                <w:color w:val="auto"/>
                <w:sz w:val="24"/>
                <w:szCs w:val="24"/>
              </w:rPr>
              <w:lastRenderedPageBreak/>
              <w:t>Główne wyzwania systemu transportowego WP</w:t>
            </w:r>
          </w:p>
        </w:tc>
      </w:tr>
      <w:tr w:rsidR="00237760" w:rsidRPr="00237760" w14:paraId="1C037B99" w14:textId="77777777" w:rsidTr="00C378D3">
        <w:trPr>
          <w:gridAfter w:val="1"/>
          <w:wAfter w:w="13" w:type="dxa"/>
          <w:trHeight w:val="14"/>
        </w:trPr>
        <w:tc>
          <w:tcPr>
            <w:tcW w:w="3691" w:type="dxa"/>
            <w:vAlign w:val="center"/>
          </w:tcPr>
          <w:p w14:paraId="16BF8E55" w14:textId="1A67583E" w:rsidR="002B4E5D" w:rsidRPr="00237760" w:rsidRDefault="002B4E5D"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Integracj</w:t>
            </w:r>
            <w:r w:rsidR="00D56912" w:rsidRPr="00237760">
              <w:rPr>
                <w:rFonts w:ascii="Arial" w:hAnsi="Arial" w:cs="Arial"/>
                <w:color w:val="auto"/>
                <w:sz w:val="24"/>
                <w:szCs w:val="24"/>
              </w:rPr>
              <w:t>a</w:t>
            </w:r>
            <w:r w:rsidRPr="00237760">
              <w:rPr>
                <w:rFonts w:ascii="Arial" w:hAnsi="Arial" w:cs="Arial"/>
                <w:color w:val="auto"/>
                <w:sz w:val="24"/>
                <w:szCs w:val="24"/>
              </w:rPr>
              <w:t xml:space="preserve"> południowej części regionu z Rzeszowem i z biegunami wzrostu</w:t>
            </w:r>
          </w:p>
        </w:tc>
        <w:tc>
          <w:tcPr>
            <w:tcW w:w="1134" w:type="dxa"/>
            <w:shd w:val="clear" w:color="auto" w:fill="2F5496"/>
            <w:vAlign w:val="center"/>
          </w:tcPr>
          <w:p w14:paraId="4DC4169D" w14:textId="77777777" w:rsidR="002B4E5D" w:rsidRPr="00237760" w:rsidRDefault="002B4E5D" w:rsidP="009367B4">
            <w:pPr>
              <w:spacing w:after="0" w:line="240" w:lineRule="auto"/>
              <w:jc w:val="left"/>
              <w:rPr>
                <w:rFonts w:ascii="Arial" w:hAnsi="Arial" w:cs="Arial"/>
                <w:color w:val="auto"/>
                <w:sz w:val="24"/>
                <w:szCs w:val="24"/>
              </w:rPr>
            </w:pPr>
          </w:p>
        </w:tc>
        <w:tc>
          <w:tcPr>
            <w:tcW w:w="4247" w:type="dxa"/>
            <w:gridSpan w:val="2"/>
            <w:shd w:val="clear" w:color="auto" w:fill="auto"/>
            <w:vAlign w:val="center"/>
          </w:tcPr>
          <w:p w14:paraId="76A466AA" w14:textId="38E1EA5F" w:rsidR="002B4E5D" w:rsidRPr="00237760" w:rsidRDefault="00416F48"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Wyzwanie podjęte głównie poprzez przedsięwzięcia związane z </w:t>
            </w:r>
            <w:r w:rsidR="005826AC" w:rsidRPr="00237760">
              <w:rPr>
                <w:rFonts w:ascii="Arial" w:hAnsi="Arial" w:cs="Arial"/>
                <w:color w:val="auto"/>
                <w:sz w:val="24"/>
                <w:szCs w:val="24"/>
              </w:rPr>
              <w:t xml:space="preserve">rozbudową </w:t>
            </w:r>
            <w:r w:rsidR="005D7CF9" w:rsidRPr="00237760">
              <w:rPr>
                <w:rFonts w:ascii="Arial" w:hAnsi="Arial" w:cs="Arial"/>
                <w:color w:val="auto"/>
                <w:sz w:val="24"/>
                <w:szCs w:val="24"/>
              </w:rPr>
              <w:t>drogi S</w:t>
            </w:r>
            <w:r w:rsidR="006D5044" w:rsidRPr="00237760">
              <w:rPr>
                <w:rFonts w:ascii="Arial" w:hAnsi="Arial" w:cs="Arial"/>
                <w:color w:val="auto"/>
                <w:sz w:val="24"/>
                <w:szCs w:val="24"/>
              </w:rPr>
              <w:t xml:space="preserve"> </w:t>
            </w:r>
            <w:r w:rsidR="005D7CF9" w:rsidRPr="00237760">
              <w:rPr>
                <w:rFonts w:ascii="Arial" w:hAnsi="Arial" w:cs="Arial"/>
                <w:color w:val="auto"/>
                <w:sz w:val="24"/>
                <w:szCs w:val="24"/>
              </w:rPr>
              <w:t>19</w:t>
            </w:r>
            <w:r w:rsidR="001F4E01" w:rsidRPr="00237760">
              <w:rPr>
                <w:rFonts w:ascii="Arial" w:hAnsi="Arial" w:cs="Arial"/>
                <w:color w:val="auto"/>
                <w:sz w:val="24"/>
                <w:szCs w:val="24"/>
              </w:rPr>
              <w:t xml:space="preserve"> oraz dróg DK 73, S</w:t>
            </w:r>
            <w:r w:rsidR="006D5044" w:rsidRPr="00237760">
              <w:rPr>
                <w:rFonts w:ascii="Arial" w:hAnsi="Arial" w:cs="Arial"/>
                <w:color w:val="auto"/>
                <w:sz w:val="24"/>
                <w:szCs w:val="24"/>
              </w:rPr>
              <w:t xml:space="preserve"> 74, DK 8, </w:t>
            </w:r>
            <w:r w:rsidR="00EC321A" w:rsidRPr="00237760">
              <w:rPr>
                <w:rFonts w:ascii="Arial" w:hAnsi="Arial" w:cs="Arial"/>
                <w:color w:val="auto"/>
                <w:sz w:val="24"/>
                <w:szCs w:val="24"/>
              </w:rPr>
              <w:t xml:space="preserve">DK 9, </w:t>
            </w:r>
            <w:r w:rsidR="000D04CF" w:rsidRPr="00237760">
              <w:rPr>
                <w:rFonts w:ascii="Arial" w:hAnsi="Arial" w:cs="Arial"/>
                <w:color w:val="auto"/>
                <w:sz w:val="24"/>
                <w:szCs w:val="24"/>
              </w:rPr>
              <w:t>DK 84 czy DK</w:t>
            </w:r>
            <w:r w:rsidR="00000A07" w:rsidRPr="00237760">
              <w:rPr>
                <w:rFonts w:ascii="Arial" w:hAnsi="Arial" w:cs="Arial"/>
                <w:color w:val="auto"/>
                <w:sz w:val="24"/>
                <w:szCs w:val="24"/>
              </w:rPr>
              <w:t xml:space="preserve"> 28.</w:t>
            </w:r>
          </w:p>
        </w:tc>
      </w:tr>
      <w:tr w:rsidR="00237760" w:rsidRPr="00237760" w14:paraId="3598190E" w14:textId="77777777" w:rsidTr="00C378D3">
        <w:trPr>
          <w:gridAfter w:val="1"/>
          <w:wAfter w:w="13" w:type="dxa"/>
          <w:trHeight w:val="14"/>
        </w:trPr>
        <w:tc>
          <w:tcPr>
            <w:tcW w:w="3691" w:type="dxa"/>
            <w:vAlign w:val="center"/>
          </w:tcPr>
          <w:p w14:paraId="4CA96F87" w14:textId="671915CE" w:rsidR="002B4E5D" w:rsidRPr="00237760" w:rsidRDefault="002B4E5D"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Popraw</w:t>
            </w:r>
            <w:r w:rsidR="00D56912" w:rsidRPr="00237760">
              <w:rPr>
                <w:rFonts w:ascii="Arial" w:hAnsi="Arial" w:cs="Arial"/>
                <w:color w:val="auto"/>
                <w:sz w:val="24"/>
                <w:szCs w:val="24"/>
              </w:rPr>
              <w:t>a</w:t>
            </w:r>
            <w:r w:rsidRPr="00237760">
              <w:rPr>
                <w:rFonts w:ascii="Arial" w:hAnsi="Arial" w:cs="Arial"/>
                <w:color w:val="auto"/>
                <w:sz w:val="24"/>
                <w:szCs w:val="24"/>
              </w:rPr>
              <w:t xml:space="preserve"> obsługi transportowej północno - wschodniej części regionu, w tym szczególnie powiatu lubaczowskiego</w:t>
            </w:r>
          </w:p>
        </w:tc>
        <w:tc>
          <w:tcPr>
            <w:tcW w:w="1134" w:type="dxa"/>
            <w:shd w:val="clear" w:color="auto" w:fill="2F5496"/>
            <w:vAlign w:val="center"/>
          </w:tcPr>
          <w:p w14:paraId="1B286ACF" w14:textId="77777777" w:rsidR="002B4E5D" w:rsidRPr="00237760" w:rsidRDefault="002B4E5D" w:rsidP="009367B4">
            <w:pPr>
              <w:spacing w:after="0" w:line="240" w:lineRule="auto"/>
              <w:jc w:val="left"/>
              <w:rPr>
                <w:rFonts w:ascii="Arial" w:hAnsi="Arial" w:cs="Arial"/>
                <w:color w:val="auto"/>
                <w:sz w:val="24"/>
                <w:szCs w:val="24"/>
              </w:rPr>
            </w:pPr>
          </w:p>
        </w:tc>
        <w:tc>
          <w:tcPr>
            <w:tcW w:w="4247" w:type="dxa"/>
            <w:gridSpan w:val="2"/>
            <w:shd w:val="clear" w:color="auto" w:fill="auto"/>
            <w:vAlign w:val="center"/>
          </w:tcPr>
          <w:p w14:paraId="789635BA" w14:textId="5C2CEA4C" w:rsidR="002B4E5D" w:rsidRPr="00237760" w:rsidRDefault="0091596F"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Wysoka trafność </w:t>
            </w:r>
            <w:r w:rsidR="00397F5A" w:rsidRPr="00237760">
              <w:rPr>
                <w:rFonts w:ascii="Arial" w:hAnsi="Arial" w:cs="Arial"/>
                <w:color w:val="auto"/>
                <w:sz w:val="24"/>
                <w:szCs w:val="24"/>
              </w:rPr>
              <w:t>sformułowanych przedsięwzięć, szczególnie związanych z rozbudową DW 865</w:t>
            </w:r>
            <w:r w:rsidR="00AA68A9" w:rsidRPr="00237760">
              <w:rPr>
                <w:rFonts w:ascii="Arial" w:hAnsi="Arial" w:cs="Arial"/>
                <w:color w:val="auto"/>
                <w:sz w:val="24"/>
                <w:szCs w:val="24"/>
              </w:rPr>
              <w:t xml:space="preserve">, linią kolejową nr 101 oraz innymi inwestycjami w </w:t>
            </w:r>
            <w:r w:rsidR="00734267" w:rsidRPr="00237760">
              <w:rPr>
                <w:rFonts w:ascii="Arial" w:hAnsi="Arial" w:cs="Arial"/>
                <w:color w:val="auto"/>
                <w:sz w:val="24"/>
                <w:szCs w:val="24"/>
              </w:rPr>
              <w:t>obrębie powiatu lubaczowskiego.</w:t>
            </w:r>
          </w:p>
        </w:tc>
      </w:tr>
      <w:tr w:rsidR="00237760" w:rsidRPr="00237760" w14:paraId="77C01356" w14:textId="77777777" w:rsidTr="00C378D3">
        <w:trPr>
          <w:gridAfter w:val="1"/>
          <w:wAfter w:w="13" w:type="dxa"/>
          <w:trHeight w:val="14"/>
        </w:trPr>
        <w:tc>
          <w:tcPr>
            <w:tcW w:w="3691" w:type="dxa"/>
            <w:vAlign w:val="center"/>
          </w:tcPr>
          <w:p w14:paraId="27060AED" w14:textId="647901FD" w:rsidR="002B4E5D" w:rsidRPr="00237760" w:rsidRDefault="002B4E5D"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Popraw</w:t>
            </w:r>
            <w:r w:rsidR="00D56912" w:rsidRPr="00237760">
              <w:rPr>
                <w:rFonts w:ascii="Arial" w:hAnsi="Arial" w:cs="Arial"/>
                <w:color w:val="auto"/>
                <w:sz w:val="24"/>
                <w:szCs w:val="24"/>
              </w:rPr>
              <w:t>a</w:t>
            </w:r>
            <w:r w:rsidRPr="00237760">
              <w:rPr>
                <w:rFonts w:ascii="Arial" w:hAnsi="Arial" w:cs="Arial"/>
                <w:color w:val="auto"/>
                <w:sz w:val="24"/>
                <w:szCs w:val="24"/>
              </w:rPr>
              <w:t xml:space="preserve"> obsługi transportowej strefy Pogórzy: Dynowskiego i Przemyskiego w trójkącie Rzeszów – Przemyśl – Sanok</w:t>
            </w:r>
          </w:p>
        </w:tc>
        <w:tc>
          <w:tcPr>
            <w:tcW w:w="1134" w:type="dxa"/>
            <w:shd w:val="clear" w:color="auto" w:fill="2F5496"/>
            <w:vAlign w:val="center"/>
          </w:tcPr>
          <w:p w14:paraId="2DDDDB99" w14:textId="77777777" w:rsidR="002B4E5D" w:rsidRPr="00237760" w:rsidRDefault="002B4E5D" w:rsidP="009367B4">
            <w:pPr>
              <w:spacing w:after="0" w:line="240" w:lineRule="auto"/>
              <w:jc w:val="left"/>
              <w:rPr>
                <w:rFonts w:ascii="Arial" w:hAnsi="Arial" w:cs="Arial"/>
                <w:color w:val="auto"/>
                <w:sz w:val="24"/>
                <w:szCs w:val="24"/>
              </w:rPr>
            </w:pPr>
          </w:p>
        </w:tc>
        <w:tc>
          <w:tcPr>
            <w:tcW w:w="4247" w:type="dxa"/>
            <w:gridSpan w:val="2"/>
            <w:shd w:val="clear" w:color="auto" w:fill="auto"/>
            <w:vAlign w:val="center"/>
          </w:tcPr>
          <w:p w14:paraId="333E4A95" w14:textId="568A1E07" w:rsidR="002B4E5D" w:rsidRPr="00237760" w:rsidRDefault="004D463B"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Wyzwanie podejmują bezpośrednio przedsięwzięcia związane z</w:t>
            </w:r>
            <w:r w:rsidR="005D1B39" w:rsidRPr="00237760">
              <w:rPr>
                <w:rFonts w:ascii="Arial" w:hAnsi="Arial" w:cs="Arial"/>
                <w:color w:val="auto"/>
                <w:sz w:val="24"/>
                <w:szCs w:val="24"/>
              </w:rPr>
              <w:t xml:space="preserve"> rozwoj</w:t>
            </w:r>
            <w:r w:rsidR="008822EB" w:rsidRPr="00237760">
              <w:rPr>
                <w:rFonts w:ascii="Arial" w:hAnsi="Arial" w:cs="Arial"/>
                <w:color w:val="auto"/>
                <w:sz w:val="24"/>
                <w:szCs w:val="24"/>
              </w:rPr>
              <w:t>e</w:t>
            </w:r>
            <w:r w:rsidR="005D1B39" w:rsidRPr="00237760">
              <w:rPr>
                <w:rFonts w:ascii="Arial" w:hAnsi="Arial" w:cs="Arial"/>
                <w:color w:val="auto"/>
                <w:sz w:val="24"/>
                <w:szCs w:val="24"/>
              </w:rPr>
              <w:t>m</w:t>
            </w:r>
            <w:r w:rsidR="008822EB" w:rsidRPr="00237760">
              <w:rPr>
                <w:rFonts w:ascii="Arial" w:hAnsi="Arial" w:cs="Arial"/>
                <w:color w:val="auto"/>
                <w:sz w:val="24"/>
                <w:szCs w:val="24"/>
              </w:rPr>
              <w:t xml:space="preserve"> </w:t>
            </w:r>
            <w:r w:rsidR="005D1B39" w:rsidRPr="00237760">
              <w:rPr>
                <w:rFonts w:ascii="Arial" w:hAnsi="Arial" w:cs="Arial"/>
                <w:color w:val="auto"/>
                <w:sz w:val="24"/>
                <w:szCs w:val="24"/>
              </w:rPr>
              <w:t>systemu transportowego MOF Sanok-Lesko</w:t>
            </w:r>
            <w:r w:rsidR="009C3489" w:rsidRPr="00237760">
              <w:rPr>
                <w:rFonts w:ascii="Arial" w:hAnsi="Arial" w:cs="Arial"/>
                <w:color w:val="auto"/>
                <w:sz w:val="24"/>
                <w:szCs w:val="24"/>
              </w:rPr>
              <w:t>, MOF Przemyśla</w:t>
            </w:r>
            <w:r w:rsidR="00642C31" w:rsidRPr="00237760">
              <w:rPr>
                <w:rFonts w:ascii="Arial" w:hAnsi="Arial" w:cs="Arial"/>
                <w:color w:val="auto"/>
                <w:sz w:val="24"/>
                <w:szCs w:val="24"/>
              </w:rPr>
              <w:t xml:space="preserve"> oraz ROF, a także </w:t>
            </w:r>
            <w:r w:rsidR="00553503" w:rsidRPr="00237760">
              <w:rPr>
                <w:rFonts w:ascii="Arial" w:hAnsi="Arial" w:cs="Arial"/>
                <w:color w:val="auto"/>
                <w:sz w:val="24"/>
                <w:szCs w:val="24"/>
              </w:rPr>
              <w:t>inwestycje związane z DK 84, DK 28/77 czy DW 890.</w:t>
            </w:r>
          </w:p>
        </w:tc>
      </w:tr>
      <w:tr w:rsidR="00237760" w:rsidRPr="00237760" w14:paraId="7E1A65A9" w14:textId="77777777" w:rsidTr="00C378D3">
        <w:trPr>
          <w:gridAfter w:val="1"/>
          <w:wAfter w:w="13" w:type="dxa"/>
          <w:trHeight w:val="14"/>
        </w:trPr>
        <w:tc>
          <w:tcPr>
            <w:tcW w:w="3691" w:type="dxa"/>
            <w:vAlign w:val="center"/>
          </w:tcPr>
          <w:p w14:paraId="1EB2C8F3" w14:textId="08DF8238" w:rsidR="002B4E5D" w:rsidRPr="00237760" w:rsidRDefault="002B4E5D"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Popraw</w:t>
            </w:r>
            <w:r w:rsidR="00D56912" w:rsidRPr="00237760">
              <w:rPr>
                <w:rFonts w:ascii="Arial" w:hAnsi="Arial" w:cs="Arial"/>
                <w:color w:val="auto"/>
                <w:sz w:val="24"/>
                <w:szCs w:val="24"/>
              </w:rPr>
              <w:t>a</w:t>
            </w:r>
            <w:r w:rsidRPr="00237760">
              <w:rPr>
                <w:rFonts w:ascii="Arial" w:hAnsi="Arial" w:cs="Arial"/>
                <w:color w:val="auto"/>
                <w:sz w:val="24"/>
                <w:szCs w:val="24"/>
              </w:rPr>
              <w:t xml:space="preserve"> obsługi transportowej obszarów górskich w Bieszczadach i Beskidzie Niskim.</w:t>
            </w:r>
          </w:p>
        </w:tc>
        <w:tc>
          <w:tcPr>
            <w:tcW w:w="1134" w:type="dxa"/>
            <w:shd w:val="clear" w:color="auto" w:fill="B4C6E7"/>
            <w:vAlign w:val="center"/>
          </w:tcPr>
          <w:p w14:paraId="4BD3CBBF" w14:textId="77777777" w:rsidR="002B4E5D" w:rsidRPr="00237760" w:rsidRDefault="002B4E5D" w:rsidP="009367B4">
            <w:pPr>
              <w:spacing w:after="0" w:line="240" w:lineRule="auto"/>
              <w:jc w:val="left"/>
              <w:rPr>
                <w:rFonts w:ascii="Arial" w:hAnsi="Arial" w:cs="Arial"/>
                <w:color w:val="auto"/>
                <w:sz w:val="24"/>
                <w:szCs w:val="24"/>
              </w:rPr>
            </w:pPr>
          </w:p>
        </w:tc>
        <w:tc>
          <w:tcPr>
            <w:tcW w:w="4247" w:type="dxa"/>
            <w:gridSpan w:val="2"/>
            <w:shd w:val="clear" w:color="auto" w:fill="auto"/>
            <w:vAlign w:val="center"/>
          </w:tcPr>
          <w:p w14:paraId="173C4471" w14:textId="6B8BF80A" w:rsidR="002B4E5D" w:rsidRPr="00237760" w:rsidRDefault="00814FDF"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Problem podejmowany bezpośrednio </w:t>
            </w:r>
            <w:r w:rsidR="002311A5" w:rsidRPr="00237760">
              <w:rPr>
                <w:rFonts w:ascii="Arial" w:hAnsi="Arial" w:cs="Arial"/>
                <w:color w:val="auto"/>
                <w:sz w:val="24"/>
                <w:szCs w:val="24"/>
              </w:rPr>
              <w:t>przez przedsięwzięcia związane z rozbudową DK84, DW 867, DW 895</w:t>
            </w:r>
            <w:r w:rsidR="00AE5168" w:rsidRPr="00237760">
              <w:rPr>
                <w:rFonts w:ascii="Arial" w:hAnsi="Arial" w:cs="Arial"/>
                <w:color w:val="auto"/>
                <w:sz w:val="24"/>
                <w:szCs w:val="24"/>
              </w:rPr>
              <w:t>, a także przez inwestycje w zakresie wsparcia powiązań komunikacyjnych ze Słowacją.</w:t>
            </w:r>
          </w:p>
        </w:tc>
      </w:tr>
      <w:tr w:rsidR="00237760" w:rsidRPr="00237760" w14:paraId="23EF349A" w14:textId="77777777" w:rsidTr="00C378D3">
        <w:trPr>
          <w:gridAfter w:val="1"/>
          <w:wAfter w:w="13" w:type="dxa"/>
          <w:trHeight w:val="14"/>
        </w:trPr>
        <w:tc>
          <w:tcPr>
            <w:tcW w:w="3691" w:type="dxa"/>
            <w:vAlign w:val="center"/>
          </w:tcPr>
          <w:p w14:paraId="55BAF097" w14:textId="0D196BF5" w:rsidR="002B4E5D" w:rsidRPr="00237760" w:rsidRDefault="002B4E5D"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Modernizacj</w:t>
            </w:r>
            <w:r w:rsidR="00D56912" w:rsidRPr="00237760">
              <w:rPr>
                <w:rFonts w:ascii="Arial" w:hAnsi="Arial" w:cs="Arial"/>
                <w:color w:val="auto"/>
                <w:sz w:val="24"/>
                <w:szCs w:val="24"/>
              </w:rPr>
              <w:t>a</w:t>
            </w:r>
            <w:r w:rsidRPr="00237760">
              <w:rPr>
                <w:rFonts w:ascii="Arial" w:hAnsi="Arial" w:cs="Arial"/>
                <w:color w:val="auto"/>
                <w:sz w:val="24"/>
                <w:szCs w:val="24"/>
              </w:rPr>
              <w:t xml:space="preserve"> linii kolejowych obsługujących główne ośrodki produkcyjne, w tym eksportowe (linia Dębica, Mielec, Tarnobrzeg, Stalowa Wola)</w:t>
            </w:r>
          </w:p>
        </w:tc>
        <w:tc>
          <w:tcPr>
            <w:tcW w:w="1134" w:type="dxa"/>
            <w:shd w:val="clear" w:color="auto" w:fill="2F5496"/>
            <w:vAlign w:val="center"/>
          </w:tcPr>
          <w:p w14:paraId="7FACB5C8" w14:textId="77777777" w:rsidR="002B4E5D" w:rsidRPr="00237760" w:rsidRDefault="002B4E5D" w:rsidP="009367B4">
            <w:pPr>
              <w:spacing w:after="0" w:line="240" w:lineRule="auto"/>
              <w:jc w:val="left"/>
              <w:rPr>
                <w:rFonts w:ascii="Arial" w:hAnsi="Arial" w:cs="Arial"/>
                <w:color w:val="auto"/>
                <w:sz w:val="24"/>
                <w:szCs w:val="24"/>
              </w:rPr>
            </w:pPr>
          </w:p>
        </w:tc>
        <w:tc>
          <w:tcPr>
            <w:tcW w:w="4247" w:type="dxa"/>
            <w:gridSpan w:val="2"/>
            <w:shd w:val="clear" w:color="auto" w:fill="auto"/>
            <w:vAlign w:val="center"/>
          </w:tcPr>
          <w:p w14:paraId="1FC6AD33" w14:textId="19511324" w:rsidR="002B4E5D" w:rsidRPr="00237760" w:rsidRDefault="008822EB"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Na wyzwanie oddziałują bezpośrednio przedsięwzięcia związane z </w:t>
            </w:r>
            <w:r w:rsidR="003F798A" w:rsidRPr="00237760">
              <w:rPr>
                <w:rFonts w:ascii="Arial" w:hAnsi="Arial" w:cs="Arial"/>
                <w:color w:val="auto"/>
                <w:sz w:val="24"/>
                <w:szCs w:val="24"/>
              </w:rPr>
              <w:t>liniami kolejowymi nr 25, 74, 78, a także liczne inwestycje związane z tworzeniem infrastruktury towarzyszącej.</w:t>
            </w:r>
          </w:p>
        </w:tc>
      </w:tr>
      <w:tr w:rsidR="00237760" w:rsidRPr="00237760" w14:paraId="2A1B193A" w14:textId="77777777" w:rsidTr="00C378D3">
        <w:trPr>
          <w:gridAfter w:val="1"/>
          <w:wAfter w:w="13" w:type="dxa"/>
          <w:trHeight w:val="14"/>
        </w:trPr>
        <w:tc>
          <w:tcPr>
            <w:tcW w:w="3691" w:type="dxa"/>
            <w:vAlign w:val="center"/>
          </w:tcPr>
          <w:p w14:paraId="2AC1BED4" w14:textId="77777777" w:rsidR="002B4E5D" w:rsidRPr="00237760" w:rsidRDefault="002B4E5D"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Rozwój systemów intermodalnych w transporcie towarowym</w:t>
            </w:r>
          </w:p>
        </w:tc>
        <w:tc>
          <w:tcPr>
            <w:tcW w:w="1134" w:type="dxa"/>
            <w:shd w:val="clear" w:color="auto" w:fill="2F5496"/>
            <w:vAlign w:val="center"/>
          </w:tcPr>
          <w:p w14:paraId="65C29E69" w14:textId="77777777" w:rsidR="002B4E5D" w:rsidRPr="00237760" w:rsidRDefault="002B4E5D" w:rsidP="009367B4">
            <w:pPr>
              <w:spacing w:after="0" w:line="240" w:lineRule="auto"/>
              <w:jc w:val="left"/>
              <w:rPr>
                <w:rFonts w:ascii="Arial" w:hAnsi="Arial" w:cs="Arial"/>
                <w:color w:val="auto"/>
                <w:sz w:val="24"/>
                <w:szCs w:val="24"/>
              </w:rPr>
            </w:pPr>
          </w:p>
        </w:tc>
        <w:tc>
          <w:tcPr>
            <w:tcW w:w="4247" w:type="dxa"/>
            <w:gridSpan w:val="2"/>
            <w:shd w:val="clear" w:color="auto" w:fill="auto"/>
            <w:vAlign w:val="center"/>
          </w:tcPr>
          <w:p w14:paraId="76440259" w14:textId="0828AF1D" w:rsidR="002B4E5D" w:rsidRPr="00237760" w:rsidRDefault="007F649A"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Zidentyfikowane wyzwanie podejmowane jest przez inwestycje z zakresu </w:t>
            </w:r>
            <w:r w:rsidR="006F73E4" w:rsidRPr="00237760">
              <w:rPr>
                <w:rFonts w:ascii="Arial" w:hAnsi="Arial" w:cs="Arial"/>
                <w:color w:val="auto"/>
                <w:sz w:val="24"/>
                <w:szCs w:val="24"/>
              </w:rPr>
              <w:t>modernizacji</w:t>
            </w:r>
            <w:r w:rsidR="0036635A" w:rsidRPr="00237760">
              <w:rPr>
                <w:rFonts w:ascii="Arial" w:hAnsi="Arial" w:cs="Arial"/>
                <w:color w:val="auto"/>
                <w:sz w:val="24"/>
                <w:szCs w:val="24"/>
              </w:rPr>
              <w:t xml:space="preserve"> taboru kolejowe (w tym wymiany na bezemisyjny), rozwój infrastruktury cyfrowej usprawniającej multimodalne rozwiązania oraz poprawę dostępności regionalnych MOF</w:t>
            </w:r>
            <w:r w:rsidR="006F73E4" w:rsidRPr="00237760">
              <w:rPr>
                <w:rFonts w:ascii="Arial" w:hAnsi="Arial" w:cs="Arial"/>
                <w:color w:val="auto"/>
                <w:sz w:val="24"/>
                <w:szCs w:val="24"/>
              </w:rPr>
              <w:t>, między innymi poprzez rozbudowę autostrady A4.</w:t>
            </w:r>
          </w:p>
        </w:tc>
      </w:tr>
      <w:tr w:rsidR="00237760" w:rsidRPr="00237760" w14:paraId="15E7944C" w14:textId="77777777" w:rsidTr="00C378D3">
        <w:trPr>
          <w:gridAfter w:val="1"/>
          <w:wAfter w:w="13" w:type="dxa"/>
          <w:trHeight w:val="14"/>
        </w:trPr>
        <w:tc>
          <w:tcPr>
            <w:tcW w:w="3691" w:type="dxa"/>
            <w:vAlign w:val="center"/>
          </w:tcPr>
          <w:p w14:paraId="6CA39A83" w14:textId="3C60EC9A" w:rsidR="002B4E5D" w:rsidRPr="00237760" w:rsidRDefault="002B4E5D"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Budow</w:t>
            </w:r>
            <w:r w:rsidR="00D56912" w:rsidRPr="00237760">
              <w:rPr>
                <w:rFonts w:ascii="Arial" w:hAnsi="Arial" w:cs="Arial"/>
                <w:color w:val="auto"/>
                <w:sz w:val="24"/>
                <w:szCs w:val="24"/>
              </w:rPr>
              <w:t>a</w:t>
            </w:r>
            <w:r w:rsidRPr="00237760">
              <w:rPr>
                <w:rFonts w:ascii="Arial" w:hAnsi="Arial" w:cs="Arial"/>
                <w:color w:val="auto"/>
                <w:sz w:val="24"/>
                <w:szCs w:val="24"/>
              </w:rPr>
              <w:t xml:space="preserve"> i organizacj</w:t>
            </w:r>
            <w:r w:rsidR="00D56912" w:rsidRPr="00237760">
              <w:rPr>
                <w:rFonts w:ascii="Arial" w:hAnsi="Arial" w:cs="Arial"/>
                <w:color w:val="auto"/>
                <w:sz w:val="24"/>
                <w:szCs w:val="24"/>
              </w:rPr>
              <w:t>a</w:t>
            </w:r>
            <w:r w:rsidRPr="00237760">
              <w:rPr>
                <w:rFonts w:ascii="Arial" w:hAnsi="Arial" w:cs="Arial"/>
                <w:color w:val="auto"/>
                <w:sz w:val="24"/>
                <w:szCs w:val="24"/>
              </w:rPr>
              <w:t xml:space="preserve"> Podmiejskiej Kolei Aglomeracyjnej (PKA), w tym zapewnienie właściwej obsługi</w:t>
            </w:r>
            <w:r w:rsidR="0049710D" w:rsidRPr="00237760">
              <w:rPr>
                <w:rFonts w:ascii="Arial" w:hAnsi="Arial" w:cs="Arial"/>
                <w:color w:val="auto"/>
                <w:sz w:val="24"/>
                <w:szCs w:val="24"/>
              </w:rPr>
              <w:t xml:space="preserve"> </w:t>
            </w:r>
            <w:r w:rsidR="0049710D" w:rsidRPr="00237760">
              <w:rPr>
                <w:rFonts w:ascii="Arial" w:hAnsi="Arial" w:cs="Arial"/>
                <w:color w:val="auto"/>
                <w:sz w:val="24"/>
                <w:szCs w:val="24"/>
              </w:rPr>
              <w:lastRenderedPageBreak/>
              <w:t>transportowej</w:t>
            </w:r>
            <w:r w:rsidRPr="00237760">
              <w:rPr>
                <w:rFonts w:ascii="Arial" w:hAnsi="Arial" w:cs="Arial"/>
                <w:color w:val="auto"/>
                <w:sz w:val="24"/>
                <w:szCs w:val="24"/>
              </w:rPr>
              <w:t xml:space="preserve"> dla Portu Lotniczego Rzeszów – Jasionka</w:t>
            </w:r>
          </w:p>
        </w:tc>
        <w:tc>
          <w:tcPr>
            <w:tcW w:w="1134" w:type="dxa"/>
            <w:shd w:val="clear" w:color="auto" w:fill="B4C6E7"/>
            <w:vAlign w:val="center"/>
          </w:tcPr>
          <w:p w14:paraId="5B6B88A0" w14:textId="77777777" w:rsidR="002B4E5D" w:rsidRPr="00237760" w:rsidRDefault="002B4E5D" w:rsidP="009367B4">
            <w:pPr>
              <w:spacing w:after="0" w:line="240" w:lineRule="auto"/>
              <w:jc w:val="left"/>
              <w:rPr>
                <w:rFonts w:ascii="Arial" w:hAnsi="Arial" w:cs="Arial"/>
                <w:color w:val="auto"/>
                <w:sz w:val="24"/>
                <w:szCs w:val="24"/>
              </w:rPr>
            </w:pPr>
          </w:p>
        </w:tc>
        <w:tc>
          <w:tcPr>
            <w:tcW w:w="4247" w:type="dxa"/>
            <w:gridSpan w:val="2"/>
            <w:shd w:val="clear" w:color="auto" w:fill="auto"/>
            <w:vAlign w:val="center"/>
          </w:tcPr>
          <w:p w14:paraId="476557D6" w14:textId="5DA3A608" w:rsidR="002B4E5D" w:rsidRPr="00237760" w:rsidRDefault="00024594"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Wyzwanie jest bezpośrednio przez przedsięwzięcia </w:t>
            </w:r>
            <w:r w:rsidR="003F2C46" w:rsidRPr="00237760">
              <w:rPr>
                <w:rFonts w:ascii="Arial" w:hAnsi="Arial" w:cs="Arial"/>
                <w:color w:val="auto"/>
                <w:sz w:val="24"/>
                <w:szCs w:val="24"/>
              </w:rPr>
              <w:t>bezpośrednio związane z rozwojem PKA</w:t>
            </w:r>
            <w:r w:rsidR="00634E18" w:rsidRPr="00237760">
              <w:rPr>
                <w:rFonts w:ascii="Arial" w:hAnsi="Arial" w:cs="Arial"/>
                <w:color w:val="auto"/>
                <w:sz w:val="24"/>
                <w:szCs w:val="24"/>
              </w:rPr>
              <w:t>, zarówno w obszarze ROF jak i innych terenów regionu.</w:t>
            </w:r>
          </w:p>
        </w:tc>
      </w:tr>
      <w:tr w:rsidR="00237760" w:rsidRPr="00237760" w14:paraId="7B9915DE" w14:textId="77777777" w:rsidTr="00C378D3">
        <w:trPr>
          <w:gridAfter w:val="1"/>
          <w:wAfter w:w="13" w:type="dxa"/>
          <w:trHeight w:val="14"/>
        </w:trPr>
        <w:tc>
          <w:tcPr>
            <w:tcW w:w="3691" w:type="dxa"/>
            <w:vAlign w:val="center"/>
          </w:tcPr>
          <w:p w14:paraId="7030DC22" w14:textId="117E42E7" w:rsidR="002B4E5D" w:rsidRPr="00237760" w:rsidRDefault="002B4E5D"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Integracj</w:t>
            </w:r>
            <w:r w:rsidR="00D56912" w:rsidRPr="00237760">
              <w:rPr>
                <w:rFonts w:ascii="Arial" w:hAnsi="Arial" w:cs="Arial"/>
                <w:color w:val="auto"/>
                <w:sz w:val="24"/>
                <w:szCs w:val="24"/>
              </w:rPr>
              <w:t>a</w:t>
            </w:r>
            <w:r w:rsidRPr="00237760">
              <w:rPr>
                <w:rFonts w:ascii="Arial" w:hAnsi="Arial" w:cs="Arial"/>
                <w:color w:val="auto"/>
                <w:sz w:val="24"/>
                <w:szCs w:val="24"/>
              </w:rPr>
              <w:t xml:space="preserve"> systemów transportu publicznego w Rzeszowie oraz w sąsiedztwie innych obszarów funkcjonalnych</w:t>
            </w:r>
          </w:p>
        </w:tc>
        <w:tc>
          <w:tcPr>
            <w:tcW w:w="1134" w:type="dxa"/>
            <w:shd w:val="clear" w:color="auto" w:fill="2F5496"/>
            <w:vAlign w:val="center"/>
          </w:tcPr>
          <w:p w14:paraId="1D79EADB" w14:textId="77777777" w:rsidR="002B4E5D" w:rsidRPr="00237760" w:rsidRDefault="002B4E5D" w:rsidP="009367B4">
            <w:pPr>
              <w:spacing w:after="0" w:line="240" w:lineRule="auto"/>
              <w:jc w:val="left"/>
              <w:rPr>
                <w:rFonts w:ascii="Arial" w:hAnsi="Arial" w:cs="Arial"/>
                <w:color w:val="auto"/>
                <w:sz w:val="24"/>
                <w:szCs w:val="24"/>
              </w:rPr>
            </w:pPr>
          </w:p>
        </w:tc>
        <w:tc>
          <w:tcPr>
            <w:tcW w:w="4247" w:type="dxa"/>
            <w:gridSpan w:val="2"/>
            <w:shd w:val="clear" w:color="auto" w:fill="auto"/>
            <w:vAlign w:val="center"/>
          </w:tcPr>
          <w:p w14:paraId="6933999D" w14:textId="7D860088" w:rsidR="002B4E5D" w:rsidRPr="00237760" w:rsidRDefault="004D5A7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Wyzwanie podejmowane jest przez przedsięwzięcia bezpośrednio związane z MOF regionu. Przewidują one kompleksowe działania inwestycyjne zarówno w zakresie transportu kolejowego, jak i autobusowego </w:t>
            </w:r>
            <w:r w:rsidR="00E11B02" w:rsidRPr="00237760">
              <w:rPr>
                <w:rFonts w:ascii="Arial" w:hAnsi="Arial" w:cs="Arial"/>
                <w:color w:val="auto"/>
                <w:sz w:val="24"/>
                <w:szCs w:val="24"/>
              </w:rPr>
              <w:t>czy rowerowego.</w:t>
            </w:r>
          </w:p>
        </w:tc>
      </w:tr>
      <w:tr w:rsidR="00237760" w:rsidRPr="00237760" w14:paraId="3BAFCF06" w14:textId="77777777" w:rsidTr="00C378D3">
        <w:trPr>
          <w:gridAfter w:val="1"/>
          <w:wAfter w:w="13" w:type="dxa"/>
          <w:trHeight w:val="14"/>
        </w:trPr>
        <w:tc>
          <w:tcPr>
            <w:tcW w:w="3691" w:type="dxa"/>
            <w:tcBorders>
              <w:bottom w:val="single" w:sz="4" w:space="0" w:color="002060"/>
            </w:tcBorders>
            <w:vAlign w:val="center"/>
          </w:tcPr>
          <w:p w14:paraId="3AE8CCD3" w14:textId="77777777" w:rsidR="002B4E5D" w:rsidRPr="00237760" w:rsidRDefault="002B4E5D"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Zapewnienie sprawnych dojazdów do pracy i usług, co przyczyni się do utrzymania części ludności w miejscach ich zamieszkania</w:t>
            </w:r>
          </w:p>
        </w:tc>
        <w:tc>
          <w:tcPr>
            <w:tcW w:w="1134" w:type="dxa"/>
            <w:tcBorders>
              <w:bottom w:val="single" w:sz="4" w:space="0" w:color="002060"/>
            </w:tcBorders>
            <w:shd w:val="clear" w:color="auto" w:fill="2F5496"/>
            <w:vAlign w:val="center"/>
          </w:tcPr>
          <w:p w14:paraId="10069924" w14:textId="77777777" w:rsidR="002B4E5D" w:rsidRPr="00237760" w:rsidRDefault="002B4E5D" w:rsidP="009367B4">
            <w:pPr>
              <w:spacing w:after="0" w:line="240" w:lineRule="auto"/>
              <w:jc w:val="left"/>
              <w:rPr>
                <w:rFonts w:ascii="Arial" w:hAnsi="Arial" w:cs="Arial"/>
                <w:color w:val="auto"/>
                <w:sz w:val="24"/>
                <w:szCs w:val="24"/>
              </w:rPr>
            </w:pPr>
          </w:p>
        </w:tc>
        <w:tc>
          <w:tcPr>
            <w:tcW w:w="4247" w:type="dxa"/>
            <w:gridSpan w:val="2"/>
            <w:tcBorders>
              <w:bottom w:val="single" w:sz="4" w:space="0" w:color="002060"/>
            </w:tcBorders>
            <w:shd w:val="clear" w:color="auto" w:fill="auto"/>
            <w:vAlign w:val="center"/>
          </w:tcPr>
          <w:p w14:paraId="682DAF6D" w14:textId="5A0602DF" w:rsidR="002B4E5D" w:rsidRPr="00237760" w:rsidRDefault="00EF4B6A"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Problem ten rozwiązywany jest bezpośrednio </w:t>
            </w:r>
            <w:r w:rsidR="004C1DF6" w:rsidRPr="00237760">
              <w:rPr>
                <w:rFonts w:ascii="Arial" w:hAnsi="Arial" w:cs="Arial"/>
                <w:color w:val="auto"/>
                <w:sz w:val="24"/>
                <w:szCs w:val="24"/>
              </w:rPr>
              <w:t xml:space="preserve">przez przedsięwzięcia związane ze zwiększeniem dostępności komunikacyjnej </w:t>
            </w:r>
            <w:r w:rsidR="0065138A" w:rsidRPr="00237760">
              <w:rPr>
                <w:rFonts w:ascii="Arial" w:hAnsi="Arial" w:cs="Arial"/>
                <w:color w:val="auto"/>
                <w:sz w:val="24"/>
                <w:szCs w:val="24"/>
              </w:rPr>
              <w:t>MOF w regionie, a także przez liczne inwestycje w zakresie transportu kolejowego, zarówno dotyczące modernizacji czy budowy linii kolejowych, jak również tworzenia infrastruktury towarzyszącej (przystanki, centra przesiadkowe, itd.)</w:t>
            </w:r>
          </w:p>
        </w:tc>
      </w:tr>
      <w:tr w:rsidR="00237760" w:rsidRPr="00237760" w14:paraId="719A7220" w14:textId="77777777" w:rsidTr="00C378D3">
        <w:trPr>
          <w:gridAfter w:val="1"/>
          <w:wAfter w:w="13" w:type="dxa"/>
          <w:trHeight w:val="14"/>
        </w:trPr>
        <w:tc>
          <w:tcPr>
            <w:tcW w:w="3691" w:type="dxa"/>
            <w:tcBorders>
              <w:top w:val="single" w:sz="4" w:space="0" w:color="002060"/>
              <w:bottom w:val="single" w:sz="12" w:space="0" w:color="002060"/>
            </w:tcBorders>
            <w:vAlign w:val="center"/>
          </w:tcPr>
          <w:p w14:paraId="62A5FEA1" w14:textId="77777777" w:rsidR="002B4E5D" w:rsidRPr="00237760" w:rsidRDefault="002B4E5D"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Wsparcie transportowe (drogowo-kolejowe) dla pasma ośrodków aktywnych gospodarczo, zwanego umownie „bananem podkarpackim” od Stalowej Woli przez Tarnobrzeg, Mielec, Dębicę, Jasło, Krosno do Sanoka.</w:t>
            </w:r>
          </w:p>
        </w:tc>
        <w:tc>
          <w:tcPr>
            <w:tcW w:w="1134" w:type="dxa"/>
            <w:tcBorders>
              <w:top w:val="single" w:sz="4" w:space="0" w:color="002060"/>
              <w:bottom w:val="single" w:sz="12" w:space="0" w:color="002060"/>
            </w:tcBorders>
            <w:shd w:val="clear" w:color="auto" w:fill="2F5496"/>
            <w:vAlign w:val="center"/>
          </w:tcPr>
          <w:p w14:paraId="15266472" w14:textId="77777777" w:rsidR="002B4E5D" w:rsidRPr="00237760" w:rsidRDefault="002B4E5D" w:rsidP="009367B4">
            <w:pPr>
              <w:spacing w:after="0" w:line="240" w:lineRule="auto"/>
              <w:jc w:val="left"/>
              <w:rPr>
                <w:rFonts w:ascii="Arial" w:hAnsi="Arial" w:cs="Arial"/>
                <w:color w:val="auto"/>
                <w:sz w:val="24"/>
                <w:szCs w:val="24"/>
              </w:rPr>
            </w:pPr>
          </w:p>
        </w:tc>
        <w:tc>
          <w:tcPr>
            <w:tcW w:w="4247" w:type="dxa"/>
            <w:gridSpan w:val="2"/>
            <w:tcBorders>
              <w:top w:val="single" w:sz="4" w:space="0" w:color="002060"/>
              <w:bottom w:val="single" w:sz="12" w:space="0" w:color="002060"/>
            </w:tcBorders>
            <w:shd w:val="clear" w:color="auto" w:fill="auto"/>
            <w:vAlign w:val="center"/>
          </w:tcPr>
          <w:p w14:paraId="7CE829D9" w14:textId="27E151BF" w:rsidR="002B4E5D" w:rsidRPr="00237760" w:rsidRDefault="0030032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Wyzwanie podejmowane jest bezpo</w:t>
            </w:r>
            <w:r w:rsidR="00F67558" w:rsidRPr="00237760">
              <w:rPr>
                <w:rFonts w:ascii="Arial" w:hAnsi="Arial" w:cs="Arial"/>
                <w:color w:val="auto"/>
                <w:sz w:val="24"/>
                <w:szCs w:val="24"/>
              </w:rPr>
              <w:t>średnio</w:t>
            </w:r>
            <w:r w:rsidR="00DF6F8C" w:rsidRPr="00237760">
              <w:rPr>
                <w:rFonts w:ascii="Arial" w:hAnsi="Arial" w:cs="Arial"/>
                <w:color w:val="auto"/>
                <w:sz w:val="24"/>
                <w:szCs w:val="24"/>
              </w:rPr>
              <w:t xml:space="preserve"> poprzez przedsięwzięcia związane z </w:t>
            </w:r>
            <w:r w:rsidR="00183333" w:rsidRPr="00237760">
              <w:rPr>
                <w:rFonts w:ascii="Arial" w:hAnsi="Arial" w:cs="Arial"/>
                <w:color w:val="auto"/>
                <w:sz w:val="24"/>
                <w:szCs w:val="24"/>
              </w:rPr>
              <w:t>rozwojem systemu transportowego w MOF Mielec, MOF Dębica-Ropczyce, MOF Jasło</w:t>
            </w:r>
            <w:r w:rsidR="006172C9" w:rsidRPr="00237760">
              <w:rPr>
                <w:rFonts w:ascii="Arial" w:hAnsi="Arial" w:cs="Arial"/>
                <w:color w:val="auto"/>
                <w:sz w:val="24"/>
                <w:szCs w:val="24"/>
              </w:rPr>
              <w:t>, a także poprzez inwestycje związane z S 19</w:t>
            </w:r>
            <w:r w:rsidR="00CD1F1A" w:rsidRPr="00237760">
              <w:rPr>
                <w:rFonts w:ascii="Arial" w:hAnsi="Arial" w:cs="Arial"/>
                <w:color w:val="auto"/>
                <w:sz w:val="24"/>
                <w:szCs w:val="24"/>
              </w:rPr>
              <w:t xml:space="preserve">, DW </w:t>
            </w:r>
            <w:r w:rsidR="00ED2AA3" w:rsidRPr="00237760">
              <w:rPr>
                <w:rFonts w:ascii="Arial" w:hAnsi="Arial" w:cs="Arial"/>
                <w:color w:val="auto"/>
                <w:sz w:val="24"/>
                <w:szCs w:val="24"/>
              </w:rPr>
              <w:t>984</w:t>
            </w:r>
            <w:r w:rsidR="006172C9" w:rsidRPr="00237760">
              <w:rPr>
                <w:rFonts w:ascii="Arial" w:hAnsi="Arial" w:cs="Arial"/>
                <w:color w:val="auto"/>
                <w:sz w:val="24"/>
                <w:szCs w:val="24"/>
              </w:rPr>
              <w:t xml:space="preserve"> oraz licznymi inwestycjami kolejowymi, m. in. </w:t>
            </w:r>
            <w:r w:rsidR="00CD1F1A" w:rsidRPr="00237760">
              <w:rPr>
                <w:rFonts w:ascii="Arial" w:hAnsi="Arial" w:cs="Arial"/>
                <w:color w:val="auto"/>
                <w:sz w:val="24"/>
                <w:szCs w:val="24"/>
              </w:rPr>
              <w:t xml:space="preserve">rozbudową linii nr 25, 166, </w:t>
            </w:r>
            <w:r w:rsidR="00ED2AA3" w:rsidRPr="00237760">
              <w:rPr>
                <w:rFonts w:ascii="Arial" w:hAnsi="Arial" w:cs="Arial"/>
                <w:color w:val="auto"/>
                <w:sz w:val="24"/>
                <w:szCs w:val="24"/>
              </w:rPr>
              <w:t>122 czy 74.</w:t>
            </w:r>
          </w:p>
        </w:tc>
      </w:tr>
      <w:tr w:rsidR="00237760" w:rsidRPr="00237760" w14:paraId="6FC34922" w14:textId="77777777" w:rsidTr="00C378D3">
        <w:trPr>
          <w:gridAfter w:val="1"/>
          <w:wAfter w:w="11" w:type="dxa"/>
          <w:trHeight w:val="14"/>
        </w:trPr>
        <w:tc>
          <w:tcPr>
            <w:tcW w:w="9074" w:type="dxa"/>
            <w:gridSpan w:val="4"/>
            <w:tcBorders>
              <w:top w:val="single" w:sz="12" w:space="0" w:color="002060"/>
            </w:tcBorders>
          </w:tcPr>
          <w:tbl>
            <w:tblPr>
              <w:tblStyle w:val="Tabela-Siatka"/>
              <w:tblpPr w:leftFromText="141" w:rightFromText="141" w:vertAnchor="text" w:horzAnchor="margin" w:tblpY="10"/>
              <w:tblW w:w="0" w:type="auto"/>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Layout w:type="fixed"/>
              <w:tblLook w:val="04A0" w:firstRow="1" w:lastRow="0" w:firstColumn="1" w:lastColumn="0" w:noHBand="0" w:noVBand="1"/>
              <w:tblCaption w:val="Objaśnienia do tabeli"/>
              <w:tblDescription w:val="Niebieski wysoka trafność, błękitno-szary częściowa spójność, biało-czarny neutralność"/>
            </w:tblPr>
            <w:tblGrid>
              <w:gridCol w:w="421"/>
              <w:gridCol w:w="1701"/>
              <w:gridCol w:w="425"/>
              <w:gridCol w:w="1559"/>
              <w:gridCol w:w="425"/>
              <w:gridCol w:w="1418"/>
            </w:tblGrid>
            <w:tr w:rsidR="00237760" w:rsidRPr="00237760" w14:paraId="35EB9DE7" w14:textId="77777777" w:rsidTr="00FB7AB1">
              <w:trPr>
                <w:trHeight w:val="70"/>
              </w:trPr>
              <w:tc>
                <w:tcPr>
                  <w:tcW w:w="421" w:type="dxa"/>
                  <w:tcBorders>
                    <w:top w:val="single" w:sz="4" w:space="0" w:color="auto"/>
                    <w:left w:val="single" w:sz="4" w:space="0" w:color="auto"/>
                    <w:bottom w:val="single" w:sz="4" w:space="0" w:color="auto"/>
                    <w:right w:val="single" w:sz="4" w:space="0" w:color="auto"/>
                  </w:tcBorders>
                  <w:shd w:val="clear" w:color="auto" w:fill="2F5496"/>
                </w:tcPr>
                <w:p w14:paraId="4D191F0C" w14:textId="77777777" w:rsidR="002B4E5D" w:rsidRPr="00237760" w:rsidRDefault="002B4E5D" w:rsidP="009367B4">
                  <w:pPr>
                    <w:spacing w:after="0"/>
                    <w:jc w:val="left"/>
                    <w:rPr>
                      <w:rFonts w:ascii="Arial" w:eastAsiaTheme="minorHAnsi" w:hAnsi="Arial" w:cs="Arial"/>
                      <w:color w:val="auto"/>
                      <w:sz w:val="24"/>
                      <w:szCs w:val="24"/>
                    </w:rPr>
                  </w:pPr>
                </w:p>
              </w:tc>
              <w:tc>
                <w:tcPr>
                  <w:tcW w:w="1701" w:type="dxa"/>
                  <w:tcBorders>
                    <w:top w:val="nil"/>
                    <w:left w:val="single" w:sz="4" w:space="0" w:color="auto"/>
                    <w:bottom w:val="nil"/>
                    <w:right w:val="single" w:sz="4" w:space="0" w:color="auto"/>
                  </w:tcBorders>
                  <w:vAlign w:val="center"/>
                  <w:hideMark/>
                </w:tcPr>
                <w:p w14:paraId="57C8FF14" w14:textId="77777777" w:rsidR="002B4E5D" w:rsidRPr="00237760" w:rsidRDefault="002B4E5D" w:rsidP="009367B4">
                  <w:pPr>
                    <w:spacing w:after="0"/>
                    <w:jc w:val="left"/>
                    <w:rPr>
                      <w:rFonts w:ascii="Arial" w:hAnsi="Arial" w:cs="Arial"/>
                      <w:b/>
                      <w:color w:val="auto"/>
                      <w:sz w:val="24"/>
                      <w:szCs w:val="24"/>
                    </w:rPr>
                  </w:pPr>
                  <w:r w:rsidRPr="00237760">
                    <w:rPr>
                      <w:rFonts w:ascii="Arial" w:hAnsi="Arial" w:cs="Arial"/>
                      <w:b/>
                      <w:color w:val="auto"/>
                      <w:sz w:val="24"/>
                      <w:szCs w:val="24"/>
                    </w:rPr>
                    <w:t>wysoka trafność</w:t>
                  </w:r>
                </w:p>
              </w:tc>
              <w:tc>
                <w:tcPr>
                  <w:tcW w:w="425" w:type="dxa"/>
                  <w:tcBorders>
                    <w:top w:val="single" w:sz="4" w:space="0" w:color="auto"/>
                    <w:left w:val="single" w:sz="4" w:space="0" w:color="auto"/>
                    <w:bottom w:val="single" w:sz="4" w:space="0" w:color="auto"/>
                    <w:right w:val="single" w:sz="4" w:space="0" w:color="auto"/>
                  </w:tcBorders>
                  <w:shd w:val="clear" w:color="auto" w:fill="B4C6E7"/>
                  <w:vAlign w:val="center"/>
                </w:tcPr>
                <w:p w14:paraId="54EE756F" w14:textId="77777777" w:rsidR="002B4E5D" w:rsidRPr="00237760" w:rsidRDefault="002B4E5D" w:rsidP="009367B4">
                  <w:pPr>
                    <w:spacing w:after="0"/>
                    <w:jc w:val="left"/>
                    <w:rPr>
                      <w:rFonts w:ascii="Arial" w:hAnsi="Arial" w:cs="Arial"/>
                      <w:b/>
                      <w:color w:val="auto"/>
                      <w:sz w:val="24"/>
                      <w:szCs w:val="24"/>
                    </w:rPr>
                  </w:pPr>
                </w:p>
              </w:tc>
              <w:tc>
                <w:tcPr>
                  <w:tcW w:w="1559" w:type="dxa"/>
                  <w:tcBorders>
                    <w:top w:val="nil"/>
                    <w:left w:val="single" w:sz="4" w:space="0" w:color="auto"/>
                    <w:bottom w:val="nil"/>
                    <w:right w:val="single" w:sz="4" w:space="0" w:color="auto"/>
                  </w:tcBorders>
                  <w:vAlign w:val="center"/>
                  <w:hideMark/>
                </w:tcPr>
                <w:p w14:paraId="5B1C14FD" w14:textId="77777777" w:rsidR="002B4E5D" w:rsidRPr="00237760" w:rsidRDefault="002B4E5D" w:rsidP="009367B4">
                  <w:pPr>
                    <w:spacing w:after="0"/>
                    <w:jc w:val="left"/>
                    <w:rPr>
                      <w:rFonts w:ascii="Arial" w:hAnsi="Arial" w:cs="Arial"/>
                      <w:b/>
                      <w:color w:val="auto"/>
                      <w:sz w:val="24"/>
                      <w:szCs w:val="24"/>
                    </w:rPr>
                  </w:pPr>
                  <w:r w:rsidRPr="00237760">
                    <w:rPr>
                      <w:rFonts w:ascii="Arial" w:hAnsi="Arial" w:cs="Arial"/>
                      <w:b/>
                      <w:color w:val="auto"/>
                      <w:sz w:val="24"/>
                      <w:szCs w:val="24"/>
                    </w:rPr>
                    <w:t>częściowa spójność</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5E1CCD" w14:textId="77777777" w:rsidR="002B4E5D" w:rsidRPr="00237760" w:rsidRDefault="002B4E5D" w:rsidP="009367B4">
                  <w:pPr>
                    <w:spacing w:after="0"/>
                    <w:jc w:val="left"/>
                    <w:rPr>
                      <w:rFonts w:ascii="Arial" w:hAnsi="Arial" w:cs="Arial"/>
                      <w:b/>
                      <w:color w:val="auto"/>
                      <w:sz w:val="24"/>
                      <w:szCs w:val="24"/>
                    </w:rPr>
                  </w:pPr>
                </w:p>
              </w:tc>
              <w:tc>
                <w:tcPr>
                  <w:tcW w:w="1418" w:type="dxa"/>
                  <w:tcBorders>
                    <w:top w:val="nil"/>
                    <w:left w:val="single" w:sz="4" w:space="0" w:color="auto"/>
                    <w:bottom w:val="nil"/>
                    <w:right w:val="nil"/>
                  </w:tcBorders>
                  <w:vAlign w:val="center"/>
                  <w:hideMark/>
                </w:tcPr>
                <w:p w14:paraId="3883DE15" w14:textId="77777777" w:rsidR="002B4E5D" w:rsidRPr="00237760" w:rsidRDefault="002B4E5D" w:rsidP="009367B4">
                  <w:pPr>
                    <w:spacing w:after="0"/>
                    <w:jc w:val="left"/>
                    <w:rPr>
                      <w:rFonts w:ascii="Arial" w:hAnsi="Arial" w:cs="Arial"/>
                      <w:b/>
                      <w:color w:val="auto"/>
                      <w:sz w:val="24"/>
                      <w:szCs w:val="24"/>
                    </w:rPr>
                  </w:pPr>
                  <w:r w:rsidRPr="00237760">
                    <w:rPr>
                      <w:rFonts w:ascii="Arial" w:hAnsi="Arial" w:cs="Arial"/>
                      <w:b/>
                      <w:color w:val="auto"/>
                      <w:sz w:val="24"/>
                      <w:szCs w:val="24"/>
                    </w:rPr>
                    <w:t>neutralność</w:t>
                  </w:r>
                </w:p>
              </w:tc>
            </w:tr>
          </w:tbl>
          <w:p w14:paraId="2B156B54" w14:textId="77777777" w:rsidR="002B4E5D" w:rsidRPr="00237760" w:rsidRDefault="002B4E5D" w:rsidP="009367B4">
            <w:pPr>
              <w:spacing w:after="0" w:line="240" w:lineRule="auto"/>
              <w:jc w:val="left"/>
              <w:rPr>
                <w:rFonts w:ascii="Arial" w:hAnsi="Arial" w:cs="Arial"/>
                <w:color w:val="auto"/>
                <w:sz w:val="24"/>
                <w:szCs w:val="24"/>
              </w:rPr>
            </w:pPr>
          </w:p>
        </w:tc>
      </w:tr>
    </w:tbl>
    <w:p w14:paraId="0A3B8C16" w14:textId="77777777" w:rsidR="00194A1C" w:rsidRPr="00237760" w:rsidRDefault="00194A1C" w:rsidP="009367B4">
      <w:pPr>
        <w:jc w:val="left"/>
        <w:rPr>
          <w:rFonts w:ascii="Arial" w:hAnsi="Arial" w:cs="Arial"/>
          <w:color w:val="auto"/>
          <w:sz w:val="24"/>
          <w:szCs w:val="24"/>
        </w:rPr>
      </w:pPr>
      <w:r w:rsidRPr="00237760">
        <w:rPr>
          <w:rFonts w:ascii="Arial" w:hAnsi="Arial" w:cs="Arial"/>
          <w:color w:val="auto"/>
          <w:sz w:val="24"/>
          <w:szCs w:val="24"/>
        </w:rPr>
        <w:t xml:space="preserve">Źródło: opracowanie własne na podstawie PSRT WP oraz Diagnozy Stanu Systemu Transportowego w Województwie Podkarpackim. </w:t>
      </w:r>
    </w:p>
    <w:p w14:paraId="7DE80204" w14:textId="7DB6E8D4" w:rsidR="006776F3" w:rsidRPr="00237760" w:rsidRDefault="00CE377F" w:rsidP="009367B4">
      <w:pPr>
        <w:jc w:val="left"/>
        <w:rPr>
          <w:rFonts w:ascii="Arial" w:hAnsi="Arial" w:cs="Arial"/>
          <w:color w:val="auto"/>
          <w:sz w:val="24"/>
          <w:szCs w:val="24"/>
        </w:rPr>
      </w:pPr>
      <w:r w:rsidRPr="00237760">
        <w:rPr>
          <w:rFonts w:ascii="Arial" w:hAnsi="Arial" w:cs="Arial"/>
          <w:color w:val="auto"/>
          <w:sz w:val="24"/>
          <w:szCs w:val="24"/>
        </w:rPr>
        <w:t xml:space="preserve">Podsumowując, znacząca większość zidentyfikowanych w </w:t>
      </w:r>
      <w:r w:rsidRPr="00237760">
        <w:rPr>
          <w:rFonts w:ascii="Arial" w:hAnsi="Arial" w:cs="Arial"/>
          <w:i/>
          <w:iCs/>
          <w:color w:val="auto"/>
          <w:sz w:val="24"/>
          <w:szCs w:val="24"/>
        </w:rPr>
        <w:t xml:space="preserve">Diagnozie Stanu Systemu Transportowego w Województwie Podkarpackim </w:t>
      </w:r>
      <w:r w:rsidRPr="00237760">
        <w:rPr>
          <w:rFonts w:ascii="Arial" w:hAnsi="Arial" w:cs="Arial"/>
          <w:color w:val="auto"/>
          <w:sz w:val="24"/>
          <w:szCs w:val="24"/>
        </w:rPr>
        <w:t xml:space="preserve">potrzeb i wyzwań regionu jest podejmowana przez liczne przedsięwzięcia sformułowane w PSRT WP. </w:t>
      </w:r>
      <w:r w:rsidR="00A428C0" w:rsidRPr="00237760">
        <w:rPr>
          <w:rFonts w:ascii="Arial" w:hAnsi="Arial" w:cs="Arial"/>
          <w:color w:val="auto"/>
          <w:sz w:val="24"/>
          <w:szCs w:val="24"/>
        </w:rPr>
        <w:t>Znaczna część</w:t>
      </w:r>
      <w:r w:rsidRPr="00237760">
        <w:rPr>
          <w:rFonts w:ascii="Arial" w:hAnsi="Arial" w:cs="Arial"/>
          <w:color w:val="auto"/>
          <w:sz w:val="24"/>
          <w:szCs w:val="24"/>
        </w:rPr>
        <w:t xml:space="preserve"> z nich </w:t>
      </w:r>
      <w:r w:rsidR="006F32F8" w:rsidRPr="00237760">
        <w:rPr>
          <w:rFonts w:ascii="Arial" w:hAnsi="Arial" w:cs="Arial"/>
          <w:color w:val="auto"/>
          <w:sz w:val="24"/>
          <w:szCs w:val="24"/>
        </w:rPr>
        <w:t xml:space="preserve">wykazuje wysoką trafność i kompleksowo wpływa na zdiagnozowane zagadnienia. </w:t>
      </w:r>
    </w:p>
    <w:p w14:paraId="38A8D767" w14:textId="4BA4BA1B" w:rsidR="00E8625A" w:rsidRPr="00237760" w:rsidRDefault="00E8625A" w:rsidP="009367B4">
      <w:pPr>
        <w:spacing w:after="160" w:line="259" w:lineRule="auto"/>
        <w:jc w:val="left"/>
        <w:rPr>
          <w:rFonts w:ascii="Arial" w:hAnsi="Arial" w:cs="Arial"/>
          <w:color w:val="auto"/>
          <w:sz w:val="24"/>
          <w:szCs w:val="24"/>
        </w:rPr>
      </w:pPr>
      <w:r w:rsidRPr="00237760">
        <w:rPr>
          <w:rFonts w:ascii="Arial" w:hAnsi="Arial" w:cs="Arial"/>
          <w:color w:val="auto"/>
          <w:sz w:val="24"/>
          <w:szCs w:val="24"/>
        </w:rPr>
        <w:br w:type="page"/>
      </w:r>
    </w:p>
    <w:p w14:paraId="1FA17A0A" w14:textId="5D127D9A" w:rsidR="00ED3D23" w:rsidRPr="00237760" w:rsidRDefault="00ED3D23" w:rsidP="009367B4">
      <w:pPr>
        <w:pStyle w:val="Nagwek2"/>
        <w:rPr>
          <w:rFonts w:ascii="Arial" w:hAnsi="Arial" w:cs="Arial"/>
          <w:color w:val="auto"/>
          <w:sz w:val="24"/>
          <w:szCs w:val="24"/>
        </w:rPr>
      </w:pPr>
      <w:bookmarkStart w:id="81" w:name="_Ref100926559"/>
      <w:bookmarkStart w:id="82" w:name="_Toc101904114"/>
      <w:r w:rsidRPr="00237760">
        <w:rPr>
          <w:rFonts w:ascii="Arial" w:hAnsi="Arial" w:cs="Arial"/>
          <w:color w:val="auto"/>
          <w:sz w:val="24"/>
          <w:szCs w:val="24"/>
        </w:rPr>
        <w:lastRenderedPageBreak/>
        <w:t xml:space="preserve">Ocena trafności w </w:t>
      </w:r>
      <w:r w:rsidR="00B73FBF" w:rsidRPr="00237760">
        <w:rPr>
          <w:rFonts w:ascii="Arial" w:hAnsi="Arial" w:cs="Arial"/>
          <w:color w:val="auto"/>
          <w:sz w:val="24"/>
          <w:szCs w:val="24"/>
        </w:rPr>
        <w:t xml:space="preserve">zakresie </w:t>
      </w:r>
      <w:r w:rsidRPr="00237760">
        <w:rPr>
          <w:rFonts w:ascii="Arial" w:hAnsi="Arial" w:cs="Arial"/>
          <w:color w:val="auto"/>
          <w:sz w:val="24"/>
          <w:szCs w:val="24"/>
        </w:rPr>
        <w:t>wskazan</w:t>
      </w:r>
      <w:r w:rsidR="00C55CC1" w:rsidRPr="00237760">
        <w:rPr>
          <w:rFonts w:ascii="Arial" w:hAnsi="Arial" w:cs="Arial"/>
          <w:color w:val="auto"/>
          <w:sz w:val="24"/>
          <w:szCs w:val="24"/>
        </w:rPr>
        <w:t>ych</w:t>
      </w:r>
      <w:r w:rsidRPr="00237760">
        <w:rPr>
          <w:rFonts w:ascii="Arial" w:hAnsi="Arial" w:cs="Arial"/>
          <w:color w:val="auto"/>
          <w:sz w:val="24"/>
          <w:szCs w:val="24"/>
        </w:rPr>
        <w:t xml:space="preserve"> ewentualn</w:t>
      </w:r>
      <w:r w:rsidR="00C55CC1" w:rsidRPr="00237760">
        <w:rPr>
          <w:rFonts w:ascii="Arial" w:hAnsi="Arial" w:cs="Arial"/>
          <w:color w:val="auto"/>
          <w:sz w:val="24"/>
          <w:szCs w:val="24"/>
        </w:rPr>
        <w:t>ych</w:t>
      </w:r>
      <w:r w:rsidRPr="00237760">
        <w:rPr>
          <w:rFonts w:ascii="Arial" w:hAnsi="Arial" w:cs="Arial"/>
          <w:color w:val="auto"/>
          <w:sz w:val="24"/>
          <w:szCs w:val="24"/>
        </w:rPr>
        <w:t xml:space="preserve"> czynnik</w:t>
      </w:r>
      <w:r w:rsidR="00C55CC1" w:rsidRPr="00237760">
        <w:rPr>
          <w:rFonts w:ascii="Arial" w:hAnsi="Arial" w:cs="Arial"/>
          <w:color w:val="auto"/>
          <w:sz w:val="24"/>
          <w:szCs w:val="24"/>
        </w:rPr>
        <w:t>ów</w:t>
      </w:r>
      <w:r w:rsidRPr="00237760">
        <w:rPr>
          <w:rFonts w:ascii="Arial" w:hAnsi="Arial" w:cs="Arial"/>
          <w:color w:val="auto"/>
          <w:sz w:val="24"/>
          <w:szCs w:val="24"/>
        </w:rPr>
        <w:t xml:space="preserve"> ryzyka</w:t>
      </w:r>
      <w:bookmarkEnd w:id="81"/>
      <w:bookmarkEnd w:id="82"/>
    </w:p>
    <w:p w14:paraId="10D38EA1" w14:textId="77777777" w:rsidR="00ED3D23" w:rsidRPr="00237760" w:rsidRDefault="00ED3D23" w:rsidP="00D352FD">
      <w:pPr>
        <w:pStyle w:val="Nagwek3"/>
        <w:numPr>
          <w:ilvl w:val="0"/>
          <w:numId w:val="0"/>
        </w:numPr>
        <w:ind w:left="851" w:hanging="851"/>
      </w:pPr>
      <w:bookmarkStart w:id="83" w:name="_Toc101904115"/>
      <w:r w:rsidRPr="00237760">
        <w:t>Synteza</w:t>
      </w:r>
      <w:bookmarkEnd w:id="83"/>
    </w:p>
    <w:p w14:paraId="1F13646C" w14:textId="77777777" w:rsidR="00ED3D23" w:rsidRPr="00237760" w:rsidRDefault="00ED3D23" w:rsidP="009367B4">
      <w:pPr>
        <w:jc w:val="left"/>
        <w:rPr>
          <w:rFonts w:ascii="Arial" w:hAnsi="Arial" w:cs="Arial"/>
          <w:bCs/>
          <w:iCs/>
          <w:color w:val="auto"/>
          <w:sz w:val="24"/>
          <w:szCs w:val="24"/>
        </w:rPr>
      </w:pPr>
      <w:r w:rsidRPr="00237760">
        <w:rPr>
          <w:rFonts w:ascii="Arial" w:hAnsi="Arial" w:cs="Arial"/>
          <w:color w:val="auto"/>
          <w:sz w:val="24"/>
          <w:szCs w:val="24"/>
        </w:rPr>
        <w:t>Pytanie ewaluacyjne:</w:t>
      </w:r>
      <w:r w:rsidRPr="00237760">
        <w:rPr>
          <w:rFonts w:ascii="Arial" w:hAnsi="Arial" w:cs="Arial"/>
          <w:bCs/>
          <w:iCs/>
          <w:color w:val="auto"/>
          <w:sz w:val="24"/>
          <w:szCs w:val="24"/>
        </w:rPr>
        <w:t xml:space="preserve"> </w:t>
      </w:r>
    </w:p>
    <w:p w14:paraId="460043F9" w14:textId="30F701E2" w:rsidR="00ED3D23" w:rsidRPr="00237760" w:rsidRDefault="00ED3D23" w:rsidP="009367B4">
      <w:pPr>
        <w:jc w:val="left"/>
        <w:rPr>
          <w:rFonts w:ascii="Arial" w:hAnsi="Arial" w:cs="Arial"/>
          <w:color w:val="auto"/>
          <w:sz w:val="24"/>
          <w:szCs w:val="24"/>
        </w:rPr>
      </w:pPr>
      <w:r w:rsidRPr="00237760">
        <w:rPr>
          <w:rFonts w:ascii="Arial" w:hAnsi="Arial" w:cs="Arial"/>
          <w:b/>
          <w:i/>
          <w:color w:val="auto"/>
          <w:sz w:val="24"/>
          <w:szCs w:val="24"/>
        </w:rPr>
        <w:t>Czy wskazane ewentualne czynniki ryzyka, mogące wystąpić podczas realizacji Programu są trafnie sprecyzowane?</w:t>
      </w:r>
    </w:p>
    <w:p w14:paraId="133C7EE7" w14:textId="77777777" w:rsidR="00ED3D23" w:rsidRPr="00237760" w:rsidRDefault="00ED3D23" w:rsidP="009367B4">
      <w:pPr>
        <w:jc w:val="left"/>
        <w:rPr>
          <w:rFonts w:ascii="Arial" w:hAnsi="Arial" w:cs="Arial"/>
          <w:color w:val="auto"/>
          <w:sz w:val="24"/>
          <w:szCs w:val="24"/>
        </w:rPr>
      </w:pPr>
      <w:r w:rsidRPr="00237760">
        <w:rPr>
          <w:rFonts w:ascii="Arial" w:hAnsi="Arial" w:cs="Arial"/>
          <w:color w:val="auto"/>
          <w:sz w:val="24"/>
          <w:szCs w:val="24"/>
        </w:rPr>
        <w:t>Syntetyczna odpowiedź:</w:t>
      </w:r>
    </w:p>
    <w:p w14:paraId="12DD166C" w14:textId="6589A22A" w:rsidR="00ED3D23" w:rsidRPr="00237760" w:rsidRDefault="005232A5" w:rsidP="009367B4">
      <w:pPr>
        <w:jc w:val="left"/>
        <w:rPr>
          <w:rFonts w:ascii="Arial" w:hAnsi="Arial" w:cs="Arial"/>
          <w:b/>
          <w:i/>
          <w:color w:val="auto"/>
          <w:sz w:val="24"/>
          <w:szCs w:val="24"/>
        </w:rPr>
      </w:pPr>
      <w:bookmarkStart w:id="84" w:name="_Hlk101335695"/>
      <w:r w:rsidRPr="00237760">
        <w:rPr>
          <w:rFonts w:ascii="Arial" w:hAnsi="Arial" w:cs="Arial"/>
          <w:b/>
          <w:i/>
          <w:color w:val="auto"/>
          <w:sz w:val="24"/>
          <w:szCs w:val="24"/>
        </w:rPr>
        <w:t xml:space="preserve">Tak, czynniki ryzyka są trafnie sprecyzowane. W większości odnoszą się do realizacji celów, a poziom </w:t>
      </w:r>
      <w:r w:rsidR="00FC3ADB" w:rsidRPr="00237760">
        <w:rPr>
          <w:rFonts w:ascii="Arial" w:hAnsi="Arial" w:cs="Arial"/>
          <w:b/>
          <w:i/>
          <w:color w:val="auto"/>
          <w:sz w:val="24"/>
          <w:szCs w:val="24"/>
        </w:rPr>
        <w:t>szczegółowości</w:t>
      </w:r>
      <w:r w:rsidRPr="00237760">
        <w:rPr>
          <w:rFonts w:ascii="Arial" w:hAnsi="Arial" w:cs="Arial"/>
          <w:b/>
          <w:i/>
          <w:color w:val="auto"/>
          <w:sz w:val="24"/>
          <w:szCs w:val="24"/>
        </w:rPr>
        <w:t xml:space="preserve"> pozwala na określenie działań zapobiegawczych. Punktem, który wymaga poprawy dla </w:t>
      </w:r>
      <w:r w:rsidR="004A2806" w:rsidRPr="00237760">
        <w:rPr>
          <w:rFonts w:ascii="Arial" w:hAnsi="Arial" w:cs="Arial"/>
          <w:b/>
          <w:i/>
          <w:color w:val="auto"/>
          <w:sz w:val="24"/>
          <w:szCs w:val="24"/>
        </w:rPr>
        <w:t>części</w:t>
      </w:r>
      <w:r w:rsidRPr="00237760">
        <w:rPr>
          <w:rFonts w:ascii="Arial" w:hAnsi="Arial" w:cs="Arial"/>
          <w:b/>
          <w:i/>
          <w:color w:val="auto"/>
          <w:sz w:val="24"/>
          <w:szCs w:val="24"/>
        </w:rPr>
        <w:t xml:space="preserve"> czynników jest określenie przyczyny i skutku danego ryzyka, ponieważ bez tego są mniej zrozumiałe. Zaleca się doprecyzowanie opisu poszczególnych czynników ryzyka.</w:t>
      </w:r>
    </w:p>
    <w:bookmarkEnd w:id="84"/>
    <w:p w14:paraId="33791B99" w14:textId="77777777" w:rsidR="00ED3D23" w:rsidRPr="00237760" w:rsidRDefault="00ED3D23" w:rsidP="009367B4">
      <w:pPr>
        <w:pStyle w:val="Nagwek4"/>
        <w:shd w:val="clear" w:color="auto" w:fill="auto"/>
        <w:rPr>
          <w:rFonts w:ascii="Arial" w:hAnsi="Arial" w:cs="Arial"/>
          <w:color w:val="auto"/>
        </w:rPr>
      </w:pPr>
      <w:r w:rsidRPr="00237760">
        <w:rPr>
          <w:rFonts w:ascii="Arial" w:hAnsi="Arial" w:cs="Arial"/>
          <w:color w:val="auto"/>
        </w:rPr>
        <w:t xml:space="preserve"> </w:t>
      </w:r>
      <w:bookmarkStart w:id="85" w:name="_Toc101904116"/>
      <w:r w:rsidRPr="00237760">
        <w:rPr>
          <w:rFonts w:ascii="Arial" w:hAnsi="Arial" w:cs="Arial"/>
          <w:color w:val="auto"/>
        </w:rPr>
        <w:t>Analiza</w:t>
      </w:r>
      <w:bookmarkEnd w:id="85"/>
    </w:p>
    <w:p w14:paraId="3570E32E" w14:textId="7B8ED20F" w:rsidR="004945A7" w:rsidRPr="00237760" w:rsidRDefault="004945A7"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 xml:space="preserve">Według </w:t>
      </w:r>
      <w:r w:rsidR="003D1FEE" w:rsidRPr="00237760">
        <w:rPr>
          <w:rFonts w:ascii="Arial" w:hAnsi="Arial" w:cs="Arial"/>
          <w:color w:val="auto"/>
          <w:sz w:val="24"/>
          <w:szCs w:val="24"/>
          <w:lang w:eastAsia="pl-PL"/>
        </w:rPr>
        <w:t>dobrych</w:t>
      </w:r>
      <w:r w:rsidRPr="00237760">
        <w:rPr>
          <w:rFonts w:ascii="Arial" w:hAnsi="Arial" w:cs="Arial"/>
          <w:color w:val="auto"/>
          <w:sz w:val="24"/>
          <w:szCs w:val="24"/>
          <w:lang w:eastAsia="pl-PL"/>
        </w:rPr>
        <w:t xml:space="preserve"> praktyk identyfikacja ryzyka powinna obejmować: zidentyfikowanie ryzyka ogólnego; wyznaczenie czynników ryzyka odnoszących się do celów (najlepiej do więcej niż jednego); unikanie opisywania oddziaływania ryzyka zamiast samego ryzyka; unikanie opisywania odwrotności celów; określenie przyczyny czynnika i jego potencjalny skutek; określenie ryzyka na poziomie pozwalającym konkretne działanie zapobiegawcze; określenie „właściciela” ryzyka, czyli podmiotu odpowiedzialnego za kontrolę nad określonym czynnikiem (</w:t>
      </w:r>
      <w:r w:rsidRPr="00237760">
        <w:rPr>
          <w:rFonts w:ascii="Arial" w:hAnsi="Arial" w:cs="Arial"/>
          <w:i/>
          <w:color w:val="auto"/>
          <w:sz w:val="24"/>
          <w:szCs w:val="24"/>
          <w:lang w:eastAsia="pl-PL"/>
        </w:rPr>
        <w:t>Pomarańczowa księga</w:t>
      </w:r>
      <w:r w:rsidR="003D1FEE" w:rsidRPr="00237760">
        <w:rPr>
          <w:rFonts w:ascii="Arial" w:hAnsi="Arial" w:cs="Arial"/>
          <w:i/>
          <w:iCs/>
          <w:color w:val="auto"/>
          <w:sz w:val="24"/>
          <w:szCs w:val="24"/>
          <w:lang w:eastAsia="pl-PL"/>
        </w:rPr>
        <w:t>…</w:t>
      </w:r>
      <w:r w:rsidR="003D1FEE" w:rsidRPr="00237760">
        <w:rPr>
          <w:rFonts w:ascii="Arial" w:hAnsi="Arial" w:cs="Arial"/>
          <w:color w:val="auto"/>
          <w:sz w:val="24"/>
          <w:szCs w:val="24"/>
          <w:lang w:eastAsia="pl-PL"/>
        </w:rPr>
        <w:t>,</w:t>
      </w:r>
      <w:r w:rsidRPr="00237760">
        <w:rPr>
          <w:rFonts w:ascii="Arial" w:hAnsi="Arial" w:cs="Arial"/>
          <w:color w:val="auto"/>
          <w:sz w:val="24"/>
          <w:szCs w:val="24"/>
          <w:lang w:eastAsia="pl-PL"/>
        </w:rPr>
        <w:t xml:space="preserve"> 2004).</w:t>
      </w:r>
    </w:p>
    <w:p w14:paraId="46C82105" w14:textId="4AF43868" w:rsidR="004945A7" w:rsidRPr="00237760" w:rsidRDefault="004945A7"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 xml:space="preserve">W Programie wyszczególniono 20 czynników ryzyka, w podziale na 5 kategorii. Czynniki zostały poddane analizie </w:t>
      </w:r>
      <w:r w:rsidR="002E2F4F" w:rsidRPr="00237760">
        <w:rPr>
          <w:rFonts w:ascii="Arial" w:hAnsi="Arial" w:cs="Arial"/>
          <w:color w:val="auto"/>
          <w:sz w:val="24"/>
          <w:szCs w:val="24"/>
          <w:lang w:eastAsia="pl-PL"/>
        </w:rPr>
        <w:t>według</w:t>
      </w:r>
      <w:r w:rsidR="00E66DCF" w:rsidRPr="00237760">
        <w:rPr>
          <w:rFonts w:ascii="Arial" w:hAnsi="Arial" w:cs="Arial"/>
          <w:color w:val="auto"/>
          <w:sz w:val="24"/>
          <w:szCs w:val="24"/>
          <w:lang w:eastAsia="pl-PL"/>
        </w:rPr>
        <w:t xml:space="preserve"> wyżej określonych zasad</w:t>
      </w:r>
      <w:r w:rsidRPr="00237760">
        <w:rPr>
          <w:rFonts w:ascii="Arial" w:hAnsi="Arial" w:cs="Arial"/>
          <w:color w:val="auto"/>
          <w:sz w:val="24"/>
          <w:szCs w:val="24"/>
          <w:lang w:eastAsia="pl-PL"/>
        </w:rPr>
        <w:t xml:space="preserve">, </w:t>
      </w:r>
      <w:r w:rsidR="00C0239E" w:rsidRPr="00237760">
        <w:rPr>
          <w:rFonts w:ascii="Arial" w:hAnsi="Arial" w:cs="Arial"/>
          <w:color w:val="auto"/>
          <w:sz w:val="24"/>
          <w:szCs w:val="24"/>
          <w:lang w:eastAsia="pl-PL"/>
        </w:rPr>
        <w:t>sprawdzając czy dany czynnik ryzyka</w:t>
      </w:r>
      <w:r w:rsidRPr="00237760">
        <w:rPr>
          <w:rFonts w:ascii="Arial" w:hAnsi="Arial" w:cs="Arial"/>
          <w:color w:val="auto"/>
          <w:sz w:val="24"/>
          <w:szCs w:val="24"/>
          <w:lang w:eastAsia="pl-PL"/>
        </w:rPr>
        <w:t>:</w:t>
      </w:r>
    </w:p>
    <w:p w14:paraId="06A79755" w14:textId="4BB80E67" w:rsidR="004945A7" w:rsidRPr="00237760" w:rsidRDefault="00904ED1" w:rsidP="009367B4">
      <w:pPr>
        <w:pStyle w:val="Akapitzlist"/>
        <w:numPr>
          <w:ilvl w:val="0"/>
          <w:numId w:val="57"/>
        </w:numPr>
        <w:contextualSpacing/>
        <w:jc w:val="left"/>
        <w:rPr>
          <w:rFonts w:ascii="Arial" w:hAnsi="Arial" w:cs="Arial"/>
          <w:color w:val="auto"/>
          <w:sz w:val="24"/>
          <w:szCs w:val="24"/>
        </w:rPr>
      </w:pPr>
      <w:r w:rsidRPr="00237760">
        <w:rPr>
          <w:rFonts w:ascii="Arial" w:hAnsi="Arial" w:cs="Arial"/>
          <w:color w:val="auto"/>
          <w:sz w:val="24"/>
          <w:szCs w:val="24"/>
        </w:rPr>
        <w:t>o</w:t>
      </w:r>
      <w:r w:rsidR="004945A7" w:rsidRPr="00237760">
        <w:rPr>
          <w:rFonts w:ascii="Arial" w:hAnsi="Arial" w:cs="Arial"/>
          <w:color w:val="auto"/>
          <w:sz w:val="24"/>
          <w:szCs w:val="24"/>
        </w:rPr>
        <w:t>ddziałuje przynajmniej na jeden cel</w:t>
      </w:r>
      <w:r w:rsidRPr="00237760">
        <w:rPr>
          <w:rFonts w:ascii="Arial" w:hAnsi="Arial" w:cs="Arial"/>
          <w:color w:val="auto"/>
          <w:sz w:val="24"/>
          <w:szCs w:val="24"/>
        </w:rPr>
        <w:t>;</w:t>
      </w:r>
    </w:p>
    <w:p w14:paraId="66655B8A" w14:textId="5DA09C21" w:rsidR="004945A7" w:rsidRPr="00237760" w:rsidRDefault="00904ED1" w:rsidP="009367B4">
      <w:pPr>
        <w:pStyle w:val="Akapitzlist"/>
        <w:numPr>
          <w:ilvl w:val="0"/>
          <w:numId w:val="57"/>
        </w:numPr>
        <w:contextualSpacing/>
        <w:jc w:val="left"/>
        <w:rPr>
          <w:rFonts w:ascii="Arial" w:hAnsi="Arial" w:cs="Arial"/>
          <w:color w:val="auto"/>
          <w:sz w:val="24"/>
          <w:szCs w:val="24"/>
        </w:rPr>
      </w:pPr>
      <w:r w:rsidRPr="00237760">
        <w:rPr>
          <w:rFonts w:ascii="Arial" w:hAnsi="Arial" w:cs="Arial"/>
          <w:color w:val="auto"/>
          <w:sz w:val="24"/>
          <w:szCs w:val="24"/>
        </w:rPr>
        <w:t>n</w:t>
      </w:r>
      <w:r w:rsidR="004945A7" w:rsidRPr="00237760">
        <w:rPr>
          <w:rFonts w:ascii="Arial" w:hAnsi="Arial" w:cs="Arial"/>
          <w:color w:val="auto"/>
          <w:sz w:val="24"/>
          <w:szCs w:val="24"/>
        </w:rPr>
        <w:t>ie jest odwrotnością celu</w:t>
      </w:r>
      <w:r w:rsidRPr="00237760">
        <w:rPr>
          <w:rFonts w:ascii="Arial" w:hAnsi="Arial" w:cs="Arial"/>
          <w:color w:val="auto"/>
          <w:sz w:val="24"/>
          <w:szCs w:val="24"/>
        </w:rPr>
        <w:t>;</w:t>
      </w:r>
    </w:p>
    <w:p w14:paraId="597597CB" w14:textId="146E3F34" w:rsidR="004945A7" w:rsidRPr="00237760" w:rsidRDefault="00904ED1" w:rsidP="009367B4">
      <w:pPr>
        <w:pStyle w:val="Akapitzlist"/>
        <w:numPr>
          <w:ilvl w:val="0"/>
          <w:numId w:val="57"/>
        </w:numPr>
        <w:contextualSpacing/>
        <w:jc w:val="left"/>
        <w:rPr>
          <w:rFonts w:ascii="Arial" w:hAnsi="Arial" w:cs="Arial"/>
          <w:color w:val="auto"/>
          <w:sz w:val="24"/>
          <w:szCs w:val="24"/>
        </w:rPr>
      </w:pPr>
      <w:r w:rsidRPr="00237760">
        <w:rPr>
          <w:rFonts w:ascii="Arial" w:hAnsi="Arial" w:cs="Arial"/>
          <w:color w:val="auto"/>
          <w:sz w:val="24"/>
          <w:szCs w:val="24"/>
        </w:rPr>
        <w:t>n</w:t>
      </w:r>
      <w:r w:rsidR="004945A7" w:rsidRPr="00237760">
        <w:rPr>
          <w:rFonts w:ascii="Arial" w:hAnsi="Arial" w:cs="Arial"/>
          <w:color w:val="auto"/>
          <w:sz w:val="24"/>
          <w:szCs w:val="24"/>
        </w:rPr>
        <w:t>ie jest opisem oddziaływania ryzyka</w:t>
      </w:r>
      <w:r w:rsidRPr="00237760">
        <w:rPr>
          <w:rFonts w:ascii="Arial" w:hAnsi="Arial" w:cs="Arial"/>
          <w:color w:val="auto"/>
          <w:sz w:val="24"/>
          <w:szCs w:val="24"/>
        </w:rPr>
        <w:t>;</w:t>
      </w:r>
    </w:p>
    <w:p w14:paraId="0F4D3EB6" w14:textId="2FF6EEF0" w:rsidR="004945A7" w:rsidRPr="00237760" w:rsidRDefault="00904ED1" w:rsidP="009367B4">
      <w:pPr>
        <w:pStyle w:val="Akapitzlist"/>
        <w:numPr>
          <w:ilvl w:val="0"/>
          <w:numId w:val="57"/>
        </w:numPr>
        <w:contextualSpacing/>
        <w:jc w:val="left"/>
        <w:rPr>
          <w:rFonts w:ascii="Arial" w:hAnsi="Arial" w:cs="Arial"/>
          <w:color w:val="auto"/>
          <w:sz w:val="24"/>
          <w:szCs w:val="24"/>
        </w:rPr>
      </w:pPr>
      <w:r w:rsidRPr="00237760">
        <w:rPr>
          <w:rFonts w:ascii="Arial" w:hAnsi="Arial" w:cs="Arial"/>
          <w:color w:val="auto"/>
          <w:sz w:val="24"/>
          <w:szCs w:val="24"/>
        </w:rPr>
        <w:t>o</w:t>
      </w:r>
      <w:r w:rsidR="004945A7" w:rsidRPr="00237760">
        <w:rPr>
          <w:rFonts w:ascii="Arial" w:hAnsi="Arial" w:cs="Arial"/>
          <w:color w:val="auto"/>
          <w:sz w:val="24"/>
          <w:szCs w:val="24"/>
        </w:rPr>
        <w:t>pisuje przyczynę i skutek ryzyka</w:t>
      </w:r>
      <w:r w:rsidRPr="00237760">
        <w:rPr>
          <w:rFonts w:ascii="Arial" w:hAnsi="Arial" w:cs="Arial"/>
          <w:color w:val="auto"/>
          <w:sz w:val="24"/>
          <w:szCs w:val="24"/>
        </w:rPr>
        <w:t>;</w:t>
      </w:r>
    </w:p>
    <w:p w14:paraId="216B782D" w14:textId="7B6DF046" w:rsidR="004945A7" w:rsidRPr="00237760" w:rsidRDefault="004945A7" w:rsidP="009367B4">
      <w:pPr>
        <w:pStyle w:val="Akapitzlist"/>
        <w:numPr>
          <w:ilvl w:val="0"/>
          <w:numId w:val="57"/>
        </w:numPr>
        <w:contextualSpacing/>
        <w:jc w:val="left"/>
        <w:rPr>
          <w:rFonts w:ascii="Arial" w:hAnsi="Arial" w:cs="Arial"/>
          <w:color w:val="auto"/>
          <w:sz w:val="24"/>
          <w:szCs w:val="24"/>
        </w:rPr>
      </w:pPr>
      <w:r w:rsidRPr="00237760">
        <w:rPr>
          <w:rFonts w:ascii="Arial" w:hAnsi="Arial" w:cs="Arial"/>
          <w:color w:val="auto"/>
          <w:sz w:val="24"/>
          <w:szCs w:val="24"/>
        </w:rPr>
        <w:t>pozwala na określenie działań zapobiegawczych</w:t>
      </w:r>
      <w:r w:rsidR="00CB3369" w:rsidRPr="00237760">
        <w:rPr>
          <w:rFonts w:ascii="Arial" w:hAnsi="Arial" w:cs="Arial"/>
          <w:color w:val="auto"/>
          <w:sz w:val="24"/>
          <w:szCs w:val="24"/>
        </w:rPr>
        <w:t xml:space="preserve"> (</w:t>
      </w:r>
      <w:r w:rsidR="00CB3369" w:rsidRPr="00237760">
        <w:rPr>
          <w:rFonts w:ascii="Arial" w:hAnsi="Arial" w:cs="Arial"/>
          <w:color w:val="auto"/>
          <w:sz w:val="24"/>
          <w:szCs w:val="24"/>
        </w:rPr>
        <w:fldChar w:fldCharType="begin"/>
      </w:r>
      <w:r w:rsidR="00CB3369" w:rsidRPr="00237760">
        <w:rPr>
          <w:rFonts w:ascii="Arial" w:hAnsi="Arial" w:cs="Arial"/>
          <w:color w:val="auto"/>
          <w:sz w:val="24"/>
          <w:szCs w:val="24"/>
        </w:rPr>
        <w:instrText xml:space="preserve"> REF _Ref100394969 \h </w:instrText>
      </w:r>
      <w:r w:rsidR="00237760" w:rsidRPr="00237760">
        <w:rPr>
          <w:rFonts w:ascii="Arial" w:hAnsi="Arial" w:cs="Arial"/>
          <w:color w:val="auto"/>
          <w:sz w:val="24"/>
          <w:szCs w:val="24"/>
        </w:rPr>
        <w:instrText xml:space="preserve"> \* MERGEFORMAT </w:instrText>
      </w:r>
      <w:r w:rsidR="00CB3369" w:rsidRPr="00237760">
        <w:rPr>
          <w:rFonts w:ascii="Arial" w:hAnsi="Arial" w:cs="Arial"/>
          <w:color w:val="auto"/>
          <w:sz w:val="24"/>
          <w:szCs w:val="24"/>
        </w:rPr>
      </w:r>
      <w:r w:rsidR="00CB3369" w:rsidRPr="00237760">
        <w:rPr>
          <w:rFonts w:ascii="Arial" w:hAnsi="Arial" w:cs="Arial"/>
          <w:color w:val="auto"/>
          <w:sz w:val="24"/>
          <w:szCs w:val="24"/>
        </w:rPr>
        <w:fldChar w:fldCharType="separate"/>
      </w:r>
      <w:r w:rsidR="00E52C19" w:rsidRPr="00237760">
        <w:rPr>
          <w:rFonts w:ascii="Arial" w:hAnsi="Arial" w:cs="Arial"/>
          <w:color w:val="auto"/>
          <w:sz w:val="24"/>
          <w:szCs w:val="24"/>
        </w:rPr>
        <w:t xml:space="preserve">Tabela </w:t>
      </w:r>
      <w:r w:rsidR="00E52C19" w:rsidRPr="00237760">
        <w:rPr>
          <w:rFonts w:ascii="Arial" w:hAnsi="Arial" w:cs="Arial"/>
          <w:noProof/>
          <w:color w:val="auto"/>
          <w:sz w:val="24"/>
          <w:szCs w:val="24"/>
        </w:rPr>
        <w:t>11</w:t>
      </w:r>
      <w:r w:rsidR="00CB3369" w:rsidRPr="00237760">
        <w:rPr>
          <w:rFonts w:ascii="Arial" w:hAnsi="Arial" w:cs="Arial"/>
          <w:color w:val="auto"/>
          <w:sz w:val="24"/>
          <w:szCs w:val="24"/>
        </w:rPr>
        <w:fldChar w:fldCharType="end"/>
      </w:r>
      <w:r w:rsidR="00CB3369" w:rsidRPr="00237760">
        <w:rPr>
          <w:rFonts w:ascii="Arial" w:hAnsi="Arial" w:cs="Arial"/>
          <w:color w:val="auto"/>
          <w:sz w:val="24"/>
          <w:szCs w:val="24"/>
        </w:rPr>
        <w:t>)</w:t>
      </w:r>
      <w:r w:rsidRPr="00237760">
        <w:rPr>
          <w:rFonts w:ascii="Arial" w:hAnsi="Arial" w:cs="Arial"/>
          <w:color w:val="auto"/>
          <w:sz w:val="24"/>
          <w:szCs w:val="24"/>
        </w:rPr>
        <w:t>.</w:t>
      </w:r>
    </w:p>
    <w:p w14:paraId="32EE28B2" w14:textId="12D113C8" w:rsidR="004945A7" w:rsidRPr="00237760" w:rsidRDefault="004945A7"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 xml:space="preserve">Z reguły czynniki ryzyka </w:t>
      </w:r>
      <w:r w:rsidR="00731D52" w:rsidRPr="00237760">
        <w:rPr>
          <w:rFonts w:ascii="Arial" w:hAnsi="Arial" w:cs="Arial"/>
          <w:color w:val="auto"/>
          <w:sz w:val="24"/>
          <w:szCs w:val="24"/>
          <w:lang w:eastAsia="pl-PL"/>
        </w:rPr>
        <w:t xml:space="preserve">określone w PSRT WP </w:t>
      </w:r>
      <w:r w:rsidRPr="00237760">
        <w:rPr>
          <w:rFonts w:ascii="Arial" w:hAnsi="Arial" w:cs="Arial"/>
          <w:color w:val="auto"/>
          <w:sz w:val="24"/>
          <w:szCs w:val="24"/>
          <w:lang w:eastAsia="pl-PL"/>
        </w:rPr>
        <w:t>są trafnie sprecyzowane. W większości odnoszą się do realizacji celów</w:t>
      </w:r>
      <w:r w:rsidR="00F265D4" w:rsidRPr="00237760">
        <w:rPr>
          <w:rFonts w:ascii="Arial" w:hAnsi="Arial" w:cs="Arial"/>
          <w:color w:val="auto"/>
          <w:sz w:val="24"/>
          <w:szCs w:val="24"/>
          <w:lang w:eastAsia="pl-PL"/>
        </w:rPr>
        <w:t xml:space="preserve"> i</w:t>
      </w:r>
      <w:r w:rsidRPr="00237760">
        <w:rPr>
          <w:rFonts w:ascii="Arial" w:hAnsi="Arial" w:cs="Arial"/>
          <w:color w:val="auto"/>
          <w:sz w:val="24"/>
          <w:szCs w:val="24"/>
          <w:lang w:eastAsia="pl-PL"/>
        </w:rPr>
        <w:t xml:space="preserve"> nie są ich odwrotnościami, a poziom </w:t>
      </w:r>
      <w:r w:rsidR="00F265D4" w:rsidRPr="00237760">
        <w:rPr>
          <w:rFonts w:ascii="Arial" w:hAnsi="Arial" w:cs="Arial"/>
          <w:color w:val="auto"/>
          <w:sz w:val="24"/>
          <w:szCs w:val="24"/>
          <w:lang w:eastAsia="pl-PL"/>
        </w:rPr>
        <w:t>szczegółowośc</w:t>
      </w:r>
      <w:r w:rsidRPr="00237760">
        <w:rPr>
          <w:rFonts w:ascii="Arial" w:hAnsi="Arial" w:cs="Arial"/>
          <w:color w:val="auto"/>
          <w:sz w:val="24"/>
          <w:szCs w:val="24"/>
          <w:lang w:eastAsia="pl-PL"/>
        </w:rPr>
        <w:t xml:space="preserve">i pozwala na określenie działań zapobiegawczych. </w:t>
      </w:r>
      <w:bookmarkStart w:id="86" w:name="_Hlk101336634"/>
      <w:r w:rsidRPr="00237760">
        <w:rPr>
          <w:rFonts w:ascii="Arial" w:hAnsi="Arial" w:cs="Arial"/>
          <w:color w:val="auto"/>
          <w:sz w:val="24"/>
          <w:szCs w:val="24"/>
          <w:lang w:eastAsia="pl-PL"/>
        </w:rPr>
        <w:t xml:space="preserve">Punktem, który wymaga poprawy dla </w:t>
      </w:r>
      <w:r w:rsidR="005D58F8" w:rsidRPr="00237760">
        <w:rPr>
          <w:rFonts w:ascii="Arial" w:hAnsi="Arial" w:cs="Arial"/>
          <w:color w:val="auto"/>
          <w:sz w:val="24"/>
          <w:szCs w:val="24"/>
          <w:lang w:eastAsia="pl-PL"/>
        </w:rPr>
        <w:t>części</w:t>
      </w:r>
      <w:r w:rsidRPr="00237760">
        <w:rPr>
          <w:rFonts w:ascii="Arial" w:hAnsi="Arial" w:cs="Arial"/>
          <w:color w:val="auto"/>
          <w:sz w:val="24"/>
          <w:szCs w:val="24"/>
          <w:lang w:eastAsia="pl-PL"/>
        </w:rPr>
        <w:t xml:space="preserve"> czynników, jest określenie przyczyny </w:t>
      </w:r>
      <w:r w:rsidR="00685DA2" w:rsidRPr="00237760">
        <w:rPr>
          <w:rFonts w:ascii="Arial" w:hAnsi="Arial" w:cs="Arial"/>
          <w:color w:val="auto"/>
          <w:sz w:val="24"/>
          <w:szCs w:val="24"/>
          <w:lang w:eastAsia="pl-PL"/>
        </w:rPr>
        <w:br/>
      </w:r>
      <w:r w:rsidRPr="00237760">
        <w:rPr>
          <w:rFonts w:ascii="Arial" w:hAnsi="Arial" w:cs="Arial"/>
          <w:color w:val="auto"/>
          <w:sz w:val="24"/>
          <w:szCs w:val="24"/>
          <w:lang w:eastAsia="pl-PL"/>
        </w:rPr>
        <w:t>i skutku danego ryzyka, ponieważ bez tego są mniej zrozumiałe. Zaleca się doprecyzowanie opisu poszczególnych czynników ryzyka. Szczególną uwagę należy zwrócić na</w:t>
      </w:r>
      <w:r w:rsidR="00B646C3" w:rsidRPr="00237760">
        <w:rPr>
          <w:rFonts w:ascii="Arial" w:hAnsi="Arial" w:cs="Arial"/>
          <w:color w:val="auto"/>
          <w:sz w:val="24"/>
          <w:szCs w:val="24"/>
          <w:lang w:eastAsia="pl-PL"/>
        </w:rPr>
        <w:t xml:space="preserve"> czynniki, dla których w obecnej formie nie jest jednoznaczne</w:t>
      </w:r>
      <w:r w:rsidR="006B7E9C" w:rsidRPr="00237760">
        <w:rPr>
          <w:rFonts w:ascii="Arial" w:hAnsi="Arial" w:cs="Arial"/>
          <w:color w:val="auto"/>
          <w:sz w:val="24"/>
          <w:szCs w:val="24"/>
          <w:lang w:eastAsia="pl-PL"/>
        </w:rPr>
        <w:t>,</w:t>
      </w:r>
      <w:r w:rsidR="00B646C3" w:rsidRPr="00237760">
        <w:rPr>
          <w:rFonts w:ascii="Arial" w:hAnsi="Arial" w:cs="Arial"/>
          <w:color w:val="auto"/>
          <w:sz w:val="24"/>
          <w:szCs w:val="24"/>
          <w:lang w:eastAsia="pl-PL"/>
        </w:rPr>
        <w:t xml:space="preserve"> jak mogą </w:t>
      </w:r>
      <w:r w:rsidR="006B7E9C" w:rsidRPr="00237760">
        <w:rPr>
          <w:rFonts w:ascii="Arial" w:hAnsi="Arial" w:cs="Arial"/>
          <w:color w:val="auto"/>
          <w:sz w:val="24"/>
          <w:szCs w:val="24"/>
          <w:lang w:eastAsia="pl-PL"/>
        </w:rPr>
        <w:t xml:space="preserve">one </w:t>
      </w:r>
      <w:r w:rsidR="00B646C3" w:rsidRPr="00237760">
        <w:rPr>
          <w:rFonts w:ascii="Arial" w:hAnsi="Arial" w:cs="Arial"/>
          <w:color w:val="auto"/>
          <w:sz w:val="24"/>
          <w:szCs w:val="24"/>
          <w:lang w:eastAsia="pl-PL"/>
        </w:rPr>
        <w:t xml:space="preserve">wpłynąć na </w:t>
      </w:r>
      <w:r w:rsidR="00D068CC" w:rsidRPr="00237760">
        <w:rPr>
          <w:rFonts w:ascii="Arial" w:hAnsi="Arial" w:cs="Arial"/>
          <w:color w:val="auto"/>
          <w:sz w:val="24"/>
          <w:szCs w:val="24"/>
          <w:lang w:eastAsia="pl-PL"/>
        </w:rPr>
        <w:t>niezrealizowanie</w:t>
      </w:r>
      <w:r w:rsidR="00B646C3" w:rsidRPr="00237760">
        <w:rPr>
          <w:rFonts w:ascii="Arial" w:hAnsi="Arial" w:cs="Arial"/>
          <w:color w:val="auto"/>
          <w:sz w:val="24"/>
          <w:szCs w:val="24"/>
          <w:lang w:eastAsia="pl-PL"/>
        </w:rPr>
        <w:t xml:space="preserve"> </w:t>
      </w:r>
      <w:r w:rsidR="00D068CC" w:rsidRPr="00237760">
        <w:rPr>
          <w:rFonts w:ascii="Arial" w:hAnsi="Arial" w:cs="Arial"/>
          <w:color w:val="auto"/>
          <w:sz w:val="24"/>
          <w:szCs w:val="24"/>
          <w:lang w:eastAsia="pl-PL"/>
        </w:rPr>
        <w:t>wyznaczonych celów</w:t>
      </w:r>
      <w:r w:rsidRPr="00237760">
        <w:rPr>
          <w:rFonts w:ascii="Arial" w:hAnsi="Arial" w:cs="Arial"/>
          <w:color w:val="auto"/>
          <w:sz w:val="24"/>
          <w:szCs w:val="24"/>
          <w:lang w:eastAsia="pl-PL"/>
        </w:rPr>
        <w:t>:</w:t>
      </w:r>
      <w:bookmarkEnd w:id="86"/>
    </w:p>
    <w:p w14:paraId="759C000A" w14:textId="03A34333" w:rsidR="004945A7" w:rsidRPr="00237760" w:rsidRDefault="0014311C" w:rsidP="009367B4">
      <w:pPr>
        <w:pStyle w:val="Akapitzlist"/>
        <w:numPr>
          <w:ilvl w:val="0"/>
          <w:numId w:val="22"/>
        </w:numPr>
        <w:jc w:val="left"/>
        <w:rPr>
          <w:rFonts w:ascii="Arial" w:hAnsi="Arial" w:cs="Arial"/>
          <w:color w:val="auto"/>
          <w:sz w:val="24"/>
          <w:szCs w:val="24"/>
        </w:rPr>
      </w:pPr>
      <w:r w:rsidRPr="00237760">
        <w:rPr>
          <w:rFonts w:ascii="Arial" w:hAnsi="Arial" w:cs="Arial"/>
          <w:color w:val="auto"/>
          <w:sz w:val="24"/>
          <w:szCs w:val="24"/>
        </w:rPr>
        <w:lastRenderedPageBreak/>
        <w:t>czynnik</w:t>
      </w:r>
      <w:r w:rsidR="008A239F" w:rsidRPr="00237760">
        <w:rPr>
          <w:rFonts w:ascii="Arial" w:hAnsi="Arial" w:cs="Arial"/>
          <w:color w:val="auto"/>
          <w:sz w:val="24"/>
          <w:szCs w:val="24"/>
        </w:rPr>
        <w:t xml:space="preserve"> nr </w:t>
      </w:r>
      <w:r w:rsidR="004945A7" w:rsidRPr="00237760">
        <w:rPr>
          <w:rFonts w:ascii="Arial" w:hAnsi="Arial" w:cs="Arial"/>
          <w:color w:val="auto"/>
          <w:sz w:val="24"/>
          <w:szCs w:val="24"/>
        </w:rPr>
        <w:t>4.</w:t>
      </w:r>
      <w:r w:rsidR="008A239F" w:rsidRPr="00237760">
        <w:rPr>
          <w:rFonts w:ascii="Arial" w:hAnsi="Arial" w:cs="Arial"/>
          <w:color w:val="auto"/>
          <w:sz w:val="24"/>
          <w:szCs w:val="24"/>
        </w:rPr>
        <w:t xml:space="preserve"> </w:t>
      </w:r>
      <w:r w:rsidR="004945A7" w:rsidRPr="00237760">
        <w:rPr>
          <w:rFonts w:ascii="Arial" w:hAnsi="Arial" w:cs="Arial"/>
          <w:color w:val="auto"/>
          <w:sz w:val="24"/>
          <w:szCs w:val="24"/>
        </w:rPr>
        <w:t>Zmiany w polityce fiskalnej państwa (m.in. wysokość podatków, wzrost płacy minimalnej, zmiana stóp procentowych NBP)</w:t>
      </w:r>
      <w:r w:rsidR="008A239F" w:rsidRPr="00237760">
        <w:rPr>
          <w:rFonts w:ascii="Arial" w:hAnsi="Arial" w:cs="Arial"/>
          <w:color w:val="auto"/>
          <w:sz w:val="24"/>
          <w:szCs w:val="24"/>
        </w:rPr>
        <w:t>;</w:t>
      </w:r>
    </w:p>
    <w:p w14:paraId="6EA6AA4D" w14:textId="24DD7002" w:rsidR="004E6FC7" w:rsidRPr="00237760" w:rsidRDefault="008A239F" w:rsidP="009367B4">
      <w:pPr>
        <w:pStyle w:val="Akapitzlist"/>
        <w:numPr>
          <w:ilvl w:val="0"/>
          <w:numId w:val="22"/>
        </w:numPr>
        <w:jc w:val="left"/>
        <w:rPr>
          <w:rFonts w:ascii="Arial" w:hAnsi="Arial" w:cs="Arial"/>
          <w:color w:val="auto"/>
          <w:sz w:val="24"/>
          <w:szCs w:val="24"/>
        </w:rPr>
      </w:pPr>
      <w:r w:rsidRPr="00237760">
        <w:rPr>
          <w:rFonts w:ascii="Arial" w:hAnsi="Arial" w:cs="Arial"/>
          <w:color w:val="auto"/>
          <w:sz w:val="24"/>
          <w:szCs w:val="24"/>
        </w:rPr>
        <w:t xml:space="preserve">czynnik nr </w:t>
      </w:r>
      <w:r w:rsidR="004945A7" w:rsidRPr="00237760">
        <w:rPr>
          <w:rFonts w:ascii="Arial" w:hAnsi="Arial" w:cs="Arial"/>
          <w:color w:val="auto"/>
          <w:sz w:val="24"/>
          <w:szCs w:val="24"/>
        </w:rPr>
        <w:t>1</w:t>
      </w:r>
      <w:r w:rsidR="00E8737B" w:rsidRPr="00237760">
        <w:rPr>
          <w:rFonts w:ascii="Arial" w:hAnsi="Arial" w:cs="Arial"/>
          <w:color w:val="auto"/>
          <w:sz w:val="24"/>
          <w:szCs w:val="24"/>
        </w:rPr>
        <w:t>9</w:t>
      </w:r>
      <w:r w:rsidR="004945A7" w:rsidRPr="00237760">
        <w:rPr>
          <w:rFonts w:ascii="Arial" w:hAnsi="Arial" w:cs="Arial"/>
          <w:color w:val="auto"/>
          <w:sz w:val="24"/>
          <w:szCs w:val="24"/>
        </w:rPr>
        <w:t>.</w:t>
      </w:r>
      <w:r w:rsidRPr="00237760">
        <w:rPr>
          <w:rFonts w:ascii="Arial" w:hAnsi="Arial" w:cs="Arial"/>
          <w:color w:val="auto"/>
          <w:sz w:val="24"/>
          <w:szCs w:val="24"/>
        </w:rPr>
        <w:t xml:space="preserve"> </w:t>
      </w:r>
      <w:r w:rsidR="004945A7" w:rsidRPr="00237760">
        <w:rPr>
          <w:rFonts w:ascii="Arial" w:hAnsi="Arial" w:cs="Arial"/>
          <w:color w:val="auto"/>
          <w:sz w:val="24"/>
          <w:szCs w:val="24"/>
        </w:rPr>
        <w:t xml:space="preserve">Zmiany organizacyjne w </w:t>
      </w:r>
      <w:r w:rsidR="00F65111" w:rsidRPr="00237760">
        <w:rPr>
          <w:rFonts w:ascii="Arial" w:hAnsi="Arial" w:cs="Arial"/>
          <w:color w:val="auto"/>
          <w:sz w:val="24"/>
          <w:szCs w:val="24"/>
        </w:rPr>
        <w:t>JST</w:t>
      </w:r>
      <w:r w:rsidR="004945A7" w:rsidRPr="00237760">
        <w:rPr>
          <w:rFonts w:ascii="Arial" w:hAnsi="Arial" w:cs="Arial"/>
          <w:color w:val="auto"/>
          <w:sz w:val="24"/>
          <w:szCs w:val="24"/>
        </w:rPr>
        <w:t xml:space="preserve"> wynikające z procesów wyborczych</w:t>
      </w:r>
      <w:r w:rsidRPr="00237760">
        <w:rPr>
          <w:rFonts w:ascii="Arial" w:hAnsi="Arial" w:cs="Arial"/>
          <w:color w:val="auto"/>
          <w:sz w:val="24"/>
          <w:szCs w:val="24"/>
        </w:rPr>
        <w:t>;</w:t>
      </w:r>
    </w:p>
    <w:p w14:paraId="482485F0" w14:textId="131D7368" w:rsidR="00ED3D23" w:rsidRPr="00237760" w:rsidRDefault="008A239F" w:rsidP="009367B4">
      <w:pPr>
        <w:pStyle w:val="Akapitzlist"/>
        <w:numPr>
          <w:ilvl w:val="0"/>
          <w:numId w:val="22"/>
        </w:numPr>
        <w:jc w:val="left"/>
        <w:rPr>
          <w:rFonts w:ascii="Arial" w:hAnsi="Arial" w:cs="Arial"/>
          <w:color w:val="auto"/>
          <w:sz w:val="24"/>
          <w:szCs w:val="24"/>
        </w:rPr>
      </w:pPr>
      <w:r w:rsidRPr="00237760">
        <w:rPr>
          <w:rFonts w:ascii="Arial" w:hAnsi="Arial" w:cs="Arial"/>
          <w:color w:val="auto"/>
          <w:sz w:val="24"/>
          <w:szCs w:val="24"/>
        </w:rPr>
        <w:t xml:space="preserve">czynnik nr </w:t>
      </w:r>
      <w:r w:rsidR="004945A7" w:rsidRPr="00237760">
        <w:rPr>
          <w:rFonts w:ascii="Arial" w:hAnsi="Arial" w:cs="Arial"/>
          <w:color w:val="auto"/>
          <w:sz w:val="24"/>
          <w:szCs w:val="24"/>
        </w:rPr>
        <w:t>2</w:t>
      </w:r>
      <w:r w:rsidR="00E8737B" w:rsidRPr="00237760">
        <w:rPr>
          <w:rFonts w:ascii="Arial" w:hAnsi="Arial" w:cs="Arial"/>
          <w:color w:val="auto"/>
          <w:sz w:val="24"/>
          <w:szCs w:val="24"/>
        </w:rPr>
        <w:t>1</w:t>
      </w:r>
      <w:r w:rsidR="004945A7" w:rsidRPr="00237760">
        <w:rPr>
          <w:rFonts w:ascii="Arial" w:hAnsi="Arial" w:cs="Arial"/>
          <w:color w:val="auto"/>
          <w:sz w:val="24"/>
          <w:szCs w:val="24"/>
        </w:rPr>
        <w:t>.</w:t>
      </w:r>
      <w:r w:rsidRPr="00237760">
        <w:rPr>
          <w:rFonts w:ascii="Arial" w:hAnsi="Arial" w:cs="Arial"/>
          <w:color w:val="auto"/>
          <w:sz w:val="24"/>
          <w:szCs w:val="24"/>
        </w:rPr>
        <w:t xml:space="preserve"> </w:t>
      </w:r>
      <w:r w:rsidR="004945A7" w:rsidRPr="00237760">
        <w:rPr>
          <w:rFonts w:ascii="Arial" w:hAnsi="Arial" w:cs="Arial"/>
          <w:color w:val="auto"/>
          <w:sz w:val="24"/>
          <w:szCs w:val="24"/>
        </w:rPr>
        <w:t>Niewystarczająca znajomość tematyki Programu wśród mieszkańców i brak zaangażowania</w:t>
      </w:r>
      <w:r w:rsidRPr="00237760">
        <w:rPr>
          <w:rFonts w:ascii="Arial" w:hAnsi="Arial" w:cs="Arial"/>
          <w:color w:val="auto"/>
          <w:sz w:val="24"/>
          <w:szCs w:val="24"/>
        </w:rPr>
        <w:t>.</w:t>
      </w:r>
    </w:p>
    <w:p w14:paraId="04654080" w14:textId="6781C2AC" w:rsidR="00F478A0" w:rsidRPr="00237760" w:rsidRDefault="009979F7" w:rsidP="009367B4">
      <w:pPr>
        <w:jc w:val="left"/>
        <w:rPr>
          <w:rFonts w:ascii="Arial" w:hAnsi="Arial" w:cs="Arial"/>
          <w:color w:val="auto"/>
          <w:sz w:val="24"/>
          <w:szCs w:val="24"/>
        </w:rPr>
      </w:pPr>
      <w:bookmarkStart w:id="87" w:name="_Hlk101336602"/>
      <w:bookmarkStart w:id="88" w:name="_Hlk101336836"/>
      <w:r w:rsidRPr="00237760">
        <w:rPr>
          <w:rFonts w:ascii="Arial" w:hAnsi="Arial" w:cs="Arial"/>
          <w:color w:val="auto"/>
          <w:sz w:val="24"/>
          <w:szCs w:val="24"/>
        </w:rPr>
        <w:t>Powyższe czynniki należy doprecyzować</w:t>
      </w:r>
      <w:r w:rsidR="00EF41F5" w:rsidRPr="00237760">
        <w:rPr>
          <w:rFonts w:ascii="Arial" w:hAnsi="Arial" w:cs="Arial"/>
          <w:color w:val="auto"/>
          <w:sz w:val="24"/>
          <w:szCs w:val="24"/>
        </w:rPr>
        <w:t xml:space="preserve">, tak aby </w:t>
      </w:r>
      <w:r w:rsidR="00D9076A" w:rsidRPr="00237760">
        <w:rPr>
          <w:rFonts w:ascii="Arial" w:hAnsi="Arial" w:cs="Arial"/>
          <w:color w:val="auto"/>
          <w:sz w:val="24"/>
          <w:szCs w:val="24"/>
        </w:rPr>
        <w:t xml:space="preserve">ułatwiały zaplanowanie przeciwdziałania negatywnym konsekwencjom. Przykładowe brzmienie </w:t>
      </w:r>
      <w:r w:rsidR="00CD1A40" w:rsidRPr="00237760">
        <w:rPr>
          <w:rFonts w:ascii="Arial" w:hAnsi="Arial" w:cs="Arial"/>
          <w:color w:val="auto"/>
          <w:sz w:val="24"/>
          <w:szCs w:val="24"/>
        </w:rPr>
        <w:t>poprawionych</w:t>
      </w:r>
      <w:r w:rsidR="00F752A3" w:rsidRPr="00237760">
        <w:rPr>
          <w:rFonts w:ascii="Arial" w:hAnsi="Arial" w:cs="Arial"/>
          <w:color w:val="auto"/>
          <w:sz w:val="24"/>
          <w:szCs w:val="24"/>
        </w:rPr>
        <w:t xml:space="preserve"> czynników to:</w:t>
      </w:r>
    </w:p>
    <w:p w14:paraId="1DAC8DCB" w14:textId="5369DEAF" w:rsidR="00F752A3" w:rsidRPr="00237760" w:rsidRDefault="00F752A3" w:rsidP="009367B4">
      <w:pPr>
        <w:pStyle w:val="Akapitzlist"/>
        <w:numPr>
          <w:ilvl w:val="0"/>
          <w:numId w:val="23"/>
        </w:numPr>
        <w:jc w:val="left"/>
        <w:rPr>
          <w:rFonts w:ascii="Arial" w:hAnsi="Arial" w:cs="Arial"/>
          <w:color w:val="auto"/>
          <w:sz w:val="24"/>
          <w:szCs w:val="24"/>
        </w:rPr>
      </w:pPr>
      <w:r w:rsidRPr="00237760">
        <w:rPr>
          <w:rFonts w:ascii="Arial" w:hAnsi="Arial" w:cs="Arial"/>
          <w:color w:val="auto"/>
          <w:sz w:val="24"/>
          <w:szCs w:val="24"/>
        </w:rPr>
        <w:t xml:space="preserve">czynnik nr 4. Zmiany w polityce fiskalnej państwa (m.in. wysokość podatków, wzrost płacy minimalnej, zmiana stóp procentowych NBP), </w:t>
      </w:r>
      <w:r w:rsidRPr="00237760">
        <w:rPr>
          <w:rFonts w:ascii="Arial" w:hAnsi="Arial" w:cs="Arial"/>
          <w:i/>
          <w:iCs/>
          <w:color w:val="auto"/>
          <w:sz w:val="24"/>
          <w:szCs w:val="24"/>
        </w:rPr>
        <w:t>wpływające na koszty realizacji inwestycji.</w:t>
      </w:r>
    </w:p>
    <w:p w14:paraId="7FC8675B" w14:textId="6E918444" w:rsidR="00F752A3" w:rsidRPr="00237760" w:rsidRDefault="00F752A3" w:rsidP="009367B4">
      <w:pPr>
        <w:pStyle w:val="Akapitzlist"/>
        <w:numPr>
          <w:ilvl w:val="0"/>
          <w:numId w:val="23"/>
        </w:numPr>
        <w:jc w:val="left"/>
        <w:rPr>
          <w:rFonts w:ascii="Arial" w:hAnsi="Arial" w:cs="Arial"/>
          <w:color w:val="auto"/>
          <w:sz w:val="24"/>
          <w:szCs w:val="24"/>
        </w:rPr>
      </w:pPr>
      <w:r w:rsidRPr="00237760">
        <w:rPr>
          <w:rFonts w:ascii="Arial" w:hAnsi="Arial" w:cs="Arial"/>
          <w:color w:val="auto"/>
          <w:sz w:val="24"/>
          <w:szCs w:val="24"/>
        </w:rPr>
        <w:t>czynnik nr 1</w:t>
      </w:r>
      <w:r w:rsidR="00E8737B" w:rsidRPr="00237760">
        <w:rPr>
          <w:rFonts w:ascii="Arial" w:hAnsi="Arial" w:cs="Arial"/>
          <w:color w:val="auto"/>
          <w:sz w:val="24"/>
          <w:szCs w:val="24"/>
        </w:rPr>
        <w:t>9</w:t>
      </w:r>
      <w:r w:rsidRPr="00237760">
        <w:rPr>
          <w:rFonts w:ascii="Arial" w:hAnsi="Arial" w:cs="Arial"/>
          <w:color w:val="auto"/>
          <w:sz w:val="24"/>
          <w:szCs w:val="24"/>
        </w:rPr>
        <w:t xml:space="preserve">. Zmiany organizacyjne w </w:t>
      </w:r>
      <w:r w:rsidR="00F65111" w:rsidRPr="00237760">
        <w:rPr>
          <w:rFonts w:ascii="Arial" w:hAnsi="Arial" w:cs="Arial"/>
          <w:color w:val="auto"/>
          <w:sz w:val="24"/>
          <w:szCs w:val="24"/>
        </w:rPr>
        <w:t>JST</w:t>
      </w:r>
      <w:r w:rsidRPr="00237760">
        <w:rPr>
          <w:rFonts w:ascii="Arial" w:hAnsi="Arial" w:cs="Arial"/>
          <w:color w:val="auto"/>
          <w:sz w:val="24"/>
          <w:szCs w:val="24"/>
        </w:rPr>
        <w:t xml:space="preserve"> wynikające z procesów wyborczych</w:t>
      </w:r>
      <w:r w:rsidR="00CD1A40" w:rsidRPr="00237760">
        <w:rPr>
          <w:rFonts w:ascii="Arial" w:hAnsi="Arial" w:cs="Arial"/>
          <w:color w:val="auto"/>
          <w:sz w:val="24"/>
          <w:szCs w:val="24"/>
        </w:rPr>
        <w:t xml:space="preserve">, </w:t>
      </w:r>
      <w:r w:rsidR="00CD1A40" w:rsidRPr="00237760">
        <w:rPr>
          <w:rFonts w:ascii="Arial" w:hAnsi="Arial" w:cs="Arial"/>
          <w:i/>
          <w:iCs/>
          <w:color w:val="auto"/>
          <w:sz w:val="24"/>
          <w:szCs w:val="24"/>
        </w:rPr>
        <w:t>które utrudnią proces ko</w:t>
      </w:r>
      <w:r w:rsidR="00585AD3" w:rsidRPr="00237760">
        <w:rPr>
          <w:rFonts w:ascii="Arial" w:hAnsi="Arial" w:cs="Arial"/>
          <w:i/>
          <w:iCs/>
          <w:color w:val="auto"/>
          <w:sz w:val="24"/>
          <w:szCs w:val="24"/>
        </w:rPr>
        <w:t>munikacji z samorządami, realizacj</w:t>
      </w:r>
      <w:r w:rsidR="007002DD" w:rsidRPr="00237760">
        <w:rPr>
          <w:rFonts w:ascii="Arial" w:hAnsi="Arial" w:cs="Arial"/>
          <w:i/>
          <w:iCs/>
          <w:color w:val="auto"/>
          <w:sz w:val="24"/>
          <w:szCs w:val="24"/>
        </w:rPr>
        <w:t>ę</w:t>
      </w:r>
      <w:r w:rsidR="00585AD3" w:rsidRPr="00237760">
        <w:rPr>
          <w:rFonts w:ascii="Arial" w:hAnsi="Arial" w:cs="Arial"/>
          <w:i/>
          <w:iCs/>
          <w:color w:val="auto"/>
          <w:sz w:val="24"/>
          <w:szCs w:val="24"/>
        </w:rPr>
        <w:t xml:space="preserve"> inwestycji i wpłyną na brak akceptacji przyjętych w Programie założeń.</w:t>
      </w:r>
    </w:p>
    <w:p w14:paraId="4631FA41" w14:textId="79F0A111" w:rsidR="00F752A3" w:rsidRPr="00237760" w:rsidRDefault="00F752A3" w:rsidP="009367B4">
      <w:pPr>
        <w:pStyle w:val="Akapitzlist"/>
        <w:numPr>
          <w:ilvl w:val="0"/>
          <w:numId w:val="23"/>
        </w:numPr>
        <w:jc w:val="left"/>
        <w:rPr>
          <w:rFonts w:ascii="Arial" w:hAnsi="Arial" w:cs="Arial"/>
          <w:color w:val="auto"/>
          <w:sz w:val="24"/>
          <w:szCs w:val="24"/>
        </w:rPr>
      </w:pPr>
      <w:r w:rsidRPr="00237760">
        <w:rPr>
          <w:rFonts w:ascii="Arial" w:hAnsi="Arial" w:cs="Arial"/>
          <w:color w:val="auto"/>
          <w:sz w:val="24"/>
          <w:szCs w:val="24"/>
        </w:rPr>
        <w:t>czynnik nr 2</w:t>
      </w:r>
      <w:r w:rsidR="00E8737B" w:rsidRPr="00237760">
        <w:rPr>
          <w:rFonts w:ascii="Arial" w:hAnsi="Arial" w:cs="Arial"/>
          <w:color w:val="auto"/>
          <w:sz w:val="24"/>
          <w:szCs w:val="24"/>
        </w:rPr>
        <w:t>1</w:t>
      </w:r>
      <w:r w:rsidRPr="00237760">
        <w:rPr>
          <w:rFonts w:ascii="Arial" w:hAnsi="Arial" w:cs="Arial"/>
          <w:color w:val="auto"/>
          <w:sz w:val="24"/>
          <w:szCs w:val="24"/>
        </w:rPr>
        <w:t>. Niewystarczająca znajomość tematyki Programu wśród mieszkańców i brak zaangażowania</w:t>
      </w:r>
      <w:r w:rsidR="001062FB" w:rsidRPr="00237760">
        <w:rPr>
          <w:rFonts w:ascii="Arial" w:hAnsi="Arial" w:cs="Arial"/>
          <w:color w:val="auto"/>
          <w:sz w:val="24"/>
          <w:szCs w:val="24"/>
        </w:rPr>
        <w:t xml:space="preserve">, </w:t>
      </w:r>
      <w:r w:rsidR="001062FB" w:rsidRPr="00237760">
        <w:rPr>
          <w:rFonts w:ascii="Arial" w:hAnsi="Arial" w:cs="Arial"/>
          <w:i/>
          <w:iCs/>
          <w:color w:val="auto"/>
          <w:sz w:val="24"/>
          <w:szCs w:val="24"/>
        </w:rPr>
        <w:t xml:space="preserve">skutkujące brakiem społecznej akceptacji dla realizowanych działań </w:t>
      </w:r>
      <w:r w:rsidR="00685DA2" w:rsidRPr="00237760">
        <w:rPr>
          <w:rFonts w:ascii="Arial" w:hAnsi="Arial" w:cs="Arial"/>
          <w:i/>
          <w:iCs/>
          <w:color w:val="auto"/>
          <w:sz w:val="24"/>
          <w:szCs w:val="24"/>
        </w:rPr>
        <w:br/>
      </w:r>
      <w:r w:rsidR="001062FB" w:rsidRPr="00237760">
        <w:rPr>
          <w:rFonts w:ascii="Arial" w:hAnsi="Arial" w:cs="Arial"/>
          <w:i/>
          <w:iCs/>
          <w:color w:val="auto"/>
          <w:sz w:val="24"/>
          <w:szCs w:val="24"/>
        </w:rPr>
        <w:t xml:space="preserve">i </w:t>
      </w:r>
      <w:r w:rsidR="006D6485" w:rsidRPr="00237760">
        <w:rPr>
          <w:rFonts w:ascii="Arial" w:hAnsi="Arial" w:cs="Arial"/>
          <w:i/>
          <w:iCs/>
          <w:color w:val="auto"/>
          <w:sz w:val="24"/>
          <w:szCs w:val="24"/>
        </w:rPr>
        <w:t>utrudnieniem</w:t>
      </w:r>
      <w:r w:rsidR="001062FB" w:rsidRPr="00237760">
        <w:rPr>
          <w:rFonts w:ascii="Arial" w:hAnsi="Arial" w:cs="Arial"/>
          <w:i/>
          <w:iCs/>
          <w:color w:val="auto"/>
          <w:sz w:val="24"/>
          <w:szCs w:val="24"/>
        </w:rPr>
        <w:t xml:space="preserve"> zmiany </w:t>
      </w:r>
      <w:r w:rsidR="0024493E" w:rsidRPr="00237760">
        <w:rPr>
          <w:rFonts w:ascii="Arial" w:hAnsi="Arial" w:cs="Arial"/>
          <w:i/>
          <w:iCs/>
          <w:color w:val="auto"/>
          <w:sz w:val="24"/>
          <w:szCs w:val="24"/>
        </w:rPr>
        <w:t xml:space="preserve">podziału modalnego na korzyść </w:t>
      </w:r>
      <w:r w:rsidR="007A4FDE" w:rsidRPr="00237760">
        <w:rPr>
          <w:rFonts w:ascii="Arial" w:hAnsi="Arial" w:cs="Arial"/>
          <w:i/>
          <w:iCs/>
          <w:color w:val="auto"/>
          <w:sz w:val="24"/>
          <w:szCs w:val="24"/>
        </w:rPr>
        <w:t>transportu</w:t>
      </w:r>
      <w:r w:rsidR="0024493E" w:rsidRPr="00237760">
        <w:rPr>
          <w:rFonts w:ascii="Arial" w:hAnsi="Arial" w:cs="Arial"/>
          <w:i/>
          <w:iCs/>
          <w:color w:val="auto"/>
          <w:sz w:val="24"/>
          <w:szCs w:val="24"/>
        </w:rPr>
        <w:t xml:space="preserve"> zbiorowe</w:t>
      </w:r>
      <w:r w:rsidR="007A4FDE" w:rsidRPr="00237760">
        <w:rPr>
          <w:rFonts w:ascii="Arial" w:hAnsi="Arial" w:cs="Arial"/>
          <w:i/>
          <w:iCs/>
          <w:color w:val="auto"/>
          <w:sz w:val="24"/>
          <w:szCs w:val="24"/>
        </w:rPr>
        <w:t>go</w:t>
      </w:r>
      <w:r w:rsidR="0024493E" w:rsidRPr="00237760">
        <w:rPr>
          <w:rFonts w:ascii="Arial" w:hAnsi="Arial" w:cs="Arial"/>
          <w:i/>
          <w:iCs/>
          <w:color w:val="auto"/>
          <w:sz w:val="24"/>
          <w:szCs w:val="24"/>
        </w:rPr>
        <w:t xml:space="preserve"> i ekologiczne</w:t>
      </w:r>
      <w:r w:rsidR="007A4FDE" w:rsidRPr="00237760">
        <w:rPr>
          <w:rFonts w:ascii="Arial" w:hAnsi="Arial" w:cs="Arial"/>
          <w:i/>
          <w:iCs/>
          <w:color w:val="auto"/>
          <w:sz w:val="24"/>
          <w:szCs w:val="24"/>
        </w:rPr>
        <w:t>go</w:t>
      </w:r>
      <w:r w:rsidR="0024493E" w:rsidRPr="00237760">
        <w:rPr>
          <w:rFonts w:ascii="Arial" w:hAnsi="Arial" w:cs="Arial"/>
          <w:i/>
          <w:iCs/>
          <w:color w:val="auto"/>
          <w:sz w:val="24"/>
          <w:szCs w:val="24"/>
        </w:rPr>
        <w:t>.</w:t>
      </w:r>
    </w:p>
    <w:p w14:paraId="511F99FD" w14:textId="1E2A6E5F" w:rsidR="00F752A3" w:rsidRPr="00237760" w:rsidRDefault="00F27B4E" w:rsidP="009367B4">
      <w:pPr>
        <w:jc w:val="left"/>
        <w:rPr>
          <w:rFonts w:ascii="Arial" w:hAnsi="Arial" w:cs="Arial"/>
          <w:color w:val="auto"/>
          <w:sz w:val="24"/>
          <w:szCs w:val="24"/>
        </w:rPr>
      </w:pPr>
      <w:bookmarkStart w:id="89" w:name="_Hlk101336737"/>
      <w:bookmarkEnd w:id="87"/>
      <w:r w:rsidRPr="00237760">
        <w:rPr>
          <w:rFonts w:ascii="Arial" w:hAnsi="Arial" w:cs="Arial"/>
          <w:color w:val="auto"/>
          <w:sz w:val="24"/>
          <w:szCs w:val="24"/>
        </w:rPr>
        <w:t>Pozostałe czynniki ryzyka są zrozumiałe i trafnie dobrane. S</w:t>
      </w:r>
      <w:r w:rsidR="00AC34F3" w:rsidRPr="00237760">
        <w:rPr>
          <w:rFonts w:ascii="Arial" w:hAnsi="Arial" w:cs="Arial"/>
          <w:color w:val="auto"/>
          <w:sz w:val="24"/>
          <w:szCs w:val="24"/>
        </w:rPr>
        <w:t xml:space="preserve">ugeruje się </w:t>
      </w:r>
      <w:r w:rsidRPr="00237760">
        <w:rPr>
          <w:rFonts w:ascii="Arial" w:hAnsi="Arial" w:cs="Arial"/>
          <w:color w:val="auto"/>
          <w:sz w:val="24"/>
          <w:szCs w:val="24"/>
        </w:rPr>
        <w:t xml:space="preserve">jednak </w:t>
      </w:r>
      <w:r w:rsidR="00AC34F3" w:rsidRPr="00237760">
        <w:rPr>
          <w:rFonts w:ascii="Arial" w:hAnsi="Arial" w:cs="Arial"/>
          <w:color w:val="auto"/>
          <w:sz w:val="24"/>
          <w:szCs w:val="24"/>
        </w:rPr>
        <w:t xml:space="preserve">uzupełnienie zapisu czynników nr 1, 2, </w:t>
      </w:r>
      <w:r w:rsidR="00D361DA" w:rsidRPr="00237760">
        <w:rPr>
          <w:rFonts w:ascii="Arial" w:hAnsi="Arial" w:cs="Arial"/>
          <w:color w:val="auto"/>
          <w:sz w:val="24"/>
          <w:szCs w:val="24"/>
        </w:rPr>
        <w:t xml:space="preserve">6, </w:t>
      </w:r>
      <w:r w:rsidR="00330A6B" w:rsidRPr="00237760">
        <w:rPr>
          <w:rFonts w:ascii="Arial" w:hAnsi="Arial" w:cs="Arial"/>
          <w:color w:val="auto"/>
          <w:sz w:val="24"/>
          <w:szCs w:val="24"/>
        </w:rPr>
        <w:t>7, 9</w:t>
      </w:r>
      <w:r w:rsidR="00D361DA" w:rsidRPr="00237760">
        <w:rPr>
          <w:rFonts w:ascii="Arial" w:hAnsi="Arial" w:cs="Arial"/>
          <w:color w:val="auto"/>
          <w:sz w:val="24"/>
          <w:szCs w:val="24"/>
        </w:rPr>
        <w:t>, 1</w:t>
      </w:r>
      <w:r w:rsidR="00330A6B" w:rsidRPr="00237760">
        <w:rPr>
          <w:rFonts w:ascii="Arial" w:hAnsi="Arial" w:cs="Arial"/>
          <w:color w:val="auto"/>
          <w:sz w:val="24"/>
          <w:szCs w:val="24"/>
        </w:rPr>
        <w:t>1</w:t>
      </w:r>
      <w:r w:rsidR="00D361DA" w:rsidRPr="00237760">
        <w:rPr>
          <w:rFonts w:ascii="Arial" w:hAnsi="Arial" w:cs="Arial"/>
          <w:color w:val="auto"/>
          <w:sz w:val="24"/>
          <w:szCs w:val="24"/>
        </w:rPr>
        <w:t>, 1</w:t>
      </w:r>
      <w:r w:rsidR="00330A6B" w:rsidRPr="00237760">
        <w:rPr>
          <w:rFonts w:ascii="Arial" w:hAnsi="Arial" w:cs="Arial"/>
          <w:color w:val="auto"/>
          <w:sz w:val="24"/>
          <w:szCs w:val="24"/>
        </w:rPr>
        <w:t>4</w:t>
      </w:r>
      <w:r w:rsidR="00D361DA" w:rsidRPr="00237760">
        <w:rPr>
          <w:rFonts w:ascii="Arial" w:hAnsi="Arial" w:cs="Arial"/>
          <w:color w:val="auto"/>
          <w:sz w:val="24"/>
          <w:szCs w:val="24"/>
        </w:rPr>
        <w:t>, 1</w:t>
      </w:r>
      <w:r w:rsidR="00330A6B" w:rsidRPr="00237760">
        <w:rPr>
          <w:rFonts w:ascii="Arial" w:hAnsi="Arial" w:cs="Arial"/>
          <w:color w:val="auto"/>
          <w:sz w:val="24"/>
          <w:szCs w:val="24"/>
        </w:rPr>
        <w:t>5</w:t>
      </w:r>
      <w:r w:rsidR="00D361DA" w:rsidRPr="00237760">
        <w:rPr>
          <w:rFonts w:ascii="Arial" w:hAnsi="Arial" w:cs="Arial"/>
          <w:color w:val="auto"/>
          <w:sz w:val="24"/>
          <w:szCs w:val="24"/>
        </w:rPr>
        <w:t xml:space="preserve"> i 1</w:t>
      </w:r>
      <w:r w:rsidR="00330A6B" w:rsidRPr="00237760">
        <w:rPr>
          <w:rFonts w:ascii="Arial" w:hAnsi="Arial" w:cs="Arial"/>
          <w:color w:val="auto"/>
          <w:sz w:val="24"/>
          <w:szCs w:val="24"/>
        </w:rPr>
        <w:t>7</w:t>
      </w:r>
      <w:r w:rsidR="00D551DF" w:rsidRPr="00237760">
        <w:rPr>
          <w:rFonts w:ascii="Arial" w:hAnsi="Arial" w:cs="Arial"/>
          <w:color w:val="auto"/>
          <w:sz w:val="24"/>
          <w:szCs w:val="24"/>
        </w:rPr>
        <w:t>, przykładowo</w:t>
      </w:r>
      <w:r w:rsidR="00D361DA" w:rsidRPr="00237760">
        <w:rPr>
          <w:rFonts w:ascii="Arial" w:hAnsi="Arial" w:cs="Arial"/>
          <w:color w:val="auto"/>
          <w:sz w:val="24"/>
          <w:szCs w:val="24"/>
        </w:rPr>
        <w:t xml:space="preserve"> w następujący sposób:</w:t>
      </w:r>
    </w:p>
    <w:p w14:paraId="081D657B" w14:textId="1F5FF8F9" w:rsidR="00D361DA" w:rsidRPr="00237760" w:rsidRDefault="00D361DA" w:rsidP="009367B4">
      <w:pPr>
        <w:pStyle w:val="Akapitzlist"/>
        <w:numPr>
          <w:ilvl w:val="0"/>
          <w:numId w:val="24"/>
        </w:numPr>
        <w:jc w:val="left"/>
        <w:rPr>
          <w:rFonts w:ascii="Arial" w:hAnsi="Arial" w:cs="Arial"/>
          <w:color w:val="auto"/>
          <w:sz w:val="24"/>
          <w:szCs w:val="24"/>
        </w:rPr>
      </w:pPr>
      <w:r w:rsidRPr="00237760">
        <w:rPr>
          <w:rFonts w:ascii="Arial" w:hAnsi="Arial" w:cs="Arial"/>
          <w:color w:val="auto"/>
          <w:sz w:val="24"/>
          <w:szCs w:val="24"/>
        </w:rPr>
        <w:t>czynnik nr 1.</w:t>
      </w:r>
      <w:r w:rsidR="00743368" w:rsidRPr="00237760">
        <w:rPr>
          <w:rFonts w:ascii="Arial" w:hAnsi="Arial" w:cs="Arial"/>
          <w:color w:val="auto"/>
          <w:sz w:val="24"/>
          <w:szCs w:val="24"/>
        </w:rPr>
        <w:t xml:space="preserve"> Wprowadzenie przez Komisję Unii Europejskiej mechanizmu warunkowości wypłat funduszy</w:t>
      </w:r>
      <w:r w:rsidR="00BA59E7" w:rsidRPr="00237760">
        <w:rPr>
          <w:rFonts w:ascii="Arial" w:hAnsi="Arial" w:cs="Arial"/>
          <w:color w:val="auto"/>
          <w:sz w:val="24"/>
          <w:szCs w:val="24"/>
        </w:rPr>
        <w:t xml:space="preserve">, </w:t>
      </w:r>
      <w:r w:rsidR="00BA59E7" w:rsidRPr="00237760">
        <w:rPr>
          <w:rFonts w:ascii="Arial" w:hAnsi="Arial" w:cs="Arial"/>
          <w:i/>
          <w:iCs/>
          <w:color w:val="auto"/>
          <w:sz w:val="24"/>
          <w:szCs w:val="24"/>
        </w:rPr>
        <w:t>skutkującego niedostępnością</w:t>
      </w:r>
      <w:r w:rsidR="006318D5" w:rsidRPr="00237760">
        <w:rPr>
          <w:rFonts w:ascii="Arial" w:hAnsi="Arial" w:cs="Arial"/>
          <w:i/>
          <w:iCs/>
          <w:color w:val="auto"/>
          <w:sz w:val="24"/>
          <w:szCs w:val="24"/>
        </w:rPr>
        <w:t xml:space="preserve"> / mniejszą dostępnością</w:t>
      </w:r>
      <w:r w:rsidR="00BA59E7" w:rsidRPr="00237760">
        <w:rPr>
          <w:rFonts w:ascii="Arial" w:hAnsi="Arial" w:cs="Arial"/>
          <w:i/>
          <w:iCs/>
          <w:color w:val="auto"/>
          <w:sz w:val="24"/>
          <w:szCs w:val="24"/>
        </w:rPr>
        <w:t xml:space="preserve"> środków unijnych</w:t>
      </w:r>
      <w:r w:rsidR="00EE4DAB" w:rsidRPr="00237760">
        <w:rPr>
          <w:rFonts w:ascii="Arial" w:hAnsi="Arial" w:cs="Arial"/>
          <w:i/>
          <w:iCs/>
          <w:color w:val="auto"/>
          <w:sz w:val="24"/>
          <w:szCs w:val="24"/>
        </w:rPr>
        <w:t xml:space="preserve"> </w:t>
      </w:r>
      <w:r w:rsidR="00685DA2" w:rsidRPr="00237760">
        <w:rPr>
          <w:rFonts w:ascii="Arial" w:hAnsi="Arial" w:cs="Arial"/>
          <w:i/>
          <w:iCs/>
          <w:color w:val="auto"/>
          <w:sz w:val="24"/>
          <w:szCs w:val="24"/>
        </w:rPr>
        <w:br/>
      </w:r>
      <w:r w:rsidR="00EE4DAB" w:rsidRPr="00237760">
        <w:rPr>
          <w:rFonts w:ascii="Arial" w:hAnsi="Arial" w:cs="Arial"/>
          <w:i/>
          <w:iCs/>
          <w:color w:val="auto"/>
          <w:sz w:val="24"/>
          <w:szCs w:val="24"/>
        </w:rPr>
        <w:t>i brakiem finansowania dla poszczególnych inwestycji i działań</w:t>
      </w:r>
      <w:r w:rsidR="006318D5" w:rsidRPr="00237760">
        <w:rPr>
          <w:rFonts w:ascii="Arial" w:hAnsi="Arial" w:cs="Arial"/>
          <w:i/>
          <w:iCs/>
          <w:color w:val="auto"/>
          <w:sz w:val="24"/>
          <w:szCs w:val="24"/>
        </w:rPr>
        <w:t>.</w:t>
      </w:r>
    </w:p>
    <w:p w14:paraId="084B696E" w14:textId="3FDF1C3C" w:rsidR="006318D5" w:rsidRPr="00237760" w:rsidRDefault="00741BDA" w:rsidP="009367B4">
      <w:pPr>
        <w:pStyle w:val="Akapitzlist"/>
        <w:numPr>
          <w:ilvl w:val="0"/>
          <w:numId w:val="24"/>
        </w:numPr>
        <w:jc w:val="left"/>
        <w:rPr>
          <w:rFonts w:ascii="Arial" w:hAnsi="Arial" w:cs="Arial"/>
          <w:color w:val="auto"/>
          <w:sz w:val="24"/>
          <w:szCs w:val="24"/>
        </w:rPr>
      </w:pPr>
      <w:r w:rsidRPr="00237760">
        <w:rPr>
          <w:rFonts w:ascii="Arial" w:hAnsi="Arial" w:cs="Arial"/>
          <w:color w:val="auto"/>
          <w:sz w:val="24"/>
          <w:szCs w:val="24"/>
        </w:rPr>
        <w:t xml:space="preserve">czynnik nr 2. </w:t>
      </w:r>
      <w:r w:rsidR="006318D5" w:rsidRPr="00237760">
        <w:rPr>
          <w:rFonts w:ascii="Arial" w:hAnsi="Arial" w:cs="Arial"/>
          <w:color w:val="auto"/>
          <w:sz w:val="24"/>
          <w:szCs w:val="24"/>
        </w:rPr>
        <w:t>Wprowadzenie przez UE zmian w polityce ekologicznej (Europejski zielony ład, pakiet „Gotowi na 55”)</w:t>
      </w:r>
      <w:r w:rsidR="00AC10AD" w:rsidRPr="00237760">
        <w:rPr>
          <w:rFonts w:ascii="Arial" w:hAnsi="Arial" w:cs="Arial"/>
          <w:color w:val="auto"/>
          <w:sz w:val="24"/>
          <w:szCs w:val="24"/>
        </w:rPr>
        <w:t xml:space="preserve">, </w:t>
      </w:r>
      <w:r w:rsidR="00AC10AD" w:rsidRPr="00237760">
        <w:rPr>
          <w:rFonts w:ascii="Arial" w:hAnsi="Arial" w:cs="Arial"/>
          <w:i/>
          <w:iCs/>
          <w:color w:val="auto"/>
          <w:sz w:val="24"/>
          <w:szCs w:val="24"/>
        </w:rPr>
        <w:t xml:space="preserve">które zobligują państwa członkowskie do szybszej realizacji celów </w:t>
      </w:r>
      <w:r w:rsidR="00685DA2" w:rsidRPr="00237760">
        <w:rPr>
          <w:rFonts w:ascii="Arial" w:hAnsi="Arial" w:cs="Arial"/>
          <w:i/>
          <w:iCs/>
          <w:color w:val="auto"/>
          <w:sz w:val="24"/>
          <w:szCs w:val="24"/>
        </w:rPr>
        <w:br/>
      </w:r>
      <w:r w:rsidR="00AC10AD" w:rsidRPr="00237760">
        <w:rPr>
          <w:rFonts w:ascii="Arial" w:hAnsi="Arial" w:cs="Arial"/>
          <w:i/>
          <w:iCs/>
          <w:color w:val="auto"/>
          <w:sz w:val="24"/>
          <w:szCs w:val="24"/>
        </w:rPr>
        <w:t>/ większych nakładów na dążenie do neutralności klimatycznej</w:t>
      </w:r>
      <w:r w:rsidR="00AC10AD" w:rsidRPr="00237760">
        <w:rPr>
          <w:rFonts w:ascii="Arial" w:hAnsi="Arial" w:cs="Arial"/>
          <w:color w:val="auto"/>
          <w:sz w:val="24"/>
          <w:szCs w:val="24"/>
        </w:rPr>
        <w:t>.</w:t>
      </w:r>
    </w:p>
    <w:p w14:paraId="42BD2405" w14:textId="6D4AF0FA" w:rsidR="00375D3D" w:rsidRPr="00237760" w:rsidRDefault="00375D3D" w:rsidP="009367B4">
      <w:pPr>
        <w:pStyle w:val="Akapitzlist"/>
        <w:numPr>
          <w:ilvl w:val="0"/>
          <w:numId w:val="24"/>
        </w:numPr>
        <w:jc w:val="left"/>
        <w:rPr>
          <w:rFonts w:ascii="Arial" w:hAnsi="Arial" w:cs="Arial"/>
          <w:color w:val="auto"/>
          <w:sz w:val="24"/>
          <w:szCs w:val="24"/>
        </w:rPr>
      </w:pPr>
      <w:r w:rsidRPr="00237760">
        <w:rPr>
          <w:rFonts w:ascii="Arial" w:hAnsi="Arial" w:cs="Arial"/>
          <w:color w:val="auto"/>
          <w:sz w:val="24"/>
          <w:szCs w:val="24"/>
        </w:rPr>
        <w:t xml:space="preserve">czynnik nr 6. Niestabilna sytuacja geopolityczna na wschodniej granicy Europy (wojna na Ukrainie), </w:t>
      </w:r>
      <w:r w:rsidRPr="00237760">
        <w:rPr>
          <w:rFonts w:ascii="Arial" w:hAnsi="Arial" w:cs="Arial"/>
          <w:i/>
          <w:iCs/>
          <w:color w:val="auto"/>
          <w:sz w:val="24"/>
          <w:szCs w:val="24"/>
        </w:rPr>
        <w:t xml:space="preserve">wpływająca na nasilenie migracji </w:t>
      </w:r>
      <w:r w:rsidR="00330A6B" w:rsidRPr="00237760">
        <w:rPr>
          <w:rFonts w:ascii="Arial" w:hAnsi="Arial" w:cs="Arial"/>
          <w:i/>
          <w:iCs/>
          <w:color w:val="auto"/>
          <w:sz w:val="24"/>
          <w:szCs w:val="24"/>
        </w:rPr>
        <w:t xml:space="preserve">międzynarodowych, krajowych i lokalnych </w:t>
      </w:r>
      <w:r w:rsidR="00685DA2" w:rsidRPr="00237760">
        <w:rPr>
          <w:rFonts w:ascii="Arial" w:hAnsi="Arial" w:cs="Arial"/>
          <w:i/>
          <w:iCs/>
          <w:color w:val="auto"/>
          <w:sz w:val="24"/>
          <w:szCs w:val="24"/>
        </w:rPr>
        <w:br/>
      </w:r>
      <w:r w:rsidR="00330A6B" w:rsidRPr="00237760">
        <w:rPr>
          <w:rFonts w:ascii="Arial" w:hAnsi="Arial" w:cs="Arial"/>
          <w:i/>
          <w:iCs/>
          <w:color w:val="auto"/>
          <w:sz w:val="24"/>
          <w:szCs w:val="24"/>
        </w:rPr>
        <w:t>i obciążenie systemu transportowego.</w:t>
      </w:r>
    </w:p>
    <w:p w14:paraId="712876FF" w14:textId="7D9B564D" w:rsidR="002930B0" w:rsidRPr="00237760" w:rsidRDefault="00741BDA" w:rsidP="009367B4">
      <w:pPr>
        <w:pStyle w:val="Akapitzlist"/>
        <w:numPr>
          <w:ilvl w:val="0"/>
          <w:numId w:val="24"/>
        </w:numPr>
        <w:jc w:val="left"/>
        <w:rPr>
          <w:rFonts w:ascii="Arial" w:hAnsi="Arial" w:cs="Arial"/>
          <w:color w:val="auto"/>
          <w:sz w:val="24"/>
          <w:szCs w:val="24"/>
        </w:rPr>
      </w:pPr>
      <w:r w:rsidRPr="00237760">
        <w:rPr>
          <w:rFonts w:ascii="Arial" w:hAnsi="Arial" w:cs="Arial"/>
          <w:color w:val="auto"/>
          <w:sz w:val="24"/>
          <w:szCs w:val="24"/>
        </w:rPr>
        <w:t xml:space="preserve">czynnik nr </w:t>
      </w:r>
      <w:r w:rsidR="00375D3D" w:rsidRPr="00237760">
        <w:rPr>
          <w:rFonts w:ascii="Arial" w:hAnsi="Arial" w:cs="Arial"/>
          <w:color w:val="auto"/>
          <w:sz w:val="24"/>
          <w:szCs w:val="24"/>
        </w:rPr>
        <w:t>7</w:t>
      </w:r>
      <w:r w:rsidRPr="00237760">
        <w:rPr>
          <w:rFonts w:ascii="Arial" w:hAnsi="Arial" w:cs="Arial"/>
          <w:color w:val="auto"/>
          <w:sz w:val="24"/>
          <w:szCs w:val="24"/>
        </w:rPr>
        <w:t xml:space="preserve">. </w:t>
      </w:r>
      <w:r w:rsidR="002930B0" w:rsidRPr="00237760">
        <w:rPr>
          <w:rFonts w:ascii="Arial" w:hAnsi="Arial" w:cs="Arial"/>
          <w:color w:val="auto"/>
          <w:sz w:val="24"/>
          <w:szCs w:val="24"/>
        </w:rPr>
        <w:t>Brak lub ograniczona dostępność środków unijnych</w:t>
      </w:r>
      <w:r w:rsidR="002930B0" w:rsidRPr="00237760">
        <w:rPr>
          <w:rFonts w:ascii="Arial" w:hAnsi="Arial" w:cs="Arial"/>
          <w:i/>
          <w:iCs/>
          <w:color w:val="auto"/>
          <w:sz w:val="24"/>
          <w:szCs w:val="24"/>
        </w:rPr>
        <w:t>, wynikająca z …, skutkująca</w:t>
      </w:r>
      <w:r w:rsidR="00EE4DAB" w:rsidRPr="00237760">
        <w:rPr>
          <w:rFonts w:ascii="Arial" w:hAnsi="Arial" w:cs="Arial"/>
          <w:i/>
          <w:iCs/>
          <w:color w:val="auto"/>
          <w:sz w:val="24"/>
          <w:szCs w:val="24"/>
        </w:rPr>
        <w:t xml:space="preserve"> brakiem finansowania dla poszczególnych inwestycji i działań.</w:t>
      </w:r>
    </w:p>
    <w:p w14:paraId="07FDE2F4" w14:textId="6F0B9616" w:rsidR="00DD43A5" w:rsidRPr="00237760" w:rsidRDefault="00741BDA" w:rsidP="009367B4">
      <w:pPr>
        <w:pStyle w:val="Akapitzlist"/>
        <w:numPr>
          <w:ilvl w:val="0"/>
          <w:numId w:val="24"/>
        </w:numPr>
        <w:jc w:val="left"/>
        <w:rPr>
          <w:rFonts w:ascii="Arial" w:hAnsi="Arial" w:cs="Arial"/>
          <w:i/>
          <w:iCs/>
          <w:color w:val="auto"/>
          <w:sz w:val="24"/>
          <w:szCs w:val="24"/>
        </w:rPr>
      </w:pPr>
      <w:r w:rsidRPr="00237760">
        <w:rPr>
          <w:rFonts w:ascii="Arial" w:hAnsi="Arial" w:cs="Arial"/>
          <w:i/>
          <w:iCs/>
          <w:color w:val="auto"/>
          <w:sz w:val="24"/>
          <w:szCs w:val="24"/>
        </w:rPr>
        <w:lastRenderedPageBreak/>
        <w:t xml:space="preserve">czynnik nr </w:t>
      </w:r>
      <w:r w:rsidR="00375D3D" w:rsidRPr="00237760">
        <w:rPr>
          <w:rFonts w:ascii="Arial" w:hAnsi="Arial" w:cs="Arial"/>
          <w:i/>
          <w:iCs/>
          <w:color w:val="auto"/>
          <w:sz w:val="24"/>
          <w:szCs w:val="24"/>
        </w:rPr>
        <w:t>9</w:t>
      </w:r>
      <w:r w:rsidRPr="00237760">
        <w:rPr>
          <w:rFonts w:ascii="Arial" w:hAnsi="Arial" w:cs="Arial"/>
          <w:i/>
          <w:iCs/>
          <w:color w:val="auto"/>
          <w:sz w:val="24"/>
          <w:szCs w:val="24"/>
        </w:rPr>
        <w:t xml:space="preserve">. </w:t>
      </w:r>
      <w:r w:rsidR="006035C5" w:rsidRPr="00237760">
        <w:rPr>
          <w:rFonts w:ascii="Arial" w:hAnsi="Arial" w:cs="Arial"/>
          <w:i/>
          <w:iCs/>
          <w:color w:val="auto"/>
          <w:sz w:val="24"/>
          <w:szCs w:val="24"/>
        </w:rPr>
        <w:t xml:space="preserve">Zaniżanie cen w postępowaniach przetargowych, skutkujące trudnością </w:t>
      </w:r>
      <w:r w:rsidR="00685DA2" w:rsidRPr="00237760">
        <w:rPr>
          <w:rFonts w:ascii="Arial" w:hAnsi="Arial" w:cs="Arial"/>
          <w:i/>
          <w:iCs/>
          <w:color w:val="auto"/>
          <w:sz w:val="24"/>
          <w:szCs w:val="24"/>
        </w:rPr>
        <w:br/>
      </w:r>
      <w:r w:rsidR="006035C5" w:rsidRPr="00237760">
        <w:rPr>
          <w:rFonts w:ascii="Arial" w:hAnsi="Arial" w:cs="Arial"/>
          <w:i/>
          <w:iCs/>
          <w:color w:val="auto"/>
          <w:sz w:val="24"/>
          <w:szCs w:val="24"/>
        </w:rPr>
        <w:t>w realizacji inwestycji.</w:t>
      </w:r>
    </w:p>
    <w:p w14:paraId="03FE683E" w14:textId="2A89C028" w:rsidR="006035C5" w:rsidRPr="00237760" w:rsidRDefault="006035C5" w:rsidP="009367B4">
      <w:pPr>
        <w:pStyle w:val="Akapitzlist"/>
        <w:numPr>
          <w:ilvl w:val="0"/>
          <w:numId w:val="25"/>
        </w:numPr>
        <w:jc w:val="left"/>
        <w:rPr>
          <w:rFonts w:ascii="Arial" w:hAnsi="Arial" w:cs="Arial"/>
          <w:color w:val="auto"/>
          <w:sz w:val="24"/>
          <w:szCs w:val="24"/>
        </w:rPr>
      </w:pPr>
      <w:r w:rsidRPr="00237760">
        <w:rPr>
          <w:rFonts w:ascii="Arial" w:hAnsi="Arial" w:cs="Arial"/>
          <w:color w:val="auto"/>
          <w:sz w:val="24"/>
          <w:szCs w:val="24"/>
        </w:rPr>
        <w:t>czynnik nr 1</w:t>
      </w:r>
      <w:r w:rsidR="00375D3D" w:rsidRPr="00237760">
        <w:rPr>
          <w:rFonts w:ascii="Arial" w:hAnsi="Arial" w:cs="Arial"/>
          <w:color w:val="auto"/>
          <w:sz w:val="24"/>
          <w:szCs w:val="24"/>
        </w:rPr>
        <w:t>1</w:t>
      </w:r>
      <w:r w:rsidRPr="00237760">
        <w:rPr>
          <w:rFonts w:ascii="Arial" w:hAnsi="Arial" w:cs="Arial"/>
          <w:color w:val="auto"/>
          <w:sz w:val="24"/>
          <w:szCs w:val="24"/>
        </w:rPr>
        <w:t>. Problem z płynnością finansową Wykonawców</w:t>
      </w:r>
      <w:r w:rsidR="006B7E9C" w:rsidRPr="00237760">
        <w:rPr>
          <w:rFonts w:ascii="Arial" w:hAnsi="Arial" w:cs="Arial"/>
          <w:color w:val="auto"/>
          <w:sz w:val="24"/>
          <w:szCs w:val="24"/>
        </w:rPr>
        <w:t xml:space="preserve"> </w:t>
      </w:r>
      <w:r w:rsidRPr="00237760">
        <w:rPr>
          <w:rFonts w:ascii="Arial" w:hAnsi="Arial" w:cs="Arial"/>
          <w:color w:val="auto"/>
          <w:sz w:val="24"/>
          <w:szCs w:val="24"/>
        </w:rPr>
        <w:t xml:space="preserve">/ podwykonawców związany </w:t>
      </w:r>
      <w:r w:rsidR="00685DA2" w:rsidRPr="00237760">
        <w:rPr>
          <w:rFonts w:ascii="Arial" w:hAnsi="Arial" w:cs="Arial"/>
          <w:color w:val="auto"/>
          <w:sz w:val="24"/>
          <w:szCs w:val="24"/>
        </w:rPr>
        <w:br/>
      </w:r>
      <w:r w:rsidRPr="00237760">
        <w:rPr>
          <w:rFonts w:ascii="Arial" w:hAnsi="Arial" w:cs="Arial"/>
          <w:color w:val="auto"/>
          <w:sz w:val="24"/>
          <w:szCs w:val="24"/>
        </w:rPr>
        <w:t xml:space="preserve">z polityką fiskalną państwa, </w:t>
      </w:r>
      <w:r w:rsidRPr="00237760">
        <w:rPr>
          <w:rFonts w:ascii="Arial" w:hAnsi="Arial" w:cs="Arial"/>
          <w:i/>
          <w:iCs/>
          <w:color w:val="auto"/>
          <w:sz w:val="24"/>
          <w:szCs w:val="24"/>
        </w:rPr>
        <w:t xml:space="preserve">wpływający na </w:t>
      </w:r>
      <w:r w:rsidR="00D551DF" w:rsidRPr="00237760">
        <w:rPr>
          <w:rFonts w:ascii="Arial" w:hAnsi="Arial" w:cs="Arial"/>
          <w:i/>
          <w:iCs/>
          <w:color w:val="auto"/>
          <w:sz w:val="24"/>
          <w:szCs w:val="24"/>
        </w:rPr>
        <w:t>opóźnienia w</w:t>
      </w:r>
      <w:r w:rsidRPr="00237760">
        <w:rPr>
          <w:rFonts w:ascii="Arial" w:hAnsi="Arial" w:cs="Arial"/>
          <w:i/>
          <w:iCs/>
          <w:color w:val="auto"/>
          <w:sz w:val="24"/>
          <w:szCs w:val="24"/>
        </w:rPr>
        <w:t xml:space="preserve"> realizacji działań i inwestycji.</w:t>
      </w:r>
    </w:p>
    <w:p w14:paraId="4A32BACD" w14:textId="37F5DA45" w:rsidR="00320F8B" w:rsidRPr="00237760" w:rsidRDefault="006035C5" w:rsidP="009367B4">
      <w:pPr>
        <w:pStyle w:val="Akapitzlist"/>
        <w:numPr>
          <w:ilvl w:val="0"/>
          <w:numId w:val="25"/>
        </w:numPr>
        <w:jc w:val="left"/>
        <w:rPr>
          <w:rFonts w:ascii="Arial" w:hAnsi="Arial" w:cs="Arial"/>
          <w:color w:val="auto"/>
          <w:sz w:val="24"/>
          <w:szCs w:val="24"/>
        </w:rPr>
      </w:pPr>
      <w:r w:rsidRPr="00237760">
        <w:rPr>
          <w:rFonts w:ascii="Arial" w:hAnsi="Arial" w:cs="Arial"/>
          <w:color w:val="auto"/>
          <w:sz w:val="24"/>
          <w:szCs w:val="24"/>
        </w:rPr>
        <w:t xml:space="preserve">czynnik nr </w:t>
      </w:r>
      <w:r w:rsidR="00320F8B" w:rsidRPr="00237760">
        <w:rPr>
          <w:rFonts w:ascii="Arial" w:hAnsi="Arial" w:cs="Arial"/>
          <w:color w:val="auto"/>
          <w:sz w:val="24"/>
          <w:szCs w:val="24"/>
        </w:rPr>
        <w:t>1</w:t>
      </w:r>
      <w:r w:rsidR="00375D3D" w:rsidRPr="00237760">
        <w:rPr>
          <w:rFonts w:ascii="Arial" w:hAnsi="Arial" w:cs="Arial"/>
          <w:color w:val="auto"/>
          <w:sz w:val="24"/>
          <w:szCs w:val="24"/>
        </w:rPr>
        <w:t>4</w:t>
      </w:r>
      <w:r w:rsidR="00320F8B" w:rsidRPr="00237760">
        <w:rPr>
          <w:rFonts w:ascii="Arial" w:hAnsi="Arial" w:cs="Arial"/>
          <w:color w:val="auto"/>
          <w:sz w:val="24"/>
          <w:szCs w:val="24"/>
        </w:rPr>
        <w:t xml:space="preserve">. </w:t>
      </w:r>
      <w:r w:rsidR="00320F8B" w:rsidRPr="00237760">
        <w:rPr>
          <w:rFonts w:ascii="Arial" w:hAnsi="Arial" w:cs="Arial"/>
          <w:i/>
          <w:iCs/>
          <w:color w:val="auto"/>
          <w:sz w:val="24"/>
          <w:szCs w:val="24"/>
        </w:rPr>
        <w:t>Odkrycia przedmiotów zabytkowych / obiektów archeologicznych na terenie inwestycji, skutkujące opóźnieniem prac.</w:t>
      </w:r>
    </w:p>
    <w:p w14:paraId="23B3601A" w14:textId="78469786" w:rsidR="006035C5" w:rsidRPr="00237760" w:rsidRDefault="00320F8B" w:rsidP="009367B4">
      <w:pPr>
        <w:pStyle w:val="Akapitzlist"/>
        <w:numPr>
          <w:ilvl w:val="0"/>
          <w:numId w:val="25"/>
        </w:numPr>
        <w:jc w:val="left"/>
        <w:rPr>
          <w:rFonts w:ascii="Arial" w:hAnsi="Arial" w:cs="Arial"/>
          <w:color w:val="auto"/>
          <w:sz w:val="24"/>
          <w:szCs w:val="24"/>
        </w:rPr>
      </w:pPr>
      <w:r w:rsidRPr="00237760">
        <w:rPr>
          <w:rFonts w:ascii="Arial" w:hAnsi="Arial" w:cs="Arial"/>
          <w:color w:val="auto"/>
          <w:sz w:val="24"/>
          <w:szCs w:val="24"/>
        </w:rPr>
        <w:t>czynnik nr 1</w:t>
      </w:r>
      <w:r w:rsidR="00375D3D" w:rsidRPr="00237760">
        <w:rPr>
          <w:rFonts w:ascii="Arial" w:hAnsi="Arial" w:cs="Arial"/>
          <w:color w:val="auto"/>
          <w:sz w:val="24"/>
          <w:szCs w:val="24"/>
        </w:rPr>
        <w:t>5</w:t>
      </w:r>
      <w:r w:rsidRPr="00237760">
        <w:rPr>
          <w:rFonts w:ascii="Arial" w:hAnsi="Arial" w:cs="Arial"/>
          <w:color w:val="auto"/>
          <w:sz w:val="24"/>
          <w:szCs w:val="24"/>
        </w:rPr>
        <w:t>. Niedostateczna jakość dokumentacji przetargowej i technicznej oraz opóźnienia w obiegu dokumentacji</w:t>
      </w:r>
      <w:r w:rsidR="008165F9" w:rsidRPr="00237760">
        <w:rPr>
          <w:rFonts w:ascii="Arial" w:hAnsi="Arial" w:cs="Arial"/>
          <w:color w:val="auto"/>
          <w:sz w:val="24"/>
          <w:szCs w:val="24"/>
        </w:rPr>
        <w:t xml:space="preserve">, </w:t>
      </w:r>
      <w:r w:rsidR="008165F9" w:rsidRPr="00237760">
        <w:rPr>
          <w:rFonts w:ascii="Arial" w:hAnsi="Arial" w:cs="Arial"/>
          <w:i/>
          <w:iCs/>
          <w:color w:val="auto"/>
          <w:sz w:val="24"/>
          <w:szCs w:val="24"/>
        </w:rPr>
        <w:t>skutkująca trudnościami w wyborze wykonawcy w ramach przetargów.</w:t>
      </w:r>
    </w:p>
    <w:p w14:paraId="7BAEAF0C" w14:textId="438CF5F9" w:rsidR="006035C5" w:rsidRPr="00237760" w:rsidRDefault="008165F9" w:rsidP="009367B4">
      <w:pPr>
        <w:pStyle w:val="Akapitzlist"/>
        <w:numPr>
          <w:ilvl w:val="0"/>
          <w:numId w:val="25"/>
        </w:numPr>
        <w:jc w:val="left"/>
        <w:rPr>
          <w:rFonts w:ascii="Arial" w:hAnsi="Arial" w:cs="Arial"/>
          <w:color w:val="auto"/>
          <w:sz w:val="24"/>
          <w:szCs w:val="24"/>
        </w:rPr>
      </w:pPr>
      <w:r w:rsidRPr="00237760">
        <w:rPr>
          <w:rFonts w:ascii="Arial" w:hAnsi="Arial" w:cs="Arial"/>
          <w:color w:val="auto"/>
          <w:sz w:val="24"/>
          <w:szCs w:val="24"/>
        </w:rPr>
        <w:t>czynnik nr 1</w:t>
      </w:r>
      <w:r w:rsidR="00375D3D" w:rsidRPr="00237760">
        <w:rPr>
          <w:rFonts w:ascii="Arial" w:hAnsi="Arial" w:cs="Arial"/>
          <w:color w:val="auto"/>
          <w:sz w:val="24"/>
          <w:szCs w:val="24"/>
        </w:rPr>
        <w:t>7</w:t>
      </w:r>
      <w:r w:rsidRPr="00237760">
        <w:rPr>
          <w:rFonts w:ascii="Arial" w:hAnsi="Arial" w:cs="Arial"/>
          <w:color w:val="auto"/>
          <w:sz w:val="24"/>
          <w:szCs w:val="24"/>
        </w:rPr>
        <w:t xml:space="preserve">. Przedłużające się procedury administracyjne (związane m.in. z uzyskiwaniem uzgodnień, pozwoleń itp.), </w:t>
      </w:r>
      <w:r w:rsidRPr="00237760">
        <w:rPr>
          <w:rFonts w:ascii="Arial" w:hAnsi="Arial" w:cs="Arial"/>
          <w:i/>
          <w:iCs/>
          <w:color w:val="auto"/>
          <w:sz w:val="24"/>
          <w:szCs w:val="24"/>
        </w:rPr>
        <w:t>skutkująca opóźnieniem w realizacji inwestycji i działań.</w:t>
      </w:r>
    </w:p>
    <w:p w14:paraId="4D1973E7" w14:textId="69A71A83" w:rsidR="00DB1D63" w:rsidRPr="00237760" w:rsidRDefault="00DB1D63" w:rsidP="009367B4">
      <w:pPr>
        <w:pStyle w:val="Legenda"/>
        <w:keepNext/>
        <w:jc w:val="left"/>
        <w:rPr>
          <w:rFonts w:ascii="Arial" w:hAnsi="Arial" w:cs="Arial"/>
          <w:color w:val="auto"/>
          <w:sz w:val="24"/>
          <w:szCs w:val="24"/>
        </w:rPr>
      </w:pPr>
      <w:bookmarkStart w:id="90" w:name="_Ref100394969"/>
      <w:bookmarkStart w:id="91" w:name="_Toc101904252"/>
      <w:bookmarkEnd w:id="88"/>
      <w:bookmarkEnd w:id="89"/>
      <w:r w:rsidRPr="00237760">
        <w:rPr>
          <w:rFonts w:ascii="Arial" w:hAnsi="Arial" w:cs="Arial"/>
          <w:color w:val="auto"/>
          <w:sz w:val="24"/>
          <w:szCs w:val="24"/>
        </w:rPr>
        <w:t xml:space="preserve">Tabela </w:t>
      </w:r>
      <w:r w:rsidR="004A6A9D" w:rsidRPr="00237760">
        <w:rPr>
          <w:rFonts w:ascii="Arial" w:hAnsi="Arial" w:cs="Arial"/>
          <w:noProof/>
          <w:color w:val="auto"/>
          <w:sz w:val="24"/>
          <w:szCs w:val="24"/>
        </w:rPr>
        <w:fldChar w:fldCharType="begin"/>
      </w:r>
      <w:r w:rsidR="004A6A9D" w:rsidRPr="00237760">
        <w:rPr>
          <w:rFonts w:ascii="Arial" w:hAnsi="Arial" w:cs="Arial"/>
          <w:noProof/>
          <w:color w:val="auto"/>
          <w:sz w:val="24"/>
          <w:szCs w:val="24"/>
        </w:rPr>
        <w:instrText xml:space="preserve"> SEQ Tabela \* ARABIC </w:instrText>
      </w:r>
      <w:r w:rsidR="004A6A9D" w:rsidRPr="00237760">
        <w:rPr>
          <w:rFonts w:ascii="Arial" w:hAnsi="Arial" w:cs="Arial"/>
          <w:noProof/>
          <w:color w:val="auto"/>
          <w:sz w:val="24"/>
          <w:szCs w:val="24"/>
        </w:rPr>
        <w:fldChar w:fldCharType="separate"/>
      </w:r>
      <w:r w:rsidR="00762B20" w:rsidRPr="00237760">
        <w:rPr>
          <w:rFonts w:ascii="Arial" w:hAnsi="Arial" w:cs="Arial"/>
          <w:noProof/>
          <w:color w:val="auto"/>
          <w:sz w:val="24"/>
          <w:szCs w:val="24"/>
        </w:rPr>
        <w:t>11</w:t>
      </w:r>
      <w:r w:rsidR="004A6A9D" w:rsidRPr="00237760">
        <w:rPr>
          <w:rFonts w:ascii="Arial" w:hAnsi="Arial" w:cs="Arial"/>
          <w:noProof/>
          <w:color w:val="auto"/>
          <w:sz w:val="24"/>
          <w:szCs w:val="24"/>
        </w:rPr>
        <w:fldChar w:fldCharType="end"/>
      </w:r>
      <w:bookmarkEnd w:id="90"/>
      <w:r w:rsidR="006B7E9C" w:rsidRPr="00237760">
        <w:rPr>
          <w:rFonts w:ascii="Arial" w:hAnsi="Arial" w:cs="Arial"/>
          <w:noProof/>
          <w:color w:val="auto"/>
          <w:sz w:val="24"/>
          <w:szCs w:val="24"/>
        </w:rPr>
        <w:t>.</w:t>
      </w:r>
      <w:r w:rsidRPr="00237760">
        <w:rPr>
          <w:rFonts w:ascii="Arial" w:hAnsi="Arial" w:cs="Arial"/>
          <w:color w:val="auto"/>
          <w:sz w:val="24"/>
          <w:szCs w:val="24"/>
        </w:rPr>
        <w:t xml:space="preserve"> Ocena trafności określonych czynników ryzyka</w:t>
      </w:r>
      <w:bookmarkEnd w:id="91"/>
    </w:p>
    <w:tbl>
      <w:tblPr>
        <w:tblStyle w:val="Tabela-Siatka"/>
        <w:tblW w:w="9326" w:type="dxa"/>
        <w:tblInd w:w="-5" w:type="dxa"/>
        <w:tblBorders>
          <w:top w:val="none" w:sz="0" w:space="0" w:color="auto"/>
          <w:left w:val="none" w:sz="0" w:space="0" w:color="auto"/>
          <w:bottom w:val="single" w:sz="4" w:space="0" w:color="BDD6EE" w:themeColor="accent1" w:themeTint="66"/>
          <w:right w:val="none" w:sz="0" w:space="0" w:color="auto"/>
          <w:insideH w:val="single" w:sz="4" w:space="0" w:color="BDD6EE" w:themeColor="accent1" w:themeTint="66"/>
        </w:tblBorders>
        <w:tblLayout w:type="fixed"/>
        <w:tblLook w:val="04A0" w:firstRow="1" w:lastRow="0" w:firstColumn="1" w:lastColumn="0" w:noHBand="0" w:noVBand="1"/>
        <w:tblCaption w:val="Tabela 11. Ocena trafności określonych czynników ryzyka"/>
        <w:tblDescription w:val="Tabela zawiera Lp. Czynniki ryzyka, 1.Oddziałuje przynajmniej na jeden cel, 2. Nie jest odwrotnością celu, 3. Nie jest opisem oddziaływania ryzyka, 4. Opisuje przyczynę i skutek ryzyka, 5. Poziom ogólności pozwala na określenie działań zapobiegawczych"/>
      </w:tblPr>
      <w:tblGrid>
        <w:gridCol w:w="714"/>
        <w:gridCol w:w="3969"/>
        <w:gridCol w:w="928"/>
        <w:gridCol w:w="929"/>
        <w:gridCol w:w="928"/>
        <w:gridCol w:w="929"/>
        <w:gridCol w:w="929"/>
      </w:tblGrid>
      <w:tr w:rsidR="00237760" w:rsidRPr="00237760" w14:paraId="6BA200E7" w14:textId="77777777" w:rsidTr="00F077C6">
        <w:trPr>
          <w:cantSplit/>
          <w:trHeight w:val="2220"/>
          <w:tblHeader/>
        </w:trPr>
        <w:tc>
          <w:tcPr>
            <w:tcW w:w="714" w:type="dxa"/>
            <w:tcBorders>
              <w:top w:val="single" w:sz="12" w:space="0" w:color="002060"/>
            </w:tcBorders>
            <w:shd w:val="clear" w:color="auto" w:fill="auto"/>
            <w:vAlign w:val="center"/>
          </w:tcPr>
          <w:p w14:paraId="64803A7C" w14:textId="77777777" w:rsidR="00DB1D63" w:rsidRPr="00237760" w:rsidRDefault="00DB1D63" w:rsidP="009367B4">
            <w:pPr>
              <w:spacing w:after="0" w:line="240" w:lineRule="auto"/>
              <w:jc w:val="left"/>
              <w:rPr>
                <w:rFonts w:ascii="Arial" w:eastAsiaTheme="minorHAnsi" w:hAnsi="Arial" w:cs="Arial"/>
                <w:b/>
                <w:color w:val="auto"/>
                <w:sz w:val="24"/>
                <w:szCs w:val="24"/>
              </w:rPr>
            </w:pPr>
            <w:r w:rsidRPr="00237760">
              <w:rPr>
                <w:rFonts w:ascii="Arial" w:eastAsiaTheme="minorHAnsi" w:hAnsi="Arial" w:cs="Arial"/>
                <w:b/>
                <w:color w:val="auto"/>
                <w:sz w:val="24"/>
                <w:szCs w:val="24"/>
              </w:rPr>
              <w:t>Lp.</w:t>
            </w:r>
          </w:p>
        </w:tc>
        <w:tc>
          <w:tcPr>
            <w:tcW w:w="3969" w:type="dxa"/>
            <w:tcBorders>
              <w:top w:val="single" w:sz="12" w:space="0" w:color="002060"/>
            </w:tcBorders>
            <w:shd w:val="clear" w:color="auto" w:fill="auto"/>
            <w:vAlign w:val="center"/>
          </w:tcPr>
          <w:p w14:paraId="26509186" w14:textId="77777777" w:rsidR="00DB1D63" w:rsidRPr="00237760" w:rsidRDefault="00DB1D63" w:rsidP="009367B4">
            <w:pPr>
              <w:spacing w:after="0" w:line="240" w:lineRule="auto"/>
              <w:jc w:val="left"/>
              <w:rPr>
                <w:rFonts w:ascii="Arial" w:eastAsiaTheme="minorHAnsi" w:hAnsi="Arial" w:cs="Arial"/>
                <w:b/>
                <w:color w:val="auto"/>
                <w:sz w:val="24"/>
                <w:szCs w:val="24"/>
              </w:rPr>
            </w:pPr>
            <w:r w:rsidRPr="00237760">
              <w:rPr>
                <w:rFonts w:ascii="Arial" w:eastAsiaTheme="minorHAnsi" w:hAnsi="Arial" w:cs="Arial"/>
                <w:b/>
                <w:color w:val="auto"/>
                <w:sz w:val="24"/>
                <w:szCs w:val="24"/>
              </w:rPr>
              <w:t>Czynniki ryzyka</w:t>
            </w:r>
          </w:p>
        </w:tc>
        <w:tc>
          <w:tcPr>
            <w:tcW w:w="928" w:type="dxa"/>
            <w:tcBorders>
              <w:top w:val="single" w:sz="12" w:space="0" w:color="002060"/>
            </w:tcBorders>
            <w:shd w:val="clear" w:color="auto" w:fill="auto"/>
            <w:textDirection w:val="btLr"/>
            <w:vAlign w:val="center"/>
          </w:tcPr>
          <w:p w14:paraId="7BEB796C" w14:textId="77777777" w:rsidR="00DB1D63" w:rsidRPr="00237760" w:rsidRDefault="00DB1D63" w:rsidP="009367B4">
            <w:pPr>
              <w:spacing w:after="0" w:line="240" w:lineRule="auto"/>
              <w:ind w:left="113" w:right="113"/>
              <w:jc w:val="left"/>
              <w:rPr>
                <w:rFonts w:ascii="Arial" w:hAnsi="Arial" w:cs="Arial"/>
                <w:b/>
                <w:color w:val="auto"/>
                <w:sz w:val="24"/>
                <w:szCs w:val="24"/>
              </w:rPr>
            </w:pPr>
            <w:r w:rsidRPr="00237760">
              <w:rPr>
                <w:rFonts w:ascii="Arial" w:hAnsi="Arial" w:cs="Arial"/>
                <w:b/>
                <w:color w:val="auto"/>
                <w:sz w:val="24"/>
                <w:szCs w:val="24"/>
              </w:rPr>
              <w:t>1.Oddziałuje przynajmniej na jeden cel</w:t>
            </w:r>
          </w:p>
        </w:tc>
        <w:tc>
          <w:tcPr>
            <w:tcW w:w="929" w:type="dxa"/>
            <w:tcBorders>
              <w:top w:val="single" w:sz="12" w:space="0" w:color="002060"/>
            </w:tcBorders>
            <w:shd w:val="clear" w:color="auto" w:fill="auto"/>
            <w:textDirection w:val="btLr"/>
            <w:vAlign w:val="center"/>
          </w:tcPr>
          <w:p w14:paraId="139E29D6" w14:textId="77777777" w:rsidR="00DB1D63" w:rsidRPr="00237760" w:rsidRDefault="00DB1D63" w:rsidP="009367B4">
            <w:pPr>
              <w:spacing w:after="0" w:line="240" w:lineRule="auto"/>
              <w:ind w:left="113" w:right="113"/>
              <w:jc w:val="left"/>
              <w:rPr>
                <w:rFonts w:ascii="Arial" w:hAnsi="Arial" w:cs="Arial"/>
                <w:b/>
                <w:color w:val="auto"/>
                <w:sz w:val="24"/>
                <w:szCs w:val="24"/>
              </w:rPr>
            </w:pPr>
            <w:r w:rsidRPr="00237760">
              <w:rPr>
                <w:rFonts w:ascii="Arial" w:hAnsi="Arial" w:cs="Arial"/>
                <w:b/>
                <w:color w:val="auto"/>
                <w:sz w:val="24"/>
                <w:szCs w:val="24"/>
              </w:rPr>
              <w:t>2. Nie jest odwrotnością celu</w:t>
            </w:r>
          </w:p>
        </w:tc>
        <w:tc>
          <w:tcPr>
            <w:tcW w:w="928" w:type="dxa"/>
            <w:tcBorders>
              <w:top w:val="single" w:sz="12" w:space="0" w:color="002060"/>
            </w:tcBorders>
            <w:shd w:val="clear" w:color="auto" w:fill="auto"/>
            <w:textDirection w:val="btLr"/>
          </w:tcPr>
          <w:p w14:paraId="35B7A520" w14:textId="77777777" w:rsidR="00DB1D63" w:rsidRPr="00237760" w:rsidRDefault="00DB1D63" w:rsidP="009367B4">
            <w:pPr>
              <w:spacing w:after="0" w:line="240" w:lineRule="auto"/>
              <w:ind w:left="113" w:right="113"/>
              <w:jc w:val="left"/>
              <w:rPr>
                <w:rFonts w:ascii="Arial" w:hAnsi="Arial" w:cs="Arial"/>
                <w:b/>
                <w:color w:val="auto"/>
                <w:sz w:val="24"/>
                <w:szCs w:val="24"/>
              </w:rPr>
            </w:pPr>
            <w:r w:rsidRPr="00237760">
              <w:rPr>
                <w:rFonts w:ascii="Arial" w:hAnsi="Arial" w:cs="Arial"/>
                <w:b/>
                <w:color w:val="auto"/>
                <w:sz w:val="24"/>
                <w:szCs w:val="24"/>
              </w:rPr>
              <w:t>3. Nie jest opisem oddziaływania ryzyka</w:t>
            </w:r>
          </w:p>
        </w:tc>
        <w:tc>
          <w:tcPr>
            <w:tcW w:w="929" w:type="dxa"/>
            <w:tcBorders>
              <w:top w:val="single" w:sz="12" w:space="0" w:color="002060"/>
            </w:tcBorders>
            <w:shd w:val="clear" w:color="auto" w:fill="auto"/>
            <w:textDirection w:val="btLr"/>
          </w:tcPr>
          <w:p w14:paraId="614680CF" w14:textId="77777777" w:rsidR="00DB1D63" w:rsidRPr="00237760" w:rsidRDefault="00DB1D63" w:rsidP="009367B4">
            <w:pPr>
              <w:spacing w:after="0" w:line="240" w:lineRule="auto"/>
              <w:ind w:left="113" w:right="113"/>
              <w:jc w:val="left"/>
              <w:rPr>
                <w:rFonts w:ascii="Arial" w:hAnsi="Arial" w:cs="Arial"/>
                <w:b/>
                <w:color w:val="auto"/>
                <w:sz w:val="24"/>
                <w:szCs w:val="24"/>
              </w:rPr>
            </w:pPr>
            <w:r w:rsidRPr="00237760">
              <w:rPr>
                <w:rFonts w:ascii="Arial" w:hAnsi="Arial" w:cs="Arial"/>
                <w:b/>
                <w:color w:val="auto"/>
                <w:sz w:val="24"/>
                <w:szCs w:val="24"/>
              </w:rPr>
              <w:t>4.</w:t>
            </w:r>
            <w:r w:rsidRPr="00237760">
              <w:rPr>
                <w:rFonts w:ascii="Arial" w:hAnsi="Arial" w:cs="Arial"/>
                <w:color w:val="auto"/>
                <w:sz w:val="24"/>
                <w:szCs w:val="24"/>
              </w:rPr>
              <w:t xml:space="preserve"> </w:t>
            </w:r>
            <w:r w:rsidRPr="00237760">
              <w:rPr>
                <w:rFonts w:ascii="Arial" w:hAnsi="Arial" w:cs="Arial"/>
                <w:b/>
                <w:color w:val="auto"/>
                <w:sz w:val="24"/>
                <w:szCs w:val="24"/>
              </w:rPr>
              <w:t>Opisuje przyczynę i skutek ryzyka</w:t>
            </w:r>
          </w:p>
        </w:tc>
        <w:tc>
          <w:tcPr>
            <w:tcW w:w="929" w:type="dxa"/>
            <w:tcBorders>
              <w:top w:val="single" w:sz="12" w:space="0" w:color="002060"/>
            </w:tcBorders>
            <w:shd w:val="clear" w:color="auto" w:fill="auto"/>
            <w:textDirection w:val="btLr"/>
          </w:tcPr>
          <w:p w14:paraId="68C86A46" w14:textId="77777777" w:rsidR="00DB1D63" w:rsidRPr="00237760" w:rsidRDefault="00DB1D63" w:rsidP="009367B4">
            <w:pPr>
              <w:spacing w:after="0" w:line="240" w:lineRule="auto"/>
              <w:ind w:left="113" w:right="113"/>
              <w:jc w:val="left"/>
              <w:rPr>
                <w:rFonts w:ascii="Arial" w:hAnsi="Arial" w:cs="Arial"/>
                <w:b/>
                <w:color w:val="auto"/>
                <w:sz w:val="24"/>
                <w:szCs w:val="24"/>
              </w:rPr>
            </w:pPr>
            <w:r w:rsidRPr="00237760">
              <w:rPr>
                <w:rFonts w:ascii="Arial" w:hAnsi="Arial" w:cs="Arial"/>
                <w:b/>
                <w:color w:val="auto"/>
                <w:sz w:val="24"/>
                <w:szCs w:val="24"/>
              </w:rPr>
              <w:t>5.</w:t>
            </w:r>
            <w:r w:rsidRPr="00237760">
              <w:rPr>
                <w:rFonts w:ascii="Arial" w:hAnsi="Arial" w:cs="Arial"/>
                <w:color w:val="auto"/>
                <w:sz w:val="24"/>
                <w:szCs w:val="24"/>
              </w:rPr>
              <w:t xml:space="preserve"> </w:t>
            </w:r>
            <w:r w:rsidRPr="00237760">
              <w:rPr>
                <w:rFonts w:ascii="Arial" w:hAnsi="Arial" w:cs="Arial"/>
                <w:b/>
                <w:color w:val="auto"/>
                <w:sz w:val="24"/>
                <w:szCs w:val="24"/>
              </w:rPr>
              <w:t>Poziom ogólności pozwala na określenie działań zapobiegawczych</w:t>
            </w:r>
          </w:p>
        </w:tc>
      </w:tr>
      <w:tr w:rsidR="00237760" w:rsidRPr="00237760" w14:paraId="1B020BAE" w14:textId="77777777" w:rsidTr="00C378D3">
        <w:trPr>
          <w:trHeight w:val="151"/>
        </w:trPr>
        <w:tc>
          <w:tcPr>
            <w:tcW w:w="714" w:type="dxa"/>
            <w:vAlign w:val="center"/>
          </w:tcPr>
          <w:p w14:paraId="41099953" w14:textId="3CFA8BB1" w:rsidR="00DB1D63" w:rsidRPr="00237760" w:rsidRDefault="00DB1D63" w:rsidP="009367B4">
            <w:pPr>
              <w:pStyle w:val="Akapitzlist"/>
              <w:numPr>
                <w:ilvl w:val="0"/>
                <w:numId w:val="26"/>
              </w:numPr>
              <w:tabs>
                <w:tab w:val="left" w:pos="39"/>
              </w:tabs>
              <w:spacing w:after="0" w:line="240" w:lineRule="auto"/>
              <w:ind w:left="323"/>
              <w:jc w:val="left"/>
              <w:rPr>
                <w:rFonts w:ascii="Arial" w:hAnsi="Arial" w:cs="Arial"/>
                <w:color w:val="auto"/>
                <w:sz w:val="24"/>
                <w:szCs w:val="24"/>
              </w:rPr>
            </w:pPr>
          </w:p>
        </w:tc>
        <w:tc>
          <w:tcPr>
            <w:tcW w:w="3969" w:type="dxa"/>
            <w:shd w:val="clear" w:color="auto" w:fill="auto"/>
          </w:tcPr>
          <w:p w14:paraId="284BE54A"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Wprowadzenie przez Komisję Unii Europejskiej mechanizmu warunkowości wypłat funduszy</w:t>
            </w:r>
          </w:p>
        </w:tc>
        <w:tc>
          <w:tcPr>
            <w:tcW w:w="928" w:type="dxa"/>
            <w:shd w:val="clear" w:color="auto" w:fill="9CC2E5" w:themeFill="accent1" w:themeFillTint="99"/>
            <w:vAlign w:val="center"/>
          </w:tcPr>
          <w:p w14:paraId="02A7FD16"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9" w:type="dxa"/>
            <w:shd w:val="clear" w:color="auto" w:fill="9CC2E5" w:themeFill="accent1" w:themeFillTint="99"/>
            <w:vAlign w:val="center"/>
          </w:tcPr>
          <w:p w14:paraId="01A4E720"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8" w:type="dxa"/>
            <w:shd w:val="clear" w:color="auto" w:fill="9CC2E5" w:themeFill="accent1" w:themeFillTint="99"/>
            <w:vAlign w:val="center"/>
          </w:tcPr>
          <w:p w14:paraId="2E435799"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9" w:type="dxa"/>
            <w:shd w:val="clear" w:color="auto" w:fill="F4B083" w:themeFill="accent2" w:themeFillTint="99"/>
            <w:vAlign w:val="center"/>
          </w:tcPr>
          <w:p w14:paraId="6884500E"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w:t>
            </w:r>
          </w:p>
        </w:tc>
        <w:tc>
          <w:tcPr>
            <w:tcW w:w="929" w:type="dxa"/>
            <w:shd w:val="clear" w:color="auto" w:fill="9CC2E5" w:themeFill="accent1" w:themeFillTint="99"/>
            <w:vAlign w:val="center"/>
          </w:tcPr>
          <w:p w14:paraId="37002116"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36B204DA" w14:textId="77777777" w:rsidTr="00C378D3">
        <w:trPr>
          <w:trHeight w:val="151"/>
        </w:trPr>
        <w:tc>
          <w:tcPr>
            <w:tcW w:w="714" w:type="dxa"/>
            <w:vAlign w:val="center"/>
          </w:tcPr>
          <w:p w14:paraId="3886DF03" w14:textId="72CDE3A2" w:rsidR="00DB1D63" w:rsidRPr="00237760" w:rsidRDefault="00DB1D63" w:rsidP="009367B4">
            <w:pPr>
              <w:pStyle w:val="Akapitzlist"/>
              <w:numPr>
                <w:ilvl w:val="0"/>
                <w:numId w:val="26"/>
              </w:numPr>
              <w:spacing w:after="0" w:line="240" w:lineRule="auto"/>
              <w:ind w:left="323"/>
              <w:jc w:val="left"/>
              <w:rPr>
                <w:rFonts w:ascii="Arial" w:hAnsi="Arial" w:cs="Arial"/>
                <w:color w:val="auto"/>
                <w:sz w:val="24"/>
                <w:szCs w:val="24"/>
              </w:rPr>
            </w:pPr>
          </w:p>
        </w:tc>
        <w:tc>
          <w:tcPr>
            <w:tcW w:w="3969" w:type="dxa"/>
            <w:shd w:val="clear" w:color="auto" w:fill="auto"/>
            <w:vAlign w:val="center"/>
          </w:tcPr>
          <w:p w14:paraId="292656E6"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Wprowadzenie przez UE zmian w polityce ekologicznej (Europejski zielony ład, pakiet „Gotowi na 55”)</w:t>
            </w:r>
          </w:p>
        </w:tc>
        <w:tc>
          <w:tcPr>
            <w:tcW w:w="928" w:type="dxa"/>
            <w:shd w:val="clear" w:color="auto" w:fill="9CC2E5" w:themeFill="accent1" w:themeFillTint="99"/>
            <w:vAlign w:val="center"/>
          </w:tcPr>
          <w:p w14:paraId="3EE0831B"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9" w:type="dxa"/>
            <w:shd w:val="clear" w:color="auto" w:fill="9CC2E5" w:themeFill="accent1" w:themeFillTint="99"/>
            <w:vAlign w:val="center"/>
          </w:tcPr>
          <w:p w14:paraId="46127C93"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8" w:type="dxa"/>
            <w:shd w:val="clear" w:color="auto" w:fill="9CC2E5" w:themeFill="accent1" w:themeFillTint="99"/>
            <w:vAlign w:val="center"/>
          </w:tcPr>
          <w:p w14:paraId="4E41DE1B"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9" w:type="dxa"/>
            <w:shd w:val="clear" w:color="auto" w:fill="F4B083" w:themeFill="accent2" w:themeFillTint="99"/>
            <w:vAlign w:val="center"/>
          </w:tcPr>
          <w:p w14:paraId="4FF28F52"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w:t>
            </w:r>
          </w:p>
        </w:tc>
        <w:tc>
          <w:tcPr>
            <w:tcW w:w="929" w:type="dxa"/>
            <w:shd w:val="clear" w:color="auto" w:fill="9CC2E5" w:themeFill="accent1" w:themeFillTint="99"/>
            <w:vAlign w:val="center"/>
          </w:tcPr>
          <w:p w14:paraId="27710AA4"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6BF03784" w14:textId="77777777" w:rsidTr="00C378D3">
        <w:trPr>
          <w:trHeight w:val="151"/>
        </w:trPr>
        <w:tc>
          <w:tcPr>
            <w:tcW w:w="714" w:type="dxa"/>
            <w:vAlign w:val="center"/>
          </w:tcPr>
          <w:p w14:paraId="6670FFC7" w14:textId="5FA2B1FD" w:rsidR="00DB1D63" w:rsidRPr="00237760" w:rsidRDefault="00DB1D63" w:rsidP="009367B4">
            <w:pPr>
              <w:pStyle w:val="Akapitzlist"/>
              <w:numPr>
                <w:ilvl w:val="0"/>
                <w:numId w:val="26"/>
              </w:numPr>
              <w:spacing w:after="0" w:line="240" w:lineRule="auto"/>
              <w:ind w:left="323"/>
              <w:jc w:val="left"/>
              <w:rPr>
                <w:rFonts w:ascii="Arial" w:hAnsi="Arial" w:cs="Arial"/>
                <w:color w:val="auto"/>
                <w:sz w:val="24"/>
                <w:szCs w:val="24"/>
              </w:rPr>
            </w:pPr>
          </w:p>
        </w:tc>
        <w:tc>
          <w:tcPr>
            <w:tcW w:w="3969" w:type="dxa"/>
            <w:shd w:val="clear" w:color="auto" w:fill="auto"/>
            <w:vAlign w:val="center"/>
          </w:tcPr>
          <w:p w14:paraId="1811544E"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Utrata mocy prawnej z dniem 31 grudnia 2023 r. ustawy z dnia 10 kwietnia 2003 r. o szczególnych zasadach przygotowania i realizacji inwestycji w zakresie dróg publicznych (t.j. Dz.U.2020 poz.1363 z późn. zm) skutkująca m.in. utrudnieniami w nabywaniu nieruchomości</w:t>
            </w:r>
          </w:p>
        </w:tc>
        <w:tc>
          <w:tcPr>
            <w:tcW w:w="928" w:type="dxa"/>
            <w:shd w:val="clear" w:color="auto" w:fill="9CC2E5" w:themeFill="accent1" w:themeFillTint="99"/>
            <w:vAlign w:val="center"/>
          </w:tcPr>
          <w:p w14:paraId="6BDBF419"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9" w:type="dxa"/>
            <w:shd w:val="clear" w:color="auto" w:fill="9CC2E5" w:themeFill="accent1" w:themeFillTint="99"/>
            <w:vAlign w:val="center"/>
          </w:tcPr>
          <w:p w14:paraId="70305306"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8" w:type="dxa"/>
            <w:shd w:val="clear" w:color="auto" w:fill="9CC2E5" w:themeFill="accent1" w:themeFillTint="99"/>
            <w:vAlign w:val="center"/>
          </w:tcPr>
          <w:p w14:paraId="08EDF569"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9" w:type="dxa"/>
            <w:shd w:val="clear" w:color="auto" w:fill="9CC2E5" w:themeFill="accent1" w:themeFillTint="99"/>
            <w:vAlign w:val="center"/>
          </w:tcPr>
          <w:p w14:paraId="2BEC63BC"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9" w:type="dxa"/>
            <w:shd w:val="clear" w:color="auto" w:fill="9CC2E5" w:themeFill="accent1" w:themeFillTint="99"/>
            <w:vAlign w:val="center"/>
          </w:tcPr>
          <w:p w14:paraId="26BAEBAE"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52C00679" w14:textId="77777777" w:rsidTr="00C378D3">
        <w:trPr>
          <w:trHeight w:val="151"/>
        </w:trPr>
        <w:tc>
          <w:tcPr>
            <w:tcW w:w="714" w:type="dxa"/>
            <w:vAlign w:val="center"/>
          </w:tcPr>
          <w:p w14:paraId="798EC3D4" w14:textId="7F9325BA" w:rsidR="00DB1D63" w:rsidRPr="00237760" w:rsidRDefault="00DB1D63" w:rsidP="009367B4">
            <w:pPr>
              <w:pStyle w:val="Akapitzlist"/>
              <w:numPr>
                <w:ilvl w:val="0"/>
                <w:numId w:val="26"/>
              </w:numPr>
              <w:spacing w:after="0" w:line="240" w:lineRule="auto"/>
              <w:ind w:left="323"/>
              <w:jc w:val="left"/>
              <w:rPr>
                <w:rFonts w:ascii="Arial" w:hAnsi="Arial" w:cs="Arial"/>
                <w:color w:val="auto"/>
                <w:sz w:val="24"/>
                <w:szCs w:val="24"/>
              </w:rPr>
            </w:pPr>
          </w:p>
        </w:tc>
        <w:tc>
          <w:tcPr>
            <w:tcW w:w="3969" w:type="dxa"/>
            <w:shd w:val="clear" w:color="auto" w:fill="auto"/>
            <w:vAlign w:val="center"/>
          </w:tcPr>
          <w:p w14:paraId="74FB8609"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Zmiany w polityce fiskalnej państwa (m.in. wysokość podatków, wzrost płacy minimalnej, zmiana stóp procentowych NBP)</w:t>
            </w:r>
          </w:p>
        </w:tc>
        <w:tc>
          <w:tcPr>
            <w:tcW w:w="928" w:type="dxa"/>
            <w:shd w:val="clear" w:color="auto" w:fill="F4B083" w:themeFill="accent2" w:themeFillTint="99"/>
            <w:vAlign w:val="center"/>
          </w:tcPr>
          <w:p w14:paraId="7052085E"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w:t>
            </w:r>
          </w:p>
        </w:tc>
        <w:tc>
          <w:tcPr>
            <w:tcW w:w="929" w:type="dxa"/>
            <w:shd w:val="clear" w:color="auto" w:fill="9CC2E5" w:themeFill="accent1" w:themeFillTint="99"/>
            <w:vAlign w:val="center"/>
          </w:tcPr>
          <w:p w14:paraId="1617FD28"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8" w:type="dxa"/>
            <w:shd w:val="clear" w:color="auto" w:fill="9CC2E5" w:themeFill="accent1" w:themeFillTint="99"/>
            <w:vAlign w:val="center"/>
          </w:tcPr>
          <w:p w14:paraId="31579683"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9" w:type="dxa"/>
            <w:shd w:val="clear" w:color="auto" w:fill="F4B083" w:themeFill="accent2" w:themeFillTint="99"/>
            <w:vAlign w:val="center"/>
          </w:tcPr>
          <w:p w14:paraId="0835F529"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w:t>
            </w:r>
          </w:p>
        </w:tc>
        <w:tc>
          <w:tcPr>
            <w:tcW w:w="929" w:type="dxa"/>
            <w:shd w:val="clear" w:color="auto" w:fill="F4B083" w:themeFill="accent2" w:themeFillTint="99"/>
            <w:vAlign w:val="center"/>
          </w:tcPr>
          <w:p w14:paraId="190AEA02"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w:t>
            </w:r>
          </w:p>
        </w:tc>
      </w:tr>
      <w:tr w:rsidR="00237760" w:rsidRPr="00237760" w14:paraId="776B319A" w14:textId="77777777" w:rsidTr="00C378D3">
        <w:trPr>
          <w:trHeight w:val="151"/>
        </w:trPr>
        <w:tc>
          <w:tcPr>
            <w:tcW w:w="714" w:type="dxa"/>
            <w:vAlign w:val="center"/>
          </w:tcPr>
          <w:p w14:paraId="2BC52F31" w14:textId="4B1B4336" w:rsidR="00DB1D63" w:rsidRPr="00237760" w:rsidRDefault="00DB1D63" w:rsidP="009367B4">
            <w:pPr>
              <w:pStyle w:val="Akapitzlist"/>
              <w:numPr>
                <w:ilvl w:val="0"/>
                <w:numId w:val="26"/>
              </w:numPr>
              <w:spacing w:after="0" w:line="240" w:lineRule="auto"/>
              <w:ind w:left="323"/>
              <w:jc w:val="left"/>
              <w:rPr>
                <w:rFonts w:ascii="Arial" w:hAnsi="Arial" w:cs="Arial"/>
                <w:color w:val="auto"/>
                <w:sz w:val="24"/>
                <w:szCs w:val="24"/>
              </w:rPr>
            </w:pPr>
          </w:p>
        </w:tc>
        <w:tc>
          <w:tcPr>
            <w:tcW w:w="3969" w:type="dxa"/>
            <w:shd w:val="clear" w:color="auto" w:fill="auto"/>
            <w:vAlign w:val="center"/>
          </w:tcPr>
          <w:p w14:paraId="46B03F78"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Zmiany wynikające z cykliczności zdarzeń politycznych (wyborów) skutkujące zmianą priorytetów programowych</w:t>
            </w:r>
          </w:p>
        </w:tc>
        <w:tc>
          <w:tcPr>
            <w:tcW w:w="928" w:type="dxa"/>
            <w:shd w:val="clear" w:color="auto" w:fill="9CC2E5" w:themeFill="accent1" w:themeFillTint="99"/>
            <w:vAlign w:val="center"/>
          </w:tcPr>
          <w:p w14:paraId="727FC22C"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9" w:type="dxa"/>
            <w:shd w:val="clear" w:color="auto" w:fill="9CC2E5" w:themeFill="accent1" w:themeFillTint="99"/>
            <w:vAlign w:val="center"/>
          </w:tcPr>
          <w:p w14:paraId="2A48FB2F"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8" w:type="dxa"/>
            <w:shd w:val="clear" w:color="auto" w:fill="9CC2E5" w:themeFill="accent1" w:themeFillTint="99"/>
            <w:vAlign w:val="center"/>
          </w:tcPr>
          <w:p w14:paraId="4CD914D0"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9" w:type="dxa"/>
            <w:shd w:val="clear" w:color="auto" w:fill="9CC2E5" w:themeFill="accent1" w:themeFillTint="99"/>
            <w:vAlign w:val="center"/>
          </w:tcPr>
          <w:p w14:paraId="3F004821"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9" w:type="dxa"/>
            <w:shd w:val="clear" w:color="auto" w:fill="9CC2E5" w:themeFill="accent1" w:themeFillTint="99"/>
            <w:vAlign w:val="center"/>
          </w:tcPr>
          <w:p w14:paraId="08DBE84B"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3882D60F" w14:textId="77777777" w:rsidTr="00C378D3">
        <w:trPr>
          <w:trHeight w:val="151"/>
        </w:trPr>
        <w:tc>
          <w:tcPr>
            <w:tcW w:w="714" w:type="dxa"/>
            <w:vAlign w:val="center"/>
          </w:tcPr>
          <w:p w14:paraId="68AF4522" w14:textId="6FEE4528" w:rsidR="009C04BC" w:rsidRPr="00237760" w:rsidRDefault="009C04BC" w:rsidP="009367B4">
            <w:pPr>
              <w:pStyle w:val="Akapitzlist"/>
              <w:numPr>
                <w:ilvl w:val="0"/>
                <w:numId w:val="26"/>
              </w:numPr>
              <w:spacing w:after="0" w:line="240" w:lineRule="auto"/>
              <w:ind w:left="323"/>
              <w:jc w:val="left"/>
              <w:rPr>
                <w:rFonts w:ascii="Arial" w:hAnsi="Arial" w:cs="Arial"/>
                <w:color w:val="auto"/>
                <w:sz w:val="24"/>
                <w:szCs w:val="24"/>
              </w:rPr>
            </w:pPr>
          </w:p>
        </w:tc>
        <w:tc>
          <w:tcPr>
            <w:tcW w:w="3969" w:type="dxa"/>
            <w:shd w:val="clear" w:color="auto" w:fill="auto"/>
            <w:vAlign w:val="center"/>
          </w:tcPr>
          <w:p w14:paraId="26FC291B" w14:textId="34AFF21E" w:rsidR="009C04BC" w:rsidRPr="00237760" w:rsidRDefault="00A6508F"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Niestabilna sytuacja geopolityczna na wschodniej granicy Europy (wojna na Ukrainie).</w:t>
            </w:r>
          </w:p>
        </w:tc>
        <w:tc>
          <w:tcPr>
            <w:tcW w:w="928" w:type="dxa"/>
            <w:shd w:val="clear" w:color="auto" w:fill="9CC2E5" w:themeFill="accent1" w:themeFillTint="99"/>
            <w:vAlign w:val="center"/>
          </w:tcPr>
          <w:p w14:paraId="32C1BF09" w14:textId="1D39D1AD" w:rsidR="009C04BC" w:rsidRPr="00237760" w:rsidRDefault="00A6508F"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9" w:type="dxa"/>
            <w:shd w:val="clear" w:color="auto" w:fill="9CC2E5" w:themeFill="accent1" w:themeFillTint="99"/>
            <w:vAlign w:val="center"/>
          </w:tcPr>
          <w:p w14:paraId="4DCA8806" w14:textId="66EC95C0" w:rsidR="009C04BC" w:rsidRPr="00237760" w:rsidRDefault="00A6508F"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8" w:type="dxa"/>
            <w:shd w:val="clear" w:color="auto" w:fill="9CC2E5" w:themeFill="accent1" w:themeFillTint="99"/>
            <w:vAlign w:val="center"/>
          </w:tcPr>
          <w:p w14:paraId="6DD11A28" w14:textId="3F562595" w:rsidR="009C04BC" w:rsidRPr="00237760" w:rsidRDefault="00A6508F"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9" w:type="dxa"/>
            <w:shd w:val="clear" w:color="auto" w:fill="F4B083" w:themeFill="accent2" w:themeFillTint="99"/>
            <w:vAlign w:val="center"/>
          </w:tcPr>
          <w:p w14:paraId="09E5516B" w14:textId="47B69F3B" w:rsidR="009C04BC" w:rsidRPr="00237760" w:rsidRDefault="00A6508F"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w:t>
            </w:r>
          </w:p>
        </w:tc>
        <w:tc>
          <w:tcPr>
            <w:tcW w:w="929" w:type="dxa"/>
            <w:shd w:val="clear" w:color="auto" w:fill="9CC2E5" w:themeFill="accent1" w:themeFillTint="99"/>
            <w:vAlign w:val="center"/>
          </w:tcPr>
          <w:p w14:paraId="3D71241A" w14:textId="1F18E37B" w:rsidR="009C04BC" w:rsidRPr="00237760" w:rsidRDefault="00A6508F"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4F58AAC4" w14:textId="77777777" w:rsidTr="00C378D3">
        <w:trPr>
          <w:trHeight w:val="151"/>
        </w:trPr>
        <w:tc>
          <w:tcPr>
            <w:tcW w:w="714" w:type="dxa"/>
            <w:vAlign w:val="center"/>
          </w:tcPr>
          <w:p w14:paraId="665ACF2A" w14:textId="22E007DE" w:rsidR="00DB1D63" w:rsidRPr="00237760" w:rsidRDefault="00DB1D63" w:rsidP="009367B4">
            <w:pPr>
              <w:pStyle w:val="Akapitzlist"/>
              <w:numPr>
                <w:ilvl w:val="0"/>
                <w:numId w:val="26"/>
              </w:numPr>
              <w:spacing w:after="0" w:line="240" w:lineRule="auto"/>
              <w:ind w:left="323"/>
              <w:jc w:val="left"/>
              <w:rPr>
                <w:rFonts w:ascii="Arial" w:hAnsi="Arial" w:cs="Arial"/>
                <w:color w:val="auto"/>
                <w:sz w:val="24"/>
                <w:szCs w:val="24"/>
              </w:rPr>
            </w:pPr>
          </w:p>
        </w:tc>
        <w:tc>
          <w:tcPr>
            <w:tcW w:w="3969" w:type="dxa"/>
            <w:shd w:val="clear" w:color="auto" w:fill="auto"/>
            <w:vAlign w:val="center"/>
          </w:tcPr>
          <w:p w14:paraId="44CA5F97"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Brak lub ograniczona dostępność </w:t>
            </w:r>
          </w:p>
          <w:p w14:paraId="22C1FBD3"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środków unijnych</w:t>
            </w:r>
          </w:p>
        </w:tc>
        <w:tc>
          <w:tcPr>
            <w:tcW w:w="928" w:type="dxa"/>
            <w:shd w:val="clear" w:color="auto" w:fill="9CC2E5" w:themeFill="accent1" w:themeFillTint="99"/>
            <w:vAlign w:val="center"/>
          </w:tcPr>
          <w:p w14:paraId="06E68A93"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9" w:type="dxa"/>
            <w:shd w:val="clear" w:color="auto" w:fill="9CC2E5" w:themeFill="accent1" w:themeFillTint="99"/>
            <w:vAlign w:val="center"/>
          </w:tcPr>
          <w:p w14:paraId="555ED05D"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8" w:type="dxa"/>
            <w:shd w:val="clear" w:color="auto" w:fill="9CC2E5" w:themeFill="accent1" w:themeFillTint="99"/>
            <w:vAlign w:val="center"/>
          </w:tcPr>
          <w:p w14:paraId="316C6B02"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9" w:type="dxa"/>
            <w:shd w:val="clear" w:color="auto" w:fill="F4B083" w:themeFill="accent2" w:themeFillTint="99"/>
            <w:vAlign w:val="center"/>
          </w:tcPr>
          <w:p w14:paraId="275202CC"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w:t>
            </w:r>
          </w:p>
        </w:tc>
        <w:tc>
          <w:tcPr>
            <w:tcW w:w="929" w:type="dxa"/>
            <w:shd w:val="clear" w:color="auto" w:fill="F4B083" w:themeFill="accent2" w:themeFillTint="99"/>
            <w:vAlign w:val="center"/>
          </w:tcPr>
          <w:p w14:paraId="10420223"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w:t>
            </w:r>
          </w:p>
        </w:tc>
      </w:tr>
      <w:tr w:rsidR="00237760" w:rsidRPr="00237760" w14:paraId="233C5916" w14:textId="77777777" w:rsidTr="00C378D3">
        <w:trPr>
          <w:trHeight w:val="151"/>
        </w:trPr>
        <w:tc>
          <w:tcPr>
            <w:tcW w:w="714" w:type="dxa"/>
            <w:vAlign w:val="center"/>
          </w:tcPr>
          <w:p w14:paraId="179C07EF" w14:textId="079A9EB4" w:rsidR="00DB1D63" w:rsidRPr="00237760" w:rsidRDefault="00DB1D63" w:rsidP="009367B4">
            <w:pPr>
              <w:pStyle w:val="Akapitzlist"/>
              <w:numPr>
                <w:ilvl w:val="0"/>
                <w:numId w:val="26"/>
              </w:numPr>
              <w:spacing w:after="0" w:line="240" w:lineRule="auto"/>
              <w:ind w:left="323"/>
              <w:jc w:val="left"/>
              <w:rPr>
                <w:rFonts w:ascii="Arial" w:hAnsi="Arial" w:cs="Arial"/>
                <w:color w:val="auto"/>
                <w:sz w:val="24"/>
                <w:szCs w:val="24"/>
              </w:rPr>
            </w:pPr>
          </w:p>
        </w:tc>
        <w:tc>
          <w:tcPr>
            <w:tcW w:w="3969" w:type="dxa"/>
            <w:shd w:val="clear" w:color="auto" w:fill="auto"/>
            <w:vAlign w:val="center"/>
          </w:tcPr>
          <w:p w14:paraId="57E9106C"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Wzrost kosztów inwestycyjnych (m.in. wzrost cen materiałów i robót budowlanych, koszty środowiskowe) skutkujące przekroczeniem budżetu realizacji Projektu</w:t>
            </w:r>
          </w:p>
        </w:tc>
        <w:tc>
          <w:tcPr>
            <w:tcW w:w="928" w:type="dxa"/>
            <w:shd w:val="clear" w:color="auto" w:fill="9CC2E5" w:themeFill="accent1" w:themeFillTint="99"/>
            <w:vAlign w:val="center"/>
          </w:tcPr>
          <w:p w14:paraId="2327ECB5"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9" w:type="dxa"/>
            <w:shd w:val="clear" w:color="auto" w:fill="9CC2E5" w:themeFill="accent1" w:themeFillTint="99"/>
            <w:vAlign w:val="center"/>
          </w:tcPr>
          <w:p w14:paraId="4DB09DB1"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8" w:type="dxa"/>
            <w:shd w:val="clear" w:color="auto" w:fill="9CC2E5" w:themeFill="accent1" w:themeFillTint="99"/>
            <w:vAlign w:val="center"/>
          </w:tcPr>
          <w:p w14:paraId="0B9E6326"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9" w:type="dxa"/>
            <w:shd w:val="clear" w:color="auto" w:fill="9CC2E5" w:themeFill="accent1" w:themeFillTint="99"/>
            <w:vAlign w:val="center"/>
          </w:tcPr>
          <w:p w14:paraId="564E6618"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9" w:type="dxa"/>
            <w:shd w:val="clear" w:color="auto" w:fill="9CC2E5" w:themeFill="accent1" w:themeFillTint="99"/>
            <w:vAlign w:val="center"/>
          </w:tcPr>
          <w:p w14:paraId="18AF96E4"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7D06DF8A" w14:textId="77777777" w:rsidTr="00C378D3">
        <w:trPr>
          <w:trHeight w:val="151"/>
        </w:trPr>
        <w:tc>
          <w:tcPr>
            <w:tcW w:w="714" w:type="dxa"/>
            <w:vAlign w:val="center"/>
          </w:tcPr>
          <w:p w14:paraId="5D325391" w14:textId="51C704B4" w:rsidR="00DB1D63" w:rsidRPr="00237760" w:rsidRDefault="00DB1D63" w:rsidP="009367B4">
            <w:pPr>
              <w:pStyle w:val="Akapitzlist"/>
              <w:numPr>
                <w:ilvl w:val="0"/>
                <w:numId w:val="26"/>
              </w:numPr>
              <w:spacing w:after="0" w:line="240" w:lineRule="auto"/>
              <w:ind w:left="323"/>
              <w:jc w:val="left"/>
              <w:rPr>
                <w:rFonts w:ascii="Arial" w:hAnsi="Arial" w:cs="Arial"/>
                <w:color w:val="auto"/>
                <w:sz w:val="24"/>
                <w:szCs w:val="24"/>
              </w:rPr>
            </w:pPr>
          </w:p>
        </w:tc>
        <w:tc>
          <w:tcPr>
            <w:tcW w:w="3969" w:type="dxa"/>
            <w:shd w:val="clear" w:color="auto" w:fill="auto"/>
            <w:vAlign w:val="center"/>
          </w:tcPr>
          <w:p w14:paraId="6EBCD2D1"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Trudności w realizacji inwestycji wynikające z zaniżania cen w postępowaniu przetargowym</w:t>
            </w:r>
          </w:p>
        </w:tc>
        <w:tc>
          <w:tcPr>
            <w:tcW w:w="928" w:type="dxa"/>
            <w:shd w:val="clear" w:color="auto" w:fill="9CC2E5" w:themeFill="accent1" w:themeFillTint="99"/>
            <w:vAlign w:val="center"/>
          </w:tcPr>
          <w:p w14:paraId="5CF08067"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9" w:type="dxa"/>
            <w:shd w:val="clear" w:color="auto" w:fill="9CC2E5" w:themeFill="accent1" w:themeFillTint="99"/>
            <w:vAlign w:val="center"/>
          </w:tcPr>
          <w:p w14:paraId="117ADF97"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8" w:type="dxa"/>
            <w:shd w:val="clear" w:color="auto" w:fill="F4B083" w:themeFill="accent2" w:themeFillTint="99"/>
            <w:vAlign w:val="center"/>
          </w:tcPr>
          <w:p w14:paraId="31E0541C"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w:t>
            </w:r>
          </w:p>
        </w:tc>
        <w:tc>
          <w:tcPr>
            <w:tcW w:w="929" w:type="dxa"/>
            <w:shd w:val="clear" w:color="auto" w:fill="9CC2E5" w:themeFill="accent1" w:themeFillTint="99"/>
            <w:vAlign w:val="center"/>
          </w:tcPr>
          <w:p w14:paraId="06078F1E"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9" w:type="dxa"/>
            <w:shd w:val="clear" w:color="auto" w:fill="9CC2E5" w:themeFill="accent1" w:themeFillTint="99"/>
            <w:vAlign w:val="center"/>
          </w:tcPr>
          <w:p w14:paraId="6B0A1650"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19F47613" w14:textId="77777777" w:rsidTr="00C378D3">
        <w:trPr>
          <w:trHeight w:val="151"/>
        </w:trPr>
        <w:tc>
          <w:tcPr>
            <w:tcW w:w="714" w:type="dxa"/>
            <w:vAlign w:val="center"/>
          </w:tcPr>
          <w:p w14:paraId="0BBAA14E" w14:textId="5B0C58C3" w:rsidR="00DB1D63" w:rsidRPr="00237760" w:rsidRDefault="00DB1D63" w:rsidP="009367B4">
            <w:pPr>
              <w:pStyle w:val="Akapitzlist"/>
              <w:numPr>
                <w:ilvl w:val="0"/>
                <w:numId w:val="26"/>
              </w:numPr>
              <w:spacing w:after="0" w:line="240" w:lineRule="auto"/>
              <w:ind w:left="323"/>
              <w:jc w:val="left"/>
              <w:rPr>
                <w:rFonts w:ascii="Arial" w:hAnsi="Arial" w:cs="Arial"/>
                <w:color w:val="auto"/>
                <w:sz w:val="24"/>
                <w:szCs w:val="24"/>
              </w:rPr>
            </w:pPr>
          </w:p>
        </w:tc>
        <w:tc>
          <w:tcPr>
            <w:tcW w:w="3969" w:type="dxa"/>
            <w:shd w:val="clear" w:color="auto" w:fill="auto"/>
            <w:vAlign w:val="center"/>
          </w:tcPr>
          <w:p w14:paraId="11CADDAB"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Spadek popytu na transport publiczny oraz przewóz towarów w związku z przedłużającą się z pandemią COVID-19</w:t>
            </w:r>
          </w:p>
        </w:tc>
        <w:tc>
          <w:tcPr>
            <w:tcW w:w="928" w:type="dxa"/>
            <w:shd w:val="clear" w:color="auto" w:fill="9CC2E5" w:themeFill="accent1" w:themeFillTint="99"/>
            <w:vAlign w:val="center"/>
          </w:tcPr>
          <w:p w14:paraId="2EA6A2AB"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9" w:type="dxa"/>
            <w:shd w:val="clear" w:color="auto" w:fill="9CC2E5" w:themeFill="accent1" w:themeFillTint="99"/>
            <w:vAlign w:val="center"/>
          </w:tcPr>
          <w:p w14:paraId="49BB40C7"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8" w:type="dxa"/>
            <w:shd w:val="clear" w:color="auto" w:fill="9CC2E5" w:themeFill="accent1" w:themeFillTint="99"/>
            <w:vAlign w:val="center"/>
          </w:tcPr>
          <w:p w14:paraId="2FB0F726"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9" w:type="dxa"/>
            <w:shd w:val="clear" w:color="auto" w:fill="9CC2E5" w:themeFill="accent1" w:themeFillTint="99"/>
            <w:vAlign w:val="center"/>
          </w:tcPr>
          <w:p w14:paraId="33063303"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9" w:type="dxa"/>
            <w:shd w:val="clear" w:color="auto" w:fill="9CC2E5" w:themeFill="accent1" w:themeFillTint="99"/>
            <w:vAlign w:val="center"/>
          </w:tcPr>
          <w:p w14:paraId="0FDFDB80"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623C9FD5" w14:textId="77777777" w:rsidTr="00C378D3">
        <w:trPr>
          <w:trHeight w:val="151"/>
        </w:trPr>
        <w:tc>
          <w:tcPr>
            <w:tcW w:w="714" w:type="dxa"/>
            <w:vAlign w:val="center"/>
          </w:tcPr>
          <w:p w14:paraId="52626FB2" w14:textId="03B615D9" w:rsidR="00DB1D63" w:rsidRPr="00237760" w:rsidRDefault="00DB1D63" w:rsidP="009367B4">
            <w:pPr>
              <w:pStyle w:val="Akapitzlist"/>
              <w:numPr>
                <w:ilvl w:val="0"/>
                <w:numId w:val="26"/>
              </w:numPr>
              <w:spacing w:after="0" w:line="240" w:lineRule="auto"/>
              <w:ind w:left="323"/>
              <w:jc w:val="left"/>
              <w:rPr>
                <w:rFonts w:ascii="Arial" w:hAnsi="Arial" w:cs="Arial"/>
                <w:color w:val="auto"/>
                <w:sz w:val="24"/>
                <w:szCs w:val="24"/>
              </w:rPr>
            </w:pPr>
          </w:p>
        </w:tc>
        <w:tc>
          <w:tcPr>
            <w:tcW w:w="3969" w:type="dxa"/>
            <w:shd w:val="clear" w:color="auto" w:fill="auto"/>
            <w:vAlign w:val="center"/>
          </w:tcPr>
          <w:p w14:paraId="2563F3BB"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Problem z płynnością finansową Wykonawców/ podwykonawców związany z polityką fiskalną państwa</w:t>
            </w:r>
          </w:p>
        </w:tc>
        <w:tc>
          <w:tcPr>
            <w:tcW w:w="928" w:type="dxa"/>
            <w:shd w:val="clear" w:color="auto" w:fill="9CC2E5" w:themeFill="accent1" w:themeFillTint="99"/>
            <w:vAlign w:val="center"/>
          </w:tcPr>
          <w:p w14:paraId="068A0E46"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9" w:type="dxa"/>
            <w:shd w:val="clear" w:color="auto" w:fill="9CC2E5" w:themeFill="accent1" w:themeFillTint="99"/>
            <w:vAlign w:val="center"/>
          </w:tcPr>
          <w:p w14:paraId="795255E3"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8" w:type="dxa"/>
            <w:shd w:val="clear" w:color="auto" w:fill="9CC2E5" w:themeFill="accent1" w:themeFillTint="99"/>
            <w:vAlign w:val="center"/>
          </w:tcPr>
          <w:p w14:paraId="66B5EA16"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9" w:type="dxa"/>
            <w:shd w:val="clear" w:color="auto" w:fill="F4B083" w:themeFill="accent2" w:themeFillTint="99"/>
            <w:vAlign w:val="center"/>
          </w:tcPr>
          <w:p w14:paraId="6BE23B4F"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w:t>
            </w:r>
          </w:p>
        </w:tc>
        <w:tc>
          <w:tcPr>
            <w:tcW w:w="929" w:type="dxa"/>
            <w:shd w:val="clear" w:color="auto" w:fill="9CC2E5" w:themeFill="accent1" w:themeFillTint="99"/>
            <w:vAlign w:val="center"/>
          </w:tcPr>
          <w:p w14:paraId="610A466D"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0F19D554" w14:textId="77777777" w:rsidTr="00C378D3">
        <w:trPr>
          <w:trHeight w:val="151"/>
        </w:trPr>
        <w:tc>
          <w:tcPr>
            <w:tcW w:w="714" w:type="dxa"/>
            <w:vAlign w:val="center"/>
          </w:tcPr>
          <w:p w14:paraId="4ACC9F38" w14:textId="7B70D39C" w:rsidR="00DB1D63" w:rsidRPr="00237760" w:rsidRDefault="00DB1D63" w:rsidP="009367B4">
            <w:pPr>
              <w:pStyle w:val="Akapitzlist"/>
              <w:numPr>
                <w:ilvl w:val="0"/>
                <w:numId w:val="26"/>
              </w:numPr>
              <w:spacing w:after="0" w:line="240" w:lineRule="auto"/>
              <w:ind w:left="323"/>
              <w:jc w:val="left"/>
              <w:rPr>
                <w:rFonts w:ascii="Arial" w:hAnsi="Arial" w:cs="Arial"/>
                <w:color w:val="auto"/>
                <w:sz w:val="24"/>
                <w:szCs w:val="24"/>
              </w:rPr>
            </w:pPr>
          </w:p>
        </w:tc>
        <w:tc>
          <w:tcPr>
            <w:tcW w:w="3969" w:type="dxa"/>
            <w:shd w:val="clear" w:color="auto" w:fill="auto"/>
            <w:vAlign w:val="center"/>
          </w:tcPr>
          <w:p w14:paraId="27051650" w14:textId="479E4D2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Wzrost kosztów ponoszonych przez </w:t>
            </w:r>
            <w:r w:rsidR="00F65111" w:rsidRPr="00237760">
              <w:rPr>
                <w:rFonts w:ascii="Arial" w:hAnsi="Arial" w:cs="Arial"/>
                <w:color w:val="auto"/>
                <w:sz w:val="24"/>
                <w:szCs w:val="24"/>
              </w:rPr>
              <w:t>JST</w:t>
            </w:r>
            <w:r w:rsidRPr="00237760">
              <w:rPr>
                <w:rFonts w:ascii="Arial" w:hAnsi="Arial" w:cs="Arial"/>
                <w:color w:val="auto"/>
                <w:sz w:val="24"/>
                <w:szCs w:val="24"/>
              </w:rPr>
              <w:t xml:space="preserve"> na utrzymanie infrastruktury transportowej m.in. w wyniku zmiany kategorii dróg na skutek realizacji nowych odcinków dróg</w:t>
            </w:r>
          </w:p>
        </w:tc>
        <w:tc>
          <w:tcPr>
            <w:tcW w:w="928" w:type="dxa"/>
            <w:shd w:val="clear" w:color="auto" w:fill="9CC2E5" w:themeFill="accent1" w:themeFillTint="99"/>
            <w:vAlign w:val="center"/>
          </w:tcPr>
          <w:p w14:paraId="0935D548"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9" w:type="dxa"/>
            <w:shd w:val="clear" w:color="auto" w:fill="9CC2E5" w:themeFill="accent1" w:themeFillTint="99"/>
            <w:vAlign w:val="center"/>
          </w:tcPr>
          <w:p w14:paraId="7143D2F1"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8" w:type="dxa"/>
            <w:shd w:val="clear" w:color="auto" w:fill="9CC2E5" w:themeFill="accent1" w:themeFillTint="99"/>
            <w:vAlign w:val="center"/>
          </w:tcPr>
          <w:p w14:paraId="520052B3"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9" w:type="dxa"/>
            <w:shd w:val="clear" w:color="auto" w:fill="9CC2E5" w:themeFill="accent1" w:themeFillTint="99"/>
            <w:vAlign w:val="center"/>
          </w:tcPr>
          <w:p w14:paraId="71716D46"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9" w:type="dxa"/>
            <w:shd w:val="clear" w:color="auto" w:fill="9CC2E5" w:themeFill="accent1" w:themeFillTint="99"/>
            <w:vAlign w:val="center"/>
          </w:tcPr>
          <w:p w14:paraId="277A04E0"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3D45539C" w14:textId="77777777" w:rsidTr="00C378D3">
        <w:trPr>
          <w:trHeight w:val="151"/>
        </w:trPr>
        <w:tc>
          <w:tcPr>
            <w:tcW w:w="714" w:type="dxa"/>
            <w:vAlign w:val="center"/>
          </w:tcPr>
          <w:p w14:paraId="6D19A3B9" w14:textId="32730733" w:rsidR="00DB1D63" w:rsidRPr="00237760" w:rsidRDefault="00DB1D63" w:rsidP="009367B4">
            <w:pPr>
              <w:pStyle w:val="Akapitzlist"/>
              <w:numPr>
                <w:ilvl w:val="0"/>
                <w:numId w:val="26"/>
              </w:numPr>
              <w:spacing w:after="0" w:line="240" w:lineRule="auto"/>
              <w:ind w:left="323"/>
              <w:jc w:val="left"/>
              <w:rPr>
                <w:rFonts w:ascii="Arial" w:hAnsi="Arial" w:cs="Arial"/>
                <w:color w:val="auto"/>
                <w:sz w:val="24"/>
                <w:szCs w:val="24"/>
              </w:rPr>
            </w:pPr>
          </w:p>
        </w:tc>
        <w:tc>
          <w:tcPr>
            <w:tcW w:w="3969" w:type="dxa"/>
            <w:shd w:val="clear" w:color="auto" w:fill="auto"/>
            <w:vAlign w:val="center"/>
          </w:tcPr>
          <w:p w14:paraId="0BAAD07E"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Zagrożenie powodziowe na obszarach szczególnego zagrożenia powodziowego lub spowodowane długotrwałymi i ulewnymi deszczami, uaktywnienie się usuwisk, opóźnienia spowodowane innymi ekstremalnymi zjawiskami </w:t>
            </w:r>
            <w:r w:rsidRPr="00237760">
              <w:rPr>
                <w:rFonts w:ascii="Arial" w:hAnsi="Arial" w:cs="Arial"/>
                <w:color w:val="auto"/>
                <w:sz w:val="24"/>
                <w:szCs w:val="24"/>
              </w:rPr>
              <w:lastRenderedPageBreak/>
              <w:t>pogodowymi np. wysokimi temperaturami, wichurami.</w:t>
            </w:r>
          </w:p>
        </w:tc>
        <w:tc>
          <w:tcPr>
            <w:tcW w:w="928" w:type="dxa"/>
            <w:shd w:val="clear" w:color="auto" w:fill="9CC2E5" w:themeFill="accent1" w:themeFillTint="99"/>
            <w:vAlign w:val="center"/>
          </w:tcPr>
          <w:p w14:paraId="330D34FC"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lastRenderedPageBreak/>
              <w:t>TAK</w:t>
            </w:r>
          </w:p>
        </w:tc>
        <w:tc>
          <w:tcPr>
            <w:tcW w:w="929" w:type="dxa"/>
            <w:shd w:val="clear" w:color="auto" w:fill="9CC2E5" w:themeFill="accent1" w:themeFillTint="99"/>
            <w:vAlign w:val="center"/>
          </w:tcPr>
          <w:p w14:paraId="1CB67EC4"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8" w:type="dxa"/>
            <w:shd w:val="clear" w:color="auto" w:fill="9CC2E5" w:themeFill="accent1" w:themeFillTint="99"/>
            <w:vAlign w:val="center"/>
          </w:tcPr>
          <w:p w14:paraId="2029E92A"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9" w:type="dxa"/>
            <w:shd w:val="clear" w:color="auto" w:fill="9CC2E5" w:themeFill="accent1" w:themeFillTint="99"/>
            <w:vAlign w:val="center"/>
          </w:tcPr>
          <w:p w14:paraId="02E2C06F"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9" w:type="dxa"/>
            <w:shd w:val="clear" w:color="auto" w:fill="9CC2E5" w:themeFill="accent1" w:themeFillTint="99"/>
            <w:vAlign w:val="center"/>
          </w:tcPr>
          <w:p w14:paraId="4FFD2370"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72426FB0" w14:textId="77777777" w:rsidTr="00C378D3">
        <w:trPr>
          <w:trHeight w:val="151"/>
        </w:trPr>
        <w:tc>
          <w:tcPr>
            <w:tcW w:w="714" w:type="dxa"/>
            <w:vAlign w:val="center"/>
          </w:tcPr>
          <w:p w14:paraId="27A562F0" w14:textId="01E80F5D" w:rsidR="00DB1D63" w:rsidRPr="00237760" w:rsidRDefault="00DB1D63" w:rsidP="009367B4">
            <w:pPr>
              <w:pStyle w:val="Akapitzlist"/>
              <w:numPr>
                <w:ilvl w:val="0"/>
                <w:numId w:val="26"/>
              </w:numPr>
              <w:spacing w:after="0" w:line="240" w:lineRule="auto"/>
              <w:ind w:left="323"/>
              <w:jc w:val="left"/>
              <w:rPr>
                <w:rFonts w:ascii="Arial" w:hAnsi="Arial" w:cs="Arial"/>
                <w:color w:val="auto"/>
                <w:sz w:val="24"/>
                <w:szCs w:val="24"/>
              </w:rPr>
            </w:pPr>
          </w:p>
        </w:tc>
        <w:tc>
          <w:tcPr>
            <w:tcW w:w="3969" w:type="dxa"/>
            <w:shd w:val="clear" w:color="auto" w:fill="auto"/>
            <w:vAlign w:val="center"/>
          </w:tcPr>
          <w:p w14:paraId="0ED14DCF"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Opóźnienia prac związane z odkryciem na terenie inwestycji przedmiotów zabytkowych/ obiektów archeologicznych.</w:t>
            </w:r>
          </w:p>
        </w:tc>
        <w:tc>
          <w:tcPr>
            <w:tcW w:w="928" w:type="dxa"/>
            <w:shd w:val="clear" w:color="auto" w:fill="9CC2E5" w:themeFill="accent1" w:themeFillTint="99"/>
            <w:vAlign w:val="center"/>
          </w:tcPr>
          <w:p w14:paraId="0EA2AFA8"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9" w:type="dxa"/>
            <w:shd w:val="clear" w:color="auto" w:fill="9CC2E5" w:themeFill="accent1" w:themeFillTint="99"/>
            <w:vAlign w:val="center"/>
          </w:tcPr>
          <w:p w14:paraId="12396F04"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8" w:type="dxa"/>
            <w:shd w:val="clear" w:color="auto" w:fill="F4B083" w:themeFill="accent2" w:themeFillTint="99"/>
            <w:vAlign w:val="center"/>
          </w:tcPr>
          <w:p w14:paraId="40649BA9"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w:t>
            </w:r>
          </w:p>
        </w:tc>
        <w:tc>
          <w:tcPr>
            <w:tcW w:w="929" w:type="dxa"/>
            <w:shd w:val="clear" w:color="auto" w:fill="9CC2E5" w:themeFill="accent1" w:themeFillTint="99"/>
            <w:vAlign w:val="center"/>
          </w:tcPr>
          <w:p w14:paraId="6EB46680"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9" w:type="dxa"/>
            <w:shd w:val="clear" w:color="auto" w:fill="9CC2E5" w:themeFill="accent1" w:themeFillTint="99"/>
            <w:vAlign w:val="center"/>
          </w:tcPr>
          <w:p w14:paraId="19CD40FA"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149C22E2" w14:textId="77777777" w:rsidTr="00C378D3">
        <w:trPr>
          <w:trHeight w:val="151"/>
        </w:trPr>
        <w:tc>
          <w:tcPr>
            <w:tcW w:w="714" w:type="dxa"/>
            <w:vAlign w:val="center"/>
          </w:tcPr>
          <w:p w14:paraId="79C3ADF7" w14:textId="3EA2227A" w:rsidR="00DB1D63" w:rsidRPr="00237760" w:rsidRDefault="00DB1D63" w:rsidP="009367B4">
            <w:pPr>
              <w:pStyle w:val="Akapitzlist"/>
              <w:numPr>
                <w:ilvl w:val="0"/>
                <w:numId w:val="26"/>
              </w:numPr>
              <w:spacing w:after="0" w:line="240" w:lineRule="auto"/>
              <w:ind w:left="323"/>
              <w:jc w:val="left"/>
              <w:rPr>
                <w:rFonts w:ascii="Arial" w:hAnsi="Arial" w:cs="Arial"/>
                <w:color w:val="auto"/>
                <w:sz w:val="24"/>
                <w:szCs w:val="24"/>
              </w:rPr>
            </w:pPr>
          </w:p>
        </w:tc>
        <w:tc>
          <w:tcPr>
            <w:tcW w:w="3969" w:type="dxa"/>
            <w:shd w:val="clear" w:color="auto" w:fill="auto"/>
            <w:vAlign w:val="center"/>
          </w:tcPr>
          <w:p w14:paraId="62F5E6D2"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Niedostateczna jakość dokumentacji przetargowej i technicznej oraz opóźnienia w obiegu dokumentacji</w:t>
            </w:r>
          </w:p>
        </w:tc>
        <w:tc>
          <w:tcPr>
            <w:tcW w:w="928" w:type="dxa"/>
            <w:shd w:val="clear" w:color="auto" w:fill="9CC2E5" w:themeFill="accent1" w:themeFillTint="99"/>
            <w:vAlign w:val="center"/>
          </w:tcPr>
          <w:p w14:paraId="0EA4FD81"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9" w:type="dxa"/>
            <w:shd w:val="clear" w:color="auto" w:fill="9CC2E5" w:themeFill="accent1" w:themeFillTint="99"/>
            <w:vAlign w:val="center"/>
          </w:tcPr>
          <w:p w14:paraId="6A9DF0F6"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8" w:type="dxa"/>
            <w:shd w:val="clear" w:color="auto" w:fill="9CC2E5" w:themeFill="accent1" w:themeFillTint="99"/>
            <w:vAlign w:val="center"/>
          </w:tcPr>
          <w:p w14:paraId="483208EC"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9" w:type="dxa"/>
            <w:shd w:val="clear" w:color="auto" w:fill="F4B083" w:themeFill="accent2" w:themeFillTint="99"/>
            <w:vAlign w:val="center"/>
          </w:tcPr>
          <w:p w14:paraId="428D33BB"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w:t>
            </w:r>
          </w:p>
        </w:tc>
        <w:tc>
          <w:tcPr>
            <w:tcW w:w="929" w:type="dxa"/>
            <w:shd w:val="clear" w:color="auto" w:fill="9CC2E5" w:themeFill="accent1" w:themeFillTint="99"/>
            <w:vAlign w:val="center"/>
          </w:tcPr>
          <w:p w14:paraId="3E065949"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2952EE30" w14:textId="77777777" w:rsidTr="00C378D3">
        <w:trPr>
          <w:trHeight w:val="151"/>
        </w:trPr>
        <w:tc>
          <w:tcPr>
            <w:tcW w:w="714" w:type="dxa"/>
            <w:vAlign w:val="center"/>
          </w:tcPr>
          <w:p w14:paraId="44F2F804" w14:textId="6D1164EE" w:rsidR="00DB1D63" w:rsidRPr="00237760" w:rsidRDefault="00DB1D63" w:rsidP="009367B4">
            <w:pPr>
              <w:pStyle w:val="Akapitzlist"/>
              <w:numPr>
                <w:ilvl w:val="0"/>
                <w:numId w:val="26"/>
              </w:numPr>
              <w:spacing w:after="0" w:line="240" w:lineRule="auto"/>
              <w:ind w:left="323"/>
              <w:jc w:val="left"/>
              <w:rPr>
                <w:rFonts w:ascii="Arial" w:hAnsi="Arial" w:cs="Arial"/>
                <w:color w:val="auto"/>
                <w:sz w:val="24"/>
                <w:szCs w:val="24"/>
              </w:rPr>
            </w:pPr>
          </w:p>
        </w:tc>
        <w:tc>
          <w:tcPr>
            <w:tcW w:w="3969" w:type="dxa"/>
            <w:shd w:val="clear" w:color="auto" w:fill="auto"/>
            <w:vAlign w:val="center"/>
          </w:tcPr>
          <w:p w14:paraId="382188F8"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Brak kompetencji i doświadczenia podmiotów wyłanianych w przetargach skutkujące niską jakością robót i usług (w tym brak znajomości realiów rynkowych i administracyjnych w Polsce)</w:t>
            </w:r>
          </w:p>
        </w:tc>
        <w:tc>
          <w:tcPr>
            <w:tcW w:w="928" w:type="dxa"/>
            <w:shd w:val="clear" w:color="auto" w:fill="9CC2E5" w:themeFill="accent1" w:themeFillTint="99"/>
            <w:vAlign w:val="center"/>
          </w:tcPr>
          <w:p w14:paraId="799071ED"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9" w:type="dxa"/>
            <w:shd w:val="clear" w:color="auto" w:fill="9CC2E5" w:themeFill="accent1" w:themeFillTint="99"/>
            <w:vAlign w:val="center"/>
          </w:tcPr>
          <w:p w14:paraId="356F7727"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8" w:type="dxa"/>
            <w:shd w:val="clear" w:color="auto" w:fill="9CC2E5" w:themeFill="accent1" w:themeFillTint="99"/>
            <w:vAlign w:val="center"/>
          </w:tcPr>
          <w:p w14:paraId="103AD5EF"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9" w:type="dxa"/>
            <w:shd w:val="clear" w:color="auto" w:fill="9CC2E5" w:themeFill="accent1" w:themeFillTint="99"/>
            <w:vAlign w:val="center"/>
          </w:tcPr>
          <w:p w14:paraId="3C2DDF3B"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9" w:type="dxa"/>
            <w:shd w:val="clear" w:color="auto" w:fill="9CC2E5" w:themeFill="accent1" w:themeFillTint="99"/>
            <w:vAlign w:val="center"/>
          </w:tcPr>
          <w:p w14:paraId="46D9B71F"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7663CABB" w14:textId="77777777" w:rsidTr="00C378D3">
        <w:trPr>
          <w:trHeight w:val="151"/>
        </w:trPr>
        <w:tc>
          <w:tcPr>
            <w:tcW w:w="714" w:type="dxa"/>
            <w:vAlign w:val="center"/>
          </w:tcPr>
          <w:p w14:paraId="6D887DAD" w14:textId="4F5A01A9" w:rsidR="00DB1D63" w:rsidRPr="00237760" w:rsidRDefault="00DB1D63" w:rsidP="009367B4">
            <w:pPr>
              <w:pStyle w:val="Akapitzlist"/>
              <w:numPr>
                <w:ilvl w:val="0"/>
                <w:numId w:val="26"/>
              </w:numPr>
              <w:spacing w:after="0" w:line="240" w:lineRule="auto"/>
              <w:ind w:left="323"/>
              <w:jc w:val="left"/>
              <w:rPr>
                <w:rFonts w:ascii="Arial" w:hAnsi="Arial" w:cs="Arial"/>
                <w:color w:val="auto"/>
                <w:sz w:val="24"/>
                <w:szCs w:val="24"/>
              </w:rPr>
            </w:pPr>
          </w:p>
        </w:tc>
        <w:tc>
          <w:tcPr>
            <w:tcW w:w="3969" w:type="dxa"/>
            <w:shd w:val="clear" w:color="auto" w:fill="auto"/>
            <w:vAlign w:val="center"/>
          </w:tcPr>
          <w:p w14:paraId="284A58AD"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Przedłużające się procedury administracyjne (związane m.in. z uzyskiwaniem uzgodnień, pozwoleń itp.)</w:t>
            </w:r>
          </w:p>
        </w:tc>
        <w:tc>
          <w:tcPr>
            <w:tcW w:w="928" w:type="dxa"/>
            <w:shd w:val="clear" w:color="auto" w:fill="9CC2E5" w:themeFill="accent1" w:themeFillTint="99"/>
            <w:vAlign w:val="center"/>
          </w:tcPr>
          <w:p w14:paraId="47389E05"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9" w:type="dxa"/>
            <w:shd w:val="clear" w:color="auto" w:fill="9CC2E5" w:themeFill="accent1" w:themeFillTint="99"/>
            <w:vAlign w:val="center"/>
          </w:tcPr>
          <w:p w14:paraId="6212EFFE"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8" w:type="dxa"/>
            <w:shd w:val="clear" w:color="auto" w:fill="9CC2E5" w:themeFill="accent1" w:themeFillTint="99"/>
            <w:vAlign w:val="center"/>
          </w:tcPr>
          <w:p w14:paraId="0B8DDCBC"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9" w:type="dxa"/>
            <w:shd w:val="clear" w:color="auto" w:fill="F4B083" w:themeFill="accent2" w:themeFillTint="99"/>
            <w:vAlign w:val="center"/>
          </w:tcPr>
          <w:p w14:paraId="5C59DCA1"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w:t>
            </w:r>
          </w:p>
        </w:tc>
        <w:tc>
          <w:tcPr>
            <w:tcW w:w="929" w:type="dxa"/>
            <w:shd w:val="clear" w:color="auto" w:fill="9CC2E5" w:themeFill="accent1" w:themeFillTint="99"/>
            <w:vAlign w:val="center"/>
          </w:tcPr>
          <w:p w14:paraId="7E71FF80"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3D76D23A" w14:textId="77777777" w:rsidTr="00C378D3">
        <w:trPr>
          <w:trHeight w:val="151"/>
        </w:trPr>
        <w:tc>
          <w:tcPr>
            <w:tcW w:w="714" w:type="dxa"/>
            <w:vAlign w:val="center"/>
          </w:tcPr>
          <w:p w14:paraId="6D65643D" w14:textId="4AFE8C55" w:rsidR="00DB1D63" w:rsidRPr="00237760" w:rsidRDefault="00DB1D63" w:rsidP="009367B4">
            <w:pPr>
              <w:pStyle w:val="Akapitzlist"/>
              <w:numPr>
                <w:ilvl w:val="0"/>
                <w:numId w:val="26"/>
              </w:numPr>
              <w:spacing w:after="0" w:line="240" w:lineRule="auto"/>
              <w:ind w:left="323"/>
              <w:jc w:val="left"/>
              <w:rPr>
                <w:rFonts w:ascii="Arial" w:hAnsi="Arial" w:cs="Arial"/>
                <w:color w:val="auto"/>
                <w:sz w:val="24"/>
                <w:szCs w:val="24"/>
              </w:rPr>
            </w:pPr>
          </w:p>
        </w:tc>
        <w:tc>
          <w:tcPr>
            <w:tcW w:w="3969" w:type="dxa"/>
            <w:shd w:val="clear" w:color="auto" w:fill="auto"/>
            <w:vAlign w:val="center"/>
          </w:tcPr>
          <w:p w14:paraId="65C35F2F"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Nieterminowa realizacja inwestycji wynikająca m.in. z niedotrzymywania harmonogramów prac, konieczności modyfikacji przyjętych rozwiązań</w:t>
            </w:r>
          </w:p>
        </w:tc>
        <w:tc>
          <w:tcPr>
            <w:tcW w:w="928" w:type="dxa"/>
            <w:shd w:val="clear" w:color="auto" w:fill="9CC2E5" w:themeFill="accent1" w:themeFillTint="99"/>
            <w:vAlign w:val="center"/>
          </w:tcPr>
          <w:p w14:paraId="132784FD"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9" w:type="dxa"/>
            <w:shd w:val="clear" w:color="auto" w:fill="9CC2E5" w:themeFill="accent1" w:themeFillTint="99"/>
            <w:vAlign w:val="center"/>
          </w:tcPr>
          <w:p w14:paraId="6E259B80"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8" w:type="dxa"/>
            <w:shd w:val="clear" w:color="auto" w:fill="9CC2E5" w:themeFill="accent1" w:themeFillTint="99"/>
            <w:vAlign w:val="center"/>
          </w:tcPr>
          <w:p w14:paraId="33CB632E"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9" w:type="dxa"/>
            <w:shd w:val="clear" w:color="auto" w:fill="9CC2E5" w:themeFill="accent1" w:themeFillTint="99"/>
            <w:vAlign w:val="center"/>
          </w:tcPr>
          <w:p w14:paraId="1CA8A1EC"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9" w:type="dxa"/>
            <w:shd w:val="clear" w:color="auto" w:fill="9CC2E5" w:themeFill="accent1" w:themeFillTint="99"/>
            <w:vAlign w:val="center"/>
          </w:tcPr>
          <w:p w14:paraId="0C5895C8"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3A55810F" w14:textId="77777777" w:rsidTr="00C378D3">
        <w:trPr>
          <w:trHeight w:val="151"/>
        </w:trPr>
        <w:tc>
          <w:tcPr>
            <w:tcW w:w="714" w:type="dxa"/>
            <w:vAlign w:val="center"/>
          </w:tcPr>
          <w:p w14:paraId="126BDA3B" w14:textId="225A6DDA" w:rsidR="00DB1D63" w:rsidRPr="00237760" w:rsidRDefault="00DB1D63" w:rsidP="009367B4">
            <w:pPr>
              <w:pStyle w:val="Akapitzlist"/>
              <w:numPr>
                <w:ilvl w:val="0"/>
                <w:numId w:val="26"/>
              </w:numPr>
              <w:spacing w:after="0" w:line="240" w:lineRule="auto"/>
              <w:ind w:left="323"/>
              <w:jc w:val="left"/>
              <w:rPr>
                <w:rFonts w:ascii="Arial" w:hAnsi="Arial" w:cs="Arial"/>
                <w:color w:val="auto"/>
                <w:sz w:val="24"/>
                <w:szCs w:val="24"/>
              </w:rPr>
            </w:pPr>
          </w:p>
        </w:tc>
        <w:tc>
          <w:tcPr>
            <w:tcW w:w="3969" w:type="dxa"/>
            <w:shd w:val="clear" w:color="auto" w:fill="auto"/>
            <w:vAlign w:val="center"/>
          </w:tcPr>
          <w:p w14:paraId="4E9FD722" w14:textId="47E985A8"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Zmiany organizacyjne w </w:t>
            </w:r>
            <w:r w:rsidR="00F65111" w:rsidRPr="00237760">
              <w:rPr>
                <w:rFonts w:ascii="Arial" w:hAnsi="Arial" w:cs="Arial"/>
                <w:color w:val="auto"/>
                <w:sz w:val="24"/>
                <w:szCs w:val="24"/>
              </w:rPr>
              <w:t xml:space="preserve">JST </w:t>
            </w:r>
            <w:r w:rsidRPr="00237760">
              <w:rPr>
                <w:rFonts w:ascii="Arial" w:hAnsi="Arial" w:cs="Arial"/>
                <w:color w:val="auto"/>
                <w:sz w:val="24"/>
                <w:szCs w:val="24"/>
              </w:rPr>
              <w:t>wynikające z procesów wyborczych</w:t>
            </w:r>
          </w:p>
        </w:tc>
        <w:tc>
          <w:tcPr>
            <w:tcW w:w="928" w:type="dxa"/>
            <w:shd w:val="clear" w:color="auto" w:fill="F4B083" w:themeFill="accent2" w:themeFillTint="99"/>
            <w:vAlign w:val="center"/>
          </w:tcPr>
          <w:p w14:paraId="650D1B0D"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w:t>
            </w:r>
          </w:p>
        </w:tc>
        <w:tc>
          <w:tcPr>
            <w:tcW w:w="929" w:type="dxa"/>
            <w:shd w:val="clear" w:color="auto" w:fill="9CC2E5" w:themeFill="accent1" w:themeFillTint="99"/>
            <w:vAlign w:val="center"/>
          </w:tcPr>
          <w:p w14:paraId="42D3AA8C"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8" w:type="dxa"/>
            <w:shd w:val="clear" w:color="auto" w:fill="9CC2E5" w:themeFill="accent1" w:themeFillTint="99"/>
            <w:vAlign w:val="center"/>
          </w:tcPr>
          <w:p w14:paraId="4D429B1E"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9" w:type="dxa"/>
            <w:shd w:val="clear" w:color="auto" w:fill="9CC2E5" w:themeFill="accent1" w:themeFillTint="99"/>
            <w:vAlign w:val="center"/>
          </w:tcPr>
          <w:p w14:paraId="0F45BB12" w14:textId="23F2D348" w:rsidR="00DB1D63" w:rsidRPr="00237760" w:rsidRDefault="00DA3662"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9" w:type="dxa"/>
            <w:shd w:val="clear" w:color="auto" w:fill="F4B083" w:themeFill="accent2" w:themeFillTint="99"/>
            <w:vAlign w:val="center"/>
          </w:tcPr>
          <w:p w14:paraId="01266DF8" w14:textId="41D9E25C" w:rsidR="00DB1D63" w:rsidRPr="00237760" w:rsidRDefault="00DA3662"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w:t>
            </w:r>
          </w:p>
        </w:tc>
      </w:tr>
      <w:tr w:rsidR="00237760" w:rsidRPr="00237760" w14:paraId="01DEF948" w14:textId="77777777" w:rsidTr="00C378D3">
        <w:trPr>
          <w:trHeight w:val="151"/>
        </w:trPr>
        <w:tc>
          <w:tcPr>
            <w:tcW w:w="714" w:type="dxa"/>
            <w:vAlign w:val="center"/>
          </w:tcPr>
          <w:p w14:paraId="7D44FE9A" w14:textId="0234F6ED" w:rsidR="00DB1D63" w:rsidRPr="00237760" w:rsidRDefault="00DB1D63" w:rsidP="009367B4">
            <w:pPr>
              <w:pStyle w:val="Akapitzlist"/>
              <w:numPr>
                <w:ilvl w:val="0"/>
                <w:numId w:val="26"/>
              </w:numPr>
              <w:spacing w:after="0" w:line="240" w:lineRule="auto"/>
              <w:ind w:left="323"/>
              <w:jc w:val="left"/>
              <w:rPr>
                <w:rFonts w:ascii="Arial" w:hAnsi="Arial" w:cs="Arial"/>
                <w:color w:val="auto"/>
                <w:sz w:val="24"/>
                <w:szCs w:val="24"/>
              </w:rPr>
            </w:pPr>
          </w:p>
        </w:tc>
        <w:tc>
          <w:tcPr>
            <w:tcW w:w="3969" w:type="dxa"/>
            <w:shd w:val="clear" w:color="auto" w:fill="auto"/>
            <w:vAlign w:val="center"/>
          </w:tcPr>
          <w:p w14:paraId="5AE863AA"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Konflikty społeczne związane z prowadzeniem inwestycji (związane m.in. z regulacjami stanu prawnego nieruchomości, wywłaszczeniem nieruchomości na cele publiczne)</w:t>
            </w:r>
          </w:p>
        </w:tc>
        <w:tc>
          <w:tcPr>
            <w:tcW w:w="928" w:type="dxa"/>
            <w:shd w:val="clear" w:color="auto" w:fill="9CC2E5" w:themeFill="accent1" w:themeFillTint="99"/>
            <w:vAlign w:val="center"/>
          </w:tcPr>
          <w:p w14:paraId="20444534"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9" w:type="dxa"/>
            <w:shd w:val="clear" w:color="auto" w:fill="9CC2E5" w:themeFill="accent1" w:themeFillTint="99"/>
            <w:vAlign w:val="center"/>
          </w:tcPr>
          <w:p w14:paraId="761FAA90"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8" w:type="dxa"/>
            <w:shd w:val="clear" w:color="auto" w:fill="9CC2E5" w:themeFill="accent1" w:themeFillTint="99"/>
            <w:vAlign w:val="center"/>
          </w:tcPr>
          <w:p w14:paraId="37DF4BE0"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9" w:type="dxa"/>
            <w:shd w:val="clear" w:color="auto" w:fill="9CC2E5" w:themeFill="accent1" w:themeFillTint="99"/>
            <w:vAlign w:val="center"/>
          </w:tcPr>
          <w:p w14:paraId="0C6EAA11"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9" w:type="dxa"/>
            <w:shd w:val="clear" w:color="auto" w:fill="9CC2E5" w:themeFill="accent1" w:themeFillTint="99"/>
            <w:vAlign w:val="center"/>
          </w:tcPr>
          <w:p w14:paraId="0C7F11EA"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677CDAA8" w14:textId="77777777" w:rsidTr="00C378D3">
        <w:trPr>
          <w:trHeight w:val="151"/>
        </w:trPr>
        <w:tc>
          <w:tcPr>
            <w:tcW w:w="714" w:type="dxa"/>
            <w:vAlign w:val="center"/>
          </w:tcPr>
          <w:p w14:paraId="620DE644" w14:textId="44F19473" w:rsidR="00DB1D63" w:rsidRPr="00237760" w:rsidRDefault="00DB1D63" w:rsidP="009367B4">
            <w:pPr>
              <w:pStyle w:val="Akapitzlist"/>
              <w:numPr>
                <w:ilvl w:val="0"/>
                <w:numId w:val="26"/>
              </w:numPr>
              <w:spacing w:after="0" w:line="240" w:lineRule="auto"/>
              <w:ind w:left="323"/>
              <w:jc w:val="left"/>
              <w:rPr>
                <w:rFonts w:ascii="Arial" w:hAnsi="Arial" w:cs="Arial"/>
                <w:color w:val="auto"/>
                <w:sz w:val="24"/>
                <w:szCs w:val="24"/>
              </w:rPr>
            </w:pPr>
          </w:p>
        </w:tc>
        <w:tc>
          <w:tcPr>
            <w:tcW w:w="3969" w:type="dxa"/>
            <w:shd w:val="clear" w:color="auto" w:fill="auto"/>
            <w:vAlign w:val="center"/>
          </w:tcPr>
          <w:p w14:paraId="4A47B7DD"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Niewystarczająca znajomość tematyki Programu wśród mieszkańców i brak zaangażowania</w:t>
            </w:r>
          </w:p>
        </w:tc>
        <w:tc>
          <w:tcPr>
            <w:tcW w:w="928" w:type="dxa"/>
            <w:shd w:val="clear" w:color="auto" w:fill="F4B083" w:themeFill="accent2" w:themeFillTint="99"/>
            <w:vAlign w:val="center"/>
          </w:tcPr>
          <w:p w14:paraId="3C657F1D"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w:t>
            </w:r>
          </w:p>
        </w:tc>
        <w:tc>
          <w:tcPr>
            <w:tcW w:w="929" w:type="dxa"/>
            <w:shd w:val="clear" w:color="auto" w:fill="9CC2E5" w:themeFill="accent1" w:themeFillTint="99"/>
            <w:vAlign w:val="center"/>
          </w:tcPr>
          <w:p w14:paraId="1CCA4F9B"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928" w:type="dxa"/>
            <w:shd w:val="clear" w:color="auto" w:fill="F4B083" w:themeFill="accent2" w:themeFillTint="99"/>
            <w:vAlign w:val="center"/>
          </w:tcPr>
          <w:p w14:paraId="185CBF82"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w:t>
            </w:r>
          </w:p>
        </w:tc>
        <w:tc>
          <w:tcPr>
            <w:tcW w:w="929" w:type="dxa"/>
            <w:shd w:val="clear" w:color="auto" w:fill="F4B083" w:themeFill="accent2" w:themeFillTint="99"/>
            <w:vAlign w:val="center"/>
          </w:tcPr>
          <w:p w14:paraId="392B9BAB"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w:t>
            </w:r>
          </w:p>
        </w:tc>
        <w:tc>
          <w:tcPr>
            <w:tcW w:w="929" w:type="dxa"/>
            <w:shd w:val="clear" w:color="auto" w:fill="9CC2E5" w:themeFill="accent1" w:themeFillTint="99"/>
            <w:vAlign w:val="center"/>
          </w:tcPr>
          <w:p w14:paraId="58FFC6DC" w14:textId="77777777" w:rsidR="00DB1D63" w:rsidRPr="00237760" w:rsidRDefault="00DB1D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bl>
    <w:p w14:paraId="3C331B5C" w14:textId="6C53A7D4" w:rsidR="00ED3D23" w:rsidRPr="00237760" w:rsidRDefault="00680A71"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Źr</w:t>
      </w:r>
      <w:r w:rsidR="00F773DE" w:rsidRPr="00237760">
        <w:rPr>
          <w:rFonts w:ascii="Arial" w:hAnsi="Arial" w:cs="Arial"/>
          <w:color w:val="auto"/>
          <w:sz w:val="24"/>
          <w:szCs w:val="24"/>
          <w:lang w:eastAsia="pl-PL"/>
        </w:rPr>
        <w:t>ó</w:t>
      </w:r>
      <w:r w:rsidRPr="00237760">
        <w:rPr>
          <w:rFonts w:ascii="Arial" w:hAnsi="Arial" w:cs="Arial"/>
          <w:color w:val="auto"/>
          <w:sz w:val="24"/>
          <w:szCs w:val="24"/>
          <w:lang w:eastAsia="pl-PL"/>
        </w:rPr>
        <w:t>dło: opracowanie własne.</w:t>
      </w:r>
    </w:p>
    <w:p w14:paraId="26A6EC13" w14:textId="77777777" w:rsidR="00100C6D" w:rsidRPr="00237760" w:rsidRDefault="00100C6D" w:rsidP="009367B4">
      <w:pPr>
        <w:jc w:val="left"/>
        <w:rPr>
          <w:rFonts w:ascii="Arial" w:hAnsi="Arial" w:cs="Arial"/>
          <w:color w:val="auto"/>
          <w:sz w:val="24"/>
          <w:szCs w:val="24"/>
          <w:lang w:eastAsia="pl-PL"/>
        </w:rPr>
      </w:pPr>
    </w:p>
    <w:p w14:paraId="6F823C06" w14:textId="6AA14282" w:rsidR="00100C6D" w:rsidRPr="00237760" w:rsidRDefault="00AB574A" w:rsidP="009367B4">
      <w:pPr>
        <w:spacing w:after="160" w:line="259" w:lineRule="auto"/>
        <w:jc w:val="left"/>
        <w:rPr>
          <w:rFonts w:ascii="Arial" w:hAnsi="Arial" w:cs="Arial"/>
          <w:color w:val="auto"/>
          <w:sz w:val="24"/>
          <w:szCs w:val="24"/>
          <w:lang w:eastAsia="pl-PL"/>
        </w:rPr>
      </w:pPr>
      <w:r w:rsidRPr="00237760">
        <w:rPr>
          <w:rFonts w:ascii="Arial" w:hAnsi="Arial" w:cs="Arial"/>
          <w:color w:val="auto"/>
          <w:sz w:val="24"/>
          <w:szCs w:val="24"/>
          <w:lang w:eastAsia="pl-PL"/>
        </w:rPr>
        <w:br w:type="page"/>
      </w:r>
    </w:p>
    <w:p w14:paraId="42B7FD74" w14:textId="6915169F" w:rsidR="00100C6D" w:rsidRPr="00237760" w:rsidRDefault="00100C6D" w:rsidP="009367B4">
      <w:pPr>
        <w:pStyle w:val="Nagwek2"/>
        <w:rPr>
          <w:rFonts w:ascii="Arial" w:hAnsi="Arial" w:cs="Arial"/>
          <w:color w:val="auto"/>
          <w:sz w:val="24"/>
          <w:szCs w:val="24"/>
        </w:rPr>
      </w:pPr>
      <w:bookmarkStart w:id="92" w:name="_Ref101178886"/>
      <w:bookmarkStart w:id="93" w:name="_Toc101904117"/>
      <w:r w:rsidRPr="00237760">
        <w:rPr>
          <w:rFonts w:ascii="Arial" w:hAnsi="Arial" w:cs="Arial"/>
          <w:color w:val="auto"/>
          <w:sz w:val="24"/>
          <w:szCs w:val="24"/>
        </w:rPr>
        <w:lastRenderedPageBreak/>
        <w:t xml:space="preserve">Ocena trafności w </w:t>
      </w:r>
      <w:r w:rsidR="00B73FBF" w:rsidRPr="00237760">
        <w:rPr>
          <w:rFonts w:ascii="Arial" w:hAnsi="Arial" w:cs="Arial"/>
          <w:color w:val="auto"/>
          <w:sz w:val="24"/>
          <w:szCs w:val="24"/>
        </w:rPr>
        <w:t xml:space="preserve">zakresie </w:t>
      </w:r>
      <w:r w:rsidRPr="00237760">
        <w:rPr>
          <w:rFonts w:ascii="Arial" w:hAnsi="Arial" w:cs="Arial"/>
          <w:color w:val="auto"/>
          <w:sz w:val="24"/>
          <w:szCs w:val="24"/>
        </w:rPr>
        <w:t>systemu wdrażania i realizacji</w:t>
      </w:r>
      <w:bookmarkEnd w:id="92"/>
      <w:bookmarkEnd w:id="93"/>
    </w:p>
    <w:p w14:paraId="2783334B" w14:textId="77777777" w:rsidR="00100C6D" w:rsidRPr="00237760" w:rsidRDefault="00100C6D" w:rsidP="00D352FD">
      <w:pPr>
        <w:pStyle w:val="Nagwek3"/>
        <w:numPr>
          <w:ilvl w:val="0"/>
          <w:numId w:val="0"/>
        </w:numPr>
        <w:ind w:left="851" w:hanging="851"/>
      </w:pPr>
      <w:bookmarkStart w:id="94" w:name="_Toc101904118"/>
      <w:r w:rsidRPr="00237760">
        <w:t>Synteza</w:t>
      </w:r>
      <w:bookmarkEnd w:id="94"/>
    </w:p>
    <w:p w14:paraId="6F538A27" w14:textId="77777777" w:rsidR="00100C6D" w:rsidRPr="00237760" w:rsidRDefault="00100C6D" w:rsidP="009367B4">
      <w:pPr>
        <w:jc w:val="left"/>
        <w:rPr>
          <w:rFonts w:ascii="Arial" w:hAnsi="Arial" w:cs="Arial"/>
          <w:bCs/>
          <w:iCs/>
          <w:color w:val="auto"/>
          <w:sz w:val="24"/>
          <w:szCs w:val="24"/>
        </w:rPr>
      </w:pPr>
      <w:r w:rsidRPr="00237760">
        <w:rPr>
          <w:rFonts w:ascii="Arial" w:hAnsi="Arial" w:cs="Arial"/>
          <w:color w:val="auto"/>
          <w:sz w:val="24"/>
          <w:szCs w:val="24"/>
        </w:rPr>
        <w:t>Pytanie ewaluacyjne:</w:t>
      </w:r>
      <w:r w:rsidRPr="00237760">
        <w:rPr>
          <w:rFonts w:ascii="Arial" w:hAnsi="Arial" w:cs="Arial"/>
          <w:bCs/>
          <w:iCs/>
          <w:color w:val="auto"/>
          <w:sz w:val="24"/>
          <w:szCs w:val="24"/>
        </w:rPr>
        <w:t xml:space="preserve"> </w:t>
      </w:r>
    </w:p>
    <w:p w14:paraId="72E7E610" w14:textId="019D833F" w:rsidR="00100C6D" w:rsidRPr="00237760" w:rsidRDefault="00100C6D" w:rsidP="009367B4">
      <w:pPr>
        <w:jc w:val="left"/>
        <w:rPr>
          <w:rFonts w:ascii="Arial" w:hAnsi="Arial" w:cs="Arial"/>
          <w:color w:val="auto"/>
          <w:sz w:val="24"/>
          <w:szCs w:val="24"/>
        </w:rPr>
      </w:pPr>
      <w:r w:rsidRPr="00237760">
        <w:rPr>
          <w:rFonts w:ascii="Arial" w:hAnsi="Arial" w:cs="Arial"/>
          <w:b/>
          <w:i/>
          <w:color w:val="auto"/>
          <w:sz w:val="24"/>
          <w:szCs w:val="24"/>
        </w:rPr>
        <w:t xml:space="preserve">Czy wskazane w Programie elementy systemu wdrażania i realizacji dokumentu zostały dobrane </w:t>
      </w:r>
      <w:r w:rsidR="00685DA2" w:rsidRPr="00237760">
        <w:rPr>
          <w:rFonts w:ascii="Arial" w:hAnsi="Arial" w:cs="Arial"/>
          <w:b/>
          <w:i/>
          <w:color w:val="auto"/>
          <w:sz w:val="24"/>
          <w:szCs w:val="24"/>
        </w:rPr>
        <w:br/>
      </w:r>
      <w:r w:rsidRPr="00237760">
        <w:rPr>
          <w:rFonts w:ascii="Arial" w:hAnsi="Arial" w:cs="Arial"/>
          <w:b/>
          <w:i/>
          <w:color w:val="auto"/>
          <w:sz w:val="24"/>
          <w:szCs w:val="24"/>
        </w:rPr>
        <w:t>i sformułowane trafnie?</w:t>
      </w:r>
    </w:p>
    <w:p w14:paraId="4571E33B" w14:textId="77777777" w:rsidR="00100C6D" w:rsidRPr="00237760" w:rsidRDefault="00100C6D" w:rsidP="009367B4">
      <w:pPr>
        <w:jc w:val="left"/>
        <w:rPr>
          <w:rFonts w:ascii="Arial" w:hAnsi="Arial" w:cs="Arial"/>
          <w:color w:val="auto"/>
          <w:sz w:val="24"/>
          <w:szCs w:val="24"/>
        </w:rPr>
      </w:pPr>
      <w:r w:rsidRPr="00237760">
        <w:rPr>
          <w:rFonts w:ascii="Arial" w:hAnsi="Arial" w:cs="Arial"/>
          <w:color w:val="auto"/>
          <w:sz w:val="24"/>
          <w:szCs w:val="24"/>
        </w:rPr>
        <w:t>Syntetyczna odpowiedź:</w:t>
      </w:r>
    </w:p>
    <w:p w14:paraId="3D272C2B" w14:textId="6C20D58B" w:rsidR="00100C6D" w:rsidRPr="00237760" w:rsidRDefault="001A2F68" w:rsidP="009367B4">
      <w:pPr>
        <w:jc w:val="left"/>
        <w:rPr>
          <w:rFonts w:ascii="Arial" w:hAnsi="Arial" w:cs="Arial"/>
          <w:b/>
          <w:i/>
          <w:color w:val="auto"/>
          <w:sz w:val="24"/>
          <w:szCs w:val="24"/>
        </w:rPr>
      </w:pPr>
      <w:r w:rsidRPr="00237760">
        <w:rPr>
          <w:rFonts w:ascii="Arial" w:hAnsi="Arial" w:cs="Arial"/>
          <w:b/>
          <w:i/>
          <w:color w:val="auto"/>
          <w:sz w:val="24"/>
          <w:szCs w:val="24"/>
        </w:rPr>
        <w:t>Tak</w:t>
      </w:r>
      <w:r w:rsidR="008D5BBA" w:rsidRPr="00237760">
        <w:rPr>
          <w:rFonts w:ascii="Arial" w:hAnsi="Arial" w:cs="Arial"/>
          <w:b/>
          <w:bCs/>
          <w:i/>
          <w:iCs/>
          <w:color w:val="auto"/>
          <w:sz w:val="24"/>
          <w:szCs w:val="24"/>
        </w:rPr>
        <w:t xml:space="preserve">. </w:t>
      </w:r>
      <w:r w:rsidR="00A5761C" w:rsidRPr="00237760">
        <w:rPr>
          <w:rFonts w:ascii="Arial" w:hAnsi="Arial" w:cs="Arial"/>
          <w:b/>
          <w:i/>
          <w:color w:val="auto"/>
          <w:sz w:val="24"/>
          <w:szCs w:val="24"/>
        </w:rPr>
        <w:t xml:space="preserve">System zawiera wszystkie potrzebne elementy, </w:t>
      </w:r>
      <w:r w:rsidR="001C4401" w:rsidRPr="00237760">
        <w:rPr>
          <w:rFonts w:ascii="Arial" w:hAnsi="Arial" w:cs="Arial"/>
          <w:b/>
          <w:i/>
          <w:color w:val="auto"/>
          <w:sz w:val="24"/>
          <w:szCs w:val="24"/>
        </w:rPr>
        <w:t>które stanowią pełny, możliwy do określenia,</w:t>
      </w:r>
      <w:r w:rsidR="00523023" w:rsidRPr="00237760">
        <w:rPr>
          <w:rFonts w:ascii="Arial" w:hAnsi="Arial" w:cs="Arial"/>
          <w:b/>
          <w:i/>
          <w:color w:val="auto"/>
          <w:sz w:val="24"/>
          <w:szCs w:val="24"/>
        </w:rPr>
        <w:t xml:space="preserve"> obraz instytucjonalno-organizacyjny Programu.</w:t>
      </w:r>
      <w:r w:rsidR="008D5BBA" w:rsidRPr="00237760">
        <w:rPr>
          <w:rFonts w:ascii="Arial" w:hAnsi="Arial" w:cs="Arial"/>
          <w:b/>
          <w:bCs/>
          <w:i/>
          <w:iCs/>
          <w:color w:val="auto"/>
          <w:sz w:val="24"/>
          <w:szCs w:val="24"/>
        </w:rPr>
        <w:t xml:space="preserve"> Wskaźniki monitorowania Programu </w:t>
      </w:r>
      <w:r w:rsidR="00143AAD" w:rsidRPr="00237760">
        <w:rPr>
          <w:rFonts w:ascii="Arial" w:hAnsi="Arial" w:cs="Arial"/>
          <w:b/>
          <w:bCs/>
          <w:i/>
          <w:iCs/>
          <w:color w:val="auto"/>
          <w:sz w:val="24"/>
          <w:szCs w:val="24"/>
        </w:rPr>
        <w:t>należy generalnie</w:t>
      </w:r>
      <w:r w:rsidR="008D5BBA" w:rsidRPr="00237760">
        <w:rPr>
          <w:rFonts w:ascii="Arial" w:hAnsi="Arial" w:cs="Arial"/>
          <w:b/>
          <w:bCs/>
          <w:i/>
          <w:iCs/>
          <w:color w:val="auto"/>
          <w:sz w:val="24"/>
          <w:szCs w:val="24"/>
        </w:rPr>
        <w:t xml:space="preserve"> uznać za trafnie dobrane do celów, choć można wskazać kilka miar, które doprecyzowane lepiej odzwierciedlałyby charakter założeń. </w:t>
      </w:r>
    </w:p>
    <w:p w14:paraId="12D65C27" w14:textId="77777777" w:rsidR="00100C6D" w:rsidRPr="00237760" w:rsidRDefault="00100C6D" w:rsidP="009367B4">
      <w:pPr>
        <w:pStyle w:val="Nagwek4"/>
        <w:shd w:val="clear" w:color="auto" w:fill="auto"/>
        <w:rPr>
          <w:rFonts w:ascii="Arial" w:hAnsi="Arial" w:cs="Arial"/>
          <w:color w:val="auto"/>
        </w:rPr>
      </w:pPr>
      <w:r w:rsidRPr="00237760">
        <w:rPr>
          <w:rFonts w:ascii="Arial" w:hAnsi="Arial" w:cs="Arial"/>
          <w:color w:val="auto"/>
        </w:rPr>
        <w:t xml:space="preserve"> </w:t>
      </w:r>
      <w:bookmarkStart w:id="95" w:name="_Toc101904119"/>
      <w:r w:rsidRPr="00237760">
        <w:rPr>
          <w:rFonts w:ascii="Arial" w:hAnsi="Arial" w:cs="Arial"/>
          <w:color w:val="auto"/>
        </w:rPr>
        <w:t>Analiza</w:t>
      </w:r>
      <w:bookmarkEnd w:id="95"/>
    </w:p>
    <w:p w14:paraId="1D4733DE" w14:textId="27797DC1" w:rsidR="008B56B6" w:rsidRPr="00237760" w:rsidRDefault="008B56B6"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 xml:space="preserve">System wdrażania </w:t>
      </w:r>
      <w:r w:rsidR="001A2F68" w:rsidRPr="00237760">
        <w:rPr>
          <w:rFonts w:ascii="Arial" w:hAnsi="Arial" w:cs="Arial"/>
          <w:color w:val="auto"/>
          <w:sz w:val="24"/>
          <w:szCs w:val="24"/>
          <w:lang w:eastAsia="pl-PL"/>
        </w:rPr>
        <w:t xml:space="preserve">i realizacji PSRT WP </w:t>
      </w:r>
      <w:r w:rsidR="0002631B" w:rsidRPr="00237760">
        <w:rPr>
          <w:rFonts w:ascii="Arial" w:hAnsi="Arial" w:cs="Arial"/>
          <w:color w:val="auto"/>
          <w:sz w:val="24"/>
          <w:szCs w:val="24"/>
          <w:lang w:eastAsia="pl-PL"/>
        </w:rPr>
        <w:t xml:space="preserve">obejmuje </w:t>
      </w:r>
      <w:r w:rsidR="008622FB" w:rsidRPr="00237760">
        <w:rPr>
          <w:rFonts w:ascii="Arial" w:hAnsi="Arial" w:cs="Arial"/>
          <w:color w:val="auto"/>
          <w:sz w:val="24"/>
          <w:szCs w:val="24"/>
          <w:lang w:eastAsia="pl-PL"/>
        </w:rPr>
        <w:t>cztery kluczowe elementy:</w:t>
      </w:r>
    </w:p>
    <w:p w14:paraId="1A93AE81" w14:textId="65119827" w:rsidR="008622FB" w:rsidRPr="00237760" w:rsidRDefault="008622FB" w:rsidP="009367B4">
      <w:pPr>
        <w:pStyle w:val="Akapitzlist"/>
        <w:numPr>
          <w:ilvl w:val="0"/>
          <w:numId w:val="9"/>
        </w:numPr>
        <w:spacing w:after="0"/>
        <w:ind w:left="1276"/>
        <w:jc w:val="left"/>
        <w:rPr>
          <w:rFonts w:ascii="Arial" w:hAnsi="Arial" w:cs="Arial"/>
          <w:color w:val="auto"/>
          <w:sz w:val="24"/>
          <w:szCs w:val="24"/>
        </w:rPr>
      </w:pPr>
      <w:r w:rsidRPr="00237760">
        <w:rPr>
          <w:rFonts w:ascii="Arial" w:hAnsi="Arial" w:cs="Arial"/>
          <w:color w:val="auto"/>
          <w:sz w:val="24"/>
          <w:szCs w:val="24"/>
        </w:rPr>
        <w:t>Podmioty uczestniczące w realizacji Programu;</w:t>
      </w:r>
    </w:p>
    <w:p w14:paraId="654CD0C7" w14:textId="4AF25BD9" w:rsidR="001E6C82" w:rsidRPr="00237760" w:rsidRDefault="001E6C82" w:rsidP="009367B4">
      <w:pPr>
        <w:pStyle w:val="Akapitzlist"/>
        <w:numPr>
          <w:ilvl w:val="0"/>
          <w:numId w:val="9"/>
        </w:numPr>
        <w:spacing w:after="0"/>
        <w:ind w:left="1276"/>
        <w:jc w:val="left"/>
        <w:rPr>
          <w:rFonts w:ascii="Arial" w:hAnsi="Arial" w:cs="Arial"/>
          <w:color w:val="auto"/>
          <w:sz w:val="24"/>
          <w:szCs w:val="24"/>
        </w:rPr>
      </w:pPr>
      <w:r w:rsidRPr="00237760">
        <w:rPr>
          <w:rFonts w:ascii="Arial" w:hAnsi="Arial" w:cs="Arial"/>
          <w:color w:val="auto"/>
          <w:sz w:val="24"/>
          <w:szCs w:val="24"/>
        </w:rPr>
        <w:t>Ramy finansowe;</w:t>
      </w:r>
    </w:p>
    <w:p w14:paraId="10027FED" w14:textId="5C16A0C3" w:rsidR="001E6C82" w:rsidRPr="00237760" w:rsidRDefault="001E6C82" w:rsidP="009367B4">
      <w:pPr>
        <w:pStyle w:val="Akapitzlist"/>
        <w:numPr>
          <w:ilvl w:val="0"/>
          <w:numId w:val="9"/>
        </w:numPr>
        <w:spacing w:after="0"/>
        <w:ind w:left="1276"/>
        <w:jc w:val="left"/>
        <w:rPr>
          <w:rFonts w:ascii="Arial" w:hAnsi="Arial" w:cs="Arial"/>
          <w:color w:val="auto"/>
          <w:sz w:val="24"/>
          <w:szCs w:val="24"/>
        </w:rPr>
      </w:pPr>
      <w:r w:rsidRPr="00237760">
        <w:rPr>
          <w:rFonts w:ascii="Arial" w:hAnsi="Arial" w:cs="Arial"/>
          <w:color w:val="auto"/>
          <w:sz w:val="24"/>
          <w:szCs w:val="24"/>
        </w:rPr>
        <w:t>System monitorowania i ewaluacji, a także</w:t>
      </w:r>
    </w:p>
    <w:p w14:paraId="132A8A09" w14:textId="67A408BF" w:rsidR="005208A3" w:rsidRPr="00237760" w:rsidRDefault="001B5F01" w:rsidP="009367B4">
      <w:pPr>
        <w:pStyle w:val="Akapitzlist"/>
        <w:numPr>
          <w:ilvl w:val="0"/>
          <w:numId w:val="9"/>
        </w:numPr>
        <w:ind w:left="1276"/>
        <w:jc w:val="left"/>
        <w:rPr>
          <w:rFonts w:ascii="Arial" w:hAnsi="Arial" w:cs="Arial"/>
          <w:color w:val="auto"/>
          <w:sz w:val="24"/>
          <w:szCs w:val="24"/>
        </w:rPr>
      </w:pPr>
      <w:r w:rsidRPr="00237760">
        <w:rPr>
          <w:rFonts w:ascii="Arial" w:hAnsi="Arial" w:cs="Arial"/>
          <w:color w:val="auto"/>
          <w:sz w:val="24"/>
          <w:szCs w:val="24"/>
        </w:rPr>
        <w:t>Kryteria wyboru projektów.</w:t>
      </w:r>
    </w:p>
    <w:p w14:paraId="5F573E6B" w14:textId="65881FC6" w:rsidR="007526B8" w:rsidRPr="00237760" w:rsidRDefault="006E70B4" w:rsidP="009367B4">
      <w:pPr>
        <w:jc w:val="left"/>
        <w:rPr>
          <w:rFonts w:ascii="Arial" w:hAnsi="Arial" w:cs="Arial"/>
          <w:color w:val="auto"/>
          <w:sz w:val="24"/>
          <w:szCs w:val="24"/>
        </w:rPr>
      </w:pPr>
      <w:r w:rsidRPr="00237760">
        <w:rPr>
          <w:rFonts w:ascii="Arial" w:hAnsi="Arial" w:cs="Arial"/>
          <w:color w:val="auto"/>
          <w:sz w:val="24"/>
          <w:szCs w:val="24"/>
          <w:lang w:eastAsia="pl-PL"/>
        </w:rPr>
        <w:t xml:space="preserve">Zaprezentowany w PSRT WP </w:t>
      </w:r>
      <w:r w:rsidR="00421DC3" w:rsidRPr="00237760">
        <w:rPr>
          <w:rFonts w:ascii="Arial" w:hAnsi="Arial" w:cs="Arial"/>
          <w:b/>
          <w:color w:val="auto"/>
          <w:sz w:val="24"/>
          <w:szCs w:val="24"/>
          <w:lang w:eastAsia="pl-PL"/>
        </w:rPr>
        <w:t>system instytucjonalny</w:t>
      </w:r>
      <w:r w:rsidR="68FBE272" w:rsidRPr="00237760">
        <w:rPr>
          <w:rFonts w:ascii="Arial" w:hAnsi="Arial" w:cs="Arial"/>
          <w:color w:val="auto"/>
          <w:sz w:val="24"/>
          <w:szCs w:val="24"/>
          <w:lang w:eastAsia="pl-PL"/>
        </w:rPr>
        <w:t xml:space="preserve"> </w:t>
      </w:r>
      <w:r w:rsidR="68FBE272" w:rsidRPr="00237760">
        <w:rPr>
          <w:rFonts w:ascii="Arial" w:hAnsi="Arial" w:cs="Arial"/>
          <w:color w:val="auto"/>
          <w:sz w:val="24"/>
          <w:szCs w:val="24"/>
        </w:rPr>
        <w:t xml:space="preserve">realizacji zaprezentowany w PSRT WP obejmuje </w:t>
      </w:r>
      <w:r w:rsidR="00421DC3" w:rsidRPr="00237760">
        <w:rPr>
          <w:rFonts w:ascii="Arial" w:hAnsi="Arial" w:cs="Arial"/>
          <w:color w:val="auto"/>
          <w:sz w:val="24"/>
          <w:szCs w:val="24"/>
        </w:rPr>
        <w:t>szeroki zakres podmiotów.</w:t>
      </w:r>
      <w:r w:rsidR="68FBE272" w:rsidRPr="00237760">
        <w:rPr>
          <w:rFonts w:ascii="Arial" w:hAnsi="Arial" w:cs="Arial"/>
          <w:color w:val="auto"/>
          <w:sz w:val="24"/>
          <w:szCs w:val="24"/>
        </w:rPr>
        <w:t xml:space="preserve"> Wskazuje tym samym na Samorząd Województwa Podkarpackiego jako podmiot odpowiedzialny za kształtowanie polityki transport</w:t>
      </w:r>
      <w:r w:rsidR="009878AC" w:rsidRPr="00237760">
        <w:rPr>
          <w:rFonts w:ascii="Arial" w:hAnsi="Arial" w:cs="Arial"/>
          <w:color w:val="auto"/>
          <w:sz w:val="24"/>
          <w:szCs w:val="24"/>
        </w:rPr>
        <w:t>owej</w:t>
      </w:r>
      <w:r w:rsidR="68FBE272" w:rsidRPr="00237760">
        <w:rPr>
          <w:rFonts w:ascii="Arial" w:hAnsi="Arial" w:cs="Arial"/>
          <w:color w:val="auto"/>
          <w:sz w:val="24"/>
          <w:szCs w:val="24"/>
        </w:rPr>
        <w:t xml:space="preserve"> w regionie</w:t>
      </w:r>
      <w:r w:rsidR="00C762CF" w:rsidRPr="00237760">
        <w:rPr>
          <w:rFonts w:ascii="Arial" w:hAnsi="Arial" w:cs="Arial"/>
          <w:color w:val="auto"/>
          <w:sz w:val="24"/>
          <w:szCs w:val="24"/>
        </w:rPr>
        <w:t xml:space="preserve"> (Departament Dróg </w:t>
      </w:r>
      <w:r w:rsidR="00685DA2" w:rsidRPr="00237760">
        <w:rPr>
          <w:rFonts w:ascii="Arial" w:hAnsi="Arial" w:cs="Arial"/>
          <w:color w:val="auto"/>
          <w:sz w:val="24"/>
          <w:szCs w:val="24"/>
        </w:rPr>
        <w:br/>
        <w:t>i</w:t>
      </w:r>
      <w:r w:rsidR="00C762CF" w:rsidRPr="00237760">
        <w:rPr>
          <w:rFonts w:ascii="Arial" w:hAnsi="Arial" w:cs="Arial"/>
          <w:color w:val="auto"/>
          <w:sz w:val="24"/>
          <w:szCs w:val="24"/>
        </w:rPr>
        <w:t xml:space="preserve"> Publicznego Transportu Zbiorowego</w:t>
      </w:r>
      <w:r w:rsidR="00DE4B92" w:rsidRPr="00237760">
        <w:rPr>
          <w:rFonts w:ascii="Arial" w:hAnsi="Arial" w:cs="Arial"/>
          <w:color w:val="auto"/>
          <w:sz w:val="24"/>
          <w:szCs w:val="24"/>
        </w:rPr>
        <w:t>)</w:t>
      </w:r>
      <w:r w:rsidR="68FBE272" w:rsidRPr="00237760">
        <w:rPr>
          <w:rFonts w:ascii="Arial" w:hAnsi="Arial" w:cs="Arial"/>
          <w:color w:val="auto"/>
          <w:sz w:val="24"/>
          <w:szCs w:val="24"/>
        </w:rPr>
        <w:t xml:space="preserve">. </w:t>
      </w:r>
      <w:r w:rsidR="00131F07" w:rsidRPr="00237760">
        <w:rPr>
          <w:rFonts w:ascii="Arial" w:hAnsi="Arial" w:cs="Arial"/>
          <w:color w:val="auto"/>
          <w:sz w:val="24"/>
          <w:szCs w:val="24"/>
        </w:rPr>
        <w:t>Poza samorządem województwa system instytucjonalny tworzą:</w:t>
      </w:r>
    </w:p>
    <w:p w14:paraId="770B720B" w14:textId="3817435A" w:rsidR="009440F6" w:rsidRPr="00237760" w:rsidRDefault="0056458B" w:rsidP="009367B4">
      <w:pPr>
        <w:pStyle w:val="Akapitzlist"/>
        <w:numPr>
          <w:ilvl w:val="0"/>
          <w:numId w:val="27"/>
        </w:numPr>
        <w:ind w:hanging="357"/>
        <w:contextualSpacing/>
        <w:jc w:val="left"/>
        <w:rPr>
          <w:rFonts w:ascii="Arial" w:eastAsia="Yu Mincho Light" w:hAnsi="Arial" w:cs="Arial"/>
          <w:color w:val="auto"/>
          <w:sz w:val="24"/>
          <w:szCs w:val="24"/>
        </w:rPr>
      </w:pPr>
      <w:r w:rsidRPr="00237760">
        <w:rPr>
          <w:rFonts w:ascii="Arial" w:eastAsia="Yu Mincho Light" w:hAnsi="Arial" w:cs="Arial"/>
          <w:color w:val="auto"/>
          <w:sz w:val="24"/>
          <w:szCs w:val="24"/>
        </w:rPr>
        <w:t xml:space="preserve">podmioty </w:t>
      </w:r>
      <w:r w:rsidR="003F292B" w:rsidRPr="00237760">
        <w:rPr>
          <w:rFonts w:ascii="Arial" w:eastAsia="Yu Mincho Light" w:hAnsi="Arial" w:cs="Arial"/>
          <w:color w:val="auto"/>
          <w:sz w:val="24"/>
          <w:szCs w:val="24"/>
        </w:rPr>
        <w:t>powiązane z Programami Operacyjnymi:</w:t>
      </w:r>
    </w:p>
    <w:p w14:paraId="0D0976C9" w14:textId="5F184C59" w:rsidR="003F292B" w:rsidRPr="00237760" w:rsidRDefault="003B2271" w:rsidP="009367B4">
      <w:pPr>
        <w:pStyle w:val="Akapitzlist"/>
        <w:numPr>
          <w:ilvl w:val="1"/>
          <w:numId w:val="27"/>
        </w:numPr>
        <w:ind w:hanging="357"/>
        <w:contextualSpacing/>
        <w:jc w:val="left"/>
        <w:rPr>
          <w:rFonts w:ascii="Arial" w:eastAsia="Yu Mincho Light" w:hAnsi="Arial" w:cs="Arial"/>
          <w:color w:val="auto"/>
          <w:sz w:val="24"/>
          <w:szCs w:val="24"/>
        </w:rPr>
      </w:pPr>
      <w:r w:rsidRPr="00237760">
        <w:rPr>
          <w:rFonts w:ascii="Arial" w:eastAsia="Yu Mincho Light" w:hAnsi="Arial" w:cs="Arial"/>
          <w:color w:val="auto"/>
          <w:sz w:val="24"/>
          <w:szCs w:val="24"/>
        </w:rPr>
        <w:t>Zarząd Województwa Podkarpackiego</w:t>
      </w:r>
      <w:r w:rsidR="00256D51" w:rsidRPr="00237760">
        <w:rPr>
          <w:rFonts w:ascii="Arial" w:eastAsia="Yu Mincho Light" w:hAnsi="Arial" w:cs="Arial"/>
          <w:color w:val="auto"/>
          <w:sz w:val="24"/>
          <w:szCs w:val="24"/>
        </w:rPr>
        <w:t>,</w:t>
      </w:r>
    </w:p>
    <w:p w14:paraId="735EA7A9" w14:textId="77777777" w:rsidR="00256D51" w:rsidRPr="00237760" w:rsidRDefault="003B2271" w:rsidP="009367B4">
      <w:pPr>
        <w:pStyle w:val="Akapitzlist"/>
        <w:numPr>
          <w:ilvl w:val="1"/>
          <w:numId w:val="27"/>
        </w:numPr>
        <w:ind w:hanging="357"/>
        <w:contextualSpacing/>
        <w:jc w:val="left"/>
        <w:rPr>
          <w:rFonts w:ascii="Arial" w:eastAsia="Yu Mincho Light" w:hAnsi="Arial" w:cs="Arial"/>
          <w:color w:val="auto"/>
          <w:sz w:val="24"/>
          <w:szCs w:val="24"/>
        </w:rPr>
      </w:pPr>
      <w:r w:rsidRPr="00237760">
        <w:rPr>
          <w:rFonts w:ascii="Arial" w:eastAsia="Yu Mincho Light" w:hAnsi="Arial" w:cs="Arial"/>
          <w:color w:val="auto"/>
          <w:sz w:val="24"/>
          <w:szCs w:val="24"/>
        </w:rPr>
        <w:t>Minister właściwy ds. rozwoju regionalnego</w:t>
      </w:r>
      <w:r w:rsidR="00256D51" w:rsidRPr="00237760">
        <w:rPr>
          <w:rFonts w:ascii="Arial" w:eastAsia="Yu Mincho Light" w:hAnsi="Arial" w:cs="Arial"/>
          <w:color w:val="auto"/>
          <w:sz w:val="24"/>
          <w:szCs w:val="24"/>
        </w:rPr>
        <w:t>,</w:t>
      </w:r>
    </w:p>
    <w:p w14:paraId="60DE5A79" w14:textId="77777777" w:rsidR="00256D51" w:rsidRPr="00237760" w:rsidRDefault="00256D51" w:rsidP="009367B4">
      <w:pPr>
        <w:pStyle w:val="Akapitzlist"/>
        <w:numPr>
          <w:ilvl w:val="1"/>
          <w:numId w:val="27"/>
        </w:numPr>
        <w:ind w:hanging="357"/>
        <w:contextualSpacing/>
        <w:jc w:val="left"/>
        <w:rPr>
          <w:rFonts w:ascii="Arial" w:eastAsia="Yu Mincho Light" w:hAnsi="Arial" w:cs="Arial"/>
          <w:color w:val="auto"/>
          <w:sz w:val="24"/>
          <w:szCs w:val="24"/>
        </w:rPr>
      </w:pPr>
      <w:r w:rsidRPr="00237760">
        <w:rPr>
          <w:rFonts w:ascii="Arial" w:eastAsia="Yu Mincho Light" w:hAnsi="Arial" w:cs="Arial"/>
          <w:color w:val="auto"/>
          <w:sz w:val="24"/>
          <w:szCs w:val="24"/>
        </w:rPr>
        <w:t>Centrum Unijnych Projektów Transportowych,</w:t>
      </w:r>
    </w:p>
    <w:p w14:paraId="559B1F8A" w14:textId="77777777" w:rsidR="00D30F06" w:rsidRPr="00237760" w:rsidRDefault="00256D51" w:rsidP="009367B4">
      <w:pPr>
        <w:pStyle w:val="Akapitzlist"/>
        <w:numPr>
          <w:ilvl w:val="1"/>
          <w:numId w:val="27"/>
        </w:numPr>
        <w:ind w:hanging="357"/>
        <w:contextualSpacing/>
        <w:jc w:val="left"/>
        <w:rPr>
          <w:rFonts w:ascii="Arial" w:eastAsia="Yu Mincho Light" w:hAnsi="Arial" w:cs="Arial"/>
          <w:color w:val="auto"/>
          <w:sz w:val="24"/>
          <w:szCs w:val="24"/>
        </w:rPr>
      </w:pPr>
      <w:r w:rsidRPr="00237760">
        <w:rPr>
          <w:rFonts w:ascii="Arial" w:eastAsia="Yu Mincho Light" w:hAnsi="Arial" w:cs="Arial"/>
          <w:color w:val="auto"/>
          <w:sz w:val="24"/>
          <w:szCs w:val="24"/>
        </w:rPr>
        <w:t>Polska Agencja Rozwoju Przedsiębiorczości</w:t>
      </w:r>
      <w:r w:rsidR="00D30F06" w:rsidRPr="00237760">
        <w:rPr>
          <w:rFonts w:ascii="Arial" w:eastAsia="Yu Mincho Light" w:hAnsi="Arial" w:cs="Arial"/>
          <w:color w:val="auto"/>
          <w:sz w:val="24"/>
          <w:szCs w:val="24"/>
        </w:rPr>
        <w:t>,</w:t>
      </w:r>
    </w:p>
    <w:p w14:paraId="6FD2C486" w14:textId="77777777" w:rsidR="00D30F06" w:rsidRPr="00237760" w:rsidRDefault="00D30F06" w:rsidP="009367B4">
      <w:pPr>
        <w:pStyle w:val="Akapitzlist"/>
        <w:numPr>
          <w:ilvl w:val="0"/>
          <w:numId w:val="27"/>
        </w:numPr>
        <w:ind w:hanging="357"/>
        <w:contextualSpacing/>
        <w:jc w:val="left"/>
        <w:rPr>
          <w:rFonts w:ascii="Arial" w:eastAsia="Yu Mincho Light" w:hAnsi="Arial" w:cs="Arial"/>
          <w:color w:val="auto"/>
          <w:sz w:val="24"/>
          <w:szCs w:val="24"/>
        </w:rPr>
      </w:pPr>
      <w:r w:rsidRPr="00237760">
        <w:rPr>
          <w:rFonts w:ascii="Arial" w:eastAsia="Yu Mincho Light" w:hAnsi="Arial" w:cs="Arial"/>
          <w:color w:val="auto"/>
          <w:sz w:val="24"/>
          <w:szCs w:val="24"/>
        </w:rPr>
        <w:t>podmioty opiniujące SOOŚ projektów inwestycyjnych w sektorze transportu:</w:t>
      </w:r>
    </w:p>
    <w:p w14:paraId="55691ED0" w14:textId="77777777" w:rsidR="007C3D55" w:rsidRPr="00237760" w:rsidRDefault="00D30F06" w:rsidP="009367B4">
      <w:pPr>
        <w:pStyle w:val="Akapitzlist"/>
        <w:numPr>
          <w:ilvl w:val="1"/>
          <w:numId w:val="27"/>
        </w:numPr>
        <w:ind w:hanging="357"/>
        <w:contextualSpacing/>
        <w:jc w:val="left"/>
        <w:rPr>
          <w:rFonts w:ascii="Arial" w:eastAsia="Yu Mincho Light" w:hAnsi="Arial" w:cs="Arial"/>
          <w:color w:val="auto"/>
          <w:sz w:val="24"/>
          <w:szCs w:val="24"/>
        </w:rPr>
      </w:pPr>
      <w:r w:rsidRPr="00237760">
        <w:rPr>
          <w:rFonts w:ascii="Arial" w:eastAsia="Yu Mincho Light" w:hAnsi="Arial" w:cs="Arial"/>
          <w:color w:val="auto"/>
          <w:sz w:val="24"/>
          <w:szCs w:val="24"/>
        </w:rPr>
        <w:t>Minister właściwy ds. środowiska naturalnego</w:t>
      </w:r>
      <w:r w:rsidR="007C3D55" w:rsidRPr="00237760">
        <w:rPr>
          <w:rFonts w:ascii="Arial" w:eastAsia="Yu Mincho Light" w:hAnsi="Arial" w:cs="Arial"/>
          <w:color w:val="auto"/>
          <w:sz w:val="24"/>
          <w:szCs w:val="24"/>
        </w:rPr>
        <w:t>,</w:t>
      </w:r>
    </w:p>
    <w:p w14:paraId="294EE5A2" w14:textId="1A86DB2B" w:rsidR="00AB3BD9" w:rsidRPr="00237760" w:rsidRDefault="007C3D55" w:rsidP="009367B4">
      <w:pPr>
        <w:pStyle w:val="Akapitzlist"/>
        <w:numPr>
          <w:ilvl w:val="1"/>
          <w:numId w:val="27"/>
        </w:numPr>
        <w:ind w:hanging="357"/>
        <w:contextualSpacing/>
        <w:jc w:val="left"/>
        <w:rPr>
          <w:rFonts w:ascii="Arial" w:eastAsia="Yu Mincho Light" w:hAnsi="Arial" w:cs="Arial"/>
          <w:color w:val="auto"/>
          <w:sz w:val="24"/>
          <w:szCs w:val="24"/>
        </w:rPr>
      </w:pPr>
      <w:r w:rsidRPr="00237760">
        <w:rPr>
          <w:rFonts w:ascii="Arial" w:eastAsia="Yu Mincho Light" w:hAnsi="Arial" w:cs="Arial"/>
          <w:color w:val="auto"/>
          <w:sz w:val="24"/>
          <w:szCs w:val="24"/>
        </w:rPr>
        <w:t>Regionalny Dyrektor Ochrony Środowiska w Rzeszowie lub/i Podkarpacki Państwowy Wojewódzki Inspektor Sanitarny</w:t>
      </w:r>
      <w:r w:rsidR="00E81F3D" w:rsidRPr="00237760">
        <w:rPr>
          <w:rFonts w:ascii="Arial" w:eastAsia="Yu Mincho Light" w:hAnsi="Arial" w:cs="Arial"/>
          <w:color w:val="auto"/>
          <w:sz w:val="24"/>
          <w:szCs w:val="24"/>
        </w:rPr>
        <w:t>,</w:t>
      </w:r>
    </w:p>
    <w:p w14:paraId="21C1B672" w14:textId="11474DCB" w:rsidR="003B2271" w:rsidRPr="00237760" w:rsidRDefault="006A63EA" w:rsidP="009367B4">
      <w:pPr>
        <w:pStyle w:val="Akapitzlist"/>
        <w:numPr>
          <w:ilvl w:val="0"/>
          <w:numId w:val="27"/>
        </w:numPr>
        <w:ind w:hanging="357"/>
        <w:contextualSpacing/>
        <w:jc w:val="left"/>
        <w:rPr>
          <w:rFonts w:ascii="Arial" w:eastAsia="Yu Mincho Light" w:hAnsi="Arial" w:cs="Arial"/>
          <w:color w:val="auto"/>
          <w:sz w:val="24"/>
          <w:szCs w:val="24"/>
        </w:rPr>
      </w:pPr>
      <w:r w:rsidRPr="00237760">
        <w:rPr>
          <w:rFonts w:ascii="Arial" w:eastAsia="Yu Mincho Light" w:hAnsi="Arial" w:cs="Arial"/>
          <w:color w:val="auto"/>
          <w:sz w:val="24"/>
          <w:szCs w:val="24"/>
        </w:rPr>
        <w:t>p</w:t>
      </w:r>
      <w:r w:rsidR="002128D2" w:rsidRPr="00237760">
        <w:rPr>
          <w:rFonts w:ascii="Arial" w:eastAsia="Yu Mincho Light" w:hAnsi="Arial" w:cs="Arial"/>
          <w:color w:val="auto"/>
          <w:sz w:val="24"/>
          <w:szCs w:val="24"/>
        </w:rPr>
        <w:t xml:space="preserve">odmioty </w:t>
      </w:r>
      <w:r w:rsidR="00EF5229" w:rsidRPr="00237760">
        <w:rPr>
          <w:rFonts w:ascii="Arial" w:eastAsia="Yu Mincho Light" w:hAnsi="Arial" w:cs="Arial"/>
          <w:color w:val="auto"/>
          <w:sz w:val="24"/>
          <w:szCs w:val="24"/>
        </w:rPr>
        <w:t>tworzące podsystem drogowy:</w:t>
      </w:r>
    </w:p>
    <w:p w14:paraId="48128025" w14:textId="77777777" w:rsidR="00D95C79" w:rsidRPr="00237760" w:rsidRDefault="00EF5229" w:rsidP="009367B4">
      <w:pPr>
        <w:pStyle w:val="Akapitzlist"/>
        <w:numPr>
          <w:ilvl w:val="1"/>
          <w:numId w:val="27"/>
        </w:numPr>
        <w:ind w:hanging="357"/>
        <w:contextualSpacing/>
        <w:jc w:val="left"/>
        <w:rPr>
          <w:rFonts w:ascii="Arial" w:eastAsia="Yu Mincho Light" w:hAnsi="Arial" w:cs="Arial"/>
          <w:color w:val="auto"/>
          <w:sz w:val="24"/>
          <w:szCs w:val="24"/>
        </w:rPr>
      </w:pPr>
      <w:r w:rsidRPr="00237760">
        <w:rPr>
          <w:rFonts w:ascii="Arial" w:eastAsia="Yu Mincho Light" w:hAnsi="Arial" w:cs="Arial"/>
          <w:color w:val="auto"/>
          <w:sz w:val="24"/>
          <w:szCs w:val="24"/>
        </w:rPr>
        <w:t>Dyrekcja Generalna Dróg Krajowych i Autostrad</w:t>
      </w:r>
      <w:r w:rsidR="00AA22B3" w:rsidRPr="00237760">
        <w:rPr>
          <w:rFonts w:ascii="Arial" w:eastAsia="Yu Mincho Light" w:hAnsi="Arial" w:cs="Arial"/>
          <w:color w:val="auto"/>
          <w:sz w:val="24"/>
          <w:szCs w:val="24"/>
        </w:rPr>
        <w:t>,</w:t>
      </w:r>
    </w:p>
    <w:p w14:paraId="224CD2A0" w14:textId="77777777" w:rsidR="00D95C79" w:rsidRPr="00237760" w:rsidRDefault="00FD05D6" w:rsidP="009367B4">
      <w:pPr>
        <w:pStyle w:val="Akapitzlist"/>
        <w:numPr>
          <w:ilvl w:val="1"/>
          <w:numId w:val="27"/>
        </w:numPr>
        <w:ind w:hanging="357"/>
        <w:contextualSpacing/>
        <w:jc w:val="left"/>
        <w:rPr>
          <w:rFonts w:ascii="Arial" w:eastAsia="Yu Mincho Light" w:hAnsi="Arial" w:cs="Arial"/>
          <w:color w:val="auto"/>
          <w:sz w:val="24"/>
          <w:szCs w:val="24"/>
        </w:rPr>
      </w:pPr>
      <w:r w:rsidRPr="00237760">
        <w:rPr>
          <w:rFonts w:ascii="Arial" w:eastAsia="Yu Mincho Light" w:hAnsi="Arial" w:cs="Arial"/>
          <w:color w:val="auto"/>
          <w:sz w:val="24"/>
          <w:szCs w:val="24"/>
        </w:rPr>
        <w:t>Podkarpacki Zarząd Dróg Wojewódzkich</w:t>
      </w:r>
      <w:r w:rsidR="00917741" w:rsidRPr="00237760">
        <w:rPr>
          <w:rFonts w:ascii="Arial" w:eastAsia="Yu Mincho Light" w:hAnsi="Arial" w:cs="Arial"/>
          <w:color w:val="auto"/>
          <w:sz w:val="24"/>
          <w:szCs w:val="24"/>
        </w:rPr>
        <w:t xml:space="preserve"> (z Samorządu Wojewó</w:t>
      </w:r>
      <w:r w:rsidR="008D7FE6" w:rsidRPr="00237760">
        <w:rPr>
          <w:rFonts w:ascii="Arial" w:eastAsia="Yu Mincho Light" w:hAnsi="Arial" w:cs="Arial"/>
          <w:color w:val="auto"/>
          <w:sz w:val="24"/>
          <w:szCs w:val="24"/>
        </w:rPr>
        <w:t>dztwa</w:t>
      </w:r>
      <w:r w:rsidR="00917741" w:rsidRPr="00237760">
        <w:rPr>
          <w:rFonts w:ascii="Arial" w:eastAsia="Yu Mincho Light" w:hAnsi="Arial" w:cs="Arial"/>
          <w:color w:val="auto"/>
          <w:sz w:val="24"/>
          <w:szCs w:val="24"/>
        </w:rPr>
        <w:t>)</w:t>
      </w:r>
      <w:r w:rsidR="009608CC" w:rsidRPr="00237760">
        <w:rPr>
          <w:rFonts w:ascii="Arial" w:eastAsia="Yu Mincho Light" w:hAnsi="Arial" w:cs="Arial"/>
          <w:color w:val="auto"/>
          <w:sz w:val="24"/>
          <w:szCs w:val="24"/>
        </w:rPr>
        <w:t>,</w:t>
      </w:r>
    </w:p>
    <w:p w14:paraId="01DBB3B7" w14:textId="53E5647C" w:rsidR="00FD05D6" w:rsidRPr="00237760" w:rsidRDefault="00FD05D6" w:rsidP="009367B4">
      <w:pPr>
        <w:pStyle w:val="Akapitzlist"/>
        <w:numPr>
          <w:ilvl w:val="1"/>
          <w:numId w:val="27"/>
        </w:numPr>
        <w:ind w:hanging="357"/>
        <w:contextualSpacing/>
        <w:jc w:val="left"/>
        <w:rPr>
          <w:rFonts w:ascii="Arial" w:eastAsia="Yu Mincho Light" w:hAnsi="Arial" w:cs="Arial"/>
          <w:color w:val="auto"/>
          <w:sz w:val="24"/>
          <w:szCs w:val="24"/>
        </w:rPr>
      </w:pPr>
      <w:r w:rsidRPr="00237760">
        <w:rPr>
          <w:rFonts w:ascii="Arial" w:eastAsia="Yu Mincho Light" w:hAnsi="Arial" w:cs="Arial"/>
          <w:color w:val="auto"/>
          <w:sz w:val="24"/>
          <w:szCs w:val="24"/>
        </w:rPr>
        <w:t xml:space="preserve">pozostałe </w:t>
      </w:r>
      <w:r w:rsidR="009608CC" w:rsidRPr="00237760">
        <w:rPr>
          <w:rFonts w:ascii="Arial" w:eastAsia="Yu Mincho Light" w:hAnsi="Arial" w:cs="Arial"/>
          <w:color w:val="auto"/>
          <w:sz w:val="24"/>
          <w:szCs w:val="24"/>
        </w:rPr>
        <w:t>jednostki samorządu terytorialnego – gminy i powiaty</w:t>
      </w:r>
      <w:r w:rsidR="006A63EA" w:rsidRPr="00237760">
        <w:rPr>
          <w:rFonts w:ascii="Arial" w:eastAsia="Yu Mincho Light" w:hAnsi="Arial" w:cs="Arial"/>
          <w:color w:val="auto"/>
          <w:sz w:val="24"/>
          <w:szCs w:val="24"/>
        </w:rPr>
        <w:t>,</w:t>
      </w:r>
    </w:p>
    <w:p w14:paraId="683BF8E2" w14:textId="3A06DC09" w:rsidR="006A63EA" w:rsidRPr="00237760" w:rsidRDefault="00082022" w:rsidP="009367B4">
      <w:pPr>
        <w:pStyle w:val="Akapitzlist"/>
        <w:numPr>
          <w:ilvl w:val="0"/>
          <w:numId w:val="28"/>
        </w:numPr>
        <w:ind w:hanging="357"/>
        <w:contextualSpacing/>
        <w:jc w:val="left"/>
        <w:rPr>
          <w:rFonts w:ascii="Arial" w:eastAsia="Yu Mincho Light" w:hAnsi="Arial" w:cs="Arial"/>
          <w:color w:val="auto"/>
          <w:sz w:val="24"/>
          <w:szCs w:val="24"/>
        </w:rPr>
      </w:pPr>
      <w:r w:rsidRPr="00237760">
        <w:rPr>
          <w:rFonts w:ascii="Arial" w:eastAsia="Yu Mincho Light" w:hAnsi="Arial" w:cs="Arial"/>
          <w:color w:val="auto"/>
          <w:sz w:val="24"/>
          <w:szCs w:val="24"/>
        </w:rPr>
        <w:lastRenderedPageBreak/>
        <w:t>podmioty tworzące system kolejowy:</w:t>
      </w:r>
    </w:p>
    <w:p w14:paraId="4E0D6D2E" w14:textId="33A119C4" w:rsidR="00082022" w:rsidRPr="00237760" w:rsidRDefault="00082022" w:rsidP="009367B4">
      <w:pPr>
        <w:pStyle w:val="Akapitzlist"/>
        <w:numPr>
          <w:ilvl w:val="1"/>
          <w:numId w:val="28"/>
        </w:numPr>
        <w:ind w:hanging="357"/>
        <w:contextualSpacing/>
        <w:jc w:val="left"/>
        <w:rPr>
          <w:rFonts w:ascii="Arial" w:eastAsia="Yu Mincho Light" w:hAnsi="Arial" w:cs="Arial"/>
          <w:color w:val="auto"/>
          <w:sz w:val="24"/>
          <w:szCs w:val="24"/>
        </w:rPr>
      </w:pPr>
      <w:r w:rsidRPr="00237760">
        <w:rPr>
          <w:rFonts w:ascii="Arial" w:eastAsia="Yu Mincho Light" w:hAnsi="Arial" w:cs="Arial"/>
          <w:color w:val="auto"/>
          <w:sz w:val="24"/>
          <w:szCs w:val="24"/>
        </w:rPr>
        <w:t>PKP Polskie Linie Kolejowe,</w:t>
      </w:r>
    </w:p>
    <w:p w14:paraId="5E8D6500" w14:textId="328B3A97" w:rsidR="00082022" w:rsidRPr="00237760" w:rsidRDefault="009F4680" w:rsidP="009367B4">
      <w:pPr>
        <w:pStyle w:val="Akapitzlist"/>
        <w:numPr>
          <w:ilvl w:val="0"/>
          <w:numId w:val="28"/>
        </w:numPr>
        <w:ind w:hanging="357"/>
        <w:contextualSpacing/>
        <w:jc w:val="left"/>
        <w:rPr>
          <w:rFonts w:ascii="Arial" w:eastAsia="Yu Mincho Light" w:hAnsi="Arial" w:cs="Arial"/>
          <w:color w:val="auto"/>
          <w:sz w:val="24"/>
          <w:szCs w:val="24"/>
        </w:rPr>
      </w:pPr>
      <w:r w:rsidRPr="00237760">
        <w:rPr>
          <w:rFonts w:ascii="Arial" w:eastAsia="Yu Mincho Light" w:hAnsi="Arial" w:cs="Arial"/>
          <w:color w:val="auto"/>
          <w:sz w:val="24"/>
          <w:szCs w:val="24"/>
        </w:rPr>
        <w:t>p</w:t>
      </w:r>
      <w:r w:rsidR="0042781B" w:rsidRPr="00237760">
        <w:rPr>
          <w:rFonts w:ascii="Arial" w:eastAsia="Yu Mincho Light" w:hAnsi="Arial" w:cs="Arial"/>
          <w:color w:val="auto"/>
          <w:sz w:val="24"/>
          <w:szCs w:val="24"/>
        </w:rPr>
        <w:t>odmioty</w:t>
      </w:r>
      <w:r w:rsidR="005A70FE" w:rsidRPr="00237760">
        <w:rPr>
          <w:rFonts w:ascii="Arial" w:eastAsia="Yu Mincho Light" w:hAnsi="Arial" w:cs="Arial"/>
          <w:color w:val="auto"/>
          <w:sz w:val="24"/>
          <w:szCs w:val="24"/>
        </w:rPr>
        <w:t xml:space="preserve"> </w:t>
      </w:r>
      <w:r w:rsidRPr="00237760">
        <w:rPr>
          <w:rFonts w:ascii="Arial" w:eastAsia="Yu Mincho Light" w:hAnsi="Arial" w:cs="Arial"/>
          <w:color w:val="auto"/>
          <w:sz w:val="24"/>
          <w:szCs w:val="24"/>
        </w:rPr>
        <w:t>tworzące p</w:t>
      </w:r>
      <w:r w:rsidR="001E7A6F" w:rsidRPr="00237760">
        <w:rPr>
          <w:rFonts w:ascii="Arial" w:eastAsia="Yu Mincho Light" w:hAnsi="Arial" w:cs="Arial"/>
          <w:color w:val="auto"/>
          <w:sz w:val="24"/>
          <w:szCs w:val="24"/>
        </w:rPr>
        <w:t>odsystem lotniczy:</w:t>
      </w:r>
    </w:p>
    <w:p w14:paraId="2FE55914" w14:textId="4993E4C6" w:rsidR="001E7A6F" w:rsidRPr="00237760" w:rsidRDefault="001E7A6F" w:rsidP="009367B4">
      <w:pPr>
        <w:pStyle w:val="Akapitzlist"/>
        <w:numPr>
          <w:ilvl w:val="1"/>
          <w:numId w:val="28"/>
        </w:numPr>
        <w:ind w:hanging="357"/>
        <w:contextualSpacing/>
        <w:jc w:val="left"/>
        <w:rPr>
          <w:rFonts w:ascii="Arial" w:eastAsia="Yu Mincho Light" w:hAnsi="Arial" w:cs="Arial"/>
          <w:color w:val="auto"/>
          <w:sz w:val="24"/>
          <w:szCs w:val="24"/>
        </w:rPr>
      </w:pPr>
      <w:r w:rsidRPr="00237760">
        <w:rPr>
          <w:rFonts w:ascii="Arial" w:eastAsia="Yu Mincho Light" w:hAnsi="Arial" w:cs="Arial"/>
          <w:color w:val="auto"/>
          <w:sz w:val="24"/>
          <w:szCs w:val="24"/>
        </w:rPr>
        <w:t>Port Lotniczy „Rzeszów</w:t>
      </w:r>
      <w:r w:rsidR="0067323B" w:rsidRPr="00237760">
        <w:rPr>
          <w:rFonts w:ascii="Arial" w:eastAsia="Yu Mincho Light" w:hAnsi="Arial" w:cs="Arial"/>
          <w:color w:val="auto"/>
          <w:sz w:val="24"/>
          <w:szCs w:val="24"/>
        </w:rPr>
        <w:t>-Jasionka</w:t>
      </w:r>
      <w:r w:rsidRPr="00237760">
        <w:rPr>
          <w:rFonts w:ascii="Arial" w:eastAsia="Yu Mincho Light" w:hAnsi="Arial" w:cs="Arial"/>
          <w:color w:val="auto"/>
          <w:sz w:val="24"/>
          <w:szCs w:val="24"/>
        </w:rPr>
        <w:t>”</w:t>
      </w:r>
      <w:r w:rsidR="000C5D69" w:rsidRPr="00237760">
        <w:rPr>
          <w:rFonts w:ascii="Arial" w:eastAsia="Yu Mincho Light" w:hAnsi="Arial" w:cs="Arial"/>
          <w:color w:val="auto"/>
          <w:sz w:val="24"/>
          <w:szCs w:val="24"/>
        </w:rPr>
        <w:t>,</w:t>
      </w:r>
    </w:p>
    <w:p w14:paraId="43A8854E" w14:textId="1E899F24" w:rsidR="00AD0BA7" w:rsidRPr="00237760" w:rsidRDefault="00DE6253" w:rsidP="009367B4">
      <w:pPr>
        <w:pStyle w:val="Akapitzlist"/>
        <w:numPr>
          <w:ilvl w:val="0"/>
          <w:numId w:val="28"/>
        </w:numPr>
        <w:ind w:hanging="357"/>
        <w:contextualSpacing/>
        <w:jc w:val="left"/>
        <w:rPr>
          <w:rFonts w:ascii="Arial" w:eastAsia="Yu Mincho Light" w:hAnsi="Arial" w:cs="Arial"/>
          <w:color w:val="auto"/>
          <w:sz w:val="24"/>
          <w:szCs w:val="24"/>
        </w:rPr>
      </w:pPr>
      <w:r w:rsidRPr="00237760">
        <w:rPr>
          <w:rFonts w:ascii="Arial" w:eastAsia="Yu Mincho Light" w:hAnsi="Arial" w:cs="Arial"/>
          <w:color w:val="auto"/>
          <w:sz w:val="24"/>
          <w:szCs w:val="24"/>
        </w:rPr>
        <w:t>podmioty zajmujące się infrastrukturą transportu intermodalnego</w:t>
      </w:r>
      <w:r w:rsidR="001F419B" w:rsidRPr="00237760">
        <w:rPr>
          <w:rFonts w:ascii="Arial" w:eastAsia="Yu Mincho Light" w:hAnsi="Arial" w:cs="Arial"/>
          <w:color w:val="auto"/>
          <w:sz w:val="24"/>
          <w:szCs w:val="24"/>
        </w:rPr>
        <w:t>:</w:t>
      </w:r>
    </w:p>
    <w:p w14:paraId="380F561F" w14:textId="72130E1E" w:rsidR="00EA6A6D" w:rsidRPr="00237760" w:rsidRDefault="00EA6A6D" w:rsidP="009367B4">
      <w:pPr>
        <w:pStyle w:val="Akapitzlist"/>
        <w:numPr>
          <w:ilvl w:val="1"/>
          <w:numId w:val="28"/>
        </w:numPr>
        <w:ind w:hanging="357"/>
        <w:contextualSpacing/>
        <w:jc w:val="left"/>
        <w:rPr>
          <w:rFonts w:ascii="Arial" w:eastAsia="Yu Mincho Light" w:hAnsi="Arial" w:cs="Arial"/>
          <w:color w:val="auto"/>
          <w:sz w:val="24"/>
          <w:szCs w:val="24"/>
        </w:rPr>
      </w:pPr>
      <w:r w:rsidRPr="00237760">
        <w:rPr>
          <w:rFonts w:ascii="Arial" w:eastAsia="Yu Mincho Light" w:hAnsi="Arial" w:cs="Arial"/>
          <w:color w:val="auto"/>
          <w:sz w:val="24"/>
          <w:szCs w:val="24"/>
        </w:rPr>
        <w:t>inwestorzy z sektora publicznego i sektora prywatnego</w:t>
      </w:r>
      <w:r w:rsidR="00E81F3D" w:rsidRPr="00237760">
        <w:rPr>
          <w:rFonts w:ascii="Arial" w:eastAsia="Yu Mincho Light" w:hAnsi="Arial" w:cs="Arial"/>
          <w:color w:val="auto"/>
          <w:sz w:val="24"/>
          <w:szCs w:val="24"/>
        </w:rPr>
        <w:t>,</w:t>
      </w:r>
    </w:p>
    <w:p w14:paraId="78A6AF00" w14:textId="27856E90" w:rsidR="00EA6A6D" w:rsidRPr="00237760" w:rsidRDefault="00EA6A6D" w:rsidP="009367B4">
      <w:pPr>
        <w:pStyle w:val="Akapitzlist"/>
        <w:numPr>
          <w:ilvl w:val="0"/>
          <w:numId w:val="28"/>
        </w:numPr>
        <w:ind w:hanging="357"/>
        <w:contextualSpacing/>
        <w:jc w:val="left"/>
        <w:rPr>
          <w:rFonts w:ascii="Arial" w:eastAsia="Yu Mincho Light" w:hAnsi="Arial" w:cs="Arial"/>
          <w:color w:val="auto"/>
          <w:sz w:val="24"/>
          <w:szCs w:val="24"/>
        </w:rPr>
      </w:pPr>
      <w:r w:rsidRPr="00237760">
        <w:rPr>
          <w:rFonts w:ascii="Arial" w:eastAsia="Yu Mincho Light" w:hAnsi="Arial" w:cs="Arial"/>
          <w:color w:val="auto"/>
          <w:sz w:val="24"/>
          <w:szCs w:val="24"/>
        </w:rPr>
        <w:t>podmioty organizujące transport publiczny:</w:t>
      </w:r>
    </w:p>
    <w:p w14:paraId="0DE0373C" w14:textId="77777777" w:rsidR="00D95C79" w:rsidRPr="00237760" w:rsidRDefault="00133F3B" w:rsidP="009367B4">
      <w:pPr>
        <w:pStyle w:val="Akapitzlist"/>
        <w:numPr>
          <w:ilvl w:val="1"/>
          <w:numId w:val="28"/>
        </w:numPr>
        <w:ind w:hanging="357"/>
        <w:contextualSpacing/>
        <w:jc w:val="left"/>
        <w:rPr>
          <w:rFonts w:ascii="Arial" w:eastAsia="Yu Mincho Light" w:hAnsi="Arial" w:cs="Arial"/>
          <w:color w:val="auto"/>
          <w:sz w:val="24"/>
          <w:szCs w:val="24"/>
        </w:rPr>
      </w:pPr>
      <w:r w:rsidRPr="00237760">
        <w:rPr>
          <w:rFonts w:ascii="Arial" w:eastAsia="Yu Mincho Light" w:hAnsi="Arial" w:cs="Arial"/>
          <w:color w:val="auto"/>
          <w:sz w:val="24"/>
          <w:szCs w:val="24"/>
        </w:rPr>
        <w:t>pozostałe jednostki samorządu terytorialnego,</w:t>
      </w:r>
    </w:p>
    <w:p w14:paraId="1AD01CED" w14:textId="1C128760" w:rsidR="00133F3B" w:rsidRPr="00237760" w:rsidRDefault="00133F3B" w:rsidP="009367B4">
      <w:pPr>
        <w:pStyle w:val="Akapitzlist"/>
        <w:numPr>
          <w:ilvl w:val="1"/>
          <w:numId w:val="28"/>
        </w:numPr>
        <w:ind w:hanging="357"/>
        <w:contextualSpacing/>
        <w:jc w:val="left"/>
        <w:rPr>
          <w:rFonts w:ascii="Arial" w:eastAsia="Yu Mincho Light" w:hAnsi="Arial" w:cs="Arial"/>
          <w:color w:val="auto"/>
          <w:sz w:val="24"/>
          <w:szCs w:val="24"/>
        </w:rPr>
      </w:pPr>
      <w:r w:rsidRPr="00237760">
        <w:rPr>
          <w:rFonts w:ascii="Arial" w:eastAsia="Yu Mincho Light" w:hAnsi="Arial" w:cs="Arial"/>
          <w:color w:val="auto"/>
          <w:sz w:val="24"/>
          <w:szCs w:val="24"/>
        </w:rPr>
        <w:t>podmioty transportowe z sektora prywatnego i z udziałem kapitału publicznego.</w:t>
      </w:r>
    </w:p>
    <w:p w14:paraId="7374FF16" w14:textId="67635607" w:rsidR="00982EDB" w:rsidRPr="00237760" w:rsidRDefault="009440F6" w:rsidP="009367B4">
      <w:pPr>
        <w:jc w:val="left"/>
        <w:rPr>
          <w:rFonts w:ascii="Arial" w:hAnsi="Arial" w:cs="Arial"/>
          <w:color w:val="auto"/>
          <w:sz w:val="24"/>
          <w:szCs w:val="24"/>
        </w:rPr>
      </w:pPr>
      <w:r w:rsidRPr="00237760">
        <w:rPr>
          <w:rFonts w:ascii="Arial" w:hAnsi="Arial" w:cs="Arial"/>
          <w:color w:val="auto"/>
          <w:sz w:val="24"/>
          <w:szCs w:val="24"/>
        </w:rPr>
        <w:t>Podsumowując,</w:t>
      </w:r>
      <w:r w:rsidR="68FBE272" w:rsidRPr="00237760">
        <w:rPr>
          <w:rFonts w:ascii="Arial" w:hAnsi="Arial" w:cs="Arial"/>
          <w:color w:val="auto"/>
          <w:sz w:val="24"/>
          <w:szCs w:val="24"/>
        </w:rPr>
        <w:t xml:space="preserve"> zaprezentowany model współpracy oparty o szerokie grono przedstawicieli wielu instytucji</w:t>
      </w:r>
      <w:r w:rsidR="0034644E" w:rsidRPr="00237760">
        <w:rPr>
          <w:rFonts w:ascii="Arial" w:hAnsi="Arial" w:cs="Arial"/>
          <w:color w:val="auto"/>
          <w:sz w:val="24"/>
          <w:szCs w:val="24"/>
        </w:rPr>
        <w:t xml:space="preserve"> wydaje się być </w:t>
      </w:r>
      <w:r w:rsidR="000C5D69" w:rsidRPr="00237760">
        <w:rPr>
          <w:rFonts w:ascii="Arial" w:hAnsi="Arial" w:cs="Arial"/>
          <w:color w:val="auto"/>
          <w:sz w:val="24"/>
          <w:szCs w:val="24"/>
        </w:rPr>
        <w:t>kompletny</w:t>
      </w:r>
      <w:r w:rsidR="0034644E" w:rsidRPr="00237760">
        <w:rPr>
          <w:rFonts w:ascii="Arial" w:hAnsi="Arial" w:cs="Arial"/>
          <w:color w:val="auto"/>
          <w:sz w:val="24"/>
          <w:szCs w:val="24"/>
        </w:rPr>
        <w:t xml:space="preserve">. Potwierdziły to wyniki </w:t>
      </w:r>
      <w:r w:rsidR="00696C1B" w:rsidRPr="00237760">
        <w:rPr>
          <w:rFonts w:ascii="Arial" w:hAnsi="Arial" w:cs="Arial"/>
          <w:color w:val="auto"/>
          <w:sz w:val="24"/>
          <w:szCs w:val="24"/>
        </w:rPr>
        <w:t xml:space="preserve">wywiadów pogłębionych, w trakcie których rozmówcy </w:t>
      </w:r>
      <w:r w:rsidR="00235457" w:rsidRPr="00237760">
        <w:rPr>
          <w:rFonts w:ascii="Arial" w:hAnsi="Arial" w:cs="Arial"/>
          <w:color w:val="auto"/>
          <w:sz w:val="24"/>
          <w:szCs w:val="24"/>
        </w:rPr>
        <w:t xml:space="preserve">oceniali bardzo pozytywnie szeroki wachlarz instytucjonalny i </w:t>
      </w:r>
      <w:r w:rsidR="00696C1B" w:rsidRPr="00237760">
        <w:rPr>
          <w:rFonts w:ascii="Arial" w:hAnsi="Arial" w:cs="Arial"/>
          <w:color w:val="auto"/>
          <w:sz w:val="24"/>
          <w:szCs w:val="24"/>
        </w:rPr>
        <w:t xml:space="preserve">nie </w:t>
      </w:r>
      <w:r w:rsidR="00235457" w:rsidRPr="00237760">
        <w:rPr>
          <w:rFonts w:ascii="Arial" w:hAnsi="Arial" w:cs="Arial"/>
          <w:color w:val="auto"/>
          <w:sz w:val="24"/>
          <w:szCs w:val="24"/>
        </w:rPr>
        <w:t>ws</w:t>
      </w:r>
      <w:r w:rsidR="00982EDB" w:rsidRPr="00237760">
        <w:rPr>
          <w:rFonts w:ascii="Arial" w:hAnsi="Arial" w:cs="Arial"/>
          <w:color w:val="auto"/>
          <w:sz w:val="24"/>
          <w:szCs w:val="24"/>
        </w:rPr>
        <w:t>kaz</w:t>
      </w:r>
      <w:r w:rsidR="00CE04FC" w:rsidRPr="00237760">
        <w:rPr>
          <w:rFonts w:ascii="Arial" w:hAnsi="Arial" w:cs="Arial"/>
          <w:color w:val="auto"/>
          <w:sz w:val="24"/>
          <w:szCs w:val="24"/>
        </w:rPr>
        <w:t xml:space="preserve">ywali </w:t>
      </w:r>
      <w:r w:rsidR="00982EDB" w:rsidRPr="00237760">
        <w:rPr>
          <w:rFonts w:ascii="Arial" w:hAnsi="Arial" w:cs="Arial"/>
          <w:color w:val="auto"/>
          <w:sz w:val="24"/>
          <w:szCs w:val="24"/>
        </w:rPr>
        <w:t>ew. instytucji, których brakuje w tym systemie.</w:t>
      </w:r>
      <w:r w:rsidR="00A26486" w:rsidRPr="00237760">
        <w:rPr>
          <w:rFonts w:ascii="Arial" w:hAnsi="Arial" w:cs="Arial"/>
          <w:color w:val="auto"/>
          <w:sz w:val="24"/>
          <w:szCs w:val="24"/>
        </w:rPr>
        <w:t xml:space="preserve"> </w:t>
      </w:r>
    </w:p>
    <w:p w14:paraId="6971A507" w14:textId="77777777" w:rsidR="00651650" w:rsidRPr="00237760" w:rsidRDefault="00CB69DB" w:rsidP="009367B4">
      <w:pPr>
        <w:jc w:val="left"/>
        <w:rPr>
          <w:rFonts w:ascii="Arial" w:hAnsi="Arial" w:cs="Arial"/>
          <w:color w:val="auto"/>
          <w:sz w:val="24"/>
          <w:szCs w:val="24"/>
        </w:rPr>
      </w:pPr>
      <w:r w:rsidRPr="00237760">
        <w:rPr>
          <w:rFonts w:ascii="Arial" w:hAnsi="Arial" w:cs="Arial"/>
          <w:color w:val="auto"/>
          <w:sz w:val="24"/>
          <w:szCs w:val="24"/>
        </w:rPr>
        <w:t xml:space="preserve">Podkreślić należy wkomponowanie w system instytucjonalny </w:t>
      </w:r>
      <w:r w:rsidR="68FBE272" w:rsidRPr="00237760">
        <w:rPr>
          <w:rFonts w:ascii="Arial" w:hAnsi="Arial" w:cs="Arial"/>
          <w:color w:val="auto"/>
          <w:sz w:val="24"/>
          <w:szCs w:val="24"/>
        </w:rPr>
        <w:t>Komitet</w:t>
      </w:r>
      <w:r w:rsidRPr="00237760">
        <w:rPr>
          <w:rFonts w:ascii="Arial" w:hAnsi="Arial" w:cs="Arial"/>
          <w:color w:val="auto"/>
          <w:sz w:val="24"/>
          <w:szCs w:val="24"/>
        </w:rPr>
        <w:t>u</w:t>
      </w:r>
      <w:r w:rsidR="68FBE272" w:rsidRPr="00237760">
        <w:rPr>
          <w:rFonts w:ascii="Arial" w:hAnsi="Arial" w:cs="Arial"/>
          <w:color w:val="auto"/>
          <w:sz w:val="24"/>
          <w:szCs w:val="24"/>
        </w:rPr>
        <w:t xml:space="preserve"> Monitorując</w:t>
      </w:r>
      <w:r w:rsidRPr="00237760">
        <w:rPr>
          <w:rFonts w:ascii="Arial" w:hAnsi="Arial" w:cs="Arial"/>
          <w:color w:val="auto"/>
          <w:sz w:val="24"/>
          <w:szCs w:val="24"/>
        </w:rPr>
        <w:t>ego. Ciało to</w:t>
      </w:r>
      <w:r w:rsidR="00651650" w:rsidRPr="00237760">
        <w:rPr>
          <w:rFonts w:ascii="Arial" w:hAnsi="Arial" w:cs="Arial"/>
          <w:color w:val="auto"/>
          <w:sz w:val="24"/>
          <w:szCs w:val="24"/>
        </w:rPr>
        <w:t xml:space="preserve"> ma za zadanie </w:t>
      </w:r>
      <w:r w:rsidR="68FBE272" w:rsidRPr="00237760">
        <w:rPr>
          <w:rFonts w:ascii="Arial" w:hAnsi="Arial" w:cs="Arial"/>
          <w:color w:val="auto"/>
          <w:sz w:val="24"/>
          <w:szCs w:val="24"/>
        </w:rPr>
        <w:t>analiz</w:t>
      </w:r>
      <w:r w:rsidR="00651650" w:rsidRPr="00237760">
        <w:rPr>
          <w:rFonts w:ascii="Arial" w:hAnsi="Arial" w:cs="Arial"/>
          <w:color w:val="auto"/>
          <w:sz w:val="24"/>
          <w:szCs w:val="24"/>
        </w:rPr>
        <w:t>ę</w:t>
      </w:r>
      <w:r w:rsidR="68FBE272" w:rsidRPr="00237760">
        <w:rPr>
          <w:rFonts w:ascii="Arial" w:hAnsi="Arial" w:cs="Arial"/>
          <w:color w:val="auto"/>
          <w:sz w:val="24"/>
          <w:szCs w:val="24"/>
        </w:rPr>
        <w:t xml:space="preserve"> efektów Programu i podejmowani</w:t>
      </w:r>
      <w:r w:rsidR="00651650" w:rsidRPr="00237760">
        <w:rPr>
          <w:rFonts w:ascii="Arial" w:hAnsi="Arial" w:cs="Arial"/>
          <w:color w:val="auto"/>
          <w:sz w:val="24"/>
          <w:szCs w:val="24"/>
        </w:rPr>
        <w:t>e</w:t>
      </w:r>
      <w:r w:rsidR="68FBE272" w:rsidRPr="00237760">
        <w:rPr>
          <w:rFonts w:ascii="Arial" w:hAnsi="Arial" w:cs="Arial"/>
          <w:color w:val="auto"/>
          <w:sz w:val="24"/>
          <w:szCs w:val="24"/>
        </w:rPr>
        <w:t xml:space="preserve"> kluczowych decyzji w kontekście zmian w jego zapisach.</w:t>
      </w:r>
    </w:p>
    <w:p w14:paraId="224D9DEC" w14:textId="05FFF8D1" w:rsidR="00233EBC" w:rsidRPr="00237760" w:rsidRDefault="00A249B2" w:rsidP="009367B4">
      <w:pPr>
        <w:jc w:val="left"/>
        <w:rPr>
          <w:rFonts w:ascii="Arial" w:hAnsi="Arial" w:cs="Arial"/>
          <w:color w:val="auto"/>
          <w:sz w:val="24"/>
          <w:szCs w:val="24"/>
        </w:rPr>
      </w:pPr>
      <w:bookmarkStart w:id="96" w:name="_Hlk101337962"/>
      <w:r w:rsidRPr="00237760">
        <w:rPr>
          <w:rFonts w:ascii="Arial" w:hAnsi="Arial" w:cs="Arial"/>
          <w:color w:val="auto"/>
          <w:sz w:val="24"/>
          <w:szCs w:val="24"/>
        </w:rPr>
        <w:t>W tej części zwraca uwagę redakcyjną</w:t>
      </w:r>
      <w:r w:rsidR="68FBE272" w:rsidRPr="00237760">
        <w:rPr>
          <w:rFonts w:ascii="Arial" w:hAnsi="Arial" w:cs="Arial"/>
          <w:color w:val="auto"/>
          <w:sz w:val="24"/>
          <w:szCs w:val="24"/>
        </w:rPr>
        <w:t xml:space="preserve"> kolejność wypunktowania poszczególnych obszarów, za które odpowiedzialność ponosi Departament Dróg i Publicznego Transportu Zbiorowego</w:t>
      </w:r>
      <w:r w:rsidR="00A925AA" w:rsidRPr="00237760">
        <w:rPr>
          <w:rFonts w:ascii="Arial" w:hAnsi="Arial" w:cs="Arial"/>
          <w:color w:val="auto"/>
          <w:sz w:val="24"/>
          <w:szCs w:val="24"/>
        </w:rPr>
        <w:t>. Proponujemy zamienić zadania</w:t>
      </w:r>
      <w:r w:rsidR="68FBE272" w:rsidRPr="00237760">
        <w:rPr>
          <w:rFonts w:ascii="Arial" w:hAnsi="Arial" w:cs="Arial"/>
          <w:color w:val="auto"/>
          <w:sz w:val="24"/>
          <w:szCs w:val="24"/>
        </w:rPr>
        <w:t xml:space="preserve"> w literze b oraz c</w:t>
      </w:r>
      <w:r w:rsidR="002804C2" w:rsidRPr="00237760">
        <w:rPr>
          <w:rFonts w:ascii="Arial" w:hAnsi="Arial" w:cs="Arial"/>
          <w:color w:val="auto"/>
          <w:sz w:val="24"/>
          <w:szCs w:val="24"/>
        </w:rPr>
        <w:t>. I</w:t>
      </w:r>
      <w:r w:rsidR="68FBE272" w:rsidRPr="00237760">
        <w:rPr>
          <w:rFonts w:ascii="Arial" w:hAnsi="Arial" w:cs="Arial"/>
          <w:color w:val="auto"/>
          <w:sz w:val="24"/>
          <w:szCs w:val="24"/>
        </w:rPr>
        <w:t xml:space="preserve">ntuicja nakazuje myśleć, iż w pierwszej kolejności jako solidną podstawę należy zgromadzić bazę informacyjną, tj. bazę wskaźników oraz niezbędnych informacji na potrzeby monitorowania realizacji, a dopiero w kolejnym kroku dokonywać okresowej oceny stopnia realizacji Programu i przygotowywać roczne raporty z realizacji dokumentu. </w:t>
      </w:r>
    </w:p>
    <w:bookmarkEnd w:id="96"/>
    <w:p w14:paraId="4C43B4CB" w14:textId="37E25B5D" w:rsidR="00537E1C" w:rsidRPr="00237760" w:rsidRDefault="68FBE272" w:rsidP="009367B4">
      <w:pPr>
        <w:spacing w:line="257" w:lineRule="auto"/>
        <w:jc w:val="left"/>
        <w:rPr>
          <w:rFonts w:ascii="Arial" w:hAnsi="Arial" w:cs="Arial"/>
          <w:color w:val="auto"/>
          <w:sz w:val="24"/>
          <w:szCs w:val="24"/>
        </w:rPr>
      </w:pPr>
      <w:r w:rsidRPr="00237760">
        <w:rPr>
          <w:rFonts w:ascii="Arial" w:hAnsi="Arial" w:cs="Arial"/>
          <w:b/>
          <w:color w:val="auto"/>
          <w:sz w:val="24"/>
          <w:szCs w:val="24"/>
        </w:rPr>
        <w:t xml:space="preserve">Ramy finansowe PSRT WP </w:t>
      </w:r>
      <w:r w:rsidRPr="00237760">
        <w:rPr>
          <w:rFonts w:ascii="Arial" w:hAnsi="Arial" w:cs="Arial"/>
          <w:color w:val="auto"/>
          <w:sz w:val="24"/>
          <w:szCs w:val="24"/>
        </w:rPr>
        <w:t xml:space="preserve">określone są w sposób kompleksowy. Sięgnięto do zróżnicowanych źródeł finansowania, usystematyzowanych jako zagraniczne środki publiczne (w tym wsparcie UE), krajowe środki publiczne (w tym budżet krajowy, województwa i poszczególnych </w:t>
      </w:r>
      <w:r w:rsidR="00F65111" w:rsidRPr="00237760">
        <w:rPr>
          <w:rFonts w:ascii="Arial" w:hAnsi="Arial" w:cs="Arial"/>
          <w:color w:val="auto"/>
          <w:sz w:val="24"/>
          <w:szCs w:val="24"/>
        </w:rPr>
        <w:t>JST</w:t>
      </w:r>
      <w:r w:rsidRPr="00237760">
        <w:rPr>
          <w:rFonts w:ascii="Arial" w:hAnsi="Arial" w:cs="Arial"/>
          <w:color w:val="auto"/>
          <w:sz w:val="24"/>
          <w:szCs w:val="24"/>
        </w:rPr>
        <w:t xml:space="preserve">), a także środki </w:t>
      </w:r>
      <w:r w:rsidR="00630E96" w:rsidRPr="00237760">
        <w:rPr>
          <w:rFonts w:ascii="Arial" w:hAnsi="Arial" w:cs="Arial"/>
          <w:color w:val="auto"/>
          <w:sz w:val="24"/>
          <w:szCs w:val="24"/>
        </w:rPr>
        <w:t xml:space="preserve">pochodzące z innych </w:t>
      </w:r>
      <w:r w:rsidR="00537E1C" w:rsidRPr="00237760">
        <w:rPr>
          <w:rFonts w:ascii="Arial" w:hAnsi="Arial" w:cs="Arial"/>
          <w:color w:val="auto"/>
          <w:sz w:val="24"/>
          <w:szCs w:val="24"/>
        </w:rPr>
        <w:t xml:space="preserve">źródeł </w:t>
      </w:r>
      <w:r w:rsidRPr="00237760">
        <w:rPr>
          <w:rFonts w:ascii="Arial" w:hAnsi="Arial" w:cs="Arial"/>
          <w:color w:val="auto"/>
          <w:sz w:val="24"/>
          <w:szCs w:val="24"/>
        </w:rPr>
        <w:t>(kapitał prywatny</w:t>
      </w:r>
      <w:r w:rsidR="00537E1C" w:rsidRPr="00237760">
        <w:rPr>
          <w:rFonts w:ascii="Arial" w:hAnsi="Arial" w:cs="Arial"/>
          <w:color w:val="auto"/>
          <w:sz w:val="24"/>
          <w:szCs w:val="24"/>
        </w:rPr>
        <w:t xml:space="preserve"> </w:t>
      </w:r>
      <w:r w:rsidRPr="00237760">
        <w:rPr>
          <w:rFonts w:ascii="Arial" w:hAnsi="Arial" w:cs="Arial"/>
          <w:color w:val="auto"/>
          <w:sz w:val="24"/>
          <w:szCs w:val="24"/>
        </w:rPr>
        <w:t>wykorzystywan</w:t>
      </w:r>
      <w:r w:rsidR="00537E1C" w:rsidRPr="00237760">
        <w:rPr>
          <w:rFonts w:ascii="Arial" w:hAnsi="Arial" w:cs="Arial"/>
          <w:color w:val="auto"/>
          <w:sz w:val="24"/>
          <w:szCs w:val="24"/>
        </w:rPr>
        <w:t>y</w:t>
      </w:r>
      <w:r w:rsidRPr="00237760">
        <w:rPr>
          <w:rFonts w:ascii="Arial" w:hAnsi="Arial" w:cs="Arial"/>
          <w:color w:val="auto"/>
          <w:sz w:val="24"/>
          <w:szCs w:val="24"/>
        </w:rPr>
        <w:t xml:space="preserve"> na zasadach partnerstwa publiczno-prywatnego, środki pozyskane w ramach wdrażaniu zasad „zanieczyszczający płac</w:t>
      </w:r>
      <w:r w:rsidR="00537E1C" w:rsidRPr="00237760">
        <w:rPr>
          <w:rFonts w:ascii="Arial" w:hAnsi="Arial" w:cs="Arial"/>
          <w:color w:val="auto"/>
          <w:sz w:val="24"/>
          <w:szCs w:val="24"/>
        </w:rPr>
        <w:t>i</w:t>
      </w:r>
      <w:r w:rsidRPr="00237760">
        <w:rPr>
          <w:rFonts w:ascii="Arial" w:hAnsi="Arial" w:cs="Arial"/>
          <w:color w:val="auto"/>
          <w:sz w:val="24"/>
          <w:szCs w:val="24"/>
        </w:rPr>
        <w:t>” i „użytkownik płaci” oraz kredyty komercyjne i pożyczki).</w:t>
      </w:r>
    </w:p>
    <w:p w14:paraId="30A3A46C" w14:textId="0539FD76" w:rsidR="005E064A" w:rsidRPr="00237760" w:rsidRDefault="68FBE272" w:rsidP="009367B4">
      <w:pPr>
        <w:spacing w:line="257" w:lineRule="auto"/>
        <w:jc w:val="left"/>
        <w:rPr>
          <w:rFonts w:ascii="Arial" w:hAnsi="Arial" w:cs="Arial"/>
          <w:color w:val="auto"/>
          <w:sz w:val="24"/>
          <w:szCs w:val="24"/>
        </w:rPr>
      </w:pPr>
      <w:r w:rsidRPr="00237760">
        <w:rPr>
          <w:rFonts w:ascii="Arial" w:hAnsi="Arial" w:cs="Arial"/>
          <w:color w:val="auto"/>
          <w:sz w:val="24"/>
          <w:szCs w:val="24"/>
        </w:rPr>
        <w:t>W każdej z poszczególnych kategorii wymieniono potencjaln</w:t>
      </w:r>
      <w:r w:rsidR="001A1837" w:rsidRPr="00237760">
        <w:rPr>
          <w:rFonts w:ascii="Arial" w:hAnsi="Arial" w:cs="Arial"/>
          <w:color w:val="auto"/>
          <w:sz w:val="24"/>
          <w:szCs w:val="24"/>
        </w:rPr>
        <w:t>e</w:t>
      </w:r>
      <w:r w:rsidRPr="00237760">
        <w:rPr>
          <w:rFonts w:ascii="Arial" w:hAnsi="Arial" w:cs="Arial"/>
          <w:color w:val="auto"/>
          <w:sz w:val="24"/>
          <w:szCs w:val="24"/>
        </w:rPr>
        <w:t xml:space="preserve"> źródł</w:t>
      </w:r>
      <w:r w:rsidR="001A1837" w:rsidRPr="00237760">
        <w:rPr>
          <w:rFonts w:ascii="Arial" w:hAnsi="Arial" w:cs="Arial"/>
          <w:color w:val="auto"/>
          <w:sz w:val="24"/>
          <w:szCs w:val="24"/>
        </w:rPr>
        <w:t>a</w:t>
      </w:r>
      <w:r w:rsidRPr="00237760">
        <w:rPr>
          <w:rFonts w:ascii="Arial" w:hAnsi="Arial" w:cs="Arial"/>
          <w:color w:val="auto"/>
          <w:sz w:val="24"/>
          <w:szCs w:val="24"/>
        </w:rPr>
        <w:t xml:space="preserve"> finansowania, co jest efektem gruntownego przeglądu wszelkich możliwych opcji. </w:t>
      </w:r>
      <w:r w:rsidR="00201E8A" w:rsidRPr="00237760">
        <w:rPr>
          <w:rFonts w:ascii="Arial" w:hAnsi="Arial" w:cs="Arial"/>
          <w:color w:val="auto"/>
          <w:sz w:val="24"/>
          <w:szCs w:val="24"/>
        </w:rPr>
        <w:t xml:space="preserve">Zaprezentowane w </w:t>
      </w:r>
      <w:r w:rsidR="00E645B3" w:rsidRPr="00237760">
        <w:rPr>
          <w:rFonts w:ascii="Arial" w:hAnsi="Arial" w:cs="Arial"/>
          <w:color w:val="auto"/>
          <w:sz w:val="24"/>
          <w:szCs w:val="24"/>
        </w:rPr>
        <w:t>Program</w:t>
      </w:r>
      <w:r w:rsidR="0024194B" w:rsidRPr="00237760">
        <w:rPr>
          <w:rFonts w:ascii="Arial" w:hAnsi="Arial" w:cs="Arial"/>
          <w:color w:val="auto"/>
          <w:sz w:val="24"/>
          <w:szCs w:val="24"/>
        </w:rPr>
        <w:t xml:space="preserve">ie prognozy nakładów </w:t>
      </w:r>
      <w:r w:rsidR="005E064A" w:rsidRPr="00237760">
        <w:rPr>
          <w:rFonts w:ascii="Arial" w:hAnsi="Arial" w:cs="Arial"/>
          <w:color w:val="auto"/>
          <w:sz w:val="24"/>
          <w:szCs w:val="24"/>
        </w:rPr>
        <w:t>nie budzą zastrzeżeń metodycznych</w:t>
      </w:r>
      <w:r w:rsidR="00AB0D2D" w:rsidRPr="00237760">
        <w:rPr>
          <w:rFonts w:ascii="Arial" w:hAnsi="Arial" w:cs="Arial"/>
          <w:color w:val="auto"/>
          <w:sz w:val="24"/>
          <w:szCs w:val="24"/>
        </w:rPr>
        <w:t>.</w:t>
      </w:r>
    </w:p>
    <w:p w14:paraId="64A54868" w14:textId="2BFDAA68" w:rsidR="00042A3E" w:rsidRPr="00237760" w:rsidRDefault="00BA2AE7" w:rsidP="009367B4">
      <w:pPr>
        <w:jc w:val="left"/>
        <w:rPr>
          <w:rFonts w:ascii="Arial" w:hAnsi="Arial" w:cs="Arial"/>
          <w:color w:val="auto"/>
          <w:sz w:val="24"/>
          <w:szCs w:val="24"/>
          <w:lang w:eastAsia="pl-PL"/>
        </w:rPr>
      </w:pPr>
      <w:r w:rsidRPr="00237760">
        <w:rPr>
          <w:rFonts w:ascii="Arial" w:hAnsi="Arial" w:cs="Arial"/>
          <w:b/>
          <w:color w:val="auto"/>
          <w:sz w:val="24"/>
          <w:szCs w:val="24"/>
          <w:lang w:eastAsia="pl-PL"/>
        </w:rPr>
        <w:t xml:space="preserve">System monitorowania i ewaluacji </w:t>
      </w:r>
      <w:r w:rsidRPr="00237760">
        <w:rPr>
          <w:rFonts w:ascii="Arial" w:hAnsi="Arial" w:cs="Arial"/>
          <w:color w:val="auto"/>
          <w:sz w:val="24"/>
          <w:szCs w:val="24"/>
          <w:lang w:eastAsia="pl-PL"/>
        </w:rPr>
        <w:t>Programu został oparty o zestaw łącznie 36 wskaźników pochodzących z ogólnodostępnych danych (głównie GUS) i danych zamawianych z instytucji zajmujących się pomiarem systemów transportowych. Analizie poddany został każdy wskaźnik,</w:t>
      </w:r>
      <w:r w:rsidR="00F67E3B" w:rsidRPr="00237760">
        <w:rPr>
          <w:rFonts w:ascii="Arial" w:hAnsi="Arial" w:cs="Arial"/>
          <w:color w:val="auto"/>
          <w:sz w:val="24"/>
          <w:szCs w:val="24"/>
          <w:lang w:eastAsia="pl-PL"/>
        </w:rPr>
        <w:t xml:space="preserve"> a</w:t>
      </w:r>
      <w:r w:rsidRPr="00237760">
        <w:rPr>
          <w:rFonts w:ascii="Arial" w:hAnsi="Arial" w:cs="Arial"/>
          <w:color w:val="auto"/>
          <w:sz w:val="24"/>
          <w:szCs w:val="24"/>
          <w:lang w:eastAsia="pl-PL"/>
        </w:rPr>
        <w:t xml:space="preserve"> w </w:t>
      </w:r>
      <w:r w:rsidR="00F67E3B" w:rsidRPr="00237760">
        <w:rPr>
          <w:rFonts w:ascii="Arial" w:hAnsi="Arial" w:cs="Arial"/>
          <w:color w:val="auto"/>
          <w:sz w:val="24"/>
          <w:szCs w:val="24"/>
          <w:lang w:eastAsia="pl-PL"/>
        </w:rPr>
        <w:t>jej wyniku</w:t>
      </w:r>
      <w:r w:rsidRPr="00237760">
        <w:rPr>
          <w:rFonts w:ascii="Arial" w:hAnsi="Arial" w:cs="Arial"/>
          <w:color w:val="auto"/>
          <w:sz w:val="24"/>
          <w:szCs w:val="24"/>
          <w:lang w:eastAsia="pl-PL"/>
        </w:rPr>
        <w:t xml:space="preserve"> należy stwierdzić, że w znacznej części przypadków wskaźniki monitoringu zostały dobrane i sformułowane trafnie (</w:t>
      </w:r>
      <w:r w:rsidR="00122E71" w:rsidRPr="00237760">
        <w:rPr>
          <w:rFonts w:ascii="Arial" w:hAnsi="Arial" w:cs="Arial"/>
          <w:color w:val="auto"/>
          <w:sz w:val="24"/>
          <w:szCs w:val="24"/>
          <w:lang w:eastAsia="pl-PL"/>
        </w:rPr>
        <w:fldChar w:fldCharType="begin"/>
      </w:r>
      <w:r w:rsidR="00122E71" w:rsidRPr="00237760">
        <w:rPr>
          <w:rFonts w:ascii="Arial" w:hAnsi="Arial" w:cs="Arial"/>
          <w:color w:val="auto"/>
          <w:sz w:val="24"/>
          <w:szCs w:val="24"/>
          <w:lang w:eastAsia="pl-PL"/>
        </w:rPr>
        <w:instrText xml:space="preserve"> REF _Ref100079922 \h </w:instrText>
      </w:r>
      <w:r w:rsidR="00BD2C03" w:rsidRPr="00237760">
        <w:rPr>
          <w:rFonts w:ascii="Arial" w:hAnsi="Arial" w:cs="Arial"/>
          <w:color w:val="auto"/>
          <w:sz w:val="24"/>
          <w:szCs w:val="24"/>
          <w:lang w:eastAsia="pl-PL"/>
        </w:rPr>
        <w:instrText xml:space="preserve"> \* MERGEFORMAT </w:instrText>
      </w:r>
      <w:r w:rsidR="00122E71" w:rsidRPr="00237760">
        <w:rPr>
          <w:rFonts w:ascii="Arial" w:hAnsi="Arial" w:cs="Arial"/>
          <w:color w:val="auto"/>
          <w:sz w:val="24"/>
          <w:szCs w:val="24"/>
          <w:lang w:eastAsia="pl-PL"/>
        </w:rPr>
      </w:r>
      <w:r w:rsidR="00122E71" w:rsidRPr="00237760">
        <w:rPr>
          <w:rFonts w:ascii="Arial" w:hAnsi="Arial" w:cs="Arial"/>
          <w:color w:val="auto"/>
          <w:sz w:val="24"/>
          <w:szCs w:val="24"/>
          <w:lang w:eastAsia="pl-PL"/>
        </w:rPr>
        <w:fldChar w:fldCharType="separate"/>
      </w:r>
      <w:r w:rsidR="00E52C19" w:rsidRPr="00237760">
        <w:rPr>
          <w:rFonts w:ascii="Arial" w:hAnsi="Arial" w:cs="Arial"/>
          <w:color w:val="auto"/>
          <w:sz w:val="24"/>
          <w:szCs w:val="24"/>
        </w:rPr>
        <w:t xml:space="preserve">Tabela </w:t>
      </w:r>
      <w:r w:rsidR="00E52C19" w:rsidRPr="00237760">
        <w:rPr>
          <w:rFonts w:ascii="Arial" w:hAnsi="Arial" w:cs="Arial"/>
          <w:noProof/>
          <w:color w:val="auto"/>
          <w:sz w:val="24"/>
          <w:szCs w:val="24"/>
        </w:rPr>
        <w:t>12</w:t>
      </w:r>
      <w:r w:rsidR="00122E71" w:rsidRPr="00237760">
        <w:rPr>
          <w:rFonts w:ascii="Arial" w:hAnsi="Arial" w:cs="Arial"/>
          <w:color w:val="auto"/>
          <w:sz w:val="24"/>
          <w:szCs w:val="24"/>
          <w:lang w:eastAsia="pl-PL"/>
        </w:rPr>
        <w:fldChar w:fldCharType="end"/>
      </w:r>
      <w:r w:rsidRPr="00237760">
        <w:rPr>
          <w:rFonts w:ascii="Arial" w:hAnsi="Arial" w:cs="Arial"/>
          <w:color w:val="auto"/>
          <w:sz w:val="24"/>
          <w:szCs w:val="24"/>
          <w:lang w:eastAsia="pl-PL"/>
        </w:rPr>
        <w:t xml:space="preserve">), choć można wskazać kilka wątpliwości w zakresie adekwatności </w:t>
      </w:r>
      <w:r w:rsidRPr="00237760">
        <w:rPr>
          <w:rFonts w:ascii="Arial" w:hAnsi="Arial" w:cs="Arial"/>
          <w:color w:val="auto"/>
          <w:sz w:val="24"/>
          <w:szCs w:val="24"/>
          <w:lang w:eastAsia="pl-PL"/>
        </w:rPr>
        <w:lastRenderedPageBreak/>
        <w:t xml:space="preserve">niektórych miar do szczegółowych kierunków działań w danym celu, jak i precyzji w zakresie tematycznym obejmującym dany wskaźnik. </w:t>
      </w:r>
      <w:bookmarkStart w:id="97" w:name="_Hlk101338833"/>
      <w:r w:rsidRPr="00237760">
        <w:rPr>
          <w:rFonts w:ascii="Arial" w:hAnsi="Arial" w:cs="Arial"/>
          <w:color w:val="auto"/>
          <w:sz w:val="24"/>
          <w:szCs w:val="24"/>
          <w:lang w:eastAsia="pl-PL"/>
        </w:rPr>
        <w:t xml:space="preserve">W ramach </w:t>
      </w:r>
      <w:r w:rsidR="00F67E3B" w:rsidRPr="00237760">
        <w:rPr>
          <w:rFonts w:ascii="Arial" w:hAnsi="Arial" w:cs="Arial"/>
          <w:color w:val="auto"/>
          <w:sz w:val="24"/>
          <w:szCs w:val="24"/>
          <w:lang w:eastAsia="pl-PL"/>
        </w:rPr>
        <w:t>holistycznej analizy podejścia i oceny</w:t>
      </w:r>
      <w:r w:rsidRPr="00237760">
        <w:rPr>
          <w:rFonts w:ascii="Arial" w:hAnsi="Arial" w:cs="Arial"/>
          <w:color w:val="auto"/>
          <w:sz w:val="24"/>
          <w:szCs w:val="24"/>
          <w:lang w:eastAsia="pl-PL"/>
        </w:rPr>
        <w:t xml:space="preserve"> </w:t>
      </w:r>
      <w:r w:rsidR="00F67E3B" w:rsidRPr="00237760">
        <w:rPr>
          <w:rFonts w:ascii="Arial" w:hAnsi="Arial" w:cs="Arial"/>
          <w:color w:val="auto"/>
          <w:sz w:val="24"/>
          <w:szCs w:val="24"/>
          <w:lang w:eastAsia="pl-PL"/>
        </w:rPr>
        <w:t>systemu monitorowania i ewaluacji zwracają z kolei uwagę następujące kwestie:</w:t>
      </w:r>
    </w:p>
    <w:p w14:paraId="7FA01BA1" w14:textId="0BD02EF5" w:rsidR="004024ED" w:rsidRPr="00237760" w:rsidRDefault="004024ED" w:rsidP="009367B4">
      <w:pPr>
        <w:pStyle w:val="Akapitzlist"/>
        <w:numPr>
          <w:ilvl w:val="0"/>
          <w:numId w:val="29"/>
        </w:numPr>
        <w:jc w:val="left"/>
        <w:rPr>
          <w:rFonts w:ascii="Arial" w:hAnsi="Arial" w:cs="Arial"/>
          <w:color w:val="auto"/>
          <w:sz w:val="24"/>
          <w:szCs w:val="24"/>
        </w:rPr>
      </w:pPr>
      <w:r w:rsidRPr="00237760">
        <w:rPr>
          <w:rFonts w:ascii="Arial" w:hAnsi="Arial" w:cs="Arial"/>
          <w:color w:val="auto"/>
          <w:sz w:val="24"/>
          <w:szCs w:val="24"/>
        </w:rPr>
        <w:t>niezrozumiałej relacji pomiędzy tabelą 3</w:t>
      </w:r>
      <w:r w:rsidR="003960B3" w:rsidRPr="00237760">
        <w:rPr>
          <w:rFonts w:ascii="Arial" w:hAnsi="Arial" w:cs="Arial"/>
          <w:color w:val="auto"/>
          <w:sz w:val="24"/>
          <w:szCs w:val="24"/>
        </w:rPr>
        <w:t>4</w:t>
      </w:r>
      <w:r w:rsidRPr="00237760">
        <w:rPr>
          <w:rFonts w:ascii="Arial" w:hAnsi="Arial" w:cs="Arial"/>
          <w:color w:val="auto"/>
          <w:sz w:val="24"/>
          <w:szCs w:val="24"/>
        </w:rPr>
        <w:t xml:space="preserve"> a tabelą 3</w:t>
      </w:r>
      <w:r w:rsidR="003960B3" w:rsidRPr="00237760">
        <w:rPr>
          <w:rFonts w:ascii="Arial" w:hAnsi="Arial" w:cs="Arial"/>
          <w:color w:val="auto"/>
          <w:sz w:val="24"/>
          <w:szCs w:val="24"/>
        </w:rPr>
        <w:t>5 i 36</w:t>
      </w:r>
      <w:r w:rsidRPr="00237760">
        <w:rPr>
          <w:rFonts w:ascii="Arial" w:hAnsi="Arial" w:cs="Arial"/>
          <w:color w:val="auto"/>
          <w:sz w:val="24"/>
          <w:szCs w:val="24"/>
        </w:rPr>
        <w:t xml:space="preserve"> – np. we wskaźnikach monitorowania zawartych w tabeli 3</w:t>
      </w:r>
      <w:r w:rsidR="003960B3" w:rsidRPr="00237760">
        <w:rPr>
          <w:rFonts w:ascii="Arial" w:hAnsi="Arial" w:cs="Arial"/>
          <w:color w:val="auto"/>
          <w:sz w:val="24"/>
          <w:szCs w:val="24"/>
        </w:rPr>
        <w:t>4</w:t>
      </w:r>
      <w:r w:rsidRPr="00237760">
        <w:rPr>
          <w:rFonts w:ascii="Arial" w:hAnsi="Arial" w:cs="Arial"/>
          <w:color w:val="auto"/>
          <w:sz w:val="24"/>
          <w:szCs w:val="24"/>
        </w:rPr>
        <w:t xml:space="preserve"> pojawiają się również wskaźniki produktu i rezultatu, którym poświęcona jest cała tabela 3</w:t>
      </w:r>
      <w:r w:rsidR="003960B3" w:rsidRPr="00237760">
        <w:rPr>
          <w:rFonts w:ascii="Arial" w:hAnsi="Arial" w:cs="Arial"/>
          <w:color w:val="auto"/>
          <w:sz w:val="24"/>
          <w:szCs w:val="24"/>
        </w:rPr>
        <w:t>5 i 36</w:t>
      </w:r>
      <w:r w:rsidRPr="00237760">
        <w:rPr>
          <w:rFonts w:ascii="Arial" w:hAnsi="Arial" w:cs="Arial"/>
          <w:color w:val="auto"/>
          <w:sz w:val="24"/>
          <w:szCs w:val="24"/>
        </w:rPr>
        <w:t>;</w:t>
      </w:r>
    </w:p>
    <w:p w14:paraId="7D192EEE" w14:textId="2235B2A0" w:rsidR="005762A4" w:rsidRPr="00237760" w:rsidRDefault="004024ED" w:rsidP="009367B4">
      <w:pPr>
        <w:pStyle w:val="Akapitzlist"/>
        <w:numPr>
          <w:ilvl w:val="0"/>
          <w:numId w:val="29"/>
        </w:numPr>
        <w:jc w:val="left"/>
        <w:rPr>
          <w:rFonts w:ascii="Arial" w:hAnsi="Arial" w:cs="Arial"/>
          <w:color w:val="auto"/>
          <w:sz w:val="24"/>
          <w:szCs w:val="24"/>
        </w:rPr>
      </w:pPr>
      <w:r w:rsidRPr="00237760">
        <w:rPr>
          <w:rFonts w:ascii="Arial" w:hAnsi="Arial" w:cs="Arial"/>
          <w:color w:val="auto"/>
          <w:sz w:val="24"/>
          <w:szCs w:val="24"/>
        </w:rPr>
        <w:t>trudności oceny trafności wskaźników, biorąc pod uwagę przenikający się charakter celów – zwraca jednak uwagę, że niejednokrotnie nie jest to forma komplementarności, a powtórzeń w zapisach, w związku z czym nie jest możliwa jednoznaczna ocena dopasowania wskaźników monitoringu do celów/kierunków.</w:t>
      </w:r>
    </w:p>
    <w:p w14:paraId="37C63747" w14:textId="6614AA56" w:rsidR="004A4E02" w:rsidRPr="00237760" w:rsidRDefault="004A4E02" w:rsidP="009367B4">
      <w:pPr>
        <w:pStyle w:val="Legenda"/>
        <w:jc w:val="left"/>
        <w:rPr>
          <w:rFonts w:ascii="Arial" w:hAnsi="Arial" w:cs="Arial"/>
          <w:color w:val="auto"/>
          <w:sz w:val="24"/>
          <w:szCs w:val="24"/>
        </w:rPr>
      </w:pPr>
      <w:bookmarkStart w:id="98" w:name="_Ref98072138"/>
      <w:bookmarkStart w:id="99" w:name="_Ref100079922"/>
      <w:bookmarkStart w:id="100" w:name="_Toc101904253"/>
      <w:r w:rsidRPr="00237760">
        <w:rPr>
          <w:rFonts w:ascii="Arial" w:hAnsi="Arial" w:cs="Arial"/>
          <w:color w:val="auto"/>
          <w:sz w:val="24"/>
          <w:szCs w:val="24"/>
        </w:rPr>
        <w:t xml:space="preserve">Tabela </w:t>
      </w:r>
      <w:r w:rsidRPr="00237760">
        <w:rPr>
          <w:rFonts w:ascii="Arial" w:hAnsi="Arial" w:cs="Arial"/>
          <w:color w:val="auto"/>
          <w:sz w:val="24"/>
          <w:szCs w:val="24"/>
        </w:rPr>
        <w:fldChar w:fldCharType="begin"/>
      </w:r>
      <w:r w:rsidRPr="00237760">
        <w:rPr>
          <w:rFonts w:ascii="Arial" w:hAnsi="Arial" w:cs="Arial"/>
          <w:color w:val="auto"/>
          <w:sz w:val="24"/>
          <w:szCs w:val="24"/>
        </w:rPr>
        <w:instrText>SEQ Tabela \* ARABIC</w:instrText>
      </w:r>
      <w:r w:rsidRPr="00237760">
        <w:rPr>
          <w:rFonts w:ascii="Arial" w:hAnsi="Arial" w:cs="Arial"/>
          <w:color w:val="auto"/>
          <w:sz w:val="24"/>
          <w:szCs w:val="24"/>
        </w:rPr>
        <w:fldChar w:fldCharType="separate"/>
      </w:r>
      <w:r w:rsidR="00762B20" w:rsidRPr="00237760">
        <w:rPr>
          <w:rFonts w:ascii="Arial" w:hAnsi="Arial" w:cs="Arial"/>
          <w:noProof/>
          <w:color w:val="auto"/>
          <w:sz w:val="24"/>
          <w:szCs w:val="24"/>
        </w:rPr>
        <w:t>12</w:t>
      </w:r>
      <w:r w:rsidRPr="00237760">
        <w:rPr>
          <w:rFonts w:ascii="Arial" w:hAnsi="Arial" w:cs="Arial"/>
          <w:color w:val="auto"/>
          <w:sz w:val="24"/>
          <w:szCs w:val="24"/>
        </w:rPr>
        <w:fldChar w:fldCharType="end"/>
      </w:r>
      <w:bookmarkEnd w:id="98"/>
      <w:bookmarkEnd w:id="99"/>
      <w:r w:rsidRPr="00237760">
        <w:rPr>
          <w:rFonts w:ascii="Arial" w:hAnsi="Arial" w:cs="Arial"/>
          <w:color w:val="auto"/>
          <w:sz w:val="24"/>
          <w:szCs w:val="24"/>
        </w:rPr>
        <w:t>. Analiza trafności doboru wskaźników monitorowania realizacji Programu</w:t>
      </w:r>
      <w:bookmarkEnd w:id="100"/>
    </w:p>
    <w:tbl>
      <w:tblPr>
        <w:tblStyle w:val="Tabela-Siatka"/>
        <w:tblW w:w="9032" w:type="dxa"/>
        <w:tblInd w:w="-5"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ook w:val="04A0" w:firstRow="1" w:lastRow="0" w:firstColumn="1" w:lastColumn="0" w:noHBand="0" w:noVBand="1"/>
        <w:tblCaption w:val="Tabela 12. Analiza trafności doboru wskaźników monitorowania realizacji Programu"/>
        <w:tblDescription w:val="Tabela zawiera Cel Programu, Wskaźnik, Komentarz"/>
      </w:tblPr>
      <w:tblGrid>
        <w:gridCol w:w="1990"/>
        <w:gridCol w:w="3260"/>
        <w:gridCol w:w="3782"/>
      </w:tblGrid>
      <w:tr w:rsidR="00237760" w:rsidRPr="00237760" w14:paraId="357583B1" w14:textId="77777777" w:rsidTr="00F077C6">
        <w:trPr>
          <w:trHeight w:val="111"/>
          <w:tblHeader/>
        </w:trPr>
        <w:tc>
          <w:tcPr>
            <w:tcW w:w="1990" w:type="dxa"/>
            <w:tcBorders>
              <w:top w:val="single" w:sz="12" w:space="0" w:color="002060"/>
              <w:left w:val="nil"/>
              <w:bottom w:val="single" w:sz="4" w:space="0" w:color="BDD6EE" w:themeColor="accent1" w:themeTint="66"/>
              <w:right w:val="nil"/>
            </w:tcBorders>
            <w:shd w:val="clear" w:color="auto" w:fill="auto"/>
          </w:tcPr>
          <w:p w14:paraId="7804CC6C" w14:textId="46AC07AB" w:rsidR="00EF3AF1" w:rsidRPr="00237760" w:rsidRDefault="00EF3AF1" w:rsidP="009367B4">
            <w:pPr>
              <w:spacing w:after="0" w:line="240" w:lineRule="auto"/>
              <w:jc w:val="left"/>
              <w:rPr>
                <w:rFonts w:ascii="Arial" w:eastAsiaTheme="minorHAnsi" w:hAnsi="Arial" w:cs="Arial"/>
                <w:b/>
                <w:color w:val="auto"/>
                <w:sz w:val="24"/>
                <w:szCs w:val="24"/>
              </w:rPr>
            </w:pPr>
            <w:r w:rsidRPr="00237760">
              <w:rPr>
                <w:rFonts w:ascii="Arial" w:eastAsiaTheme="minorHAnsi" w:hAnsi="Arial" w:cs="Arial"/>
                <w:b/>
                <w:color w:val="auto"/>
                <w:sz w:val="24"/>
                <w:szCs w:val="24"/>
              </w:rPr>
              <w:t>Cel Programu</w:t>
            </w:r>
          </w:p>
        </w:tc>
        <w:tc>
          <w:tcPr>
            <w:tcW w:w="3260" w:type="dxa"/>
            <w:tcBorders>
              <w:top w:val="single" w:sz="12" w:space="0" w:color="002060"/>
              <w:left w:val="nil"/>
              <w:bottom w:val="single" w:sz="4" w:space="0" w:color="BDD6EE" w:themeColor="accent1" w:themeTint="66"/>
              <w:right w:val="nil"/>
            </w:tcBorders>
            <w:shd w:val="clear" w:color="auto" w:fill="auto"/>
            <w:vAlign w:val="center"/>
          </w:tcPr>
          <w:p w14:paraId="7A2756AA" w14:textId="605A01D2" w:rsidR="00EF3AF1" w:rsidRPr="00237760" w:rsidRDefault="00EF3AF1" w:rsidP="009367B4">
            <w:pPr>
              <w:spacing w:after="0" w:line="240" w:lineRule="auto"/>
              <w:jc w:val="left"/>
              <w:rPr>
                <w:rFonts w:ascii="Arial" w:eastAsiaTheme="minorHAnsi" w:hAnsi="Arial" w:cs="Arial"/>
                <w:b/>
                <w:color w:val="auto"/>
                <w:sz w:val="24"/>
                <w:szCs w:val="24"/>
              </w:rPr>
            </w:pPr>
            <w:r w:rsidRPr="00237760">
              <w:rPr>
                <w:rFonts w:ascii="Arial" w:eastAsiaTheme="minorHAnsi" w:hAnsi="Arial" w:cs="Arial"/>
                <w:b/>
                <w:color w:val="auto"/>
                <w:sz w:val="24"/>
                <w:szCs w:val="24"/>
              </w:rPr>
              <w:t>Wskaźnik</w:t>
            </w:r>
          </w:p>
        </w:tc>
        <w:tc>
          <w:tcPr>
            <w:tcW w:w="3782" w:type="dxa"/>
            <w:tcBorders>
              <w:top w:val="single" w:sz="12" w:space="0" w:color="002060"/>
              <w:left w:val="nil"/>
              <w:bottom w:val="single" w:sz="4" w:space="0" w:color="BDD6EE" w:themeColor="accent1" w:themeTint="66"/>
              <w:right w:val="nil"/>
            </w:tcBorders>
            <w:shd w:val="clear" w:color="auto" w:fill="auto"/>
            <w:vAlign w:val="center"/>
          </w:tcPr>
          <w:p w14:paraId="5157EEEB" w14:textId="77777777" w:rsidR="00EF3AF1" w:rsidRPr="00237760" w:rsidRDefault="00EF3AF1"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Komentarz</w:t>
            </w:r>
          </w:p>
        </w:tc>
      </w:tr>
      <w:tr w:rsidR="00237760" w:rsidRPr="00237760" w14:paraId="170075AB" w14:textId="77777777" w:rsidTr="00C378D3">
        <w:trPr>
          <w:trHeight w:val="151"/>
        </w:trPr>
        <w:tc>
          <w:tcPr>
            <w:tcW w:w="1990" w:type="dxa"/>
            <w:vMerge w:val="restart"/>
            <w:tcBorders>
              <w:top w:val="single" w:sz="4" w:space="0" w:color="BDD6EE" w:themeColor="accent1" w:themeTint="66"/>
              <w:left w:val="nil"/>
              <w:right w:val="nil"/>
            </w:tcBorders>
            <w:vAlign w:val="center"/>
          </w:tcPr>
          <w:p w14:paraId="192FCAAE" w14:textId="342B0D5C" w:rsidR="00EF3AF1" w:rsidRPr="00237760" w:rsidRDefault="00EF3AF1"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 xml:space="preserve">Cel </w:t>
            </w:r>
            <w:r w:rsidR="008D24F3" w:rsidRPr="00237760">
              <w:rPr>
                <w:rFonts w:ascii="Arial" w:hAnsi="Arial" w:cs="Arial"/>
                <w:b/>
                <w:color w:val="auto"/>
                <w:sz w:val="24"/>
                <w:szCs w:val="24"/>
              </w:rPr>
              <w:t>podstawowy</w:t>
            </w:r>
            <w:r w:rsidRPr="00237760">
              <w:rPr>
                <w:rFonts w:ascii="Arial" w:hAnsi="Arial" w:cs="Arial"/>
                <w:b/>
                <w:color w:val="auto"/>
                <w:sz w:val="24"/>
                <w:szCs w:val="24"/>
              </w:rPr>
              <w:t xml:space="preserve"> 1. Dostępność zewnętrzna</w:t>
            </w:r>
          </w:p>
        </w:tc>
        <w:tc>
          <w:tcPr>
            <w:tcW w:w="32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7849DA5D" w14:textId="44DACE79" w:rsidR="00EF3AF1" w:rsidRPr="00237760" w:rsidRDefault="00EF3AF1"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Czas dojazdu do Warszawy, Krakowa, Lublina i Kielc w transporcie drogowym i kolejowym</w:t>
            </w:r>
          </w:p>
        </w:tc>
        <w:tc>
          <w:tcPr>
            <w:tcW w:w="3782" w:type="dxa"/>
            <w:tcBorders>
              <w:top w:val="single" w:sz="4" w:space="0" w:color="BDD6EE" w:themeColor="accent1" w:themeTint="66"/>
              <w:left w:val="nil"/>
              <w:bottom w:val="single" w:sz="4" w:space="0" w:color="BDD6EE" w:themeColor="accent1" w:themeTint="66"/>
              <w:right w:val="nil"/>
            </w:tcBorders>
            <w:vAlign w:val="center"/>
          </w:tcPr>
          <w:p w14:paraId="58F0552D" w14:textId="60CB3FFB" w:rsidR="00EF3AF1" w:rsidRPr="00237760" w:rsidRDefault="00CB5E42" w:rsidP="009367B4">
            <w:pPr>
              <w:pStyle w:val="Akapitzlist"/>
              <w:numPr>
                <w:ilvl w:val="0"/>
                <w:numId w:val="30"/>
              </w:numPr>
              <w:spacing w:after="0" w:line="240" w:lineRule="auto"/>
              <w:ind w:left="459"/>
              <w:jc w:val="left"/>
              <w:rPr>
                <w:rFonts w:ascii="Arial" w:hAnsi="Arial" w:cs="Arial"/>
                <w:color w:val="auto"/>
                <w:sz w:val="24"/>
                <w:szCs w:val="24"/>
              </w:rPr>
            </w:pPr>
            <w:r w:rsidRPr="00237760">
              <w:rPr>
                <w:rFonts w:ascii="Arial" w:hAnsi="Arial" w:cs="Arial"/>
                <w:color w:val="auto"/>
                <w:sz w:val="24"/>
                <w:szCs w:val="24"/>
              </w:rPr>
              <w:t>sugestia rozszerzenia grupy miast branych pod uwagę w analizie (na poziomie kierunków działań Polska Wschodnia została wskazana jako jeden z obszarów)</w:t>
            </w:r>
          </w:p>
        </w:tc>
      </w:tr>
      <w:tr w:rsidR="00237760" w:rsidRPr="00237760" w14:paraId="627F2EF5" w14:textId="77777777" w:rsidTr="00C378D3">
        <w:trPr>
          <w:trHeight w:val="151"/>
        </w:trPr>
        <w:tc>
          <w:tcPr>
            <w:tcW w:w="1990" w:type="dxa"/>
            <w:vMerge/>
            <w:tcBorders>
              <w:left w:val="nil"/>
              <w:bottom w:val="single" w:sz="4" w:space="0" w:color="BDD6EE" w:themeColor="accent1" w:themeTint="66"/>
              <w:right w:val="nil"/>
            </w:tcBorders>
            <w:vAlign w:val="center"/>
          </w:tcPr>
          <w:p w14:paraId="3797BE31" w14:textId="315A316F" w:rsidR="009661C1" w:rsidRPr="00237760" w:rsidRDefault="009661C1" w:rsidP="009367B4">
            <w:pPr>
              <w:spacing w:after="0" w:line="240" w:lineRule="auto"/>
              <w:jc w:val="left"/>
              <w:rPr>
                <w:rFonts w:ascii="Arial" w:hAnsi="Arial" w:cs="Arial"/>
                <w:b/>
                <w:color w:val="auto"/>
                <w:sz w:val="24"/>
                <w:szCs w:val="24"/>
              </w:rPr>
            </w:pPr>
          </w:p>
        </w:tc>
        <w:tc>
          <w:tcPr>
            <w:tcW w:w="32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07AEDE31" w14:textId="71D5F152" w:rsidR="009661C1" w:rsidRPr="00237760" w:rsidRDefault="009661C1"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Wskaźnik dostępności potencjałowej (WMDT II, a w jego ramach WDDT II i WKDT II); wskaźniki obliczane w układzie</w:t>
            </w:r>
          </w:p>
          <w:p w14:paraId="5A8EB2B3" w14:textId="77777777" w:rsidR="009661C1" w:rsidRPr="00237760" w:rsidRDefault="009661C1"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europejskim, krajowym i regionalnym</w:t>
            </w:r>
          </w:p>
        </w:tc>
        <w:tc>
          <w:tcPr>
            <w:tcW w:w="3782" w:type="dxa"/>
            <w:vMerge w:val="restart"/>
            <w:tcBorders>
              <w:top w:val="single" w:sz="4" w:space="0" w:color="BDD6EE" w:themeColor="accent1" w:themeTint="66"/>
              <w:left w:val="nil"/>
              <w:right w:val="nil"/>
            </w:tcBorders>
            <w:vAlign w:val="center"/>
          </w:tcPr>
          <w:p w14:paraId="6A7696AC" w14:textId="3F657200" w:rsidR="009661C1" w:rsidRPr="00237760" w:rsidRDefault="009661C1" w:rsidP="009367B4">
            <w:pPr>
              <w:pStyle w:val="Akapitzlist"/>
              <w:numPr>
                <w:ilvl w:val="0"/>
                <w:numId w:val="30"/>
              </w:numPr>
              <w:spacing w:line="240" w:lineRule="auto"/>
              <w:ind w:left="459"/>
              <w:jc w:val="left"/>
              <w:rPr>
                <w:rFonts w:ascii="Arial" w:hAnsi="Arial" w:cs="Arial"/>
                <w:color w:val="auto"/>
                <w:sz w:val="24"/>
                <w:szCs w:val="24"/>
              </w:rPr>
            </w:pPr>
            <w:r w:rsidRPr="00237760">
              <w:rPr>
                <w:rFonts w:ascii="Arial" w:hAnsi="Arial" w:cs="Arial"/>
                <w:color w:val="auto"/>
                <w:sz w:val="24"/>
                <w:szCs w:val="24"/>
              </w:rPr>
              <w:t>wskaźnik dobrany trafnie do celu</w:t>
            </w:r>
          </w:p>
        </w:tc>
      </w:tr>
      <w:tr w:rsidR="00237760" w:rsidRPr="00237760" w14:paraId="33FE10A4" w14:textId="77777777" w:rsidTr="00C378D3">
        <w:trPr>
          <w:trHeight w:val="151"/>
        </w:trPr>
        <w:tc>
          <w:tcPr>
            <w:tcW w:w="1990" w:type="dxa"/>
            <w:vMerge w:val="restart"/>
            <w:tcBorders>
              <w:top w:val="single" w:sz="4" w:space="0" w:color="BDD6EE" w:themeColor="accent1" w:themeTint="66"/>
              <w:left w:val="nil"/>
              <w:right w:val="nil"/>
            </w:tcBorders>
            <w:vAlign w:val="center"/>
          </w:tcPr>
          <w:p w14:paraId="337CCE28" w14:textId="2EA511DF" w:rsidR="009661C1" w:rsidRPr="00237760" w:rsidRDefault="009661C1"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 xml:space="preserve">Cel </w:t>
            </w:r>
            <w:r w:rsidR="008D24F3" w:rsidRPr="00237760">
              <w:rPr>
                <w:rFonts w:ascii="Arial" w:hAnsi="Arial" w:cs="Arial"/>
                <w:b/>
                <w:color w:val="auto"/>
                <w:sz w:val="24"/>
                <w:szCs w:val="24"/>
              </w:rPr>
              <w:t>podstawowy</w:t>
            </w:r>
            <w:r w:rsidRPr="00237760">
              <w:rPr>
                <w:rFonts w:ascii="Arial" w:hAnsi="Arial" w:cs="Arial"/>
                <w:b/>
                <w:color w:val="auto"/>
                <w:sz w:val="24"/>
                <w:szCs w:val="24"/>
              </w:rPr>
              <w:t xml:space="preserve"> 2. </w:t>
            </w:r>
            <w:r w:rsidR="00741C29" w:rsidRPr="00237760">
              <w:rPr>
                <w:rFonts w:ascii="Arial" w:hAnsi="Arial" w:cs="Arial"/>
                <w:b/>
                <w:color w:val="auto"/>
                <w:sz w:val="24"/>
                <w:szCs w:val="24"/>
              </w:rPr>
              <w:t>Transportowa s</w:t>
            </w:r>
            <w:r w:rsidRPr="00237760">
              <w:rPr>
                <w:rFonts w:ascii="Arial" w:hAnsi="Arial" w:cs="Arial"/>
                <w:b/>
                <w:color w:val="auto"/>
                <w:sz w:val="24"/>
                <w:szCs w:val="24"/>
              </w:rPr>
              <w:t>pójność wewnętrzna</w:t>
            </w:r>
          </w:p>
        </w:tc>
        <w:tc>
          <w:tcPr>
            <w:tcW w:w="32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44394B1D" w14:textId="3A24DE9C" w:rsidR="009661C1" w:rsidRPr="00237760" w:rsidRDefault="009661C1"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Czas przejazdu z MOF-ów do Rzeszowa (transport drogowy i kolejowy)</w:t>
            </w:r>
          </w:p>
        </w:tc>
        <w:tc>
          <w:tcPr>
            <w:tcW w:w="3782" w:type="dxa"/>
            <w:vMerge/>
            <w:tcBorders>
              <w:left w:val="nil"/>
              <w:right w:val="nil"/>
            </w:tcBorders>
            <w:vAlign w:val="center"/>
          </w:tcPr>
          <w:p w14:paraId="5F680113" w14:textId="3A20535E" w:rsidR="009661C1" w:rsidRPr="00237760" w:rsidRDefault="009661C1" w:rsidP="009367B4">
            <w:pPr>
              <w:pStyle w:val="Akapitzlist"/>
              <w:numPr>
                <w:ilvl w:val="0"/>
                <w:numId w:val="30"/>
              </w:numPr>
              <w:spacing w:line="240" w:lineRule="auto"/>
              <w:ind w:left="459"/>
              <w:jc w:val="left"/>
              <w:rPr>
                <w:rFonts w:ascii="Arial" w:hAnsi="Arial" w:cs="Arial"/>
                <w:color w:val="auto"/>
                <w:sz w:val="24"/>
                <w:szCs w:val="24"/>
              </w:rPr>
            </w:pPr>
          </w:p>
        </w:tc>
      </w:tr>
      <w:tr w:rsidR="00237760" w:rsidRPr="00237760" w14:paraId="071BF3A8" w14:textId="77777777" w:rsidTr="00C378D3">
        <w:trPr>
          <w:trHeight w:val="151"/>
        </w:trPr>
        <w:tc>
          <w:tcPr>
            <w:tcW w:w="1990" w:type="dxa"/>
            <w:vMerge/>
            <w:tcBorders>
              <w:left w:val="nil"/>
              <w:right w:val="nil"/>
            </w:tcBorders>
            <w:vAlign w:val="center"/>
          </w:tcPr>
          <w:p w14:paraId="298E3152" w14:textId="23CE4397" w:rsidR="009661C1" w:rsidRPr="00237760" w:rsidRDefault="009661C1" w:rsidP="009367B4">
            <w:pPr>
              <w:spacing w:after="0" w:line="240" w:lineRule="auto"/>
              <w:jc w:val="left"/>
              <w:rPr>
                <w:rFonts w:ascii="Arial" w:hAnsi="Arial" w:cs="Arial"/>
                <w:color w:val="auto"/>
                <w:sz w:val="24"/>
                <w:szCs w:val="24"/>
              </w:rPr>
            </w:pPr>
          </w:p>
        </w:tc>
        <w:tc>
          <w:tcPr>
            <w:tcW w:w="32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34D13C25" w14:textId="6EF4347A" w:rsidR="009661C1" w:rsidRPr="00237760" w:rsidRDefault="009661C1"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Czas przejazdu do Rzeszowa (drogowy i kolejowy)</w:t>
            </w:r>
          </w:p>
        </w:tc>
        <w:tc>
          <w:tcPr>
            <w:tcW w:w="3782" w:type="dxa"/>
            <w:vMerge/>
            <w:tcBorders>
              <w:left w:val="nil"/>
              <w:right w:val="nil"/>
            </w:tcBorders>
            <w:vAlign w:val="center"/>
          </w:tcPr>
          <w:p w14:paraId="690F32C7" w14:textId="1CBFC464" w:rsidR="009661C1" w:rsidRPr="00237760" w:rsidRDefault="009661C1" w:rsidP="009367B4">
            <w:pPr>
              <w:pStyle w:val="Akapitzlist"/>
              <w:numPr>
                <w:ilvl w:val="0"/>
                <w:numId w:val="30"/>
              </w:numPr>
              <w:spacing w:line="240" w:lineRule="auto"/>
              <w:ind w:left="459"/>
              <w:jc w:val="left"/>
              <w:rPr>
                <w:rFonts w:ascii="Arial" w:hAnsi="Arial" w:cs="Arial"/>
                <w:color w:val="auto"/>
                <w:sz w:val="24"/>
                <w:szCs w:val="24"/>
              </w:rPr>
            </w:pPr>
          </w:p>
        </w:tc>
      </w:tr>
      <w:tr w:rsidR="00237760" w:rsidRPr="00237760" w14:paraId="7207AC05" w14:textId="77777777" w:rsidTr="00C378D3">
        <w:trPr>
          <w:trHeight w:val="151"/>
        </w:trPr>
        <w:tc>
          <w:tcPr>
            <w:tcW w:w="1990" w:type="dxa"/>
            <w:vMerge/>
            <w:tcBorders>
              <w:left w:val="nil"/>
              <w:right w:val="nil"/>
            </w:tcBorders>
            <w:vAlign w:val="center"/>
          </w:tcPr>
          <w:p w14:paraId="5092B9EA" w14:textId="270B5AF6" w:rsidR="009661C1" w:rsidRPr="00237760" w:rsidRDefault="009661C1" w:rsidP="009367B4">
            <w:pPr>
              <w:spacing w:after="0" w:line="240" w:lineRule="auto"/>
              <w:jc w:val="left"/>
              <w:rPr>
                <w:rFonts w:ascii="Arial" w:hAnsi="Arial" w:cs="Arial"/>
                <w:color w:val="auto"/>
                <w:sz w:val="24"/>
                <w:szCs w:val="24"/>
              </w:rPr>
            </w:pPr>
          </w:p>
        </w:tc>
        <w:tc>
          <w:tcPr>
            <w:tcW w:w="32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565F3511" w14:textId="74894115" w:rsidR="009661C1" w:rsidRPr="00237760" w:rsidRDefault="009661C1"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Liczba ludności oraz liczba przedsiębiorstw w obrębie izochrony 30 minut oraz 60 minut od:</w:t>
            </w:r>
          </w:p>
          <w:p w14:paraId="1D83C07E" w14:textId="77777777" w:rsidR="009661C1" w:rsidRPr="00237760" w:rsidRDefault="009661C1"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a) Rzeszowa,</w:t>
            </w:r>
          </w:p>
          <w:p w14:paraId="627C6A27" w14:textId="77777777" w:rsidR="009661C1" w:rsidRPr="00237760" w:rsidRDefault="009661C1"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b) najbliższego MOF</w:t>
            </w:r>
          </w:p>
        </w:tc>
        <w:tc>
          <w:tcPr>
            <w:tcW w:w="3782" w:type="dxa"/>
            <w:vMerge/>
            <w:tcBorders>
              <w:left w:val="nil"/>
              <w:right w:val="nil"/>
            </w:tcBorders>
            <w:vAlign w:val="center"/>
          </w:tcPr>
          <w:p w14:paraId="0F6D5FFA" w14:textId="77E25336" w:rsidR="009661C1" w:rsidRPr="00237760" w:rsidRDefault="009661C1" w:rsidP="009367B4">
            <w:pPr>
              <w:pStyle w:val="Akapitzlist"/>
              <w:numPr>
                <w:ilvl w:val="0"/>
                <w:numId w:val="30"/>
              </w:numPr>
              <w:spacing w:line="240" w:lineRule="auto"/>
              <w:ind w:left="459"/>
              <w:jc w:val="left"/>
              <w:rPr>
                <w:rFonts w:ascii="Arial" w:hAnsi="Arial" w:cs="Arial"/>
                <w:color w:val="auto"/>
                <w:sz w:val="24"/>
                <w:szCs w:val="24"/>
              </w:rPr>
            </w:pPr>
          </w:p>
        </w:tc>
      </w:tr>
      <w:tr w:rsidR="00237760" w:rsidRPr="00237760" w14:paraId="31679FDB" w14:textId="77777777" w:rsidTr="00C378D3">
        <w:trPr>
          <w:trHeight w:val="151"/>
        </w:trPr>
        <w:tc>
          <w:tcPr>
            <w:tcW w:w="1990" w:type="dxa"/>
            <w:vMerge/>
            <w:tcBorders>
              <w:left w:val="nil"/>
              <w:right w:val="nil"/>
            </w:tcBorders>
            <w:vAlign w:val="center"/>
          </w:tcPr>
          <w:p w14:paraId="1CE4F4AF" w14:textId="53ACB09A" w:rsidR="009661C1" w:rsidRPr="00237760" w:rsidRDefault="009661C1" w:rsidP="009367B4">
            <w:pPr>
              <w:spacing w:after="0" w:line="240" w:lineRule="auto"/>
              <w:jc w:val="left"/>
              <w:rPr>
                <w:rFonts w:ascii="Arial" w:hAnsi="Arial" w:cs="Arial"/>
                <w:color w:val="auto"/>
                <w:sz w:val="24"/>
                <w:szCs w:val="24"/>
              </w:rPr>
            </w:pPr>
          </w:p>
        </w:tc>
        <w:tc>
          <w:tcPr>
            <w:tcW w:w="32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7DD3B17A" w14:textId="2D136A8C" w:rsidR="009661C1" w:rsidRPr="00237760" w:rsidRDefault="009661C1"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Czas dojazdu do Rzeszowa z ośrodków powiatowych obszarów peryferyjnych </w:t>
            </w:r>
            <w:r w:rsidRPr="00237760">
              <w:rPr>
                <w:rFonts w:ascii="Arial" w:hAnsi="Arial" w:cs="Arial"/>
                <w:color w:val="auto"/>
                <w:sz w:val="24"/>
                <w:szCs w:val="24"/>
              </w:rPr>
              <w:lastRenderedPageBreak/>
              <w:t>(transport drogowy i kolejowy)</w:t>
            </w:r>
          </w:p>
        </w:tc>
        <w:tc>
          <w:tcPr>
            <w:tcW w:w="3782" w:type="dxa"/>
            <w:vMerge/>
            <w:tcBorders>
              <w:left w:val="nil"/>
              <w:right w:val="nil"/>
            </w:tcBorders>
            <w:vAlign w:val="center"/>
          </w:tcPr>
          <w:p w14:paraId="7E1CC968" w14:textId="25B2B936" w:rsidR="009661C1" w:rsidRPr="00237760" w:rsidRDefault="009661C1" w:rsidP="009367B4">
            <w:pPr>
              <w:pStyle w:val="Akapitzlist"/>
              <w:numPr>
                <w:ilvl w:val="0"/>
                <w:numId w:val="30"/>
              </w:numPr>
              <w:spacing w:line="240" w:lineRule="auto"/>
              <w:ind w:left="459"/>
              <w:jc w:val="left"/>
              <w:rPr>
                <w:rFonts w:ascii="Arial" w:hAnsi="Arial" w:cs="Arial"/>
                <w:color w:val="auto"/>
                <w:sz w:val="24"/>
                <w:szCs w:val="24"/>
              </w:rPr>
            </w:pPr>
          </w:p>
        </w:tc>
      </w:tr>
      <w:tr w:rsidR="00237760" w:rsidRPr="00237760" w14:paraId="56803ED1" w14:textId="77777777" w:rsidTr="00C378D3">
        <w:trPr>
          <w:trHeight w:val="151"/>
        </w:trPr>
        <w:tc>
          <w:tcPr>
            <w:tcW w:w="1990" w:type="dxa"/>
            <w:vMerge/>
            <w:tcBorders>
              <w:left w:val="nil"/>
              <w:right w:val="nil"/>
            </w:tcBorders>
            <w:vAlign w:val="center"/>
          </w:tcPr>
          <w:p w14:paraId="22993271" w14:textId="67CC28D8" w:rsidR="009661C1" w:rsidRPr="00237760" w:rsidRDefault="009661C1" w:rsidP="009367B4">
            <w:pPr>
              <w:spacing w:after="0" w:line="240" w:lineRule="auto"/>
              <w:jc w:val="left"/>
              <w:rPr>
                <w:rFonts w:ascii="Arial" w:hAnsi="Arial" w:cs="Arial"/>
                <w:color w:val="auto"/>
                <w:sz w:val="24"/>
                <w:szCs w:val="24"/>
              </w:rPr>
            </w:pPr>
          </w:p>
        </w:tc>
        <w:tc>
          <w:tcPr>
            <w:tcW w:w="32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6F6C5ECF" w14:textId="63508207" w:rsidR="009661C1" w:rsidRPr="00237760" w:rsidRDefault="009661C1"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Czas dojazdu do najbliższego MOF z ośrodków</w:t>
            </w:r>
          </w:p>
          <w:p w14:paraId="2B7E2BA1" w14:textId="77777777" w:rsidR="009661C1" w:rsidRPr="00237760" w:rsidRDefault="009661C1"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powiatowych obszarów peryferyjnych (transport drogowy i kolejowy)</w:t>
            </w:r>
          </w:p>
        </w:tc>
        <w:tc>
          <w:tcPr>
            <w:tcW w:w="3782" w:type="dxa"/>
            <w:vMerge/>
            <w:tcBorders>
              <w:left w:val="nil"/>
              <w:right w:val="nil"/>
            </w:tcBorders>
            <w:vAlign w:val="center"/>
          </w:tcPr>
          <w:p w14:paraId="48A7554D" w14:textId="5E76E59E" w:rsidR="009661C1" w:rsidRPr="00237760" w:rsidRDefault="009661C1" w:rsidP="009367B4">
            <w:pPr>
              <w:pStyle w:val="Akapitzlist"/>
              <w:numPr>
                <w:ilvl w:val="0"/>
                <w:numId w:val="30"/>
              </w:numPr>
              <w:spacing w:line="240" w:lineRule="auto"/>
              <w:ind w:left="459"/>
              <w:jc w:val="left"/>
              <w:rPr>
                <w:rFonts w:ascii="Arial" w:hAnsi="Arial" w:cs="Arial"/>
                <w:color w:val="auto"/>
                <w:sz w:val="24"/>
                <w:szCs w:val="24"/>
              </w:rPr>
            </w:pPr>
          </w:p>
        </w:tc>
      </w:tr>
      <w:tr w:rsidR="00237760" w:rsidRPr="00237760" w14:paraId="48CA4D4C" w14:textId="77777777" w:rsidTr="00C378D3">
        <w:trPr>
          <w:trHeight w:val="151"/>
        </w:trPr>
        <w:tc>
          <w:tcPr>
            <w:tcW w:w="1990" w:type="dxa"/>
            <w:vMerge/>
            <w:tcBorders>
              <w:left w:val="nil"/>
              <w:bottom w:val="single" w:sz="4" w:space="0" w:color="BDD6EE" w:themeColor="accent1" w:themeTint="66"/>
              <w:right w:val="nil"/>
            </w:tcBorders>
            <w:vAlign w:val="center"/>
          </w:tcPr>
          <w:p w14:paraId="55E5A429" w14:textId="70C290E6" w:rsidR="00E36C95" w:rsidRPr="00237760" w:rsidRDefault="00E36C95" w:rsidP="009367B4">
            <w:pPr>
              <w:spacing w:after="0" w:line="240" w:lineRule="auto"/>
              <w:jc w:val="left"/>
              <w:rPr>
                <w:rFonts w:ascii="Arial" w:hAnsi="Arial" w:cs="Arial"/>
                <w:color w:val="auto"/>
                <w:sz w:val="24"/>
                <w:szCs w:val="24"/>
              </w:rPr>
            </w:pPr>
          </w:p>
        </w:tc>
        <w:tc>
          <w:tcPr>
            <w:tcW w:w="32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65D79907" w14:textId="3B9B8092" w:rsidR="00E36C95" w:rsidRPr="00237760" w:rsidRDefault="00E36C9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Liczba połączeń na wybranych odcinkach poddanych rewitalizacji (transport kolejowy)</w:t>
            </w:r>
          </w:p>
        </w:tc>
        <w:tc>
          <w:tcPr>
            <w:tcW w:w="3782" w:type="dxa"/>
            <w:vMerge/>
            <w:tcBorders>
              <w:left w:val="nil"/>
              <w:bottom w:val="single" w:sz="4" w:space="0" w:color="BDD6EE" w:themeColor="accent1" w:themeTint="66"/>
              <w:right w:val="nil"/>
            </w:tcBorders>
            <w:vAlign w:val="center"/>
          </w:tcPr>
          <w:p w14:paraId="1B167D1C" w14:textId="4914F492" w:rsidR="00E36C95" w:rsidRPr="00237760" w:rsidRDefault="00E36C95" w:rsidP="009367B4">
            <w:pPr>
              <w:pStyle w:val="Akapitzlist"/>
              <w:numPr>
                <w:ilvl w:val="0"/>
                <w:numId w:val="30"/>
              </w:numPr>
              <w:spacing w:line="240" w:lineRule="auto"/>
              <w:ind w:left="459"/>
              <w:jc w:val="left"/>
              <w:rPr>
                <w:rFonts w:ascii="Arial" w:hAnsi="Arial" w:cs="Arial"/>
                <w:color w:val="auto"/>
                <w:sz w:val="24"/>
                <w:szCs w:val="24"/>
              </w:rPr>
            </w:pPr>
          </w:p>
        </w:tc>
      </w:tr>
      <w:tr w:rsidR="00237760" w:rsidRPr="00237760" w14:paraId="5FD6B433" w14:textId="77777777" w:rsidTr="00C378D3">
        <w:trPr>
          <w:trHeight w:val="428"/>
        </w:trPr>
        <w:tc>
          <w:tcPr>
            <w:tcW w:w="1990" w:type="dxa"/>
            <w:vMerge w:val="restart"/>
            <w:tcBorders>
              <w:top w:val="single" w:sz="4" w:space="0" w:color="BDD6EE" w:themeColor="accent1" w:themeTint="66"/>
              <w:left w:val="nil"/>
              <w:right w:val="nil"/>
            </w:tcBorders>
            <w:vAlign w:val="center"/>
          </w:tcPr>
          <w:p w14:paraId="2609ECB6" w14:textId="1D323582" w:rsidR="00EF3AF1" w:rsidRPr="00237760" w:rsidRDefault="00EF3AF1"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 xml:space="preserve">Cel </w:t>
            </w:r>
            <w:r w:rsidR="008D24F3" w:rsidRPr="00237760">
              <w:rPr>
                <w:rFonts w:ascii="Arial" w:hAnsi="Arial" w:cs="Arial"/>
                <w:b/>
                <w:color w:val="auto"/>
                <w:sz w:val="24"/>
                <w:szCs w:val="24"/>
              </w:rPr>
              <w:t>podstawowy</w:t>
            </w:r>
            <w:r w:rsidRPr="00237760">
              <w:rPr>
                <w:rFonts w:ascii="Arial" w:hAnsi="Arial" w:cs="Arial"/>
                <w:b/>
                <w:color w:val="auto"/>
                <w:sz w:val="24"/>
                <w:szCs w:val="24"/>
              </w:rPr>
              <w:t xml:space="preserve"> 3. Integracja MOF</w:t>
            </w:r>
          </w:p>
        </w:tc>
        <w:tc>
          <w:tcPr>
            <w:tcW w:w="32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10F6BB95" w14:textId="0814EE62" w:rsidR="00EF3AF1" w:rsidRPr="00237760" w:rsidRDefault="00EF3AF1"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Czas dojazdu do centrum miasta rdzeniowego (transport drogowy i kolejowy)</w:t>
            </w:r>
          </w:p>
        </w:tc>
        <w:tc>
          <w:tcPr>
            <w:tcW w:w="3782" w:type="dxa"/>
            <w:tcBorders>
              <w:top w:val="single" w:sz="4" w:space="0" w:color="BDD6EE" w:themeColor="accent1" w:themeTint="66"/>
              <w:left w:val="nil"/>
              <w:bottom w:val="single" w:sz="4" w:space="0" w:color="BDD6EE" w:themeColor="accent1" w:themeTint="66"/>
              <w:right w:val="nil"/>
            </w:tcBorders>
            <w:vAlign w:val="center"/>
          </w:tcPr>
          <w:p w14:paraId="1A0F810E" w14:textId="0433F843" w:rsidR="00EF3AF1" w:rsidRPr="00237760" w:rsidRDefault="00CD4E8F" w:rsidP="009367B4">
            <w:pPr>
              <w:pStyle w:val="Akapitzlist"/>
              <w:numPr>
                <w:ilvl w:val="0"/>
                <w:numId w:val="30"/>
              </w:numPr>
              <w:spacing w:after="0" w:line="240" w:lineRule="auto"/>
              <w:ind w:left="459"/>
              <w:jc w:val="left"/>
              <w:rPr>
                <w:rFonts w:ascii="Arial" w:hAnsi="Arial" w:cs="Arial"/>
                <w:color w:val="auto"/>
                <w:sz w:val="24"/>
                <w:szCs w:val="24"/>
              </w:rPr>
            </w:pPr>
            <w:r w:rsidRPr="00237760">
              <w:rPr>
                <w:rFonts w:ascii="Arial" w:hAnsi="Arial" w:cs="Arial"/>
                <w:color w:val="auto"/>
                <w:sz w:val="24"/>
                <w:szCs w:val="24"/>
              </w:rPr>
              <w:t>wskaźnik nie precyzuje pomiędzy jakimi miastami będzie sprawdzana relacja</w:t>
            </w:r>
          </w:p>
        </w:tc>
      </w:tr>
      <w:tr w:rsidR="00237760" w:rsidRPr="00237760" w14:paraId="0EE12D3F" w14:textId="77777777" w:rsidTr="00C378D3">
        <w:trPr>
          <w:trHeight w:val="151"/>
        </w:trPr>
        <w:tc>
          <w:tcPr>
            <w:tcW w:w="1990" w:type="dxa"/>
            <w:vMerge/>
            <w:tcBorders>
              <w:left w:val="nil"/>
              <w:bottom w:val="single" w:sz="4" w:space="0" w:color="BDD6EE" w:themeColor="accent1" w:themeTint="66"/>
              <w:right w:val="nil"/>
            </w:tcBorders>
            <w:vAlign w:val="center"/>
          </w:tcPr>
          <w:p w14:paraId="79D1FEB3" w14:textId="72F3A2E9" w:rsidR="00EF3AF1" w:rsidRPr="00237760" w:rsidRDefault="00EF3AF1" w:rsidP="009367B4">
            <w:pPr>
              <w:spacing w:after="0" w:line="240" w:lineRule="auto"/>
              <w:jc w:val="left"/>
              <w:rPr>
                <w:rFonts w:ascii="Arial" w:hAnsi="Arial" w:cs="Arial"/>
                <w:color w:val="auto"/>
                <w:sz w:val="24"/>
                <w:szCs w:val="24"/>
              </w:rPr>
            </w:pPr>
          </w:p>
        </w:tc>
        <w:tc>
          <w:tcPr>
            <w:tcW w:w="32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4ACBF89F" w14:textId="018C2E1F" w:rsidR="00EF3AF1" w:rsidRPr="00237760" w:rsidRDefault="00EF3AF1"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Odsetek korzystających transportu publicznego w dojazdach do pracy</w:t>
            </w:r>
          </w:p>
        </w:tc>
        <w:tc>
          <w:tcPr>
            <w:tcW w:w="3782" w:type="dxa"/>
            <w:tcBorders>
              <w:top w:val="single" w:sz="4" w:space="0" w:color="BDD6EE" w:themeColor="accent1" w:themeTint="66"/>
              <w:left w:val="nil"/>
              <w:bottom w:val="single" w:sz="4" w:space="0" w:color="BDD6EE" w:themeColor="accent1" w:themeTint="66"/>
              <w:right w:val="nil"/>
            </w:tcBorders>
            <w:vAlign w:val="center"/>
          </w:tcPr>
          <w:p w14:paraId="3435CC08" w14:textId="03042103" w:rsidR="00EF3AF1" w:rsidRPr="00237760" w:rsidRDefault="004C0191" w:rsidP="009367B4">
            <w:pPr>
              <w:pStyle w:val="Akapitzlist"/>
              <w:numPr>
                <w:ilvl w:val="0"/>
                <w:numId w:val="30"/>
              </w:numPr>
              <w:spacing w:after="0" w:line="240" w:lineRule="auto"/>
              <w:ind w:left="459"/>
              <w:jc w:val="left"/>
              <w:rPr>
                <w:rFonts w:ascii="Arial" w:hAnsi="Arial" w:cs="Arial"/>
                <w:color w:val="auto"/>
                <w:sz w:val="24"/>
                <w:szCs w:val="24"/>
              </w:rPr>
            </w:pPr>
            <w:r w:rsidRPr="00237760">
              <w:rPr>
                <w:rFonts w:ascii="Arial" w:hAnsi="Arial" w:cs="Arial"/>
                <w:color w:val="auto"/>
                <w:sz w:val="24"/>
                <w:szCs w:val="24"/>
              </w:rPr>
              <w:t>wskaźnik bardziej adekwatny do celu horyzontalnego „Transport publiczny”</w:t>
            </w:r>
          </w:p>
        </w:tc>
      </w:tr>
      <w:tr w:rsidR="00237760" w:rsidRPr="00237760" w14:paraId="4C4F8C5E" w14:textId="77777777" w:rsidTr="00C378D3">
        <w:trPr>
          <w:trHeight w:val="151"/>
        </w:trPr>
        <w:tc>
          <w:tcPr>
            <w:tcW w:w="1990" w:type="dxa"/>
            <w:vMerge w:val="restart"/>
            <w:tcBorders>
              <w:top w:val="single" w:sz="4" w:space="0" w:color="BDD6EE" w:themeColor="accent1" w:themeTint="66"/>
              <w:left w:val="nil"/>
              <w:right w:val="nil"/>
            </w:tcBorders>
            <w:vAlign w:val="center"/>
          </w:tcPr>
          <w:p w14:paraId="47616F98" w14:textId="77777777" w:rsidR="00213401" w:rsidRPr="00237760" w:rsidRDefault="00213401" w:rsidP="009367B4">
            <w:pPr>
              <w:spacing w:after="0" w:line="240" w:lineRule="auto"/>
              <w:jc w:val="left"/>
              <w:rPr>
                <w:rFonts w:ascii="Arial" w:hAnsi="Arial" w:cs="Arial"/>
                <w:color w:val="auto"/>
                <w:sz w:val="24"/>
                <w:szCs w:val="24"/>
              </w:rPr>
            </w:pPr>
          </w:p>
          <w:p w14:paraId="0C56C332" w14:textId="77777777" w:rsidR="00213401" w:rsidRPr="00237760" w:rsidRDefault="00213401" w:rsidP="009367B4">
            <w:pPr>
              <w:spacing w:after="0" w:line="240" w:lineRule="auto"/>
              <w:jc w:val="left"/>
              <w:rPr>
                <w:rFonts w:ascii="Arial" w:hAnsi="Arial" w:cs="Arial"/>
                <w:color w:val="auto"/>
                <w:sz w:val="24"/>
                <w:szCs w:val="24"/>
              </w:rPr>
            </w:pPr>
          </w:p>
          <w:p w14:paraId="0D5B8C6B" w14:textId="7D46480D" w:rsidR="00213401" w:rsidRPr="00237760" w:rsidRDefault="00213401"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horyzontalne</w:t>
            </w:r>
          </w:p>
          <w:p w14:paraId="0C269AAC" w14:textId="77777777" w:rsidR="00213401" w:rsidRPr="00237760" w:rsidRDefault="00213401" w:rsidP="009367B4">
            <w:pPr>
              <w:spacing w:after="0" w:line="240" w:lineRule="auto"/>
              <w:jc w:val="left"/>
              <w:rPr>
                <w:rFonts w:ascii="Arial" w:hAnsi="Arial" w:cs="Arial"/>
                <w:color w:val="auto"/>
                <w:sz w:val="24"/>
                <w:szCs w:val="24"/>
              </w:rPr>
            </w:pPr>
          </w:p>
          <w:p w14:paraId="52C80C32" w14:textId="40087BFF" w:rsidR="00213401" w:rsidRPr="00237760" w:rsidRDefault="00213401" w:rsidP="009367B4">
            <w:pPr>
              <w:spacing w:after="0" w:line="240" w:lineRule="auto"/>
              <w:jc w:val="left"/>
              <w:rPr>
                <w:rFonts w:ascii="Arial" w:hAnsi="Arial" w:cs="Arial"/>
                <w:color w:val="auto"/>
                <w:sz w:val="24"/>
                <w:szCs w:val="24"/>
              </w:rPr>
            </w:pPr>
          </w:p>
        </w:tc>
        <w:tc>
          <w:tcPr>
            <w:tcW w:w="32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6F91714C" w14:textId="1481CDFC" w:rsidR="00213401" w:rsidRPr="00237760" w:rsidRDefault="00213401"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Odsetek korzystających z transportu kolejowego w dojazdach do pracy</w:t>
            </w:r>
          </w:p>
        </w:tc>
        <w:tc>
          <w:tcPr>
            <w:tcW w:w="3782" w:type="dxa"/>
            <w:vMerge w:val="restart"/>
            <w:tcBorders>
              <w:top w:val="single" w:sz="4" w:space="0" w:color="BDD6EE" w:themeColor="accent1" w:themeTint="66"/>
              <w:left w:val="nil"/>
              <w:right w:val="nil"/>
            </w:tcBorders>
            <w:vAlign w:val="center"/>
          </w:tcPr>
          <w:p w14:paraId="14CB0A1C" w14:textId="50119671" w:rsidR="00213401" w:rsidRPr="00237760" w:rsidRDefault="00213401" w:rsidP="009367B4">
            <w:pPr>
              <w:pStyle w:val="Akapitzlist"/>
              <w:numPr>
                <w:ilvl w:val="0"/>
                <w:numId w:val="30"/>
              </w:numPr>
              <w:spacing w:line="240" w:lineRule="auto"/>
              <w:ind w:left="459"/>
              <w:jc w:val="left"/>
              <w:rPr>
                <w:rFonts w:ascii="Arial" w:hAnsi="Arial" w:cs="Arial"/>
                <w:color w:val="auto"/>
                <w:sz w:val="24"/>
                <w:szCs w:val="24"/>
              </w:rPr>
            </w:pPr>
            <w:r w:rsidRPr="00237760">
              <w:rPr>
                <w:rFonts w:ascii="Arial" w:hAnsi="Arial" w:cs="Arial"/>
                <w:color w:val="auto"/>
                <w:sz w:val="24"/>
                <w:szCs w:val="24"/>
              </w:rPr>
              <w:t>wskaźnik dobrany trafnie do celu</w:t>
            </w:r>
          </w:p>
        </w:tc>
      </w:tr>
      <w:tr w:rsidR="00237760" w:rsidRPr="00237760" w14:paraId="49277130" w14:textId="77777777" w:rsidTr="00C378D3">
        <w:trPr>
          <w:trHeight w:val="151"/>
        </w:trPr>
        <w:tc>
          <w:tcPr>
            <w:tcW w:w="1990" w:type="dxa"/>
            <w:vMerge/>
            <w:tcBorders>
              <w:left w:val="nil"/>
              <w:right w:val="nil"/>
            </w:tcBorders>
            <w:vAlign w:val="center"/>
          </w:tcPr>
          <w:p w14:paraId="771E0056" w14:textId="00D7D951" w:rsidR="00213401" w:rsidRPr="00237760" w:rsidRDefault="00213401" w:rsidP="009367B4">
            <w:pPr>
              <w:spacing w:after="0" w:line="240" w:lineRule="auto"/>
              <w:jc w:val="left"/>
              <w:rPr>
                <w:rFonts w:ascii="Arial" w:hAnsi="Arial" w:cs="Arial"/>
                <w:color w:val="auto"/>
                <w:sz w:val="24"/>
                <w:szCs w:val="24"/>
              </w:rPr>
            </w:pPr>
          </w:p>
        </w:tc>
        <w:tc>
          <w:tcPr>
            <w:tcW w:w="32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22C8D4D5" w14:textId="1CA167F6" w:rsidR="00213401" w:rsidRPr="00237760" w:rsidRDefault="00213401"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Stosunek wskaźnika czasu dojazdu transportem kolejowym do czasu w transporcie drogowym z ośrodków gminnych w MOF do jego rdzenia</w:t>
            </w:r>
          </w:p>
        </w:tc>
        <w:tc>
          <w:tcPr>
            <w:tcW w:w="3782" w:type="dxa"/>
            <w:vMerge/>
            <w:tcBorders>
              <w:left w:val="nil"/>
              <w:bottom w:val="single" w:sz="4" w:space="0" w:color="BDD6EE" w:themeColor="accent1" w:themeTint="66"/>
              <w:right w:val="nil"/>
            </w:tcBorders>
            <w:vAlign w:val="center"/>
          </w:tcPr>
          <w:p w14:paraId="1498E8CB" w14:textId="77777777" w:rsidR="00213401" w:rsidRPr="00237760" w:rsidRDefault="00213401" w:rsidP="009367B4">
            <w:pPr>
              <w:pStyle w:val="Akapitzlist"/>
              <w:numPr>
                <w:ilvl w:val="0"/>
                <w:numId w:val="30"/>
              </w:numPr>
              <w:spacing w:line="240" w:lineRule="auto"/>
              <w:ind w:left="459"/>
              <w:jc w:val="left"/>
              <w:rPr>
                <w:rFonts w:ascii="Arial" w:hAnsi="Arial" w:cs="Arial"/>
                <w:color w:val="auto"/>
                <w:sz w:val="24"/>
                <w:szCs w:val="24"/>
              </w:rPr>
            </w:pPr>
          </w:p>
        </w:tc>
      </w:tr>
      <w:tr w:rsidR="00237760" w:rsidRPr="00237760" w14:paraId="52EF585A" w14:textId="77777777" w:rsidTr="00C378D3">
        <w:trPr>
          <w:trHeight w:val="151"/>
        </w:trPr>
        <w:tc>
          <w:tcPr>
            <w:tcW w:w="1990" w:type="dxa"/>
            <w:vMerge/>
            <w:tcBorders>
              <w:left w:val="nil"/>
              <w:right w:val="nil"/>
            </w:tcBorders>
            <w:vAlign w:val="center"/>
          </w:tcPr>
          <w:p w14:paraId="0162201E" w14:textId="49F766BD" w:rsidR="00EF3AF1" w:rsidRPr="00237760" w:rsidRDefault="00EF3AF1" w:rsidP="009367B4">
            <w:pPr>
              <w:spacing w:after="0" w:line="240" w:lineRule="auto"/>
              <w:jc w:val="left"/>
              <w:rPr>
                <w:rFonts w:ascii="Arial" w:hAnsi="Arial" w:cs="Arial"/>
                <w:color w:val="auto"/>
                <w:sz w:val="24"/>
                <w:szCs w:val="24"/>
              </w:rPr>
            </w:pPr>
          </w:p>
        </w:tc>
        <w:tc>
          <w:tcPr>
            <w:tcW w:w="32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092E162F" w14:textId="0F7472BB" w:rsidR="00EF3AF1" w:rsidRPr="00237760" w:rsidRDefault="00EF3AF1"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Liczba węzłów intermodalnych oraz parkingów Park and Ride (liczba miejsc parkingowych na tych parkingach)</w:t>
            </w:r>
          </w:p>
        </w:tc>
        <w:tc>
          <w:tcPr>
            <w:tcW w:w="3782" w:type="dxa"/>
            <w:tcBorders>
              <w:top w:val="single" w:sz="4" w:space="0" w:color="BDD6EE" w:themeColor="accent1" w:themeTint="66"/>
              <w:left w:val="nil"/>
              <w:bottom w:val="single" w:sz="4" w:space="0" w:color="BDD6EE" w:themeColor="accent1" w:themeTint="66"/>
              <w:right w:val="nil"/>
            </w:tcBorders>
            <w:vAlign w:val="center"/>
          </w:tcPr>
          <w:p w14:paraId="45832355" w14:textId="36347EF1" w:rsidR="00EF3AF1" w:rsidRPr="00237760" w:rsidRDefault="00930794" w:rsidP="009367B4">
            <w:pPr>
              <w:pStyle w:val="Akapitzlist"/>
              <w:numPr>
                <w:ilvl w:val="0"/>
                <w:numId w:val="30"/>
              </w:numPr>
              <w:spacing w:after="0" w:line="240" w:lineRule="auto"/>
              <w:ind w:left="459"/>
              <w:jc w:val="left"/>
              <w:rPr>
                <w:rFonts w:ascii="Arial" w:hAnsi="Arial" w:cs="Arial"/>
                <w:color w:val="auto"/>
                <w:sz w:val="24"/>
                <w:szCs w:val="24"/>
              </w:rPr>
            </w:pPr>
            <w:r w:rsidRPr="00237760">
              <w:rPr>
                <w:rFonts w:ascii="Arial" w:hAnsi="Arial" w:cs="Arial"/>
                <w:color w:val="auto"/>
                <w:sz w:val="24"/>
                <w:szCs w:val="24"/>
              </w:rPr>
              <w:t>wskaźnik ma bardziej charakter produktu/rezultatu</w:t>
            </w:r>
          </w:p>
        </w:tc>
      </w:tr>
      <w:tr w:rsidR="00237760" w:rsidRPr="00237760" w14:paraId="100F3FE9" w14:textId="77777777" w:rsidTr="00C378D3">
        <w:trPr>
          <w:trHeight w:val="151"/>
        </w:trPr>
        <w:tc>
          <w:tcPr>
            <w:tcW w:w="1990" w:type="dxa"/>
            <w:vMerge/>
            <w:tcBorders>
              <w:left w:val="nil"/>
              <w:right w:val="nil"/>
            </w:tcBorders>
            <w:vAlign w:val="center"/>
          </w:tcPr>
          <w:p w14:paraId="1566AE4C" w14:textId="1CCABE22" w:rsidR="007B02C8" w:rsidRPr="00237760" w:rsidRDefault="007B02C8" w:rsidP="009367B4">
            <w:pPr>
              <w:spacing w:after="0" w:line="240" w:lineRule="auto"/>
              <w:jc w:val="left"/>
              <w:rPr>
                <w:rFonts w:ascii="Arial" w:hAnsi="Arial" w:cs="Arial"/>
                <w:color w:val="auto"/>
                <w:sz w:val="24"/>
                <w:szCs w:val="24"/>
              </w:rPr>
            </w:pPr>
          </w:p>
        </w:tc>
        <w:tc>
          <w:tcPr>
            <w:tcW w:w="32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431D51AE" w14:textId="132F373C" w:rsidR="007B02C8" w:rsidRPr="00237760" w:rsidRDefault="007B02C8"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Poziom ruchu ciężkiego na trasach przelotowych w rdzeniu MOF</w:t>
            </w:r>
          </w:p>
        </w:tc>
        <w:tc>
          <w:tcPr>
            <w:tcW w:w="3782" w:type="dxa"/>
            <w:vMerge w:val="restart"/>
            <w:tcBorders>
              <w:top w:val="single" w:sz="4" w:space="0" w:color="BDD6EE" w:themeColor="accent1" w:themeTint="66"/>
              <w:left w:val="nil"/>
              <w:right w:val="nil"/>
            </w:tcBorders>
            <w:vAlign w:val="center"/>
          </w:tcPr>
          <w:p w14:paraId="39DDE10B" w14:textId="70512214" w:rsidR="007B02C8" w:rsidRPr="00237760" w:rsidRDefault="007B02C8" w:rsidP="009367B4">
            <w:pPr>
              <w:pStyle w:val="Akapitzlist"/>
              <w:numPr>
                <w:ilvl w:val="0"/>
                <w:numId w:val="30"/>
              </w:numPr>
              <w:spacing w:line="240" w:lineRule="auto"/>
              <w:ind w:left="459"/>
              <w:jc w:val="left"/>
              <w:rPr>
                <w:rFonts w:ascii="Arial" w:hAnsi="Arial" w:cs="Arial"/>
                <w:color w:val="auto"/>
                <w:sz w:val="24"/>
                <w:szCs w:val="24"/>
              </w:rPr>
            </w:pPr>
            <w:r w:rsidRPr="00237760">
              <w:rPr>
                <w:rFonts w:ascii="Arial" w:hAnsi="Arial" w:cs="Arial"/>
                <w:color w:val="auto"/>
                <w:sz w:val="24"/>
                <w:szCs w:val="24"/>
              </w:rPr>
              <w:t>wskaźnik dobrany trafnie do celu</w:t>
            </w:r>
          </w:p>
        </w:tc>
      </w:tr>
      <w:tr w:rsidR="00237760" w:rsidRPr="00237760" w14:paraId="6685095E" w14:textId="77777777" w:rsidTr="00C378D3">
        <w:trPr>
          <w:trHeight w:val="151"/>
        </w:trPr>
        <w:tc>
          <w:tcPr>
            <w:tcW w:w="1990" w:type="dxa"/>
            <w:vMerge/>
            <w:tcBorders>
              <w:left w:val="nil"/>
              <w:right w:val="nil"/>
            </w:tcBorders>
            <w:vAlign w:val="center"/>
          </w:tcPr>
          <w:p w14:paraId="572DD4E2" w14:textId="2B93C1ED" w:rsidR="007B02C8" w:rsidRPr="00237760" w:rsidRDefault="007B02C8" w:rsidP="009367B4">
            <w:pPr>
              <w:spacing w:after="0" w:line="240" w:lineRule="auto"/>
              <w:jc w:val="left"/>
              <w:rPr>
                <w:rFonts w:ascii="Arial" w:hAnsi="Arial" w:cs="Arial"/>
                <w:color w:val="auto"/>
                <w:sz w:val="24"/>
                <w:szCs w:val="24"/>
              </w:rPr>
            </w:pPr>
          </w:p>
        </w:tc>
        <w:tc>
          <w:tcPr>
            <w:tcW w:w="32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34138A1D" w14:textId="1683BE72" w:rsidR="007B02C8" w:rsidRPr="00237760" w:rsidRDefault="007B02C8"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Liczba wypadków drogowych wewnątrz MOF</w:t>
            </w:r>
          </w:p>
        </w:tc>
        <w:tc>
          <w:tcPr>
            <w:tcW w:w="3782" w:type="dxa"/>
            <w:vMerge/>
            <w:tcBorders>
              <w:left w:val="nil"/>
              <w:right w:val="nil"/>
            </w:tcBorders>
            <w:vAlign w:val="center"/>
          </w:tcPr>
          <w:p w14:paraId="33FC0628" w14:textId="77777777" w:rsidR="007B02C8" w:rsidRPr="00237760" w:rsidRDefault="007B02C8" w:rsidP="009367B4">
            <w:pPr>
              <w:pStyle w:val="Akapitzlist"/>
              <w:numPr>
                <w:ilvl w:val="0"/>
                <w:numId w:val="30"/>
              </w:numPr>
              <w:spacing w:line="240" w:lineRule="auto"/>
              <w:ind w:left="459"/>
              <w:jc w:val="left"/>
              <w:rPr>
                <w:rFonts w:ascii="Arial" w:hAnsi="Arial" w:cs="Arial"/>
                <w:color w:val="auto"/>
                <w:sz w:val="24"/>
                <w:szCs w:val="24"/>
              </w:rPr>
            </w:pPr>
          </w:p>
        </w:tc>
      </w:tr>
      <w:tr w:rsidR="00237760" w:rsidRPr="00237760" w14:paraId="0299BD93" w14:textId="77777777" w:rsidTr="00C378D3">
        <w:trPr>
          <w:trHeight w:val="151"/>
        </w:trPr>
        <w:tc>
          <w:tcPr>
            <w:tcW w:w="1990" w:type="dxa"/>
            <w:vMerge/>
            <w:tcBorders>
              <w:left w:val="nil"/>
              <w:right w:val="nil"/>
            </w:tcBorders>
            <w:vAlign w:val="center"/>
          </w:tcPr>
          <w:p w14:paraId="7BBB405B" w14:textId="549D8478" w:rsidR="007B02C8" w:rsidRPr="00237760" w:rsidRDefault="007B02C8" w:rsidP="009367B4">
            <w:pPr>
              <w:spacing w:after="0" w:line="240" w:lineRule="auto"/>
              <w:jc w:val="left"/>
              <w:rPr>
                <w:rFonts w:ascii="Arial" w:hAnsi="Arial" w:cs="Arial"/>
                <w:color w:val="auto"/>
                <w:sz w:val="24"/>
                <w:szCs w:val="24"/>
              </w:rPr>
            </w:pPr>
          </w:p>
        </w:tc>
        <w:tc>
          <w:tcPr>
            <w:tcW w:w="32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18C53703" w14:textId="11797647" w:rsidR="007B02C8" w:rsidRPr="00237760" w:rsidRDefault="007B02C8"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Liczba wypadków w województwie ogółem</w:t>
            </w:r>
          </w:p>
        </w:tc>
        <w:tc>
          <w:tcPr>
            <w:tcW w:w="3782" w:type="dxa"/>
            <w:vMerge/>
            <w:tcBorders>
              <w:left w:val="nil"/>
              <w:right w:val="nil"/>
            </w:tcBorders>
            <w:vAlign w:val="center"/>
          </w:tcPr>
          <w:p w14:paraId="3ABD1349" w14:textId="77777777" w:rsidR="007B02C8" w:rsidRPr="00237760" w:rsidRDefault="007B02C8" w:rsidP="009367B4">
            <w:pPr>
              <w:pStyle w:val="Akapitzlist"/>
              <w:numPr>
                <w:ilvl w:val="0"/>
                <w:numId w:val="30"/>
              </w:numPr>
              <w:spacing w:line="240" w:lineRule="auto"/>
              <w:ind w:left="459"/>
              <w:jc w:val="left"/>
              <w:rPr>
                <w:rFonts w:ascii="Arial" w:hAnsi="Arial" w:cs="Arial"/>
                <w:color w:val="auto"/>
                <w:sz w:val="24"/>
                <w:szCs w:val="24"/>
              </w:rPr>
            </w:pPr>
          </w:p>
        </w:tc>
      </w:tr>
      <w:tr w:rsidR="00237760" w:rsidRPr="00237760" w14:paraId="43422F82" w14:textId="77777777" w:rsidTr="00C378D3">
        <w:trPr>
          <w:trHeight w:val="151"/>
        </w:trPr>
        <w:tc>
          <w:tcPr>
            <w:tcW w:w="1990" w:type="dxa"/>
            <w:vMerge/>
            <w:tcBorders>
              <w:left w:val="nil"/>
              <w:bottom w:val="single" w:sz="4" w:space="0" w:color="BDD6EE" w:themeColor="accent1" w:themeTint="66"/>
              <w:right w:val="nil"/>
            </w:tcBorders>
            <w:vAlign w:val="center"/>
          </w:tcPr>
          <w:p w14:paraId="6B42E56C" w14:textId="0248B8DB" w:rsidR="007B02C8" w:rsidRPr="00237760" w:rsidRDefault="007B02C8" w:rsidP="009367B4">
            <w:pPr>
              <w:spacing w:after="0" w:line="240" w:lineRule="auto"/>
              <w:jc w:val="left"/>
              <w:rPr>
                <w:rFonts w:ascii="Arial" w:hAnsi="Arial" w:cs="Arial"/>
                <w:color w:val="auto"/>
                <w:sz w:val="24"/>
                <w:szCs w:val="24"/>
              </w:rPr>
            </w:pPr>
          </w:p>
        </w:tc>
        <w:tc>
          <w:tcPr>
            <w:tcW w:w="32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5F0A7303" w14:textId="0E764BB4" w:rsidR="007B02C8" w:rsidRPr="00237760" w:rsidRDefault="007B02C8"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Wielkość emisji gazów cieplarnianych z transportu z rozbiciem na emisję:</w:t>
            </w:r>
          </w:p>
          <w:p w14:paraId="2EEB264A" w14:textId="77777777" w:rsidR="007B02C8" w:rsidRPr="00237760" w:rsidRDefault="007B02C8"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a) dwutlenku węgla,</w:t>
            </w:r>
          </w:p>
          <w:p w14:paraId="0E28BA74" w14:textId="77777777" w:rsidR="007B02C8" w:rsidRPr="00237760" w:rsidRDefault="007B02C8"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b) metanu,</w:t>
            </w:r>
          </w:p>
          <w:p w14:paraId="4B85B840" w14:textId="77777777" w:rsidR="007B02C8" w:rsidRPr="00237760" w:rsidRDefault="007B02C8"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c) podtlenku azotu</w:t>
            </w:r>
          </w:p>
        </w:tc>
        <w:tc>
          <w:tcPr>
            <w:tcW w:w="3782" w:type="dxa"/>
            <w:vMerge/>
            <w:tcBorders>
              <w:left w:val="nil"/>
              <w:right w:val="nil"/>
            </w:tcBorders>
            <w:vAlign w:val="center"/>
          </w:tcPr>
          <w:p w14:paraId="611D7C9B" w14:textId="77777777" w:rsidR="007B02C8" w:rsidRPr="00237760" w:rsidRDefault="007B02C8" w:rsidP="009367B4">
            <w:pPr>
              <w:pStyle w:val="Akapitzlist"/>
              <w:numPr>
                <w:ilvl w:val="0"/>
                <w:numId w:val="30"/>
              </w:numPr>
              <w:spacing w:line="240" w:lineRule="auto"/>
              <w:ind w:left="459"/>
              <w:jc w:val="left"/>
              <w:rPr>
                <w:rFonts w:ascii="Arial" w:hAnsi="Arial" w:cs="Arial"/>
                <w:color w:val="auto"/>
                <w:sz w:val="24"/>
                <w:szCs w:val="24"/>
              </w:rPr>
            </w:pPr>
          </w:p>
        </w:tc>
      </w:tr>
      <w:tr w:rsidR="00237760" w:rsidRPr="00237760" w14:paraId="71095582" w14:textId="77777777" w:rsidTr="00C378D3">
        <w:trPr>
          <w:trHeight w:val="151"/>
        </w:trPr>
        <w:tc>
          <w:tcPr>
            <w:tcW w:w="1990" w:type="dxa"/>
            <w:vMerge w:val="restart"/>
            <w:tcBorders>
              <w:top w:val="single" w:sz="4" w:space="0" w:color="BDD6EE" w:themeColor="accent1" w:themeTint="66"/>
              <w:left w:val="nil"/>
              <w:right w:val="nil"/>
            </w:tcBorders>
            <w:vAlign w:val="center"/>
          </w:tcPr>
          <w:p w14:paraId="1F94E598" w14:textId="60BB0151" w:rsidR="007B02C8" w:rsidRPr="00237760" w:rsidRDefault="007B02C8"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 xml:space="preserve">Cel </w:t>
            </w:r>
            <w:r w:rsidR="008D24F3" w:rsidRPr="00237760">
              <w:rPr>
                <w:rFonts w:ascii="Arial" w:hAnsi="Arial" w:cs="Arial"/>
                <w:b/>
                <w:color w:val="auto"/>
                <w:sz w:val="24"/>
                <w:szCs w:val="24"/>
              </w:rPr>
              <w:t>podstawowy</w:t>
            </w:r>
            <w:r w:rsidRPr="00237760">
              <w:rPr>
                <w:rFonts w:ascii="Arial" w:hAnsi="Arial" w:cs="Arial"/>
                <w:b/>
                <w:color w:val="auto"/>
                <w:sz w:val="24"/>
                <w:szCs w:val="24"/>
              </w:rPr>
              <w:t xml:space="preserve"> 1. </w:t>
            </w:r>
            <w:r w:rsidRPr="00237760">
              <w:rPr>
                <w:rFonts w:ascii="Arial" w:hAnsi="Arial" w:cs="Arial"/>
                <w:b/>
                <w:color w:val="auto"/>
                <w:sz w:val="24"/>
                <w:szCs w:val="24"/>
              </w:rPr>
              <w:lastRenderedPageBreak/>
              <w:t>Dostępność zewnętrzna</w:t>
            </w:r>
          </w:p>
        </w:tc>
        <w:tc>
          <w:tcPr>
            <w:tcW w:w="3260" w:type="dxa"/>
            <w:tcBorders>
              <w:top w:val="single" w:sz="4" w:space="0" w:color="BDD6EE" w:themeColor="accent1" w:themeTint="66"/>
              <w:left w:val="nil"/>
              <w:bottom w:val="nil"/>
              <w:right w:val="nil"/>
            </w:tcBorders>
            <w:shd w:val="clear" w:color="auto" w:fill="auto"/>
            <w:vAlign w:val="center"/>
          </w:tcPr>
          <w:p w14:paraId="5D2568F7" w14:textId="6B18557F" w:rsidR="007B02C8" w:rsidRPr="00237760" w:rsidRDefault="007B02C8"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lastRenderedPageBreak/>
              <w:t>Drogi ekspresowe i autostrady na 100 km2</w:t>
            </w:r>
          </w:p>
        </w:tc>
        <w:tc>
          <w:tcPr>
            <w:tcW w:w="3782" w:type="dxa"/>
            <w:vMerge/>
            <w:tcBorders>
              <w:left w:val="nil"/>
              <w:right w:val="nil"/>
            </w:tcBorders>
            <w:vAlign w:val="center"/>
          </w:tcPr>
          <w:p w14:paraId="2AEA13E1" w14:textId="77777777" w:rsidR="007B02C8" w:rsidRPr="00237760" w:rsidRDefault="007B02C8" w:rsidP="009367B4">
            <w:pPr>
              <w:pStyle w:val="Akapitzlist"/>
              <w:numPr>
                <w:ilvl w:val="0"/>
                <w:numId w:val="30"/>
              </w:numPr>
              <w:spacing w:line="240" w:lineRule="auto"/>
              <w:ind w:left="459"/>
              <w:jc w:val="left"/>
              <w:rPr>
                <w:rFonts w:ascii="Arial" w:hAnsi="Arial" w:cs="Arial"/>
                <w:color w:val="auto"/>
                <w:sz w:val="24"/>
                <w:szCs w:val="24"/>
              </w:rPr>
            </w:pPr>
          </w:p>
        </w:tc>
      </w:tr>
      <w:tr w:rsidR="00237760" w:rsidRPr="00237760" w14:paraId="4685E06D" w14:textId="77777777" w:rsidTr="00C378D3">
        <w:trPr>
          <w:trHeight w:val="151"/>
        </w:trPr>
        <w:tc>
          <w:tcPr>
            <w:tcW w:w="1990" w:type="dxa"/>
            <w:vMerge/>
            <w:tcBorders>
              <w:left w:val="nil"/>
              <w:right w:val="nil"/>
            </w:tcBorders>
            <w:vAlign w:val="center"/>
          </w:tcPr>
          <w:p w14:paraId="090B0F7B" w14:textId="51CD4746" w:rsidR="007B02C8" w:rsidRPr="00237760" w:rsidRDefault="007B02C8" w:rsidP="009367B4">
            <w:pPr>
              <w:spacing w:after="0" w:line="240" w:lineRule="auto"/>
              <w:jc w:val="left"/>
              <w:rPr>
                <w:rFonts w:ascii="Arial" w:hAnsi="Arial" w:cs="Arial"/>
                <w:color w:val="auto"/>
                <w:sz w:val="24"/>
                <w:szCs w:val="24"/>
              </w:rPr>
            </w:pPr>
          </w:p>
        </w:tc>
        <w:tc>
          <w:tcPr>
            <w:tcW w:w="3260" w:type="dxa"/>
            <w:tcBorders>
              <w:top w:val="nil"/>
              <w:left w:val="nil"/>
              <w:bottom w:val="single" w:sz="4" w:space="0" w:color="BDD6EE" w:themeColor="accent1" w:themeTint="66"/>
              <w:right w:val="nil"/>
            </w:tcBorders>
            <w:shd w:val="clear" w:color="auto" w:fill="auto"/>
            <w:vAlign w:val="center"/>
          </w:tcPr>
          <w:p w14:paraId="3C0F5757" w14:textId="201FF59C" w:rsidR="007B02C8" w:rsidRPr="00237760" w:rsidRDefault="007B02C8"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Udział procentowy dróg o nawierzchni spełniającej normatyw nośności 115 kN/oś w długości całej sieci dróg krajowych na terenie regionu</w:t>
            </w:r>
          </w:p>
        </w:tc>
        <w:tc>
          <w:tcPr>
            <w:tcW w:w="3782" w:type="dxa"/>
            <w:vMerge/>
            <w:tcBorders>
              <w:left w:val="nil"/>
              <w:right w:val="nil"/>
            </w:tcBorders>
            <w:vAlign w:val="center"/>
          </w:tcPr>
          <w:p w14:paraId="62112358" w14:textId="77777777" w:rsidR="007B02C8" w:rsidRPr="00237760" w:rsidRDefault="007B02C8" w:rsidP="009367B4">
            <w:pPr>
              <w:pStyle w:val="Akapitzlist"/>
              <w:numPr>
                <w:ilvl w:val="0"/>
                <w:numId w:val="30"/>
              </w:numPr>
              <w:spacing w:line="240" w:lineRule="auto"/>
              <w:ind w:left="459"/>
              <w:jc w:val="left"/>
              <w:rPr>
                <w:rFonts w:ascii="Arial" w:hAnsi="Arial" w:cs="Arial"/>
                <w:color w:val="auto"/>
                <w:sz w:val="24"/>
                <w:szCs w:val="24"/>
              </w:rPr>
            </w:pPr>
          </w:p>
        </w:tc>
      </w:tr>
      <w:tr w:rsidR="00237760" w:rsidRPr="00237760" w14:paraId="3F4ACDA4" w14:textId="77777777" w:rsidTr="00C378D3">
        <w:trPr>
          <w:trHeight w:val="151"/>
        </w:trPr>
        <w:tc>
          <w:tcPr>
            <w:tcW w:w="1990" w:type="dxa"/>
            <w:vMerge/>
            <w:tcBorders>
              <w:left w:val="nil"/>
              <w:right w:val="nil"/>
            </w:tcBorders>
            <w:vAlign w:val="center"/>
          </w:tcPr>
          <w:p w14:paraId="27555794" w14:textId="4E353B3D" w:rsidR="007B02C8" w:rsidRPr="00237760" w:rsidRDefault="007B02C8" w:rsidP="009367B4">
            <w:pPr>
              <w:spacing w:after="0" w:line="240" w:lineRule="auto"/>
              <w:jc w:val="left"/>
              <w:rPr>
                <w:rFonts w:ascii="Arial" w:hAnsi="Arial" w:cs="Arial"/>
                <w:color w:val="auto"/>
                <w:sz w:val="24"/>
                <w:szCs w:val="24"/>
              </w:rPr>
            </w:pPr>
          </w:p>
        </w:tc>
        <w:tc>
          <w:tcPr>
            <w:tcW w:w="32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18FFA04C" w14:textId="2E3AF853" w:rsidR="007B02C8" w:rsidRPr="00237760" w:rsidRDefault="007B02C8"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Krajowe mosty i wiadukty ogółem</w:t>
            </w:r>
          </w:p>
        </w:tc>
        <w:tc>
          <w:tcPr>
            <w:tcW w:w="3782" w:type="dxa"/>
            <w:vMerge/>
            <w:tcBorders>
              <w:left w:val="nil"/>
              <w:right w:val="nil"/>
            </w:tcBorders>
            <w:vAlign w:val="center"/>
          </w:tcPr>
          <w:p w14:paraId="550BC329" w14:textId="77777777" w:rsidR="007B02C8" w:rsidRPr="00237760" w:rsidRDefault="007B02C8" w:rsidP="009367B4">
            <w:pPr>
              <w:pStyle w:val="Akapitzlist"/>
              <w:numPr>
                <w:ilvl w:val="0"/>
                <w:numId w:val="30"/>
              </w:numPr>
              <w:spacing w:line="240" w:lineRule="auto"/>
              <w:ind w:left="459"/>
              <w:jc w:val="left"/>
              <w:rPr>
                <w:rFonts w:ascii="Arial" w:hAnsi="Arial" w:cs="Arial"/>
                <w:color w:val="auto"/>
                <w:sz w:val="24"/>
                <w:szCs w:val="24"/>
              </w:rPr>
            </w:pPr>
          </w:p>
        </w:tc>
      </w:tr>
      <w:tr w:rsidR="00237760" w:rsidRPr="00237760" w14:paraId="726BC621" w14:textId="77777777" w:rsidTr="00C378D3">
        <w:trPr>
          <w:trHeight w:val="151"/>
        </w:trPr>
        <w:tc>
          <w:tcPr>
            <w:tcW w:w="1990" w:type="dxa"/>
            <w:vMerge/>
            <w:tcBorders>
              <w:left w:val="nil"/>
              <w:bottom w:val="single" w:sz="4" w:space="0" w:color="BDD6EE" w:themeColor="accent1" w:themeTint="66"/>
              <w:right w:val="nil"/>
            </w:tcBorders>
            <w:vAlign w:val="center"/>
          </w:tcPr>
          <w:p w14:paraId="0CE190DA" w14:textId="219A30F9" w:rsidR="007B02C8" w:rsidRPr="00237760" w:rsidRDefault="007B02C8" w:rsidP="009367B4">
            <w:pPr>
              <w:spacing w:after="0" w:line="240" w:lineRule="auto"/>
              <w:jc w:val="left"/>
              <w:rPr>
                <w:rFonts w:ascii="Arial" w:hAnsi="Arial" w:cs="Arial"/>
                <w:color w:val="auto"/>
                <w:sz w:val="24"/>
                <w:szCs w:val="24"/>
              </w:rPr>
            </w:pPr>
          </w:p>
        </w:tc>
        <w:tc>
          <w:tcPr>
            <w:tcW w:w="32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64F17D4A" w14:textId="5BF9193C" w:rsidR="007B02C8" w:rsidRPr="00237760" w:rsidRDefault="007B02C8"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Ruch pasażerów w portach lotniczych –przyjazdy i wyjazdy</w:t>
            </w:r>
          </w:p>
        </w:tc>
        <w:tc>
          <w:tcPr>
            <w:tcW w:w="3782" w:type="dxa"/>
            <w:vMerge/>
            <w:tcBorders>
              <w:left w:val="nil"/>
              <w:right w:val="nil"/>
            </w:tcBorders>
            <w:vAlign w:val="center"/>
          </w:tcPr>
          <w:p w14:paraId="15B596ED" w14:textId="77777777" w:rsidR="007B02C8" w:rsidRPr="00237760" w:rsidRDefault="007B02C8" w:rsidP="009367B4">
            <w:pPr>
              <w:pStyle w:val="Akapitzlist"/>
              <w:numPr>
                <w:ilvl w:val="0"/>
                <w:numId w:val="30"/>
              </w:numPr>
              <w:spacing w:line="240" w:lineRule="auto"/>
              <w:ind w:left="459"/>
              <w:jc w:val="left"/>
              <w:rPr>
                <w:rFonts w:ascii="Arial" w:hAnsi="Arial" w:cs="Arial"/>
                <w:color w:val="auto"/>
                <w:sz w:val="24"/>
                <w:szCs w:val="24"/>
              </w:rPr>
            </w:pPr>
          </w:p>
        </w:tc>
      </w:tr>
      <w:tr w:rsidR="00237760" w:rsidRPr="00237760" w14:paraId="355E1F59" w14:textId="77777777" w:rsidTr="00C378D3">
        <w:trPr>
          <w:trHeight w:val="151"/>
        </w:trPr>
        <w:tc>
          <w:tcPr>
            <w:tcW w:w="1990" w:type="dxa"/>
            <w:vMerge w:val="restart"/>
            <w:tcBorders>
              <w:top w:val="single" w:sz="4" w:space="0" w:color="BDD6EE" w:themeColor="accent1" w:themeTint="66"/>
              <w:left w:val="nil"/>
              <w:right w:val="nil"/>
            </w:tcBorders>
            <w:vAlign w:val="center"/>
          </w:tcPr>
          <w:p w14:paraId="54E9C6A3" w14:textId="000643B3" w:rsidR="007B02C8" w:rsidRPr="00237760" w:rsidRDefault="007B02C8"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 xml:space="preserve">Cel </w:t>
            </w:r>
            <w:r w:rsidR="008D24F3" w:rsidRPr="00237760">
              <w:rPr>
                <w:rFonts w:ascii="Arial" w:hAnsi="Arial" w:cs="Arial"/>
                <w:b/>
                <w:color w:val="auto"/>
                <w:sz w:val="24"/>
                <w:szCs w:val="24"/>
              </w:rPr>
              <w:t>podstawowy</w:t>
            </w:r>
            <w:r w:rsidRPr="00237760">
              <w:rPr>
                <w:rFonts w:ascii="Arial" w:hAnsi="Arial" w:cs="Arial"/>
                <w:b/>
                <w:color w:val="auto"/>
                <w:sz w:val="24"/>
                <w:szCs w:val="24"/>
              </w:rPr>
              <w:t xml:space="preserve"> 2. </w:t>
            </w:r>
            <w:r w:rsidR="00741C29" w:rsidRPr="00237760">
              <w:rPr>
                <w:rFonts w:ascii="Arial" w:hAnsi="Arial" w:cs="Arial"/>
                <w:b/>
                <w:color w:val="auto"/>
                <w:sz w:val="24"/>
                <w:szCs w:val="24"/>
              </w:rPr>
              <w:t xml:space="preserve">Transportowa spójność </w:t>
            </w:r>
            <w:r w:rsidRPr="00237760">
              <w:rPr>
                <w:rFonts w:ascii="Arial" w:hAnsi="Arial" w:cs="Arial"/>
                <w:b/>
                <w:color w:val="auto"/>
                <w:sz w:val="24"/>
                <w:szCs w:val="24"/>
              </w:rPr>
              <w:t>wewnętrzna</w:t>
            </w:r>
          </w:p>
        </w:tc>
        <w:tc>
          <w:tcPr>
            <w:tcW w:w="32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1D2FBC28" w14:textId="6235CA3E" w:rsidR="007B02C8" w:rsidRPr="00237760" w:rsidRDefault="007B02C8"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Udział procentowy dróg o nawierzchni spełniającej normatyw nośności 115 kN/oś w długości całej sieci dróg wojewódzkich</w:t>
            </w:r>
          </w:p>
        </w:tc>
        <w:tc>
          <w:tcPr>
            <w:tcW w:w="3782" w:type="dxa"/>
            <w:vMerge/>
            <w:tcBorders>
              <w:left w:val="nil"/>
              <w:right w:val="nil"/>
            </w:tcBorders>
            <w:vAlign w:val="center"/>
          </w:tcPr>
          <w:p w14:paraId="633CFA60" w14:textId="77777777" w:rsidR="007B02C8" w:rsidRPr="00237760" w:rsidRDefault="007B02C8" w:rsidP="009367B4">
            <w:pPr>
              <w:pStyle w:val="Akapitzlist"/>
              <w:numPr>
                <w:ilvl w:val="0"/>
                <w:numId w:val="30"/>
              </w:numPr>
              <w:spacing w:line="240" w:lineRule="auto"/>
              <w:ind w:left="459"/>
              <w:jc w:val="left"/>
              <w:rPr>
                <w:rFonts w:ascii="Arial" w:hAnsi="Arial" w:cs="Arial"/>
                <w:color w:val="auto"/>
                <w:sz w:val="24"/>
                <w:szCs w:val="24"/>
              </w:rPr>
            </w:pPr>
          </w:p>
        </w:tc>
      </w:tr>
      <w:tr w:rsidR="00237760" w:rsidRPr="00237760" w14:paraId="20D6EC78" w14:textId="77777777" w:rsidTr="00C378D3">
        <w:trPr>
          <w:trHeight w:val="151"/>
        </w:trPr>
        <w:tc>
          <w:tcPr>
            <w:tcW w:w="1990" w:type="dxa"/>
            <w:vMerge/>
            <w:tcBorders>
              <w:left w:val="nil"/>
              <w:right w:val="nil"/>
            </w:tcBorders>
            <w:vAlign w:val="center"/>
          </w:tcPr>
          <w:p w14:paraId="483C13D3" w14:textId="59AA0505" w:rsidR="007B02C8" w:rsidRPr="00237760" w:rsidRDefault="007B02C8" w:rsidP="009367B4">
            <w:pPr>
              <w:spacing w:after="0" w:line="240" w:lineRule="auto"/>
              <w:jc w:val="left"/>
              <w:rPr>
                <w:rFonts w:ascii="Arial" w:hAnsi="Arial" w:cs="Arial"/>
                <w:b/>
                <w:color w:val="auto"/>
                <w:sz w:val="24"/>
                <w:szCs w:val="24"/>
              </w:rPr>
            </w:pPr>
          </w:p>
        </w:tc>
        <w:tc>
          <w:tcPr>
            <w:tcW w:w="32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23E796E4" w14:textId="6E639293" w:rsidR="007B02C8" w:rsidRPr="00237760" w:rsidRDefault="007B02C8"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Drogi lokalne (gminne i powiatowe) o nawierzchni twardej ulepszonej (z kostki kamiennej, klinkieru, betonu, z płyt kamienno-betonowych, bitumu) ogółem</w:t>
            </w:r>
          </w:p>
        </w:tc>
        <w:tc>
          <w:tcPr>
            <w:tcW w:w="3782" w:type="dxa"/>
            <w:vMerge/>
            <w:tcBorders>
              <w:left w:val="nil"/>
              <w:right w:val="nil"/>
            </w:tcBorders>
            <w:vAlign w:val="center"/>
          </w:tcPr>
          <w:p w14:paraId="10C997F3" w14:textId="77777777" w:rsidR="007B02C8" w:rsidRPr="00237760" w:rsidRDefault="007B02C8" w:rsidP="009367B4">
            <w:pPr>
              <w:pStyle w:val="Akapitzlist"/>
              <w:numPr>
                <w:ilvl w:val="0"/>
                <w:numId w:val="30"/>
              </w:numPr>
              <w:spacing w:line="240" w:lineRule="auto"/>
              <w:ind w:left="459"/>
              <w:jc w:val="left"/>
              <w:rPr>
                <w:rFonts w:ascii="Arial" w:hAnsi="Arial" w:cs="Arial"/>
                <w:color w:val="auto"/>
                <w:sz w:val="24"/>
                <w:szCs w:val="24"/>
              </w:rPr>
            </w:pPr>
          </w:p>
        </w:tc>
      </w:tr>
      <w:tr w:rsidR="00237760" w:rsidRPr="00237760" w14:paraId="3D3459F7" w14:textId="77777777" w:rsidTr="00C378D3">
        <w:trPr>
          <w:trHeight w:val="151"/>
        </w:trPr>
        <w:tc>
          <w:tcPr>
            <w:tcW w:w="1990" w:type="dxa"/>
            <w:vMerge/>
            <w:tcBorders>
              <w:left w:val="nil"/>
              <w:right w:val="nil"/>
            </w:tcBorders>
            <w:vAlign w:val="center"/>
          </w:tcPr>
          <w:p w14:paraId="4ABBD7AE" w14:textId="2CBFFD75" w:rsidR="007B02C8" w:rsidRPr="00237760" w:rsidRDefault="007B02C8" w:rsidP="009367B4">
            <w:pPr>
              <w:spacing w:after="0" w:line="240" w:lineRule="auto"/>
              <w:jc w:val="left"/>
              <w:rPr>
                <w:rFonts w:ascii="Arial" w:hAnsi="Arial" w:cs="Arial"/>
                <w:b/>
                <w:color w:val="auto"/>
                <w:sz w:val="24"/>
                <w:szCs w:val="24"/>
              </w:rPr>
            </w:pPr>
          </w:p>
        </w:tc>
        <w:tc>
          <w:tcPr>
            <w:tcW w:w="32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703A6AFE" w14:textId="6943024B" w:rsidR="007B02C8" w:rsidRPr="00237760" w:rsidRDefault="007B02C8"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Wojewódzkie mosty i wiadukty ogółem</w:t>
            </w:r>
          </w:p>
        </w:tc>
        <w:tc>
          <w:tcPr>
            <w:tcW w:w="3782" w:type="dxa"/>
            <w:vMerge/>
            <w:tcBorders>
              <w:left w:val="nil"/>
              <w:right w:val="nil"/>
            </w:tcBorders>
            <w:vAlign w:val="center"/>
          </w:tcPr>
          <w:p w14:paraId="43FF88EA" w14:textId="77777777" w:rsidR="007B02C8" w:rsidRPr="00237760" w:rsidRDefault="007B02C8" w:rsidP="009367B4">
            <w:pPr>
              <w:pStyle w:val="Akapitzlist"/>
              <w:numPr>
                <w:ilvl w:val="0"/>
                <w:numId w:val="30"/>
              </w:numPr>
              <w:spacing w:line="240" w:lineRule="auto"/>
              <w:ind w:left="459"/>
              <w:jc w:val="left"/>
              <w:rPr>
                <w:rFonts w:ascii="Arial" w:hAnsi="Arial" w:cs="Arial"/>
                <w:color w:val="auto"/>
                <w:sz w:val="24"/>
                <w:szCs w:val="24"/>
              </w:rPr>
            </w:pPr>
          </w:p>
        </w:tc>
      </w:tr>
      <w:tr w:rsidR="00237760" w:rsidRPr="00237760" w14:paraId="3AF62800" w14:textId="77777777" w:rsidTr="00C378D3">
        <w:trPr>
          <w:trHeight w:val="246"/>
        </w:trPr>
        <w:tc>
          <w:tcPr>
            <w:tcW w:w="1990" w:type="dxa"/>
            <w:vMerge/>
            <w:tcBorders>
              <w:left w:val="nil"/>
              <w:right w:val="nil"/>
            </w:tcBorders>
            <w:vAlign w:val="center"/>
          </w:tcPr>
          <w:p w14:paraId="39D3E422" w14:textId="2C48F31A" w:rsidR="007B02C8" w:rsidRPr="00237760" w:rsidRDefault="007B02C8" w:rsidP="009367B4">
            <w:pPr>
              <w:spacing w:after="0" w:line="240" w:lineRule="auto"/>
              <w:jc w:val="left"/>
              <w:rPr>
                <w:rFonts w:ascii="Arial" w:hAnsi="Arial" w:cs="Arial"/>
                <w:b/>
                <w:color w:val="auto"/>
                <w:sz w:val="24"/>
                <w:szCs w:val="24"/>
              </w:rPr>
            </w:pPr>
          </w:p>
        </w:tc>
        <w:tc>
          <w:tcPr>
            <w:tcW w:w="32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1C6C3438" w14:textId="068F12E1" w:rsidR="007B02C8" w:rsidRPr="00237760" w:rsidRDefault="007B02C8" w:rsidP="009367B4">
            <w:pPr>
              <w:spacing w:after="0" w:line="259" w:lineRule="auto"/>
              <w:jc w:val="left"/>
              <w:rPr>
                <w:rFonts w:ascii="Arial" w:hAnsi="Arial" w:cs="Arial"/>
                <w:color w:val="auto"/>
                <w:sz w:val="24"/>
                <w:szCs w:val="24"/>
              </w:rPr>
            </w:pPr>
            <w:r w:rsidRPr="00237760">
              <w:rPr>
                <w:rFonts w:ascii="Arial" w:hAnsi="Arial" w:cs="Arial"/>
                <w:color w:val="auto"/>
                <w:sz w:val="24"/>
                <w:szCs w:val="24"/>
              </w:rPr>
              <w:t>Lokalne (powiatowe i gminne) mosty i wiadukty ogółem</w:t>
            </w:r>
          </w:p>
        </w:tc>
        <w:tc>
          <w:tcPr>
            <w:tcW w:w="3782" w:type="dxa"/>
            <w:vMerge/>
            <w:tcBorders>
              <w:left w:val="nil"/>
              <w:bottom w:val="single" w:sz="4" w:space="0" w:color="BDD6EE" w:themeColor="accent1" w:themeTint="66"/>
              <w:right w:val="nil"/>
            </w:tcBorders>
            <w:vAlign w:val="center"/>
          </w:tcPr>
          <w:p w14:paraId="3A17B7E2" w14:textId="77777777" w:rsidR="007B02C8" w:rsidRPr="00237760" w:rsidRDefault="007B02C8" w:rsidP="009367B4">
            <w:pPr>
              <w:pStyle w:val="Akapitzlist"/>
              <w:numPr>
                <w:ilvl w:val="0"/>
                <w:numId w:val="30"/>
              </w:numPr>
              <w:spacing w:line="240" w:lineRule="auto"/>
              <w:ind w:left="459"/>
              <w:jc w:val="left"/>
              <w:rPr>
                <w:rFonts w:ascii="Arial" w:hAnsi="Arial" w:cs="Arial"/>
                <w:color w:val="auto"/>
                <w:sz w:val="24"/>
                <w:szCs w:val="24"/>
              </w:rPr>
            </w:pPr>
          </w:p>
        </w:tc>
      </w:tr>
      <w:tr w:rsidR="00237760" w:rsidRPr="00237760" w14:paraId="48A13B3B" w14:textId="77777777" w:rsidTr="00C378D3">
        <w:trPr>
          <w:trHeight w:val="151"/>
        </w:trPr>
        <w:tc>
          <w:tcPr>
            <w:tcW w:w="1990" w:type="dxa"/>
            <w:vMerge/>
            <w:tcBorders>
              <w:left w:val="nil"/>
              <w:bottom w:val="single" w:sz="4" w:space="0" w:color="BDD6EE" w:themeColor="accent1" w:themeTint="66"/>
              <w:right w:val="nil"/>
            </w:tcBorders>
            <w:vAlign w:val="center"/>
          </w:tcPr>
          <w:p w14:paraId="1BE90DFD" w14:textId="506CF44A" w:rsidR="00DF4EBB" w:rsidRPr="00237760" w:rsidRDefault="00DF4EBB" w:rsidP="009367B4">
            <w:pPr>
              <w:spacing w:after="0" w:line="240" w:lineRule="auto"/>
              <w:jc w:val="left"/>
              <w:rPr>
                <w:rFonts w:ascii="Arial" w:hAnsi="Arial" w:cs="Arial"/>
                <w:b/>
                <w:color w:val="auto"/>
                <w:sz w:val="24"/>
                <w:szCs w:val="24"/>
              </w:rPr>
            </w:pPr>
          </w:p>
        </w:tc>
        <w:tc>
          <w:tcPr>
            <w:tcW w:w="32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10696C1C" w14:textId="7FE8AAB0" w:rsidR="00DF4EBB" w:rsidRPr="00237760" w:rsidRDefault="00DF4EBB"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Linie kolejowe normalnotorowe dwu- i więcej torowe</w:t>
            </w:r>
          </w:p>
        </w:tc>
        <w:tc>
          <w:tcPr>
            <w:tcW w:w="3782" w:type="dxa"/>
            <w:tcBorders>
              <w:top w:val="single" w:sz="4" w:space="0" w:color="BDD6EE" w:themeColor="accent1" w:themeTint="66"/>
              <w:left w:val="nil"/>
              <w:bottom w:val="single" w:sz="4" w:space="0" w:color="BDD6EE" w:themeColor="accent1" w:themeTint="66"/>
              <w:right w:val="nil"/>
            </w:tcBorders>
            <w:vAlign w:val="center"/>
          </w:tcPr>
          <w:p w14:paraId="472DF1C7" w14:textId="1718C711" w:rsidR="00DF4EBB" w:rsidRPr="00237760" w:rsidRDefault="008C4870" w:rsidP="009367B4">
            <w:pPr>
              <w:pStyle w:val="Akapitzlist"/>
              <w:numPr>
                <w:ilvl w:val="0"/>
                <w:numId w:val="30"/>
              </w:numPr>
              <w:spacing w:after="0" w:line="240" w:lineRule="auto"/>
              <w:ind w:left="459"/>
              <w:jc w:val="left"/>
              <w:rPr>
                <w:rFonts w:ascii="Arial" w:hAnsi="Arial" w:cs="Arial"/>
                <w:color w:val="auto"/>
                <w:sz w:val="24"/>
                <w:szCs w:val="24"/>
              </w:rPr>
            </w:pPr>
            <w:r w:rsidRPr="00237760">
              <w:rPr>
                <w:rFonts w:ascii="Arial" w:hAnsi="Arial" w:cs="Arial"/>
                <w:color w:val="auto"/>
                <w:sz w:val="24"/>
                <w:szCs w:val="24"/>
              </w:rPr>
              <w:t>wskaźnik dobrany trafnie, jednak może być to także wskaźnik ukazujący szerszy kontekst niż tylko spójność wewnętrzną regionu</w:t>
            </w:r>
          </w:p>
        </w:tc>
      </w:tr>
      <w:tr w:rsidR="00237760" w:rsidRPr="00237760" w14:paraId="02389119" w14:textId="77777777" w:rsidTr="00C378D3">
        <w:trPr>
          <w:trHeight w:val="151"/>
        </w:trPr>
        <w:tc>
          <w:tcPr>
            <w:tcW w:w="1990" w:type="dxa"/>
            <w:vMerge w:val="restart"/>
            <w:tcBorders>
              <w:top w:val="single" w:sz="4" w:space="0" w:color="BDD6EE" w:themeColor="accent1" w:themeTint="66"/>
              <w:left w:val="nil"/>
              <w:right w:val="nil"/>
            </w:tcBorders>
            <w:vAlign w:val="center"/>
          </w:tcPr>
          <w:p w14:paraId="7C7BFC3B" w14:textId="7F343B9E" w:rsidR="00BC02E5" w:rsidRPr="00237760" w:rsidRDefault="00BC02E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 xml:space="preserve">Cel </w:t>
            </w:r>
            <w:r w:rsidR="008D24F3" w:rsidRPr="00237760">
              <w:rPr>
                <w:rFonts w:ascii="Arial" w:hAnsi="Arial" w:cs="Arial"/>
                <w:b/>
                <w:color w:val="auto"/>
                <w:sz w:val="24"/>
                <w:szCs w:val="24"/>
              </w:rPr>
              <w:t>podstawowy</w:t>
            </w:r>
            <w:r w:rsidRPr="00237760">
              <w:rPr>
                <w:rFonts w:ascii="Arial" w:hAnsi="Arial" w:cs="Arial"/>
                <w:b/>
                <w:color w:val="auto"/>
                <w:sz w:val="24"/>
                <w:szCs w:val="24"/>
              </w:rPr>
              <w:t xml:space="preserve"> 3. Integracja MOF</w:t>
            </w:r>
          </w:p>
        </w:tc>
        <w:tc>
          <w:tcPr>
            <w:tcW w:w="32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6C6A1B66" w14:textId="3D6F938A" w:rsidR="00BC02E5" w:rsidRPr="00237760" w:rsidRDefault="00BC02E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Linie komunikacji miejskiej – podkarpackie</w:t>
            </w:r>
          </w:p>
        </w:tc>
        <w:tc>
          <w:tcPr>
            <w:tcW w:w="3782" w:type="dxa"/>
            <w:vMerge w:val="restart"/>
            <w:tcBorders>
              <w:top w:val="single" w:sz="4" w:space="0" w:color="BDD6EE" w:themeColor="accent1" w:themeTint="66"/>
              <w:left w:val="nil"/>
              <w:right w:val="nil"/>
            </w:tcBorders>
            <w:vAlign w:val="center"/>
          </w:tcPr>
          <w:p w14:paraId="51248CC0" w14:textId="417E860E" w:rsidR="00BC02E5" w:rsidRPr="00237760" w:rsidRDefault="00D21793" w:rsidP="009367B4">
            <w:pPr>
              <w:pStyle w:val="Akapitzlist"/>
              <w:numPr>
                <w:ilvl w:val="0"/>
                <w:numId w:val="30"/>
              </w:numPr>
              <w:spacing w:after="0" w:line="240" w:lineRule="auto"/>
              <w:ind w:left="459"/>
              <w:jc w:val="left"/>
              <w:rPr>
                <w:rFonts w:ascii="Arial" w:hAnsi="Arial" w:cs="Arial"/>
                <w:color w:val="auto"/>
                <w:sz w:val="24"/>
                <w:szCs w:val="24"/>
              </w:rPr>
            </w:pPr>
            <w:r w:rsidRPr="00237760">
              <w:rPr>
                <w:rFonts w:ascii="Arial" w:hAnsi="Arial" w:cs="Arial"/>
                <w:color w:val="auto"/>
                <w:sz w:val="24"/>
                <w:szCs w:val="24"/>
              </w:rPr>
              <w:t xml:space="preserve">problemem wymienionych wskaźników w kontekście monitoringu integracji MOF wydaje się być ich dostępność wyłącznie na poziomie regionalnym, choć jednocześnie komunikacja miejska dotyczy w znacznym stopniu miast, które posiadają obszar funkcjonalny, dlatego też wskaźniki można uznać za trafnie dobrane co celu </w:t>
            </w:r>
          </w:p>
        </w:tc>
      </w:tr>
      <w:tr w:rsidR="00237760" w:rsidRPr="00237760" w14:paraId="62913AF0" w14:textId="77777777" w:rsidTr="00C378D3">
        <w:trPr>
          <w:trHeight w:val="151"/>
        </w:trPr>
        <w:tc>
          <w:tcPr>
            <w:tcW w:w="1990" w:type="dxa"/>
            <w:vMerge/>
            <w:tcBorders>
              <w:left w:val="nil"/>
              <w:right w:val="nil"/>
            </w:tcBorders>
            <w:vAlign w:val="center"/>
          </w:tcPr>
          <w:p w14:paraId="55C3E956" w14:textId="32506602" w:rsidR="00BC02E5" w:rsidRPr="00237760" w:rsidRDefault="00BC02E5" w:rsidP="009367B4">
            <w:pPr>
              <w:spacing w:after="0" w:line="240" w:lineRule="auto"/>
              <w:jc w:val="left"/>
              <w:rPr>
                <w:rFonts w:ascii="Arial" w:hAnsi="Arial" w:cs="Arial"/>
                <w:b/>
                <w:color w:val="auto"/>
                <w:sz w:val="24"/>
                <w:szCs w:val="24"/>
              </w:rPr>
            </w:pPr>
          </w:p>
        </w:tc>
        <w:tc>
          <w:tcPr>
            <w:tcW w:w="32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4F231C69" w14:textId="024CC23A" w:rsidR="00BC02E5" w:rsidRPr="00237760" w:rsidRDefault="00BC02E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Przeciętny przebieg 1 wozu w ciągu doby w</w:t>
            </w:r>
          </w:p>
          <w:p w14:paraId="1105C80F" w14:textId="77777777" w:rsidR="00BC02E5" w:rsidRPr="00237760" w:rsidRDefault="00BC02E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miejskiej komunikacji autobusowej w</w:t>
            </w:r>
          </w:p>
          <w:p w14:paraId="25D89EC0" w14:textId="77777777" w:rsidR="00BC02E5" w:rsidRPr="00237760" w:rsidRDefault="00BC02E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województwie</w:t>
            </w:r>
          </w:p>
        </w:tc>
        <w:tc>
          <w:tcPr>
            <w:tcW w:w="3782" w:type="dxa"/>
            <w:vMerge/>
            <w:tcBorders>
              <w:left w:val="nil"/>
              <w:right w:val="nil"/>
            </w:tcBorders>
            <w:vAlign w:val="center"/>
          </w:tcPr>
          <w:p w14:paraId="0AAB2403" w14:textId="77777777" w:rsidR="00BC02E5" w:rsidRPr="00237760" w:rsidRDefault="00BC02E5" w:rsidP="009367B4">
            <w:pPr>
              <w:pStyle w:val="Akapitzlist"/>
              <w:numPr>
                <w:ilvl w:val="0"/>
                <w:numId w:val="30"/>
              </w:numPr>
              <w:spacing w:line="240" w:lineRule="auto"/>
              <w:ind w:left="459"/>
              <w:jc w:val="left"/>
              <w:rPr>
                <w:rFonts w:ascii="Arial" w:hAnsi="Arial" w:cs="Arial"/>
                <w:color w:val="auto"/>
                <w:sz w:val="24"/>
                <w:szCs w:val="24"/>
              </w:rPr>
            </w:pPr>
          </w:p>
        </w:tc>
      </w:tr>
      <w:tr w:rsidR="00237760" w:rsidRPr="00237760" w14:paraId="46FCC9A7" w14:textId="77777777" w:rsidTr="00C378D3">
        <w:trPr>
          <w:trHeight w:val="332"/>
        </w:trPr>
        <w:tc>
          <w:tcPr>
            <w:tcW w:w="1990" w:type="dxa"/>
            <w:vMerge/>
            <w:tcBorders>
              <w:left w:val="nil"/>
              <w:bottom w:val="single" w:sz="4" w:space="0" w:color="BDD6EE" w:themeColor="accent1" w:themeTint="66"/>
              <w:right w:val="nil"/>
            </w:tcBorders>
            <w:vAlign w:val="center"/>
          </w:tcPr>
          <w:p w14:paraId="24317491" w14:textId="42E1350E" w:rsidR="00BC02E5" w:rsidRPr="00237760" w:rsidRDefault="00BC02E5" w:rsidP="009367B4">
            <w:pPr>
              <w:spacing w:after="0" w:line="240" w:lineRule="auto"/>
              <w:jc w:val="left"/>
              <w:rPr>
                <w:rFonts w:ascii="Arial" w:hAnsi="Arial" w:cs="Arial"/>
                <w:b/>
                <w:color w:val="auto"/>
                <w:sz w:val="24"/>
                <w:szCs w:val="24"/>
              </w:rPr>
            </w:pPr>
          </w:p>
        </w:tc>
        <w:tc>
          <w:tcPr>
            <w:tcW w:w="32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788EFDB3" w14:textId="64A189D4" w:rsidR="00BC02E5" w:rsidRPr="00237760" w:rsidRDefault="00BC02E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Przewozy pasażerów środkami komunikacji</w:t>
            </w:r>
          </w:p>
          <w:p w14:paraId="20A7A72D" w14:textId="77777777" w:rsidR="00BC02E5" w:rsidRPr="00237760" w:rsidRDefault="00BC02E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miejskiej</w:t>
            </w:r>
          </w:p>
        </w:tc>
        <w:tc>
          <w:tcPr>
            <w:tcW w:w="3782" w:type="dxa"/>
            <w:vMerge/>
            <w:tcBorders>
              <w:left w:val="nil"/>
              <w:bottom w:val="single" w:sz="4" w:space="0" w:color="BDD6EE" w:themeColor="accent1" w:themeTint="66"/>
              <w:right w:val="nil"/>
            </w:tcBorders>
            <w:vAlign w:val="center"/>
          </w:tcPr>
          <w:p w14:paraId="32ECF196" w14:textId="77777777" w:rsidR="00BC02E5" w:rsidRPr="00237760" w:rsidRDefault="00BC02E5" w:rsidP="009367B4">
            <w:pPr>
              <w:pStyle w:val="Akapitzlist"/>
              <w:numPr>
                <w:ilvl w:val="0"/>
                <w:numId w:val="30"/>
              </w:numPr>
              <w:spacing w:line="240" w:lineRule="auto"/>
              <w:ind w:left="459"/>
              <w:jc w:val="left"/>
              <w:rPr>
                <w:rFonts w:ascii="Arial" w:hAnsi="Arial" w:cs="Arial"/>
                <w:color w:val="auto"/>
                <w:sz w:val="24"/>
                <w:szCs w:val="24"/>
              </w:rPr>
            </w:pPr>
          </w:p>
        </w:tc>
      </w:tr>
      <w:tr w:rsidR="00237760" w:rsidRPr="00237760" w14:paraId="62BB82C6" w14:textId="77777777" w:rsidTr="00C378D3">
        <w:trPr>
          <w:trHeight w:val="151"/>
        </w:trPr>
        <w:tc>
          <w:tcPr>
            <w:tcW w:w="1990" w:type="dxa"/>
            <w:vMerge w:val="restart"/>
            <w:tcBorders>
              <w:top w:val="single" w:sz="4" w:space="0" w:color="BDD6EE" w:themeColor="accent1" w:themeTint="66"/>
              <w:left w:val="nil"/>
              <w:bottom w:val="single" w:sz="12" w:space="0" w:color="002060"/>
              <w:right w:val="nil"/>
            </w:tcBorders>
            <w:vAlign w:val="center"/>
          </w:tcPr>
          <w:p w14:paraId="6C788BB2" w14:textId="77777777" w:rsidR="00DF4EBB" w:rsidRPr="00237760" w:rsidRDefault="00DF4EBB" w:rsidP="009367B4">
            <w:pPr>
              <w:spacing w:after="0" w:line="240" w:lineRule="auto"/>
              <w:jc w:val="left"/>
              <w:rPr>
                <w:rFonts w:ascii="Arial" w:hAnsi="Arial" w:cs="Arial"/>
                <w:b/>
                <w:color w:val="auto"/>
                <w:sz w:val="24"/>
                <w:szCs w:val="24"/>
              </w:rPr>
            </w:pPr>
          </w:p>
          <w:p w14:paraId="42CF8CC7" w14:textId="3F72008F" w:rsidR="00DF4EBB" w:rsidRPr="00237760" w:rsidRDefault="00DF4EBB"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horyzontalne</w:t>
            </w:r>
          </w:p>
        </w:tc>
        <w:tc>
          <w:tcPr>
            <w:tcW w:w="32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6AD0F46A" w14:textId="12222419" w:rsidR="00DF4EBB" w:rsidRPr="00237760" w:rsidRDefault="00DF4EBB"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Długość zelektryfikowanych linii kolejowych</w:t>
            </w:r>
          </w:p>
        </w:tc>
        <w:tc>
          <w:tcPr>
            <w:tcW w:w="3782" w:type="dxa"/>
            <w:tcBorders>
              <w:top w:val="single" w:sz="4" w:space="0" w:color="BDD6EE" w:themeColor="accent1" w:themeTint="66"/>
              <w:left w:val="nil"/>
              <w:bottom w:val="single" w:sz="4" w:space="0" w:color="BDD6EE" w:themeColor="accent1" w:themeTint="66"/>
              <w:right w:val="nil"/>
            </w:tcBorders>
            <w:vAlign w:val="center"/>
          </w:tcPr>
          <w:p w14:paraId="17C7B01A" w14:textId="75E9DAA2" w:rsidR="00DF4EBB" w:rsidRPr="00237760" w:rsidRDefault="00B753C8" w:rsidP="009367B4">
            <w:pPr>
              <w:pStyle w:val="Akapitzlist"/>
              <w:numPr>
                <w:ilvl w:val="0"/>
                <w:numId w:val="30"/>
              </w:numPr>
              <w:spacing w:after="0" w:line="240" w:lineRule="auto"/>
              <w:ind w:left="459"/>
              <w:jc w:val="left"/>
              <w:rPr>
                <w:rFonts w:ascii="Arial" w:hAnsi="Arial" w:cs="Arial"/>
                <w:color w:val="auto"/>
                <w:sz w:val="24"/>
                <w:szCs w:val="24"/>
              </w:rPr>
            </w:pPr>
            <w:r w:rsidRPr="00237760">
              <w:rPr>
                <w:rFonts w:ascii="Arial" w:hAnsi="Arial" w:cs="Arial"/>
                <w:color w:val="auto"/>
                <w:sz w:val="24"/>
                <w:szCs w:val="24"/>
              </w:rPr>
              <w:t>wskaźnik dobrany do celu trafnie, jednak jest on adekwatny również do pomiaru realizacji celów podstawowych</w:t>
            </w:r>
          </w:p>
        </w:tc>
      </w:tr>
      <w:tr w:rsidR="00237760" w:rsidRPr="00237760" w14:paraId="75599AA0" w14:textId="77777777" w:rsidTr="00C378D3">
        <w:trPr>
          <w:trHeight w:val="151"/>
        </w:trPr>
        <w:tc>
          <w:tcPr>
            <w:tcW w:w="1990" w:type="dxa"/>
            <w:vMerge/>
            <w:tcBorders>
              <w:top w:val="single" w:sz="4" w:space="0" w:color="BDD6EE" w:themeColor="accent1" w:themeTint="66"/>
              <w:left w:val="nil"/>
              <w:bottom w:val="single" w:sz="12" w:space="0" w:color="002060"/>
              <w:right w:val="nil"/>
            </w:tcBorders>
            <w:vAlign w:val="center"/>
          </w:tcPr>
          <w:p w14:paraId="526A8625" w14:textId="30658EC5" w:rsidR="00DF4EBB" w:rsidRPr="00237760" w:rsidRDefault="00DF4EBB" w:rsidP="009367B4">
            <w:pPr>
              <w:spacing w:after="0" w:line="240" w:lineRule="auto"/>
              <w:jc w:val="left"/>
              <w:rPr>
                <w:rFonts w:ascii="Arial" w:hAnsi="Arial" w:cs="Arial"/>
                <w:color w:val="auto"/>
                <w:sz w:val="24"/>
                <w:szCs w:val="24"/>
              </w:rPr>
            </w:pPr>
          </w:p>
        </w:tc>
        <w:tc>
          <w:tcPr>
            <w:tcW w:w="32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4E94E203" w14:textId="72F59538" w:rsidR="00DF4EBB" w:rsidRPr="00237760" w:rsidRDefault="00DF4EBB"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Liczba elektrycznych pojazdów autobusowego transportu miejskiego w ROF oraz MOF województwa podkarpackiego</w:t>
            </w:r>
          </w:p>
        </w:tc>
        <w:tc>
          <w:tcPr>
            <w:tcW w:w="3782" w:type="dxa"/>
            <w:tcBorders>
              <w:top w:val="single" w:sz="4" w:space="0" w:color="BDD6EE" w:themeColor="accent1" w:themeTint="66"/>
              <w:left w:val="nil"/>
              <w:bottom w:val="single" w:sz="4" w:space="0" w:color="BDD6EE" w:themeColor="accent1" w:themeTint="66"/>
              <w:right w:val="nil"/>
            </w:tcBorders>
            <w:vAlign w:val="center"/>
          </w:tcPr>
          <w:p w14:paraId="492D9929" w14:textId="3D7A3B6D" w:rsidR="00DF4EBB" w:rsidRPr="00237760" w:rsidRDefault="00651CDA" w:rsidP="009367B4">
            <w:pPr>
              <w:pStyle w:val="Akapitzlist"/>
              <w:numPr>
                <w:ilvl w:val="0"/>
                <w:numId w:val="30"/>
              </w:numPr>
              <w:spacing w:after="0" w:line="240" w:lineRule="auto"/>
              <w:ind w:left="459"/>
              <w:jc w:val="left"/>
              <w:rPr>
                <w:rFonts w:ascii="Arial" w:hAnsi="Arial" w:cs="Arial"/>
                <w:color w:val="auto"/>
                <w:sz w:val="24"/>
                <w:szCs w:val="24"/>
              </w:rPr>
            </w:pPr>
            <w:r w:rsidRPr="00237760">
              <w:rPr>
                <w:rFonts w:ascii="Arial" w:hAnsi="Arial" w:cs="Arial"/>
                <w:color w:val="auto"/>
                <w:sz w:val="24"/>
                <w:szCs w:val="24"/>
              </w:rPr>
              <w:t xml:space="preserve">wskaźnik </w:t>
            </w:r>
            <w:r w:rsidR="00823B43" w:rsidRPr="00237760">
              <w:rPr>
                <w:rFonts w:ascii="Arial" w:hAnsi="Arial" w:cs="Arial"/>
                <w:color w:val="auto"/>
                <w:sz w:val="24"/>
                <w:szCs w:val="24"/>
              </w:rPr>
              <w:t>trafnie dobrany do celu</w:t>
            </w:r>
          </w:p>
        </w:tc>
      </w:tr>
      <w:tr w:rsidR="00237760" w:rsidRPr="00237760" w14:paraId="42FDF28E" w14:textId="77777777" w:rsidTr="00C378D3">
        <w:trPr>
          <w:trHeight w:val="151"/>
        </w:trPr>
        <w:tc>
          <w:tcPr>
            <w:tcW w:w="1990" w:type="dxa"/>
            <w:vMerge/>
            <w:tcBorders>
              <w:top w:val="single" w:sz="4" w:space="0" w:color="BDD6EE" w:themeColor="accent1" w:themeTint="66"/>
              <w:left w:val="nil"/>
              <w:bottom w:val="single" w:sz="12" w:space="0" w:color="002060"/>
              <w:right w:val="nil"/>
            </w:tcBorders>
            <w:vAlign w:val="center"/>
          </w:tcPr>
          <w:p w14:paraId="14D9B528" w14:textId="1C68C14D" w:rsidR="00DF4EBB" w:rsidRPr="00237760" w:rsidRDefault="00DF4EBB" w:rsidP="009367B4">
            <w:pPr>
              <w:spacing w:after="0" w:line="240" w:lineRule="auto"/>
              <w:jc w:val="left"/>
              <w:rPr>
                <w:rFonts w:ascii="Arial" w:hAnsi="Arial" w:cs="Arial"/>
                <w:color w:val="auto"/>
                <w:sz w:val="24"/>
                <w:szCs w:val="24"/>
              </w:rPr>
            </w:pPr>
          </w:p>
        </w:tc>
        <w:tc>
          <w:tcPr>
            <w:tcW w:w="32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098DD913" w14:textId="55A422D9" w:rsidR="00DF4EBB" w:rsidRPr="00237760" w:rsidRDefault="00DF4EBB"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Liczba parkingów w systemie Parkuj i Jedź (Park &amp; Ride)</w:t>
            </w:r>
          </w:p>
        </w:tc>
        <w:tc>
          <w:tcPr>
            <w:tcW w:w="3782" w:type="dxa"/>
            <w:tcBorders>
              <w:top w:val="single" w:sz="4" w:space="0" w:color="BDD6EE" w:themeColor="accent1" w:themeTint="66"/>
              <w:left w:val="nil"/>
              <w:bottom w:val="single" w:sz="4" w:space="0" w:color="BDD6EE" w:themeColor="accent1" w:themeTint="66"/>
              <w:right w:val="nil"/>
            </w:tcBorders>
            <w:vAlign w:val="center"/>
          </w:tcPr>
          <w:p w14:paraId="7AE875D9" w14:textId="5F837BC2" w:rsidR="00DF4EBB" w:rsidRPr="00237760" w:rsidRDefault="005762A4" w:rsidP="009367B4">
            <w:pPr>
              <w:pStyle w:val="Akapitzlist"/>
              <w:numPr>
                <w:ilvl w:val="0"/>
                <w:numId w:val="30"/>
              </w:numPr>
              <w:spacing w:after="0" w:line="240" w:lineRule="auto"/>
              <w:ind w:left="459"/>
              <w:jc w:val="left"/>
              <w:rPr>
                <w:rFonts w:ascii="Arial" w:hAnsi="Arial" w:cs="Arial"/>
                <w:color w:val="auto"/>
                <w:sz w:val="24"/>
                <w:szCs w:val="24"/>
              </w:rPr>
            </w:pPr>
            <w:r w:rsidRPr="00237760">
              <w:rPr>
                <w:rFonts w:ascii="Arial" w:hAnsi="Arial" w:cs="Arial"/>
                <w:color w:val="auto"/>
                <w:sz w:val="24"/>
                <w:szCs w:val="24"/>
              </w:rPr>
              <w:t>wskaźnik częściowo tożsamy ze wskaźnikiem wskazanym w tabeli 3</w:t>
            </w:r>
            <w:r w:rsidR="001D33C5" w:rsidRPr="00237760">
              <w:rPr>
                <w:rFonts w:ascii="Arial" w:hAnsi="Arial" w:cs="Arial"/>
                <w:color w:val="auto"/>
                <w:sz w:val="24"/>
                <w:szCs w:val="24"/>
              </w:rPr>
              <w:t>4</w:t>
            </w:r>
            <w:r w:rsidRPr="00237760">
              <w:rPr>
                <w:rFonts w:ascii="Arial" w:hAnsi="Arial" w:cs="Arial"/>
                <w:color w:val="auto"/>
                <w:sz w:val="24"/>
                <w:szCs w:val="24"/>
              </w:rPr>
              <w:t xml:space="preserve"> „Liczba węzłów intermodalnych oraz parkingów Park and Ride</w:t>
            </w:r>
            <w:r w:rsidR="00BC02E5" w:rsidRPr="00237760">
              <w:rPr>
                <w:rFonts w:ascii="Arial" w:hAnsi="Arial" w:cs="Arial"/>
                <w:color w:val="auto"/>
                <w:sz w:val="24"/>
                <w:szCs w:val="24"/>
              </w:rPr>
              <w:t>”</w:t>
            </w:r>
          </w:p>
        </w:tc>
      </w:tr>
      <w:tr w:rsidR="00237760" w:rsidRPr="00237760" w14:paraId="318909F3" w14:textId="77777777" w:rsidTr="00C378D3">
        <w:trPr>
          <w:trHeight w:val="151"/>
        </w:trPr>
        <w:tc>
          <w:tcPr>
            <w:tcW w:w="1990" w:type="dxa"/>
            <w:vMerge/>
            <w:tcBorders>
              <w:top w:val="single" w:sz="4" w:space="0" w:color="BDD6EE" w:themeColor="accent1" w:themeTint="66"/>
              <w:left w:val="nil"/>
              <w:bottom w:val="single" w:sz="12" w:space="0" w:color="002060"/>
              <w:right w:val="nil"/>
            </w:tcBorders>
            <w:vAlign w:val="center"/>
          </w:tcPr>
          <w:p w14:paraId="07E0CAE7" w14:textId="2D41083B" w:rsidR="00DF4EBB" w:rsidRPr="00237760" w:rsidRDefault="00DF4EBB" w:rsidP="009367B4">
            <w:pPr>
              <w:spacing w:after="0" w:line="240" w:lineRule="auto"/>
              <w:jc w:val="left"/>
              <w:rPr>
                <w:rFonts w:ascii="Arial" w:hAnsi="Arial" w:cs="Arial"/>
                <w:color w:val="auto"/>
                <w:sz w:val="24"/>
                <w:szCs w:val="24"/>
              </w:rPr>
            </w:pPr>
          </w:p>
        </w:tc>
        <w:tc>
          <w:tcPr>
            <w:tcW w:w="32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234EFAA5" w14:textId="3FE679F0" w:rsidR="00DF4EBB" w:rsidRPr="00237760" w:rsidRDefault="00DF4EBB"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Liczba przystanków autobusowych</w:t>
            </w:r>
          </w:p>
        </w:tc>
        <w:tc>
          <w:tcPr>
            <w:tcW w:w="3782" w:type="dxa"/>
            <w:tcBorders>
              <w:top w:val="single" w:sz="4" w:space="0" w:color="BDD6EE" w:themeColor="accent1" w:themeTint="66"/>
              <w:left w:val="nil"/>
              <w:bottom w:val="single" w:sz="4" w:space="0" w:color="BDD6EE" w:themeColor="accent1" w:themeTint="66"/>
              <w:right w:val="nil"/>
            </w:tcBorders>
            <w:vAlign w:val="center"/>
          </w:tcPr>
          <w:p w14:paraId="50D90B08" w14:textId="1FD8F28E" w:rsidR="00DF4EBB" w:rsidRPr="00237760" w:rsidRDefault="00B753C8" w:rsidP="009367B4">
            <w:pPr>
              <w:pStyle w:val="Akapitzlist"/>
              <w:numPr>
                <w:ilvl w:val="0"/>
                <w:numId w:val="30"/>
              </w:numPr>
              <w:spacing w:after="0" w:line="240" w:lineRule="auto"/>
              <w:ind w:left="459"/>
              <w:jc w:val="left"/>
              <w:rPr>
                <w:rFonts w:ascii="Arial" w:hAnsi="Arial" w:cs="Arial"/>
                <w:color w:val="auto"/>
                <w:sz w:val="24"/>
                <w:szCs w:val="24"/>
              </w:rPr>
            </w:pPr>
            <w:r w:rsidRPr="00237760">
              <w:rPr>
                <w:rFonts w:ascii="Arial" w:hAnsi="Arial" w:cs="Arial"/>
                <w:color w:val="auto"/>
                <w:sz w:val="24"/>
                <w:szCs w:val="24"/>
              </w:rPr>
              <w:t>wskaźnik trafnie dobrany do celu</w:t>
            </w:r>
          </w:p>
        </w:tc>
      </w:tr>
      <w:tr w:rsidR="00237760" w:rsidRPr="00237760" w14:paraId="2355AA65" w14:textId="77777777" w:rsidTr="00C378D3">
        <w:trPr>
          <w:trHeight w:val="151"/>
        </w:trPr>
        <w:tc>
          <w:tcPr>
            <w:tcW w:w="1990" w:type="dxa"/>
            <w:vMerge/>
            <w:tcBorders>
              <w:top w:val="single" w:sz="4" w:space="0" w:color="BDD6EE" w:themeColor="accent1" w:themeTint="66"/>
              <w:left w:val="nil"/>
              <w:bottom w:val="single" w:sz="12" w:space="0" w:color="002060"/>
              <w:right w:val="nil"/>
            </w:tcBorders>
            <w:vAlign w:val="center"/>
          </w:tcPr>
          <w:p w14:paraId="19B97A66" w14:textId="5281C4A3" w:rsidR="00DF4EBB" w:rsidRPr="00237760" w:rsidRDefault="00DF4EBB" w:rsidP="009367B4">
            <w:pPr>
              <w:spacing w:after="0" w:line="240" w:lineRule="auto"/>
              <w:jc w:val="left"/>
              <w:rPr>
                <w:rFonts w:ascii="Arial" w:hAnsi="Arial" w:cs="Arial"/>
                <w:color w:val="auto"/>
                <w:sz w:val="24"/>
                <w:szCs w:val="24"/>
              </w:rPr>
            </w:pPr>
          </w:p>
        </w:tc>
        <w:tc>
          <w:tcPr>
            <w:tcW w:w="32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714F7329" w14:textId="7A6BEEEA" w:rsidR="00DF4EBB" w:rsidRPr="00237760" w:rsidRDefault="00DF4EBB"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Liczba autobusów komunikacji miejskiej przystosowanych do przewozu osób niepełnosprawnych</w:t>
            </w:r>
          </w:p>
        </w:tc>
        <w:tc>
          <w:tcPr>
            <w:tcW w:w="3782" w:type="dxa"/>
            <w:tcBorders>
              <w:top w:val="single" w:sz="4" w:space="0" w:color="BDD6EE" w:themeColor="accent1" w:themeTint="66"/>
              <w:left w:val="nil"/>
              <w:bottom w:val="single" w:sz="4" w:space="0" w:color="BDD6EE" w:themeColor="accent1" w:themeTint="66"/>
              <w:right w:val="nil"/>
            </w:tcBorders>
            <w:vAlign w:val="center"/>
          </w:tcPr>
          <w:p w14:paraId="7D5E3CF6" w14:textId="40A9D31B" w:rsidR="00DF4EBB" w:rsidRPr="00237760" w:rsidRDefault="00F76183" w:rsidP="009367B4">
            <w:pPr>
              <w:pStyle w:val="Akapitzlist"/>
              <w:numPr>
                <w:ilvl w:val="0"/>
                <w:numId w:val="30"/>
              </w:numPr>
              <w:spacing w:after="0" w:line="240" w:lineRule="auto"/>
              <w:ind w:left="459"/>
              <w:jc w:val="left"/>
              <w:rPr>
                <w:rFonts w:ascii="Arial" w:hAnsi="Arial" w:cs="Arial"/>
                <w:color w:val="auto"/>
                <w:sz w:val="24"/>
                <w:szCs w:val="24"/>
              </w:rPr>
            </w:pPr>
            <w:r w:rsidRPr="00237760">
              <w:rPr>
                <w:rFonts w:ascii="Arial" w:hAnsi="Arial" w:cs="Arial"/>
                <w:color w:val="auto"/>
                <w:sz w:val="24"/>
                <w:szCs w:val="24"/>
              </w:rPr>
              <w:t>wskaźnik trafnie dobrany do celu</w:t>
            </w:r>
          </w:p>
        </w:tc>
      </w:tr>
      <w:tr w:rsidR="00237760" w:rsidRPr="00237760" w14:paraId="72C868E7" w14:textId="77777777" w:rsidTr="00C378D3">
        <w:trPr>
          <w:trHeight w:val="151"/>
        </w:trPr>
        <w:tc>
          <w:tcPr>
            <w:tcW w:w="1990" w:type="dxa"/>
            <w:vMerge/>
            <w:tcBorders>
              <w:top w:val="single" w:sz="4" w:space="0" w:color="BDD6EE" w:themeColor="accent1" w:themeTint="66"/>
              <w:left w:val="nil"/>
              <w:bottom w:val="single" w:sz="12" w:space="0" w:color="002060"/>
              <w:right w:val="nil"/>
            </w:tcBorders>
            <w:vAlign w:val="center"/>
          </w:tcPr>
          <w:p w14:paraId="6A884F6D" w14:textId="081BA1A8" w:rsidR="00DF4EBB" w:rsidRPr="00237760" w:rsidRDefault="00DF4EBB" w:rsidP="009367B4">
            <w:pPr>
              <w:spacing w:after="0" w:line="240" w:lineRule="auto"/>
              <w:jc w:val="left"/>
              <w:rPr>
                <w:rFonts w:ascii="Arial" w:hAnsi="Arial" w:cs="Arial"/>
                <w:color w:val="auto"/>
                <w:sz w:val="24"/>
                <w:szCs w:val="24"/>
              </w:rPr>
            </w:pPr>
          </w:p>
        </w:tc>
        <w:tc>
          <w:tcPr>
            <w:tcW w:w="32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2876B671" w14:textId="0DF77D23" w:rsidR="00DF4EBB" w:rsidRPr="00237760" w:rsidRDefault="00DF4EBB"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Długość ścieżek rowerowych</w:t>
            </w:r>
          </w:p>
        </w:tc>
        <w:tc>
          <w:tcPr>
            <w:tcW w:w="3782" w:type="dxa"/>
            <w:tcBorders>
              <w:top w:val="single" w:sz="4" w:space="0" w:color="BDD6EE" w:themeColor="accent1" w:themeTint="66"/>
              <w:left w:val="nil"/>
              <w:bottom w:val="single" w:sz="4" w:space="0" w:color="BDD6EE" w:themeColor="accent1" w:themeTint="66"/>
              <w:right w:val="nil"/>
            </w:tcBorders>
            <w:vAlign w:val="center"/>
          </w:tcPr>
          <w:p w14:paraId="791697BF" w14:textId="110132E2" w:rsidR="00DF4EBB" w:rsidRPr="00237760" w:rsidRDefault="00F76183" w:rsidP="009367B4">
            <w:pPr>
              <w:pStyle w:val="Akapitzlist"/>
              <w:numPr>
                <w:ilvl w:val="0"/>
                <w:numId w:val="30"/>
              </w:numPr>
              <w:spacing w:after="0" w:line="240" w:lineRule="auto"/>
              <w:ind w:left="459"/>
              <w:jc w:val="left"/>
              <w:rPr>
                <w:rFonts w:ascii="Arial" w:hAnsi="Arial" w:cs="Arial"/>
                <w:color w:val="auto"/>
                <w:sz w:val="24"/>
                <w:szCs w:val="24"/>
              </w:rPr>
            </w:pPr>
            <w:r w:rsidRPr="00237760">
              <w:rPr>
                <w:rFonts w:ascii="Arial" w:hAnsi="Arial" w:cs="Arial"/>
                <w:color w:val="auto"/>
                <w:sz w:val="24"/>
                <w:szCs w:val="24"/>
              </w:rPr>
              <w:t>wskaźnik trafnie dobrany do celu</w:t>
            </w:r>
          </w:p>
        </w:tc>
      </w:tr>
      <w:tr w:rsidR="00237760" w:rsidRPr="00237760" w14:paraId="215AA6D1" w14:textId="77777777" w:rsidTr="00C378D3">
        <w:trPr>
          <w:trHeight w:val="151"/>
        </w:trPr>
        <w:tc>
          <w:tcPr>
            <w:tcW w:w="1990" w:type="dxa"/>
            <w:vMerge/>
            <w:tcBorders>
              <w:top w:val="single" w:sz="4" w:space="0" w:color="BDD6EE" w:themeColor="accent1" w:themeTint="66"/>
              <w:left w:val="nil"/>
              <w:bottom w:val="single" w:sz="12" w:space="0" w:color="002060"/>
              <w:right w:val="nil"/>
            </w:tcBorders>
            <w:vAlign w:val="center"/>
          </w:tcPr>
          <w:p w14:paraId="7C5363C4" w14:textId="15F8A7F8" w:rsidR="00516AD6" w:rsidRPr="00237760" w:rsidRDefault="00516AD6" w:rsidP="009367B4">
            <w:pPr>
              <w:spacing w:after="0" w:line="240" w:lineRule="auto"/>
              <w:jc w:val="left"/>
              <w:rPr>
                <w:rFonts w:ascii="Arial" w:hAnsi="Arial" w:cs="Arial"/>
                <w:color w:val="auto"/>
                <w:sz w:val="24"/>
                <w:szCs w:val="24"/>
              </w:rPr>
            </w:pPr>
          </w:p>
        </w:tc>
        <w:tc>
          <w:tcPr>
            <w:tcW w:w="32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0D6D6320" w14:textId="61AB1BB9" w:rsidR="00516AD6" w:rsidRPr="00237760" w:rsidRDefault="00516AD6"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Liczba zdarzeń z udziałem rowerzystów na jezdniach</w:t>
            </w:r>
          </w:p>
        </w:tc>
        <w:tc>
          <w:tcPr>
            <w:tcW w:w="3782" w:type="dxa"/>
            <w:vMerge w:val="restart"/>
            <w:tcBorders>
              <w:top w:val="single" w:sz="4" w:space="0" w:color="BDD6EE" w:themeColor="accent1" w:themeTint="66"/>
              <w:left w:val="nil"/>
              <w:bottom w:val="single" w:sz="12" w:space="0" w:color="002060"/>
              <w:right w:val="nil"/>
            </w:tcBorders>
            <w:vAlign w:val="center"/>
          </w:tcPr>
          <w:p w14:paraId="5045D073" w14:textId="5EBEB6E5" w:rsidR="00516AD6" w:rsidRPr="00237760" w:rsidRDefault="00516AD6" w:rsidP="009367B4">
            <w:pPr>
              <w:pStyle w:val="Akapitzlist"/>
              <w:numPr>
                <w:ilvl w:val="0"/>
                <w:numId w:val="30"/>
              </w:numPr>
              <w:spacing w:after="0" w:line="240" w:lineRule="auto"/>
              <w:ind w:left="459"/>
              <w:jc w:val="left"/>
              <w:rPr>
                <w:rFonts w:ascii="Arial" w:hAnsi="Arial" w:cs="Arial"/>
                <w:color w:val="auto"/>
                <w:sz w:val="24"/>
                <w:szCs w:val="24"/>
              </w:rPr>
            </w:pPr>
            <w:r w:rsidRPr="00237760">
              <w:rPr>
                <w:rFonts w:ascii="Arial" w:hAnsi="Arial" w:cs="Arial"/>
                <w:color w:val="auto"/>
                <w:sz w:val="24"/>
                <w:szCs w:val="24"/>
              </w:rPr>
              <w:t>wskaźniki trafnie dobrane do celu</w:t>
            </w:r>
          </w:p>
        </w:tc>
      </w:tr>
      <w:tr w:rsidR="00237760" w:rsidRPr="00237760" w14:paraId="38A27705" w14:textId="77777777" w:rsidTr="00C378D3">
        <w:trPr>
          <w:trHeight w:val="151"/>
        </w:trPr>
        <w:tc>
          <w:tcPr>
            <w:tcW w:w="1990" w:type="dxa"/>
            <w:vMerge/>
            <w:tcBorders>
              <w:top w:val="single" w:sz="4" w:space="0" w:color="BDD6EE" w:themeColor="accent1" w:themeTint="66"/>
              <w:left w:val="nil"/>
              <w:bottom w:val="single" w:sz="12" w:space="0" w:color="002060"/>
              <w:right w:val="nil"/>
            </w:tcBorders>
            <w:vAlign w:val="center"/>
          </w:tcPr>
          <w:p w14:paraId="1B13F1E0" w14:textId="30C8E94F" w:rsidR="00516AD6" w:rsidRPr="00237760" w:rsidRDefault="00516AD6" w:rsidP="009367B4">
            <w:pPr>
              <w:spacing w:after="0" w:line="240" w:lineRule="auto"/>
              <w:jc w:val="left"/>
              <w:rPr>
                <w:rFonts w:ascii="Arial" w:hAnsi="Arial" w:cs="Arial"/>
                <w:color w:val="auto"/>
                <w:sz w:val="24"/>
                <w:szCs w:val="24"/>
              </w:rPr>
            </w:pPr>
          </w:p>
        </w:tc>
        <w:tc>
          <w:tcPr>
            <w:tcW w:w="3260" w:type="dxa"/>
            <w:tcBorders>
              <w:top w:val="single" w:sz="4" w:space="0" w:color="BDD6EE" w:themeColor="accent1" w:themeTint="66"/>
              <w:left w:val="nil"/>
              <w:bottom w:val="single" w:sz="12" w:space="0" w:color="002060"/>
              <w:right w:val="nil"/>
            </w:tcBorders>
            <w:shd w:val="clear" w:color="auto" w:fill="auto"/>
            <w:vAlign w:val="center"/>
          </w:tcPr>
          <w:p w14:paraId="2DBE6E01" w14:textId="14299A5F" w:rsidR="00516AD6" w:rsidRPr="00237760" w:rsidRDefault="00516AD6"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Liczba zdarzeń na jezdniach z udziałem pojazdów i pieszych</w:t>
            </w:r>
          </w:p>
        </w:tc>
        <w:tc>
          <w:tcPr>
            <w:tcW w:w="3782" w:type="dxa"/>
            <w:vMerge/>
            <w:tcBorders>
              <w:top w:val="single" w:sz="4" w:space="0" w:color="BDD6EE" w:themeColor="accent1" w:themeTint="66"/>
              <w:left w:val="nil"/>
              <w:bottom w:val="single" w:sz="12" w:space="0" w:color="002060"/>
              <w:right w:val="nil"/>
            </w:tcBorders>
            <w:vAlign w:val="center"/>
          </w:tcPr>
          <w:p w14:paraId="05AF7EDC" w14:textId="77777777" w:rsidR="00516AD6" w:rsidRPr="00237760" w:rsidRDefault="00516AD6" w:rsidP="009367B4">
            <w:pPr>
              <w:pStyle w:val="Akapitzlist"/>
              <w:numPr>
                <w:ilvl w:val="0"/>
                <w:numId w:val="8"/>
              </w:numPr>
              <w:spacing w:line="240" w:lineRule="auto"/>
              <w:ind w:left="318" w:hanging="284"/>
              <w:jc w:val="left"/>
              <w:rPr>
                <w:rFonts w:ascii="Arial" w:hAnsi="Arial" w:cs="Arial"/>
                <w:color w:val="auto"/>
                <w:sz w:val="24"/>
                <w:szCs w:val="24"/>
              </w:rPr>
            </w:pPr>
          </w:p>
        </w:tc>
      </w:tr>
    </w:tbl>
    <w:p w14:paraId="62EC1908" w14:textId="376C3CBD" w:rsidR="00100C6D" w:rsidRPr="00237760" w:rsidRDefault="00EF3AF1"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Źródło: opracowanie własne.</w:t>
      </w:r>
    </w:p>
    <w:bookmarkEnd w:id="97"/>
    <w:p w14:paraId="79DDBF3F" w14:textId="79D11B06" w:rsidR="006B40F1" w:rsidRPr="00237760" w:rsidRDefault="00F738A0" w:rsidP="009367B4">
      <w:pPr>
        <w:jc w:val="left"/>
        <w:rPr>
          <w:rFonts w:ascii="Arial" w:hAnsi="Arial" w:cs="Arial"/>
          <w:color w:val="auto"/>
          <w:sz w:val="24"/>
          <w:szCs w:val="24"/>
          <w:lang w:eastAsia="pl-PL"/>
        </w:rPr>
      </w:pPr>
      <w:r w:rsidRPr="00237760">
        <w:rPr>
          <w:rFonts w:ascii="Arial" w:hAnsi="Arial" w:cs="Arial"/>
          <w:b/>
          <w:bCs/>
          <w:color w:val="auto"/>
          <w:sz w:val="24"/>
          <w:szCs w:val="24"/>
          <w:lang w:eastAsia="pl-PL"/>
        </w:rPr>
        <w:t>Kryteria wyboru projektów</w:t>
      </w:r>
      <w:r w:rsidRPr="00237760">
        <w:rPr>
          <w:rFonts w:ascii="Arial" w:hAnsi="Arial" w:cs="Arial"/>
          <w:color w:val="auto"/>
          <w:sz w:val="24"/>
          <w:szCs w:val="24"/>
          <w:lang w:eastAsia="pl-PL"/>
        </w:rPr>
        <w:t xml:space="preserve"> </w:t>
      </w:r>
      <w:r w:rsidR="006F03EF" w:rsidRPr="00237760">
        <w:rPr>
          <w:rFonts w:ascii="Arial" w:hAnsi="Arial" w:cs="Arial"/>
          <w:color w:val="auto"/>
          <w:sz w:val="24"/>
          <w:szCs w:val="24"/>
          <w:lang w:eastAsia="pl-PL"/>
        </w:rPr>
        <w:t>–</w:t>
      </w:r>
      <w:r w:rsidRPr="00237760">
        <w:rPr>
          <w:rFonts w:ascii="Arial" w:hAnsi="Arial" w:cs="Arial"/>
          <w:color w:val="auto"/>
          <w:sz w:val="24"/>
          <w:szCs w:val="24"/>
          <w:lang w:eastAsia="pl-PL"/>
        </w:rPr>
        <w:t xml:space="preserve"> </w:t>
      </w:r>
      <w:r w:rsidR="001744D7" w:rsidRPr="00237760">
        <w:rPr>
          <w:rFonts w:ascii="Arial" w:hAnsi="Arial" w:cs="Arial"/>
          <w:color w:val="auto"/>
          <w:sz w:val="24"/>
          <w:szCs w:val="24"/>
          <w:lang w:eastAsia="pl-PL"/>
        </w:rPr>
        <w:t>o</w:t>
      </w:r>
      <w:r w:rsidR="006B40F1" w:rsidRPr="00237760">
        <w:rPr>
          <w:rFonts w:ascii="Arial" w:hAnsi="Arial" w:cs="Arial"/>
          <w:color w:val="auto"/>
          <w:sz w:val="24"/>
          <w:szCs w:val="24"/>
          <w:lang w:eastAsia="pl-PL"/>
        </w:rPr>
        <w:t>cena kryteriów wyboru projektów została dokonana na dwóch poziomach:</w:t>
      </w:r>
    </w:p>
    <w:p w14:paraId="1283B847" w14:textId="781C0DE2" w:rsidR="006B40F1" w:rsidRPr="00237760" w:rsidRDefault="004C7BC6" w:rsidP="009367B4">
      <w:pPr>
        <w:pStyle w:val="Akapitzlist"/>
        <w:numPr>
          <w:ilvl w:val="0"/>
          <w:numId w:val="10"/>
        </w:numPr>
        <w:jc w:val="left"/>
        <w:rPr>
          <w:rFonts w:ascii="Arial" w:hAnsi="Arial" w:cs="Arial"/>
          <w:color w:val="auto"/>
          <w:sz w:val="24"/>
          <w:szCs w:val="24"/>
        </w:rPr>
      </w:pPr>
      <w:r w:rsidRPr="00237760">
        <w:rPr>
          <w:rFonts w:ascii="Arial" w:hAnsi="Arial" w:cs="Arial"/>
          <w:color w:val="auto"/>
          <w:sz w:val="24"/>
          <w:szCs w:val="24"/>
        </w:rPr>
        <w:t>Kryteriów ogólnych – dotyczących poszczególnych podsystemów;</w:t>
      </w:r>
    </w:p>
    <w:p w14:paraId="2564EC16" w14:textId="26AE6FFB" w:rsidR="004C7BC6" w:rsidRPr="00237760" w:rsidRDefault="004C7BC6" w:rsidP="009367B4">
      <w:pPr>
        <w:pStyle w:val="Akapitzlist"/>
        <w:numPr>
          <w:ilvl w:val="0"/>
          <w:numId w:val="10"/>
        </w:numPr>
        <w:jc w:val="left"/>
        <w:rPr>
          <w:rFonts w:ascii="Arial" w:hAnsi="Arial" w:cs="Arial"/>
          <w:color w:val="auto"/>
          <w:sz w:val="24"/>
          <w:szCs w:val="24"/>
        </w:rPr>
      </w:pPr>
      <w:r w:rsidRPr="00237760">
        <w:rPr>
          <w:rFonts w:ascii="Arial" w:hAnsi="Arial" w:cs="Arial"/>
          <w:color w:val="auto"/>
          <w:sz w:val="24"/>
          <w:szCs w:val="24"/>
        </w:rPr>
        <w:t>Podkryteriów w ramach przyjętych kryteriów.</w:t>
      </w:r>
    </w:p>
    <w:p w14:paraId="3CD77F83" w14:textId="77777777" w:rsidR="00122CE1" w:rsidRPr="00237760" w:rsidRDefault="004C7BC6"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 xml:space="preserve">W </w:t>
      </w:r>
      <w:r w:rsidR="00D95EBA" w:rsidRPr="00237760">
        <w:rPr>
          <w:rFonts w:ascii="Arial" w:hAnsi="Arial" w:cs="Arial"/>
          <w:color w:val="auto"/>
          <w:sz w:val="24"/>
          <w:szCs w:val="24"/>
          <w:lang w:eastAsia="pl-PL"/>
        </w:rPr>
        <w:t xml:space="preserve">ocenie kryteriów ogólnych zwracają uwagę następujące </w:t>
      </w:r>
      <w:r w:rsidR="00122CE1" w:rsidRPr="00237760">
        <w:rPr>
          <w:rFonts w:ascii="Arial" w:hAnsi="Arial" w:cs="Arial"/>
          <w:color w:val="auto"/>
          <w:sz w:val="24"/>
          <w:szCs w:val="24"/>
          <w:lang w:eastAsia="pl-PL"/>
        </w:rPr>
        <w:t>cechy PSRT WP:</w:t>
      </w:r>
    </w:p>
    <w:p w14:paraId="7DDD7C26" w14:textId="4E79D5BF" w:rsidR="00CA325F" w:rsidRPr="00237760" w:rsidRDefault="425F0DC4" w:rsidP="009367B4">
      <w:pPr>
        <w:pStyle w:val="Akapitzlist"/>
        <w:numPr>
          <w:ilvl w:val="0"/>
          <w:numId w:val="11"/>
        </w:numPr>
        <w:jc w:val="left"/>
        <w:rPr>
          <w:rFonts w:ascii="Arial" w:eastAsiaTheme="minorEastAsia" w:hAnsi="Arial" w:cs="Arial"/>
          <w:color w:val="auto"/>
          <w:sz w:val="24"/>
          <w:szCs w:val="24"/>
        </w:rPr>
      </w:pPr>
      <w:r w:rsidRPr="00237760">
        <w:rPr>
          <w:rFonts w:ascii="Arial" w:hAnsi="Arial" w:cs="Arial"/>
          <w:color w:val="auto"/>
          <w:sz w:val="24"/>
          <w:szCs w:val="24"/>
        </w:rPr>
        <w:t>Kryteria są opracowane dla podsystemu drogowego oraz kolejowego, przy czym nie ma ich dla podsystemu lotniczego i multimodalnego</w:t>
      </w:r>
      <w:r w:rsidR="0072558A" w:rsidRPr="00237760">
        <w:rPr>
          <w:rFonts w:ascii="Arial" w:hAnsi="Arial" w:cs="Arial"/>
          <w:color w:val="auto"/>
          <w:sz w:val="24"/>
          <w:szCs w:val="24"/>
        </w:rPr>
        <w:t xml:space="preserve">, co można uzasadnić faktem, iż właśnie w dwóch pierwszych </w:t>
      </w:r>
      <w:r w:rsidR="00CA325F" w:rsidRPr="00237760">
        <w:rPr>
          <w:rFonts w:ascii="Arial" w:hAnsi="Arial" w:cs="Arial"/>
          <w:color w:val="auto"/>
          <w:sz w:val="24"/>
          <w:szCs w:val="24"/>
        </w:rPr>
        <w:t>podsystemach prognozowany jest nadmiar projektów</w:t>
      </w:r>
      <w:r w:rsidR="009E2B6B" w:rsidRPr="00237760">
        <w:rPr>
          <w:rFonts w:ascii="Arial" w:hAnsi="Arial" w:cs="Arial"/>
          <w:color w:val="auto"/>
          <w:sz w:val="24"/>
          <w:szCs w:val="24"/>
        </w:rPr>
        <w:t>;</w:t>
      </w:r>
    </w:p>
    <w:p w14:paraId="75639F05" w14:textId="264C9398" w:rsidR="00F738A0" w:rsidRPr="00237760" w:rsidRDefault="00614FA0" w:rsidP="009367B4">
      <w:pPr>
        <w:pStyle w:val="Akapitzlist"/>
        <w:numPr>
          <w:ilvl w:val="0"/>
          <w:numId w:val="11"/>
        </w:numPr>
        <w:jc w:val="left"/>
        <w:rPr>
          <w:rFonts w:ascii="Arial" w:hAnsi="Arial" w:cs="Arial"/>
          <w:color w:val="auto"/>
          <w:sz w:val="24"/>
          <w:szCs w:val="24"/>
        </w:rPr>
      </w:pPr>
      <w:r w:rsidRPr="00237760">
        <w:rPr>
          <w:rFonts w:ascii="Arial" w:hAnsi="Arial" w:cs="Arial"/>
          <w:color w:val="auto"/>
          <w:sz w:val="24"/>
          <w:szCs w:val="24"/>
        </w:rPr>
        <w:t xml:space="preserve">Kryteria w </w:t>
      </w:r>
      <w:r w:rsidR="00C80937" w:rsidRPr="00237760">
        <w:rPr>
          <w:rFonts w:ascii="Arial" w:hAnsi="Arial" w:cs="Arial"/>
          <w:color w:val="auto"/>
          <w:sz w:val="24"/>
          <w:szCs w:val="24"/>
        </w:rPr>
        <w:t>pod</w:t>
      </w:r>
      <w:r w:rsidRPr="00237760">
        <w:rPr>
          <w:rFonts w:ascii="Arial" w:hAnsi="Arial" w:cs="Arial"/>
          <w:color w:val="auto"/>
          <w:sz w:val="24"/>
          <w:szCs w:val="24"/>
        </w:rPr>
        <w:t>systemie drogowy</w:t>
      </w:r>
      <w:r w:rsidR="00C80937" w:rsidRPr="00237760">
        <w:rPr>
          <w:rFonts w:ascii="Arial" w:hAnsi="Arial" w:cs="Arial"/>
          <w:color w:val="auto"/>
          <w:sz w:val="24"/>
          <w:szCs w:val="24"/>
        </w:rPr>
        <w:t>m</w:t>
      </w:r>
      <w:r w:rsidRPr="00237760">
        <w:rPr>
          <w:rFonts w:ascii="Arial" w:hAnsi="Arial" w:cs="Arial"/>
          <w:color w:val="auto"/>
          <w:sz w:val="24"/>
          <w:szCs w:val="24"/>
        </w:rPr>
        <w:t xml:space="preserve"> wskazują na preferencje dotyczące </w:t>
      </w:r>
      <w:r w:rsidR="00D171FE" w:rsidRPr="00237760">
        <w:rPr>
          <w:rFonts w:ascii="Arial" w:hAnsi="Arial" w:cs="Arial"/>
          <w:color w:val="auto"/>
          <w:sz w:val="24"/>
          <w:szCs w:val="24"/>
        </w:rPr>
        <w:t>połączeni</w:t>
      </w:r>
      <w:r w:rsidR="00892856" w:rsidRPr="00237760">
        <w:rPr>
          <w:rFonts w:ascii="Arial" w:hAnsi="Arial" w:cs="Arial"/>
          <w:color w:val="auto"/>
          <w:sz w:val="24"/>
          <w:szCs w:val="24"/>
        </w:rPr>
        <w:t>a</w:t>
      </w:r>
      <w:r w:rsidR="00D171FE" w:rsidRPr="00237760">
        <w:rPr>
          <w:rFonts w:ascii="Arial" w:hAnsi="Arial" w:cs="Arial"/>
          <w:color w:val="auto"/>
          <w:sz w:val="24"/>
          <w:szCs w:val="24"/>
        </w:rPr>
        <w:t xml:space="preserve"> dróg z siecią TEN-T (30</w:t>
      </w:r>
      <w:r w:rsidR="00892856" w:rsidRPr="00237760">
        <w:rPr>
          <w:rFonts w:ascii="Arial" w:hAnsi="Arial" w:cs="Arial"/>
          <w:color w:val="auto"/>
          <w:sz w:val="24"/>
          <w:szCs w:val="24"/>
        </w:rPr>
        <w:t xml:space="preserve"> punktów na 100) oraz </w:t>
      </w:r>
      <w:r w:rsidR="001706C9" w:rsidRPr="00237760">
        <w:rPr>
          <w:rFonts w:ascii="Arial" w:hAnsi="Arial" w:cs="Arial"/>
          <w:color w:val="auto"/>
          <w:sz w:val="24"/>
          <w:szCs w:val="24"/>
        </w:rPr>
        <w:t xml:space="preserve">kontynuacji </w:t>
      </w:r>
      <w:r w:rsidR="001706C9" w:rsidRPr="00237760">
        <w:rPr>
          <w:rFonts w:ascii="Arial" w:hAnsi="Arial" w:cs="Arial"/>
          <w:color w:val="auto"/>
          <w:sz w:val="24"/>
          <w:szCs w:val="24"/>
        </w:rPr>
        <w:lastRenderedPageBreak/>
        <w:t>projektów (20/100</w:t>
      </w:r>
      <w:r w:rsidR="00D61C7E" w:rsidRPr="00237760">
        <w:rPr>
          <w:rFonts w:ascii="Arial" w:hAnsi="Arial" w:cs="Arial"/>
          <w:color w:val="auto"/>
          <w:sz w:val="24"/>
          <w:szCs w:val="24"/>
        </w:rPr>
        <w:t xml:space="preserve">, </w:t>
      </w:r>
      <w:r w:rsidR="00D424E8" w:rsidRPr="00237760">
        <w:rPr>
          <w:rFonts w:ascii="Arial" w:hAnsi="Arial" w:cs="Arial"/>
          <w:color w:val="auto"/>
          <w:sz w:val="24"/>
          <w:szCs w:val="24"/>
        </w:rPr>
        <w:t>gdy pozostałe kryteria otrzymały wagę po 10 punktów)</w:t>
      </w:r>
      <w:r w:rsidR="001706C9" w:rsidRPr="00237760">
        <w:rPr>
          <w:rFonts w:ascii="Arial" w:hAnsi="Arial" w:cs="Arial"/>
          <w:color w:val="auto"/>
          <w:sz w:val="24"/>
          <w:szCs w:val="24"/>
        </w:rPr>
        <w:t xml:space="preserve">. Oba </w:t>
      </w:r>
      <w:r w:rsidR="00D424E8" w:rsidRPr="00237760">
        <w:rPr>
          <w:rFonts w:ascii="Arial" w:hAnsi="Arial" w:cs="Arial"/>
          <w:color w:val="auto"/>
          <w:sz w:val="24"/>
          <w:szCs w:val="24"/>
        </w:rPr>
        <w:t xml:space="preserve">kluczowe </w:t>
      </w:r>
      <w:r w:rsidR="001706C9" w:rsidRPr="00237760">
        <w:rPr>
          <w:rFonts w:ascii="Arial" w:hAnsi="Arial" w:cs="Arial"/>
          <w:color w:val="auto"/>
          <w:sz w:val="24"/>
          <w:szCs w:val="24"/>
        </w:rPr>
        <w:t>kryteria wydają się logicznie wyróżnione</w:t>
      </w:r>
      <w:r w:rsidR="008605C3" w:rsidRPr="00237760">
        <w:rPr>
          <w:rFonts w:ascii="Arial" w:hAnsi="Arial" w:cs="Arial"/>
          <w:color w:val="auto"/>
          <w:sz w:val="24"/>
          <w:szCs w:val="24"/>
        </w:rPr>
        <w:t xml:space="preserve">, zarówno z punktu widzenia oczekiwań Komisji Europejskiej, jak i sprawnego wdrażania programu. Należy podkreślić, że </w:t>
      </w:r>
      <w:r w:rsidR="005058C8" w:rsidRPr="00237760">
        <w:rPr>
          <w:rFonts w:ascii="Arial" w:hAnsi="Arial" w:cs="Arial"/>
          <w:color w:val="auto"/>
          <w:sz w:val="24"/>
          <w:szCs w:val="24"/>
        </w:rPr>
        <w:t xml:space="preserve">projekty realizowane w programach transportowych charakteryzują się dużą złożonością i cechuje je </w:t>
      </w:r>
      <w:r w:rsidR="00C740AA" w:rsidRPr="00237760">
        <w:rPr>
          <w:rFonts w:ascii="Arial" w:hAnsi="Arial" w:cs="Arial"/>
          <w:color w:val="auto"/>
          <w:sz w:val="24"/>
          <w:szCs w:val="24"/>
        </w:rPr>
        <w:t>również znaczna niepewność proceduralna – np. planowane przebiegi dróg muszą być uzgadniane</w:t>
      </w:r>
      <w:r w:rsidR="00786E7A" w:rsidRPr="00237760">
        <w:rPr>
          <w:rFonts w:ascii="Arial" w:hAnsi="Arial" w:cs="Arial"/>
          <w:color w:val="auto"/>
          <w:sz w:val="24"/>
          <w:szCs w:val="24"/>
        </w:rPr>
        <w:t xml:space="preserve"> z interesariuszami lokalnymi nawet </w:t>
      </w:r>
      <w:r w:rsidR="00685DA2" w:rsidRPr="00237760">
        <w:rPr>
          <w:rFonts w:ascii="Arial" w:hAnsi="Arial" w:cs="Arial"/>
          <w:color w:val="auto"/>
          <w:sz w:val="24"/>
          <w:szCs w:val="24"/>
        </w:rPr>
        <w:br/>
      </w:r>
      <w:r w:rsidR="00786E7A" w:rsidRPr="00237760">
        <w:rPr>
          <w:rFonts w:ascii="Arial" w:hAnsi="Arial" w:cs="Arial"/>
          <w:color w:val="auto"/>
          <w:sz w:val="24"/>
          <w:szCs w:val="24"/>
        </w:rPr>
        <w:t xml:space="preserve">w zakresie wariantów przebiegów tras (co również budzi konflikty, protesty i odwołania). </w:t>
      </w:r>
      <w:r w:rsidR="008055E3" w:rsidRPr="00237760">
        <w:rPr>
          <w:rFonts w:ascii="Arial" w:hAnsi="Arial" w:cs="Arial"/>
          <w:color w:val="auto"/>
          <w:sz w:val="24"/>
          <w:szCs w:val="24"/>
        </w:rPr>
        <w:t xml:space="preserve">Należy podkreślić, że </w:t>
      </w:r>
      <w:r w:rsidR="002E52FC" w:rsidRPr="00237760">
        <w:rPr>
          <w:rFonts w:ascii="Arial" w:hAnsi="Arial" w:cs="Arial"/>
          <w:color w:val="auto"/>
          <w:sz w:val="24"/>
          <w:szCs w:val="24"/>
        </w:rPr>
        <w:t xml:space="preserve">zastosowane </w:t>
      </w:r>
      <w:r w:rsidR="00C80937" w:rsidRPr="00237760">
        <w:rPr>
          <w:rFonts w:ascii="Arial" w:hAnsi="Arial" w:cs="Arial"/>
          <w:color w:val="auto"/>
          <w:sz w:val="24"/>
          <w:szCs w:val="24"/>
        </w:rPr>
        <w:t xml:space="preserve">podejście może budzić </w:t>
      </w:r>
      <w:r w:rsidR="00A9775F" w:rsidRPr="00237760">
        <w:rPr>
          <w:rFonts w:ascii="Arial" w:hAnsi="Arial" w:cs="Arial"/>
          <w:color w:val="auto"/>
          <w:sz w:val="24"/>
          <w:szCs w:val="24"/>
        </w:rPr>
        <w:t xml:space="preserve">wątpliwości </w:t>
      </w:r>
      <w:r w:rsidR="00F23DCB" w:rsidRPr="00237760">
        <w:rPr>
          <w:rFonts w:ascii="Arial" w:hAnsi="Arial" w:cs="Arial"/>
          <w:color w:val="auto"/>
          <w:sz w:val="24"/>
          <w:szCs w:val="24"/>
        </w:rPr>
        <w:t xml:space="preserve">wśród </w:t>
      </w:r>
      <w:r w:rsidR="00A9775F" w:rsidRPr="00237760">
        <w:rPr>
          <w:rFonts w:ascii="Arial" w:hAnsi="Arial" w:cs="Arial"/>
          <w:color w:val="auto"/>
          <w:sz w:val="24"/>
          <w:szCs w:val="24"/>
        </w:rPr>
        <w:t>przedstawicieli tych samorządów lokalnych, których gminy położone są w oddaleniu od</w:t>
      </w:r>
      <w:r w:rsidR="00C762F5" w:rsidRPr="00237760">
        <w:rPr>
          <w:rFonts w:ascii="Arial" w:hAnsi="Arial" w:cs="Arial"/>
          <w:color w:val="auto"/>
          <w:sz w:val="24"/>
          <w:szCs w:val="24"/>
        </w:rPr>
        <w:t xml:space="preserve"> sieci</w:t>
      </w:r>
      <w:r w:rsidR="00A9775F" w:rsidRPr="00237760">
        <w:rPr>
          <w:rFonts w:ascii="Arial" w:hAnsi="Arial" w:cs="Arial"/>
          <w:color w:val="auto"/>
          <w:sz w:val="24"/>
          <w:szCs w:val="24"/>
        </w:rPr>
        <w:t xml:space="preserve"> TEN-T</w:t>
      </w:r>
      <w:r w:rsidR="00466907" w:rsidRPr="00237760">
        <w:rPr>
          <w:rFonts w:ascii="Arial" w:hAnsi="Arial" w:cs="Arial"/>
          <w:color w:val="auto"/>
          <w:sz w:val="24"/>
          <w:szCs w:val="24"/>
        </w:rPr>
        <w:t xml:space="preserve">. </w:t>
      </w:r>
      <w:r w:rsidR="00F23DCB" w:rsidRPr="00237760">
        <w:rPr>
          <w:rFonts w:ascii="Arial" w:hAnsi="Arial" w:cs="Arial"/>
          <w:color w:val="auto"/>
          <w:sz w:val="24"/>
          <w:szCs w:val="24"/>
        </w:rPr>
        <w:t xml:space="preserve">Podejście </w:t>
      </w:r>
      <w:r w:rsidR="00765487" w:rsidRPr="00237760">
        <w:rPr>
          <w:rFonts w:ascii="Arial" w:hAnsi="Arial" w:cs="Arial"/>
          <w:color w:val="auto"/>
          <w:sz w:val="24"/>
          <w:szCs w:val="24"/>
        </w:rPr>
        <w:t xml:space="preserve">preferujące połączenia z głównymi arteriami komunikacyjnymi jest uzasadnione z punktu widzenia </w:t>
      </w:r>
      <w:r w:rsidR="004F5CB2" w:rsidRPr="00237760">
        <w:rPr>
          <w:rFonts w:ascii="Arial" w:hAnsi="Arial" w:cs="Arial"/>
          <w:color w:val="auto"/>
          <w:sz w:val="24"/>
          <w:szCs w:val="24"/>
        </w:rPr>
        <w:t xml:space="preserve">dostępnych środków </w:t>
      </w:r>
      <w:r w:rsidR="001D0741" w:rsidRPr="00237760">
        <w:rPr>
          <w:rFonts w:ascii="Arial" w:hAnsi="Arial" w:cs="Arial"/>
          <w:color w:val="auto"/>
          <w:sz w:val="24"/>
          <w:szCs w:val="24"/>
        </w:rPr>
        <w:t>i jest swego rodzaju wyborem strategicznym</w:t>
      </w:r>
      <w:r w:rsidR="006209B3" w:rsidRPr="00237760">
        <w:rPr>
          <w:rFonts w:ascii="Arial" w:hAnsi="Arial" w:cs="Arial"/>
          <w:color w:val="auto"/>
          <w:sz w:val="24"/>
          <w:szCs w:val="24"/>
        </w:rPr>
        <w:t>;</w:t>
      </w:r>
    </w:p>
    <w:p w14:paraId="5C5E5163" w14:textId="54D8A075" w:rsidR="00816D1D" w:rsidRPr="00237760" w:rsidRDefault="006209B3" w:rsidP="009367B4">
      <w:pPr>
        <w:pStyle w:val="Akapitzlist"/>
        <w:numPr>
          <w:ilvl w:val="0"/>
          <w:numId w:val="11"/>
        </w:numPr>
        <w:jc w:val="left"/>
        <w:rPr>
          <w:rFonts w:ascii="Arial" w:hAnsi="Arial" w:cs="Arial"/>
          <w:color w:val="auto"/>
          <w:sz w:val="24"/>
          <w:szCs w:val="24"/>
        </w:rPr>
      </w:pPr>
      <w:r w:rsidRPr="00237760">
        <w:rPr>
          <w:rFonts w:ascii="Arial" w:hAnsi="Arial" w:cs="Arial"/>
          <w:color w:val="auto"/>
          <w:sz w:val="24"/>
          <w:szCs w:val="24"/>
        </w:rPr>
        <w:t xml:space="preserve">Pozostałe kryteria </w:t>
      </w:r>
      <w:r w:rsidR="006A4B27" w:rsidRPr="00237760">
        <w:rPr>
          <w:rFonts w:ascii="Arial" w:hAnsi="Arial" w:cs="Arial"/>
          <w:color w:val="auto"/>
          <w:sz w:val="24"/>
          <w:szCs w:val="24"/>
        </w:rPr>
        <w:t xml:space="preserve">drogowe: </w:t>
      </w:r>
      <w:r w:rsidR="00553296" w:rsidRPr="00237760">
        <w:rPr>
          <w:rFonts w:ascii="Arial" w:hAnsi="Arial" w:cs="Arial"/>
          <w:color w:val="auto"/>
          <w:sz w:val="24"/>
          <w:szCs w:val="24"/>
        </w:rPr>
        <w:t xml:space="preserve">poprawa połączeń obszarów słabo skomunikowanych, </w:t>
      </w:r>
      <w:r w:rsidR="00B864FC" w:rsidRPr="00237760">
        <w:rPr>
          <w:rFonts w:ascii="Arial" w:hAnsi="Arial" w:cs="Arial"/>
          <w:color w:val="auto"/>
          <w:sz w:val="24"/>
          <w:szCs w:val="24"/>
        </w:rPr>
        <w:t>przepustowość drogi a środowisko, spójność transportowa, publiczny transport drogowy</w:t>
      </w:r>
      <w:r w:rsidR="00645E5B" w:rsidRPr="00237760">
        <w:rPr>
          <w:rFonts w:ascii="Arial" w:hAnsi="Arial" w:cs="Arial"/>
          <w:color w:val="auto"/>
          <w:sz w:val="24"/>
          <w:szCs w:val="24"/>
        </w:rPr>
        <w:t xml:space="preserve">, bezpieczeństwo ruchu drogowego </w:t>
      </w:r>
      <w:r w:rsidR="00DE6114" w:rsidRPr="00237760">
        <w:rPr>
          <w:rFonts w:ascii="Arial" w:hAnsi="Arial" w:cs="Arial"/>
          <w:color w:val="auto"/>
          <w:sz w:val="24"/>
          <w:szCs w:val="24"/>
        </w:rPr>
        <w:t>–</w:t>
      </w:r>
      <w:r w:rsidR="006A4B27" w:rsidRPr="00237760">
        <w:rPr>
          <w:rFonts w:ascii="Arial" w:hAnsi="Arial" w:cs="Arial"/>
          <w:color w:val="auto"/>
          <w:sz w:val="24"/>
          <w:szCs w:val="24"/>
        </w:rPr>
        <w:t xml:space="preserve"> </w:t>
      </w:r>
      <w:r w:rsidR="00DE6114" w:rsidRPr="00237760">
        <w:rPr>
          <w:rFonts w:ascii="Arial" w:hAnsi="Arial" w:cs="Arial"/>
          <w:color w:val="auto"/>
          <w:sz w:val="24"/>
          <w:szCs w:val="24"/>
        </w:rPr>
        <w:t>są również odzwierciedleniem preferencji</w:t>
      </w:r>
      <w:r w:rsidR="007C3D4E" w:rsidRPr="00237760">
        <w:rPr>
          <w:rFonts w:ascii="Arial" w:hAnsi="Arial" w:cs="Arial"/>
          <w:color w:val="auto"/>
          <w:sz w:val="24"/>
          <w:szCs w:val="24"/>
        </w:rPr>
        <w:t xml:space="preserve"> samorządu województwa</w:t>
      </w:r>
      <w:r w:rsidR="00DE6114" w:rsidRPr="00237760">
        <w:rPr>
          <w:rFonts w:ascii="Arial" w:hAnsi="Arial" w:cs="Arial"/>
          <w:color w:val="auto"/>
          <w:sz w:val="24"/>
          <w:szCs w:val="24"/>
        </w:rPr>
        <w:t xml:space="preserve">. Można założyć, że kryteriów tych mogłoby być znacznie więcej, </w:t>
      </w:r>
      <w:r w:rsidR="006A0E38" w:rsidRPr="00237760">
        <w:rPr>
          <w:rFonts w:ascii="Arial" w:hAnsi="Arial" w:cs="Arial"/>
          <w:color w:val="auto"/>
          <w:sz w:val="24"/>
          <w:szCs w:val="24"/>
        </w:rPr>
        <w:t>jak i mniej. Po zapoznaniu się z argumentacj</w:t>
      </w:r>
      <w:r w:rsidR="00E01E5D" w:rsidRPr="00237760">
        <w:rPr>
          <w:rFonts w:ascii="Arial" w:hAnsi="Arial" w:cs="Arial"/>
          <w:color w:val="auto"/>
          <w:sz w:val="24"/>
          <w:szCs w:val="24"/>
        </w:rPr>
        <w:t>ą, iż kryteria są efektem konsensusu polityczno-eksperckiego, uwzględniającego również opinie ekspertów JASPERS</w:t>
      </w:r>
      <w:r w:rsidR="00CC1B9A" w:rsidRPr="00237760">
        <w:rPr>
          <w:rFonts w:ascii="Arial" w:hAnsi="Arial" w:cs="Arial"/>
          <w:color w:val="auto"/>
          <w:sz w:val="24"/>
          <w:szCs w:val="24"/>
        </w:rPr>
        <w:t>, ewaluator uznaje</w:t>
      </w:r>
      <w:r w:rsidR="00896CAE" w:rsidRPr="00237760">
        <w:rPr>
          <w:rFonts w:ascii="Arial" w:hAnsi="Arial" w:cs="Arial"/>
          <w:color w:val="auto"/>
          <w:sz w:val="24"/>
          <w:szCs w:val="24"/>
        </w:rPr>
        <w:t xml:space="preserve">, że ew. sugestie mogą dotyczyć </w:t>
      </w:r>
      <w:r w:rsidR="000C1EAD" w:rsidRPr="00237760">
        <w:rPr>
          <w:rFonts w:ascii="Arial" w:hAnsi="Arial" w:cs="Arial"/>
          <w:color w:val="auto"/>
          <w:sz w:val="24"/>
          <w:szCs w:val="24"/>
        </w:rPr>
        <w:t xml:space="preserve">dopracowania </w:t>
      </w:r>
      <w:r w:rsidR="00AE656E" w:rsidRPr="00237760">
        <w:rPr>
          <w:rFonts w:ascii="Arial" w:hAnsi="Arial" w:cs="Arial"/>
          <w:color w:val="auto"/>
          <w:sz w:val="24"/>
          <w:szCs w:val="24"/>
        </w:rPr>
        <w:t>redakcyjnego</w:t>
      </w:r>
      <w:r w:rsidR="000C1EAD" w:rsidRPr="00237760">
        <w:rPr>
          <w:rFonts w:ascii="Arial" w:hAnsi="Arial" w:cs="Arial"/>
          <w:color w:val="auto"/>
          <w:sz w:val="24"/>
          <w:szCs w:val="24"/>
        </w:rPr>
        <w:t xml:space="preserve"> przyjętego już szkieletu kryteriów</w:t>
      </w:r>
      <w:r w:rsidR="009E2B6B" w:rsidRPr="00237760">
        <w:rPr>
          <w:rFonts w:ascii="Arial" w:hAnsi="Arial" w:cs="Arial"/>
          <w:color w:val="auto"/>
          <w:sz w:val="24"/>
          <w:szCs w:val="24"/>
        </w:rPr>
        <w:t>;</w:t>
      </w:r>
      <w:r w:rsidR="00816D1D" w:rsidRPr="00237760">
        <w:rPr>
          <w:rFonts w:ascii="Arial" w:hAnsi="Arial" w:cs="Arial"/>
          <w:color w:val="auto"/>
          <w:sz w:val="24"/>
          <w:szCs w:val="24"/>
        </w:rPr>
        <w:t xml:space="preserve"> </w:t>
      </w:r>
    </w:p>
    <w:p w14:paraId="11DDC9CE" w14:textId="3960E36C" w:rsidR="006C32A7" w:rsidRPr="00237760" w:rsidRDefault="505A6EAE" w:rsidP="009367B4">
      <w:pPr>
        <w:pStyle w:val="Akapitzlist"/>
        <w:numPr>
          <w:ilvl w:val="0"/>
          <w:numId w:val="11"/>
        </w:numPr>
        <w:jc w:val="left"/>
        <w:rPr>
          <w:rFonts w:ascii="Arial" w:eastAsiaTheme="minorEastAsia" w:hAnsi="Arial" w:cs="Arial"/>
          <w:color w:val="auto"/>
          <w:sz w:val="24"/>
          <w:szCs w:val="24"/>
        </w:rPr>
      </w:pPr>
      <w:r w:rsidRPr="00237760">
        <w:rPr>
          <w:rFonts w:ascii="Arial" w:hAnsi="Arial" w:cs="Arial"/>
          <w:color w:val="auto"/>
          <w:sz w:val="24"/>
          <w:szCs w:val="24"/>
        </w:rPr>
        <w:t>Kryteria kolejowe –</w:t>
      </w:r>
      <w:r w:rsidR="00BA08E1" w:rsidRPr="00237760">
        <w:rPr>
          <w:rFonts w:ascii="Arial" w:eastAsia="Calibri" w:hAnsi="Arial" w:cs="Arial"/>
          <w:color w:val="auto"/>
          <w:sz w:val="24"/>
          <w:szCs w:val="24"/>
        </w:rPr>
        <w:t xml:space="preserve"> </w:t>
      </w:r>
      <w:r w:rsidRPr="00237760">
        <w:rPr>
          <w:rFonts w:ascii="Arial" w:eastAsia="Calibri" w:hAnsi="Arial" w:cs="Arial"/>
          <w:color w:val="auto"/>
          <w:sz w:val="24"/>
          <w:szCs w:val="24"/>
        </w:rPr>
        <w:t xml:space="preserve">najistotniejsza wydaje się być komplementarność z projektami dotyczącymi taboru kolejowego i infrastruktury, opisywana jako stan, w którym przyjmowany projekt znacząco i bezpośrednio uzupełnia efekty innego projektu. Jest to logiczne, gdyż chcąc zadbać przede wszystkim o efektywność działań, muszą być one ze sobą powiązane i tworzyć spójną sieć. Ponadto kryteria wskazują na preferencje dotyczące szerokiej dostępności </w:t>
      </w:r>
      <w:r w:rsidR="00C605B2" w:rsidRPr="00237760">
        <w:rPr>
          <w:rFonts w:ascii="Arial" w:eastAsia="Calibri" w:hAnsi="Arial" w:cs="Arial"/>
          <w:color w:val="auto"/>
          <w:sz w:val="24"/>
          <w:szCs w:val="24"/>
        </w:rPr>
        <w:br/>
      </w:r>
      <w:r w:rsidRPr="00237760">
        <w:rPr>
          <w:rFonts w:ascii="Arial" w:eastAsia="Calibri" w:hAnsi="Arial" w:cs="Arial"/>
          <w:color w:val="auto"/>
          <w:sz w:val="24"/>
          <w:szCs w:val="24"/>
        </w:rPr>
        <w:t>w zakresie zdolności przewozowej, dostępności dla osób z niepełnosprawnościami, na wyrównywanie szans i niedyskryminacji (rozumiane głównie jako nabór taboru dostosowanego dla osób o ograniczonej możliwości poruszania się), a także na poprawę bezpieczeństwa i wzrostu komfortu pasażerów. Sposób oceny w ramach wszystkich pięciu zaproponowanych kryteriów polegaj</w:t>
      </w:r>
      <w:r w:rsidR="00554766" w:rsidRPr="00237760">
        <w:rPr>
          <w:rFonts w:ascii="Arial" w:eastAsia="Calibri" w:hAnsi="Arial" w:cs="Arial"/>
          <w:color w:val="auto"/>
          <w:sz w:val="24"/>
          <w:szCs w:val="24"/>
        </w:rPr>
        <w:t>ą</w:t>
      </w:r>
      <w:r w:rsidRPr="00237760">
        <w:rPr>
          <w:rFonts w:ascii="Arial" w:eastAsia="Calibri" w:hAnsi="Arial" w:cs="Arial"/>
          <w:color w:val="auto"/>
          <w:sz w:val="24"/>
          <w:szCs w:val="24"/>
        </w:rPr>
        <w:t xml:space="preserve"> na ocenie dokumentacji beneficjenta, zaś sama ocena przebiega zero-jedynkowo; zgłaszane projekty otrzymają negatywną ocenę w przypadku niespełnienia kryterium.</w:t>
      </w:r>
    </w:p>
    <w:p w14:paraId="263916AA" w14:textId="557E1786" w:rsidR="000D01AC" w:rsidRPr="00237760" w:rsidRDefault="000D01AC" w:rsidP="009367B4">
      <w:pPr>
        <w:spacing w:after="160" w:line="259" w:lineRule="auto"/>
        <w:jc w:val="left"/>
        <w:rPr>
          <w:rFonts w:ascii="Arial" w:eastAsiaTheme="minorEastAsia" w:hAnsi="Arial" w:cs="Arial"/>
          <w:color w:val="auto"/>
          <w:sz w:val="24"/>
          <w:szCs w:val="24"/>
        </w:rPr>
      </w:pPr>
      <w:r w:rsidRPr="00237760">
        <w:rPr>
          <w:rFonts w:ascii="Arial" w:eastAsiaTheme="minorEastAsia" w:hAnsi="Arial" w:cs="Arial"/>
          <w:color w:val="auto"/>
          <w:sz w:val="24"/>
          <w:szCs w:val="24"/>
        </w:rPr>
        <w:br w:type="page"/>
      </w:r>
    </w:p>
    <w:p w14:paraId="3F0B6875" w14:textId="1AED8FBB" w:rsidR="00403CE8" w:rsidRPr="00237760" w:rsidRDefault="00403CE8" w:rsidP="009367B4">
      <w:pPr>
        <w:pStyle w:val="Nagwek1"/>
        <w:rPr>
          <w:rFonts w:ascii="Arial" w:hAnsi="Arial" w:cs="Arial"/>
          <w:color w:val="auto"/>
          <w:sz w:val="24"/>
          <w:szCs w:val="24"/>
        </w:rPr>
      </w:pPr>
      <w:bookmarkStart w:id="101" w:name="_Toc101904120"/>
      <w:bookmarkStart w:id="102" w:name="_Toc89524140"/>
      <w:bookmarkStart w:id="103" w:name="_Toc89589728"/>
      <w:bookmarkStart w:id="104" w:name="_Toc90226447"/>
      <w:r w:rsidRPr="00237760">
        <w:rPr>
          <w:rFonts w:ascii="Arial" w:hAnsi="Arial" w:cs="Arial"/>
          <w:color w:val="auto"/>
          <w:sz w:val="24"/>
          <w:szCs w:val="24"/>
        </w:rPr>
        <w:lastRenderedPageBreak/>
        <w:t xml:space="preserve">Ocena </w:t>
      </w:r>
      <w:r w:rsidR="00E17124" w:rsidRPr="00237760">
        <w:rPr>
          <w:rFonts w:ascii="Arial" w:hAnsi="Arial" w:cs="Arial"/>
          <w:color w:val="auto"/>
          <w:sz w:val="24"/>
          <w:szCs w:val="24"/>
        </w:rPr>
        <w:t xml:space="preserve">przewidywanej/potencjalnej </w:t>
      </w:r>
      <w:r w:rsidR="005856B5" w:rsidRPr="00237760">
        <w:rPr>
          <w:rFonts w:ascii="Arial" w:hAnsi="Arial" w:cs="Arial"/>
          <w:color w:val="auto"/>
          <w:sz w:val="24"/>
          <w:szCs w:val="24"/>
        </w:rPr>
        <w:t xml:space="preserve">skuteczności i efektywności </w:t>
      </w:r>
      <w:r w:rsidR="00F24F9B" w:rsidRPr="00237760">
        <w:rPr>
          <w:rFonts w:ascii="Arial" w:hAnsi="Arial" w:cs="Arial"/>
          <w:color w:val="auto"/>
          <w:sz w:val="24"/>
          <w:szCs w:val="24"/>
        </w:rPr>
        <w:t>założeń projektu</w:t>
      </w:r>
      <w:bookmarkEnd w:id="101"/>
      <w:r w:rsidR="00F24F9B" w:rsidRPr="00237760">
        <w:rPr>
          <w:rFonts w:ascii="Arial" w:hAnsi="Arial" w:cs="Arial"/>
          <w:color w:val="auto"/>
          <w:sz w:val="24"/>
          <w:szCs w:val="24"/>
        </w:rPr>
        <w:t xml:space="preserve"> </w:t>
      </w:r>
      <w:bookmarkEnd w:id="102"/>
      <w:bookmarkEnd w:id="103"/>
      <w:bookmarkEnd w:id="104"/>
    </w:p>
    <w:p w14:paraId="127DA18E" w14:textId="1F14A22D" w:rsidR="00F24F9B" w:rsidRPr="00237760" w:rsidRDefault="00F24F9B" w:rsidP="009367B4">
      <w:pPr>
        <w:pStyle w:val="Nagwek2"/>
        <w:rPr>
          <w:rFonts w:ascii="Arial" w:hAnsi="Arial" w:cs="Arial"/>
          <w:color w:val="auto"/>
          <w:sz w:val="24"/>
          <w:szCs w:val="24"/>
        </w:rPr>
      </w:pPr>
      <w:bookmarkStart w:id="105" w:name="_Toc101904121"/>
      <w:r w:rsidRPr="00237760">
        <w:rPr>
          <w:rFonts w:ascii="Arial" w:hAnsi="Arial" w:cs="Arial"/>
          <w:color w:val="auto"/>
          <w:sz w:val="24"/>
          <w:szCs w:val="24"/>
        </w:rPr>
        <w:t xml:space="preserve">Ocena </w:t>
      </w:r>
      <w:r w:rsidR="00C65191" w:rsidRPr="00237760">
        <w:rPr>
          <w:rFonts w:ascii="Arial" w:hAnsi="Arial" w:cs="Arial"/>
          <w:color w:val="auto"/>
          <w:sz w:val="24"/>
          <w:szCs w:val="24"/>
        </w:rPr>
        <w:t>logiki interwencji</w:t>
      </w:r>
      <w:bookmarkEnd w:id="105"/>
    </w:p>
    <w:p w14:paraId="78AB7A75" w14:textId="77777777" w:rsidR="00F24F9B" w:rsidRPr="00D352FD" w:rsidRDefault="00F24F9B" w:rsidP="00D352FD">
      <w:pPr>
        <w:pStyle w:val="Nagwek3"/>
        <w:numPr>
          <w:ilvl w:val="0"/>
          <w:numId w:val="0"/>
        </w:numPr>
        <w:ind w:left="851" w:hanging="851"/>
        <w:rPr>
          <w:rFonts w:ascii="Arial" w:hAnsi="Arial" w:cs="Arial"/>
          <w:color w:val="auto"/>
          <w:sz w:val="24"/>
          <w:szCs w:val="24"/>
        </w:rPr>
      </w:pPr>
      <w:bookmarkStart w:id="106" w:name="_Toc101904122"/>
      <w:r w:rsidRPr="00D352FD">
        <w:rPr>
          <w:rFonts w:ascii="Arial" w:hAnsi="Arial" w:cs="Arial"/>
          <w:color w:val="auto"/>
          <w:sz w:val="24"/>
          <w:szCs w:val="24"/>
        </w:rPr>
        <w:t>Synteza</w:t>
      </w:r>
      <w:bookmarkEnd w:id="106"/>
    </w:p>
    <w:p w14:paraId="6585CB58" w14:textId="77777777" w:rsidR="00F24F9B" w:rsidRPr="00237760" w:rsidRDefault="00F24F9B" w:rsidP="009367B4">
      <w:pPr>
        <w:jc w:val="left"/>
        <w:rPr>
          <w:rFonts w:ascii="Arial" w:hAnsi="Arial" w:cs="Arial"/>
          <w:bCs/>
          <w:iCs/>
          <w:color w:val="auto"/>
          <w:sz w:val="24"/>
          <w:szCs w:val="24"/>
        </w:rPr>
      </w:pPr>
      <w:r w:rsidRPr="00237760">
        <w:rPr>
          <w:rFonts w:ascii="Arial" w:hAnsi="Arial" w:cs="Arial"/>
          <w:color w:val="auto"/>
          <w:sz w:val="24"/>
          <w:szCs w:val="24"/>
        </w:rPr>
        <w:t>Pytanie ewaluacyjne:</w:t>
      </w:r>
      <w:r w:rsidRPr="00237760">
        <w:rPr>
          <w:rFonts w:ascii="Arial" w:hAnsi="Arial" w:cs="Arial"/>
          <w:bCs/>
          <w:iCs/>
          <w:color w:val="auto"/>
          <w:sz w:val="24"/>
          <w:szCs w:val="24"/>
        </w:rPr>
        <w:t xml:space="preserve"> </w:t>
      </w:r>
    </w:p>
    <w:p w14:paraId="58D6DE16" w14:textId="1D384B65" w:rsidR="00F24F9B" w:rsidRPr="00237760" w:rsidRDefault="00C65191" w:rsidP="009367B4">
      <w:pPr>
        <w:jc w:val="left"/>
        <w:rPr>
          <w:rFonts w:ascii="Arial" w:hAnsi="Arial" w:cs="Arial"/>
          <w:color w:val="auto"/>
          <w:sz w:val="24"/>
          <w:szCs w:val="24"/>
        </w:rPr>
      </w:pPr>
      <w:r w:rsidRPr="00237760">
        <w:rPr>
          <w:rFonts w:ascii="Arial" w:hAnsi="Arial" w:cs="Arial"/>
          <w:b/>
          <w:i/>
          <w:color w:val="auto"/>
          <w:sz w:val="24"/>
          <w:szCs w:val="24"/>
        </w:rPr>
        <w:t>Czy zaproponowana logika interwencji umożliwi zrealizowanie założonych celów?</w:t>
      </w:r>
    </w:p>
    <w:p w14:paraId="4612DA24" w14:textId="77777777" w:rsidR="00F24F9B" w:rsidRPr="00237760" w:rsidRDefault="00F24F9B" w:rsidP="009367B4">
      <w:pPr>
        <w:jc w:val="left"/>
        <w:rPr>
          <w:rFonts w:ascii="Arial" w:hAnsi="Arial" w:cs="Arial"/>
          <w:color w:val="auto"/>
          <w:sz w:val="24"/>
          <w:szCs w:val="24"/>
        </w:rPr>
      </w:pPr>
      <w:r w:rsidRPr="00237760">
        <w:rPr>
          <w:rFonts w:ascii="Arial" w:hAnsi="Arial" w:cs="Arial"/>
          <w:color w:val="auto"/>
          <w:sz w:val="24"/>
          <w:szCs w:val="24"/>
        </w:rPr>
        <w:t>Syntetyczna odpowiedź:</w:t>
      </w:r>
    </w:p>
    <w:p w14:paraId="3E86D93B" w14:textId="26CEE4A2" w:rsidR="00F24F9B" w:rsidRPr="00237760" w:rsidRDefault="00E12477" w:rsidP="009367B4">
      <w:pPr>
        <w:jc w:val="left"/>
        <w:rPr>
          <w:rFonts w:ascii="Arial" w:hAnsi="Arial" w:cs="Arial"/>
          <w:b/>
          <w:i/>
          <w:color w:val="auto"/>
          <w:sz w:val="24"/>
          <w:szCs w:val="24"/>
        </w:rPr>
      </w:pPr>
      <w:r w:rsidRPr="00237760">
        <w:rPr>
          <w:rFonts w:ascii="Arial" w:hAnsi="Arial" w:cs="Arial"/>
          <w:b/>
          <w:i/>
          <w:color w:val="auto"/>
          <w:sz w:val="24"/>
          <w:szCs w:val="24"/>
        </w:rPr>
        <w:t>Tak,</w:t>
      </w:r>
      <w:r w:rsidR="00067824" w:rsidRPr="00237760">
        <w:rPr>
          <w:rFonts w:ascii="Arial" w:hAnsi="Arial" w:cs="Arial"/>
          <w:b/>
          <w:i/>
          <w:color w:val="auto"/>
          <w:sz w:val="24"/>
          <w:szCs w:val="24"/>
        </w:rPr>
        <w:t xml:space="preserve"> </w:t>
      </w:r>
      <w:r w:rsidR="005E3A03" w:rsidRPr="00237760">
        <w:rPr>
          <w:rFonts w:ascii="Arial" w:hAnsi="Arial" w:cs="Arial"/>
          <w:b/>
          <w:i/>
          <w:color w:val="auto"/>
          <w:sz w:val="24"/>
          <w:szCs w:val="24"/>
        </w:rPr>
        <w:t>zaproponowana logika interwencji umożliwi realizację założonych celów. Logika interwencji jest zrozumiała i spójna</w:t>
      </w:r>
      <w:r w:rsidR="006E23CB" w:rsidRPr="00237760">
        <w:rPr>
          <w:rFonts w:ascii="Arial" w:hAnsi="Arial" w:cs="Arial"/>
          <w:b/>
          <w:i/>
          <w:color w:val="auto"/>
          <w:sz w:val="24"/>
          <w:szCs w:val="24"/>
        </w:rPr>
        <w:t xml:space="preserve"> – kierunki są odpowiednio dobrane i </w:t>
      </w:r>
      <w:r w:rsidR="006979E6" w:rsidRPr="00237760">
        <w:rPr>
          <w:rFonts w:ascii="Arial" w:hAnsi="Arial" w:cs="Arial"/>
          <w:b/>
          <w:i/>
          <w:color w:val="auto"/>
          <w:sz w:val="24"/>
          <w:szCs w:val="24"/>
        </w:rPr>
        <w:t>powinny pozwolić uzyskać zamierzone efekty.</w:t>
      </w:r>
    </w:p>
    <w:p w14:paraId="5648757D" w14:textId="77777777" w:rsidR="00F24F9B" w:rsidRPr="00237760" w:rsidRDefault="00F24F9B" w:rsidP="009367B4">
      <w:pPr>
        <w:pStyle w:val="Nagwek4"/>
        <w:shd w:val="clear" w:color="auto" w:fill="auto"/>
        <w:rPr>
          <w:rFonts w:ascii="Arial" w:hAnsi="Arial" w:cs="Arial"/>
          <w:color w:val="auto"/>
        </w:rPr>
      </w:pPr>
      <w:r w:rsidRPr="00237760">
        <w:rPr>
          <w:rFonts w:ascii="Arial" w:hAnsi="Arial" w:cs="Arial"/>
          <w:color w:val="auto"/>
        </w:rPr>
        <w:t xml:space="preserve"> </w:t>
      </w:r>
      <w:bookmarkStart w:id="107" w:name="_Toc101904123"/>
      <w:r w:rsidRPr="00237760">
        <w:rPr>
          <w:rFonts w:ascii="Arial" w:hAnsi="Arial" w:cs="Arial"/>
          <w:color w:val="auto"/>
        </w:rPr>
        <w:t>Analiza</w:t>
      </w:r>
      <w:bookmarkEnd w:id="107"/>
    </w:p>
    <w:p w14:paraId="22B4CC3C" w14:textId="43A7B9C5" w:rsidR="00C65191" w:rsidRPr="00237760" w:rsidRDefault="00EA7291"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Ocena logiki interwencji sformułowanej w PSRT WP została przeprowadzona z wykorzystaniem matryc logicznych</w:t>
      </w:r>
      <w:r w:rsidR="00AA61F5" w:rsidRPr="00237760">
        <w:rPr>
          <w:rFonts w:ascii="Arial" w:hAnsi="Arial" w:cs="Arial"/>
          <w:color w:val="auto"/>
          <w:sz w:val="24"/>
          <w:szCs w:val="24"/>
          <w:lang w:eastAsia="pl-PL"/>
        </w:rPr>
        <w:t xml:space="preserve"> (</w:t>
      </w:r>
      <w:r w:rsidR="00AA61F5" w:rsidRPr="00237760">
        <w:rPr>
          <w:rFonts w:ascii="Arial" w:hAnsi="Arial" w:cs="Arial"/>
          <w:color w:val="auto"/>
          <w:sz w:val="24"/>
          <w:szCs w:val="24"/>
          <w:lang w:eastAsia="pl-PL"/>
        </w:rPr>
        <w:fldChar w:fldCharType="begin"/>
      </w:r>
      <w:r w:rsidR="00AA61F5" w:rsidRPr="00237760">
        <w:rPr>
          <w:rFonts w:ascii="Arial" w:hAnsi="Arial" w:cs="Arial"/>
          <w:color w:val="auto"/>
          <w:sz w:val="24"/>
          <w:szCs w:val="24"/>
          <w:lang w:eastAsia="pl-PL"/>
        </w:rPr>
        <w:instrText xml:space="preserve"> REF _Ref100912046 \h </w:instrText>
      </w:r>
      <w:r w:rsidR="00237760" w:rsidRPr="00237760">
        <w:rPr>
          <w:rFonts w:ascii="Arial" w:hAnsi="Arial" w:cs="Arial"/>
          <w:color w:val="auto"/>
          <w:sz w:val="24"/>
          <w:szCs w:val="24"/>
          <w:lang w:eastAsia="pl-PL"/>
        </w:rPr>
        <w:instrText xml:space="preserve"> \* MERGEFORMAT </w:instrText>
      </w:r>
      <w:r w:rsidR="00AA61F5" w:rsidRPr="00237760">
        <w:rPr>
          <w:rFonts w:ascii="Arial" w:hAnsi="Arial" w:cs="Arial"/>
          <w:color w:val="auto"/>
          <w:sz w:val="24"/>
          <w:szCs w:val="24"/>
          <w:lang w:eastAsia="pl-PL"/>
        </w:rPr>
      </w:r>
      <w:r w:rsidR="00AA61F5" w:rsidRPr="00237760">
        <w:rPr>
          <w:rFonts w:ascii="Arial" w:hAnsi="Arial" w:cs="Arial"/>
          <w:color w:val="auto"/>
          <w:sz w:val="24"/>
          <w:szCs w:val="24"/>
          <w:lang w:eastAsia="pl-PL"/>
        </w:rPr>
        <w:fldChar w:fldCharType="separate"/>
      </w:r>
      <w:r w:rsidR="00E52C19" w:rsidRPr="00237760">
        <w:rPr>
          <w:rFonts w:ascii="Arial" w:hAnsi="Arial" w:cs="Arial"/>
          <w:color w:val="auto"/>
          <w:sz w:val="24"/>
          <w:szCs w:val="24"/>
        </w:rPr>
        <w:t xml:space="preserve">Rysunek </w:t>
      </w:r>
      <w:r w:rsidR="00E52C19" w:rsidRPr="00237760">
        <w:rPr>
          <w:rFonts w:ascii="Arial" w:hAnsi="Arial" w:cs="Arial"/>
          <w:noProof/>
          <w:color w:val="auto"/>
          <w:sz w:val="24"/>
          <w:szCs w:val="24"/>
        </w:rPr>
        <w:t>2</w:t>
      </w:r>
      <w:r w:rsidR="00AA61F5" w:rsidRPr="00237760">
        <w:rPr>
          <w:rFonts w:ascii="Arial" w:hAnsi="Arial" w:cs="Arial"/>
          <w:color w:val="auto"/>
          <w:sz w:val="24"/>
          <w:szCs w:val="24"/>
          <w:lang w:eastAsia="pl-PL"/>
        </w:rPr>
        <w:fldChar w:fldCharType="end"/>
      </w:r>
      <w:r w:rsidR="00AA61F5" w:rsidRPr="00237760">
        <w:rPr>
          <w:rFonts w:ascii="Arial" w:hAnsi="Arial" w:cs="Arial"/>
          <w:color w:val="auto"/>
          <w:sz w:val="24"/>
          <w:szCs w:val="24"/>
          <w:lang w:eastAsia="pl-PL"/>
        </w:rPr>
        <w:t>)</w:t>
      </w:r>
      <w:r w:rsidR="00782B85" w:rsidRPr="00237760">
        <w:rPr>
          <w:rFonts w:ascii="Arial" w:hAnsi="Arial" w:cs="Arial"/>
          <w:color w:val="auto"/>
          <w:sz w:val="24"/>
          <w:szCs w:val="24"/>
          <w:lang w:eastAsia="pl-PL"/>
        </w:rPr>
        <w:t xml:space="preserve">, które były </w:t>
      </w:r>
      <w:r w:rsidR="00FF10F5" w:rsidRPr="00237760">
        <w:rPr>
          <w:rFonts w:ascii="Arial" w:hAnsi="Arial" w:cs="Arial"/>
          <w:color w:val="auto"/>
          <w:sz w:val="24"/>
          <w:szCs w:val="24"/>
          <w:lang w:eastAsia="pl-PL"/>
        </w:rPr>
        <w:t xml:space="preserve">narzędziem </w:t>
      </w:r>
      <w:r w:rsidR="00AA61F5" w:rsidRPr="00237760">
        <w:rPr>
          <w:rFonts w:ascii="Arial" w:hAnsi="Arial" w:cs="Arial"/>
          <w:color w:val="auto"/>
          <w:sz w:val="24"/>
          <w:szCs w:val="24"/>
          <w:lang w:eastAsia="pl-PL"/>
        </w:rPr>
        <w:t xml:space="preserve">pracy </w:t>
      </w:r>
      <w:r w:rsidR="00FF10F5" w:rsidRPr="00237760">
        <w:rPr>
          <w:rFonts w:ascii="Arial" w:hAnsi="Arial" w:cs="Arial"/>
          <w:color w:val="auto"/>
          <w:sz w:val="24"/>
          <w:szCs w:val="24"/>
          <w:lang w:eastAsia="pl-PL"/>
        </w:rPr>
        <w:t xml:space="preserve">w </w:t>
      </w:r>
      <w:r w:rsidRPr="00237760">
        <w:rPr>
          <w:rFonts w:ascii="Arial" w:hAnsi="Arial" w:cs="Arial"/>
          <w:color w:val="auto"/>
          <w:sz w:val="24"/>
          <w:szCs w:val="24"/>
          <w:lang w:eastAsia="pl-PL"/>
        </w:rPr>
        <w:t>panel</w:t>
      </w:r>
      <w:r w:rsidR="00AA61F5" w:rsidRPr="00237760">
        <w:rPr>
          <w:rFonts w:ascii="Arial" w:hAnsi="Arial" w:cs="Arial"/>
          <w:color w:val="auto"/>
          <w:sz w:val="24"/>
          <w:szCs w:val="24"/>
          <w:lang w:eastAsia="pl-PL"/>
        </w:rPr>
        <w:t xml:space="preserve">u </w:t>
      </w:r>
      <w:r w:rsidRPr="00237760">
        <w:rPr>
          <w:rFonts w:ascii="Arial" w:hAnsi="Arial" w:cs="Arial"/>
          <w:color w:val="auto"/>
          <w:sz w:val="24"/>
          <w:szCs w:val="24"/>
          <w:lang w:eastAsia="pl-PL"/>
        </w:rPr>
        <w:t>ekspertów</w:t>
      </w:r>
      <w:r w:rsidR="00AA61F5" w:rsidRPr="00237760">
        <w:rPr>
          <w:rFonts w:ascii="Arial" w:hAnsi="Arial" w:cs="Arial"/>
          <w:color w:val="auto"/>
          <w:sz w:val="24"/>
          <w:szCs w:val="24"/>
          <w:lang w:eastAsia="pl-PL"/>
        </w:rPr>
        <w:t>.</w:t>
      </w:r>
    </w:p>
    <w:p w14:paraId="30C911C3" w14:textId="54CACCF2" w:rsidR="0010204A" w:rsidRPr="00237760" w:rsidRDefault="0010204A" w:rsidP="009367B4">
      <w:pPr>
        <w:pStyle w:val="Legenda"/>
        <w:keepNext/>
        <w:jc w:val="left"/>
        <w:rPr>
          <w:rFonts w:ascii="Arial" w:hAnsi="Arial" w:cs="Arial"/>
          <w:color w:val="auto"/>
          <w:sz w:val="24"/>
          <w:szCs w:val="24"/>
        </w:rPr>
      </w:pPr>
      <w:bookmarkStart w:id="108" w:name="_Ref100912046"/>
      <w:bookmarkStart w:id="109" w:name="_Toc101904241"/>
      <w:r w:rsidRPr="00237760">
        <w:rPr>
          <w:rFonts w:ascii="Arial" w:hAnsi="Arial" w:cs="Arial"/>
          <w:color w:val="auto"/>
          <w:sz w:val="24"/>
          <w:szCs w:val="24"/>
        </w:rPr>
        <w:t xml:space="preserve">Rysunek </w:t>
      </w:r>
      <w:r w:rsidRPr="00237760">
        <w:rPr>
          <w:rFonts w:ascii="Arial" w:hAnsi="Arial" w:cs="Arial"/>
          <w:color w:val="auto"/>
          <w:sz w:val="24"/>
          <w:szCs w:val="24"/>
        </w:rPr>
        <w:fldChar w:fldCharType="begin"/>
      </w:r>
      <w:r w:rsidRPr="00237760">
        <w:rPr>
          <w:rFonts w:ascii="Arial" w:hAnsi="Arial" w:cs="Arial"/>
          <w:color w:val="auto"/>
          <w:sz w:val="24"/>
          <w:szCs w:val="24"/>
        </w:rPr>
        <w:instrText>SEQ Rysunek \* ARABIC</w:instrText>
      </w:r>
      <w:r w:rsidRPr="00237760">
        <w:rPr>
          <w:rFonts w:ascii="Arial" w:hAnsi="Arial" w:cs="Arial"/>
          <w:color w:val="auto"/>
          <w:sz w:val="24"/>
          <w:szCs w:val="24"/>
        </w:rPr>
        <w:fldChar w:fldCharType="separate"/>
      </w:r>
      <w:r w:rsidR="00E52C19" w:rsidRPr="00237760">
        <w:rPr>
          <w:rFonts w:ascii="Arial" w:hAnsi="Arial" w:cs="Arial"/>
          <w:noProof/>
          <w:color w:val="auto"/>
          <w:sz w:val="24"/>
          <w:szCs w:val="24"/>
        </w:rPr>
        <w:t>2</w:t>
      </w:r>
      <w:r w:rsidRPr="00237760">
        <w:rPr>
          <w:rFonts w:ascii="Arial" w:hAnsi="Arial" w:cs="Arial"/>
          <w:color w:val="auto"/>
          <w:sz w:val="24"/>
          <w:szCs w:val="24"/>
        </w:rPr>
        <w:fldChar w:fldCharType="end"/>
      </w:r>
      <w:bookmarkEnd w:id="108"/>
      <w:r w:rsidRPr="00237760">
        <w:rPr>
          <w:rFonts w:ascii="Arial" w:hAnsi="Arial" w:cs="Arial"/>
          <w:color w:val="auto"/>
          <w:sz w:val="24"/>
          <w:szCs w:val="24"/>
        </w:rPr>
        <w:t>. Schemat logiki interwencji przyjętej w matrycach logicznych</w:t>
      </w:r>
      <w:bookmarkEnd w:id="109"/>
    </w:p>
    <w:p w14:paraId="5E7A24DC" w14:textId="19BD352E" w:rsidR="00217A20" w:rsidRPr="00237760" w:rsidRDefault="0010204A" w:rsidP="009367B4">
      <w:pPr>
        <w:jc w:val="left"/>
        <w:rPr>
          <w:rFonts w:ascii="Arial" w:hAnsi="Arial" w:cs="Arial"/>
          <w:color w:val="auto"/>
          <w:sz w:val="24"/>
          <w:szCs w:val="24"/>
          <w:lang w:eastAsia="pl-PL"/>
        </w:rPr>
      </w:pPr>
      <w:r w:rsidRPr="00237760">
        <w:rPr>
          <w:rFonts w:ascii="Arial" w:hAnsi="Arial" w:cs="Arial"/>
          <w:noProof/>
          <w:color w:val="auto"/>
          <w:sz w:val="24"/>
          <w:szCs w:val="24"/>
          <w:lang w:eastAsia="pl-PL"/>
        </w:rPr>
        <w:drawing>
          <wp:inline distT="0" distB="0" distL="0" distR="0" wp14:anchorId="46DC7A77" wp14:editId="2FF183D6">
            <wp:extent cx="3600660" cy="3305908"/>
            <wp:effectExtent l="0" t="0" r="57150" b="27940"/>
            <wp:docPr id="24" name="Diagram 24" descr="Schemat logiki interwencji obrazujący relacje między: warunkami wstępnymi. działaniami, wynikami. zamierzeniami interwencji oraz celem głównym."/>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sidRPr="00237760">
        <w:rPr>
          <w:rFonts w:ascii="Arial" w:hAnsi="Arial" w:cs="Arial"/>
          <w:color w:val="auto"/>
          <w:sz w:val="24"/>
          <w:szCs w:val="24"/>
          <w:lang w:eastAsia="pl-PL"/>
        </w:rPr>
        <w:br/>
        <w:t>Źródło: opracowanie własne.</w:t>
      </w:r>
    </w:p>
    <w:p w14:paraId="05FD5510" w14:textId="18CE062B" w:rsidR="00FF6F8E" w:rsidRPr="00237760" w:rsidRDefault="00CB7DDA" w:rsidP="009367B4">
      <w:pPr>
        <w:spacing w:after="160"/>
        <w:jc w:val="left"/>
        <w:rPr>
          <w:rFonts w:ascii="Arial" w:hAnsi="Arial" w:cs="Arial"/>
          <w:color w:val="auto"/>
          <w:sz w:val="24"/>
          <w:szCs w:val="24"/>
          <w:lang w:eastAsia="pl-PL"/>
        </w:rPr>
      </w:pPr>
      <w:r w:rsidRPr="00237760">
        <w:rPr>
          <w:rFonts w:ascii="Arial" w:hAnsi="Arial" w:cs="Arial"/>
          <w:color w:val="auto"/>
          <w:sz w:val="24"/>
          <w:szCs w:val="24"/>
          <w:lang w:eastAsia="pl-PL"/>
        </w:rPr>
        <w:t>L</w:t>
      </w:r>
      <w:r w:rsidR="005B55ED" w:rsidRPr="00237760">
        <w:rPr>
          <w:rFonts w:ascii="Arial" w:hAnsi="Arial" w:cs="Arial"/>
          <w:color w:val="auto"/>
          <w:sz w:val="24"/>
          <w:szCs w:val="24"/>
          <w:lang w:eastAsia="pl-PL"/>
        </w:rPr>
        <w:t>ogik</w:t>
      </w:r>
      <w:r w:rsidRPr="00237760">
        <w:rPr>
          <w:rFonts w:ascii="Arial" w:hAnsi="Arial" w:cs="Arial"/>
          <w:color w:val="auto"/>
          <w:sz w:val="24"/>
          <w:szCs w:val="24"/>
          <w:lang w:eastAsia="pl-PL"/>
        </w:rPr>
        <w:t>a</w:t>
      </w:r>
      <w:r w:rsidR="005B55ED" w:rsidRPr="00237760">
        <w:rPr>
          <w:rFonts w:ascii="Arial" w:hAnsi="Arial" w:cs="Arial"/>
          <w:color w:val="auto"/>
          <w:sz w:val="24"/>
          <w:szCs w:val="24"/>
          <w:lang w:eastAsia="pl-PL"/>
        </w:rPr>
        <w:t xml:space="preserve"> interwencji </w:t>
      </w:r>
      <w:r w:rsidR="00E31744" w:rsidRPr="00237760">
        <w:rPr>
          <w:rFonts w:ascii="Arial" w:hAnsi="Arial" w:cs="Arial"/>
          <w:color w:val="auto"/>
          <w:sz w:val="24"/>
          <w:szCs w:val="24"/>
          <w:lang w:eastAsia="pl-PL"/>
        </w:rPr>
        <w:t xml:space="preserve">oceniana była w </w:t>
      </w:r>
      <w:r w:rsidR="00463B1A" w:rsidRPr="00237760">
        <w:rPr>
          <w:rFonts w:ascii="Arial" w:hAnsi="Arial" w:cs="Arial"/>
          <w:color w:val="auto"/>
          <w:sz w:val="24"/>
          <w:szCs w:val="24"/>
          <w:lang w:eastAsia="pl-PL"/>
        </w:rPr>
        <w:t>9 obszar</w:t>
      </w:r>
      <w:r w:rsidR="002C774B" w:rsidRPr="00237760">
        <w:rPr>
          <w:rFonts w:ascii="Arial" w:hAnsi="Arial" w:cs="Arial"/>
          <w:color w:val="auto"/>
          <w:sz w:val="24"/>
          <w:szCs w:val="24"/>
          <w:lang w:eastAsia="pl-PL"/>
        </w:rPr>
        <w:t>ach</w:t>
      </w:r>
      <w:r w:rsidR="00463B1A" w:rsidRPr="00237760">
        <w:rPr>
          <w:rFonts w:ascii="Arial" w:hAnsi="Arial" w:cs="Arial"/>
          <w:color w:val="auto"/>
          <w:sz w:val="24"/>
          <w:szCs w:val="24"/>
          <w:lang w:eastAsia="pl-PL"/>
        </w:rPr>
        <w:t xml:space="preserve"> </w:t>
      </w:r>
      <w:r w:rsidR="004B4F78" w:rsidRPr="00237760">
        <w:rPr>
          <w:rFonts w:ascii="Arial" w:hAnsi="Arial" w:cs="Arial"/>
          <w:color w:val="auto"/>
          <w:sz w:val="24"/>
          <w:szCs w:val="24"/>
          <w:lang w:eastAsia="pl-PL"/>
        </w:rPr>
        <w:t xml:space="preserve">tematycznych </w:t>
      </w:r>
      <w:r w:rsidR="00353862" w:rsidRPr="00237760">
        <w:rPr>
          <w:rFonts w:ascii="Arial" w:hAnsi="Arial" w:cs="Arial"/>
          <w:color w:val="auto"/>
          <w:sz w:val="24"/>
          <w:szCs w:val="24"/>
          <w:lang w:eastAsia="pl-PL"/>
        </w:rPr>
        <w:t>kierunków działań:</w:t>
      </w:r>
    </w:p>
    <w:p w14:paraId="79AAA677" w14:textId="67F7A5B4" w:rsidR="00CA7476" w:rsidRPr="00237760" w:rsidRDefault="00735D48" w:rsidP="009367B4">
      <w:pPr>
        <w:pStyle w:val="Akapitzlist"/>
        <w:numPr>
          <w:ilvl w:val="0"/>
          <w:numId w:val="58"/>
        </w:numPr>
        <w:ind w:left="426"/>
        <w:contextualSpacing/>
        <w:jc w:val="left"/>
        <w:rPr>
          <w:rFonts w:ascii="Arial" w:hAnsi="Arial" w:cs="Arial"/>
          <w:color w:val="auto"/>
          <w:sz w:val="24"/>
          <w:szCs w:val="24"/>
        </w:rPr>
      </w:pPr>
      <w:r w:rsidRPr="00237760">
        <w:rPr>
          <w:rFonts w:ascii="Arial" w:hAnsi="Arial" w:cs="Arial"/>
          <w:color w:val="auto"/>
          <w:sz w:val="24"/>
          <w:szCs w:val="24"/>
        </w:rPr>
        <w:lastRenderedPageBreak/>
        <w:t>i</w:t>
      </w:r>
      <w:r w:rsidR="00CA7476" w:rsidRPr="00237760">
        <w:rPr>
          <w:rFonts w:ascii="Arial" w:hAnsi="Arial" w:cs="Arial"/>
          <w:color w:val="auto"/>
          <w:sz w:val="24"/>
          <w:szCs w:val="24"/>
        </w:rPr>
        <w:t>nwestycje drogowe wewnętrzne</w:t>
      </w:r>
      <w:r w:rsidRPr="00237760">
        <w:rPr>
          <w:rFonts w:ascii="Arial" w:hAnsi="Arial" w:cs="Arial"/>
          <w:color w:val="auto"/>
          <w:sz w:val="24"/>
          <w:szCs w:val="24"/>
        </w:rPr>
        <w:t xml:space="preserve"> (ukierunkowane na spójność wewnętrzną </w:t>
      </w:r>
      <w:r w:rsidR="004D47F5" w:rsidRPr="00237760">
        <w:rPr>
          <w:rFonts w:ascii="Arial" w:hAnsi="Arial" w:cs="Arial"/>
          <w:color w:val="auto"/>
          <w:sz w:val="24"/>
          <w:szCs w:val="24"/>
        </w:rPr>
        <w:t>województwa</w:t>
      </w:r>
      <w:r w:rsidRPr="00237760">
        <w:rPr>
          <w:rFonts w:ascii="Arial" w:hAnsi="Arial" w:cs="Arial"/>
          <w:color w:val="auto"/>
          <w:sz w:val="24"/>
          <w:szCs w:val="24"/>
        </w:rPr>
        <w:t>)</w:t>
      </w:r>
      <w:r w:rsidR="009A423F" w:rsidRPr="00237760">
        <w:rPr>
          <w:rFonts w:ascii="Arial" w:hAnsi="Arial" w:cs="Arial"/>
          <w:color w:val="auto"/>
          <w:sz w:val="24"/>
          <w:szCs w:val="24"/>
        </w:rPr>
        <w:t>,</w:t>
      </w:r>
    </w:p>
    <w:p w14:paraId="22C11726" w14:textId="6E474A35" w:rsidR="00CA7476" w:rsidRPr="00237760" w:rsidRDefault="004D47F5" w:rsidP="009367B4">
      <w:pPr>
        <w:pStyle w:val="Akapitzlist"/>
        <w:numPr>
          <w:ilvl w:val="0"/>
          <w:numId w:val="58"/>
        </w:numPr>
        <w:ind w:left="426"/>
        <w:contextualSpacing/>
        <w:jc w:val="left"/>
        <w:rPr>
          <w:rFonts w:ascii="Arial" w:hAnsi="Arial" w:cs="Arial"/>
          <w:color w:val="auto"/>
          <w:sz w:val="24"/>
          <w:szCs w:val="24"/>
        </w:rPr>
      </w:pPr>
      <w:r w:rsidRPr="00237760">
        <w:rPr>
          <w:rFonts w:ascii="Arial" w:hAnsi="Arial" w:cs="Arial"/>
          <w:color w:val="auto"/>
          <w:sz w:val="24"/>
          <w:szCs w:val="24"/>
        </w:rPr>
        <w:t>i</w:t>
      </w:r>
      <w:r w:rsidR="00CA7476" w:rsidRPr="00237760">
        <w:rPr>
          <w:rFonts w:ascii="Arial" w:hAnsi="Arial" w:cs="Arial"/>
          <w:color w:val="auto"/>
          <w:sz w:val="24"/>
          <w:szCs w:val="24"/>
        </w:rPr>
        <w:t>nwestycje drogowe zewnętrzne</w:t>
      </w:r>
      <w:r w:rsidRPr="00237760">
        <w:rPr>
          <w:rFonts w:ascii="Arial" w:hAnsi="Arial" w:cs="Arial"/>
          <w:color w:val="auto"/>
          <w:sz w:val="24"/>
          <w:szCs w:val="24"/>
        </w:rPr>
        <w:t xml:space="preserve"> (ukierunkowane na poprawę dostępności zewnętrznej województwa)</w:t>
      </w:r>
      <w:r w:rsidR="009A423F" w:rsidRPr="00237760">
        <w:rPr>
          <w:rFonts w:ascii="Arial" w:hAnsi="Arial" w:cs="Arial"/>
          <w:color w:val="auto"/>
          <w:sz w:val="24"/>
          <w:szCs w:val="24"/>
        </w:rPr>
        <w:t>,</w:t>
      </w:r>
    </w:p>
    <w:p w14:paraId="64A1C047" w14:textId="29899F9E" w:rsidR="00CA7476" w:rsidRPr="00237760" w:rsidRDefault="004D47F5" w:rsidP="009367B4">
      <w:pPr>
        <w:pStyle w:val="Akapitzlist"/>
        <w:numPr>
          <w:ilvl w:val="0"/>
          <w:numId w:val="58"/>
        </w:numPr>
        <w:ind w:left="426"/>
        <w:contextualSpacing/>
        <w:jc w:val="left"/>
        <w:rPr>
          <w:rFonts w:ascii="Arial" w:hAnsi="Arial" w:cs="Arial"/>
          <w:color w:val="auto"/>
          <w:sz w:val="24"/>
          <w:szCs w:val="24"/>
        </w:rPr>
      </w:pPr>
      <w:r w:rsidRPr="00237760">
        <w:rPr>
          <w:rFonts w:ascii="Arial" w:hAnsi="Arial" w:cs="Arial"/>
          <w:color w:val="auto"/>
          <w:sz w:val="24"/>
          <w:szCs w:val="24"/>
        </w:rPr>
        <w:t>i</w:t>
      </w:r>
      <w:r w:rsidR="00CA7476" w:rsidRPr="00237760">
        <w:rPr>
          <w:rFonts w:ascii="Arial" w:hAnsi="Arial" w:cs="Arial"/>
          <w:color w:val="auto"/>
          <w:sz w:val="24"/>
          <w:szCs w:val="24"/>
        </w:rPr>
        <w:t>nwestycje kolejowe wewnętrzne</w:t>
      </w:r>
      <w:r w:rsidRPr="00237760">
        <w:rPr>
          <w:rFonts w:ascii="Arial" w:hAnsi="Arial" w:cs="Arial"/>
          <w:color w:val="auto"/>
          <w:sz w:val="24"/>
          <w:szCs w:val="24"/>
        </w:rPr>
        <w:t xml:space="preserve"> (podobnie, jak w przypadku inwestycji drogowych)</w:t>
      </w:r>
      <w:r w:rsidR="009A423F" w:rsidRPr="00237760">
        <w:rPr>
          <w:rFonts w:ascii="Arial" w:hAnsi="Arial" w:cs="Arial"/>
          <w:color w:val="auto"/>
          <w:sz w:val="24"/>
          <w:szCs w:val="24"/>
        </w:rPr>
        <w:t>,</w:t>
      </w:r>
    </w:p>
    <w:p w14:paraId="2C5A5BD4" w14:textId="7F9CDCF0" w:rsidR="00CA7476" w:rsidRPr="00237760" w:rsidRDefault="004D47F5" w:rsidP="009367B4">
      <w:pPr>
        <w:pStyle w:val="Akapitzlist"/>
        <w:numPr>
          <w:ilvl w:val="0"/>
          <w:numId w:val="58"/>
        </w:numPr>
        <w:ind w:left="426"/>
        <w:contextualSpacing/>
        <w:jc w:val="left"/>
        <w:rPr>
          <w:rFonts w:ascii="Arial" w:hAnsi="Arial" w:cs="Arial"/>
          <w:color w:val="auto"/>
          <w:sz w:val="24"/>
          <w:szCs w:val="24"/>
        </w:rPr>
      </w:pPr>
      <w:r w:rsidRPr="00237760">
        <w:rPr>
          <w:rFonts w:ascii="Arial" w:hAnsi="Arial" w:cs="Arial"/>
          <w:color w:val="auto"/>
          <w:sz w:val="24"/>
          <w:szCs w:val="24"/>
        </w:rPr>
        <w:t>i</w:t>
      </w:r>
      <w:r w:rsidR="00CA7476" w:rsidRPr="00237760">
        <w:rPr>
          <w:rFonts w:ascii="Arial" w:hAnsi="Arial" w:cs="Arial"/>
          <w:color w:val="auto"/>
          <w:sz w:val="24"/>
          <w:szCs w:val="24"/>
        </w:rPr>
        <w:t>nwestycje kolejowe zewnętrzne</w:t>
      </w:r>
      <w:r w:rsidRPr="00237760">
        <w:rPr>
          <w:rFonts w:ascii="Arial" w:hAnsi="Arial" w:cs="Arial"/>
          <w:color w:val="auto"/>
          <w:sz w:val="24"/>
          <w:szCs w:val="24"/>
        </w:rPr>
        <w:t xml:space="preserve"> (</w:t>
      </w:r>
      <w:r w:rsidR="007424F8" w:rsidRPr="00237760">
        <w:rPr>
          <w:rFonts w:ascii="Arial" w:hAnsi="Arial" w:cs="Arial"/>
          <w:color w:val="auto"/>
          <w:sz w:val="24"/>
          <w:szCs w:val="24"/>
        </w:rPr>
        <w:t>jw.</w:t>
      </w:r>
      <w:r w:rsidRPr="00237760">
        <w:rPr>
          <w:rFonts w:ascii="Arial" w:hAnsi="Arial" w:cs="Arial"/>
          <w:color w:val="auto"/>
          <w:sz w:val="24"/>
          <w:szCs w:val="24"/>
        </w:rPr>
        <w:t>)</w:t>
      </w:r>
      <w:r w:rsidR="009A423F" w:rsidRPr="00237760">
        <w:rPr>
          <w:rFonts w:ascii="Arial" w:hAnsi="Arial" w:cs="Arial"/>
          <w:color w:val="auto"/>
          <w:sz w:val="24"/>
          <w:szCs w:val="24"/>
        </w:rPr>
        <w:t>,</w:t>
      </w:r>
    </w:p>
    <w:p w14:paraId="2181AD68" w14:textId="22F4AE36" w:rsidR="00CA7476" w:rsidRPr="00237760" w:rsidRDefault="004D47F5" w:rsidP="009367B4">
      <w:pPr>
        <w:pStyle w:val="Akapitzlist"/>
        <w:numPr>
          <w:ilvl w:val="0"/>
          <w:numId w:val="58"/>
        </w:numPr>
        <w:ind w:left="426"/>
        <w:contextualSpacing/>
        <w:jc w:val="left"/>
        <w:rPr>
          <w:rFonts w:ascii="Arial" w:hAnsi="Arial" w:cs="Arial"/>
          <w:color w:val="auto"/>
          <w:sz w:val="24"/>
          <w:szCs w:val="24"/>
        </w:rPr>
      </w:pPr>
      <w:r w:rsidRPr="00237760">
        <w:rPr>
          <w:rFonts w:ascii="Arial" w:hAnsi="Arial" w:cs="Arial"/>
          <w:color w:val="auto"/>
          <w:sz w:val="24"/>
          <w:szCs w:val="24"/>
        </w:rPr>
        <w:t>i</w:t>
      </w:r>
      <w:r w:rsidR="00CA7476" w:rsidRPr="00237760">
        <w:rPr>
          <w:rFonts w:ascii="Arial" w:hAnsi="Arial" w:cs="Arial"/>
          <w:color w:val="auto"/>
          <w:sz w:val="24"/>
          <w:szCs w:val="24"/>
        </w:rPr>
        <w:t>nwestycje lotnicze wewnętrzne</w:t>
      </w:r>
      <w:r w:rsidRPr="00237760">
        <w:rPr>
          <w:rFonts w:ascii="Arial" w:hAnsi="Arial" w:cs="Arial"/>
          <w:color w:val="auto"/>
          <w:sz w:val="24"/>
          <w:szCs w:val="24"/>
        </w:rPr>
        <w:t xml:space="preserve"> (</w:t>
      </w:r>
      <w:r w:rsidR="007424F8" w:rsidRPr="00237760">
        <w:rPr>
          <w:rFonts w:ascii="Arial" w:hAnsi="Arial" w:cs="Arial"/>
          <w:color w:val="auto"/>
          <w:sz w:val="24"/>
          <w:szCs w:val="24"/>
        </w:rPr>
        <w:t>jw.</w:t>
      </w:r>
      <w:r w:rsidRPr="00237760">
        <w:rPr>
          <w:rFonts w:ascii="Arial" w:hAnsi="Arial" w:cs="Arial"/>
          <w:color w:val="auto"/>
          <w:sz w:val="24"/>
          <w:szCs w:val="24"/>
        </w:rPr>
        <w:t>)</w:t>
      </w:r>
      <w:r w:rsidR="009A423F" w:rsidRPr="00237760">
        <w:rPr>
          <w:rFonts w:ascii="Arial" w:hAnsi="Arial" w:cs="Arial"/>
          <w:color w:val="auto"/>
          <w:sz w:val="24"/>
          <w:szCs w:val="24"/>
        </w:rPr>
        <w:t>,</w:t>
      </w:r>
    </w:p>
    <w:p w14:paraId="06E63D03" w14:textId="4660DEF6" w:rsidR="00CA7476" w:rsidRPr="00237760" w:rsidRDefault="004D47F5" w:rsidP="009367B4">
      <w:pPr>
        <w:pStyle w:val="Akapitzlist"/>
        <w:numPr>
          <w:ilvl w:val="0"/>
          <w:numId w:val="58"/>
        </w:numPr>
        <w:ind w:left="426"/>
        <w:contextualSpacing/>
        <w:jc w:val="left"/>
        <w:rPr>
          <w:rFonts w:ascii="Arial" w:hAnsi="Arial" w:cs="Arial"/>
          <w:color w:val="auto"/>
          <w:sz w:val="24"/>
          <w:szCs w:val="24"/>
        </w:rPr>
      </w:pPr>
      <w:r w:rsidRPr="00237760">
        <w:rPr>
          <w:rFonts w:ascii="Arial" w:hAnsi="Arial" w:cs="Arial"/>
          <w:color w:val="auto"/>
          <w:sz w:val="24"/>
          <w:szCs w:val="24"/>
        </w:rPr>
        <w:t>i</w:t>
      </w:r>
      <w:r w:rsidR="00CA7476" w:rsidRPr="00237760">
        <w:rPr>
          <w:rFonts w:ascii="Arial" w:hAnsi="Arial" w:cs="Arial"/>
          <w:color w:val="auto"/>
          <w:sz w:val="24"/>
          <w:szCs w:val="24"/>
        </w:rPr>
        <w:t>nwestycje lotnicze zewnętrzne</w:t>
      </w:r>
      <w:r w:rsidRPr="00237760">
        <w:rPr>
          <w:rFonts w:ascii="Arial" w:hAnsi="Arial" w:cs="Arial"/>
          <w:color w:val="auto"/>
          <w:sz w:val="24"/>
          <w:szCs w:val="24"/>
        </w:rPr>
        <w:t xml:space="preserve"> (</w:t>
      </w:r>
      <w:r w:rsidR="007424F8" w:rsidRPr="00237760">
        <w:rPr>
          <w:rFonts w:ascii="Arial" w:hAnsi="Arial" w:cs="Arial"/>
          <w:color w:val="auto"/>
          <w:sz w:val="24"/>
          <w:szCs w:val="24"/>
        </w:rPr>
        <w:t>jw.)</w:t>
      </w:r>
      <w:r w:rsidR="009A423F" w:rsidRPr="00237760">
        <w:rPr>
          <w:rFonts w:ascii="Arial" w:hAnsi="Arial" w:cs="Arial"/>
          <w:color w:val="auto"/>
          <w:sz w:val="24"/>
          <w:szCs w:val="24"/>
        </w:rPr>
        <w:t>,</w:t>
      </w:r>
    </w:p>
    <w:p w14:paraId="49BF417B" w14:textId="63DF73C3" w:rsidR="00CA7476" w:rsidRPr="00237760" w:rsidRDefault="007424F8" w:rsidP="009367B4">
      <w:pPr>
        <w:pStyle w:val="Akapitzlist"/>
        <w:numPr>
          <w:ilvl w:val="0"/>
          <w:numId w:val="58"/>
        </w:numPr>
        <w:ind w:left="426"/>
        <w:contextualSpacing/>
        <w:jc w:val="left"/>
        <w:rPr>
          <w:rFonts w:ascii="Arial" w:hAnsi="Arial" w:cs="Arial"/>
          <w:color w:val="auto"/>
          <w:sz w:val="24"/>
          <w:szCs w:val="24"/>
        </w:rPr>
      </w:pPr>
      <w:r w:rsidRPr="00237760">
        <w:rPr>
          <w:rFonts w:ascii="Arial" w:hAnsi="Arial" w:cs="Arial"/>
          <w:color w:val="auto"/>
          <w:sz w:val="24"/>
          <w:szCs w:val="24"/>
        </w:rPr>
        <w:t>b</w:t>
      </w:r>
      <w:r w:rsidR="00CA7476" w:rsidRPr="00237760">
        <w:rPr>
          <w:rFonts w:ascii="Arial" w:hAnsi="Arial" w:cs="Arial"/>
          <w:color w:val="auto"/>
          <w:sz w:val="24"/>
          <w:szCs w:val="24"/>
        </w:rPr>
        <w:t>ezpieczeństwo komunikacyjne</w:t>
      </w:r>
      <w:r w:rsidR="009A423F" w:rsidRPr="00237760">
        <w:rPr>
          <w:rFonts w:ascii="Arial" w:hAnsi="Arial" w:cs="Arial"/>
          <w:color w:val="auto"/>
          <w:sz w:val="24"/>
          <w:szCs w:val="24"/>
        </w:rPr>
        <w:t>,</w:t>
      </w:r>
    </w:p>
    <w:p w14:paraId="2A34AF6E" w14:textId="6A45396B" w:rsidR="00353862" w:rsidRPr="00237760" w:rsidRDefault="007424F8" w:rsidP="009367B4">
      <w:pPr>
        <w:pStyle w:val="Akapitzlist"/>
        <w:numPr>
          <w:ilvl w:val="0"/>
          <w:numId w:val="58"/>
        </w:numPr>
        <w:ind w:left="426"/>
        <w:contextualSpacing/>
        <w:jc w:val="left"/>
        <w:rPr>
          <w:rFonts w:ascii="Arial" w:hAnsi="Arial" w:cs="Arial"/>
          <w:color w:val="auto"/>
          <w:sz w:val="24"/>
          <w:szCs w:val="24"/>
        </w:rPr>
      </w:pPr>
      <w:r w:rsidRPr="00237760">
        <w:rPr>
          <w:rFonts w:ascii="Arial" w:hAnsi="Arial" w:cs="Arial"/>
          <w:color w:val="auto"/>
          <w:sz w:val="24"/>
          <w:szCs w:val="24"/>
        </w:rPr>
        <w:t>ś</w:t>
      </w:r>
      <w:r w:rsidR="00CA7476" w:rsidRPr="00237760">
        <w:rPr>
          <w:rFonts w:ascii="Arial" w:hAnsi="Arial" w:cs="Arial"/>
          <w:color w:val="auto"/>
          <w:sz w:val="24"/>
          <w:szCs w:val="24"/>
        </w:rPr>
        <w:t>rodowisko i jakość życia</w:t>
      </w:r>
      <w:r w:rsidR="009A423F" w:rsidRPr="00237760">
        <w:rPr>
          <w:rFonts w:ascii="Arial" w:hAnsi="Arial" w:cs="Arial"/>
          <w:color w:val="auto"/>
          <w:sz w:val="24"/>
          <w:szCs w:val="24"/>
        </w:rPr>
        <w:t>,</w:t>
      </w:r>
    </w:p>
    <w:p w14:paraId="62D42614" w14:textId="56860EE4" w:rsidR="00CA7476" w:rsidRPr="00237760" w:rsidRDefault="007424F8" w:rsidP="009367B4">
      <w:pPr>
        <w:pStyle w:val="Akapitzlist"/>
        <w:numPr>
          <w:ilvl w:val="0"/>
          <w:numId w:val="58"/>
        </w:numPr>
        <w:ind w:left="426"/>
        <w:contextualSpacing/>
        <w:jc w:val="left"/>
        <w:rPr>
          <w:rFonts w:ascii="Arial" w:hAnsi="Arial" w:cs="Arial"/>
          <w:color w:val="auto"/>
          <w:sz w:val="24"/>
          <w:szCs w:val="24"/>
        </w:rPr>
      </w:pPr>
      <w:r w:rsidRPr="00237760">
        <w:rPr>
          <w:rFonts w:ascii="Arial" w:hAnsi="Arial" w:cs="Arial"/>
          <w:color w:val="auto"/>
          <w:sz w:val="24"/>
          <w:szCs w:val="24"/>
        </w:rPr>
        <w:t>i</w:t>
      </w:r>
      <w:r w:rsidR="00CA7476" w:rsidRPr="00237760">
        <w:rPr>
          <w:rFonts w:ascii="Arial" w:hAnsi="Arial" w:cs="Arial"/>
          <w:color w:val="auto"/>
          <w:sz w:val="24"/>
          <w:szCs w:val="24"/>
        </w:rPr>
        <w:t>nwestycje multimodalne i transport publiczny.</w:t>
      </w:r>
    </w:p>
    <w:p w14:paraId="47EE958B" w14:textId="46C7624F" w:rsidR="008E52D0" w:rsidRPr="00237760" w:rsidRDefault="00774BDA" w:rsidP="009367B4">
      <w:pPr>
        <w:spacing w:after="160"/>
        <w:jc w:val="left"/>
        <w:rPr>
          <w:rFonts w:ascii="Arial" w:hAnsi="Arial" w:cs="Arial"/>
          <w:color w:val="auto"/>
          <w:sz w:val="24"/>
          <w:szCs w:val="24"/>
        </w:rPr>
      </w:pPr>
      <w:r w:rsidRPr="00237760">
        <w:rPr>
          <w:rFonts w:ascii="Arial" w:hAnsi="Arial" w:cs="Arial"/>
          <w:color w:val="auto"/>
          <w:sz w:val="24"/>
          <w:szCs w:val="24"/>
        </w:rPr>
        <w:t xml:space="preserve">Analiza </w:t>
      </w:r>
      <w:r w:rsidR="00F851E3" w:rsidRPr="00237760">
        <w:rPr>
          <w:rFonts w:ascii="Arial" w:hAnsi="Arial" w:cs="Arial"/>
          <w:color w:val="auto"/>
          <w:sz w:val="24"/>
          <w:szCs w:val="24"/>
        </w:rPr>
        <w:t>ocen</w:t>
      </w:r>
      <w:r w:rsidRPr="00237760">
        <w:rPr>
          <w:rFonts w:ascii="Arial" w:hAnsi="Arial" w:cs="Arial"/>
          <w:color w:val="auto"/>
          <w:sz w:val="24"/>
          <w:szCs w:val="24"/>
        </w:rPr>
        <w:t xml:space="preserve"> wynikających z</w:t>
      </w:r>
      <w:r w:rsidR="00F851E3" w:rsidRPr="00237760">
        <w:rPr>
          <w:rFonts w:ascii="Arial" w:hAnsi="Arial" w:cs="Arial"/>
          <w:color w:val="auto"/>
          <w:sz w:val="24"/>
          <w:szCs w:val="24"/>
        </w:rPr>
        <w:t xml:space="preserve"> </w:t>
      </w:r>
      <w:r w:rsidRPr="00237760">
        <w:rPr>
          <w:rFonts w:ascii="Arial" w:hAnsi="Arial" w:cs="Arial"/>
          <w:color w:val="auto"/>
          <w:sz w:val="24"/>
          <w:szCs w:val="24"/>
        </w:rPr>
        <w:t xml:space="preserve">panelu ekspertów połączona </w:t>
      </w:r>
      <w:r w:rsidR="003B3606" w:rsidRPr="00237760">
        <w:rPr>
          <w:rFonts w:ascii="Arial" w:hAnsi="Arial" w:cs="Arial"/>
          <w:color w:val="auto"/>
          <w:sz w:val="24"/>
          <w:szCs w:val="24"/>
        </w:rPr>
        <w:t>z wnioskami z wywiadów pogłębi</w:t>
      </w:r>
      <w:r w:rsidR="006664F2" w:rsidRPr="00237760">
        <w:rPr>
          <w:rFonts w:ascii="Arial" w:hAnsi="Arial" w:cs="Arial"/>
          <w:color w:val="auto"/>
          <w:sz w:val="24"/>
          <w:szCs w:val="24"/>
        </w:rPr>
        <w:t>o</w:t>
      </w:r>
      <w:r w:rsidR="003B3606" w:rsidRPr="00237760">
        <w:rPr>
          <w:rFonts w:ascii="Arial" w:hAnsi="Arial" w:cs="Arial"/>
          <w:color w:val="auto"/>
          <w:sz w:val="24"/>
          <w:szCs w:val="24"/>
        </w:rPr>
        <w:t>nych</w:t>
      </w:r>
      <w:r w:rsidR="006664F2" w:rsidRPr="00237760">
        <w:rPr>
          <w:rFonts w:ascii="Arial" w:hAnsi="Arial" w:cs="Arial"/>
          <w:color w:val="auto"/>
          <w:sz w:val="24"/>
          <w:szCs w:val="24"/>
        </w:rPr>
        <w:t xml:space="preserve"> pozwala sformułować kilka kluczowych uwag dotyczących </w:t>
      </w:r>
      <w:r w:rsidR="008E52D0" w:rsidRPr="00237760">
        <w:rPr>
          <w:rFonts w:ascii="Arial" w:hAnsi="Arial" w:cs="Arial"/>
          <w:color w:val="auto"/>
          <w:sz w:val="24"/>
          <w:szCs w:val="24"/>
        </w:rPr>
        <w:t>logiki interwencji</w:t>
      </w:r>
      <w:r w:rsidR="00147C19" w:rsidRPr="00237760">
        <w:rPr>
          <w:rFonts w:ascii="Arial" w:hAnsi="Arial" w:cs="Arial"/>
          <w:color w:val="auto"/>
          <w:sz w:val="24"/>
          <w:szCs w:val="24"/>
        </w:rPr>
        <w:t>:</w:t>
      </w:r>
      <w:r w:rsidR="008E52D0" w:rsidRPr="00237760">
        <w:rPr>
          <w:rFonts w:ascii="Arial" w:hAnsi="Arial" w:cs="Arial"/>
          <w:color w:val="auto"/>
          <w:sz w:val="24"/>
          <w:szCs w:val="24"/>
        </w:rPr>
        <w:t xml:space="preserve"> </w:t>
      </w:r>
    </w:p>
    <w:p w14:paraId="2C2977A5" w14:textId="55018864" w:rsidR="00787CCC" w:rsidRPr="00237760" w:rsidRDefault="00022B97" w:rsidP="009367B4">
      <w:pPr>
        <w:pStyle w:val="Akapitzlist"/>
        <w:numPr>
          <w:ilvl w:val="0"/>
          <w:numId w:val="58"/>
        </w:numPr>
        <w:ind w:left="426"/>
        <w:contextualSpacing/>
        <w:jc w:val="left"/>
        <w:rPr>
          <w:rFonts w:ascii="Arial" w:hAnsi="Arial" w:cs="Arial"/>
          <w:color w:val="auto"/>
          <w:sz w:val="24"/>
          <w:szCs w:val="24"/>
        </w:rPr>
      </w:pPr>
      <w:r w:rsidRPr="00237760">
        <w:rPr>
          <w:rFonts w:ascii="Arial" w:hAnsi="Arial" w:cs="Arial"/>
          <w:color w:val="auto"/>
          <w:sz w:val="24"/>
          <w:szCs w:val="24"/>
        </w:rPr>
        <w:t xml:space="preserve">ogólna logika interwencji jest prawidłowa – całość tworzy spójny ciąg przyczynowo-skutkowy, </w:t>
      </w:r>
      <w:r w:rsidR="00C605B2" w:rsidRPr="00237760">
        <w:rPr>
          <w:rFonts w:ascii="Arial" w:hAnsi="Arial" w:cs="Arial"/>
          <w:color w:val="auto"/>
          <w:sz w:val="24"/>
          <w:szCs w:val="24"/>
        </w:rPr>
        <w:br/>
      </w:r>
      <w:r w:rsidRPr="00237760">
        <w:rPr>
          <w:rFonts w:ascii="Arial" w:hAnsi="Arial" w:cs="Arial"/>
          <w:color w:val="auto"/>
          <w:sz w:val="24"/>
          <w:szCs w:val="24"/>
        </w:rPr>
        <w:t>a sformułowane działania powinny pozwolić osiągnąć oczekiwane rezultaty</w:t>
      </w:r>
      <w:r w:rsidR="00C1631F" w:rsidRPr="00237760">
        <w:rPr>
          <w:rFonts w:ascii="Arial" w:hAnsi="Arial" w:cs="Arial"/>
          <w:color w:val="auto"/>
          <w:sz w:val="24"/>
          <w:szCs w:val="24"/>
        </w:rPr>
        <w:t xml:space="preserve">; </w:t>
      </w:r>
    </w:p>
    <w:p w14:paraId="6A9E3447" w14:textId="0CA02CC4" w:rsidR="00CC7390" w:rsidRPr="00237760" w:rsidRDefault="00507E3A" w:rsidP="009367B4">
      <w:pPr>
        <w:pStyle w:val="Akapitzlist"/>
        <w:numPr>
          <w:ilvl w:val="0"/>
          <w:numId w:val="58"/>
        </w:numPr>
        <w:ind w:left="426"/>
        <w:contextualSpacing/>
        <w:jc w:val="left"/>
        <w:rPr>
          <w:rFonts w:ascii="Arial" w:hAnsi="Arial" w:cs="Arial"/>
          <w:color w:val="auto"/>
          <w:sz w:val="24"/>
          <w:szCs w:val="24"/>
        </w:rPr>
      </w:pPr>
      <w:r w:rsidRPr="00237760">
        <w:rPr>
          <w:rFonts w:ascii="Arial" w:hAnsi="Arial" w:cs="Arial"/>
          <w:color w:val="auto"/>
          <w:sz w:val="24"/>
          <w:szCs w:val="24"/>
        </w:rPr>
        <w:t xml:space="preserve">liczba kierunków działań skłania do </w:t>
      </w:r>
      <w:r w:rsidR="00B96429" w:rsidRPr="00237760">
        <w:rPr>
          <w:rFonts w:ascii="Arial" w:hAnsi="Arial" w:cs="Arial"/>
          <w:color w:val="auto"/>
          <w:sz w:val="24"/>
          <w:szCs w:val="24"/>
        </w:rPr>
        <w:t xml:space="preserve">wniosku o potrzebie hierarchizacji, </w:t>
      </w:r>
      <w:r w:rsidR="00463D43" w:rsidRPr="00237760">
        <w:rPr>
          <w:rFonts w:ascii="Arial" w:hAnsi="Arial" w:cs="Arial"/>
          <w:color w:val="auto"/>
          <w:sz w:val="24"/>
          <w:szCs w:val="24"/>
        </w:rPr>
        <w:t xml:space="preserve">jednak należy pamiętać, że weryfikacja ważności dokonywanych wyborów odbywa się w programie na poziomie </w:t>
      </w:r>
      <w:r w:rsidR="00CC7390" w:rsidRPr="00237760">
        <w:rPr>
          <w:rFonts w:ascii="Arial" w:hAnsi="Arial" w:cs="Arial"/>
          <w:color w:val="auto"/>
          <w:sz w:val="24"/>
          <w:szCs w:val="24"/>
        </w:rPr>
        <w:t>projektów, choć tych kluczowych jest bardzo dużo;</w:t>
      </w:r>
    </w:p>
    <w:p w14:paraId="5D1E429C" w14:textId="71CDCDAA" w:rsidR="00CC11A7" w:rsidRPr="00237760" w:rsidRDefault="000D6517" w:rsidP="009367B4">
      <w:pPr>
        <w:pStyle w:val="Akapitzlist"/>
        <w:numPr>
          <w:ilvl w:val="0"/>
          <w:numId w:val="58"/>
        </w:numPr>
        <w:ind w:left="426"/>
        <w:contextualSpacing/>
        <w:jc w:val="left"/>
        <w:rPr>
          <w:rFonts w:ascii="Arial" w:hAnsi="Arial" w:cs="Arial"/>
          <w:color w:val="auto"/>
          <w:sz w:val="24"/>
          <w:szCs w:val="24"/>
        </w:rPr>
      </w:pPr>
      <w:r w:rsidRPr="00237760">
        <w:rPr>
          <w:rFonts w:ascii="Arial" w:hAnsi="Arial" w:cs="Arial"/>
          <w:color w:val="auto"/>
          <w:sz w:val="24"/>
          <w:szCs w:val="24"/>
        </w:rPr>
        <w:t>k</w:t>
      </w:r>
      <w:r w:rsidR="00CC11A7" w:rsidRPr="00237760">
        <w:rPr>
          <w:rFonts w:ascii="Arial" w:hAnsi="Arial" w:cs="Arial"/>
          <w:color w:val="auto"/>
          <w:sz w:val="24"/>
          <w:szCs w:val="24"/>
        </w:rPr>
        <w:t xml:space="preserve">ierunki działań </w:t>
      </w:r>
      <w:r w:rsidRPr="00237760">
        <w:rPr>
          <w:rFonts w:ascii="Arial" w:hAnsi="Arial" w:cs="Arial"/>
          <w:color w:val="auto"/>
          <w:sz w:val="24"/>
          <w:szCs w:val="24"/>
        </w:rPr>
        <w:t xml:space="preserve">są sformułowane w </w:t>
      </w:r>
      <w:r w:rsidR="00BA63BA" w:rsidRPr="00237760">
        <w:rPr>
          <w:rFonts w:ascii="Arial" w:hAnsi="Arial" w:cs="Arial"/>
          <w:color w:val="auto"/>
          <w:sz w:val="24"/>
          <w:szCs w:val="24"/>
        </w:rPr>
        <w:t>zróżnicowany sposób (</w:t>
      </w:r>
      <w:r w:rsidR="00CC11A7" w:rsidRPr="00237760">
        <w:rPr>
          <w:rFonts w:ascii="Arial" w:hAnsi="Arial" w:cs="Arial"/>
          <w:color w:val="auto"/>
          <w:sz w:val="24"/>
          <w:szCs w:val="24"/>
        </w:rPr>
        <w:t>niektóre kierunki działań są sformułowane ogólnikowo, co może grozić rozmyciem założeń PSRT WP, podczas gdy inne są bardzo szczegółowe</w:t>
      </w:r>
      <w:r w:rsidR="00BA63BA" w:rsidRPr="00237760">
        <w:rPr>
          <w:rFonts w:ascii="Arial" w:hAnsi="Arial" w:cs="Arial"/>
          <w:color w:val="auto"/>
          <w:sz w:val="24"/>
          <w:szCs w:val="24"/>
        </w:rPr>
        <w:t>);</w:t>
      </w:r>
    </w:p>
    <w:p w14:paraId="0CC57035" w14:textId="26621BE9" w:rsidR="00CC11A7" w:rsidRPr="00237760" w:rsidRDefault="00F10F37" w:rsidP="009367B4">
      <w:pPr>
        <w:pStyle w:val="Akapitzlist"/>
        <w:numPr>
          <w:ilvl w:val="0"/>
          <w:numId w:val="58"/>
        </w:numPr>
        <w:ind w:left="426"/>
        <w:contextualSpacing/>
        <w:jc w:val="left"/>
        <w:rPr>
          <w:rFonts w:ascii="Arial" w:hAnsi="Arial" w:cs="Arial"/>
          <w:color w:val="auto"/>
          <w:sz w:val="24"/>
          <w:szCs w:val="24"/>
        </w:rPr>
      </w:pPr>
      <w:r w:rsidRPr="00237760">
        <w:rPr>
          <w:rFonts w:ascii="Arial" w:hAnsi="Arial" w:cs="Arial"/>
          <w:color w:val="auto"/>
          <w:sz w:val="24"/>
          <w:szCs w:val="24"/>
        </w:rPr>
        <w:t xml:space="preserve">istotnym ryzykiem mającym wpływ na efektywność i skuteczność </w:t>
      </w:r>
      <w:r w:rsidR="002820A4" w:rsidRPr="00237760">
        <w:rPr>
          <w:rFonts w:ascii="Arial" w:hAnsi="Arial" w:cs="Arial"/>
          <w:color w:val="auto"/>
          <w:sz w:val="24"/>
          <w:szCs w:val="24"/>
        </w:rPr>
        <w:t>realizacji PSRT WP są dalsze opóźnienia w przyjęciu K</w:t>
      </w:r>
      <w:r w:rsidR="005F2BD4" w:rsidRPr="00237760">
        <w:rPr>
          <w:rFonts w:ascii="Arial" w:hAnsi="Arial" w:cs="Arial"/>
          <w:color w:val="auto"/>
          <w:sz w:val="24"/>
          <w:szCs w:val="24"/>
        </w:rPr>
        <w:t>rajowego Planu Odbudowy</w:t>
      </w:r>
      <w:r w:rsidR="00CC11A7" w:rsidRPr="00237760">
        <w:rPr>
          <w:rFonts w:ascii="Arial" w:hAnsi="Arial" w:cs="Arial"/>
          <w:color w:val="auto"/>
          <w:sz w:val="24"/>
          <w:szCs w:val="24"/>
        </w:rPr>
        <w:t>.</w:t>
      </w:r>
    </w:p>
    <w:p w14:paraId="17BD2A8D" w14:textId="148E9CA7" w:rsidR="006804B6" w:rsidRPr="00237760" w:rsidRDefault="009100DA" w:rsidP="009367B4">
      <w:pPr>
        <w:jc w:val="left"/>
        <w:rPr>
          <w:rFonts w:ascii="Arial" w:hAnsi="Arial" w:cs="Arial"/>
          <w:color w:val="auto"/>
          <w:sz w:val="24"/>
          <w:szCs w:val="24"/>
        </w:rPr>
      </w:pPr>
      <w:r w:rsidRPr="00237760">
        <w:rPr>
          <w:rFonts w:ascii="Arial" w:hAnsi="Arial" w:cs="Arial"/>
          <w:color w:val="auto"/>
          <w:sz w:val="24"/>
          <w:szCs w:val="24"/>
        </w:rPr>
        <w:t>Ponadto</w:t>
      </w:r>
      <w:r w:rsidR="00401172" w:rsidRPr="00237760">
        <w:rPr>
          <w:rFonts w:ascii="Arial" w:hAnsi="Arial" w:cs="Arial"/>
          <w:color w:val="auto"/>
          <w:sz w:val="24"/>
          <w:szCs w:val="24"/>
        </w:rPr>
        <w:t>,</w:t>
      </w:r>
      <w:r w:rsidRPr="00237760">
        <w:rPr>
          <w:rFonts w:ascii="Arial" w:hAnsi="Arial" w:cs="Arial"/>
          <w:color w:val="auto"/>
          <w:sz w:val="24"/>
          <w:szCs w:val="24"/>
        </w:rPr>
        <w:t xml:space="preserve"> w odniesieniu do wskazanych 9-ciu obszarów</w:t>
      </w:r>
      <w:r w:rsidR="00401172" w:rsidRPr="00237760">
        <w:rPr>
          <w:rFonts w:ascii="Arial" w:hAnsi="Arial" w:cs="Arial"/>
          <w:color w:val="auto"/>
          <w:sz w:val="24"/>
          <w:szCs w:val="24"/>
        </w:rPr>
        <w:t xml:space="preserve">, bazując na wynikach panelu ekspertów </w:t>
      </w:r>
      <w:r w:rsidR="00147C19" w:rsidRPr="00237760">
        <w:rPr>
          <w:rFonts w:ascii="Arial" w:hAnsi="Arial" w:cs="Arial"/>
          <w:color w:val="auto"/>
          <w:sz w:val="24"/>
          <w:szCs w:val="24"/>
        </w:rPr>
        <w:t>(</w:t>
      </w:r>
      <w:r w:rsidR="00147C19" w:rsidRPr="00237760">
        <w:rPr>
          <w:rFonts w:ascii="Arial" w:hAnsi="Arial" w:cs="Arial"/>
          <w:color w:val="auto"/>
          <w:sz w:val="24"/>
          <w:szCs w:val="24"/>
        </w:rPr>
        <w:fldChar w:fldCharType="begin"/>
      </w:r>
      <w:r w:rsidR="00147C19" w:rsidRPr="00237760">
        <w:rPr>
          <w:rFonts w:ascii="Arial" w:hAnsi="Arial" w:cs="Arial"/>
          <w:color w:val="auto"/>
          <w:sz w:val="24"/>
          <w:szCs w:val="24"/>
        </w:rPr>
        <w:instrText xml:space="preserve"> REF _Ref100926147 \h </w:instrText>
      </w:r>
      <w:r w:rsidR="00237760" w:rsidRPr="00237760">
        <w:rPr>
          <w:rFonts w:ascii="Arial" w:hAnsi="Arial" w:cs="Arial"/>
          <w:color w:val="auto"/>
          <w:sz w:val="24"/>
          <w:szCs w:val="24"/>
        </w:rPr>
        <w:instrText xml:space="preserve"> \* MERGEFORMAT </w:instrText>
      </w:r>
      <w:r w:rsidR="00147C19" w:rsidRPr="00237760">
        <w:rPr>
          <w:rFonts w:ascii="Arial" w:hAnsi="Arial" w:cs="Arial"/>
          <w:color w:val="auto"/>
          <w:sz w:val="24"/>
          <w:szCs w:val="24"/>
        </w:rPr>
      </w:r>
      <w:r w:rsidR="00147C19" w:rsidRPr="00237760">
        <w:rPr>
          <w:rFonts w:ascii="Arial" w:hAnsi="Arial" w:cs="Arial"/>
          <w:color w:val="auto"/>
          <w:sz w:val="24"/>
          <w:szCs w:val="24"/>
        </w:rPr>
        <w:fldChar w:fldCharType="separate"/>
      </w:r>
      <w:r w:rsidR="00E52C19" w:rsidRPr="00237760">
        <w:rPr>
          <w:rFonts w:ascii="Arial" w:hAnsi="Arial" w:cs="Arial"/>
          <w:color w:val="auto"/>
          <w:sz w:val="24"/>
          <w:szCs w:val="24"/>
        </w:rPr>
        <w:t xml:space="preserve">Tabela </w:t>
      </w:r>
      <w:r w:rsidR="00E52C19" w:rsidRPr="00237760">
        <w:rPr>
          <w:rFonts w:ascii="Arial" w:hAnsi="Arial" w:cs="Arial"/>
          <w:noProof/>
          <w:color w:val="auto"/>
          <w:sz w:val="24"/>
          <w:szCs w:val="24"/>
        </w:rPr>
        <w:t>13</w:t>
      </w:r>
      <w:r w:rsidR="00147C19" w:rsidRPr="00237760">
        <w:rPr>
          <w:rFonts w:ascii="Arial" w:hAnsi="Arial" w:cs="Arial"/>
          <w:color w:val="auto"/>
          <w:sz w:val="24"/>
          <w:szCs w:val="24"/>
        </w:rPr>
        <w:fldChar w:fldCharType="end"/>
      </w:r>
      <w:r w:rsidR="00147C19" w:rsidRPr="00237760">
        <w:rPr>
          <w:rFonts w:ascii="Arial" w:hAnsi="Arial" w:cs="Arial"/>
          <w:color w:val="auto"/>
          <w:sz w:val="24"/>
          <w:szCs w:val="24"/>
        </w:rPr>
        <w:t>)</w:t>
      </w:r>
      <w:r w:rsidR="00A8412D" w:rsidRPr="00237760">
        <w:rPr>
          <w:rFonts w:ascii="Arial" w:hAnsi="Arial" w:cs="Arial"/>
          <w:color w:val="auto"/>
          <w:sz w:val="24"/>
          <w:szCs w:val="24"/>
        </w:rPr>
        <w:t xml:space="preserve">, należy zwrócić </w:t>
      </w:r>
      <w:r w:rsidR="004E2B81" w:rsidRPr="00237760">
        <w:rPr>
          <w:rFonts w:ascii="Arial" w:hAnsi="Arial" w:cs="Arial"/>
          <w:color w:val="auto"/>
          <w:sz w:val="24"/>
          <w:szCs w:val="24"/>
        </w:rPr>
        <w:t xml:space="preserve">szczególną </w:t>
      </w:r>
      <w:r w:rsidR="00A8412D" w:rsidRPr="00237760">
        <w:rPr>
          <w:rFonts w:ascii="Arial" w:hAnsi="Arial" w:cs="Arial"/>
          <w:color w:val="auto"/>
          <w:sz w:val="24"/>
          <w:szCs w:val="24"/>
        </w:rPr>
        <w:t xml:space="preserve">uwagę na następujące elementy </w:t>
      </w:r>
      <w:r w:rsidR="006804B6" w:rsidRPr="00237760">
        <w:rPr>
          <w:rFonts w:ascii="Arial" w:hAnsi="Arial" w:cs="Arial"/>
          <w:color w:val="auto"/>
          <w:sz w:val="24"/>
          <w:szCs w:val="24"/>
        </w:rPr>
        <w:t>PSRT WP:</w:t>
      </w:r>
    </w:p>
    <w:p w14:paraId="6C902E5B" w14:textId="0505350B" w:rsidR="00FB7767" w:rsidRPr="00237760" w:rsidRDefault="008A4442" w:rsidP="009367B4">
      <w:pPr>
        <w:pStyle w:val="Akapitzlist"/>
        <w:numPr>
          <w:ilvl w:val="0"/>
          <w:numId w:val="58"/>
        </w:numPr>
        <w:ind w:left="426"/>
        <w:contextualSpacing/>
        <w:jc w:val="left"/>
        <w:rPr>
          <w:rFonts w:ascii="Arial" w:hAnsi="Arial" w:cs="Arial"/>
          <w:color w:val="auto"/>
          <w:sz w:val="24"/>
          <w:szCs w:val="24"/>
        </w:rPr>
      </w:pPr>
      <w:r w:rsidRPr="00237760">
        <w:rPr>
          <w:rFonts w:ascii="Arial" w:hAnsi="Arial" w:cs="Arial"/>
          <w:color w:val="auto"/>
          <w:sz w:val="24"/>
          <w:szCs w:val="24"/>
        </w:rPr>
        <w:t xml:space="preserve">spójność komunikacyjna regionu wewnętrzna i zewnętrzna może być budowana w oparciu o już realizowane i zrealizowane inwestycje </w:t>
      </w:r>
      <w:r w:rsidR="0012353F" w:rsidRPr="00237760">
        <w:rPr>
          <w:rFonts w:ascii="Arial" w:hAnsi="Arial" w:cs="Arial"/>
          <w:color w:val="auto"/>
          <w:sz w:val="24"/>
          <w:szCs w:val="24"/>
        </w:rPr>
        <w:t xml:space="preserve">w sieci TEN-T. Oznacza to, że kluczowe, z punktu widzenia </w:t>
      </w:r>
      <w:r w:rsidR="004A1734" w:rsidRPr="00237760">
        <w:rPr>
          <w:rFonts w:ascii="Arial" w:hAnsi="Arial" w:cs="Arial"/>
          <w:color w:val="auto"/>
          <w:sz w:val="24"/>
          <w:szCs w:val="24"/>
        </w:rPr>
        <w:t xml:space="preserve">Programu, będą te działania, które najwydatniej poprawią powiązania </w:t>
      </w:r>
      <w:r w:rsidR="00E60B1E" w:rsidRPr="00237760">
        <w:rPr>
          <w:rFonts w:ascii="Arial" w:hAnsi="Arial" w:cs="Arial"/>
          <w:color w:val="auto"/>
          <w:sz w:val="24"/>
          <w:szCs w:val="24"/>
        </w:rPr>
        <w:t>wewnętrzne z tą siecią (np. dojazdy do autostrady)</w:t>
      </w:r>
      <w:r w:rsidR="00BC133B" w:rsidRPr="00237760">
        <w:rPr>
          <w:rFonts w:ascii="Arial" w:hAnsi="Arial" w:cs="Arial"/>
          <w:color w:val="auto"/>
          <w:sz w:val="24"/>
          <w:szCs w:val="24"/>
        </w:rPr>
        <w:t>;</w:t>
      </w:r>
    </w:p>
    <w:p w14:paraId="27E3A664" w14:textId="77777777" w:rsidR="00B8627E" w:rsidRPr="00237760" w:rsidRDefault="00067208" w:rsidP="009367B4">
      <w:pPr>
        <w:pStyle w:val="Akapitzlist"/>
        <w:numPr>
          <w:ilvl w:val="0"/>
          <w:numId w:val="58"/>
        </w:numPr>
        <w:ind w:left="426"/>
        <w:contextualSpacing/>
        <w:jc w:val="left"/>
        <w:rPr>
          <w:rFonts w:ascii="Arial" w:hAnsi="Arial" w:cs="Arial"/>
          <w:color w:val="auto"/>
          <w:sz w:val="24"/>
          <w:szCs w:val="24"/>
        </w:rPr>
      </w:pPr>
      <w:r w:rsidRPr="00237760">
        <w:rPr>
          <w:rFonts w:ascii="Arial" w:hAnsi="Arial" w:cs="Arial"/>
          <w:color w:val="auto"/>
          <w:sz w:val="24"/>
          <w:szCs w:val="24"/>
        </w:rPr>
        <w:t xml:space="preserve">możliwości rozwoju transportu zbiorowego (niskoemisyjnego lub zeroemisyjnego) </w:t>
      </w:r>
      <w:r w:rsidR="00DA2E27" w:rsidRPr="00237760">
        <w:rPr>
          <w:rFonts w:ascii="Arial" w:hAnsi="Arial" w:cs="Arial"/>
          <w:color w:val="auto"/>
          <w:sz w:val="24"/>
          <w:szCs w:val="24"/>
        </w:rPr>
        <w:t xml:space="preserve">podlegają dwóm przeciwstawnym siłom. Ograniczeniem </w:t>
      </w:r>
      <w:r w:rsidR="004B4A04" w:rsidRPr="00237760">
        <w:rPr>
          <w:rFonts w:ascii="Arial" w:hAnsi="Arial" w:cs="Arial"/>
          <w:color w:val="auto"/>
          <w:sz w:val="24"/>
          <w:szCs w:val="24"/>
        </w:rPr>
        <w:t xml:space="preserve">jest efekt pandemii. Dodatkowo negatywny wpływ na </w:t>
      </w:r>
      <w:r w:rsidR="00D80886" w:rsidRPr="00237760">
        <w:rPr>
          <w:rFonts w:ascii="Arial" w:hAnsi="Arial" w:cs="Arial"/>
          <w:color w:val="auto"/>
          <w:sz w:val="24"/>
          <w:szCs w:val="24"/>
        </w:rPr>
        <w:t xml:space="preserve">transport zbiorowy może mieć sytuacja </w:t>
      </w:r>
      <w:r w:rsidR="00A143E8" w:rsidRPr="00237760">
        <w:rPr>
          <w:rFonts w:ascii="Arial" w:hAnsi="Arial" w:cs="Arial"/>
          <w:color w:val="auto"/>
          <w:sz w:val="24"/>
          <w:szCs w:val="24"/>
        </w:rPr>
        <w:t xml:space="preserve">w Ukrainie, co wcale nie musi być działanie długotrwałym, z punktu widzenia horyzontu PSRT WP. Z kolei pozytywnie na </w:t>
      </w:r>
      <w:r w:rsidR="001A3CEB" w:rsidRPr="00237760">
        <w:rPr>
          <w:rFonts w:ascii="Arial" w:hAnsi="Arial" w:cs="Arial"/>
          <w:color w:val="auto"/>
          <w:sz w:val="24"/>
          <w:szCs w:val="24"/>
        </w:rPr>
        <w:t xml:space="preserve">omawiany element systemu transportowego wpływać mogą wzrastające koszty transportu indywidualnego (np. ceny paliw), a na pewno </w:t>
      </w:r>
      <w:r w:rsidR="0034321E" w:rsidRPr="00237760">
        <w:rPr>
          <w:rFonts w:ascii="Arial" w:hAnsi="Arial" w:cs="Arial"/>
          <w:color w:val="auto"/>
          <w:sz w:val="24"/>
          <w:szCs w:val="24"/>
        </w:rPr>
        <w:t xml:space="preserve">do rozwoju transportu zbiorowego pozytywnie </w:t>
      </w:r>
      <w:r w:rsidR="0034321E" w:rsidRPr="00237760">
        <w:rPr>
          <w:rFonts w:ascii="Arial" w:hAnsi="Arial" w:cs="Arial"/>
          <w:color w:val="auto"/>
          <w:sz w:val="24"/>
          <w:szCs w:val="24"/>
        </w:rPr>
        <w:lastRenderedPageBreak/>
        <w:t>przyczyniać się będzie właściwa organizacja ruchu (</w:t>
      </w:r>
      <w:r w:rsidR="0054461A" w:rsidRPr="00237760">
        <w:rPr>
          <w:rFonts w:ascii="Arial" w:hAnsi="Arial" w:cs="Arial"/>
          <w:color w:val="auto"/>
          <w:sz w:val="24"/>
          <w:szCs w:val="24"/>
        </w:rPr>
        <w:t xml:space="preserve">częstotliwość i </w:t>
      </w:r>
      <w:r w:rsidR="00BC4D4B" w:rsidRPr="00237760">
        <w:rPr>
          <w:rFonts w:ascii="Arial" w:hAnsi="Arial" w:cs="Arial"/>
          <w:color w:val="auto"/>
          <w:sz w:val="24"/>
          <w:szCs w:val="24"/>
        </w:rPr>
        <w:t xml:space="preserve">jakość połączeń w transporcie zbiorowym, </w:t>
      </w:r>
      <w:r w:rsidR="0034321E" w:rsidRPr="00237760">
        <w:rPr>
          <w:rFonts w:ascii="Arial" w:hAnsi="Arial" w:cs="Arial"/>
          <w:color w:val="auto"/>
          <w:sz w:val="24"/>
          <w:szCs w:val="24"/>
        </w:rPr>
        <w:t xml:space="preserve">rozwój P&amp;R, ograniczenia wjazdu </w:t>
      </w:r>
      <w:r w:rsidR="00BC4D4B" w:rsidRPr="00237760">
        <w:rPr>
          <w:rFonts w:ascii="Arial" w:hAnsi="Arial" w:cs="Arial"/>
          <w:color w:val="auto"/>
          <w:sz w:val="24"/>
          <w:szCs w:val="24"/>
        </w:rPr>
        <w:t xml:space="preserve">samochodów do wybranych </w:t>
      </w:r>
      <w:r w:rsidR="0034321E" w:rsidRPr="00237760">
        <w:rPr>
          <w:rFonts w:ascii="Arial" w:hAnsi="Arial" w:cs="Arial"/>
          <w:color w:val="auto"/>
          <w:sz w:val="24"/>
          <w:szCs w:val="24"/>
        </w:rPr>
        <w:t xml:space="preserve">stref, </w:t>
      </w:r>
      <w:r w:rsidR="00861EF8" w:rsidRPr="00237760">
        <w:rPr>
          <w:rFonts w:ascii="Arial" w:hAnsi="Arial" w:cs="Arial"/>
          <w:color w:val="auto"/>
          <w:sz w:val="24"/>
          <w:szCs w:val="24"/>
        </w:rPr>
        <w:t>opłaty parkingowe etc.);</w:t>
      </w:r>
    </w:p>
    <w:p w14:paraId="14662E36" w14:textId="36DA3C38" w:rsidR="00861EF8" w:rsidRPr="00237760" w:rsidRDefault="002C7053" w:rsidP="009367B4">
      <w:pPr>
        <w:pStyle w:val="Akapitzlist"/>
        <w:numPr>
          <w:ilvl w:val="0"/>
          <w:numId w:val="58"/>
        </w:numPr>
        <w:ind w:left="426"/>
        <w:contextualSpacing/>
        <w:jc w:val="left"/>
        <w:rPr>
          <w:rFonts w:ascii="Arial" w:hAnsi="Arial" w:cs="Arial"/>
          <w:color w:val="auto"/>
          <w:sz w:val="24"/>
          <w:szCs w:val="24"/>
        </w:rPr>
      </w:pPr>
      <w:r w:rsidRPr="00237760">
        <w:rPr>
          <w:rFonts w:ascii="Arial" w:hAnsi="Arial" w:cs="Arial"/>
          <w:color w:val="auto"/>
          <w:sz w:val="24"/>
          <w:szCs w:val="24"/>
        </w:rPr>
        <w:t>wpływ realizacji PSRT W</w:t>
      </w:r>
      <w:r w:rsidR="00D4330C" w:rsidRPr="00237760">
        <w:rPr>
          <w:rFonts w:ascii="Arial" w:hAnsi="Arial" w:cs="Arial"/>
          <w:color w:val="auto"/>
          <w:sz w:val="24"/>
          <w:szCs w:val="24"/>
        </w:rPr>
        <w:t>P na jakość środowiska przyrodniczego, czystość powietrza etc. jest ograniczony</w:t>
      </w:r>
      <w:r w:rsidR="00DC6CC5" w:rsidRPr="00237760">
        <w:rPr>
          <w:rFonts w:ascii="Arial" w:hAnsi="Arial" w:cs="Arial"/>
          <w:color w:val="auto"/>
          <w:sz w:val="24"/>
          <w:szCs w:val="24"/>
        </w:rPr>
        <w:t xml:space="preserve"> ze względu na </w:t>
      </w:r>
      <w:r w:rsidR="00C86817" w:rsidRPr="00237760">
        <w:rPr>
          <w:rFonts w:ascii="Arial" w:hAnsi="Arial" w:cs="Arial"/>
          <w:color w:val="auto"/>
          <w:sz w:val="24"/>
          <w:szCs w:val="24"/>
        </w:rPr>
        <w:t xml:space="preserve">przyjęty w Polsce podział kompetencji i </w:t>
      </w:r>
      <w:r w:rsidR="008F3794" w:rsidRPr="00237760">
        <w:rPr>
          <w:rFonts w:ascii="Arial" w:hAnsi="Arial" w:cs="Arial"/>
          <w:color w:val="auto"/>
          <w:sz w:val="24"/>
          <w:szCs w:val="24"/>
        </w:rPr>
        <w:t>odpowiedzialności za</w:t>
      </w:r>
      <w:r w:rsidR="00C86817" w:rsidRPr="00237760">
        <w:rPr>
          <w:rFonts w:ascii="Arial" w:hAnsi="Arial" w:cs="Arial"/>
          <w:color w:val="auto"/>
          <w:sz w:val="24"/>
          <w:szCs w:val="24"/>
        </w:rPr>
        <w:t xml:space="preserve"> zagadnienia transportowe</w:t>
      </w:r>
      <w:r w:rsidR="000B31C5" w:rsidRPr="00237760">
        <w:rPr>
          <w:rFonts w:ascii="Arial" w:hAnsi="Arial" w:cs="Arial"/>
          <w:color w:val="auto"/>
          <w:sz w:val="24"/>
          <w:szCs w:val="24"/>
        </w:rPr>
        <w:t xml:space="preserve"> (samorząd województwa </w:t>
      </w:r>
      <w:r w:rsidR="00E065AB" w:rsidRPr="00237760">
        <w:rPr>
          <w:rFonts w:ascii="Arial" w:hAnsi="Arial" w:cs="Arial"/>
          <w:color w:val="auto"/>
          <w:sz w:val="24"/>
          <w:szCs w:val="24"/>
        </w:rPr>
        <w:t>odpowiada z</w:t>
      </w:r>
      <w:r w:rsidR="000B31C5" w:rsidRPr="00237760">
        <w:rPr>
          <w:rFonts w:ascii="Arial" w:hAnsi="Arial" w:cs="Arial"/>
          <w:color w:val="auto"/>
          <w:sz w:val="24"/>
          <w:szCs w:val="24"/>
        </w:rPr>
        <w:t>a ni</w:t>
      </w:r>
      <w:r w:rsidR="00E065AB" w:rsidRPr="00237760">
        <w:rPr>
          <w:rFonts w:ascii="Arial" w:hAnsi="Arial" w:cs="Arial"/>
          <w:color w:val="auto"/>
          <w:sz w:val="24"/>
          <w:szCs w:val="24"/>
        </w:rPr>
        <w:t xml:space="preserve">ewielką </w:t>
      </w:r>
      <w:r w:rsidR="000B31C5" w:rsidRPr="00237760">
        <w:rPr>
          <w:rFonts w:ascii="Arial" w:hAnsi="Arial" w:cs="Arial"/>
          <w:color w:val="auto"/>
          <w:sz w:val="24"/>
          <w:szCs w:val="24"/>
        </w:rPr>
        <w:t>część obszaru transportu)</w:t>
      </w:r>
      <w:r w:rsidR="004734A3" w:rsidRPr="00237760">
        <w:rPr>
          <w:rFonts w:ascii="Arial" w:hAnsi="Arial" w:cs="Arial"/>
          <w:color w:val="auto"/>
          <w:sz w:val="24"/>
          <w:szCs w:val="24"/>
        </w:rPr>
        <w:t>.</w:t>
      </w:r>
      <w:r w:rsidR="00C86817" w:rsidRPr="00237760">
        <w:rPr>
          <w:rFonts w:ascii="Arial" w:hAnsi="Arial" w:cs="Arial"/>
          <w:color w:val="auto"/>
          <w:sz w:val="24"/>
          <w:szCs w:val="24"/>
        </w:rPr>
        <w:t xml:space="preserve"> Należy jednak podkreślić, że </w:t>
      </w:r>
      <w:r w:rsidR="00211780" w:rsidRPr="00237760">
        <w:rPr>
          <w:rFonts w:ascii="Arial" w:hAnsi="Arial" w:cs="Arial"/>
          <w:color w:val="auto"/>
          <w:sz w:val="24"/>
          <w:szCs w:val="24"/>
        </w:rPr>
        <w:t xml:space="preserve">planowane w PSRT WP inwestycje służą również eliminacji </w:t>
      </w:r>
      <w:r w:rsidR="00EF3121" w:rsidRPr="00237760">
        <w:rPr>
          <w:rFonts w:ascii="Arial" w:hAnsi="Arial" w:cs="Arial"/>
          <w:color w:val="auto"/>
          <w:sz w:val="24"/>
          <w:szCs w:val="24"/>
        </w:rPr>
        <w:t xml:space="preserve">wykluczenia transportowego, czego efektem będzie wzrost ruchu </w:t>
      </w:r>
      <w:r w:rsidR="007B6604" w:rsidRPr="00237760">
        <w:rPr>
          <w:rFonts w:ascii="Arial" w:hAnsi="Arial" w:cs="Arial"/>
          <w:color w:val="auto"/>
          <w:sz w:val="24"/>
          <w:szCs w:val="24"/>
        </w:rPr>
        <w:t xml:space="preserve">pasażerskiego </w:t>
      </w:r>
      <w:r w:rsidR="00C605B2" w:rsidRPr="00237760">
        <w:rPr>
          <w:rFonts w:ascii="Arial" w:hAnsi="Arial" w:cs="Arial"/>
          <w:color w:val="auto"/>
          <w:sz w:val="24"/>
          <w:szCs w:val="24"/>
        </w:rPr>
        <w:br/>
      </w:r>
      <w:r w:rsidR="007B6604" w:rsidRPr="00237760">
        <w:rPr>
          <w:rFonts w:ascii="Arial" w:hAnsi="Arial" w:cs="Arial"/>
          <w:color w:val="auto"/>
          <w:sz w:val="24"/>
          <w:szCs w:val="24"/>
        </w:rPr>
        <w:t xml:space="preserve">i towarowego, a także wzrost podróży indywidualnych. </w:t>
      </w:r>
      <w:r w:rsidR="00B8627E" w:rsidRPr="00237760">
        <w:rPr>
          <w:rFonts w:ascii="Arial" w:hAnsi="Arial" w:cs="Arial"/>
          <w:color w:val="auto"/>
          <w:sz w:val="24"/>
          <w:szCs w:val="24"/>
        </w:rPr>
        <w:t>Zatem</w:t>
      </w:r>
      <w:r w:rsidR="00CB35EA" w:rsidRPr="00237760">
        <w:rPr>
          <w:rFonts w:ascii="Arial" w:hAnsi="Arial" w:cs="Arial"/>
          <w:color w:val="auto"/>
          <w:sz w:val="24"/>
          <w:szCs w:val="24"/>
        </w:rPr>
        <w:t xml:space="preserve"> istotnym elementem zwiększającym pozytywny wpływ PRST WP na stan środowiska przyrodniczego będzie efektywna realizacja działań związanych z transportem zbiorowym</w:t>
      </w:r>
      <w:r w:rsidR="000B31C5" w:rsidRPr="00237760">
        <w:rPr>
          <w:rFonts w:ascii="Arial" w:hAnsi="Arial" w:cs="Arial"/>
          <w:color w:val="auto"/>
          <w:sz w:val="24"/>
          <w:szCs w:val="24"/>
        </w:rPr>
        <w:t>.</w:t>
      </w:r>
    </w:p>
    <w:p w14:paraId="517811DD" w14:textId="0989199A" w:rsidR="007E1DEB" w:rsidRPr="00237760" w:rsidRDefault="007E1DEB" w:rsidP="009367B4">
      <w:pPr>
        <w:pStyle w:val="Legenda"/>
        <w:keepNext/>
        <w:jc w:val="left"/>
        <w:rPr>
          <w:rFonts w:ascii="Arial" w:hAnsi="Arial" w:cs="Arial"/>
          <w:color w:val="auto"/>
          <w:sz w:val="24"/>
          <w:szCs w:val="24"/>
        </w:rPr>
      </w:pPr>
      <w:bookmarkStart w:id="110" w:name="_Ref100926147"/>
      <w:bookmarkStart w:id="111" w:name="_Toc101904254"/>
      <w:r w:rsidRPr="00237760">
        <w:rPr>
          <w:rFonts w:ascii="Arial" w:hAnsi="Arial" w:cs="Arial"/>
          <w:color w:val="auto"/>
          <w:sz w:val="24"/>
          <w:szCs w:val="24"/>
        </w:rPr>
        <w:t xml:space="preserve">Tabela </w:t>
      </w:r>
      <w:r w:rsidR="00A61695" w:rsidRPr="00237760">
        <w:rPr>
          <w:rFonts w:ascii="Arial" w:hAnsi="Arial" w:cs="Arial"/>
          <w:noProof/>
          <w:color w:val="auto"/>
          <w:sz w:val="24"/>
          <w:szCs w:val="24"/>
        </w:rPr>
        <w:fldChar w:fldCharType="begin"/>
      </w:r>
      <w:r w:rsidR="00A61695" w:rsidRPr="00237760">
        <w:rPr>
          <w:rFonts w:ascii="Arial" w:hAnsi="Arial" w:cs="Arial"/>
          <w:noProof/>
          <w:color w:val="auto"/>
          <w:sz w:val="24"/>
          <w:szCs w:val="24"/>
        </w:rPr>
        <w:instrText xml:space="preserve"> SEQ Tabela \* ARABIC </w:instrText>
      </w:r>
      <w:r w:rsidR="00A61695" w:rsidRPr="00237760">
        <w:rPr>
          <w:rFonts w:ascii="Arial" w:hAnsi="Arial" w:cs="Arial"/>
          <w:noProof/>
          <w:color w:val="auto"/>
          <w:sz w:val="24"/>
          <w:szCs w:val="24"/>
        </w:rPr>
        <w:fldChar w:fldCharType="separate"/>
      </w:r>
      <w:r w:rsidR="00762B20" w:rsidRPr="00237760">
        <w:rPr>
          <w:rFonts w:ascii="Arial" w:hAnsi="Arial" w:cs="Arial"/>
          <w:noProof/>
          <w:color w:val="auto"/>
          <w:sz w:val="24"/>
          <w:szCs w:val="24"/>
        </w:rPr>
        <w:t>13</w:t>
      </w:r>
      <w:r w:rsidR="00A61695" w:rsidRPr="00237760">
        <w:rPr>
          <w:rFonts w:ascii="Arial" w:hAnsi="Arial" w:cs="Arial"/>
          <w:noProof/>
          <w:color w:val="auto"/>
          <w:sz w:val="24"/>
          <w:szCs w:val="24"/>
        </w:rPr>
        <w:fldChar w:fldCharType="end"/>
      </w:r>
      <w:bookmarkEnd w:id="110"/>
      <w:r w:rsidRPr="00237760">
        <w:rPr>
          <w:rFonts w:ascii="Arial" w:hAnsi="Arial" w:cs="Arial"/>
          <w:color w:val="auto"/>
          <w:sz w:val="24"/>
          <w:szCs w:val="24"/>
        </w:rPr>
        <w:t xml:space="preserve">. Wnioski </w:t>
      </w:r>
      <w:r w:rsidR="00D7511B" w:rsidRPr="00237760">
        <w:rPr>
          <w:rFonts w:ascii="Arial" w:hAnsi="Arial" w:cs="Arial"/>
          <w:color w:val="auto"/>
          <w:sz w:val="24"/>
          <w:szCs w:val="24"/>
        </w:rPr>
        <w:t xml:space="preserve">z panelu </w:t>
      </w:r>
      <w:r w:rsidRPr="00237760">
        <w:rPr>
          <w:rFonts w:ascii="Arial" w:hAnsi="Arial" w:cs="Arial"/>
          <w:color w:val="auto"/>
          <w:sz w:val="24"/>
          <w:szCs w:val="24"/>
        </w:rPr>
        <w:t>ekspertów na podstawie matryc logicznyc</w:t>
      </w:r>
      <w:r w:rsidR="00D7511B" w:rsidRPr="00237760">
        <w:rPr>
          <w:rFonts w:ascii="Arial" w:hAnsi="Arial" w:cs="Arial"/>
          <w:color w:val="auto"/>
          <w:sz w:val="24"/>
          <w:szCs w:val="24"/>
        </w:rPr>
        <w:t>h</w:t>
      </w:r>
      <w:bookmarkEnd w:id="111"/>
    </w:p>
    <w:tbl>
      <w:tblPr>
        <w:tblStyle w:val="Tabela-Siatka"/>
        <w:tblW w:w="0" w:type="auto"/>
        <w:tblBorders>
          <w:top w:val="single" w:sz="4" w:space="0" w:color="002060"/>
          <w:left w:val="none" w:sz="0" w:space="0" w:color="auto"/>
          <w:bottom w:val="single" w:sz="4" w:space="0" w:color="002060"/>
          <w:right w:val="none" w:sz="0" w:space="0" w:color="auto"/>
          <w:insideH w:val="single" w:sz="4" w:space="0" w:color="002060"/>
          <w:insideV w:val="none" w:sz="0" w:space="0" w:color="auto"/>
        </w:tblBorders>
        <w:tblLook w:val="04A0" w:firstRow="1" w:lastRow="0" w:firstColumn="1" w:lastColumn="0" w:noHBand="0" w:noVBand="1"/>
        <w:tblCaption w:val="Tabela 13. Wnioski z panelu ekspertów na podstawie matryc logicznych"/>
        <w:tblDescription w:val="Tabela zawiera Obszar tematyczny i Wnioski z panelu ekspertów"/>
      </w:tblPr>
      <w:tblGrid>
        <w:gridCol w:w="2070"/>
        <w:gridCol w:w="7002"/>
      </w:tblGrid>
      <w:tr w:rsidR="00237760" w:rsidRPr="00237760" w14:paraId="04929EFD" w14:textId="77777777" w:rsidTr="00FB0EA1">
        <w:trPr>
          <w:trHeight w:val="50"/>
          <w:tblHeader/>
        </w:trPr>
        <w:tc>
          <w:tcPr>
            <w:tcW w:w="1418" w:type="dxa"/>
            <w:tcBorders>
              <w:top w:val="single" w:sz="12" w:space="0" w:color="002060"/>
            </w:tcBorders>
            <w:shd w:val="clear" w:color="auto" w:fill="auto"/>
            <w:vAlign w:val="center"/>
          </w:tcPr>
          <w:p w14:paraId="6EE0503B" w14:textId="1797C08D" w:rsidR="00FF6F8E" w:rsidRPr="00237760" w:rsidRDefault="00FF6F8E" w:rsidP="009367B4">
            <w:pPr>
              <w:spacing w:after="0" w:line="259" w:lineRule="auto"/>
              <w:jc w:val="left"/>
              <w:rPr>
                <w:rFonts w:ascii="Arial" w:hAnsi="Arial" w:cs="Arial"/>
                <w:b/>
                <w:bCs/>
                <w:color w:val="auto"/>
                <w:sz w:val="24"/>
                <w:szCs w:val="24"/>
                <w:lang w:eastAsia="pl-PL"/>
              </w:rPr>
            </w:pPr>
            <w:r w:rsidRPr="00237760">
              <w:rPr>
                <w:rFonts w:ascii="Arial" w:hAnsi="Arial" w:cs="Arial"/>
                <w:b/>
                <w:bCs/>
                <w:color w:val="auto"/>
                <w:sz w:val="24"/>
                <w:szCs w:val="24"/>
                <w:lang w:eastAsia="pl-PL"/>
              </w:rPr>
              <w:t xml:space="preserve">Obszar </w:t>
            </w:r>
            <w:r w:rsidR="00F95948" w:rsidRPr="00237760">
              <w:rPr>
                <w:rFonts w:ascii="Arial" w:hAnsi="Arial" w:cs="Arial"/>
                <w:b/>
                <w:bCs/>
                <w:color w:val="auto"/>
                <w:sz w:val="24"/>
                <w:szCs w:val="24"/>
                <w:lang w:eastAsia="pl-PL"/>
              </w:rPr>
              <w:t>tematycz</w:t>
            </w:r>
            <w:r w:rsidR="0010242D" w:rsidRPr="00237760">
              <w:rPr>
                <w:rFonts w:ascii="Arial" w:hAnsi="Arial" w:cs="Arial"/>
                <w:b/>
                <w:bCs/>
                <w:color w:val="auto"/>
                <w:sz w:val="24"/>
                <w:szCs w:val="24"/>
                <w:lang w:eastAsia="pl-PL"/>
              </w:rPr>
              <w:t>n</w:t>
            </w:r>
            <w:r w:rsidR="00F95948" w:rsidRPr="00237760">
              <w:rPr>
                <w:rFonts w:ascii="Arial" w:hAnsi="Arial" w:cs="Arial"/>
                <w:b/>
                <w:bCs/>
                <w:color w:val="auto"/>
                <w:sz w:val="24"/>
                <w:szCs w:val="24"/>
                <w:lang w:eastAsia="pl-PL"/>
              </w:rPr>
              <w:t>y</w:t>
            </w:r>
          </w:p>
        </w:tc>
        <w:tc>
          <w:tcPr>
            <w:tcW w:w="7654" w:type="dxa"/>
            <w:tcBorders>
              <w:top w:val="single" w:sz="12" w:space="0" w:color="002060"/>
            </w:tcBorders>
            <w:shd w:val="clear" w:color="auto" w:fill="auto"/>
            <w:vAlign w:val="center"/>
          </w:tcPr>
          <w:p w14:paraId="2E72C8EB" w14:textId="649C466A" w:rsidR="00FF6F8E" w:rsidRPr="00237760" w:rsidRDefault="00097148" w:rsidP="009367B4">
            <w:pPr>
              <w:spacing w:after="0" w:line="259" w:lineRule="auto"/>
              <w:jc w:val="left"/>
              <w:rPr>
                <w:rFonts w:ascii="Arial" w:hAnsi="Arial" w:cs="Arial"/>
                <w:b/>
                <w:bCs/>
                <w:color w:val="auto"/>
                <w:sz w:val="24"/>
                <w:szCs w:val="24"/>
                <w:lang w:eastAsia="pl-PL"/>
              </w:rPr>
            </w:pPr>
            <w:r w:rsidRPr="00237760">
              <w:rPr>
                <w:rFonts w:ascii="Arial" w:hAnsi="Arial" w:cs="Arial"/>
                <w:b/>
                <w:bCs/>
                <w:color w:val="auto"/>
                <w:sz w:val="24"/>
                <w:szCs w:val="24"/>
                <w:lang w:eastAsia="pl-PL"/>
              </w:rPr>
              <w:t>W</w:t>
            </w:r>
            <w:r w:rsidR="0041232B" w:rsidRPr="00237760">
              <w:rPr>
                <w:rFonts w:ascii="Arial" w:hAnsi="Arial" w:cs="Arial"/>
                <w:b/>
                <w:bCs/>
                <w:color w:val="auto"/>
                <w:sz w:val="24"/>
                <w:szCs w:val="24"/>
                <w:lang w:eastAsia="pl-PL"/>
              </w:rPr>
              <w:t xml:space="preserve">nioski </w:t>
            </w:r>
            <w:r w:rsidR="001D13AB" w:rsidRPr="00237760">
              <w:rPr>
                <w:rFonts w:ascii="Arial" w:hAnsi="Arial" w:cs="Arial"/>
                <w:b/>
                <w:bCs/>
                <w:color w:val="auto"/>
                <w:sz w:val="24"/>
                <w:szCs w:val="24"/>
                <w:lang w:eastAsia="pl-PL"/>
              </w:rPr>
              <w:t xml:space="preserve">z panelu </w:t>
            </w:r>
            <w:r w:rsidR="0041232B" w:rsidRPr="00237760">
              <w:rPr>
                <w:rFonts w:ascii="Arial" w:hAnsi="Arial" w:cs="Arial"/>
                <w:b/>
                <w:bCs/>
                <w:color w:val="auto"/>
                <w:sz w:val="24"/>
                <w:szCs w:val="24"/>
                <w:lang w:eastAsia="pl-PL"/>
              </w:rPr>
              <w:t>ekspertów</w:t>
            </w:r>
          </w:p>
        </w:tc>
      </w:tr>
      <w:tr w:rsidR="00237760" w:rsidRPr="00237760" w14:paraId="3AE962B0" w14:textId="77777777" w:rsidTr="00F077C6">
        <w:tc>
          <w:tcPr>
            <w:tcW w:w="1418" w:type="dxa"/>
            <w:shd w:val="clear" w:color="auto" w:fill="auto"/>
            <w:vAlign w:val="center"/>
          </w:tcPr>
          <w:p w14:paraId="07EA0B8F" w14:textId="3AE5575D" w:rsidR="00FF6F8E" w:rsidRPr="00237760" w:rsidRDefault="00C0032F" w:rsidP="009367B4">
            <w:pPr>
              <w:spacing w:after="0" w:line="259" w:lineRule="auto"/>
              <w:jc w:val="left"/>
              <w:rPr>
                <w:rFonts w:ascii="Arial" w:hAnsi="Arial" w:cs="Arial"/>
                <w:b/>
                <w:bCs/>
                <w:color w:val="auto"/>
                <w:sz w:val="24"/>
                <w:szCs w:val="24"/>
                <w:lang w:eastAsia="pl-PL"/>
              </w:rPr>
            </w:pPr>
            <w:r w:rsidRPr="00237760">
              <w:rPr>
                <w:rFonts w:ascii="Arial" w:hAnsi="Arial" w:cs="Arial"/>
                <w:b/>
                <w:bCs/>
                <w:color w:val="auto"/>
                <w:sz w:val="24"/>
                <w:szCs w:val="24"/>
                <w:lang w:eastAsia="pl-PL"/>
              </w:rPr>
              <w:t>Inwestycje drogowe wewnętrzne</w:t>
            </w:r>
          </w:p>
        </w:tc>
        <w:tc>
          <w:tcPr>
            <w:tcW w:w="7654" w:type="dxa"/>
          </w:tcPr>
          <w:p w14:paraId="55113C6B" w14:textId="77777777" w:rsidR="00531D58" w:rsidRPr="00237760" w:rsidRDefault="00531D58"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Kluczowy jest jednoczesny rozwój autostrad w regionie i obwodnic regionalnych biegunów wzrostu w celu utworzenia spójnej sieci transportowej.</w:t>
            </w:r>
          </w:p>
          <w:p w14:paraId="311D2559" w14:textId="3AB92026" w:rsidR="00ED0974" w:rsidRPr="00237760" w:rsidRDefault="00531D58"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 xml:space="preserve">Należy </w:t>
            </w:r>
            <w:r w:rsidR="00DE2EFD" w:rsidRPr="00237760">
              <w:rPr>
                <w:rFonts w:ascii="Arial" w:hAnsi="Arial" w:cs="Arial"/>
                <w:color w:val="auto"/>
                <w:sz w:val="24"/>
                <w:szCs w:val="24"/>
              </w:rPr>
              <w:t xml:space="preserve">podkreślić konieczność </w:t>
            </w:r>
            <w:r w:rsidRPr="00237760">
              <w:rPr>
                <w:rFonts w:ascii="Arial" w:hAnsi="Arial" w:cs="Arial"/>
                <w:color w:val="auto"/>
                <w:sz w:val="24"/>
                <w:szCs w:val="24"/>
              </w:rPr>
              <w:t>popraw</w:t>
            </w:r>
            <w:r w:rsidR="00DE2EFD" w:rsidRPr="00237760">
              <w:rPr>
                <w:rFonts w:ascii="Arial" w:hAnsi="Arial" w:cs="Arial"/>
                <w:color w:val="auto"/>
                <w:sz w:val="24"/>
                <w:szCs w:val="24"/>
              </w:rPr>
              <w:t>y</w:t>
            </w:r>
            <w:r w:rsidRPr="00237760">
              <w:rPr>
                <w:rFonts w:ascii="Arial" w:hAnsi="Arial" w:cs="Arial"/>
                <w:color w:val="auto"/>
                <w:sz w:val="24"/>
                <w:szCs w:val="24"/>
              </w:rPr>
              <w:t xml:space="preserve"> dostępności obszarów peryferyjnych.</w:t>
            </w:r>
          </w:p>
          <w:p w14:paraId="38CA108A" w14:textId="76023E92" w:rsidR="00FF6F8E" w:rsidRPr="00237760" w:rsidRDefault="00224ECF"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 xml:space="preserve">Z punktu widzenia spójności wewnętrznej istotny jest </w:t>
            </w:r>
            <w:r w:rsidR="00ED0974" w:rsidRPr="00237760">
              <w:rPr>
                <w:rFonts w:ascii="Arial" w:hAnsi="Arial" w:cs="Arial"/>
                <w:color w:val="auto"/>
                <w:sz w:val="24"/>
                <w:szCs w:val="24"/>
              </w:rPr>
              <w:t>rozw</w:t>
            </w:r>
            <w:r w:rsidRPr="00237760">
              <w:rPr>
                <w:rFonts w:ascii="Arial" w:hAnsi="Arial" w:cs="Arial"/>
                <w:color w:val="auto"/>
                <w:sz w:val="24"/>
                <w:szCs w:val="24"/>
              </w:rPr>
              <w:t>ó</w:t>
            </w:r>
            <w:r w:rsidR="00ED0974" w:rsidRPr="00237760">
              <w:rPr>
                <w:rFonts w:ascii="Arial" w:hAnsi="Arial" w:cs="Arial"/>
                <w:color w:val="auto"/>
                <w:sz w:val="24"/>
                <w:szCs w:val="24"/>
              </w:rPr>
              <w:t>j dróg gminnych i powiatowych.</w:t>
            </w:r>
          </w:p>
        </w:tc>
      </w:tr>
      <w:tr w:rsidR="00237760" w:rsidRPr="00237760" w14:paraId="4F524875" w14:textId="77777777" w:rsidTr="00F077C6">
        <w:tc>
          <w:tcPr>
            <w:tcW w:w="1418" w:type="dxa"/>
            <w:shd w:val="clear" w:color="auto" w:fill="auto"/>
            <w:vAlign w:val="center"/>
          </w:tcPr>
          <w:p w14:paraId="267BCAA3" w14:textId="31AF603E" w:rsidR="00FF6F8E" w:rsidRPr="00237760" w:rsidRDefault="00C0032F" w:rsidP="009367B4">
            <w:pPr>
              <w:spacing w:after="0" w:line="259" w:lineRule="auto"/>
              <w:jc w:val="left"/>
              <w:rPr>
                <w:rFonts w:ascii="Arial" w:hAnsi="Arial" w:cs="Arial"/>
                <w:b/>
                <w:bCs/>
                <w:color w:val="auto"/>
                <w:sz w:val="24"/>
                <w:szCs w:val="24"/>
                <w:lang w:eastAsia="pl-PL"/>
              </w:rPr>
            </w:pPr>
            <w:r w:rsidRPr="00237760">
              <w:rPr>
                <w:rFonts w:ascii="Arial" w:hAnsi="Arial" w:cs="Arial"/>
                <w:b/>
                <w:bCs/>
                <w:color w:val="auto"/>
                <w:sz w:val="24"/>
                <w:szCs w:val="24"/>
                <w:lang w:eastAsia="pl-PL"/>
              </w:rPr>
              <w:t>Inwestycje drogowe zewnętrzne</w:t>
            </w:r>
          </w:p>
        </w:tc>
        <w:tc>
          <w:tcPr>
            <w:tcW w:w="7654" w:type="dxa"/>
          </w:tcPr>
          <w:p w14:paraId="76E0CD15" w14:textId="77777777" w:rsidR="000605F8" w:rsidRPr="00237760" w:rsidRDefault="000605F8"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Jednym z głównych celów powinno być ograniczenie wpływu peryferyjnego położenia regionu.</w:t>
            </w:r>
          </w:p>
          <w:p w14:paraId="68024067" w14:textId="09D6E594" w:rsidR="00CB0808" w:rsidRPr="00237760" w:rsidRDefault="00CB0808"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Kluczowe znaczenie rozwoju elementów sieci TEN-T</w:t>
            </w:r>
            <w:r w:rsidR="00F03174" w:rsidRPr="00237760">
              <w:rPr>
                <w:rFonts w:ascii="Arial" w:hAnsi="Arial" w:cs="Arial"/>
                <w:color w:val="auto"/>
                <w:sz w:val="24"/>
                <w:szCs w:val="24"/>
              </w:rPr>
              <w:t xml:space="preserve">, co oznacza </w:t>
            </w:r>
            <w:r w:rsidR="00633F4F" w:rsidRPr="00237760">
              <w:rPr>
                <w:rFonts w:ascii="Arial" w:hAnsi="Arial" w:cs="Arial"/>
                <w:color w:val="auto"/>
                <w:sz w:val="24"/>
                <w:szCs w:val="24"/>
              </w:rPr>
              <w:t>np. znaczącą koncentrację na ruchu autostradowym (dlatego też istotne są powiązania poz</w:t>
            </w:r>
            <w:r w:rsidR="00246430" w:rsidRPr="00237760">
              <w:rPr>
                <w:rFonts w:ascii="Arial" w:hAnsi="Arial" w:cs="Arial"/>
                <w:color w:val="auto"/>
                <w:sz w:val="24"/>
                <w:szCs w:val="24"/>
              </w:rPr>
              <w:t>ostałych części województwa właśnie z siecią TEN-T).</w:t>
            </w:r>
          </w:p>
          <w:p w14:paraId="2FCE92F9" w14:textId="4E376288" w:rsidR="00A12ECB" w:rsidRPr="00237760" w:rsidRDefault="00A12ECB"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Najistotniejsze</w:t>
            </w:r>
            <w:r w:rsidR="0088073E" w:rsidRPr="00237760">
              <w:rPr>
                <w:rFonts w:ascii="Arial" w:hAnsi="Arial" w:cs="Arial"/>
                <w:color w:val="auto"/>
                <w:sz w:val="24"/>
                <w:szCs w:val="24"/>
              </w:rPr>
              <w:t>,</w:t>
            </w:r>
            <w:r w:rsidRPr="00237760">
              <w:rPr>
                <w:rFonts w:ascii="Arial" w:hAnsi="Arial" w:cs="Arial"/>
                <w:color w:val="auto"/>
                <w:sz w:val="24"/>
                <w:szCs w:val="24"/>
              </w:rPr>
              <w:t xml:space="preserve"> w skali kraju</w:t>
            </w:r>
            <w:r w:rsidR="0088073E" w:rsidRPr="00237760">
              <w:rPr>
                <w:rFonts w:ascii="Arial" w:hAnsi="Arial" w:cs="Arial"/>
                <w:color w:val="auto"/>
                <w:sz w:val="24"/>
                <w:szCs w:val="24"/>
              </w:rPr>
              <w:t>,</w:t>
            </w:r>
            <w:r w:rsidRPr="00237760">
              <w:rPr>
                <w:rFonts w:ascii="Arial" w:hAnsi="Arial" w:cs="Arial"/>
                <w:color w:val="auto"/>
                <w:sz w:val="24"/>
                <w:szCs w:val="24"/>
              </w:rPr>
              <w:t xml:space="preserve"> wydaje się połączenie z Warszawą</w:t>
            </w:r>
            <w:r w:rsidR="0088073E" w:rsidRPr="00237760">
              <w:rPr>
                <w:rFonts w:ascii="Arial" w:hAnsi="Arial" w:cs="Arial"/>
                <w:color w:val="auto"/>
                <w:sz w:val="24"/>
                <w:szCs w:val="24"/>
              </w:rPr>
              <w:t>, ale warto również pamiętać o rozwoju połączeń z innymi ośrodkami wzrostu, takimi jak np. Kraków i Lublin.</w:t>
            </w:r>
          </w:p>
          <w:p w14:paraId="76199ABD" w14:textId="5B7BC1AD" w:rsidR="00FF6F8E" w:rsidRPr="00237760" w:rsidRDefault="00A12ECB"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 xml:space="preserve">Na cele i zamierzenia w zakresie tego </w:t>
            </w:r>
            <w:r w:rsidR="00CB0808" w:rsidRPr="00237760">
              <w:rPr>
                <w:rFonts w:ascii="Arial" w:hAnsi="Arial" w:cs="Arial"/>
                <w:color w:val="auto"/>
                <w:sz w:val="24"/>
                <w:szCs w:val="24"/>
              </w:rPr>
              <w:t xml:space="preserve">obszaru </w:t>
            </w:r>
            <w:r w:rsidRPr="00237760">
              <w:rPr>
                <w:rFonts w:ascii="Arial" w:hAnsi="Arial" w:cs="Arial"/>
                <w:color w:val="auto"/>
                <w:sz w:val="24"/>
                <w:szCs w:val="24"/>
              </w:rPr>
              <w:t>diametralnie wpłynie wojna w Ukrainie i sankcje nałożone na Rosję i Białoruś.</w:t>
            </w:r>
          </w:p>
        </w:tc>
      </w:tr>
      <w:tr w:rsidR="00237760" w:rsidRPr="00237760" w14:paraId="5351AF8A" w14:textId="77777777" w:rsidTr="00F077C6">
        <w:tc>
          <w:tcPr>
            <w:tcW w:w="1418" w:type="dxa"/>
            <w:shd w:val="clear" w:color="auto" w:fill="auto"/>
            <w:vAlign w:val="center"/>
          </w:tcPr>
          <w:p w14:paraId="22B29DD4" w14:textId="5E31FEFC" w:rsidR="00FF6F8E" w:rsidRPr="00237760" w:rsidRDefault="00C0032F" w:rsidP="009367B4">
            <w:pPr>
              <w:spacing w:after="0" w:line="259" w:lineRule="auto"/>
              <w:jc w:val="left"/>
              <w:rPr>
                <w:rFonts w:ascii="Arial" w:hAnsi="Arial" w:cs="Arial"/>
                <w:b/>
                <w:bCs/>
                <w:color w:val="auto"/>
                <w:sz w:val="24"/>
                <w:szCs w:val="24"/>
                <w:lang w:eastAsia="pl-PL"/>
              </w:rPr>
            </w:pPr>
            <w:r w:rsidRPr="00237760">
              <w:rPr>
                <w:rFonts w:ascii="Arial" w:hAnsi="Arial" w:cs="Arial"/>
                <w:b/>
                <w:bCs/>
                <w:color w:val="auto"/>
                <w:sz w:val="24"/>
                <w:szCs w:val="24"/>
                <w:lang w:eastAsia="pl-PL"/>
              </w:rPr>
              <w:t>Inwestycje kolejowe wewnętrzne</w:t>
            </w:r>
          </w:p>
        </w:tc>
        <w:tc>
          <w:tcPr>
            <w:tcW w:w="7654" w:type="dxa"/>
          </w:tcPr>
          <w:p w14:paraId="5C1FCEEF" w14:textId="4D1C38F7" w:rsidR="00F24060" w:rsidRPr="00237760" w:rsidRDefault="00F24060"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Priorytetem powin</w:t>
            </w:r>
            <w:r w:rsidR="00DF2C02" w:rsidRPr="00237760">
              <w:rPr>
                <w:rFonts w:ascii="Arial" w:hAnsi="Arial" w:cs="Arial"/>
                <w:color w:val="auto"/>
                <w:sz w:val="24"/>
                <w:szCs w:val="24"/>
              </w:rPr>
              <w:t>ien</w:t>
            </w:r>
            <w:r w:rsidRPr="00237760">
              <w:rPr>
                <w:rFonts w:ascii="Arial" w:hAnsi="Arial" w:cs="Arial"/>
                <w:color w:val="auto"/>
                <w:sz w:val="24"/>
                <w:szCs w:val="24"/>
              </w:rPr>
              <w:t xml:space="preserve"> być sprawn</w:t>
            </w:r>
            <w:r w:rsidR="00DF2C02" w:rsidRPr="00237760">
              <w:rPr>
                <w:rFonts w:ascii="Arial" w:hAnsi="Arial" w:cs="Arial"/>
                <w:color w:val="auto"/>
                <w:sz w:val="24"/>
                <w:szCs w:val="24"/>
              </w:rPr>
              <w:t>y</w:t>
            </w:r>
            <w:r w:rsidRPr="00237760">
              <w:rPr>
                <w:rFonts w:ascii="Arial" w:hAnsi="Arial" w:cs="Arial"/>
                <w:color w:val="auto"/>
                <w:sz w:val="24"/>
                <w:szCs w:val="24"/>
              </w:rPr>
              <w:t xml:space="preserve"> i </w:t>
            </w:r>
            <w:r w:rsidR="00A840AA" w:rsidRPr="00237760">
              <w:rPr>
                <w:rFonts w:ascii="Arial" w:hAnsi="Arial" w:cs="Arial"/>
                <w:color w:val="auto"/>
                <w:sz w:val="24"/>
                <w:szCs w:val="24"/>
              </w:rPr>
              <w:t>często kursujący tran</w:t>
            </w:r>
            <w:r w:rsidR="00DF2C02" w:rsidRPr="00237760">
              <w:rPr>
                <w:rFonts w:ascii="Arial" w:hAnsi="Arial" w:cs="Arial"/>
                <w:color w:val="auto"/>
                <w:sz w:val="24"/>
                <w:szCs w:val="24"/>
              </w:rPr>
              <w:t xml:space="preserve">sport zbiorowy – poza tworzeniem nowych połączeń </w:t>
            </w:r>
            <w:r w:rsidR="00DC73C8" w:rsidRPr="00237760">
              <w:rPr>
                <w:rFonts w:ascii="Arial" w:hAnsi="Arial" w:cs="Arial"/>
                <w:color w:val="auto"/>
                <w:sz w:val="24"/>
                <w:szCs w:val="24"/>
              </w:rPr>
              <w:t xml:space="preserve">i przystanków </w:t>
            </w:r>
            <w:r w:rsidR="00DF2C02" w:rsidRPr="00237760">
              <w:rPr>
                <w:rFonts w:ascii="Arial" w:hAnsi="Arial" w:cs="Arial"/>
                <w:color w:val="auto"/>
                <w:sz w:val="24"/>
                <w:szCs w:val="24"/>
              </w:rPr>
              <w:t xml:space="preserve">należy również zwiększać częstotliwość kursowania istniejących już </w:t>
            </w:r>
            <w:r w:rsidR="008D3369" w:rsidRPr="00237760">
              <w:rPr>
                <w:rFonts w:ascii="Arial" w:hAnsi="Arial" w:cs="Arial"/>
                <w:color w:val="auto"/>
                <w:sz w:val="24"/>
                <w:szCs w:val="24"/>
              </w:rPr>
              <w:t>połączeń.</w:t>
            </w:r>
          </w:p>
          <w:p w14:paraId="038E3DF9" w14:textId="77777777" w:rsidR="004B29B7" w:rsidRPr="00237760" w:rsidRDefault="004B29B7"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Po pandemii COVID-19 wyzwaniem będzie ponowne zachęcenie mieszkańców do korzystania z transportu publicznego.</w:t>
            </w:r>
          </w:p>
          <w:p w14:paraId="191B3CD3" w14:textId="77777777" w:rsidR="004B29B7" w:rsidRPr="00237760" w:rsidRDefault="004B29B7"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Potrzebne jest silniejsze zaakcentowanie rozwoju transportu kolejowego w regionalnych ośrodkach wzrostu.</w:t>
            </w:r>
          </w:p>
          <w:p w14:paraId="5F1D358D" w14:textId="463913FC" w:rsidR="00C81800" w:rsidRPr="00237760" w:rsidRDefault="00C81800"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lastRenderedPageBreak/>
              <w:t>Do efektywnego rozwoju transport</w:t>
            </w:r>
            <w:r w:rsidR="00C1497E" w:rsidRPr="00237760">
              <w:rPr>
                <w:rFonts w:ascii="Arial" w:hAnsi="Arial" w:cs="Arial"/>
                <w:color w:val="auto"/>
                <w:sz w:val="24"/>
                <w:szCs w:val="24"/>
              </w:rPr>
              <w:t>u</w:t>
            </w:r>
            <w:r w:rsidRPr="00237760">
              <w:rPr>
                <w:rFonts w:ascii="Arial" w:hAnsi="Arial" w:cs="Arial"/>
                <w:color w:val="auto"/>
                <w:sz w:val="24"/>
                <w:szCs w:val="24"/>
              </w:rPr>
              <w:t xml:space="preserve"> kolejowego kluczowy </w:t>
            </w:r>
            <w:r w:rsidR="00C1497E" w:rsidRPr="00237760">
              <w:rPr>
                <w:rFonts w:ascii="Arial" w:hAnsi="Arial" w:cs="Arial"/>
                <w:color w:val="auto"/>
                <w:sz w:val="24"/>
                <w:szCs w:val="24"/>
              </w:rPr>
              <w:t xml:space="preserve">jest </w:t>
            </w:r>
            <w:r w:rsidRPr="00237760">
              <w:rPr>
                <w:rFonts w:ascii="Arial" w:hAnsi="Arial" w:cs="Arial"/>
                <w:color w:val="auto"/>
                <w:sz w:val="24"/>
                <w:szCs w:val="24"/>
              </w:rPr>
              <w:t>rozwój infrastruktury towarzyszącej.</w:t>
            </w:r>
          </w:p>
          <w:p w14:paraId="7E9C42F4" w14:textId="77777777" w:rsidR="00C81800" w:rsidRPr="00237760" w:rsidRDefault="00C81800"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Brakuje zamierzeń w zakresie rozwoju zaplecza logistycznego wokół głównych ośrodków regionu.</w:t>
            </w:r>
          </w:p>
          <w:p w14:paraId="7B3859B6" w14:textId="77777777" w:rsidR="00E25631" w:rsidRPr="00237760" w:rsidRDefault="00C81800"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Należy dążyć do wzrostu pracy przewozowej i eksploatacyjnej w transporcie towarowym i pasażerskim.</w:t>
            </w:r>
          </w:p>
          <w:p w14:paraId="395D8204" w14:textId="7209C0DA" w:rsidR="00FF6F8E" w:rsidRPr="00237760" w:rsidRDefault="00DC73C8"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Nie należy zapominać o potencjale kolejowego transportu towarowego</w:t>
            </w:r>
            <w:r w:rsidR="00E25631" w:rsidRPr="00237760">
              <w:rPr>
                <w:rFonts w:ascii="Arial" w:hAnsi="Arial" w:cs="Arial"/>
                <w:color w:val="auto"/>
                <w:sz w:val="24"/>
                <w:szCs w:val="24"/>
              </w:rPr>
              <w:t>.</w:t>
            </w:r>
          </w:p>
        </w:tc>
      </w:tr>
      <w:tr w:rsidR="00237760" w:rsidRPr="00237760" w14:paraId="01EA9C3A" w14:textId="77777777" w:rsidTr="00F077C6">
        <w:tc>
          <w:tcPr>
            <w:tcW w:w="1418" w:type="dxa"/>
            <w:shd w:val="clear" w:color="auto" w:fill="auto"/>
            <w:vAlign w:val="center"/>
          </w:tcPr>
          <w:p w14:paraId="7FC82409" w14:textId="74203832" w:rsidR="00FF6F8E" w:rsidRPr="00237760" w:rsidRDefault="00C0032F" w:rsidP="009367B4">
            <w:pPr>
              <w:spacing w:after="0" w:line="259" w:lineRule="auto"/>
              <w:jc w:val="left"/>
              <w:rPr>
                <w:rFonts w:ascii="Arial" w:hAnsi="Arial" w:cs="Arial"/>
                <w:b/>
                <w:bCs/>
                <w:color w:val="auto"/>
                <w:sz w:val="24"/>
                <w:szCs w:val="24"/>
                <w:lang w:eastAsia="pl-PL"/>
              </w:rPr>
            </w:pPr>
            <w:r w:rsidRPr="00237760">
              <w:rPr>
                <w:rFonts w:ascii="Arial" w:hAnsi="Arial" w:cs="Arial"/>
                <w:b/>
                <w:bCs/>
                <w:color w:val="auto"/>
                <w:sz w:val="24"/>
                <w:szCs w:val="24"/>
                <w:lang w:eastAsia="pl-PL"/>
              </w:rPr>
              <w:lastRenderedPageBreak/>
              <w:t>Inwestycje kolejowe zewnętrzne</w:t>
            </w:r>
          </w:p>
        </w:tc>
        <w:tc>
          <w:tcPr>
            <w:tcW w:w="7654" w:type="dxa"/>
          </w:tcPr>
          <w:p w14:paraId="3F793EC5" w14:textId="77777777" w:rsidR="00A95BA0" w:rsidRPr="00237760" w:rsidRDefault="00A95BA0"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Opieranie rozwoju komunikacji zewnętrznej na inwestycjach związanych z CPK ma duży potencjał, ale również niesie pewne ryzyko (w przypadku opóźnień bądź zawieszenia inwestycji).</w:t>
            </w:r>
          </w:p>
          <w:p w14:paraId="11ECD7F2" w14:textId="77777777" w:rsidR="00A03297" w:rsidRPr="00237760" w:rsidRDefault="00A03297"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Wyzwaniem może okazać się zapewnienie odpowiedniej liczby połączeń krajowych i międzynarodowych.</w:t>
            </w:r>
          </w:p>
          <w:p w14:paraId="4625244C" w14:textId="06D246AD" w:rsidR="00A03297" w:rsidRPr="00237760" w:rsidRDefault="001A2589"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 xml:space="preserve">Obok </w:t>
            </w:r>
            <w:r w:rsidR="00A03297" w:rsidRPr="00237760">
              <w:rPr>
                <w:rFonts w:ascii="Arial" w:hAnsi="Arial" w:cs="Arial"/>
                <w:color w:val="auto"/>
                <w:sz w:val="24"/>
                <w:szCs w:val="24"/>
              </w:rPr>
              <w:t>rozw</w:t>
            </w:r>
            <w:r w:rsidRPr="00237760">
              <w:rPr>
                <w:rFonts w:ascii="Arial" w:hAnsi="Arial" w:cs="Arial"/>
                <w:color w:val="auto"/>
                <w:sz w:val="24"/>
                <w:szCs w:val="24"/>
              </w:rPr>
              <w:t xml:space="preserve">oju </w:t>
            </w:r>
            <w:r w:rsidR="00A03297" w:rsidRPr="00237760">
              <w:rPr>
                <w:rFonts w:ascii="Arial" w:hAnsi="Arial" w:cs="Arial"/>
                <w:color w:val="auto"/>
                <w:sz w:val="24"/>
                <w:szCs w:val="24"/>
              </w:rPr>
              <w:t xml:space="preserve">infrastruktury i </w:t>
            </w:r>
            <w:r w:rsidRPr="00237760">
              <w:rPr>
                <w:rFonts w:ascii="Arial" w:hAnsi="Arial" w:cs="Arial"/>
                <w:color w:val="auto"/>
                <w:sz w:val="24"/>
                <w:szCs w:val="24"/>
              </w:rPr>
              <w:t xml:space="preserve">tworzenia </w:t>
            </w:r>
            <w:r w:rsidR="00A03297" w:rsidRPr="00237760">
              <w:rPr>
                <w:rFonts w:ascii="Arial" w:hAnsi="Arial" w:cs="Arial"/>
                <w:color w:val="auto"/>
                <w:sz w:val="24"/>
                <w:szCs w:val="24"/>
              </w:rPr>
              <w:t>now</w:t>
            </w:r>
            <w:r w:rsidRPr="00237760">
              <w:rPr>
                <w:rFonts w:ascii="Arial" w:hAnsi="Arial" w:cs="Arial"/>
                <w:color w:val="auto"/>
                <w:sz w:val="24"/>
                <w:szCs w:val="24"/>
              </w:rPr>
              <w:t>ych</w:t>
            </w:r>
            <w:r w:rsidR="00A03297" w:rsidRPr="00237760">
              <w:rPr>
                <w:rFonts w:ascii="Arial" w:hAnsi="Arial" w:cs="Arial"/>
                <w:color w:val="auto"/>
                <w:sz w:val="24"/>
                <w:szCs w:val="24"/>
              </w:rPr>
              <w:t xml:space="preserve"> połącze</w:t>
            </w:r>
            <w:r w:rsidRPr="00237760">
              <w:rPr>
                <w:rFonts w:ascii="Arial" w:hAnsi="Arial" w:cs="Arial"/>
                <w:color w:val="auto"/>
                <w:sz w:val="24"/>
                <w:szCs w:val="24"/>
              </w:rPr>
              <w:t xml:space="preserve">ń istotne </w:t>
            </w:r>
            <w:r w:rsidR="00443F79" w:rsidRPr="00237760">
              <w:rPr>
                <w:rFonts w:ascii="Arial" w:hAnsi="Arial" w:cs="Arial"/>
                <w:color w:val="auto"/>
                <w:sz w:val="24"/>
                <w:szCs w:val="24"/>
              </w:rPr>
              <w:t xml:space="preserve">jest również </w:t>
            </w:r>
            <w:r w:rsidR="00A03297" w:rsidRPr="00237760">
              <w:rPr>
                <w:rFonts w:ascii="Arial" w:hAnsi="Arial" w:cs="Arial"/>
                <w:color w:val="auto"/>
                <w:sz w:val="24"/>
                <w:szCs w:val="24"/>
              </w:rPr>
              <w:t>zwiększ</w:t>
            </w:r>
            <w:r w:rsidR="00443F79" w:rsidRPr="00237760">
              <w:rPr>
                <w:rFonts w:ascii="Arial" w:hAnsi="Arial" w:cs="Arial"/>
                <w:color w:val="auto"/>
                <w:sz w:val="24"/>
                <w:szCs w:val="24"/>
              </w:rPr>
              <w:t>a</w:t>
            </w:r>
            <w:r w:rsidR="00A03297" w:rsidRPr="00237760">
              <w:rPr>
                <w:rFonts w:ascii="Arial" w:hAnsi="Arial" w:cs="Arial"/>
                <w:color w:val="auto"/>
                <w:sz w:val="24"/>
                <w:szCs w:val="24"/>
              </w:rPr>
              <w:t>ni</w:t>
            </w:r>
            <w:r w:rsidR="00443F79" w:rsidRPr="00237760">
              <w:rPr>
                <w:rFonts w:ascii="Arial" w:hAnsi="Arial" w:cs="Arial"/>
                <w:color w:val="auto"/>
                <w:sz w:val="24"/>
                <w:szCs w:val="24"/>
              </w:rPr>
              <w:t>e</w:t>
            </w:r>
            <w:r w:rsidR="00A03297" w:rsidRPr="00237760">
              <w:rPr>
                <w:rFonts w:ascii="Arial" w:hAnsi="Arial" w:cs="Arial"/>
                <w:color w:val="auto"/>
                <w:sz w:val="24"/>
                <w:szCs w:val="24"/>
              </w:rPr>
              <w:t xml:space="preserve"> częstotliwości istniejących już połączeń.</w:t>
            </w:r>
          </w:p>
          <w:p w14:paraId="19EE5918" w14:textId="77777777" w:rsidR="00A03297" w:rsidRPr="00237760" w:rsidRDefault="00A03297"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Warto dążyć do zwiększenia roli kolei w transporcie towarowym.</w:t>
            </w:r>
          </w:p>
          <w:p w14:paraId="3C1B647B" w14:textId="6E7B6A56" w:rsidR="00FF6F8E" w:rsidRPr="00237760" w:rsidRDefault="00A03297"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W zależności od rezultatów wojny w Ukrainie, kluczowymi mogą się okazać połączenia Rzeszów – Ukraina.</w:t>
            </w:r>
          </w:p>
        </w:tc>
      </w:tr>
      <w:tr w:rsidR="00237760" w:rsidRPr="00237760" w14:paraId="674BD068" w14:textId="77777777" w:rsidTr="00F077C6">
        <w:tc>
          <w:tcPr>
            <w:tcW w:w="1418" w:type="dxa"/>
            <w:shd w:val="clear" w:color="auto" w:fill="auto"/>
            <w:vAlign w:val="center"/>
          </w:tcPr>
          <w:p w14:paraId="207812DF" w14:textId="7540A4FB" w:rsidR="00FF6F8E" w:rsidRPr="00237760" w:rsidRDefault="00C0032F" w:rsidP="009367B4">
            <w:pPr>
              <w:spacing w:after="0" w:line="259" w:lineRule="auto"/>
              <w:jc w:val="left"/>
              <w:rPr>
                <w:rFonts w:ascii="Arial" w:hAnsi="Arial" w:cs="Arial"/>
                <w:b/>
                <w:bCs/>
                <w:color w:val="auto"/>
                <w:sz w:val="24"/>
                <w:szCs w:val="24"/>
                <w:lang w:eastAsia="pl-PL"/>
              </w:rPr>
            </w:pPr>
            <w:r w:rsidRPr="00237760">
              <w:rPr>
                <w:rFonts w:ascii="Arial" w:hAnsi="Arial" w:cs="Arial"/>
                <w:b/>
                <w:bCs/>
                <w:color w:val="auto"/>
                <w:sz w:val="24"/>
                <w:szCs w:val="24"/>
                <w:lang w:eastAsia="pl-PL"/>
              </w:rPr>
              <w:t>Inwestycje lotnicze wewnętrzne</w:t>
            </w:r>
          </w:p>
        </w:tc>
        <w:tc>
          <w:tcPr>
            <w:tcW w:w="7654" w:type="dxa"/>
          </w:tcPr>
          <w:p w14:paraId="2821C862" w14:textId="6A3AED6E" w:rsidR="00BA2540" w:rsidRPr="00237760" w:rsidRDefault="00BA2540"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Planowane w PSRT WP działania nie wpłyną na poprawę sytuacji transportowej regionu. Będą one oddziaływały głównie na służby ratunkowe i pojedyncze podmioty związane z lotnictwem.</w:t>
            </w:r>
          </w:p>
          <w:p w14:paraId="3F4D3593" w14:textId="77777777" w:rsidR="002A2F3A" w:rsidRPr="00237760" w:rsidRDefault="002A2F3A"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Mniejsze lotniska i lądowiska przy obecnych trendach mogą nie rozwinąć się tak jak się planuje.</w:t>
            </w:r>
          </w:p>
          <w:p w14:paraId="100D23D1" w14:textId="77777777" w:rsidR="002A2F3A" w:rsidRPr="00237760" w:rsidRDefault="002A2F3A"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Zamiast rozwoju małych lokalnych lotnisk należy zadbać o infrastrukturę i połączenia poprawiające dostępność lotniska Rzeszów – Jasionka.</w:t>
            </w:r>
          </w:p>
          <w:p w14:paraId="6323D37A" w14:textId="77777777" w:rsidR="002A2F3A" w:rsidRPr="00237760" w:rsidRDefault="002A2F3A"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Możliwy potencjał rozwojowy w zakresie transportu towarowego.</w:t>
            </w:r>
          </w:p>
          <w:p w14:paraId="4F8BEB12" w14:textId="77777777" w:rsidR="002A2F3A" w:rsidRPr="00237760" w:rsidRDefault="002A2F3A"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W zakresie poprawy sytuacji transportowej szansą może być rozwój lotniczego transportu bezzałogowego.</w:t>
            </w:r>
          </w:p>
          <w:p w14:paraId="3978B886" w14:textId="5D1DEFA9" w:rsidR="00FF6F8E" w:rsidRPr="00237760" w:rsidRDefault="003E7245"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Istnieje p</w:t>
            </w:r>
            <w:r w:rsidR="002A2F3A" w:rsidRPr="00237760">
              <w:rPr>
                <w:rFonts w:ascii="Arial" w:hAnsi="Arial" w:cs="Arial"/>
                <w:color w:val="auto"/>
                <w:sz w:val="24"/>
                <w:szCs w:val="24"/>
              </w:rPr>
              <w:t>otencjał rozwoju lotnictwa regionu w zakresie specjalistycznego lotnictwa wojskowego.</w:t>
            </w:r>
          </w:p>
        </w:tc>
      </w:tr>
      <w:tr w:rsidR="00237760" w:rsidRPr="00237760" w14:paraId="1CB85EF7" w14:textId="77777777" w:rsidTr="00F077C6">
        <w:tc>
          <w:tcPr>
            <w:tcW w:w="1418" w:type="dxa"/>
            <w:shd w:val="clear" w:color="auto" w:fill="auto"/>
            <w:vAlign w:val="center"/>
          </w:tcPr>
          <w:p w14:paraId="62871CEA" w14:textId="65C276FA" w:rsidR="00FF6F8E" w:rsidRPr="00237760" w:rsidRDefault="00C0032F" w:rsidP="009367B4">
            <w:pPr>
              <w:spacing w:after="0" w:line="259" w:lineRule="auto"/>
              <w:jc w:val="left"/>
              <w:rPr>
                <w:rFonts w:ascii="Arial" w:hAnsi="Arial" w:cs="Arial"/>
                <w:b/>
                <w:bCs/>
                <w:color w:val="auto"/>
                <w:sz w:val="24"/>
                <w:szCs w:val="24"/>
                <w:lang w:eastAsia="pl-PL"/>
              </w:rPr>
            </w:pPr>
            <w:r w:rsidRPr="00237760">
              <w:rPr>
                <w:rFonts w:ascii="Arial" w:hAnsi="Arial" w:cs="Arial"/>
                <w:b/>
                <w:bCs/>
                <w:color w:val="auto"/>
                <w:sz w:val="24"/>
                <w:szCs w:val="24"/>
                <w:lang w:eastAsia="pl-PL"/>
              </w:rPr>
              <w:t>Inwestycje lotnicze zewnętrzne</w:t>
            </w:r>
          </w:p>
        </w:tc>
        <w:tc>
          <w:tcPr>
            <w:tcW w:w="7654" w:type="dxa"/>
          </w:tcPr>
          <w:p w14:paraId="5E163C74" w14:textId="77777777" w:rsidR="0061671B" w:rsidRPr="00237760" w:rsidRDefault="0061671B"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Kluczowe będą połączenia hubowe.</w:t>
            </w:r>
          </w:p>
          <w:p w14:paraId="161A04E9" w14:textId="77777777" w:rsidR="0061671B" w:rsidRPr="00237760" w:rsidRDefault="0061671B"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Należy zadbać o dostępność komunikacyjną portu Rzeszów – Jasionka względem całego regionu.</w:t>
            </w:r>
          </w:p>
          <w:p w14:paraId="7F3B1F27" w14:textId="1BAB0511" w:rsidR="0061671B" w:rsidRPr="00237760" w:rsidRDefault="0061671B"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 xml:space="preserve">Istotny </w:t>
            </w:r>
            <w:r w:rsidR="00DA6EC7" w:rsidRPr="00237760">
              <w:rPr>
                <w:rFonts w:ascii="Arial" w:hAnsi="Arial" w:cs="Arial"/>
                <w:color w:val="auto"/>
                <w:sz w:val="24"/>
                <w:szCs w:val="24"/>
              </w:rPr>
              <w:t xml:space="preserve">jest </w:t>
            </w:r>
            <w:r w:rsidRPr="00237760">
              <w:rPr>
                <w:rFonts w:ascii="Arial" w:hAnsi="Arial" w:cs="Arial"/>
                <w:color w:val="auto"/>
                <w:sz w:val="24"/>
                <w:szCs w:val="24"/>
              </w:rPr>
              <w:t>rozwój infrastruktury towarzyszącej.</w:t>
            </w:r>
          </w:p>
          <w:p w14:paraId="13938D5F" w14:textId="77777777" w:rsidR="00FF6F8E" w:rsidRPr="00237760" w:rsidRDefault="0061671B"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Wyzwaniem będzie powrót do przedpandemicznej kondycji lotnictwa.</w:t>
            </w:r>
          </w:p>
          <w:p w14:paraId="746D35DD" w14:textId="238E0B7A" w:rsidR="00FF6F8E" w:rsidRPr="00237760" w:rsidRDefault="009429E7"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lastRenderedPageBreak/>
              <w:t xml:space="preserve">Lotnisko </w:t>
            </w:r>
            <w:r w:rsidR="0020786F" w:rsidRPr="00237760">
              <w:rPr>
                <w:rFonts w:ascii="Arial" w:hAnsi="Arial" w:cs="Arial"/>
                <w:color w:val="auto"/>
                <w:sz w:val="24"/>
                <w:szCs w:val="24"/>
              </w:rPr>
              <w:t>„</w:t>
            </w:r>
            <w:r w:rsidR="002758A0" w:rsidRPr="00237760">
              <w:rPr>
                <w:rFonts w:ascii="Arial" w:hAnsi="Arial" w:cs="Arial"/>
                <w:color w:val="auto"/>
                <w:sz w:val="24"/>
                <w:szCs w:val="24"/>
              </w:rPr>
              <w:t>Rzeszów</w:t>
            </w:r>
            <w:r w:rsidR="0020786F" w:rsidRPr="00237760">
              <w:rPr>
                <w:rFonts w:ascii="Arial" w:hAnsi="Arial" w:cs="Arial"/>
                <w:color w:val="auto"/>
                <w:sz w:val="24"/>
                <w:szCs w:val="24"/>
              </w:rPr>
              <w:t xml:space="preserve"> – </w:t>
            </w:r>
            <w:r w:rsidR="002758A0" w:rsidRPr="00237760">
              <w:rPr>
                <w:rFonts w:ascii="Arial" w:hAnsi="Arial" w:cs="Arial"/>
                <w:color w:val="auto"/>
                <w:sz w:val="24"/>
                <w:szCs w:val="24"/>
              </w:rPr>
              <w:t>Jasionka</w:t>
            </w:r>
            <w:r w:rsidR="0020786F" w:rsidRPr="00237760">
              <w:rPr>
                <w:rFonts w:ascii="Arial" w:hAnsi="Arial" w:cs="Arial"/>
                <w:color w:val="auto"/>
                <w:sz w:val="24"/>
                <w:szCs w:val="24"/>
              </w:rPr>
              <w:t>”</w:t>
            </w:r>
            <w:r w:rsidR="002758A0" w:rsidRPr="00237760">
              <w:rPr>
                <w:rFonts w:ascii="Arial" w:hAnsi="Arial" w:cs="Arial"/>
                <w:color w:val="auto"/>
                <w:sz w:val="24"/>
                <w:szCs w:val="24"/>
              </w:rPr>
              <w:t xml:space="preserve"> może rozwijać się jako konkurencja dla lotnisk przygranicznych (np. Koszyce)</w:t>
            </w:r>
            <w:r w:rsidR="00AE526A" w:rsidRPr="00237760">
              <w:rPr>
                <w:rFonts w:ascii="Arial" w:hAnsi="Arial" w:cs="Arial"/>
                <w:color w:val="auto"/>
                <w:sz w:val="24"/>
                <w:szCs w:val="24"/>
              </w:rPr>
              <w:t>.</w:t>
            </w:r>
          </w:p>
        </w:tc>
      </w:tr>
      <w:tr w:rsidR="00237760" w:rsidRPr="00237760" w14:paraId="69518F9F" w14:textId="77777777" w:rsidTr="00F077C6">
        <w:tc>
          <w:tcPr>
            <w:tcW w:w="1418" w:type="dxa"/>
            <w:shd w:val="clear" w:color="auto" w:fill="auto"/>
            <w:vAlign w:val="center"/>
          </w:tcPr>
          <w:p w14:paraId="681FF0FC" w14:textId="575B59F4" w:rsidR="00FF6F8E" w:rsidRPr="00237760" w:rsidRDefault="00C0032F" w:rsidP="009367B4">
            <w:pPr>
              <w:spacing w:after="0" w:line="259" w:lineRule="auto"/>
              <w:jc w:val="left"/>
              <w:rPr>
                <w:rFonts w:ascii="Arial" w:hAnsi="Arial" w:cs="Arial"/>
                <w:b/>
                <w:bCs/>
                <w:color w:val="auto"/>
                <w:sz w:val="24"/>
                <w:szCs w:val="24"/>
                <w:lang w:eastAsia="pl-PL"/>
              </w:rPr>
            </w:pPr>
            <w:r w:rsidRPr="00237760">
              <w:rPr>
                <w:rFonts w:ascii="Arial" w:hAnsi="Arial" w:cs="Arial"/>
                <w:b/>
                <w:bCs/>
                <w:color w:val="auto"/>
                <w:sz w:val="24"/>
                <w:szCs w:val="24"/>
                <w:lang w:eastAsia="pl-PL"/>
              </w:rPr>
              <w:lastRenderedPageBreak/>
              <w:t>Bezpieczeństwo komunikacyjne</w:t>
            </w:r>
          </w:p>
        </w:tc>
        <w:tc>
          <w:tcPr>
            <w:tcW w:w="7654" w:type="dxa"/>
          </w:tcPr>
          <w:p w14:paraId="7BB27747" w14:textId="30523059" w:rsidR="00C30E41" w:rsidRPr="00237760" w:rsidRDefault="00C30E41"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Na większość zagadnień z tego zakresu władze regionalne mają ni</w:t>
            </w:r>
            <w:r w:rsidR="00417271" w:rsidRPr="00237760">
              <w:rPr>
                <w:rFonts w:ascii="Arial" w:hAnsi="Arial" w:cs="Arial"/>
                <w:color w:val="auto"/>
                <w:sz w:val="24"/>
                <w:szCs w:val="24"/>
              </w:rPr>
              <w:t xml:space="preserve">ewielki </w:t>
            </w:r>
            <w:r w:rsidRPr="00237760">
              <w:rPr>
                <w:rFonts w:ascii="Arial" w:hAnsi="Arial" w:cs="Arial"/>
                <w:color w:val="auto"/>
                <w:sz w:val="24"/>
                <w:szCs w:val="24"/>
              </w:rPr>
              <w:t>wpływ.</w:t>
            </w:r>
          </w:p>
          <w:p w14:paraId="3C6D0D61" w14:textId="77777777" w:rsidR="00C30E41" w:rsidRPr="00237760" w:rsidRDefault="00C30E41"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Władze województwa mogą wpłynąć głównie na zwiększenie bezpieczeństwa komunikacyjnego poprzez poprawę jakości infrastruktury komunikacyjnej.</w:t>
            </w:r>
          </w:p>
          <w:p w14:paraId="11F49971" w14:textId="77777777" w:rsidR="00C74E2A" w:rsidRPr="00237760" w:rsidRDefault="00D73FE9"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Zmniejszenie ryzyka wypadków</w:t>
            </w:r>
            <w:r w:rsidR="002E0ECB" w:rsidRPr="00237760">
              <w:rPr>
                <w:rFonts w:ascii="Arial" w:hAnsi="Arial" w:cs="Arial"/>
                <w:color w:val="auto"/>
                <w:sz w:val="24"/>
                <w:szCs w:val="24"/>
              </w:rPr>
              <w:t xml:space="preserve"> </w:t>
            </w:r>
            <w:r w:rsidR="00C74E2A" w:rsidRPr="00237760">
              <w:rPr>
                <w:rFonts w:ascii="Arial" w:hAnsi="Arial" w:cs="Arial"/>
                <w:color w:val="auto"/>
                <w:sz w:val="24"/>
                <w:szCs w:val="24"/>
              </w:rPr>
              <w:t xml:space="preserve">wymaga </w:t>
            </w:r>
            <w:r w:rsidR="002E0ECB" w:rsidRPr="00237760">
              <w:rPr>
                <w:rFonts w:ascii="Arial" w:hAnsi="Arial" w:cs="Arial"/>
                <w:color w:val="auto"/>
                <w:sz w:val="24"/>
                <w:szCs w:val="24"/>
              </w:rPr>
              <w:t>r</w:t>
            </w:r>
            <w:r w:rsidR="00C30E41" w:rsidRPr="00237760">
              <w:rPr>
                <w:rFonts w:ascii="Arial" w:hAnsi="Arial" w:cs="Arial"/>
                <w:color w:val="auto"/>
                <w:sz w:val="24"/>
                <w:szCs w:val="24"/>
              </w:rPr>
              <w:t>ozw</w:t>
            </w:r>
            <w:r w:rsidR="00C74E2A" w:rsidRPr="00237760">
              <w:rPr>
                <w:rFonts w:ascii="Arial" w:hAnsi="Arial" w:cs="Arial"/>
                <w:color w:val="auto"/>
                <w:sz w:val="24"/>
                <w:szCs w:val="24"/>
              </w:rPr>
              <w:t>oju</w:t>
            </w:r>
            <w:r w:rsidR="00C30E41" w:rsidRPr="00237760">
              <w:rPr>
                <w:rFonts w:ascii="Arial" w:hAnsi="Arial" w:cs="Arial"/>
                <w:color w:val="auto"/>
                <w:sz w:val="24"/>
                <w:szCs w:val="24"/>
              </w:rPr>
              <w:t xml:space="preserve"> dróg bezkolizyjnych.</w:t>
            </w:r>
            <w:r w:rsidR="00C74E2A" w:rsidRPr="00237760">
              <w:rPr>
                <w:rFonts w:ascii="Arial" w:hAnsi="Arial" w:cs="Arial"/>
                <w:color w:val="auto"/>
                <w:sz w:val="24"/>
                <w:szCs w:val="24"/>
              </w:rPr>
              <w:t xml:space="preserve"> </w:t>
            </w:r>
          </w:p>
          <w:p w14:paraId="2C6CE9C9" w14:textId="0C05F8A7" w:rsidR="00FF6F8E" w:rsidRPr="00237760" w:rsidRDefault="00C74E2A"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Bezpieczeństwo komunikacyjne obejmuje również bezpieczeństwo dzikich zwierząt.</w:t>
            </w:r>
          </w:p>
        </w:tc>
      </w:tr>
      <w:tr w:rsidR="00237760" w:rsidRPr="00237760" w14:paraId="21C9AA73" w14:textId="77777777" w:rsidTr="00F077C6">
        <w:tc>
          <w:tcPr>
            <w:tcW w:w="1418" w:type="dxa"/>
            <w:shd w:val="clear" w:color="auto" w:fill="auto"/>
            <w:vAlign w:val="center"/>
          </w:tcPr>
          <w:p w14:paraId="78FFAB2A" w14:textId="597F481E" w:rsidR="00FF6F8E" w:rsidRPr="00237760" w:rsidRDefault="00C0032F" w:rsidP="009367B4">
            <w:pPr>
              <w:spacing w:after="0" w:line="259" w:lineRule="auto"/>
              <w:jc w:val="left"/>
              <w:rPr>
                <w:rFonts w:ascii="Arial" w:hAnsi="Arial" w:cs="Arial"/>
                <w:b/>
                <w:bCs/>
                <w:color w:val="auto"/>
                <w:sz w:val="24"/>
                <w:szCs w:val="24"/>
                <w:lang w:eastAsia="pl-PL"/>
              </w:rPr>
            </w:pPr>
            <w:r w:rsidRPr="00237760">
              <w:rPr>
                <w:rFonts w:ascii="Arial" w:hAnsi="Arial" w:cs="Arial"/>
                <w:b/>
                <w:bCs/>
                <w:color w:val="auto"/>
                <w:sz w:val="24"/>
                <w:szCs w:val="24"/>
                <w:lang w:eastAsia="pl-PL"/>
              </w:rPr>
              <w:t>Środowisko i jakość życia</w:t>
            </w:r>
          </w:p>
        </w:tc>
        <w:tc>
          <w:tcPr>
            <w:tcW w:w="7654" w:type="dxa"/>
          </w:tcPr>
          <w:p w14:paraId="6403D0B0" w14:textId="77777777" w:rsidR="0006539B" w:rsidRPr="00237760" w:rsidRDefault="0006539B"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Kluczowe wydają się rozwój komunikacji publicznej i dróg dla rowerów, jak również infrastruktury związanej z alternatywnymi napędami samochodów.</w:t>
            </w:r>
          </w:p>
          <w:p w14:paraId="0169DBD7" w14:textId="77777777" w:rsidR="0006539B" w:rsidRPr="00237760" w:rsidRDefault="0006539B"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Nowowprowadzane rozwiązania komunikacyjne należy dostosować do zjawisk wywołanych lub potęgowanych zmianami klimatu.</w:t>
            </w:r>
          </w:p>
          <w:p w14:paraId="552369CC" w14:textId="7AD6868F" w:rsidR="0006539B" w:rsidRPr="00237760" w:rsidRDefault="0006539B"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Nadmierny rozwój transportu wodnego i zwiększanie dostępności transportowej mo</w:t>
            </w:r>
            <w:r w:rsidR="00FB49E0" w:rsidRPr="00237760">
              <w:rPr>
                <w:rFonts w:ascii="Arial" w:hAnsi="Arial" w:cs="Arial"/>
                <w:color w:val="auto"/>
                <w:sz w:val="24"/>
                <w:szCs w:val="24"/>
              </w:rPr>
              <w:t>gą</w:t>
            </w:r>
            <w:r w:rsidR="00227DA8" w:rsidRPr="00237760">
              <w:rPr>
                <w:rFonts w:ascii="Arial" w:hAnsi="Arial" w:cs="Arial"/>
                <w:color w:val="auto"/>
                <w:sz w:val="24"/>
                <w:szCs w:val="24"/>
              </w:rPr>
              <w:t xml:space="preserve"> </w:t>
            </w:r>
            <w:r w:rsidRPr="00237760">
              <w:rPr>
                <w:rFonts w:ascii="Arial" w:hAnsi="Arial" w:cs="Arial"/>
                <w:color w:val="auto"/>
                <w:sz w:val="24"/>
                <w:szCs w:val="24"/>
              </w:rPr>
              <w:t>negatywnie wpłynąć na środowisko.</w:t>
            </w:r>
          </w:p>
          <w:p w14:paraId="03565363" w14:textId="6F25FB89" w:rsidR="00FF6F8E" w:rsidRPr="00237760" w:rsidRDefault="0006539B"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Spory potencjał tkwi w integracji różnego rodzaju inwestycji rowerowych (greenways, green velo, ścieżki wewnątrz MOF</w:t>
            </w:r>
            <w:r w:rsidR="008C10C4" w:rsidRPr="00237760">
              <w:rPr>
                <w:rFonts w:ascii="Arial" w:hAnsi="Arial" w:cs="Arial"/>
                <w:color w:val="auto"/>
                <w:sz w:val="24"/>
                <w:szCs w:val="24"/>
              </w:rPr>
              <w:t>-</w:t>
            </w:r>
            <w:r w:rsidRPr="00237760">
              <w:rPr>
                <w:rFonts w:ascii="Arial" w:hAnsi="Arial" w:cs="Arial"/>
                <w:color w:val="auto"/>
                <w:sz w:val="24"/>
                <w:szCs w:val="24"/>
              </w:rPr>
              <w:t>ów).</w:t>
            </w:r>
          </w:p>
        </w:tc>
      </w:tr>
      <w:tr w:rsidR="00237760" w:rsidRPr="00237760" w14:paraId="423FE596" w14:textId="77777777" w:rsidTr="00F077C6">
        <w:tc>
          <w:tcPr>
            <w:tcW w:w="1418" w:type="dxa"/>
            <w:shd w:val="clear" w:color="auto" w:fill="auto"/>
            <w:vAlign w:val="center"/>
          </w:tcPr>
          <w:p w14:paraId="509CBB11" w14:textId="7C9D2BF4" w:rsidR="00FF6F8E" w:rsidRPr="00237760" w:rsidRDefault="006F5E29" w:rsidP="009367B4">
            <w:pPr>
              <w:spacing w:after="0" w:line="259" w:lineRule="auto"/>
              <w:jc w:val="left"/>
              <w:rPr>
                <w:rFonts w:ascii="Arial" w:hAnsi="Arial" w:cs="Arial"/>
                <w:b/>
                <w:bCs/>
                <w:color w:val="auto"/>
                <w:sz w:val="24"/>
                <w:szCs w:val="24"/>
                <w:lang w:eastAsia="pl-PL"/>
              </w:rPr>
            </w:pPr>
            <w:r w:rsidRPr="00237760">
              <w:rPr>
                <w:rFonts w:ascii="Arial" w:hAnsi="Arial" w:cs="Arial"/>
                <w:b/>
                <w:bCs/>
                <w:color w:val="auto"/>
                <w:sz w:val="24"/>
                <w:szCs w:val="24"/>
                <w:lang w:eastAsia="pl-PL"/>
              </w:rPr>
              <w:t>Inwestycje multimodalne i transport publiczny</w:t>
            </w:r>
          </w:p>
        </w:tc>
        <w:tc>
          <w:tcPr>
            <w:tcW w:w="7654" w:type="dxa"/>
          </w:tcPr>
          <w:p w14:paraId="64086CE9" w14:textId="77777777" w:rsidR="004A70B7" w:rsidRPr="00237760" w:rsidRDefault="004A70B7"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Niewiele kierunków działań faktycznie wpływa na rozwój rozwiązań multimodalnych.</w:t>
            </w:r>
          </w:p>
          <w:p w14:paraId="3247171D" w14:textId="3D946A1F" w:rsidR="004A70B7" w:rsidRPr="00237760" w:rsidRDefault="00DF7E28"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N</w:t>
            </w:r>
            <w:r w:rsidR="004A70B7" w:rsidRPr="00237760">
              <w:rPr>
                <w:rFonts w:ascii="Arial" w:hAnsi="Arial" w:cs="Arial"/>
                <w:color w:val="auto"/>
                <w:sz w:val="24"/>
                <w:szCs w:val="24"/>
              </w:rPr>
              <w:t>ależy dążyć do rozwoju alternatyw transportu indywidualnego w całym regionie.</w:t>
            </w:r>
          </w:p>
          <w:p w14:paraId="27C16B58" w14:textId="01016C96" w:rsidR="00FF6F8E" w:rsidRPr="00237760" w:rsidRDefault="004A70B7"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Kluczem w rozwoju rozwiązań multimodalnych jest stworzenie transportu publicznego na obszarach, na których obecnie taki transport nie występuje i jego integracja z istniejącą już ofertą.</w:t>
            </w:r>
          </w:p>
        </w:tc>
      </w:tr>
    </w:tbl>
    <w:p w14:paraId="5E5A86F0" w14:textId="34AA9586" w:rsidR="00700D7C" w:rsidRPr="00237760" w:rsidRDefault="007E1DEB"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 xml:space="preserve">Źródło: opracowanie własne na podstawie </w:t>
      </w:r>
      <w:r w:rsidR="00F72166" w:rsidRPr="00237760">
        <w:rPr>
          <w:rFonts w:ascii="Arial" w:hAnsi="Arial" w:cs="Arial"/>
          <w:color w:val="auto"/>
          <w:sz w:val="24"/>
          <w:szCs w:val="24"/>
          <w:lang w:eastAsia="pl-PL"/>
        </w:rPr>
        <w:t>matryc logicznych wypełnionych przez ekspertów.</w:t>
      </w:r>
    </w:p>
    <w:p w14:paraId="6E2166BD" w14:textId="70DA6C15" w:rsidR="00C4144A" w:rsidRPr="00237760" w:rsidRDefault="0062502D" w:rsidP="009367B4">
      <w:pPr>
        <w:spacing w:after="160"/>
        <w:jc w:val="left"/>
        <w:rPr>
          <w:rFonts w:ascii="Arial" w:hAnsi="Arial" w:cs="Arial"/>
          <w:color w:val="auto"/>
          <w:sz w:val="24"/>
          <w:szCs w:val="24"/>
          <w:lang w:eastAsia="pl-PL"/>
        </w:rPr>
      </w:pPr>
      <w:r w:rsidRPr="00237760">
        <w:rPr>
          <w:rFonts w:ascii="Arial" w:hAnsi="Arial" w:cs="Arial"/>
          <w:color w:val="auto"/>
          <w:sz w:val="24"/>
          <w:szCs w:val="24"/>
          <w:lang w:eastAsia="pl-PL"/>
        </w:rPr>
        <w:t xml:space="preserve">W ramach badania </w:t>
      </w:r>
      <w:r w:rsidR="00DD5A70" w:rsidRPr="00237760">
        <w:rPr>
          <w:rFonts w:ascii="Arial" w:hAnsi="Arial" w:cs="Arial"/>
          <w:color w:val="auto"/>
          <w:sz w:val="24"/>
          <w:szCs w:val="24"/>
          <w:lang w:eastAsia="pl-PL"/>
        </w:rPr>
        <w:t>poproszono również ekspertów o wskazanie najważniejszych ich zdaniem kierunków działań, jakie władze regionu powinny podjąć w każdym z 9 sformułowanych obszarów.</w:t>
      </w:r>
      <w:r w:rsidR="00335264" w:rsidRPr="00237760">
        <w:rPr>
          <w:rFonts w:ascii="Arial" w:hAnsi="Arial" w:cs="Arial"/>
          <w:color w:val="auto"/>
          <w:sz w:val="24"/>
          <w:szCs w:val="24"/>
          <w:lang w:eastAsia="pl-PL"/>
        </w:rPr>
        <w:t xml:space="preserve"> </w:t>
      </w:r>
      <w:r w:rsidR="00AE526A" w:rsidRPr="00237760">
        <w:rPr>
          <w:rFonts w:ascii="Arial" w:hAnsi="Arial" w:cs="Arial"/>
          <w:color w:val="auto"/>
          <w:sz w:val="24"/>
          <w:szCs w:val="24"/>
          <w:lang w:eastAsia="pl-PL"/>
        </w:rPr>
        <w:t xml:space="preserve">Niektóre z kierunków, </w:t>
      </w:r>
      <w:r w:rsidR="00335264" w:rsidRPr="00237760">
        <w:rPr>
          <w:rFonts w:ascii="Arial" w:hAnsi="Arial" w:cs="Arial"/>
          <w:color w:val="auto"/>
          <w:sz w:val="24"/>
          <w:szCs w:val="24"/>
          <w:lang w:eastAsia="pl-PL"/>
        </w:rPr>
        <w:t xml:space="preserve">np. </w:t>
      </w:r>
      <w:r w:rsidR="00D37460" w:rsidRPr="00237760">
        <w:rPr>
          <w:rFonts w:ascii="Arial" w:hAnsi="Arial" w:cs="Arial"/>
          <w:color w:val="auto"/>
          <w:sz w:val="24"/>
          <w:szCs w:val="24"/>
          <w:lang w:eastAsia="pl-PL"/>
        </w:rPr>
        <w:t xml:space="preserve">kompleksowy </w:t>
      </w:r>
      <w:r w:rsidR="00335264" w:rsidRPr="00237760">
        <w:rPr>
          <w:rFonts w:ascii="Arial" w:hAnsi="Arial" w:cs="Arial"/>
          <w:color w:val="auto"/>
          <w:sz w:val="24"/>
          <w:szCs w:val="24"/>
          <w:lang w:eastAsia="pl-PL"/>
        </w:rPr>
        <w:t xml:space="preserve">rozwój </w:t>
      </w:r>
      <w:r w:rsidR="00DD17E8" w:rsidRPr="00237760">
        <w:rPr>
          <w:rFonts w:ascii="Arial" w:hAnsi="Arial" w:cs="Arial"/>
          <w:color w:val="auto"/>
          <w:sz w:val="24"/>
          <w:szCs w:val="24"/>
          <w:lang w:eastAsia="pl-PL"/>
        </w:rPr>
        <w:t xml:space="preserve">MOF regionu, czy rozwój </w:t>
      </w:r>
      <w:r w:rsidR="00FC55F6" w:rsidRPr="00237760">
        <w:rPr>
          <w:rFonts w:ascii="Arial" w:hAnsi="Arial" w:cs="Arial"/>
          <w:color w:val="auto"/>
          <w:sz w:val="24"/>
          <w:szCs w:val="24"/>
          <w:lang w:eastAsia="pl-PL"/>
        </w:rPr>
        <w:t>dróg szybkiego ruchu</w:t>
      </w:r>
      <w:r w:rsidR="00AE526A" w:rsidRPr="00237760">
        <w:rPr>
          <w:rFonts w:ascii="Arial" w:hAnsi="Arial" w:cs="Arial"/>
          <w:color w:val="auto"/>
          <w:sz w:val="24"/>
          <w:szCs w:val="24"/>
          <w:lang w:eastAsia="pl-PL"/>
        </w:rPr>
        <w:t xml:space="preserve">, </w:t>
      </w:r>
      <w:r w:rsidR="00FC55F6" w:rsidRPr="00237760">
        <w:rPr>
          <w:rFonts w:ascii="Arial" w:hAnsi="Arial" w:cs="Arial"/>
          <w:color w:val="auto"/>
          <w:sz w:val="24"/>
          <w:szCs w:val="24"/>
          <w:lang w:eastAsia="pl-PL"/>
        </w:rPr>
        <w:t xml:space="preserve">są istotne w kilku obszarach jednocześnie. </w:t>
      </w:r>
    </w:p>
    <w:p w14:paraId="1F568FCC" w14:textId="27CB0698" w:rsidR="00F72166" w:rsidRPr="00237760" w:rsidRDefault="00F72166" w:rsidP="009367B4">
      <w:pPr>
        <w:pStyle w:val="Legenda"/>
        <w:keepNext/>
        <w:jc w:val="left"/>
        <w:rPr>
          <w:rFonts w:ascii="Arial" w:hAnsi="Arial" w:cs="Arial"/>
          <w:color w:val="auto"/>
          <w:sz w:val="24"/>
          <w:szCs w:val="24"/>
        </w:rPr>
      </w:pPr>
      <w:bookmarkStart w:id="112" w:name="_Ref100927935"/>
      <w:bookmarkStart w:id="113" w:name="_Toc101904255"/>
      <w:r w:rsidRPr="00237760">
        <w:rPr>
          <w:rFonts w:ascii="Arial" w:hAnsi="Arial" w:cs="Arial"/>
          <w:color w:val="auto"/>
          <w:sz w:val="24"/>
          <w:szCs w:val="24"/>
        </w:rPr>
        <w:lastRenderedPageBreak/>
        <w:t xml:space="preserve">Tabela </w:t>
      </w:r>
      <w:r w:rsidR="00A61695" w:rsidRPr="00237760">
        <w:rPr>
          <w:rFonts w:ascii="Arial" w:hAnsi="Arial" w:cs="Arial"/>
          <w:noProof/>
          <w:color w:val="auto"/>
          <w:sz w:val="24"/>
          <w:szCs w:val="24"/>
        </w:rPr>
        <w:fldChar w:fldCharType="begin"/>
      </w:r>
      <w:r w:rsidR="00A61695" w:rsidRPr="00237760">
        <w:rPr>
          <w:rFonts w:ascii="Arial" w:hAnsi="Arial" w:cs="Arial"/>
          <w:noProof/>
          <w:color w:val="auto"/>
          <w:sz w:val="24"/>
          <w:szCs w:val="24"/>
        </w:rPr>
        <w:instrText xml:space="preserve"> SEQ Tabela \* ARABIC </w:instrText>
      </w:r>
      <w:r w:rsidR="00A61695" w:rsidRPr="00237760">
        <w:rPr>
          <w:rFonts w:ascii="Arial" w:hAnsi="Arial" w:cs="Arial"/>
          <w:noProof/>
          <w:color w:val="auto"/>
          <w:sz w:val="24"/>
          <w:szCs w:val="24"/>
        </w:rPr>
        <w:fldChar w:fldCharType="separate"/>
      </w:r>
      <w:r w:rsidR="00762B20" w:rsidRPr="00237760">
        <w:rPr>
          <w:rFonts w:ascii="Arial" w:hAnsi="Arial" w:cs="Arial"/>
          <w:noProof/>
          <w:color w:val="auto"/>
          <w:sz w:val="24"/>
          <w:szCs w:val="24"/>
        </w:rPr>
        <w:t>14</w:t>
      </w:r>
      <w:r w:rsidR="00A61695" w:rsidRPr="00237760">
        <w:rPr>
          <w:rFonts w:ascii="Arial" w:hAnsi="Arial" w:cs="Arial"/>
          <w:noProof/>
          <w:color w:val="auto"/>
          <w:sz w:val="24"/>
          <w:szCs w:val="24"/>
        </w:rPr>
        <w:fldChar w:fldCharType="end"/>
      </w:r>
      <w:bookmarkEnd w:id="112"/>
      <w:r w:rsidRPr="00237760">
        <w:rPr>
          <w:rFonts w:ascii="Arial" w:hAnsi="Arial" w:cs="Arial"/>
          <w:color w:val="auto"/>
          <w:sz w:val="24"/>
          <w:szCs w:val="24"/>
        </w:rPr>
        <w:t>. Kierunki działań PSRT WP wskazywane przez ekspertów jako najistotniejsze</w:t>
      </w:r>
      <w:bookmarkEnd w:id="113"/>
    </w:p>
    <w:tbl>
      <w:tblPr>
        <w:tblStyle w:val="Tabela-Siatka"/>
        <w:tblW w:w="0" w:type="auto"/>
        <w:tblBorders>
          <w:top w:val="single" w:sz="4" w:space="0" w:color="002060"/>
          <w:left w:val="none" w:sz="0" w:space="0" w:color="auto"/>
          <w:bottom w:val="single" w:sz="4" w:space="0" w:color="002060"/>
          <w:right w:val="none" w:sz="0" w:space="0" w:color="auto"/>
          <w:insideH w:val="single" w:sz="4" w:space="0" w:color="002060"/>
          <w:insideV w:val="none" w:sz="0" w:space="0" w:color="auto"/>
        </w:tblBorders>
        <w:tblLook w:val="04A0" w:firstRow="1" w:lastRow="0" w:firstColumn="1" w:lastColumn="0" w:noHBand="0" w:noVBand="1"/>
        <w:tblCaption w:val="Tabela 14. Kierunki działań PSRT WP wskazywane przez ekspertów jako najistotniejsze"/>
        <w:tblDescription w:val="Tabela zawiera Obszar tematyczny i Kierunki działań wskazane przez ekspertów jako kluczowe (kolejność alfabetyczna wewnątrz obszarów tematycznych)"/>
      </w:tblPr>
      <w:tblGrid>
        <w:gridCol w:w="2070"/>
        <w:gridCol w:w="7002"/>
      </w:tblGrid>
      <w:tr w:rsidR="00237760" w:rsidRPr="00237760" w14:paraId="69A2E22C" w14:textId="77777777" w:rsidTr="00FB20A6">
        <w:trPr>
          <w:tblHeader/>
        </w:trPr>
        <w:tc>
          <w:tcPr>
            <w:tcW w:w="1418" w:type="dxa"/>
            <w:tcBorders>
              <w:top w:val="single" w:sz="12" w:space="0" w:color="002060"/>
            </w:tcBorders>
            <w:shd w:val="clear" w:color="auto" w:fill="auto"/>
          </w:tcPr>
          <w:p w14:paraId="18A5B831" w14:textId="450846CC" w:rsidR="006F5E29" w:rsidRPr="00237760" w:rsidRDefault="006F5E29" w:rsidP="009367B4">
            <w:pPr>
              <w:spacing w:after="0" w:line="259" w:lineRule="auto"/>
              <w:jc w:val="left"/>
              <w:rPr>
                <w:rFonts w:ascii="Arial" w:hAnsi="Arial" w:cs="Arial"/>
                <w:b/>
                <w:bCs/>
                <w:color w:val="auto"/>
                <w:sz w:val="24"/>
                <w:szCs w:val="24"/>
                <w:lang w:eastAsia="pl-PL"/>
              </w:rPr>
            </w:pPr>
            <w:r w:rsidRPr="00237760">
              <w:rPr>
                <w:rFonts w:ascii="Arial" w:hAnsi="Arial" w:cs="Arial"/>
                <w:b/>
                <w:bCs/>
                <w:color w:val="auto"/>
                <w:sz w:val="24"/>
                <w:szCs w:val="24"/>
                <w:lang w:eastAsia="pl-PL"/>
              </w:rPr>
              <w:t xml:space="preserve">Obszar </w:t>
            </w:r>
            <w:r w:rsidR="003A21A4" w:rsidRPr="00237760">
              <w:rPr>
                <w:rFonts w:ascii="Arial" w:hAnsi="Arial" w:cs="Arial"/>
                <w:b/>
                <w:bCs/>
                <w:color w:val="auto"/>
                <w:sz w:val="24"/>
                <w:szCs w:val="24"/>
                <w:lang w:eastAsia="pl-PL"/>
              </w:rPr>
              <w:t>tematyczny</w:t>
            </w:r>
          </w:p>
        </w:tc>
        <w:tc>
          <w:tcPr>
            <w:tcW w:w="7654" w:type="dxa"/>
            <w:tcBorders>
              <w:top w:val="single" w:sz="12" w:space="0" w:color="002060"/>
            </w:tcBorders>
            <w:shd w:val="clear" w:color="auto" w:fill="auto"/>
          </w:tcPr>
          <w:p w14:paraId="2897FBC8" w14:textId="5FF2F3C1" w:rsidR="006F5E29" w:rsidRPr="00237760" w:rsidRDefault="004178EF" w:rsidP="009367B4">
            <w:pPr>
              <w:spacing w:after="0" w:line="259" w:lineRule="auto"/>
              <w:jc w:val="left"/>
              <w:rPr>
                <w:rFonts w:ascii="Arial" w:hAnsi="Arial" w:cs="Arial"/>
                <w:b/>
                <w:bCs/>
                <w:color w:val="auto"/>
                <w:sz w:val="24"/>
                <w:szCs w:val="24"/>
                <w:lang w:eastAsia="pl-PL"/>
              </w:rPr>
            </w:pPr>
            <w:r w:rsidRPr="00237760">
              <w:rPr>
                <w:rFonts w:ascii="Arial" w:hAnsi="Arial" w:cs="Arial"/>
                <w:b/>
                <w:bCs/>
                <w:color w:val="auto"/>
                <w:sz w:val="24"/>
                <w:szCs w:val="24"/>
                <w:lang w:eastAsia="pl-PL"/>
              </w:rPr>
              <w:t>Kierunki działań wskazane przez ekspertów</w:t>
            </w:r>
            <w:r w:rsidR="00ED3EFE" w:rsidRPr="00237760">
              <w:rPr>
                <w:rFonts w:ascii="Arial" w:hAnsi="Arial" w:cs="Arial"/>
                <w:b/>
                <w:bCs/>
                <w:color w:val="auto"/>
                <w:sz w:val="24"/>
                <w:szCs w:val="24"/>
                <w:lang w:eastAsia="pl-PL"/>
              </w:rPr>
              <w:t xml:space="preserve"> </w:t>
            </w:r>
            <w:r w:rsidR="00537454" w:rsidRPr="00237760">
              <w:rPr>
                <w:rFonts w:ascii="Arial" w:hAnsi="Arial" w:cs="Arial"/>
                <w:b/>
                <w:bCs/>
                <w:color w:val="auto"/>
                <w:sz w:val="24"/>
                <w:szCs w:val="24"/>
                <w:lang w:eastAsia="pl-PL"/>
              </w:rPr>
              <w:t xml:space="preserve">jako </w:t>
            </w:r>
            <w:r w:rsidR="00E94603" w:rsidRPr="00237760">
              <w:rPr>
                <w:rFonts w:ascii="Arial" w:hAnsi="Arial" w:cs="Arial"/>
                <w:b/>
                <w:bCs/>
                <w:color w:val="auto"/>
                <w:sz w:val="24"/>
                <w:szCs w:val="24"/>
                <w:lang w:eastAsia="pl-PL"/>
              </w:rPr>
              <w:t xml:space="preserve">kluczowe (kolejność alfabetyczna </w:t>
            </w:r>
            <w:r w:rsidR="003A21A4" w:rsidRPr="00237760">
              <w:rPr>
                <w:rFonts w:ascii="Arial" w:hAnsi="Arial" w:cs="Arial"/>
                <w:b/>
                <w:bCs/>
                <w:color w:val="auto"/>
                <w:sz w:val="24"/>
                <w:szCs w:val="24"/>
                <w:lang w:eastAsia="pl-PL"/>
              </w:rPr>
              <w:t>wewnątrz obszarów tematycznych)</w:t>
            </w:r>
          </w:p>
        </w:tc>
      </w:tr>
      <w:tr w:rsidR="00237760" w:rsidRPr="00237760" w14:paraId="0C998654" w14:textId="77777777" w:rsidTr="00F077C6">
        <w:tc>
          <w:tcPr>
            <w:tcW w:w="1418" w:type="dxa"/>
            <w:shd w:val="clear" w:color="auto" w:fill="auto"/>
            <w:vAlign w:val="center"/>
          </w:tcPr>
          <w:p w14:paraId="28CBACDE" w14:textId="77777777" w:rsidR="006F5E29" w:rsidRPr="00237760" w:rsidRDefault="006F5E29" w:rsidP="009367B4">
            <w:pPr>
              <w:spacing w:after="0" w:line="259" w:lineRule="auto"/>
              <w:jc w:val="left"/>
              <w:rPr>
                <w:rFonts w:ascii="Arial" w:hAnsi="Arial" w:cs="Arial"/>
                <w:b/>
                <w:bCs/>
                <w:color w:val="auto"/>
                <w:sz w:val="24"/>
                <w:szCs w:val="24"/>
                <w:lang w:eastAsia="pl-PL"/>
              </w:rPr>
            </w:pPr>
            <w:r w:rsidRPr="00237760">
              <w:rPr>
                <w:rFonts w:ascii="Arial" w:hAnsi="Arial" w:cs="Arial"/>
                <w:b/>
                <w:bCs/>
                <w:color w:val="auto"/>
                <w:sz w:val="24"/>
                <w:szCs w:val="24"/>
                <w:lang w:eastAsia="pl-PL"/>
              </w:rPr>
              <w:t>Inwestycje drogowe wewnętrzne</w:t>
            </w:r>
          </w:p>
        </w:tc>
        <w:tc>
          <w:tcPr>
            <w:tcW w:w="7654" w:type="dxa"/>
          </w:tcPr>
          <w:p w14:paraId="27F7F8EE" w14:textId="77777777" w:rsidR="002C2D5B" w:rsidRPr="00237760" w:rsidRDefault="002C2D5B"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Budowa dróg poprzecznych łączących przejścia graniczne w celu zarządzania ruchem granicznym</w:t>
            </w:r>
          </w:p>
          <w:p w14:paraId="6F15825F" w14:textId="77777777" w:rsidR="002C2D5B" w:rsidRPr="00237760" w:rsidRDefault="002C2D5B"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Dostosowanie nawierzchni dróg krajowych i wojewódzkich do parametrów nośności określonych przepisami prawa</w:t>
            </w:r>
          </w:p>
          <w:p w14:paraId="27377465" w14:textId="77777777" w:rsidR="002C2D5B" w:rsidRPr="00237760" w:rsidRDefault="002C2D5B"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Pełniejsze włączenie autostrad i dróg ekspresowych w system dróg w województwie</w:t>
            </w:r>
          </w:p>
          <w:p w14:paraId="1579002A" w14:textId="77777777" w:rsidR="002C2D5B" w:rsidRPr="00237760" w:rsidRDefault="002C2D5B"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Poprawa dostępności komunikacyjnej OF, obszarów peryferyjnych, obszarów o utrudnionym dostępie oraz obszarów o walorach turystycznych</w:t>
            </w:r>
          </w:p>
          <w:p w14:paraId="5E080AF2" w14:textId="71080100" w:rsidR="002C2D5B" w:rsidRPr="00237760" w:rsidRDefault="002C2D5B"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Poprawa skomunikowania stref przemysłowych, w szczególności zlokalizowanych na północy ROF</w:t>
            </w:r>
            <w:r w:rsidR="003C6D40" w:rsidRPr="00237760">
              <w:rPr>
                <w:rFonts w:ascii="Arial" w:hAnsi="Arial" w:cs="Arial"/>
                <w:color w:val="auto"/>
                <w:sz w:val="24"/>
                <w:szCs w:val="24"/>
              </w:rPr>
              <w:noBreakHyphen/>
            </w:r>
            <w:r w:rsidRPr="00237760">
              <w:rPr>
                <w:rFonts w:ascii="Arial" w:hAnsi="Arial" w:cs="Arial"/>
                <w:color w:val="auto"/>
                <w:sz w:val="24"/>
                <w:szCs w:val="24"/>
              </w:rPr>
              <w:t>u</w:t>
            </w:r>
          </w:p>
          <w:p w14:paraId="7598CEE3" w14:textId="77777777" w:rsidR="002C2D5B" w:rsidRPr="00237760" w:rsidRDefault="002C2D5B"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Rozwój funkcji logistycznej w ramach drogowego systemu transportowego dla poszczególnych MOF</w:t>
            </w:r>
          </w:p>
          <w:p w14:paraId="49E32653" w14:textId="77777777" w:rsidR="002C2D5B" w:rsidRPr="00237760" w:rsidRDefault="002C2D5B"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Rozwój infrastruktury drogowej, celem wzmocnienia spójności terytorialnej regionu z uwzględnieniem specyfiki obszarów podgórskich i górskich</w:t>
            </w:r>
          </w:p>
          <w:p w14:paraId="2A420B55" w14:textId="49F93510" w:rsidR="002C2D5B" w:rsidRPr="00237760" w:rsidRDefault="002C2D5B"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Skrócenie czasu dojazdu do Rzeszowa z miast powiatowyc</w:t>
            </w:r>
            <w:r w:rsidR="003257DC" w:rsidRPr="00237760">
              <w:rPr>
                <w:rFonts w:ascii="Arial" w:hAnsi="Arial" w:cs="Arial"/>
                <w:color w:val="auto"/>
                <w:sz w:val="24"/>
                <w:szCs w:val="24"/>
              </w:rPr>
              <w:t>h</w:t>
            </w:r>
          </w:p>
          <w:p w14:paraId="42B989CE" w14:textId="77777777" w:rsidR="002C2D5B" w:rsidRPr="00237760" w:rsidRDefault="002C2D5B"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Wzmacnianie procesu integracji rynków pracy grup i par MOF</w:t>
            </w:r>
          </w:p>
          <w:p w14:paraId="62E87A14" w14:textId="77777777" w:rsidR="002C2D5B" w:rsidRPr="00237760" w:rsidRDefault="002C2D5B"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Wzmocnienie kierunków diagonalnych poprzez podnoszenie standardu dróg wojewódzkich i powiatowych na osiach północ-południe i wschód-zachód</w:t>
            </w:r>
          </w:p>
          <w:p w14:paraId="28B3964B" w14:textId="0BA02DBB" w:rsidR="006F5E29" w:rsidRPr="00237760" w:rsidRDefault="002C2D5B"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Zmniejszenie zatłoczenia dróg miejskich i dróg wlotowych/ wylotowych (wyprowadzenie ruchu z centrum miast)</w:t>
            </w:r>
          </w:p>
        </w:tc>
      </w:tr>
      <w:tr w:rsidR="00237760" w:rsidRPr="00237760" w14:paraId="710E9D15" w14:textId="77777777" w:rsidTr="00F077C6">
        <w:tc>
          <w:tcPr>
            <w:tcW w:w="1418" w:type="dxa"/>
            <w:shd w:val="clear" w:color="auto" w:fill="auto"/>
            <w:vAlign w:val="center"/>
          </w:tcPr>
          <w:p w14:paraId="78C2F823" w14:textId="77777777" w:rsidR="006F5E29" w:rsidRPr="00237760" w:rsidRDefault="006F5E29" w:rsidP="009367B4">
            <w:pPr>
              <w:spacing w:after="0" w:line="259" w:lineRule="auto"/>
              <w:jc w:val="left"/>
              <w:rPr>
                <w:rFonts w:ascii="Arial" w:hAnsi="Arial" w:cs="Arial"/>
                <w:b/>
                <w:bCs/>
                <w:color w:val="auto"/>
                <w:sz w:val="24"/>
                <w:szCs w:val="24"/>
                <w:lang w:eastAsia="pl-PL"/>
              </w:rPr>
            </w:pPr>
            <w:r w:rsidRPr="00237760">
              <w:rPr>
                <w:rFonts w:ascii="Arial" w:hAnsi="Arial" w:cs="Arial"/>
                <w:b/>
                <w:bCs/>
                <w:color w:val="auto"/>
                <w:sz w:val="24"/>
                <w:szCs w:val="24"/>
                <w:lang w:eastAsia="pl-PL"/>
              </w:rPr>
              <w:t>Inwestycje drogowe zewnętrzne</w:t>
            </w:r>
          </w:p>
        </w:tc>
        <w:tc>
          <w:tcPr>
            <w:tcW w:w="7654" w:type="dxa"/>
          </w:tcPr>
          <w:p w14:paraId="2C79BBA1" w14:textId="77777777" w:rsidR="003B449F" w:rsidRPr="00237760" w:rsidRDefault="003B449F"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Pobudzanie procesów rozwojowych poprzez zapewnienie lepszej dostępności komunikacyjnej na zewnątrz, w tym rozwój infrastruktury drogowej łączącej się z węzłami sieci dróg szybkiego ruchu</w:t>
            </w:r>
          </w:p>
          <w:p w14:paraId="3F3F4720" w14:textId="77777777" w:rsidR="003B449F" w:rsidRPr="00237760" w:rsidRDefault="003B449F"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Poprawa dostępności drogowej do przejść granicznych oraz rozbudowa infrastruktury drogowej (parkingi i zatoczki)</w:t>
            </w:r>
          </w:p>
          <w:p w14:paraId="68C60F66" w14:textId="77777777" w:rsidR="003B449F" w:rsidRPr="00237760" w:rsidRDefault="003B449F"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Rozwój drogowej sieci transportowej o charakterze militarnym</w:t>
            </w:r>
          </w:p>
          <w:p w14:paraId="1149B2F8" w14:textId="77777777" w:rsidR="003B449F" w:rsidRPr="00237760" w:rsidRDefault="003B449F"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Rozwój drogowej sieci transportowej w wymiarze krajowym i międzynarodowym w ramach sieci TEN-T (autostrady i drogi ekspresowe)</w:t>
            </w:r>
          </w:p>
          <w:p w14:paraId="536391AF" w14:textId="77777777" w:rsidR="003B449F" w:rsidRPr="00237760" w:rsidRDefault="003B449F"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Rozwój drogowej sieci transportowej wzmacniającej dostępność zewnętrzną poprzez przebudowę istniejących dróg krajowych, w tym powiązanie z siecią TEN-T (również na styku województw)</w:t>
            </w:r>
          </w:p>
          <w:p w14:paraId="2DD8CC41" w14:textId="77777777" w:rsidR="003B449F" w:rsidRPr="00237760" w:rsidRDefault="003B449F"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Rozwój dróg krajowych w tym 9, 73 i 28 (o parametrach dróg ekspresowych)</w:t>
            </w:r>
          </w:p>
          <w:p w14:paraId="6AB65CAF" w14:textId="71209FBE" w:rsidR="006F5E29" w:rsidRPr="00237760" w:rsidRDefault="003B449F"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 xml:space="preserve">Rozwój komunikacyjnych powiązań łączących Rzeszów najkrótszym przebiegiem ze stolicą kraju oraz innymi </w:t>
            </w:r>
            <w:r w:rsidRPr="00237760">
              <w:rPr>
                <w:rFonts w:ascii="Arial" w:hAnsi="Arial" w:cs="Arial"/>
                <w:color w:val="auto"/>
                <w:sz w:val="24"/>
                <w:szCs w:val="24"/>
              </w:rPr>
              <w:lastRenderedPageBreak/>
              <w:t>krajowymi ośrodkami wzrostu (w tym regionami Polski Wschodniej)</w:t>
            </w:r>
          </w:p>
        </w:tc>
      </w:tr>
      <w:tr w:rsidR="00237760" w:rsidRPr="00237760" w14:paraId="757058B4" w14:textId="77777777" w:rsidTr="00F077C6">
        <w:tc>
          <w:tcPr>
            <w:tcW w:w="1418" w:type="dxa"/>
            <w:shd w:val="clear" w:color="auto" w:fill="auto"/>
            <w:vAlign w:val="center"/>
          </w:tcPr>
          <w:p w14:paraId="58AD23F7" w14:textId="77777777" w:rsidR="006F5E29" w:rsidRPr="00237760" w:rsidRDefault="006F5E29" w:rsidP="009367B4">
            <w:pPr>
              <w:spacing w:after="0" w:line="259" w:lineRule="auto"/>
              <w:jc w:val="left"/>
              <w:rPr>
                <w:rFonts w:ascii="Arial" w:hAnsi="Arial" w:cs="Arial"/>
                <w:b/>
                <w:bCs/>
                <w:color w:val="auto"/>
                <w:sz w:val="24"/>
                <w:szCs w:val="24"/>
                <w:lang w:eastAsia="pl-PL"/>
              </w:rPr>
            </w:pPr>
            <w:r w:rsidRPr="00237760">
              <w:rPr>
                <w:rFonts w:ascii="Arial" w:hAnsi="Arial" w:cs="Arial"/>
                <w:b/>
                <w:bCs/>
                <w:color w:val="auto"/>
                <w:sz w:val="24"/>
                <w:szCs w:val="24"/>
                <w:lang w:eastAsia="pl-PL"/>
              </w:rPr>
              <w:lastRenderedPageBreak/>
              <w:t>Inwestycje kolejowe wewnętrzne</w:t>
            </w:r>
          </w:p>
        </w:tc>
        <w:tc>
          <w:tcPr>
            <w:tcW w:w="7654" w:type="dxa"/>
          </w:tcPr>
          <w:p w14:paraId="7467E911" w14:textId="77777777" w:rsidR="00A03D05" w:rsidRPr="00237760" w:rsidRDefault="00A03D05"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Budowa nowych przystanków na liniach kolejowych</w:t>
            </w:r>
          </w:p>
          <w:p w14:paraId="5165319A" w14:textId="77777777" w:rsidR="00A03D05" w:rsidRPr="00237760" w:rsidRDefault="00A03D05"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Poprawa dostępności komunikacyjnej obszarów poza MOF (obszarów peryferyjnych) w wymiarze lokalnym, regionalnym, krajowym i transgranicznym, w tym w relacji do najbliższego regionalnego bieguna wzrostu</w:t>
            </w:r>
          </w:p>
          <w:p w14:paraId="322CC7AC" w14:textId="77777777" w:rsidR="00A03D05" w:rsidRPr="00237760" w:rsidRDefault="00A03D05"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Poprawa infrastruktury transportowej (kolejowej) pozwalająca na większą integrację miejskich obszarów funkcjonalnych</w:t>
            </w:r>
          </w:p>
          <w:p w14:paraId="7AF4EC72" w14:textId="77777777" w:rsidR="00A03D05" w:rsidRPr="00237760" w:rsidRDefault="00A03D05"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Przebudowa oraz budowa nowych obiektów dworcowych oraz przystanków (wraz z przygotowaniem infrastruktury typu P&amp;R, B&amp;R oraz K&amp;R)</w:t>
            </w:r>
          </w:p>
          <w:p w14:paraId="211FBEE3" w14:textId="77777777" w:rsidR="00A03D05" w:rsidRPr="00237760" w:rsidRDefault="00A03D05"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Rozwój funkcji logistycznej w ramach kolejowego systemu transportowego dla poszczególnych MOF</w:t>
            </w:r>
          </w:p>
          <w:p w14:paraId="59EACC7A" w14:textId="77777777" w:rsidR="00A03D05" w:rsidRPr="00237760" w:rsidRDefault="00A03D05"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Rozwój kolei w ramach poszczególnych obszarów funkcjonalnych oraz powiązań komunikacyjnych miast</w:t>
            </w:r>
          </w:p>
          <w:p w14:paraId="1FB33F23" w14:textId="77777777" w:rsidR="00A03D05" w:rsidRPr="00237760" w:rsidRDefault="00A03D05"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Rozwój szybkiej kolei miejskiej – Podmiejskiej Kolei Aglomeracyjnej, obsługującej ROF wraz z budową linii kolejowej do Portu Lotniczego „Rzeszów-Jasionka”</w:t>
            </w:r>
          </w:p>
          <w:p w14:paraId="3A89DAE3" w14:textId="77777777" w:rsidR="00A03D05" w:rsidRPr="00237760" w:rsidRDefault="00A03D05"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Skrócenie czasu dojazdu do Rzeszowa z miast powiatowych dzięki inwestycjom w infrastrukturę kolejową oraz na skutek zmian organizacyjnych</w:t>
            </w:r>
          </w:p>
          <w:p w14:paraId="0549A5F5" w14:textId="559F00A5" w:rsidR="006F5E29" w:rsidRPr="00237760" w:rsidRDefault="00A03D05"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Zwiększenie funkcjonalności kolei poprzez doprowadzenie linii kolejowych do terenów inwestycyjnych</w:t>
            </w:r>
          </w:p>
        </w:tc>
      </w:tr>
      <w:tr w:rsidR="00237760" w:rsidRPr="00237760" w14:paraId="19336573" w14:textId="77777777" w:rsidTr="00F077C6">
        <w:tc>
          <w:tcPr>
            <w:tcW w:w="1418" w:type="dxa"/>
            <w:shd w:val="clear" w:color="auto" w:fill="auto"/>
            <w:vAlign w:val="center"/>
          </w:tcPr>
          <w:p w14:paraId="7207F423" w14:textId="77777777" w:rsidR="006F5E29" w:rsidRPr="00237760" w:rsidRDefault="006F5E29" w:rsidP="009367B4">
            <w:pPr>
              <w:spacing w:after="0" w:line="259" w:lineRule="auto"/>
              <w:jc w:val="left"/>
              <w:rPr>
                <w:rFonts w:ascii="Arial" w:hAnsi="Arial" w:cs="Arial"/>
                <w:b/>
                <w:bCs/>
                <w:color w:val="auto"/>
                <w:sz w:val="24"/>
                <w:szCs w:val="24"/>
                <w:lang w:eastAsia="pl-PL"/>
              </w:rPr>
            </w:pPr>
            <w:r w:rsidRPr="00237760">
              <w:rPr>
                <w:rFonts w:ascii="Arial" w:hAnsi="Arial" w:cs="Arial"/>
                <w:b/>
                <w:bCs/>
                <w:color w:val="auto"/>
                <w:sz w:val="24"/>
                <w:szCs w:val="24"/>
                <w:lang w:eastAsia="pl-PL"/>
              </w:rPr>
              <w:t>Inwestycje kolejowe zewnętrzne</w:t>
            </w:r>
          </w:p>
        </w:tc>
        <w:tc>
          <w:tcPr>
            <w:tcW w:w="7654" w:type="dxa"/>
          </w:tcPr>
          <w:p w14:paraId="0A16BA7E" w14:textId="77777777" w:rsidR="0020786F" w:rsidRPr="00237760" w:rsidRDefault="0020786F"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Modernizacja linii kolejowych umożliwiających reaktywacje połączeń transgranicznych ze Słowacją i oraz utworzenie kolejowych przejść granicznych z Ukrainą (w tym w ramach Karpackiej Kolei Euroregionalnej)</w:t>
            </w:r>
          </w:p>
          <w:p w14:paraId="24FD1CFC" w14:textId="77777777" w:rsidR="0020786F" w:rsidRPr="00237760" w:rsidRDefault="0020786F"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Poprawa dostępności do kolei w układzie Rzeszów - granica państwa z Ukrainą</w:t>
            </w:r>
          </w:p>
          <w:p w14:paraId="1D4DC5A4" w14:textId="77777777" w:rsidR="0020786F" w:rsidRPr="00237760" w:rsidRDefault="0020786F"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Poprawa infrastruktury dla ruchu towarowego ponadregionalnego</w:t>
            </w:r>
          </w:p>
          <w:p w14:paraId="4BA3F31A" w14:textId="77777777" w:rsidR="0020786F" w:rsidRPr="00237760" w:rsidRDefault="0020786F"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Poprawa infrastruktury w celu połączenia kolejowego z Warszawą</w:t>
            </w:r>
          </w:p>
          <w:p w14:paraId="6BB21412" w14:textId="77777777" w:rsidR="0020786F" w:rsidRPr="00237760" w:rsidRDefault="0020786F"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Poprawa stanu technicznego oraz rozbudowa istniejącej infrastruktury kolejowej o znaczeniu ponadregionalnym (w tym modernizacja torowisk, łączniki, podwójne torowiska, elektryfikacja linii)</w:t>
            </w:r>
          </w:p>
          <w:p w14:paraId="29B8D866" w14:textId="77777777" w:rsidR="0020786F" w:rsidRPr="00237760" w:rsidRDefault="0020786F"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Rozwój i integracja połączeń kolejowych w ramach Czwórmiasta, powiązanie z siecią CPK</w:t>
            </w:r>
          </w:p>
          <w:p w14:paraId="362DE192" w14:textId="33527D39" w:rsidR="006F5E29" w:rsidRPr="00237760" w:rsidRDefault="0020786F"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Skomunikowanie Rzeszowa z regionami Polski Wschodniej poprzez wydajne powiązanie kolejowe wzdłuż granicy wschodniej (Wschodnia Magistrala Kolejowa)</w:t>
            </w:r>
          </w:p>
        </w:tc>
      </w:tr>
      <w:tr w:rsidR="00237760" w:rsidRPr="00237760" w14:paraId="38F4491D" w14:textId="77777777" w:rsidTr="00F077C6">
        <w:tc>
          <w:tcPr>
            <w:tcW w:w="1418" w:type="dxa"/>
            <w:shd w:val="clear" w:color="auto" w:fill="auto"/>
            <w:vAlign w:val="center"/>
          </w:tcPr>
          <w:p w14:paraId="63C7A439" w14:textId="77777777" w:rsidR="006F5E29" w:rsidRPr="00237760" w:rsidRDefault="006F5E29" w:rsidP="009367B4">
            <w:pPr>
              <w:spacing w:after="0" w:line="259" w:lineRule="auto"/>
              <w:jc w:val="left"/>
              <w:rPr>
                <w:rFonts w:ascii="Arial" w:hAnsi="Arial" w:cs="Arial"/>
                <w:b/>
                <w:bCs/>
                <w:color w:val="auto"/>
                <w:sz w:val="24"/>
                <w:szCs w:val="24"/>
                <w:lang w:eastAsia="pl-PL"/>
              </w:rPr>
            </w:pPr>
            <w:r w:rsidRPr="00237760">
              <w:rPr>
                <w:rFonts w:ascii="Arial" w:hAnsi="Arial" w:cs="Arial"/>
                <w:b/>
                <w:bCs/>
                <w:color w:val="auto"/>
                <w:sz w:val="24"/>
                <w:szCs w:val="24"/>
                <w:lang w:eastAsia="pl-PL"/>
              </w:rPr>
              <w:lastRenderedPageBreak/>
              <w:t>Inwestycje lotnicze wewnętrzne</w:t>
            </w:r>
          </w:p>
        </w:tc>
        <w:tc>
          <w:tcPr>
            <w:tcW w:w="7654" w:type="dxa"/>
          </w:tcPr>
          <w:p w14:paraId="57B8D599" w14:textId="77777777" w:rsidR="0020786F" w:rsidRPr="00237760" w:rsidRDefault="0020786F"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Budowa systemu transportu wykorzystujący bezzałogowe statki powietrzne (BSP, drony)</w:t>
            </w:r>
          </w:p>
          <w:p w14:paraId="68E72A98" w14:textId="77777777" w:rsidR="0020786F" w:rsidRPr="00237760" w:rsidRDefault="0020786F"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Wzmocnienie szans rozwojowych, dzięki modernizacji i rozbudowie lotnisk lokalnych w kierunku lotnictwa ogólnego, transportu pasażerskiego i towarowego</w:t>
            </w:r>
          </w:p>
          <w:p w14:paraId="0759E529" w14:textId="77777777" w:rsidR="0020786F" w:rsidRPr="00237760" w:rsidRDefault="0020786F"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Wzmocnienie szans rozwojowych, dzięki modernizacji i rozbudowie lądowisk lokalnych w kierunku ratownictwa medycznego</w:t>
            </w:r>
          </w:p>
          <w:p w14:paraId="7CF4086D" w14:textId="1EB90481" w:rsidR="006F5E29" w:rsidRPr="00237760" w:rsidRDefault="0020786F"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Wzmocnienie szans rozwojowych, dzięki modernizacji i rozbudowie lądowisk lokalnych w kierunku funkcji sportowo-rekreacyjnej</w:t>
            </w:r>
          </w:p>
        </w:tc>
      </w:tr>
      <w:tr w:rsidR="00237760" w:rsidRPr="00237760" w14:paraId="1DC1BB01" w14:textId="77777777" w:rsidTr="00F077C6">
        <w:tc>
          <w:tcPr>
            <w:tcW w:w="1418" w:type="dxa"/>
            <w:shd w:val="clear" w:color="auto" w:fill="auto"/>
            <w:vAlign w:val="center"/>
          </w:tcPr>
          <w:p w14:paraId="0EA5BFC5" w14:textId="77777777" w:rsidR="006F5E29" w:rsidRPr="00237760" w:rsidRDefault="006F5E29" w:rsidP="009367B4">
            <w:pPr>
              <w:spacing w:after="0" w:line="259" w:lineRule="auto"/>
              <w:jc w:val="left"/>
              <w:rPr>
                <w:rFonts w:ascii="Arial" w:hAnsi="Arial" w:cs="Arial"/>
                <w:b/>
                <w:bCs/>
                <w:color w:val="auto"/>
                <w:sz w:val="24"/>
                <w:szCs w:val="24"/>
                <w:lang w:eastAsia="pl-PL"/>
              </w:rPr>
            </w:pPr>
            <w:r w:rsidRPr="00237760">
              <w:rPr>
                <w:rFonts w:ascii="Arial" w:hAnsi="Arial" w:cs="Arial"/>
                <w:b/>
                <w:bCs/>
                <w:color w:val="auto"/>
                <w:sz w:val="24"/>
                <w:szCs w:val="24"/>
                <w:lang w:eastAsia="pl-PL"/>
              </w:rPr>
              <w:t>Inwestycje lotnicze zewnętrzne</w:t>
            </w:r>
          </w:p>
        </w:tc>
        <w:tc>
          <w:tcPr>
            <w:tcW w:w="7654" w:type="dxa"/>
          </w:tcPr>
          <w:p w14:paraId="06D3E195" w14:textId="77777777" w:rsidR="009967ED" w:rsidRPr="00237760" w:rsidRDefault="009967ED"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Integracja Portu Lotniczego Rzeszów-Jasionka z systemem transportu kolejowego poprzez budowę odgałęzienia linii kolejowej nr 71</w:t>
            </w:r>
          </w:p>
          <w:p w14:paraId="0981C116" w14:textId="77777777" w:rsidR="009967ED" w:rsidRPr="00237760" w:rsidRDefault="009967ED"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Poprawa systemu komunikacji publicznej łączącej Port Lotniczy z centrum Rzeszowa dzięki uruchomieniu nowych dogodnych dla pasażerów połączeń</w:t>
            </w:r>
          </w:p>
          <w:p w14:paraId="51D9260F" w14:textId="77777777" w:rsidR="009967ED" w:rsidRPr="00237760" w:rsidRDefault="009967ED"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Rozwój Portu Lotniczego „Rzeszów-Jasionka” poprzez wzmocnienie potencjału lotniska tj. realizacje inwestycji w infrastrukturę, a także poprzez integrację z systemem transportu kolejowego (poprawa komunikacji publicznej)</w:t>
            </w:r>
          </w:p>
          <w:p w14:paraId="1295E8B7" w14:textId="77777777" w:rsidR="009967ED" w:rsidRPr="00237760" w:rsidRDefault="009967ED"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Wzmocnienie szans rozwojowych, dzięki modernizacji i rozbudowie lądowisk lokalnych w kierunku funkcji sportowo-rekreacyjnej</w:t>
            </w:r>
          </w:p>
          <w:p w14:paraId="07BAA111" w14:textId="1C0D711A" w:rsidR="006F5E29" w:rsidRPr="00237760" w:rsidRDefault="009967ED"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Wzrost krajowej i międzynarodowej rangi portu lotniczego Rzeszów-Jasionka dzięki zwiększeniu udziału w obsłudze ruchu osobowego oraz otwarciu nowych połączeń lotniczych krajowych i zagranicznych</w:t>
            </w:r>
          </w:p>
        </w:tc>
      </w:tr>
      <w:tr w:rsidR="00237760" w:rsidRPr="00237760" w14:paraId="4F6E7E66" w14:textId="77777777" w:rsidTr="00F077C6">
        <w:tc>
          <w:tcPr>
            <w:tcW w:w="1418" w:type="dxa"/>
            <w:shd w:val="clear" w:color="auto" w:fill="auto"/>
            <w:vAlign w:val="center"/>
          </w:tcPr>
          <w:p w14:paraId="2C2FE730" w14:textId="77777777" w:rsidR="006F5E29" w:rsidRPr="00237760" w:rsidRDefault="006F5E29" w:rsidP="009367B4">
            <w:pPr>
              <w:spacing w:after="0" w:line="259" w:lineRule="auto"/>
              <w:jc w:val="left"/>
              <w:rPr>
                <w:rFonts w:ascii="Arial" w:hAnsi="Arial" w:cs="Arial"/>
                <w:b/>
                <w:bCs/>
                <w:color w:val="auto"/>
                <w:sz w:val="24"/>
                <w:szCs w:val="24"/>
                <w:lang w:eastAsia="pl-PL"/>
              </w:rPr>
            </w:pPr>
            <w:r w:rsidRPr="00237760">
              <w:rPr>
                <w:rFonts w:ascii="Arial" w:hAnsi="Arial" w:cs="Arial"/>
                <w:b/>
                <w:bCs/>
                <w:color w:val="auto"/>
                <w:sz w:val="24"/>
                <w:szCs w:val="24"/>
                <w:lang w:eastAsia="pl-PL"/>
              </w:rPr>
              <w:t>Bezpieczeństwo komunikacyjne</w:t>
            </w:r>
          </w:p>
        </w:tc>
        <w:tc>
          <w:tcPr>
            <w:tcW w:w="7654" w:type="dxa"/>
          </w:tcPr>
          <w:p w14:paraId="39FAF8AD" w14:textId="77777777" w:rsidR="009967ED" w:rsidRPr="00237760" w:rsidRDefault="009967ED"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Bezpieczeństwo rozwiązań komunikacyjnych we wszystkich sektorach transportu, z uwzględnieniem zagrożeń wynikających z transportu materiałów niebezpiecznych (bezkolizyjne skrzyżowania dróg i sieci kolejowej)</w:t>
            </w:r>
          </w:p>
          <w:p w14:paraId="6C22CF40" w14:textId="77777777" w:rsidR="009967ED" w:rsidRPr="00237760" w:rsidRDefault="009967ED"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Higiena i bezpieczeństwo epidemiczne w zakresie transportu publicznego</w:t>
            </w:r>
          </w:p>
          <w:p w14:paraId="0E75B241" w14:textId="77777777" w:rsidR="009967ED" w:rsidRPr="00237760" w:rsidRDefault="009967ED"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Modernizacja infrastruktury drogowej w celu poprawy bezpieczeństwa uczestników ruchu, szczególnie pieszych i rowerzystów</w:t>
            </w:r>
          </w:p>
          <w:p w14:paraId="54441F95" w14:textId="77777777" w:rsidR="009967ED" w:rsidRPr="00237760" w:rsidRDefault="009967ED"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Poprawa bezpieczeństwa na przejazdach i przejściach (kolejowych) dla pieszych w aspekcie współpracy z zarządcami dróg i samorządami</w:t>
            </w:r>
          </w:p>
          <w:p w14:paraId="547C8B44" w14:textId="77777777" w:rsidR="009967ED" w:rsidRPr="00237760" w:rsidRDefault="009967ED"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Poprawa bezpieczeństwa uczestników ruchu oraz przewożonych towarów (m. in. poprzez budowę bezkolizyjnych przejazdów drogowo-kolejowych)</w:t>
            </w:r>
          </w:p>
          <w:p w14:paraId="48F79E5F" w14:textId="77777777" w:rsidR="009967ED" w:rsidRPr="00237760" w:rsidRDefault="009967ED"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lastRenderedPageBreak/>
              <w:t>Sprzętowe wsparcie dla instytucji i podmiotów zarządzających ruchem oraz infrastrukturą transportową</w:t>
            </w:r>
          </w:p>
          <w:p w14:paraId="5E838737" w14:textId="77777777" w:rsidR="009967ED" w:rsidRPr="00237760" w:rsidRDefault="009967ED"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Usprawnienie systemów sterowania i zarządzania ruchem drogowym w miastach</w:t>
            </w:r>
          </w:p>
          <w:p w14:paraId="76E7279D" w14:textId="77777777" w:rsidR="009967ED" w:rsidRPr="00237760" w:rsidRDefault="009967ED"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Usprawnienie systemu drogowego województwa i zmniejszenie wypadkowości poprzez wyprowadzenie ruchu tranzytowego z obszarów rdzeniowych MOF oraz innych miast dzięki budowie ich obwodnic</w:t>
            </w:r>
          </w:p>
          <w:p w14:paraId="1CE79BB0" w14:textId="77777777" w:rsidR="009967ED" w:rsidRPr="00237760" w:rsidRDefault="009967ED"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Wzrost bezpieczeństwa pieszych i rowerzystów, poprzez promocję zmiany zachowań transportowych</w:t>
            </w:r>
          </w:p>
          <w:p w14:paraId="44C4DD66" w14:textId="7C4C66E8" w:rsidR="006F5E29" w:rsidRPr="00237760" w:rsidRDefault="009967ED"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Zapewnienie płynności ruchu, likwidacja wąskich gardeł (szczególnie w miastach) pod kątem poprawy jakości środowiska poprzez redukcję emisji spalin, drgań i hałasu</w:t>
            </w:r>
          </w:p>
        </w:tc>
      </w:tr>
      <w:tr w:rsidR="00237760" w:rsidRPr="00237760" w14:paraId="0000A129" w14:textId="77777777" w:rsidTr="00F077C6">
        <w:tc>
          <w:tcPr>
            <w:tcW w:w="1418" w:type="dxa"/>
            <w:tcBorders>
              <w:bottom w:val="single" w:sz="4" w:space="0" w:color="002060"/>
            </w:tcBorders>
            <w:shd w:val="clear" w:color="auto" w:fill="auto"/>
            <w:vAlign w:val="center"/>
          </w:tcPr>
          <w:p w14:paraId="5CF401EB" w14:textId="77777777" w:rsidR="006F5E29" w:rsidRPr="00237760" w:rsidRDefault="006F5E29" w:rsidP="009367B4">
            <w:pPr>
              <w:spacing w:after="0" w:line="259" w:lineRule="auto"/>
              <w:jc w:val="left"/>
              <w:rPr>
                <w:rFonts w:ascii="Arial" w:hAnsi="Arial" w:cs="Arial"/>
                <w:b/>
                <w:bCs/>
                <w:color w:val="auto"/>
                <w:sz w:val="24"/>
                <w:szCs w:val="24"/>
                <w:lang w:eastAsia="pl-PL"/>
              </w:rPr>
            </w:pPr>
            <w:r w:rsidRPr="00237760">
              <w:rPr>
                <w:rFonts w:ascii="Arial" w:hAnsi="Arial" w:cs="Arial"/>
                <w:b/>
                <w:bCs/>
                <w:color w:val="auto"/>
                <w:sz w:val="24"/>
                <w:szCs w:val="24"/>
                <w:lang w:eastAsia="pl-PL"/>
              </w:rPr>
              <w:lastRenderedPageBreak/>
              <w:t>Środowisko i jakość życia</w:t>
            </w:r>
          </w:p>
        </w:tc>
        <w:tc>
          <w:tcPr>
            <w:tcW w:w="7654" w:type="dxa"/>
            <w:tcBorders>
              <w:bottom w:val="single" w:sz="4" w:space="0" w:color="002060"/>
            </w:tcBorders>
          </w:tcPr>
          <w:p w14:paraId="5F364EF8" w14:textId="77777777" w:rsidR="009967ED" w:rsidRPr="00237760" w:rsidRDefault="009967ED"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Integracja i rozwój niskoemisyjnego transportu publicznego</w:t>
            </w:r>
          </w:p>
          <w:p w14:paraId="4180689E" w14:textId="77777777" w:rsidR="009967ED" w:rsidRPr="00237760" w:rsidRDefault="009967ED"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Mobilności miejskiej z wykorzystaniem ścieżek rowerowych</w:t>
            </w:r>
          </w:p>
          <w:p w14:paraId="763A5E25" w14:textId="77777777" w:rsidR="009967ED" w:rsidRPr="00237760" w:rsidRDefault="009967ED"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Niwelowanie barier transportowych poprzez rozwój systemów transportu zbiorowego pomiędzy ośrodkami miejskimi a sąsiednimi obszarami wiejskimi i ośrodkami miejskimi</w:t>
            </w:r>
          </w:p>
          <w:p w14:paraId="383AAF19" w14:textId="77777777" w:rsidR="009967ED" w:rsidRPr="00237760" w:rsidRDefault="009967ED"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Poprawa dostępności transportowej i ekspozycji turystycznej terenów, miejsc i obiektów reprezentujących unikatowe dziedzictwo przyrodnicze i kulturowe regionu</w:t>
            </w:r>
          </w:p>
          <w:p w14:paraId="3E5C1D16" w14:textId="77777777" w:rsidR="009967ED" w:rsidRPr="00237760" w:rsidRDefault="009967ED"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Rozbudowa sieci turystycznych tras rowerowych na terenie Bieszczad i Beskidu Niskiego oraz włączenie ich do szlaku rowerowego Green Velo</w:t>
            </w:r>
          </w:p>
          <w:p w14:paraId="6ED4A803" w14:textId="77777777" w:rsidR="009967ED" w:rsidRPr="00237760" w:rsidRDefault="009967ED"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Rozwój połączeń autobusowych i kolejowych zapewniających transport obszarom dotkniętym wykluczeniem transportowym</w:t>
            </w:r>
          </w:p>
          <w:p w14:paraId="6F3E5ED1" w14:textId="77777777" w:rsidR="009967ED" w:rsidRPr="00237760" w:rsidRDefault="009967ED"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Rozwój zintegrowanej sieci ścieżek rowerowych, tras rowerowych, jako alternatywy dla przemieszczania się na krótkich odcinkach oraz służących rekreacji (w tym szlaków greenways)</w:t>
            </w:r>
          </w:p>
          <w:p w14:paraId="46C86F23" w14:textId="77777777" w:rsidR="009967ED" w:rsidRPr="00237760" w:rsidRDefault="009967ED"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Tworzenie warunków do rozwoju elektromobilności</w:t>
            </w:r>
          </w:p>
          <w:p w14:paraId="125C6B42" w14:textId="77777777" w:rsidR="009967ED" w:rsidRPr="00237760" w:rsidRDefault="009967ED"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Wzmocnienie zmiany w kierunku tzw. zielonej gospodarki w Porcie Lotniczym Rzeszów-Jasionka, związanej z wymianą floty transportowej na pojazdy zeroemisyjne lub niskoemisyjne</w:t>
            </w:r>
          </w:p>
          <w:p w14:paraId="17FA7FAC" w14:textId="7E8B78C6" w:rsidR="006F5E29" w:rsidRPr="00237760" w:rsidRDefault="009967ED"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Zapewnienie spójnego systemu tras rowerowych gwarantujących bezpieczeństwo w poruszaniu się</w:t>
            </w:r>
          </w:p>
        </w:tc>
      </w:tr>
      <w:tr w:rsidR="00237760" w:rsidRPr="00237760" w14:paraId="7044158B" w14:textId="77777777" w:rsidTr="00F077C6">
        <w:tc>
          <w:tcPr>
            <w:tcW w:w="1418" w:type="dxa"/>
            <w:tcBorders>
              <w:bottom w:val="single" w:sz="12" w:space="0" w:color="002060"/>
            </w:tcBorders>
            <w:shd w:val="clear" w:color="auto" w:fill="auto"/>
            <w:vAlign w:val="center"/>
          </w:tcPr>
          <w:p w14:paraId="333353CC" w14:textId="77777777" w:rsidR="006F5E29" w:rsidRPr="00237760" w:rsidRDefault="006F5E29" w:rsidP="009367B4">
            <w:pPr>
              <w:spacing w:after="0" w:line="259" w:lineRule="auto"/>
              <w:jc w:val="left"/>
              <w:rPr>
                <w:rFonts w:ascii="Arial" w:hAnsi="Arial" w:cs="Arial"/>
                <w:b/>
                <w:bCs/>
                <w:color w:val="auto"/>
                <w:sz w:val="24"/>
                <w:szCs w:val="24"/>
                <w:lang w:eastAsia="pl-PL"/>
              </w:rPr>
            </w:pPr>
            <w:r w:rsidRPr="00237760">
              <w:rPr>
                <w:rFonts w:ascii="Arial" w:hAnsi="Arial" w:cs="Arial"/>
                <w:b/>
                <w:bCs/>
                <w:color w:val="auto"/>
                <w:sz w:val="24"/>
                <w:szCs w:val="24"/>
                <w:lang w:eastAsia="pl-PL"/>
              </w:rPr>
              <w:t>Inwestycje multimodalne i transport publiczny</w:t>
            </w:r>
          </w:p>
        </w:tc>
        <w:tc>
          <w:tcPr>
            <w:tcW w:w="7654" w:type="dxa"/>
            <w:tcBorders>
              <w:bottom w:val="single" w:sz="12" w:space="0" w:color="002060"/>
            </w:tcBorders>
          </w:tcPr>
          <w:p w14:paraId="75484389" w14:textId="77777777" w:rsidR="0031062A" w:rsidRPr="00237760" w:rsidRDefault="0031062A"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Budowa zintegrowanych węzłów przesiadkowych (pasażerskich) pomiędzy transportem lotniczym, kolejowym i drogowym oraz budowa i rozbudowa infrastruktury typu P&amp;R, B&amp;R oraz K&amp;R</w:t>
            </w:r>
          </w:p>
          <w:p w14:paraId="7053C9C4" w14:textId="77777777" w:rsidR="0031062A" w:rsidRPr="00237760" w:rsidRDefault="0031062A"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Integracja i rozwój niskoemisyjnego transportu publicznego</w:t>
            </w:r>
          </w:p>
          <w:p w14:paraId="59704CBA" w14:textId="77777777" w:rsidR="0031062A" w:rsidRPr="00237760" w:rsidRDefault="0031062A"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Mobilności miejskiej z wykorzystaniem ścieżek rowerowych</w:t>
            </w:r>
          </w:p>
          <w:p w14:paraId="443C6465" w14:textId="77777777" w:rsidR="0031062A" w:rsidRPr="00237760" w:rsidRDefault="0031062A"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lastRenderedPageBreak/>
              <w:t>Niwelowanie barier transportowych poprzez rozwój systemów transportu zbiorowego pomiędzy ośrodkami miejskimi a sąsiednimi obszarami wiejskimi i ośrodkami miejskimi</w:t>
            </w:r>
          </w:p>
          <w:p w14:paraId="5BE454F3" w14:textId="77777777" w:rsidR="0031062A" w:rsidRPr="00237760" w:rsidRDefault="0031062A"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Rozbudowa sieci turystycznych tras rowerowych na terenie Bieszczad i Beskidu Niskiego oraz włączenie ich do szlaku rowerowego Green Velo</w:t>
            </w:r>
          </w:p>
          <w:p w14:paraId="619BDB72" w14:textId="77777777" w:rsidR="0031062A" w:rsidRPr="00237760" w:rsidRDefault="0031062A"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Rozwój infrastruktury transportu rowerowego</w:t>
            </w:r>
          </w:p>
          <w:p w14:paraId="033B8A39" w14:textId="77777777" w:rsidR="0031062A" w:rsidRPr="00237760" w:rsidRDefault="0031062A"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Rozwój połączeń autobusowych i kolejowych zapewniających transport obszarom dotkniętym wykluczeniem transportowym</w:t>
            </w:r>
          </w:p>
          <w:p w14:paraId="1E326881" w14:textId="77777777" w:rsidR="0031062A" w:rsidRPr="00237760" w:rsidRDefault="0031062A"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Rozwój transportu publicznego w kierunku neutralnym klimatycznie min. poprzez wymianę taboru na niskoemisyjny bądź zeroemisyjny</w:t>
            </w:r>
          </w:p>
          <w:p w14:paraId="532291E6" w14:textId="3AFDC5A5" w:rsidR="006F5E29" w:rsidRPr="00237760" w:rsidRDefault="0031062A"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Usprawnienie transportu oraz rozwój i modernizacja transportu publicznego poprzez dostosowanie taboru dla podróżnych na kierunkach obszarów turystycznych</w:t>
            </w:r>
          </w:p>
        </w:tc>
      </w:tr>
    </w:tbl>
    <w:p w14:paraId="4260E845" w14:textId="77777777" w:rsidR="00F72166" w:rsidRPr="00237760" w:rsidRDefault="00F72166"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lastRenderedPageBreak/>
        <w:t>Źródło: opracowanie własne na podstawie matryc logicznych wypełnionych przez ekspertów.</w:t>
      </w:r>
    </w:p>
    <w:p w14:paraId="7B229D2A" w14:textId="63007211" w:rsidR="00E8625A" w:rsidRPr="00237760" w:rsidRDefault="00E8625A" w:rsidP="009367B4">
      <w:pPr>
        <w:spacing w:after="160" w:line="259" w:lineRule="auto"/>
        <w:jc w:val="left"/>
        <w:rPr>
          <w:rFonts w:ascii="Arial" w:hAnsi="Arial" w:cs="Arial"/>
          <w:color w:val="auto"/>
          <w:sz w:val="24"/>
          <w:szCs w:val="24"/>
          <w:lang w:eastAsia="pl-PL"/>
        </w:rPr>
      </w:pPr>
      <w:r w:rsidRPr="00237760">
        <w:rPr>
          <w:rFonts w:ascii="Arial" w:hAnsi="Arial" w:cs="Arial"/>
          <w:color w:val="auto"/>
          <w:sz w:val="24"/>
          <w:szCs w:val="24"/>
          <w:lang w:eastAsia="pl-PL"/>
        </w:rPr>
        <w:br w:type="page"/>
      </w:r>
    </w:p>
    <w:p w14:paraId="7E47C38B" w14:textId="75ACF4BD" w:rsidR="00C65191" w:rsidRPr="00237760" w:rsidRDefault="00C65191" w:rsidP="009367B4">
      <w:pPr>
        <w:pStyle w:val="Nagwek2"/>
        <w:rPr>
          <w:rFonts w:ascii="Arial" w:hAnsi="Arial" w:cs="Arial"/>
          <w:color w:val="auto"/>
          <w:sz w:val="24"/>
          <w:szCs w:val="24"/>
        </w:rPr>
      </w:pPr>
      <w:bookmarkStart w:id="114" w:name="_Toc101904124"/>
      <w:r w:rsidRPr="00237760">
        <w:rPr>
          <w:rFonts w:ascii="Arial" w:hAnsi="Arial" w:cs="Arial"/>
          <w:color w:val="auto"/>
          <w:sz w:val="24"/>
          <w:szCs w:val="24"/>
        </w:rPr>
        <w:lastRenderedPageBreak/>
        <w:t xml:space="preserve">Ocena </w:t>
      </w:r>
      <w:r w:rsidR="00931963" w:rsidRPr="00237760">
        <w:rPr>
          <w:rFonts w:ascii="Arial" w:hAnsi="Arial" w:cs="Arial"/>
          <w:color w:val="auto"/>
          <w:sz w:val="24"/>
          <w:szCs w:val="24"/>
        </w:rPr>
        <w:t>systemu wdrażania</w:t>
      </w:r>
      <w:r w:rsidR="006A696B" w:rsidRPr="00237760">
        <w:rPr>
          <w:rFonts w:ascii="Arial" w:hAnsi="Arial" w:cs="Arial"/>
          <w:color w:val="auto"/>
          <w:sz w:val="24"/>
          <w:szCs w:val="24"/>
        </w:rPr>
        <w:t>, wskazanych źródeł i instrumentów finansowania</w:t>
      </w:r>
      <w:bookmarkEnd w:id="114"/>
      <w:r w:rsidR="003E2D7A" w:rsidRPr="00237760">
        <w:rPr>
          <w:rFonts w:ascii="Arial" w:hAnsi="Arial" w:cs="Arial"/>
          <w:color w:val="auto"/>
          <w:sz w:val="24"/>
          <w:szCs w:val="24"/>
        </w:rPr>
        <w:t xml:space="preserve"> </w:t>
      </w:r>
    </w:p>
    <w:p w14:paraId="2225AE40" w14:textId="77777777" w:rsidR="00C65191" w:rsidRPr="00D352FD" w:rsidRDefault="00C65191" w:rsidP="00D352FD">
      <w:pPr>
        <w:pStyle w:val="Nagwek3"/>
        <w:rPr>
          <w:rFonts w:ascii="Arial" w:hAnsi="Arial" w:cs="Arial"/>
          <w:color w:val="auto"/>
          <w:sz w:val="24"/>
          <w:szCs w:val="24"/>
        </w:rPr>
      </w:pPr>
      <w:bookmarkStart w:id="115" w:name="_Toc101904125"/>
      <w:r w:rsidRPr="00D352FD">
        <w:rPr>
          <w:rFonts w:ascii="Arial" w:hAnsi="Arial" w:cs="Arial"/>
          <w:color w:val="auto"/>
          <w:sz w:val="24"/>
          <w:szCs w:val="24"/>
        </w:rPr>
        <w:t>Synteza</w:t>
      </w:r>
      <w:bookmarkEnd w:id="115"/>
    </w:p>
    <w:p w14:paraId="1A9A7F61" w14:textId="77777777" w:rsidR="00C65191" w:rsidRPr="00237760" w:rsidRDefault="00C65191" w:rsidP="009367B4">
      <w:pPr>
        <w:jc w:val="left"/>
        <w:rPr>
          <w:rFonts w:ascii="Arial" w:hAnsi="Arial" w:cs="Arial"/>
          <w:bCs/>
          <w:iCs/>
          <w:color w:val="auto"/>
          <w:sz w:val="24"/>
          <w:szCs w:val="24"/>
        </w:rPr>
      </w:pPr>
      <w:r w:rsidRPr="00237760">
        <w:rPr>
          <w:rFonts w:ascii="Arial" w:hAnsi="Arial" w:cs="Arial"/>
          <w:color w:val="auto"/>
          <w:sz w:val="24"/>
          <w:szCs w:val="24"/>
        </w:rPr>
        <w:t>Pytanie ewaluacyjne:</w:t>
      </w:r>
      <w:r w:rsidRPr="00237760">
        <w:rPr>
          <w:rFonts w:ascii="Arial" w:hAnsi="Arial" w:cs="Arial"/>
          <w:bCs/>
          <w:iCs/>
          <w:color w:val="auto"/>
          <w:sz w:val="24"/>
          <w:szCs w:val="24"/>
        </w:rPr>
        <w:t xml:space="preserve"> </w:t>
      </w:r>
    </w:p>
    <w:p w14:paraId="34157392" w14:textId="05D0CFCC" w:rsidR="00C65191" w:rsidRPr="00237760" w:rsidRDefault="00931963" w:rsidP="009367B4">
      <w:pPr>
        <w:jc w:val="left"/>
        <w:rPr>
          <w:rFonts w:ascii="Arial" w:hAnsi="Arial" w:cs="Arial"/>
          <w:color w:val="auto"/>
          <w:sz w:val="24"/>
          <w:szCs w:val="24"/>
        </w:rPr>
      </w:pPr>
      <w:r w:rsidRPr="00237760">
        <w:rPr>
          <w:rFonts w:ascii="Arial" w:hAnsi="Arial" w:cs="Arial"/>
          <w:b/>
          <w:i/>
          <w:color w:val="auto"/>
          <w:sz w:val="24"/>
          <w:szCs w:val="24"/>
        </w:rPr>
        <w:t>Czy przyjęty system wdrażania oraz wskazane źródła i instrumenty finansowania pozwolą na skuteczną realizację Programu?</w:t>
      </w:r>
    </w:p>
    <w:p w14:paraId="35FF7EE2" w14:textId="77777777" w:rsidR="00C65191" w:rsidRPr="00237760" w:rsidRDefault="00C65191" w:rsidP="009367B4">
      <w:pPr>
        <w:jc w:val="left"/>
        <w:rPr>
          <w:rFonts w:ascii="Arial" w:hAnsi="Arial" w:cs="Arial"/>
          <w:color w:val="auto"/>
          <w:sz w:val="24"/>
          <w:szCs w:val="24"/>
        </w:rPr>
      </w:pPr>
      <w:r w:rsidRPr="00237760">
        <w:rPr>
          <w:rFonts w:ascii="Arial" w:hAnsi="Arial" w:cs="Arial"/>
          <w:color w:val="auto"/>
          <w:sz w:val="24"/>
          <w:szCs w:val="24"/>
        </w:rPr>
        <w:t>Syntetyczna odpowiedź:</w:t>
      </w:r>
    </w:p>
    <w:p w14:paraId="6F3317E8" w14:textId="46A4D3A8" w:rsidR="00C65191" w:rsidRPr="00237760" w:rsidRDefault="005017A8" w:rsidP="009367B4">
      <w:pPr>
        <w:jc w:val="left"/>
        <w:rPr>
          <w:rFonts w:ascii="Arial" w:hAnsi="Arial" w:cs="Arial"/>
          <w:color w:val="auto"/>
          <w:sz w:val="24"/>
          <w:szCs w:val="24"/>
        </w:rPr>
      </w:pPr>
      <w:r w:rsidRPr="00237760">
        <w:rPr>
          <w:rFonts w:ascii="Arial" w:hAnsi="Arial" w:cs="Arial"/>
          <w:b/>
          <w:i/>
          <w:color w:val="auto"/>
          <w:sz w:val="24"/>
          <w:szCs w:val="24"/>
        </w:rPr>
        <w:t xml:space="preserve">Tak, jednak </w:t>
      </w:r>
      <w:r w:rsidR="00BC26A4" w:rsidRPr="00237760">
        <w:rPr>
          <w:rFonts w:ascii="Arial" w:hAnsi="Arial" w:cs="Arial"/>
          <w:b/>
          <w:i/>
          <w:color w:val="auto"/>
          <w:sz w:val="24"/>
          <w:szCs w:val="24"/>
        </w:rPr>
        <w:t>zagrożenia w realizacji Programu</w:t>
      </w:r>
      <w:r w:rsidR="00365B56" w:rsidRPr="00237760">
        <w:rPr>
          <w:rFonts w:ascii="Arial" w:hAnsi="Arial" w:cs="Arial"/>
          <w:b/>
          <w:i/>
          <w:color w:val="auto"/>
          <w:sz w:val="24"/>
          <w:szCs w:val="24"/>
        </w:rPr>
        <w:t xml:space="preserve">, leżące po stronie relacji Rząd RP – Komisja Europejska, </w:t>
      </w:r>
      <w:r w:rsidR="00E40E9D" w:rsidRPr="00237760">
        <w:rPr>
          <w:rFonts w:ascii="Arial" w:hAnsi="Arial" w:cs="Arial"/>
          <w:b/>
          <w:i/>
          <w:color w:val="auto"/>
          <w:sz w:val="24"/>
          <w:szCs w:val="24"/>
        </w:rPr>
        <w:t>a także wynikające z konsekwencji wojny w Ukrainie</w:t>
      </w:r>
      <w:r w:rsidR="0063743E" w:rsidRPr="00237760">
        <w:rPr>
          <w:rFonts w:ascii="Arial" w:hAnsi="Arial" w:cs="Arial"/>
          <w:b/>
          <w:i/>
          <w:color w:val="auto"/>
          <w:sz w:val="24"/>
          <w:szCs w:val="24"/>
        </w:rPr>
        <w:t xml:space="preserve"> </w:t>
      </w:r>
      <w:r w:rsidR="00365B56" w:rsidRPr="00237760">
        <w:rPr>
          <w:rFonts w:ascii="Arial" w:hAnsi="Arial" w:cs="Arial"/>
          <w:b/>
          <w:i/>
          <w:color w:val="auto"/>
          <w:sz w:val="24"/>
          <w:szCs w:val="24"/>
        </w:rPr>
        <w:t xml:space="preserve">są wysokie, przynajmniej w zakresie terminowości </w:t>
      </w:r>
      <w:r w:rsidR="0063743E" w:rsidRPr="00237760">
        <w:rPr>
          <w:rFonts w:ascii="Arial" w:hAnsi="Arial" w:cs="Arial"/>
          <w:b/>
          <w:i/>
          <w:color w:val="auto"/>
          <w:sz w:val="24"/>
          <w:szCs w:val="24"/>
        </w:rPr>
        <w:t>oraz wzrastających kosz</w:t>
      </w:r>
      <w:r w:rsidR="000A7066" w:rsidRPr="00237760">
        <w:rPr>
          <w:rFonts w:ascii="Arial" w:hAnsi="Arial" w:cs="Arial"/>
          <w:b/>
          <w:i/>
          <w:color w:val="auto"/>
          <w:sz w:val="24"/>
          <w:szCs w:val="24"/>
        </w:rPr>
        <w:t>tów podejmowanych inwestycji</w:t>
      </w:r>
      <w:r w:rsidR="00223BD2" w:rsidRPr="00237760">
        <w:rPr>
          <w:rFonts w:ascii="Arial" w:hAnsi="Arial" w:cs="Arial"/>
          <w:b/>
          <w:i/>
          <w:color w:val="auto"/>
          <w:sz w:val="24"/>
          <w:szCs w:val="24"/>
        </w:rPr>
        <w:t>.</w:t>
      </w:r>
    </w:p>
    <w:p w14:paraId="162904E3" w14:textId="77777777" w:rsidR="00C65191" w:rsidRPr="00237760" w:rsidRDefault="00C65191" w:rsidP="009367B4">
      <w:pPr>
        <w:pStyle w:val="Nagwek4"/>
        <w:shd w:val="clear" w:color="auto" w:fill="auto"/>
        <w:rPr>
          <w:rFonts w:ascii="Arial" w:hAnsi="Arial" w:cs="Arial"/>
          <w:color w:val="auto"/>
        </w:rPr>
      </w:pPr>
      <w:r w:rsidRPr="00237760">
        <w:rPr>
          <w:rFonts w:ascii="Arial" w:hAnsi="Arial" w:cs="Arial"/>
          <w:color w:val="auto"/>
        </w:rPr>
        <w:t xml:space="preserve"> </w:t>
      </w:r>
      <w:bookmarkStart w:id="116" w:name="_Toc101904126"/>
      <w:r w:rsidRPr="00237760">
        <w:rPr>
          <w:rFonts w:ascii="Arial" w:hAnsi="Arial" w:cs="Arial"/>
          <w:color w:val="auto"/>
        </w:rPr>
        <w:t>Analiza</w:t>
      </w:r>
      <w:bookmarkEnd w:id="116"/>
    </w:p>
    <w:p w14:paraId="71CA40DF" w14:textId="3E1C5D3A" w:rsidR="00817EFE" w:rsidRPr="00237760" w:rsidRDefault="00B73DD3"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 xml:space="preserve">Dokonana w rozdz. </w:t>
      </w:r>
      <w:r w:rsidRPr="00237760">
        <w:rPr>
          <w:rFonts w:ascii="Arial" w:hAnsi="Arial" w:cs="Arial"/>
          <w:color w:val="auto"/>
          <w:sz w:val="24"/>
          <w:szCs w:val="24"/>
          <w:lang w:eastAsia="pl-PL"/>
        </w:rPr>
        <w:fldChar w:fldCharType="begin"/>
      </w:r>
      <w:r w:rsidRPr="00237760">
        <w:rPr>
          <w:rFonts w:ascii="Arial" w:hAnsi="Arial" w:cs="Arial"/>
          <w:color w:val="auto"/>
          <w:sz w:val="24"/>
          <w:szCs w:val="24"/>
          <w:lang w:eastAsia="pl-PL"/>
        </w:rPr>
        <w:instrText xml:space="preserve"> REF _Ref101178886 \n \h </w:instrText>
      </w:r>
      <w:r w:rsidR="00237760" w:rsidRPr="00237760">
        <w:rPr>
          <w:rFonts w:ascii="Arial" w:hAnsi="Arial" w:cs="Arial"/>
          <w:color w:val="auto"/>
          <w:sz w:val="24"/>
          <w:szCs w:val="24"/>
          <w:lang w:eastAsia="pl-PL"/>
        </w:rPr>
        <w:instrText xml:space="preserve"> \* MERGEFORMAT </w:instrText>
      </w:r>
      <w:r w:rsidRPr="00237760">
        <w:rPr>
          <w:rFonts w:ascii="Arial" w:hAnsi="Arial" w:cs="Arial"/>
          <w:color w:val="auto"/>
          <w:sz w:val="24"/>
          <w:szCs w:val="24"/>
          <w:lang w:eastAsia="pl-PL"/>
        </w:rPr>
      </w:r>
      <w:r w:rsidRPr="00237760">
        <w:rPr>
          <w:rFonts w:ascii="Arial" w:hAnsi="Arial" w:cs="Arial"/>
          <w:color w:val="auto"/>
          <w:sz w:val="24"/>
          <w:szCs w:val="24"/>
          <w:lang w:eastAsia="pl-PL"/>
        </w:rPr>
        <w:fldChar w:fldCharType="separate"/>
      </w:r>
      <w:r w:rsidR="00E52C19" w:rsidRPr="00237760">
        <w:rPr>
          <w:rFonts w:ascii="Arial" w:hAnsi="Arial" w:cs="Arial"/>
          <w:color w:val="auto"/>
          <w:sz w:val="24"/>
          <w:szCs w:val="24"/>
          <w:lang w:eastAsia="pl-PL"/>
        </w:rPr>
        <w:t>3.5</w:t>
      </w:r>
      <w:r w:rsidRPr="00237760">
        <w:rPr>
          <w:rFonts w:ascii="Arial" w:hAnsi="Arial" w:cs="Arial"/>
          <w:color w:val="auto"/>
          <w:sz w:val="24"/>
          <w:szCs w:val="24"/>
          <w:lang w:eastAsia="pl-PL"/>
        </w:rPr>
        <w:fldChar w:fldCharType="end"/>
      </w:r>
      <w:r w:rsidR="005672BA" w:rsidRPr="00237760">
        <w:rPr>
          <w:rFonts w:ascii="Arial" w:hAnsi="Arial" w:cs="Arial"/>
          <w:color w:val="auto"/>
          <w:sz w:val="24"/>
          <w:szCs w:val="24"/>
          <w:lang w:eastAsia="pl-PL"/>
        </w:rPr>
        <w:t>. ocena trafności systemu wdrażania jest pozytywna. W tej części ewaluacji, opierając się na p</w:t>
      </w:r>
      <w:r w:rsidR="0016275D" w:rsidRPr="00237760">
        <w:rPr>
          <w:rFonts w:ascii="Arial" w:hAnsi="Arial" w:cs="Arial"/>
          <w:color w:val="auto"/>
          <w:sz w:val="24"/>
          <w:szCs w:val="24"/>
          <w:lang w:eastAsia="pl-PL"/>
        </w:rPr>
        <w:t>rzegląd</w:t>
      </w:r>
      <w:r w:rsidR="005672BA" w:rsidRPr="00237760">
        <w:rPr>
          <w:rFonts w:ascii="Arial" w:hAnsi="Arial" w:cs="Arial"/>
          <w:color w:val="auto"/>
          <w:sz w:val="24"/>
          <w:szCs w:val="24"/>
          <w:lang w:eastAsia="pl-PL"/>
        </w:rPr>
        <w:t>zie</w:t>
      </w:r>
      <w:r w:rsidR="0016275D" w:rsidRPr="00237760">
        <w:rPr>
          <w:rFonts w:ascii="Arial" w:hAnsi="Arial" w:cs="Arial"/>
          <w:color w:val="auto"/>
          <w:sz w:val="24"/>
          <w:szCs w:val="24"/>
          <w:lang w:eastAsia="pl-PL"/>
        </w:rPr>
        <w:t xml:space="preserve"> literatury oraz wynik</w:t>
      </w:r>
      <w:r w:rsidR="005672BA" w:rsidRPr="00237760">
        <w:rPr>
          <w:rFonts w:ascii="Arial" w:hAnsi="Arial" w:cs="Arial"/>
          <w:color w:val="auto"/>
          <w:sz w:val="24"/>
          <w:szCs w:val="24"/>
          <w:lang w:eastAsia="pl-PL"/>
        </w:rPr>
        <w:t>ach</w:t>
      </w:r>
      <w:r w:rsidR="0016275D" w:rsidRPr="00237760">
        <w:rPr>
          <w:rFonts w:ascii="Arial" w:hAnsi="Arial" w:cs="Arial"/>
          <w:color w:val="auto"/>
          <w:sz w:val="24"/>
          <w:szCs w:val="24"/>
          <w:lang w:eastAsia="pl-PL"/>
        </w:rPr>
        <w:t xml:space="preserve"> wywiadów pogłębionych</w:t>
      </w:r>
      <w:r w:rsidR="005672BA" w:rsidRPr="00237760">
        <w:rPr>
          <w:rFonts w:ascii="Arial" w:hAnsi="Arial" w:cs="Arial"/>
          <w:color w:val="auto"/>
          <w:sz w:val="24"/>
          <w:szCs w:val="24"/>
          <w:lang w:eastAsia="pl-PL"/>
        </w:rPr>
        <w:t>, zwra</w:t>
      </w:r>
      <w:r w:rsidR="00D71FA1" w:rsidRPr="00237760">
        <w:rPr>
          <w:rFonts w:ascii="Arial" w:hAnsi="Arial" w:cs="Arial"/>
          <w:color w:val="auto"/>
          <w:sz w:val="24"/>
          <w:szCs w:val="24"/>
          <w:lang w:eastAsia="pl-PL"/>
        </w:rPr>
        <w:t xml:space="preserve">ca się uwagę na problem potencjalnej skuteczności przyjętych rozwiązań. </w:t>
      </w:r>
      <w:r w:rsidR="00971B84" w:rsidRPr="00237760">
        <w:rPr>
          <w:rFonts w:ascii="Arial" w:hAnsi="Arial" w:cs="Arial"/>
          <w:color w:val="auto"/>
          <w:sz w:val="24"/>
          <w:szCs w:val="24"/>
          <w:lang w:eastAsia="pl-PL"/>
        </w:rPr>
        <w:t>Szczególną uwagę poświęcono zagrożeniom</w:t>
      </w:r>
      <w:r w:rsidR="00817EFE" w:rsidRPr="00237760">
        <w:rPr>
          <w:rFonts w:ascii="Arial" w:hAnsi="Arial" w:cs="Arial"/>
          <w:color w:val="auto"/>
          <w:sz w:val="24"/>
          <w:szCs w:val="24"/>
          <w:lang w:eastAsia="pl-PL"/>
        </w:rPr>
        <w:t xml:space="preserve">, mogącym przyczynić się do problemów z wdrażaniem PSRT WP. </w:t>
      </w:r>
    </w:p>
    <w:p w14:paraId="6E21848C" w14:textId="61315A80" w:rsidR="00427494" w:rsidRPr="00237760" w:rsidRDefault="000B3E4D" w:rsidP="009367B4">
      <w:pPr>
        <w:jc w:val="left"/>
        <w:rPr>
          <w:rFonts w:ascii="Arial" w:hAnsi="Arial" w:cs="Arial"/>
          <w:color w:val="auto"/>
          <w:sz w:val="24"/>
          <w:szCs w:val="24"/>
          <w:lang w:eastAsia="pl-PL"/>
        </w:rPr>
      </w:pPr>
      <w:bookmarkStart w:id="117" w:name="_Hlk101342068"/>
      <w:r w:rsidRPr="00237760">
        <w:rPr>
          <w:rFonts w:ascii="Arial" w:hAnsi="Arial" w:cs="Arial"/>
          <w:color w:val="auto"/>
          <w:sz w:val="24"/>
          <w:szCs w:val="24"/>
          <w:lang w:eastAsia="pl-PL"/>
        </w:rPr>
        <w:t xml:space="preserve">Analiza potencjalnej skuteczności i efektywności przyjętych rozwiązań w </w:t>
      </w:r>
      <w:r w:rsidR="004D2FCC" w:rsidRPr="00237760">
        <w:rPr>
          <w:rFonts w:ascii="Arial" w:hAnsi="Arial" w:cs="Arial"/>
          <w:color w:val="auto"/>
          <w:sz w:val="24"/>
          <w:szCs w:val="24"/>
          <w:lang w:eastAsia="pl-PL"/>
        </w:rPr>
        <w:t>systemie wdrażania</w:t>
      </w:r>
      <w:r w:rsidR="00BD512E" w:rsidRPr="00237760">
        <w:rPr>
          <w:rFonts w:ascii="Arial" w:hAnsi="Arial" w:cs="Arial"/>
          <w:color w:val="auto"/>
          <w:sz w:val="24"/>
          <w:szCs w:val="24"/>
          <w:lang w:eastAsia="pl-PL"/>
        </w:rPr>
        <w:t xml:space="preserve"> </w:t>
      </w:r>
      <w:bookmarkEnd w:id="117"/>
      <w:r w:rsidR="00BD512E" w:rsidRPr="00237760">
        <w:rPr>
          <w:rFonts w:ascii="Arial" w:hAnsi="Arial" w:cs="Arial"/>
          <w:color w:val="auto"/>
          <w:sz w:val="24"/>
          <w:szCs w:val="24"/>
          <w:lang w:eastAsia="pl-PL"/>
        </w:rPr>
        <w:t>(</w:t>
      </w:r>
      <w:r w:rsidR="00BD512E" w:rsidRPr="00237760">
        <w:rPr>
          <w:rFonts w:ascii="Arial" w:hAnsi="Arial" w:cs="Arial"/>
          <w:color w:val="auto"/>
          <w:sz w:val="24"/>
          <w:szCs w:val="24"/>
          <w:lang w:eastAsia="pl-PL"/>
        </w:rPr>
        <w:fldChar w:fldCharType="begin"/>
      </w:r>
      <w:r w:rsidR="00BD512E" w:rsidRPr="00237760">
        <w:rPr>
          <w:rFonts w:ascii="Arial" w:hAnsi="Arial" w:cs="Arial"/>
          <w:color w:val="auto"/>
          <w:sz w:val="24"/>
          <w:szCs w:val="24"/>
          <w:lang w:eastAsia="pl-PL"/>
        </w:rPr>
        <w:instrText xml:space="preserve"> REF _Ref101254320 \h </w:instrText>
      </w:r>
      <w:r w:rsidR="00237760" w:rsidRPr="00237760">
        <w:rPr>
          <w:rFonts w:ascii="Arial" w:hAnsi="Arial" w:cs="Arial"/>
          <w:color w:val="auto"/>
          <w:sz w:val="24"/>
          <w:szCs w:val="24"/>
          <w:lang w:eastAsia="pl-PL"/>
        </w:rPr>
        <w:instrText xml:space="preserve"> \* MERGEFORMAT </w:instrText>
      </w:r>
      <w:r w:rsidR="00BD512E" w:rsidRPr="00237760">
        <w:rPr>
          <w:rFonts w:ascii="Arial" w:hAnsi="Arial" w:cs="Arial"/>
          <w:color w:val="auto"/>
          <w:sz w:val="24"/>
          <w:szCs w:val="24"/>
          <w:lang w:eastAsia="pl-PL"/>
        </w:rPr>
      </w:r>
      <w:r w:rsidR="00BD512E" w:rsidRPr="00237760">
        <w:rPr>
          <w:rFonts w:ascii="Arial" w:hAnsi="Arial" w:cs="Arial"/>
          <w:color w:val="auto"/>
          <w:sz w:val="24"/>
          <w:szCs w:val="24"/>
          <w:lang w:eastAsia="pl-PL"/>
        </w:rPr>
        <w:fldChar w:fldCharType="separate"/>
      </w:r>
      <w:r w:rsidR="00E52C19" w:rsidRPr="00237760">
        <w:rPr>
          <w:rFonts w:ascii="Arial" w:hAnsi="Arial" w:cs="Arial"/>
          <w:color w:val="auto"/>
          <w:sz w:val="24"/>
          <w:szCs w:val="24"/>
        </w:rPr>
        <w:t xml:space="preserve">Tabela </w:t>
      </w:r>
      <w:r w:rsidR="00E52C19" w:rsidRPr="00237760">
        <w:rPr>
          <w:rFonts w:ascii="Arial" w:hAnsi="Arial" w:cs="Arial"/>
          <w:noProof/>
          <w:color w:val="auto"/>
          <w:sz w:val="24"/>
          <w:szCs w:val="24"/>
        </w:rPr>
        <w:t>15</w:t>
      </w:r>
      <w:r w:rsidR="00BD512E" w:rsidRPr="00237760">
        <w:rPr>
          <w:rFonts w:ascii="Arial" w:hAnsi="Arial" w:cs="Arial"/>
          <w:color w:val="auto"/>
          <w:sz w:val="24"/>
          <w:szCs w:val="24"/>
          <w:lang w:eastAsia="pl-PL"/>
        </w:rPr>
        <w:fldChar w:fldCharType="end"/>
      </w:r>
      <w:r w:rsidR="00BD512E" w:rsidRPr="00237760">
        <w:rPr>
          <w:rFonts w:ascii="Arial" w:hAnsi="Arial" w:cs="Arial"/>
          <w:color w:val="auto"/>
          <w:sz w:val="24"/>
          <w:szCs w:val="24"/>
          <w:lang w:eastAsia="pl-PL"/>
        </w:rPr>
        <w:t>)</w:t>
      </w:r>
      <w:r w:rsidR="004D2FCC" w:rsidRPr="00237760">
        <w:rPr>
          <w:rFonts w:ascii="Arial" w:hAnsi="Arial" w:cs="Arial"/>
          <w:color w:val="auto"/>
          <w:sz w:val="24"/>
          <w:szCs w:val="24"/>
          <w:lang w:eastAsia="pl-PL"/>
        </w:rPr>
        <w:t xml:space="preserve"> </w:t>
      </w:r>
      <w:r w:rsidR="00CE4DFE" w:rsidRPr="00237760">
        <w:rPr>
          <w:rFonts w:ascii="Arial" w:hAnsi="Arial" w:cs="Arial"/>
          <w:color w:val="auto"/>
          <w:sz w:val="24"/>
          <w:szCs w:val="24"/>
          <w:lang w:eastAsia="pl-PL"/>
        </w:rPr>
        <w:t xml:space="preserve">prowadzi do </w:t>
      </w:r>
      <w:r w:rsidR="004D2FCC" w:rsidRPr="00237760">
        <w:rPr>
          <w:rFonts w:ascii="Arial" w:hAnsi="Arial" w:cs="Arial"/>
          <w:color w:val="auto"/>
          <w:sz w:val="24"/>
          <w:szCs w:val="24"/>
          <w:lang w:eastAsia="pl-PL"/>
        </w:rPr>
        <w:t>następując</w:t>
      </w:r>
      <w:r w:rsidR="00CE4DFE" w:rsidRPr="00237760">
        <w:rPr>
          <w:rFonts w:ascii="Arial" w:hAnsi="Arial" w:cs="Arial"/>
          <w:color w:val="auto"/>
          <w:sz w:val="24"/>
          <w:szCs w:val="24"/>
          <w:lang w:eastAsia="pl-PL"/>
        </w:rPr>
        <w:t>ych wniosków</w:t>
      </w:r>
      <w:r w:rsidR="00427494" w:rsidRPr="00237760">
        <w:rPr>
          <w:rFonts w:ascii="Arial" w:hAnsi="Arial" w:cs="Arial"/>
          <w:color w:val="auto"/>
          <w:sz w:val="24"/>
          <w:szCs w:val="24"/>
          <w:lang w:eastAsia="pl-PL"/>
        </w:rPr>
        <w:t xml:space="preserve">: </w:t>
      </w:r>
    </w:p>
    <w:p w14:paraId="7D164D88" w14:textId="3565B59A" w:rsidR="007363B7" w:rsidRPr="00237760" w:rsidRDefault="00CE4DFE" w:rsidP="009367B4">
      <w:pPr>
        <w:pStyle w:val="Akapitzlist"/>
        <w:numPr>
          <w:ilvl w:val="0"/>
          <w:numId w:val="30"/>
        </w:numPr>
        <w:ind w:left="426"/>
        <w:jc w:val="left"/>
        <w:rPr>
          <w:rFonts w:ascii="Arial" w:hAnsi="Arial" w:cs="Arial"/>
          <w:color w:val="auto"/>
          <w:sz w:val="24"/>
          <w:szCs w:val="24"/>
        </w:rPr>
      </w:pPr>
      <w:r w:rsidRPr="00237760">
        <w:rPr>
          <w:rFonts w:ascii="Arial" w:hAnsi="Arial" w:cs="Arial"/>
          <w:color w:val="auto"/>
          <w:sz w:val="24"/>
          <w:szCs w:val="24"/>
        </w:rPr>
        <w:t xml:space="preserve">Program zawiera treści zabezpieczające </w:t>
      </w:r>
      <w:r w:rsidR="003D26F5" w:rsidRPr="00237760">
        <w:rPr>
          <w:rFonts w:ascii="Arial" w:hAnsi="Arial" w:cs="Arial"/>
          <w:color w:val="auto"/>
          <w:sz w:val="24"/>
          <w:szCs w:val="24"/>
        </w:rPr>
        <w:t>skuteczne i efektywne jego wdrożenie. Dotyczy to zarówno sfery podmiotowej, jak i organizacyjnej oraz finansowej</w:t>
      </w:r>
      <w:r w:rsidR="007458C1" w:rsidRPr="00237760">
        <w:rPr>
          <w:rFonts w:ascii="Arial" w:hAnsi="Arial" w:cs="Arial"/>
          <w:color w:val="auto"/>
          <w:sz w:val="24"/>
          <w:szCs w:val="24"/>
        </w:rPr>
        <w:t xml:space="preserve">. Należy jednak podkreślić, że słusznie sformułowane zapisy są </w:t>
      </w:r>
      <w:r w:rsidR="007363B7" w:rsidRPr="00237760">
        <w:rPr>
          <w:rFonts w:ascii="Arial" w:hAnsi="Arial" w:cs="Arial"/>
          <w:color w:val="auto"/>
          <w:sz w:val="24"/>
          <w:szCs w:val="24"/>
        </w:rPr>
        <w:t>deklaracją, której efekty będą widoczne dopiero w przyszłości;</w:t>
      </w:r>
    </w:p>
    <w:p w14:paraId="3EAD37A1" w14:textId="2AF39BB0" w:rsidR="00C65191" w:rsidRPr="00237760" w:rsidRDefault="00CE4DFE" w:rsidP="009367B4">
      <w:pPr>
        <w:pStyle w:val="Akapitzlist"/>
        <w:numPr>
          <w:ilvl w:val="0"/>
          <w:numId w:val="30"/>
        </w:numPr>
        <w:ind w:left="426"/>
        <w:jc w:val="left"/>
        <w:rPr>
          <w:rFonts w:ascii="Arial" w:hAnsi="Arial" w:cs="Arial"/>
          <w:color w:val="auto"/>
          <w:sz w:val="24"/>
          <w:szCs w:val="24"/>
        </w:rPr>
      </w:pPr>
      <w:bookmarkStart w:id="118" w:name="_Hlk101342082"/>
      <w:r w:rsidRPr="00237760">
        <w:rPr>
          <w:rFonts w:ascii="Arial" w:hAnsi="Arial" w:cs="Arial"/>
          <w:color w:val="auto"/>
          <w:sz w:val="24"/>
          <w:szCs w:val="24"/>
        </w:rPr>
        <w:t>czynnikiem, pozwalającym</w:t>
      </w:r>
      <w:r w:rsidR="00756E3C" w:rsidRPr="00237760">
        <w:rPr>
          <w:rFonts w:ascii="Arial" w:hAnsi="Arial" w:cs="Arial"/>
          <w:color w:val="auto"/>
          <w:sz w:val="24"/>
          <w:szCs w:val="24"/>
        </w:rPr>
        <w:t xml:space="preserve"> </w:t>
      </w:r>
      <w:r w:rsidR="006D5AA0" w:rsidRPr="00237760">
        <w:rPr>
          <w:rFonts w:ascii="Arial" w:hAnsi="Arial" w:cs="Arial"/>
          <w:color w:val="auto"/>
          <w:sz w:val="24"/>
          <w:szCs w:val="24"/>
        </w:rPr>
        <w:t xml:space="preserve">efektywnie wdrażać PSRT WP jest jakość zasobów ludzkich w instytucjach – interesariuszach, a przede wszystkim w Urzędzie Marszałkowskim, w którym zlokalizowana jest funkcja Koordynatora. </w:t>
      </w:r>
      <w:r w:rsidR="00A86F98" w:rsidRPr="00237760">
        <w:rPr>
          <w:rFonts w:ascii="Arial" w:hAnsi="Arial" w:cs="Arial"/>
          <w:color w:val="auto"/>
          <w:sz w:val="24"/>
          <w:szCs w:val="24"/>
        </w:rPr>
        <w:t xml:space="preserve">Wprawdzie zapisy dotyczące kapitału ludzkiego, kwalifikacji i kompetencji nie muszą znajdować się w tego typu dokumentach, jednak należy zwrócić </w:t>
      </w:r>
      <w:r w:rsidR="00813215" w:rsidRPr="00237760">
        <w:rPr>
          <w:rFonts w:ascii="Arial" w:hAnsi="Arial" w:cs="Arial"/>
          <w:color w:val="auto"/>
          <w:sz w:val="24"/>
          <w:szCs w:val="24"/>
        </w:rPr>
        <w:t>uwagę na doniosłość tego czynnika przy zmieniających się uwarunkowaniach zewnętrznych</w:t>
      </w:r>
      <w:r w:rsidR="00BD512E" w:rsidRPr="00237760">
        <w:rPr>
          <w:rFonts w:ascii="Arial" w:hAnsi="Arial" w:cs="Arial"/>
          <w:color w:val="auto"/>
          <w:sz w:val="24"/>
          <w:szCs w:val="24"/>
        </w:rPr>
        <w:t>;</w:t>
      </w:r>
    </w:p>
    <w:bookmarkEnd w:id="118"/>
    <w:p w14:paraId="5F65C717" w14:textId="77777777" w:rsidR="007D6E31" w:rsidRPr="00237760" w:rsidRDefault="005C31E1" w:rsidP="009367B4">
      <w:pPr>
        <w:pStyle w:val="Akapitzlist"/>
        <w:numPr>
          <w:ilvl w:val="0"/>
          <w:numId w:val="30"/>
        </w:numPr>
        <w:ind w:left="426"/>
        <w:jc w:val="left"/>
        <w:rPr>
          <w:rFonts w:ascii="Arial" w:hAnsi="Arial" w:cs="Arial"/>
          <w:color w:val="auto"/>
          <w:sz w:val="24"/>
          <w:szCs w:val="24"/>
        </w:rPr>
      </w:pPr>
      <w:r w:rsidRPr="00237760">
        <w:rPr>
          <w:rFonts w:ascii="Arial" w:hAnsi="Arial" w:cs="Arial"/>
          <w:color w:val="auto"/>
          <w:sz w:val="24"/>
          <w:szCs w:val="24"/>
        </w:rPr>
        <w:t xml:space="preserve">czynnikiem znacznie ograniczającym </w:t>
      </w:r>
      <w:r w:rsidR="000A5B4C" w:rsidRPr="00237760">
        <w:rPr>
          <w:rFonts w:ascii="Arial" w:hAnsi="Arial" w:cs="Arial"/>
          <w:color w:val="auto"/>
          <w:sz w:val="24"/>
          <w:szCs w:val="24"/>
        </w:rPr>
        <w:t xml:space="preserve">skuteczność i efektywność przyjętych planów </w:t>
      </w:r>
      <w:r w:rsidR="00114B6F" w:rsidRPr="00237760">
        <w:rPr>
          <w:rFonts w:ascii="Arial" w:hAnsi="Arial" w:cs="Arial"/>
          <w:color w:val="auto"/>
          <w:sz w:val="24"/>
          <w:szCs w:val="24"/>
        </w:rPr>
        <w:t xml:space="preserve">inwestycyjnych </w:t>
      </w:r>
      <w:r w:rsidR="000A5B4C" w:rsidRPr="00237760">
        <w:rPr>
          <w:rFonts w:ascii="Arial" w:hAnsi="Arial" w:cs="Arial"/>
          <w:color w:val="auto"/>
          <w:sz w:val="24"/>
          <w:szCs w:val="24"/>
        </w:rPr>
        <w:t xml:space="preserve">jest wysokie uzależnienie </w:t>
      </w:r>
      <w:r w:rsidR="00114B6F" w:rsidRPr="00237760">
        <w:rPr>
          <w:rFonts w:ascii="Arial" w:hAnsi="Arial" w:cs="Arial"/>
          <w:color w:val="auto"/>
          <w:sz w:val="24"/>
          <w:szCs w:val="24"/>
        </w:rPr>
        <w:t xml:space="preserve">ich finansowania od źródeł zewnętrznych. </w:t>
      </w:r>
      <w:r w:rsidR="001078D9" w:rsidRPr="00237760">
        <w:rPr>
          <w:rFonts w:ascii="Arial" w:hAnsi="Arial" w:cs="Arial"/>
          <w:color w:val="auto"/>
          <w:sz w:val="24"/>
          <w:szCs w:val="24"/>
        </w:rPr>
        <w:t xml:space="preserve">PSRT WP podejmuje ten </w:t>
      </w:r>
      <w:r w:rsidR="00CF6C3D" w:rsidRPr="00237760">
        <w:rPr>
          <w:rFonts w:ascii="Arial" w:hAnsi="Arial" w:cs="Arial"/>
          <w:color w:val="auto"/>
          <w:sz w:val="24"/>
          <w:szCs w:val="24"/>
        </w:rPr>
        <w:t>problem</w:t>
      </w:r>
      <w:r w:rsidR="001078D9" w:rsidRPr="00237760">
        <w:rPr>
          <w:rFonts w:ascii="Arial" w:hAnsi="Arial" w:cs="Arial"/>
          <w:color w:val="auto"/>
          <w:sz w:val="24"/>
          <w:szCs w:val="24"/>
        </w:rPr>
        <w:t>, jednak samorząd</w:t>
      </w:r>
      <w:r w:rsidR="00B40C97" w:rsidRPr="00237760">
        <w:rPr>
          <w:rFonts w:ascii="Arial" w:hAnsi="Arial" w:cs="Arial"/>
          <w:color w:val="auto"/>
          <w:sz w:val="24"/>
          <w:szCs w:val="24"/>
        </w:rPr>
        <w:t xml:space="preserve"> województwa </w:t>
      </w:r>
      <w:r w:rsidR="001078D9" w:rsidRPr="00237760">
        <w:rPr>
          <w:rFonts w:ascii="Arial" w:hAnsi="Arial" w:cs="Arial"/>
          <w:color w:val="auto"/>
          <w:sz w:val="24"/>
          <w:szCs w:val="24"/>
        </w:rPr>
        <w:t>nie mo</w:t>
      </w:r>
      <w:r w:rsidR="00B40C97" w:rsidRPr="00237760">
        <w:rPr>
          <w:rFonts w:ascii="Arial" w:hAnsi="Arial" w:cs="Arial"/>
          <w:color w:val="auto"/>
          <w:sz w:val="24"/>
          <w:szCs w:val="24"/>
        </w:rPr>
        <w:t>że</w:t>
      </w:r>
      <w:r w:rsidR="001078D9" w:rsidRPr="00237760">
        <w:rPr>
          <w:rFonts w:ascii="Arial" w:hAnsi="Arial" w:cs="Arial"/>
          <w:color w:val="auto"/>
          <w:sz w:val="24"/>
          <w:szCs w:val="24"/>
        </w:rPr>
        <w:t xml:space="preserve"> sam zlikwidować potencjalnego ryzyka, jakie </w:t>
      </w:r>
      <w:r w:rsidR="007D6E31" w:rsidRPr="00237760">
        <w:rPr>
          <w:rFonts w:ascii="Arial" w:hAnsi="Arial" w:cs="Arial"/>
          <w:color w:val="auto"/>
          <w:sz w:val="24"/>
          <w:szCs w:val="24"/>
        </w:rPr>
        <w:t>jest z tym związane;</w:t>
      </w:r>
    </w:p>
    <w:p w14:paraId="47E30157" w14:textId="0D035A7B" w:rsidR="00AE0946" w:rsidRPr="00237760" w:rsidRDefault="001E52DD" w:rsidP="009367B4">
      <w:pPr>
        <w:pStyle w:val="Akapitzlist"/>
        <w:numPr>
          <w:ilvl w:val="0"/>
          <w:numId w:val="30"/>
        </w:numPr>
        <w:ind w:left="426"/>
        <w:jc w:val="left"/>
        <w:rPr>
          <w:rFonts w:ascii="Arial" w:hAnsi="Arial" w:cs="Arial"/>
          <w:color w:val="auto"/>
          <w:sz w:val="24"/>
          <w:szCs w:val="24"/>
        </w:rPr>
      </w:pPr>
      <w:r w:rsidRPr="00237760">
        <w:rPr>
          <w:rFonts w:ascii="Arial" w:hAnsi="Arial" w:cs="Arial"/>
          <w:color w:val="auto"/>
          <w:sz w:val="24"/>
          <w:szCs w:val="24"/>
        </w:rPr>
        <w:lastRenderedPageBreak/>
        <w:t xml:space="preserve">istotne jest, że PSRT WP </w:t>
      </w:r>
      <w:r w:rsidR="000E3886" w:rsidRPr="00237760">
        <w:rPr>
          <w:rFonts w:ascii="Arial" w:hAnsi="Arial" w:cs="Arial"/>
          <w:color w:val="auto"/>
          <w:sz w:val="24"/>
          <w:szCs w:val="24"/>
        </w:rPr>
        <w:t xml:space="preserve">określa ryzyka związane z </w:t>
      </w:r>
      <w:r w:rsidR="006D60BF" w:rsidRPr="00237760">
        <w:rPr>
          <w:rFonts w:ascii="Arial" w:hAnsi="Arial" w:cs="Arial"/>
          <w:color w:val="auto"/>
          <w:sz w:val="24"/>
          <w:szCs w:val="24"/>
        </w:rPr>
        <w:t>wdrażaniem dokumentu</w:t>
      </w:r>
      <w:r w:rsidR="00AE0946" w:rsidRPr="00237760">
        <w:rPr>
          <w:rFonts w:ascii="Arial" w:hAnsi="Arial" w:cs="Arial"/>
          <w:color w:val="auto"/>
          <w:sz w:val="24"/>
          <w:szCs w:val="24"/>
        </w:rPr>
        <w:t xml:space="preserve">, które są ocenione </w:t>
      </w:r>
      <w:r w:rsidR="00C605B2" w:rsidRPr="00237760">
        <w:rPr>
          <w:rFonts w:ascii="Arial" w:hAnsi="Arial" w:cs="Arial"/>
          <w:color w:val="auto"/>
          <w:sz w:val="24"/>
          <w:szCs w:val="24"/>
        </w:rPr>
        <w:br/>
      </w:r>
      <w:r w:rsidR="00AE0946" w:rsidRPr="00237760">
        <w:rPr>
          <w:rFonts w:ascii="Arial" w:hAnsi="Arial" w:cs="Arial"/>
          <w:color w:val="auto"/>
          <w:sz w:val="24"/>
          <w:szCs w:val="24"/>
        </w:rPr>
        <w:t xml:space="preserve">i przewidziane, jeśli to możliwe, </w:t>
      </w:r>
      <w:r w:rsidR="001D33C5" w:rsidRPr="00237760">
        <w:rPr>
          <w:rFonts w:ascii="Arial" w:hAnsi="Arial" w:cs="Arial"/>
          <w:color w:val="auto"/>
          <w:sz w:val="24"/>
          <w:szCs w:val="24"/>
        </w:rPr>
        <w:t xml:space="preserve">jako </w:t>
      </w:r>
      <w:r w:rsidR="00AE0946" w:rsidRPr="00237760">
        <w:rPr>
          <w:rFonts w:ascii="Arial" w:hAnsi="Arial" w:cs="Arial"/>
          <w:color w:val="auto"/>
          <w:sz w:val="24"/>
          <w:szCs w:val="24"/>
        </w:rPr>
        <w:t>środki zaradcze;</w:t>
      </w:r>
    </w:p>
    <w:p w14:paraId="163BFA0D" w14:textId="6EFE6CCB" w:rsidR="00C65191" w:rsidRPr="003D7F69" w:rsidRDefault="00AE0946" w:rsidP="009367B4">
      <w:pPr>
        <w:pStyle w:val="Akapitzlist"/>
        <w:numPr>
          <w:ilvl w:val="0"/>
          <w:numId w:val="30"/>
        </w:numPr>
        <w:ind w:left="426"/>
        <w:jc w:val="left"/>
        <w:rPr>
          <w:rFonts w:ascii="Arial" w:hAnsi="Arial" w:cs="Arial"/>
          <w:color w:val="auto"/>
          <w:sz w:val="24"/>
          <w:szCs w:val="24"/>
        </w:rPr>
      </w:pPr>
      <w:bookmarkStart w:id="119" w:name="_Hlk101342100"/>
      <w:r w:rsidRPr="00237760">
        <w:rPr>
          <w:rFonts w:ascii="Arial" w:hAnsi="Arial" w:cs="Arial"/>
          <w:color w:val="auto"/>
          <w:sz w:val="24"/>
          <w:szCs w:val="24"/>
        </w:rPr>
        <w:t xml:space="preserve">w </w:t>
      </w:r>
      <w:r w:rsidR="00842858" w:rsidRPr="00237760">
        <w:rPr>
          <w:rFonts w:ascii="Arial" w:hAnsi="Arial" w:cs="Arial"/>
          <w:color w:val="auto"/>
          <w:sz w:val="24"/>
          <w:szCs w:val="24"/>
        </w:rPr>
        <w:t xml:space="preserve">skutecznym i </w:t>
      </w:r>
      <w:r w:rsidRPr="00237760">
        <w:rPr>
          <w:rFonts w:ascii="Arial" w:hAnsi="Arial" w:cs="Arial"/>
          <w:color w:val="auto"/>
          <w:sz w:val="24"/>
          <w:szCs w:val="24"/>
        </w:rPr>
        <w:t xml:space="preserve">efektywnym wdrażaniu PSRT WP </w:t>
      </w:r>
      <w:r w:rsidR="00120BD0" w:rsidRPr="00237760">
        <w:rPr>
          <w:rFonts w:ascii="Arial" w:hAnsi="Arial" w:cs="Arial"/>
          <w:color w:val="auto"/>
          <w:sz w:val="24"/>
          <w:szCs w:val="24"/>
        </w:rPr>
        <w:t>powinna pomóc dobrze zrealizowana ewaluacja (on going)</w:t>
      </w:r>
      <w:r w:rsidR="00842858" w:rsidRPr="00237760">
        <w:rPr>
          <w:rFonts w:ascii="Arial" w:hAnsi="Arial" w:cs="Arial"/>
          <w:color w:val="auto"/>
          <w:sz w:val="24"/>
          <w:szCs w:val="24"/>
        </w:rPr>
        <w:t>,</w:t>
      </w:r>
      <w:r w:rsidR="00120BD0" w:rsidRPr="00237760">
        <w:rPr>
          <w:rFonts w:ascii="Arial" w:hAnsi="Arial" w:cs="Arial"/>
          <w:color w:val="auto"/>
          <w:sz w:val="24"/>
          <w:szCs w:val="24"/>
        </w:rPr>
        <w:t xml:space="preserve"> o której Program nie wspomina.</w:t>
      </w:r>
      <w:bookmarkEnd w:id="119"/>
    </w:p>
    <w:p w14:paraId="4010BCC1" w14:textId="04A5F06D" w:rsidR="00993777" w:rsidRPr="00237760" w:rsidRDefault="00993777" w:rsidP="009367B4">
      <w:pPr>
        <w:pStyle w:val="Legenda"/>
        <w:keepNext/>
        <w:jc w:val="left"/>
        <w:rPr>
          <w:rFonts w:ascii="Arial" w:hAnsi="Arial" w:cs="Arial"/>
          <w:color w:val="auto"/>
          <w:sz w:val="24"/>
          <w:szCs w:val="24"/>
        </w:rPr>
      </w:pPr>
      <w:bookmarkStart w:id="120" w:name="_Ref101254320"/>
      <w:bookmarkStart w:id="121" w:name="_Toc101904256"/>
      <w:r w:rsidRPr="00237760">
        <w:rPr>
          <w:rFonts w:ascii="Arial" w:hAnsi="Arial" w:cs="Arial"/>
          <w:color w:val="auto"/>
          <w:sz w:val="24"/>
          <w:szCs w:val="24"/>
        </w:rPr>
        <w:t xml:space="preserve">Tabela </w:t>
      </w:r>
      <w:r w:rsidRPr="00237760">
        <w:rPr>
          <w:rFonts w:ascii="Arial" w:hAnsi="Arial" w:cs="Arial"/>
          <w:noProof/>
          <w:color w:val="auto"/>
          <w:sz w:val="24"/>
          <w:szCs w:val="24"/>
        </w:rPr>
        <w:fldChar w:fldCharType="begin"/>
      </w:r>
      <w:r w:rsidRPr="00237760">
        <w:rPr>
          <w:rFonts w:ascii="Arial" w:hAnsi="Arial" w:cs="Arial"/>
          <w:noProof/>
          <w:color w:val="auto"/>
          <w:sz w:val="24"/>
          <w:szCs w:val="24"/>
        </w:rPr>
        <w:instrText xml:space="preserve"> SEQ Tabela \* ARABIC </w:instrText>
      </w:r>
      <w:r w:rsidRPr="00237760">
        <w:rPr>
          <w:rFonts w:ascii="Arial" w:hAnsi="Arial" w:cs="Arial"/>
          <w:noProof/>
          <w:color w:val="auto"/>
          <w:sz w:val="24"/>
          <w:szCs w:val="24"/>
        </w:rPr>
        <w:fldChar w:fldCharType="separate"/>
      </w:r>
      <w:r w:rsidR="00762B20" w:rsidRPr="00237760">
        <w:rPr>
          <w:rFonts w:ascii="Arial" w:hAnsi="Arial" w:cs="Arial"/>
          <w:noProof/>
          <w:color w:val="auto"/>
          <w:sz w:val="24"/>
          <w:szCs w:val="24"/>
        </w:rPr>
        <w:t>15</w:t>
      </w:r>
      <w:r w:rsidRPr="00237760">
        <w:rPr>
          <w:rFonts w:ascii="Arial" w:hAnsi="Arial" w:cs="Arial"/>
          <w:noProof/>
          <w:color w:val="auto"/>
          <w:sz w:val="24"/>
          <w:szCs w:val="24"/>
        </w:rPr>
        <w:fldChar w:fldCharType="end"/>
      </w:r>
      <w:bookmarkEnd w:id="120"/>
      <w:r w:rsidRPr="00237760">
        <w:rPr>
          <w:rFonts w:ascii="Arial" w:hAnsi="Arial" w:cs="Arial"/>
          <w:color w:val="auto"/>
          <w:sz w:val="24"/>
          <w:szCs w:val="24"/>
        </w:rPr>
        <w:t xml:space="preserve">. </w:t>
      </w:r>
      <w:r w:rsidR="00451C4D" w:rsidRPr="00237760">
        <w:rPr>
          <w:rFonts w:ascii="Arial" w:hAnsi="Arial" w:cs="Arial"/>
          <w:color w:val="auto"/>
          <w:sz w:val="24"/>
          <w:szCs w:val="24"/>
        </w:rPr>
        <w:t xml:space="preserve">Analiza </w:t>
      </w:r>
      <w:r w:rsidR="007465F2" w:rsidRPr="00237760">
        <w:rPr>
          <w:rFonts w:ascii="Arial" w:hAnsi="Arial" w:cs="Arial"/>
          <w:color w:val="auto"/>
          <w:sz w:val="24"/>
          <w:szCs w:val="24"/>
        </w:rPr>
        <w:t xml:space="preserve">potencjalnej </w:t>
      </w:r>
      <w:r w:rsidR="00451C4D" w:rsidRPr="00237760">
        <w:rPr>
          <w:rFonts w:ascii="Arial" w:hAnsi="Arial" w:cs="Arial"/>
          <w:color w:val="auto"/>
          <w:sz w:val="24"/>
          <w:szCs w:val="24"/>
        </w:rPr>
        <w:t>skuteczności</w:t>
      </w:r>
      <w:r w:rsidR="007465F2" w:rsidRPr="00237760">
        <w:rPr>
          <w:rFonts w:ascii="Arial" w:hAnsi="Arial" w:cs="Arial"/>
          <w:color w:val="auto"/>
          <w:sz w:val="24"/>
          <w:szCs w:val="24"/>
        </w:rPr>
        <w:t xml:space="preserve"> i efektywności systemu wdrażania</w:t>
      </w:r>
      <w:bookmarkEnd w:id="121"/>
      <w:r w:rsidR="00094771" w:rsidRPr="00237760">
        <w:rPr>
          <w:rFonts w:ascii="Arial" w:hAnsi="Arial" w:cs="Arial"/>
          <w:color w:val="auto"/>
          <w:sz w:val="24"/>
          <w:szCs w:val="24"/>
        </w:rPr>
        <w:t xml:space="preserve"> </w:t>
      </w:r>
    </w:p>
    <w:tbl>
      <w:tblPr>
        <w:tblStyle w:val="Tabela-Siatka"/>
        <w:tblW w:w="0" w:type="auto"/>
        <w:tblBorders>
          <w:top w:val="single" w:sz="4" w:space="0" w:color="002060"/>
          <w:left w:val="none" w:sz="0" w:space="0" w:color="auto"/>
          <w:bottom w:val="single" w:sz="4" w:space="0" w:color="002060"/>
          <w:right w:val="none" w:sz="0" w:space="0" w:color="auto"/>
          <w:insideH w:val="single" w:sz="4" w:space="0" w:color="002060"/>
          <w:insideV w:val="none" w:sz="0" w:space="0" w:color="auto"/>
        </w:tblBorders>
        <w:tblLook w:val="04A0" w:firstRow="1" w:lastRow="0" w:firstColumn="1" w:lastColumn="0" w:noHBand="0" w:noVBand="1"/>
        <w:tblCaption w:val="Tabela 15. Analiza potencjalnej skuteczności i efektywności systemu wdrażania "/>
        <w:tblDescription w:val="Tabela zawiera Elementy systemu wdrażania, Potencjalne czynniki zwiększające skuteczność i efektywność, Potencjalne bariery w uzyskaniu oczekiwanej skuteczności i efektywności"/>
      </w:tblPr>
      <w:tblGrid>
        <w:gridCol w:w="1897"/>
        <w:gridCol w:w="3780"/>
        <w:gridCol w:w="3395"/>
      </w:tblGrid>
      <w:tr w:rsidR="00237760" w:rsidRPr="00237760" w14:paraId="3F2AE7BB" w14:textId="3B045C9A" w:rsidTr="00FB20A6">
        <w:trPr>
          <w:tblHeader/>
        </w:trPr>
        <w:tc>
          <w:tcPr>
            <w:tcW w:w="1843" w:type="dxa"/>
            <w:tcBorders>
              <w:top w:val="single" w:sz="12" w:space="0" w:color="002060"/>
              <w:bottom w:val="single" w:sz="4" w:space="0" w:color="002060"/>
            </w:tcBorders>
            <w:shd w:val="clear" w:color="auto" w:fill="auto"/>
          </w:tcPr>
          <w:p w14:paraId="5D260AE8" w14:textId="464C729B" w:rsidR="00F03D99" w:rsidRPr="00237760" w:rsidRDefault="00F03D99" w:rsidP="009367B4">
            <w:pPr>
              <w:spacing w:after="0" w:line="259" w:lineRule="auto"/>
              <w:jc w:val="left"/>
              <w:rPr>
                <w:rFonts w:ascii="Arial" w:hAnsi="Arial" w:cs="Arial"/>
                <w:b/>
                <w:bCs/>
                <w:color w:val="auto"/>
                <w:sz w:val="24"/>
                <w:szCs w:val="24"/>
                <w:lang w:eastAsia="pl-PL"/>
              </w:rPr>
            </w:pPr>
            <w:r w:rsidRPr="00237760">
              <w:rPr>
                <w:rFonts w:ascii="Arial" w:hAnsi="Arial" w:cs="Arial"/>
                <w:b/>
                <w:bCs/>
                <w:color w:val="auto"/>
                <w:sz w:val="24"/>
                <w:szCs w:val="24"/>
                <w:lang w:eastAsia="pl-PL"/>
              </w:rPr>
              <w:t>Elementy systemu wdrażania</w:t>
            </w:r>
          </w:p>
        </w:tc>
        <w:tc>
          <w:tcPr>
            <w:tcW w:w="3788" w:type="dxa"/>
            <w:tcBorders>
              <w:top w:val="single" w:sz="12" w:space="0" w:color="002060"/>
              <w:bottom w:val="single" w:sz="4" w:space="0" w:color="002060"/>
            </w:tcBorders>
            <w:shd w:val="clear" w:color="auto" w:fill="auto"/>
          </w:tcPr>
          <w:p w14:paraId="177D5B79" w14:textId="4536707C" w:rsidR="00F03D99" w:rsidRPr="00237760" w:rsidRDefault="00F03D99" w:rsidP="009367B4">
            <w:pPr>
              <w:spacing w:after="0" w:line="259" w:lineRule="auto"/>
              <w:jc w:val="left"/>
              <w:rPr>
                <w:rFonts w:ascii="Arial" w:hAnsi="Arial" w:cs="Arial"/>
                <w:b/>
                <w:bCs/>
                <w:color w:val="auto"/>
                <w:sz w:val="24"/>
                <w:szCs w:val="24"/>
                <w:lang w:eastAsia="pl-PL"/>
              </w:rPr>
            </w:pPr>
            <w:r w:rsidRPr="00237760">
              <w:rPr>
                <w:rFonts w:ascii="Arial" w:hAnsi="Arial" w:cs="Arial"/>
                <w:b/>
                <w:bCs/>
                <w:color w:val="auto"/>
                <w:sz w:val="24"/>
                <w:szCs w:val="24"/>
                <w:lang w:eastAsia="pl-PL"/>
              </w:rPr>
              <w:t xml:space="preserve">Potencjalne czynniki </w:t>
            </w:r>
            <w:r w:rsidR="00F255A1" w:rsidRPr="00237760">
              <w:rPr>
                <w:rFonts w:ascii="Arial" w:hAnsi="Arial" w:cs="Arial"/>
                <w:b/>
                <w:bCs/>
                <w:color w:val="auto"/>
                <w:sz w:val="24"/>
                <w:szCs w:val="24"/>
                <w:lang w:eastAsia="pl-PL"/>
              </w:rPr>
              <w:t xml:space="preserve">zwiększające </w:t>
            </w:r>
            <w:r w:rsidRPr="00237760">
              <w:rPr>
                <w:rFonts w:ascii="Arial" w:hAnsi="Arial" w:cs="Arial"/>
                <w:b/>
                <w:bCs/>
                <w:color w:val="auto"/>
                <w:sz w:val="24"/>
                <w:szCs w:val="24"/>
                <w:lang w:eastAsia="pl-PL"/>
              </w:rPr>
              <w:t>skutecznoś</w:t>
            </w:r>
            <w:r w:rsidR="00F255A1" w:rsidRPr="00237760">
              <w:rPr>
                <w:rFonts w:ascii="Arial" w:hAnsi="Arial" w:cs="Arial"/>
                <w:b/>
                <w:bCs/>
                <w:color w:val="auto"/>
                <w:sz w:val="24"/>
                <w:szCs w:val="24"/>
                <w:lang w:eastAsia="pl-PL"/>
              </w:rPr>
              <w:t>ć i efektywność</w:t>
            </w:r>
          </w:p>
        </w:tc>
        <w:tc>
          <w:tcPr>
            <w:tcW w:w="3402" w:type="dxa"/>
            <w:tcBorders>
              <w:top w:val="single" w:sz="12" w:space="0" w:color="002060"/>
              <w:bottom w:val="single" w:sz="4" w:space="0" w:color="002060"/>
            </w:tcBorders>
            <w:shd w:val="clear" w:color="auto" w:fill="auto"/>
          </w:tcPr>
          <w:p w14:paraId="316152F8" w14:textId="3CF98DFE" w:rsidR="00F03D99" w:rsidRPr="00237760" w:rsidRDefault="00387A41" w:rsidP="009367B4">
            <w:pPr>
              <w:spacing w:after="0" w:line="259" w:lineRule="auto"/>
              <w:jc w:val="left"/>
              <w:rPr>
                <w:rFonts w:ascii="Arial" w:hAnsi="Arial" w:cs="Arial"/>
                <w:b/>
                <w:bCs/>
                <w:color w:val="auto"/>
                <w:sz w:val="24"/>
                <w:szCs w:val="24"/>
                <w:lang w:eastAsia="pl-PL"/>
              </w:rPr>
            </w:pPr>
            <w:r w:rsidRPr="00237760">
              <w:rPr>
                <w:rFonts w:ascii="Arial" w:hAnsi="Arial" w:cs="Arial"/>
                <w:b/>
                <w:bCs/>
                <w:color w:val="auto"/>
                <w:sz w:val="24"/>
                <w:szCs w:val="24"/>
                <w:lang w:eastAsia="pl-PL"/>
              </w:rPr>
              <w:t>Potencjalne b</w:t>
            </w:r>
            <w:r w:rsidR="00F03D99" w:rsidRPr="00237760">
              <w:rPr>
                <w:rFonts w:ascii="Arial" w:hAnsi="Arial" w:cs="Arial"/>
                <w:b/>
                <w:bCs/>
                <w:color w:val="auto"/>
                <w:sz w:val="24"/>
                <w:szCs w:val="24"/>
                <w:lang w:eastAsia="pl-PL"/>
              </w:rPr>
              <w:t>arier</w:t>
            </w:r>
            <w:r w:rsidRPr="00237760">
              <w:rPr>
                <w:rFonts w:ascii="Arial" w:hAnsi="Arial" w:cs="Arial"/>
                <w:b/>
                <w:bCs/>
                <w:color w:val="auto"/>
                <w:sz w:val="24"/>
                <w:szCs w:val="24"/>
                <w:lang w:eastAsia="pl-PL"/>
              </w:rPr>
              <w:t xml:space="preserve">y w uzyskaniu </w:t>
            </w:r>
            <w:r w:rsidR="00F255A1" w:rsidRPr="00237760">
              <w:rPr>
                <w:rFonts w:ascii="Arial" w:hAnsi="Arial" w:cs="Arial"/>
                <w:b/>
                <w:bCs/>
                <w:color w:val="auto"/>
                <w:sz w:val="24"/>
                <w:szCs w:val="24"/>
                <w:lang w:eastAsia="pl-PL"/>
              </w:rPr>
              <w:t xml:space="preserve">oczekiwanej </w:t>
            </w:r>
            <w:r w:rsidRPr="00237760">
              <w:rPr>
                <w:rFonts w:ascii="Arial" w:hAnsi="Arial" w:cs="Arial"/>
                <w:b/>
                <w:bCs/>
                <w:color w:val="auto"/>
                <w:sz w:val="24"/>
                <w:szCs w:val="24"/>
                <w:lang w:eastAsia="pl-PL"/>
              </w:rPr>
              <w:t>skuteczności</w:t>
            </w:r>
            <w:r w:rsidR="00F255A1" w:rsidRPr="00237760">
              <w:rPr>
                <w:rFonts w:ascii="Arial" w:hAnsi="Arial" w:cs="Arial"/>
                <w:b/>
                <w:bCs/>
                <w:color w:val="auto"/>
                <w:sz w:val="24"/>
                <w:szCs w:val="24"/>
                <w:lang w:eastAsia="pl-PL"/>
              </w:rPr>
              <w:t xml:space="preserve"> i efektywności</w:t>
            </w:r>
          </w:p>
        </w:tc>
      </w:tr>
      <w:tr w:rsidR="00237760" w:rsidRPr="00237760" w14:paraId="2D6DEB0B" w14:textId="1BC3823A" w:rsidTr="00F077C6">
        <w:tc>
          <w:tcPr>
            <w:tcW w:w="1843" w:type="dxa"/>
            <w:tcBorders>
              <w:bottom w:val="single" w:sz="4" w:space="0" w:color="9CC2E5" w:themeColor="accent1" w:themeTint="99"/>
            </w:tcBorders>
            <w:shd w:val="clear" w:color="auto" w:fill="auto"/>
            <w:vAlign w:val="center"/>
          </w:tcPr>
          <w:p w14:paraId="6C08C24E" w14:textId="7A6C29FD" w:rsidR="00F03D99" w:rsidRPr="00237760" w:rsidRDefault="001679AF" w:rsidP="009367B4">
            <w:pPr>
              <w:spacing w:after="0" w:line="259" w:lineRule="auto"/>
              <w:jc w:val="left"/>
              <w:rPr>
                <w:rFonts w:ascii="Arial" w:hAnsi="Arial" w:cs="Arial"/>
                <w:b/>
                <w:bCs/>
                <w:color w:val="auto"/>
                <w:sz w:val="24"/>
                <w:szCs w:val="24"/>
                <w:lang w:eastAsia="pl-PL"/>
              </w:rPr>
            </w:pPr>
            <w:r w:rsidRPr="00237760">
              <w:rPr>
                <w:rFonts w:ascii="Arial" w:hAnsi="Arial" w:cs="Arial"/>
                <w:b/>
                <w:bCs/>
                <w:color w:val="auto"/>
                <w:sz w:val="24"/>
                <w:szCs w:val="24"/>
                <w:lang w:eastAsia="pl-PL"/>
              </w:rPr>
              <w:t>Podmioty zaangażowane w realizację PSRT WP</w:t>
            </w:r>
          </w:p>
        </w:tc>
        <w:tc>
          <w:tcPr>
            <w:tcW w:w="3788" w:type="dxa"/>
            <w:tcBorders>
              <w:bottom w:val="single" w:sz="4" w:space="0" w:color="9CC2E5" w:themeColor="accent1" w:themeTint="99"/>
            </w:tcBorders>
          </w:tcPr>
          <w:p w14:paraId="701DEE5C" w14:textId="046A1F82" w:rsidR="00F03D99" w:rsidRPr="00237760" w:rsidRDefault="009F07B6"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 xml:space="preserve">wzmacnianie kompetencji i kwalifikacji </w:t>
            </w:r>
            <w:r w:rsidR="00F255A1" w:rsidRPr="00237760">
              <w:rPr>
                <w:rFonts w:ascii="Arial" w:hAnsi="Arial" w:cs="Arial"/>
                <w:color w:val="auto"/>
                <w:sz w:val="24"/>
                <w:szCs w:val="24"/>
              </w:rPr>
              <w:t>pracowników U</w:t>
            </w:r>
            <w:r w:rsidR="0049710D" w:rsidRPr="00237760">
              <w:rPr>
                <w:rFonts w:ascii="Arial" w:hAnsi="Arial" w:cs="Arial"/>
                <w:color w:val="auto"/>
                <w:sz w:val="24"/>
                <w:szCs w:val="24"/>
              </w:rPr>
              <w:t>M</w:t>
            </w:r>
            <w:r w:rsidR="00F255A1" w:rsidRPr="00237760">
              <w:rPr>
                <w:rFonts w:ascii="Arial" w:hAnsi="Arial" w:cs="Arial"/>
                <w:color w:val="auto"/>
                <w:sz w:val="24"/>
                <w:szCs w:val="24"/>
              </w:rPr>
              <w:t>WP</w:t>
            </w:r>
            <w:r w:rsidR="00FA10AE" w:rsidRPr="00237760">
              <w:rPr>
                <w:rFonts w:ascii="Arial" w:hAnsi="Arial" w:cs="Arial"/>
                <w:color w:val="auto"/>
                <w:sz w:val="24"/>
                <w:szCs w:val="24"/>
              </w:rPr>
              <w:t xml:space="preserve"> (-)</w:t>
            </w:r>
          </w:p>
          <w:p w14:paraId="7F0F796A" w14:textId="3C92CDBE" w:rsidR="00F255A1" w:rsidRPr="00237760" w:rsidRDefault="00275CF6"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sprawna koordynacja działań (UM WP)</w:t>
            </w:r>
            <w:r w:rsidR="00094771" w:rsidRPr="00237760">
              <w:rPr>
                <w:rFonts w:ascii="Arial" w:hAnsi="Arial" w:cs="Arial"/>
                <w:color w:val="auto"/>
                <w:sz w:val="24"/>
                <w:szCs w:val="24"/>
              </w:rPr>
              <w:t xml:space="preserve"> (+)</w:t>
            </w:r>
          </w:p>
          <w:p w14:paraId="457ED2E8" w14:textId="7760538F" w:rsidR="00275CF6" w:rsidRPr="00237760" w:rsidRDefault="00275CF6"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właściwy podział kompetencji</w:t>
            </w:r>
            <w:r w:rsidR="00094771" w:rsidRPr="00237760">
              <w:rPr>
                <w:rFonts w:ascii="Arial" w:hAnsi="Arial" w:cs="Arial"/>
                <w:color w:val="auto"/>
                <w:sz w:val="24"/>
                <w:szCs w:val="24"/>
              </w:rPr>
              <w:t xml:space="preserve"> między interesariuszami</w:t>
            </w:r>
            <w:r w:rsidRPr="00237760">
              <w:rPr>
                <w:rFonts w:ascii="Arial" w:hAnsi="Arial" w:cs="Arial"/>
                <w:color w:val="auto"/>
                <w:sz w:val="24"/>
                <w:szCs w:val="24"/>
              </w:rPr>
              <w:t xml:space="preserve"> </w:t>
            </w:r>
            <w:r w:rsidR="00094771" w:rsidRPr="00237760">
              <w:rPr>
                <w:rFonts w:ascii="Arial" w:hAnsi="Arial" w:cs="Arial"/>
                <w:color w:val="auto"/>
                <w:sz w:val="24"/>
                <w:szCs w:val="24"/>
              </w:rPr>
              <w:t>(+)</w:t>
            </w:r>
          </w:p>
        </w:tc>
        <w:tc>
          <w:tcPr>
            <w:tcW w:w="3402" w:type="dxa"/>
            <w:tcBorders>
              <w:bottom w:val="single" w:sz="4" w:space="0" w:color="9CC2E5" w:themeColor="accent1" w:themeTint="99"/>
            </w:tcBorders>
          </w:tcPr>
          <w:p w14:paraId="79869FBA" w14:textId="37F5EDE3" w:rsidR="00756E3C" w:rsidRPr="00237760" w:rsidRDefault="00756E3C"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liczna grupa interesariuszy zewnętrznych (centralnych)</w:t>
            </w:r>
            <w:r w:rsidR="006D5AA0" w:rsidRPr="00237760">
              <w:rPr>
                <w:rFonts w:ascii="Arial" w:hAnsi="Arial" w:cs="Arial"/>
                <w:color w:val="auto"/>
                <w:sz w:val="24"/>
                <w:szCs w:val="24"/>
              </w:rPr>
              <w:t xml:space="preserve"> (+)</w:t>
            </w:r>
          </w:p>
          <w:p w14:paraId="7079F86E" w14:textId="77777777" w:rsidR="00F03D99" w:rsidRPr="00237760" w:rsidRDefault="00121B4D"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 xml:space="preserve">różnorodność </w:t>
            </w:r>
            <w:r w:rsidR="00482F68" w:rsidRPr="00237760">
              <w:rPr>
                <w:rFonts w:ascii="Arial" w:hAnsi="Arial" w:cs="Arial"/>
                <w:color w:val="auto"/>
                <w:sz w:val="24"/>
                <w:szCs w:val="24"/>
              </w:rPr>
              <w:t xml:space="preserve">niezależnych </w:t>
            </w:r>
            <w:r w:rsidRPr="00237760">
              <w:rPr>
                <w:rFonts w:ascii="Arial" w:hAnsi="Arial" w:cs="Arial"/>
                <w:color w:val="auto"/>
                <w:sz w:val="24"/>
                <w:szCs w:val="24"/>
              </w:rPr>
              <w:t>podmiotów realizujących własne cele</w:t>
            </w:r>
            <w:r w:rsidR="00FA10AE" w:rsidRPr="00237760">
              <w:rPr>
                <w:rFonts w:ascii="Arial" w:hAnsi="Arial" w:cs="Arial"/>
                <w:color w:val="auto"/>
                <w:sz w:val="24"/>
                <w:szCs w:val="24"/>
              </w:rPr>
              <w:t xml:space="preserve"> </w:t>
            </w:r>
            <w:r w:rsidR="006D5AA0" w:rsidRPr="00237760">
              <w:rPr>
                <w:rFonts w:ascii="Arial" w:hAnsi="Arial" w:cs="Arial"/>
                <w:color w:val="auto"/>
                <w:sz w:val="24"/>
                <w:szCs w:val="24"/>
              </w:rPr>
              <w:t>(+)</w:t>
            </w:r>
          </w:p>
          <w:p w14:paraId="3667ABF6" w14:textId="43F929BD" w:rsidR="00307323" w:rsidRPr="00237760" w:rsidRDefault="00307323"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niekorzystne zmiany prawne (+)</w:t>
            </w:r>
          </w:p>
        </w:tc>
      </w:tr>
      <w:tr w:rsidR="00237760" w:rsidRPr="00237760" w14:paraId="01791176" w14:textId="77777777" w:rsidTr="00F077C6">
        <w:tc>
          <w:tcPr>
            <w:tcW w:w="1843" w:type="dxa"/>
            <w:tcBorders>
              <w:top w:val="single" w:sz="4" w:space="0" w:color="9CC2E5" w:themeColor="accent1" w:themeTint="99"/>
              <w:bottom w:val="single" w:sz="4" w:space="0" w:color="9CC2E5" w:themeColor="accent1" w:themeTint="99"/>
            </w:tcBorders>
            <w:shd w:val="clear" w:color="auto" w:fill="auto"/>
            <w:vAlign w:val="center"/>
          </w:tcPr>
          <w:p w14:paraId="7890A40F" w14:textId="0C532F62" w:rsidR="007465F2" w:rsidRPr="00237760" w:rsidRDefault="00FA10AE" w:rsidP="009367B4">
            <w:pPr>
              <w:spacing w:after="0" w:line="259" w:lineRule="auto"/>
              <w:jc w:val="left"/>
              <w:rPr>
                <w:rFonts w:ascii="Arial" w:hAnsi="Arial" w:cs="Arial"/>
                <w:b/>
                <w:bCs/>
                <w:color w:val="auto"/>
                <w:sz w:val="24"/>
                <w:szCs w:val="24"/>
                <w:lang w:eastAsia="pl-PL"/>
              </w:rPr>
            </w:pPr>
            <w:r w:rsidRPr="00237760">
              <w:rPr>
                <w:rFonts w:ascii="Arial" w:hAnsi="Arial" w:cs="Arial"/>
                <w:b/>
                <w:bCs/>
                <w:color w:val="auto"/>
                <w:sz w:val="24"/>
                <w:szCs w:val="24"/>
                <w:lang w:eastAsia="pl-PL"/>
              </w:rPr>
              <w:t>Organizacja współpracy</w:t>
            </w:r>
          </w:p>
        </w:tc>
        <w:tc>
          <w:tcPr>
            <w:tcW w:w="3788" w:type="dxa"/>
            <w:tcBorders>
              <w:top w:val="single" w:sz="4" w:space="0" w:color="9CC2E5" w:themeColor="accent1" w:themeTint="99"/>
              <w:bottom w:val="single" w:sz="4" w:space="0" w:color="9CC2E5" w:themeColor="accent1" w:themeTint="99"/>
            </w:tcBorders>
          </w:tcPr>
          <w:p w14:paraId="2518F5E0" w14:textId="77777777" w:rsidR="007465F2" w:rsidRPr="00237760" w:rsidRDefault="001C64C7"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jasno sprecyzowane kompetencje koordynatora (+)</w:t>
            </w:r>
          </w:p>
          <w:p w14:paraId="5FF2B9CD" w14:textId="60C9D7D5" w:rsidR="00974236" w:rsidRPr="00237760" w:rsidRDefault="00482F68"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wykorzystanie doświadczeń we współpracy (+)</w:t>
            </w:r>
          </w:p>
        </w:tc>
        <w:tc>
          <w:tcPr>
            <w:tcW w:w="3402" w:type="dxa"/>
            <w:tcBorders>
              <w:top w:val="single" w:sz="4" w:space="0" w:color="9CC2E5" w:themeColor="accent1" w:themeTint="99"/>
              <w:bottom w:val="single" w:sz="4" w:space="0" w:color="9CC2E5" w:themeColor="accent1" w:themeTint="99"/>
            </w:tcBorders>
          </w:tcPr>
          <w:p w14:paraId="7DCECC1B" w14:textId="4DB88DCE" w:rsidR="007465F2" w:rsidRPr="00237760" w:rsidRDefault="004D1109"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 xml:space="preserve">niekorzystne zmiany </w:t>
            </w:r>
            <w:r w:rsidR="00362352" w:rsidRPr="00237760">
              <w:rPr>
                <w:rFonts w:ascii="Arial" w:hAnsi="Arial" w:cs="Arial"/>
                <w:color w:val="auto"/>
                <w:sz w:val="24"/>
                <w:szCs w:val="24"/>
              </w:rPr>
              <w:t xml:space="preserve">w podejściu interesariuszy zewnętrznych </w:t>
            </w:r>
            <w:r w:rsidR="00805C14" w:rsidRPr="00237760">
              <w:rPr>
                <w:rFonts w:ascii="Arial" w:hAnsi="Arial" w:cs="Arial"/>
                <w:color w:val="auto"/>
                <w:sz w:val="24"/>
                <w:szCs w:val="24"/>
              </w:rPr>
              <w:t>do współpracy</w:t>
            </w:r>
            <w:r w:rsidR="00AE0946" w:rsidRPr="00237760">
              <w:rPr>
                <w:rFonts w:ascii="Arial" w:hAnsi="Arial" w:cs="Arial"/>
                <w:color w:val="auto"/>
                <w:sz w:val="24"/>
                <w:szCs w:val="24"/>
              </w:rPr>
              <w:t xml:space="preserve"> (zmiana priorytetów) (+)</w:t>
            </w:r>
          </w:p>
        </w:tc>
      </w:tr>
      <w:tr w:rsidR="00237760" w:rsidRPr="00237760" w14:paraId="1FA8E021" w14:textId="77777777" w:rsidTr="00F077C6">
        <w:tc>
          <w:tcPr>
            <w:tcW w:w="1843" w:type="dxa"/>
            <w:tcBorders>
              <w:top w:val="single" w:sz="4" w:space="0" w:color="9CC2E5" w:themeColor="accent1" w:themeTint="99"/>
              <w:bottom w:val="single" w:sz="4" w:space="0" w:color="9CC2E5" w:themeColor="accent1" w:themeTint="99"/>
            </w:tcBorders>
            <w:shd w:val="clear" w:color="auto" w:fill="auto"/>
            <w:vAlign w:val="center"/>
          </w:tcPr>
          <w:p w14:paraId="0BFD6F6C" w14:textId="71991120" w:rsidR="00611CE5" w:rsidRPr="00237760" w:rsidRDefault="00611CE5" w:rsidP="009367B4">
            <w:pPr>
              <w:spacing w:after="0" w:line="259" w:lineRule="auto"/>
              <w:jc w:val="left"/>
              <w:rPr>
                <w:rFonts w:ascii="Arial" w:hAnsi="Arial" w:cs="Arial"/>
                <w:b/>
                <w:bCs/>
                <w:color w:val="auto"/>
                <w:sz w:val="24"/>
                <w:szCs w:val="24"/>
                <w:lang w:eastAsia="pl-PL"/>
              </w:rPr>
            </w:pPr>
            <w:r w:rsidRPr="00237760">
              <w:rPr>
                <w:rFonts w:ascii="Arial" w:hAnsi="Arial" w:cs="Arial"/>
                <w:b/>
                <w:bCs/>
                <w:color w:val="auto"/>
                <w:sz w:val="24"/>
                <w:szCs w:val="24"/>
                <w:lang w:eastAsia="pl-PL"/>
              </w:rPr>
              <w:t>Wdrażanie Programu</w:t>
            </w:r>
          </w:p>
        </w:tc>
        <w:tc>
          <w:tcPr>
            <w:tcW w:w="3788" w:type="dxa"/>
            <w:tcBorders>
              <w:top w:val="single" w:sz="4" w:space="0" w:color="9CC2E5" w:themeColor="accent1" w:themeTint="99"/>
              <w:bottom w:val="single" w:sz="4" w:space="0" w:color="9CC2E5" w:themeColor="accent1" w:themeTint="99"/>
            </w:tcBorders>
          </w:tcPr>
          <w:p w14:paraId="3FFF857D" w14:textId="47E09563" w:rsidR="00611CE5" w:rsidRPr="00237760" w:rsidRDefault="00DF1527"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transparentność</w:t>
            </w:r>
            <w:r w:rsidR="00A65BAA" w:rsidRPr="00237760">
              <w:rPr>
                <w:rFonts w:ascii="Arial" w:hAnsi="Arial" w:cs="Arial"/>
                <w:color w:val="auto"/>
                <w:sz w:val="24"/>
                <w:szCs w:val="24"/>
              </w:rPr>
              <w:t xml:space="preserve"> podejmowanych decyzji</w:t>
            </w:r>
            <w:r w:rsidRPr="00237760">
              <w:rPr>
                <w:rFonts w:ascii="Arial" w:hAnsi="Arial" w:cs="Arial"/>
                <w:color w:val="auto"/>
                <w:sz w:val="24"/>
                <w:szCs w:val="24"/>
              </w:rPr>
              <w:t xml:space="preserve"> </w:t>
            </w:r>
            <w:r w:rsidR="00532682" w:rsidRPr="00237760">
              <w:rPr>
                <w:rFonts w:ascii="Arial" w:hAnsi="Arial" w:cs="Arial"/>
                <w:color w:val="auto"/>
                <w:sz w:val="24"/>
                <w:szCs w:val="24"/>
              </w:rPr>
              <w:t>(+)</w:t>
            </w:r>
          </w:p>
          <w:p w14:paraId="7A975198" w14:textId="2C7C4274" w:rsidR="00DF1527" w:rsidRPr="00237760" w:rsidRDefault="00DF1527"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terminowość</w:t>
            </w:r>
            <w:r w:rsidR="00A65BAA" w:rsidRPr="00237760">
              <w:rPr>
                <w:rFonts w:ascii="Arial" w:hAnsi="Arial" w:cs="Arial"/>
                <w:color w:val="auto"/>
                <w:sz w:val="24"/>
                <w:szCs w:val="24"/>
              </w:rPr>
              <w:t xml:space="preserve"> realizacji zadań</w:t>
            </w:r>
            <w:r w:rsidR="00532682" w:rsidRPr="00237760">
              <w:rPr>
                <w:rFonts w:ascii="Arial" w:hAnsi="Arial" w:cs="Arial"/>
                <w:color w:val="auto"/>
                <w:sz w:val="24"/>
                <w:szCs w:val="24"/>
              </w:rPr>
              <w:t xml:space="preserve"> (+)</w:t>
            </w:r>
          </w:p>
          <w:p w14:paraId="7E16DE18" w14:textId="76999961" w:rsidR="00DF1527" w:rsidRPr="00237760" w:rsidRDefault="006322FA"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monitoring</w:t>
            </w:r>
            <w:r w:rsidR="00532682" w:rsidRPr="00237760">
              <w:rPr>
                <w:rFonts w:ascii="Arial" w:hAnsi="Arial" w:cs="Arial"/>
                <w:color w:val="auto"/>
                <w:sz w:val="24"/>
                <w:szCs w:val="24"/>
              </w:rPr>
              <w:t xml:space="preserve"> (+)</w:t>
            </w:r>
          </w:p>
          <w:p w14:paraId="14A82873" w14:textId="5F61ED92" w:rsidR="00532682" w:rsidRPr="00237760" w:rsidRDefault="00532682"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ewaluacja (-)</w:t>
            </w:r>
          </w:p>
        </w:tc>
        <w:tc>
          <w:tcPr>
            <w:tcW w:w="3402" w:type="dxa"/>
            <w:tcBorders>
              <w:top w:val="single" w:sz="4" w:space="0" w:color="9CC2E5" w:themeColor="accent1" w:themeTint="99"/>
              <w:bottom w:val="single" w:sz="4" w:space="0" w:color="9CC2E5" w:themeColor="accent1" w:themeTint="99"/>
            </w:tcBorders>
          </w:tcPr>
          <w:p w14:paraId="3CE9EE25" w14:textId="77777777" w:rsidR="00611CE5" w:rsidRPr="00237760" w:rsidRDefault="00FD3E43"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zmiany kadrowe w instytucjach wdrażających (+)</w:t>
            </w:r>
          </w:p>
          <w:p w14:paraId="15FBE4D6" w14:textId="2B7E1937" w:rsidR="00D971C9" w:rsidRPr="00237760" w:rsidRDefault="00D971C9"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przedłużające się procedury administracyjne (+)</w:t>
            </w:r>
          </w:p>
          <w:p w14:paraId="12248FAF" w14:textId="2BF954F5" w:rsidR="004421C7" w:rsidRPr="00237760" w:rsidRDefault="004421C7"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słabość podmiotów startujących do przetargów (+)</w:t>
            </w:r>
          </w:p>
        </w:tc>
      </w:tr>
      <w:tr w:rsidR="00237760" w:rsidRPr="00237760" w14:paraId="34BDB9B9" w14:textId="77777777" w:rsidTr="00F077C6">
        <w:tc>
          <w:tcPr>
            <w:tcW w:w="1843" w:type="dxa"/>
            <w:tcBorders>
              <w:top w:val="single" w:sz="4" w:space="0" w:color="9CC2E5" w:themeColor="accent1" w:themeTint="99"/>
              <w:bottom w:val="single" w:sz="12" w:space="0" w:color="002060"/>
            </w:tcBorders>
            <w:shd w:val="clear" w:color="auto" w:fill="auto"/>
            <w:vAlign w:val="center"/>
          </w:tcPr>
          <w:p w14:paraId="6DD895E3" w14:textId="63B07593" w:rsidR="007465F2" w:rsidRPr="00237760" w:rsidRDefault="007465F2" w:rsidP="009367B4">
            <w:pPr>
              <w:spacing w:after="0" w:line="259" w:lineRule="auto"/>
              <w:jc w:val="left"/>
              <w:rPr>
                <w:rFonts w:ascii="Arial" w:hAnsi="Arial" w:cs="Arial"/>
                <w:b/>
                <w:bCs/>
                <w:color w:val="auto"/>
                <w:sz w:val="24"/>
                <w:szCs w:val="24"/>
                <w:lang w:eastAsia="pl-PL"/>
              </w:rPr>
            </w:pPr>
            <w:r w:rsidRPr="00237760">
              <w:rPr>
                <w:rFonts w:ascii="Arial" w:hAnsi="Arial" w:cs="Arial"/>
                <w:b/>
                <w:bCs/>
                <w:color w:val="auto"/>
                <w:sz w:val="24"/>
                <w:szCs w:val="24"/>
                <w:lang w:eastAsia="pl-PL"/>
              </w:rPr>
              <w:t>Źródła i instrumenty finansowania</w:t>
            </w:r>
          </w:p>
        </w:tc>
        <w:tc>
          <w:tcPr>
            <w:tcW w:w="3788" w:type="dxa"/>
            <w:tcBorders>
              <w:top w:val="single" w:sz="4" w:space="0" w:color="9CC2E5" w:themeColor="accent1" w:themeTint="99"/>
              <w:bottom w:val="single" w:sz="12" w:space="0" w:color="002060"/>
            </w:tcBorders>
          </w:tcPr>
          <w:p w14:paraId="2E98BEF6" w14:textId="77777777" w:rsidR="007465F2" w:rsidRPr="00237760" w:rsidRDefault="00014AF0"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 xml:space="preserve">dobrze zdiagnozowane źródła </w:t>
            </w:r>
            <w:r w:rsidR="003C1B3B" w:rsidRPr="00237760">
              <w:rPr>
                <w:rFonts w:ascii="Arial" w:hAnsi="Arial" w:cs="Arial"/>
                <w:color w:val="auto"/>
                <w:sz w:val="24"/>
                <w:szCs w:val="24"/>
              </w:rPr>
              <w:t>finansowania (+)</w:t>
            </w:r>
          </w:p>
          <w:p w14:paraId="28FB0C6B" w14:textId="18E28490" w:rsidR="003C1B3B" w:rsidRPr="00237760" w:rsidRDefault="003C1B3B"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szacunki potencjalnych nakładów (+)</w:t>
            </w:r>
          </w:p>
        </w:tc>
        <w:tc>
          <w:tcPr>
            <w:tcW w:w="3402" w:type="dxa"/>
            <w:tcBorders>
              <w:top w:val="single" w:sz="4" w:space="0" w:color="9CC2E5" w:themeColor="accent1" w:themeTint="99"/>
              <w:bottom w:val="single" w:sz="12" w:space="0" w:color="002060"/>
            </w:tcBorders>
          </w:tcPr>
          <w:p w14:paraId="541AB74B" w14:textId="77777777" w:rsidR="007465F2" w:rsidRPr="00237760" w:rsidRDefault="00F17CF6"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 xml:space="preserve">ograniczenia wynikające z </w:t>
            </w:r>
            <w:r w:rsidR="007D34F6" w:rsidRPr="00237760">
              <w:rPr>
                <w:rFonts w:ascii="Arial" w:hAnsi="Arial" w:cs="Arial"/>
                <w:color w:val="auto"/>
                <w:sz w:val="24"/>
                <w:szCs w:val="24"/>
              </w:rPr>
              <w:t>sytuacji w instytucjach zewnętrznych (</w:t>
            </w:r>
            <w:r w:rsidR="0047042C" w:rsidRPr="00237760">
              <w:rPr>
                <w:rFonts w:ascii="Arial" w:hAnsi="Arial" w:cs="Arial"/>
                <w:color w:val="auto"/>
                <w:sz w:val="24"/>
                <w:szCs w:val="24"/>
              </w:rPr>
              <w:t>+)</w:t>
            </w:r>
          </w:p>
          <w:p w14:paraId="42182E87" w14:textId="0534500E" w:rsidR="0047042C" w:rsidRPr="00237760" w:rsidRDefault="0047042C" w:rsidP="009367B4">
            <w:pPr>
              <w:pStyle w:val="Akapitzlist"/>
              <w:numPr>
                <w:ilvl w:val="0"/>
                <w:numId w:val="59"/>
              </w:numPr>
              <w:spacing w:after="0" w:line="259" w:lineRule="auto"/>
              <w:ind w:left="177" w:hanging="177"/>
              <w:jc w:val="left"/>
              <w:rPr>
                <w:rFonts w:ascii="Arial" w:hAnsi="Arial" w:cs="Arial"/>
                <w:color w:val="auto"/>
                <w:sz w:val="24"/>
                <w:szCs w:val="24"/>
              </w:rPr>
            </w:pPr>
            <w:r w:rsidRPr="00237760">
              <w:rPr>
                <w:rFonts w:ascii="Arial" w:hAnsi="Arial" w:cs="Arial"/>
                <w:color w:val="auto"/>
                <w:sz w:val="24"/>
                <w:szCs w:val="24"/>
              </w:rPr>
              <w:t xml:space="preserve">wzrost </w:t>
            </w:r>
            <w:r w:rsidR="001D2348" w:rsidRPr="00237760">
              <w:rPr>
                <w:rFonts w:ascii="Arial" w:hAnsi="Arial" w:cs="Arial"/>
                <w:color w:val="auto"/>
                <w:sz w:val="24"/>
                <w:szCs w:val="24"/>
              </w:rPr>
              <w:t>kosztów</w:t>
            </w:r>
            <w:r w:rsidR="004E50A3" w:rsidRPr="00237760">
              <w:rPr>
                <w:rFonts w:ascii="Arial" w:hAnsi="Arial" w:cs="Arial"/>
                <w:color w:val="auto"/>
                <w:sz w:val="24"/>
                <w:szCs w:val="24"/>
              </w:rPr>
              <w:t xml:space="preserve"> realizacji inwestycji (+)</w:t>
            </w:r>
          </w:p>
        </w:tc>
      </w:tr>
    </w:tbl>
    <w:p w14:paraId="69CBB16A" w14:textId="77777777" w:rsidR="000B3E4D" w:rsidRPr="00237760" w:rsidRDefault="00A70761" w:rsidP="009367B4">
      <w:pPr>
        <w:spacing w:after="160" w:line="259" w:lineRule="auto"/>
        <w:jc w:val="left"/>
        <w:rPr>
          <w:rFonts w:ascii="Arial" w:hAnsi="Arial" w:cs="Arial"/>
          <w:color w:val="auto"/>
          <w:sz w:val="24"/>
          <w:szCs w:val="24"/>
          <w:lang w:eastAsia="pl-PL"/>
        </w:rPr>
      </w:pPr>
      <w:r w:rsidRPr="00237760">
        <w:rPr>
          <w:rFonts w:ascii="Arial" w:hAnsi="Arial" w:cs="Arial"/>
          <w:color w:val="auto"/>
          <w:sz w:val="24"/>
          <w:szCs w:val="24"/>
          <w:lang w:eastAsia="pl-PL"/>
        </w:rPr>
        <w:t>(</w:t>
      </w:r>
      <w:r w:rsidR="00017284" w:rsidRPr="00237760">
        <w:rPr>
          <w:rFonts w:ascii="Arial" w:hAnsi="Arial" w:cs="Arial"/>
          <w:color w:val="auto"/>
          <w:sz w:val="24"/>
          <w:szCs w:val="24"/>
          <w:lang w:eastAsia="pl-PL"/>
        </w:rPr>
        <w:t xml:space="preserve">+) </w:t>
      </w:r>
      <w:r w:rsidRPr="00237760">
        <w:rPr>
          <w:rFonts w:ascii="Arial" w:hAnsi="Arial" w:cs="Arial"/>
          <w:color w:val="auto"/>
          <w:sz w:val="24"/>
          <w:szCs w:val="24"/>
          <w:lang w:eastAsia="pl-PL"/>
        </w:rPr>
        <w:t>element występuj</w:t>
      </w:r>
      <w:r w:rsidR="00017284" w:rsidRPr="00237760">
        <w:rPr>
          <w:rFonts w:ascii="Arial" w:hAnsi="Arial" w:cs="Arial"/>
          <w:color w:val="auto"/>
          <w:sz w:val="24"/>
          <w:szCs w:val="24"/>
          <w:lang w:eastAsia="pl-PL"/>
        </w:rPr>
        <w:t>e</w:t>
      </w:r>
      <w:r w:rsidRPr="00237760">
        <w:rPr>
          <w:rFonts w:ascii="Arial" w:hAnsi="Arial" w:cs="Arial"/>
          <w:color w:val="auto"/>
          <w:sz w:val="24"/>
          <w:szCs w:val="24"/>
          <w:lang w:eastAsia="pl-PL"/>
        </w:rPr>
        <w:t xml:space="preserve"> w PSRT WP</w:t>
      </w:r>
      <w:r w:rsidR="00017284" w:rsidRPr="00237760">
        <w:rPr>
          <w:rFonts w:ascii="Arial" w:hAnsi="Arial" w:cs="Arial"/>
          <w:color w:val="auto"/>
          <w:sz w:val="24"/>
          <w:szCs w:val="24"/>
          <w:lang w:eastAsia="pl-PL"/>
        </w:rPr>
        <w:t>; (-) element nie występuje w PSRT WP</w:t>
      </w:r>
    </w:p>
    <w:p w14:paraId="7158B170" w14:textId="67F980B6" w:rsidR="00A70761" w:rsidRPr="00237760" w:rsidRDefault="00A70761" w:rsidP="009367B4">
      <w:pPr>
        <w:spacing w:after="160" w:line="259" w:lineRule="auto"/>
        <w:jc w:val="left"/>
        <w:rPr>
          <w:rFonts w:ascii="Arial" w:hAnsi="Arial" w:cs="Arial"/>
          <w:color w:val="auto"/>
          <w:sz w:val="24"/>
          <w:szCs w:val="24"/>
          <w:lang w:eastAsia="pl-PL"/>
        </w:rPr>
      </w:pPr>
      <w:r w:rsidRPr="00237760">
        <w:rPr>
          <w:rFonts w:ascii="Arial" w:hAnsi="Arial" w:cs="Arial"/>
          <w:color w:val="auto"/>
          <w:sz w:val="24"/>
          <w:szCs w:val="24"/>
          <w:lang w:eastAsia="pl-PL"/>
        </w:rPr>
        <w:t>Źródło: opracowanie własne na podstawie.</w:t>
      </w:r>
    </w:p>
    <w:p w14:paraId="16D12A83" w14:textId="77777777" w:rsidR="00A70761" w:rsidRPr="00237760" w:rsidRDefault="00A70761" w:rsidP="009367B4">
      <w:pPr>
        <w:spacing w:after="160" w:line="259" w:lineRule="auto"/>
        <w:jc w:val="left"/>
        <w:rPr>
          <w:rFonts w:ascii="Arial" w:hAnsi="Arial" w:cs="Arial"/>
          <w:color w:val="auto"/>
          <w:sz w:val="24"/>
          <w:szCs w:val="24"/>
          <w:lang w:eastAsia="pl-PL"/>
        </w:rPr>
      </w:pPr>
    </w:p>
    <w:p w14:paraId="5E763BA1" w14:textId="5081E683" w:rsidR="003F420D" w:rsidRPr="00237760" w:rsidRDefault="003F420D" w:rsidP="009367B4">
      <w:pPr>
        <w:spacing w:after="160" w:line="259" w:lineRule="auto"/>
        <w:jc w:val="left"/>
        <w:rPr>
          <w:rFonts w:ascii="Arial" w:hAnsi="Arial" w:cs="Arial"/>
          <w:color w:val="auto"/>
          <w:sz w:val="24"/>
          <w:szCs w:val="24"/>
          <w:lang w:eastAsia="pl-PL"/>
        </w:rPr>
      </w:pPr>
      <w:r w:rsidRPr="00237760">
        <w:rPr>
          <w:rFonts w:ascii="Arial" w:hAnsi="Arial" w:cs="Arial"/>
          <w:color w:val="auto"/>
          <w:sz w:val="24"/>
          <w:szCs w:val="24"/>
          <w:lang w:eastAsia="pl-PL"/>
        </w:rPr>
        <w:br w:type="page"/>
      </w:r>
    </w:p>
    <w:p w14:paraId="2156FD85" w14:textId="7677227A" w:rsidR="006A696B" w:rsidRPr="00237760" w:rsidRDefault="006A696B" w:rsidP="009367B4">
      <w:pPr>
        <w:pStyle w:val="Nagwek2"/>
        <w:rPr>
          <w:rFonts w:ascii="Arial" w:hAnsi="Arial" w:cs="Arial"/>
          <w:color w:val="auto"/>
          <w:sz w:val="24"/>
          <w:szCs w:val="24"/>
        </w:rPr>
      </w:pPr>
      <w:bookmarkStart w:id="122" w:name="_Toc101904127"/>
      <w:bookmarkStart w:id="123" w:name="_Ref100828682"/>
      <w:bookmarkStart w:id="124" w:name="_Ref100926377"/>
      <w:r w:rsidRPr="00237760">
        <w:rPr>
          <w:rFonts w:ascii="Arial" w:hAnsi="Arial" w:cs="Arial"/>
          <w:color w:val="auto"/>
          <w:sz w:val="24"/>
          <w:szCs w:val="24"/>
        </w:rPr>
        <w:lastRenderedPageBreak/>
        <w:t xml:space="preserve">Ocena systemu </w:t>
      </w:r>
      <w:r w:rsidR="004E7260" w:rsidRPr="00237760">
        <w:rPr>
          <w:rFonts w:ascii="Arial" w:hAnsi="Arial" w:cs="Arial"/>
          <w:color w:val="auto"/>
          <w:sz w:val="24"/>
          <w:szCs w:val="24"/>
        </w:rPr>
        <w:t>monitorowania</w:t>
      </w:r>
      <w:r w:rsidR="00C142E0" w:rsidRPr="00237760">
        <w:rPr>
          <w:rFonts w:ascii="Arial" w:hAnsi="Arial" w:cs="Arial"/>
          <w:color w:val="auto"/>
          <w:sz w:val="24"/>
          <w:szCs w:val="24"/>
        </w:rPr>
        <w:t xml:space="preserve"> i ewaluacji</w:t>
      </w:r>
      <w:bookmarkEnd w:id="122"/>
      <w:r w:rsidR="004E7260" w:rsidRPr="00237760">
        <w:rPr>
          <w:rFonts w:ascii="Arial" w:hAnsi="Arial" w:cs="Arial"/>
          <w:color w:val="auto"/>
          <w:sz w:val="24"/>
          <w:szCs w:val="24"/>
        </w:rPr>
        <w:t xml:space="preserve"> </w:t>
      </w:r>
      <w:bookmarkEnd w:id="123"/>
      <w:bookmarkEnd w:id="124"/>
      <w:r w:rsidRPr="00237760">
        <w:rPr>
          <w:rFonts w:ascii="Arial" w:hAnsi="Arial" w:cs="Arial"/>
          <w:color w:val="auto"/>
          <w:sz w:val="24"/>
          <w:szCs w:val="24"/>
        </w:rPr>
        <w:t xml:space="preserve"> </w:t>
      </w:r>
    </w:p>
    <w:p w14:paraId="2148A5EB" w14:textId="77777777" w:rsidR="006A696B" w:rsidRPr="00D352FD" w:rsidRDefault="006A696B" w:rsidP="00D352FD">
      <w:pPr>
        <w:pStyle w:val="Nagwek3"/>
        <w:numPr>
          <w:ilvl w:val="0"/>
          <w:numId w:val="0"/>
        </w:numPr>
        <w:ind w:left="851" w:hanging="851"/>
        <w:rPr>
          <w:rFonts w:ascii="Arial" w:hAnsi="Arial" w:cs="Arial"/>
          <w:color w:val="auto"/>
          <w:sz w:val="24"/>
          <w:szCs w:val="24"/>
        </w:rPr>
      </w:pPr>
      <w:bookmarkStart w:id="125" w:name="_Toc101904128"/>
      <w:r w:rsidRPr="00D352FD">
        <w:rPr>
          <w:rFonts w:ascii="Arial" w:hAnsi="Arial" w:cs="Arial"/>
          <w:color w:val="auto"/>
          <w:sz w:val="24"/>
          <w:szCs w:val="24"/>
        </w:rPr>
        <w:t>Synteza</w:t>
      </w:r>
      <w:bookmarkEnd w:id="125"/>
    </w:p>
    <w:p w14:paraId="7B11F099" w14:textId="77777777" w:rsidR="006A696B" w:rsidRPr="00237760" w:rsidRDefault="006A696B" w:rsidP="009367B4">
      <w:pPr>
        <w:jc w:val="left"/>
        <w:rPr>
          <w:rFonts w:ascii="Arial" w:hAnsi="Arial" w:cs="Arial"/>
          <w:bCs/>
          <w:iCs/>
          <w:color w:val="auto"/>
          <w:sz w:val="24"/>
          <w:szCs w:val="24"/>
        </w:rPr>
      </w:pPr>
      <w:r w:rsidRPr="00237760">
        <w:rPr>
          <w:rFonts w:ascii="Arial" w:hAnsi="Arial" w:cs="Arial"/>
          <w:color w:val="auto"/>
          <w:sz w:val="24"/>
          <w:szCs w:val="24"/>
        </w:rPr>
        <w:t>Pytanie ewaluacyjne:</w:t>
      </w:r>
      <w:r w:rsidRPr="00237760">
        <w:rPr>
          <w:rFonts w:ascii="Arial" w:hAnsi="Arial" w:cs="Arial"/>
          <w:bCs/>
          <w:iCs/>
          <w:color w:val="auto"/>
          <w:sz w:val="24"/>
          <w:szCs w:val="24"/>
        </w:rPr>
        <w:t xml:space="preserve"> </w:t>
      </w:r>
    </w:p>
    <w:p w14:paraId="7A4821AD" w14:textId="33975010" w:rsidR="006A696B" w:rsidRPr="00237760" w:rsidRDefault="006A696B" w:rsidP="009367B4">
      <w:pPr>
        <w:jc w:val="left"/>
        <w:rPr>
          <w:rFonts w:ascii="Arial" w:hAnsi="Arial" w:cs="Arial"/>
          <w:color w:val="auto"/>
          <w:sz w:val="24"/>
          <w:szCs w:val="24"/>
        </w:rPr>
      </w:pPr>
      <w:r w:rsidRPr="00237760">
        <w:rPr>
          <w:rFonts w:ascii="Arial" w:hAnsi="Arial" w:cs="Arial"/>
          <w:b/>
          <w:i/>
          <w:color w:val="auto"/>
          <w:sz w:val="24"/>
          <w:szCs w:val="24"/>
        </w:rPr>
        <w:t>Czy ustalony w projekcie Programu system monitoringu i ewaluacji, umożliwia skuteczną i efektywną rejestrację i ocenę efektów jego realizacji, w odniesieniu do systemu transportowego poszczególnych JST z regionu, jak i obszaru całego województwa podkarpackiego?</w:t>
      </w:r>
    </w:p>
    <w:p w14:paraId="3C40F30B" w14:textId="77777777" w:rsidR="006A696B" w:rsidRPr="00237760" w:rsidRDefault="006A696B" w:rsidP="009367B4">
      <w:pPr>
        <w:jc w:val="left"/>
        <w:rPr>
          <w:rFonts w:ascii="Arial" w:hAnsi="Arial" w:cs="Arial"/>
          <w:color w:val="auto"/>
          <w:sz w:val="24"/>
          <w:szCs w:val="24"/>
        </w:rPr>
      </w:pPr>
      <w:r w:rsidRPr="00237760">
        <w:rPr>
          <w:rFonts w:ascii="Arial" w:hAnsi="Arial" w:cs="Arial"/>
          <w:color w:val="auto"/>
          <w:sz w:val="24"/>
          <w:szCs w:val="24"/>
        </w:rPr>
        <w:t>Syntetyczna odpowiedź:</w:t>
      </w:r>
    </w:p>
    <w:p w14:paraId="22B8B6F4" w14:textId="54B2E53E" w:rsidR="006A696B" w:rsidRPr="00237760" w:rsidRDefault="00E9350E" w:rsidP="009367B4">
      <w:pPr>
        <w:spacing w:after="0"/>
        <w:jc w:val="left"/>
        <w:rPr>
          <w:rFonts w:ascii="Arial" w:hAnsi="Arial" w:cs="Arial"/>
          <w:b/>
          <w:i/>
          <w:color w:val="auto"/>
          <w:sz w:val="24"/>
          <w:szCs w:val="24"/>
        </w:rPr>
      </w:pPr>
      <w:r w:rsidRPr="00237760">
        <w:rPr>
          <w:rFonts w:ascii="Arial" w:hAnsi="Arial" w:cs="Arial"/>
          <w:b/>
          <w:i/>
          <w:color w:val="auto"/>
          <w:sz w:val="24"/>
          <w:szCs w:val="24"/>
        </w:rPr>
        <w:t xml:space="preserve">Tak, generalnie ustalony w projekcie Programu system monitoringu i ewaluacji umożliwia skuteczną i efektywną rejestrację i ocenę efektów jego realizacji. System uwzględnia monitorowanie sytuacji również w odniesieniu do </w:t>
      </w:r>
      <w:r w:rsidR="005B1B80" w:rsidRPr="00237760">
        <w:rPr>
          <w:rFonts w:ascii="Arial" w:hAnsi="Arial" w:cs="Arial"/>
          <w:b/>
          <w:i/>
          <w:color w:val="auto"/>
          <w:sz w:val="24"/>
          <w:szCs w:val="24"/>
        </w:rPr>
        <w:t>niektórych</w:t>
      </w:r>
      <w:r w:rsidRPr="00237760">
        <w:rPr>
          <w:rFonts w:ascii="Arial" w:hAnsi="Arial" w:cs="Arial"/>
          <w:b/>
          <w:i/>
          <w:color w:val="auto"/>
          <w:sz w:val="24"/>
          <w:szCs w:val="24"/>
        </w:rPr>
        <w:t xml:space="preserve"> JST regionu, choć zakres </w:t>
      </w:r>
      <w:r w:rsidR="005B1B80" w:rsidRPr="00237760">
        <w:rPr>
          <w:rFonts w:ascii="Arial" w:hAnsi="Arial" w:cs="Arial"/>
          <w:b/>
          <w:i/>
          <w:color w:val="auto"/>
          <w:sz w:val="24"/>
          <w:szCs w:val="24"/>
        </w:rPr>
        <w:t xml:space="preserve">tych danych jest ograniczony. Można też wskazać na kilka niedociągnięć w zakresie doboru wartości docelowych, jak i precyzji </w:t>
      </w:r>
      <w:r w:rsidR="00C605B2" w:rsidRPr="00237760">
        <w:rPr>
          <w:rFonts w:ascii="Arial" w:hAnsi="Arial" w:cs="Arial"/>
          <w:b/>
          <w:i/>
          <w:color w:val="auto"/>
          <w:sz w:val="24"/>
          <w:szCs w:val="24"/>
        </w:rPr>
        <w:br/>
      </w:r>
      <w:r w:rsidR="005B1B80" w:rsidRPr="00237760">
        <w:rPr>
          <w:rFonts w:ascii="Arial" w:hAnsi="Arial" w:cs="Arial"/>
          <w:b/>
          <w:i/>
          <w:color w:val="auto"/>
          <w:sz w:val="24"/>
          <w:szCs w:val="24"/>
        </w:rPr>
        <w:t>w określaniu niektórych wskaźników.</w:t>
      </w:r>
    </w:p>
    <w:p w14:paraId="390EF814" w14:textId="77777777" w:rsidR="006A696B" w:rsidRPr="00237760" w:rsidRDefault="006A696B" w:rsidP="009367B4">
      <w:pPr>
        <w:pStyle w:val="Nagwek4"/>
        <w:shd w:val="clear" w:color="auto" w:fill="auto"/>
        <w:rPr>
          <w:rFonts w:ascii="Arial" w:hAnsi="Arial" w:cs="Arial"/>
          <w:color w:val="auto"/>
        </w:rPr>
      </w:pPr>
      <w:r w:rsidRPr="00237760">
        <w:rPr>
          <w:rFonts w:ascii="Arial" w:hAnsi="Arial" w:cs="Arial"/>
          <w:color w:val="auto"/>
        </w:rPr>
        <w:t xml:space="preserve"> </w:t>
      </w:r>
      <w:bookmarkStart w:id="126" w:name="_Toc101904129"/>
      <w:r w:rsidRPr="00237760">
        <w:rPr>
          <w:rFonts w:ascii="Arial" w:hAnsi="Arial" w:cs="Arial"/>
          <w:color w:val="auto"/>
        </w:rPr>
        <w:t>Analiza</w:t>
      </w:r>
      <w:bookmarkEnd w:id="126"/>
    </w:p>
    <w:p w14:paraId="72928BFC" w14:textId="1E48BF77" w:rsidR="0025714C" w:rsidRPr="00237760" w:rsidRDefault="00275143" w:rsidP="009367B4">
      <w:pPr>
        <w:jc w:val="left"/>
        <w:rPr>
          <w:rFonts w:ascii="Arial" w:hAnsi="Arial" w:cs="Arial"/>
          <w:color w:val="auto"/>
          <w:sz w:val="24"/>
          <w:szCs w:val="24"/>
        </w:rPr>
      </w:pPr>
      <w:r w:rsidRPr="00237760">
        <w:rPr>
          <w:rFonts w:ascii="Arial" w:hAnsi="Arial" w:cs="Arial"/>
          <w:color w:val="auto"/>
          <w:sz w:val="24"/>
          <w:szCs w:val="24"/>
        </w:rPr>
        <w:t xml:space="preserve">Monitoring Programu osadzony jest w szerszym </w:t>
      </w:r>
      <w:r w:rsidR="0025714C" w:rsidRPr="00237760">
        <w:rPr>
          <w:rFonts w:ascii="Arial" w:hAnsi="Arial" w:cs="Arial"/>
          <w:color w:val="auto"/>
          <w:sz w:val="24"/>
          <w:szCs w:val="24"/>
        </w:rPr>
        <w:t>systemie polityki rozwoju województwa, co należy uznać za rozwiązanie trafne. Jak piszą Autorzy</w:t>
      </w:r>
      <w:r w:rsidR="00C936FE" w:rsidRPr="00237760">
        <w:rPr>
          <w:rFonts w:ascii="Arial" w:hAnsi="Arial" w:cs="Arial"/>
          <w:color w:val="auto"/>
          <w:sz w:val="24"/>
          <w:szCs w:val="24"/>
        </w:rPr>
        <w:t xml:space="preserve"> Programu</w:t>
      </w:r>
      <w:r w:rsidR="00DE60CF" w:rsidRPr="00237760">
        <w:rPr>
          <w:rFonts w:ascii="Arial" w:hAnsi="Arial" w:cs="Arial"/>
          <w:color w:val="auto"/>
          <w:sz w:val="24"/>
          <w:szCs w:val="24"/>
        </w:rPr>
        <w:t xml:space="preserve"> (s. 230)</w:t>
      </w:r>
      <w:r w:rsidR="00002F7D" w:rsidRPr="00237760">
        <w:rPr>
          <w:rFonts w:ascii="Arial" w:hAnsi="Arial" w:cs="Arial"/>
          <w:color w:val="auto"/>
          <w:sz w:val="24"/>
          <w:szCs w:val="24"/>
        </w:rPr>
        <w:t>:</w:t>
      </w:r>
      <w:r w:rsidR="00DE60CF" w:rsidRPr="00237760">
        <w:rPr>
          <w:rFonts w:ascii="Arial" w:hAnsi="Arial" w:cs="Arial"/>
          <w:color w:val="auto"/>
          <w:sz w:val="24"/>
          <w:szCs w:val="24"/>
        </w:rPr>
        <w:t xml:space="preserve"> „(…)</w:t>
      </w:r>
      <w:r w:rsidR="0025714C" w:rsidRPr="00237760">
        <w:rPr>
          <w:rFonts w:ascii="Arial" w:hAnsi="Arial" w:cs="Arial"/>
          <w:color w:val="auto"/>
          <w:sz w:val="24"/>
          <w:szCs w:val="24"/>
        </w:rPr>
        <w:t xml:space="preserve"> mając na uwadze zapewnienie spójności planu transportowego z regionalnymi dokumentami wyższego rzędu, system monitorowania PSRT WP będzie uwzględniał pomocniczo: system monitorowania </w:t>
      </w:r>
      <w:r w:rsidR="0025714C" w:rsidRPr="00237760">
        <w:rPr>
          <w:rFonts w:ascii="Arial" w:hAnsi="Arial" w:cs="Arial"/>
          <w:i/>
          <w:color w:val="auto"/>
          <w:sz w:val="24"/>
          <w:szCs w:val="24"/>
        </w:rPr>
        <w:t>Strategii rozwoju województwa – Podkarpackie 2030</w:t>
      </w:r>
      <w:r w:rsidR="00611BB9" w:rsidRPr="00237760">
        <w:rPr>
          <w:rFonts w:ascii="Arial" w:hAnsi="Arial" w:cs="Arial"/>
          <w:color w:val="auto"/>
          <w:sz w:val="24"/>
          <w:szCs w:val="24"/>
        </w:rPr>
        <w:t>;</w:t>
      </w:r>
      <w:r w:rsidR="0025714C" w:rsidRPr="00237760">
        <w:rPr>
          <w:rFonts w:ascii="Arial" w:hAnsi="Arial" w:cs="Arial"/>
          <w:color w:val="auto"/>
          <w:sz w:val="24"/>
          <w:szCs w:val="24"/>
        </w:rPr>
        <w:t xml:space="preserve"> system monitorowania </w:t>
      </w:r>
      <w:r w:rsidR="0025714C" w:rsidRPr="00237760">
        <w:rPr>
          <w:rFonts w:ascii="Arial" w:hAnsi="Arial" w:cs="Arial"/>
          <w:i/>
          <w:color w:val="auto"/>
          <w:sz w:val="24"/>
          <w:szCs w:val="24"/>
        </w:rPr>
        <w:t>Regionalnego Programu Operacyjnego Województwa Podkarpackiego na lata 2014-2020</w:t>
      </w:r>
      <w:r w:rsidR="00611BB9" w:rsidRPr="00237760">
        <w:rPr>
          <w:rFonts w:ascii="Arial" w:hAnsi="Arial" w:cs="Arial"/>
          <w:color w:val="auto"/>
          <w:sz w:val="24"/>
          <w:szCs w:val="24"/>
        </w:rPr>
        <w:t>;</w:t>
      </w:r>
      <w:r w:rsidR="0025714C" w:rsidRPr="00237760">
        <w:rPr>
          <w:rFonts w:ascii="Arial" w:hAnsi="Arial" w:cs="Arial"/>
          <w:color w:val="auto"/>
          <w:sz w:val="24"/>
          <w:szCs w:val="24"/>
        </w:rPr>
        <w:t xml:space="preserve"> system monitorowania </w:t>
      </w:r>
      <w:r w:rsidR="0025714C" w:rsidRPr="00237760">
        <w:rPr>
          <w:rFonts w:ascii="Arial" w:hAnsi="Arial" w:cs="Arial"/>
          <w:i/>
          <w:color w:val="auto"/>
          <w:sz w:val="24"/>
          <w:szCs w:val="24"/>
        </w:rPr>
        <w:t>Programu Fundusze Europejskie dla Podkarpacia na lata 2021-2027</w:t>
      </w:r>
      <w:r w:rsidR="00611BB9" w:rsidRPr="00237760">
        <w:rPr>
          <w:rFonts w:ascii="Arial" w:hAnsi="Arial" w:cs="Arial"/>
          <w:color w:val="auto"/>
          <w:sz w:val="24"/>
          <w:szCs w:val="24"/>
        </w:rPr>
        <w:t>”.</w:t>
      </w:r>
      <w:r w:rsidR="00616159" w:rsidRPr="00237760">
        <w:rPr>
          <w:rFonts w:ascii="Arial" w:hAnsi="Arial" w:cs="Arial"/>
          <w:color w:val="auto"/>
          <w:sz w:val="24"/>
          <w:szCs w:val="24"/>
        </w:rPr>
        <w:t xml:space="preserve"> </w:t>
      </w:r>
      <w:r w:rsidR="00611BB9" w:rsidRPr="00237760">
        <w:rPr>
          <w:rFonts w:ascii="Arial" w:hAnsi="Arial" w:cs="Arial"/>
          <w:color w:val="auto"/>
          <w:sz w:val="24"/>
          <w:szCs w:val="24"/>
        </w:rPr>
        <w:t xml:space="preserve">Ponadto planuje się </w:t>
      </w:r>
      <w:r w:rsidR="0025714C" w:rsidRPr="00237760">
        <w:rPr>
          <w:rFonts w:ascii="Arial" w:hAnsi="Arial" w:cs="Arial"/>
          <w:color w:val="auto"/>
          <w:sz w:val="24"/>
          <w:szCs w:val="24"/>
        </w:rPr>
        <w:t>wykorzystanie eksper</w:t>
      </w:r>
      <w:r w:rsidR="007A1DC4" w:rsidRPr="00237760">
        <w:rPr>
          <w:rFonts w:ascii="Arial" w:hAnsi="Arial" w:cs="Arial"/>
          <w:color w:val="auto"/>
          <w:sz w:val="24"/>
          <w:szCs w:val="24"/>
        </w:rPr>
        <w:t xml:space="preserve">tyz </w:t>
      </w:r>
      <w:r w:rsidR="0025714C" w:rsidRPr="00237760">
        <w:rPr>
          <w:rFonts w:ascii="Arial" w:hAnsi="Arial" w:cs="Arial"/>
          <w:color w:val="auto"/>
          <w:sz w:val="24"/>
          <w:szCs w:val="24"/>
        </w:rPr>
        <w:t>zewnętrznych.</w:t>
      </w:r>
      <w:r w:rsidR="00616159" w:rsidRPr="00237760">
        <w:rPr>
          <w:rFonts w:ascii="Arial" w:hAnsi="Arial" w:cs="Arial"/>
          <w:color w:val="auto"/>
          <w:sz w:val="24"/>
          <w:szCs w:val="24"/>
        </w:rPr>
        <w:t xml:space="preserve"> Pomimo że rozdział dotyczy sy</w:t>
      </w:r>
      <w:r w:rsidR="00793305" w:rsidRPr="00237760">
        <w:rPr>
          <w:rFonts w:ascii="Arial" w:hAnsi="Arial" w:cs="Arial"/>
          <w:color w:val="auto"/>
          <w:sz w:val="24"/>
          <w:szCs w:val="24"/>
        </w:rPr>
        <w:t xml:space="preserve">stemu monitorowania i ewaluacji, został on w całości poświęcony zagadnieniom monitoringu, nie podjęto w nim </w:t>
      </w:r>
      <w:r w:rsidR="00573599" w:rsidRPr="00237760">
        <w:rPr>
          <w:rFonts w:ascii="Arial" w:hAnsi="Arial" w:cs="Arial"/>
          <w:color w:val="auto"/>
          <w:sz w:val="24"/>
          <w:szCs w:val="24"/>
        </w:rPr>
        <w:t xml:space="preserve">zaś w ogóle </w:t>
      </w:r>
      <w:r w:rsidR="00793305" w:rsidRPr="00237760">
        <w:rPr>
          <w:rFonts w:ascii="Arial" w:hAnsi="Arial" w:cs="Arial"/>
          <w:color w:val="auto"/>
          <w:sz w:val="24"/>
          <w:szCs w:val="24"/>
        </w:rPr>
        <w:t xml:space="preserve">tematu ewaluacji. </w:t>
      </w:r>
    </w:p>
    <w:p w14:paraId="33D411ED" w14:textId="3D69D7F0" w:rsidR="005D4157" w:rsidRPr="00237760" w:rsidRDefault="005D4157" w:rsidP="009367B4">
      <w:pPr>
        <w:jc w:val="left"/>
        <w:rPr>
          <w:rFonts w:ascii="Arial" w:hAnsi="Arial" w:cs="Arial"/>
          <w:color w:val="auto"/>
          <w:sz w:val="24"/>
          <w:szCs w:val="24"/>
        </w:rPr>
      </w:pPr>
      <w:r w:rsidRPr="00237760">
        <w:rPr>
          <w:rFonts w:ascii="Arial" w:hAnsi="Arial" w:cs="Arial"/>
          <w:color w:val="auto"/>
          <w:sz w:val="24"/>
          <w:szCs w:val="24"/>
        </w:rPr>
        <w:t xml:space="preserve">Analiza wskaźników systemu monitorowania projektu PSRT WP, w kontekście skuteczności </w:t>
      </w:r>
      <w:r w:rsidR="00C605B2" w:rsidRPr="00237760">
        <w:rPr>
          <w:rFonts w:ascii="Arial" w:hAnsi="Arial" w:cs="Arial"/>
          <w:color w:val="auto"/>
          <w:sz w:val="24"/>
          <w:szCs w:val="24"/>
        </w:rPr>
        <w:br/>
      </w:r>
      <w:r w:rsidRPr="00237760">
        <w:rPr>
          <w:rFonts w:ascii="Arial" w:hAnsi="Arial" w:cs="Arial"/>
          <w:color w:val="auto"/>
          <w:sz w:val="24"/>
          <w:szCs w:val="24"/>
        </w:rPr>
        <w:t>i efektywności rejestracji i oceny efektów jego realizacji</w:t>
      </w:r>
      <w:r w:rsidR="00207411" w:rsidRPr="00237760">
        <w:rPr>
          <w:rFonts w:ascii="Arial" w:hAnsi="Arial" w:cs="Arial"/>
          <w:color w:val="auto"/>
          <w:sz w:val="24"/>
          <w:szCs w:val="24"/>
        </w:rPr>
        <w:t>,</w:t>
      </w:r>
      <w:r w:rsidRPr="00237760">
        <w:rPr>
          <w:rFonts w:ascii="Arial" w:hAnsi="Arial" w:cs="Arial"/>
          <w:color w:val="auto"/>
          <w:sz w:val="24"/>
          <w:szCs w:val="24"/>
        </w:rPr>
        <w:t xml:space="preserve"> została dokonana w następujących obszarach</w:t>
      </w:r>
      <w:r w:rsidR="0006619A" w:rsidRPr="00237760">
        <w:rPr>
          <w:rFonts w:ascii="Arial" w:hAnsi="Arial" w:cs="Arial"/>
          <w:color w:val="auto"/>
          <w:sz w:val="24"/>
          <w:szCs w:val="24"/>
        </w:rPr>
        <w:t xml:space="preserve"> (</w:t>
      </w:r>
      <w:r w:rsidR="00535E71" w:rsidRPr="00237760">
        <w:rPr>
          <w:rFonts w:ascii="Arial" w:hAnsi="Arial" w:cs="Arial"/>
          <w:color w:val="auto"/>
          <w:sz w:val="24"/>
          <w:szCs w:val="24"/>
        </w:rPr>
        <w:fldChar w:fldCharType="begin"/>
      </w:r>
      <w:r w:rsidR="00535E71" w:rsidRPr="00237760">
        <w:rPr>
          <w:rFonts w:ascii="Arial" w:hAnsi="Arial" w:cs="Arial"/>
          <w:color w:val="auto"/>
          <w:sz w:val="24"/>
          <w:szCs w:val="24"/>
        </w:rPr>
        <w:instrText xml:space="preserve"> REF _Ref98947334 \h </w:instrText>
      </w:r>
      <w:r w:rsidR="00237760" w:rsidRPr="00237760">
        <w:rPr>
          <w:rFonts w:ascii="Arial" w:hAnsi="Arial" w:cs="Arial"/>
          <w:color w:val="auto"/>
          <w:sz w:val="24"/>
          <w:szCs w:val="24"/>
        </w:rPr>
        <w:instrText xml:space="preserve"> \* MERGEFORMAT </w:instrText>
      </w:r>
      <w:r w:rsidR="00535E71" w:rsidRPr="00237760">
        <w:rPr>
          <w:rFonts w:ascii="Arial" w:hAnsi="Arial" w:cs="Arial"/>
          <w:color w:val="auto"/>
          <w:sz w:val="24"/>
          <w:szCs w:val="24"/>
        </w:rPr>
      </w:r>
      <w:r w:rsidR="00535E71" w:rsidRPr="00237760">
        <w:rPr>
          <w:rFonts w:ascii="Arial" w:hAnsi="Arial" w:cs="Arial"/>
          <w:color w:val="auto"/>
          <w:sz w:val="24"/>
          <w:szCs w:val="24"/>
        </w:rPr>
        <w:fldChar w:fldCharType="separate"/>
      </w:r>
      <w:r w:rsidR="00E52C19" w:rsidRPr="00237760">
        <w:rPr>
          <w:rFonts w:ascii="Arial" w:hAnsi="Arial" w:cs="Arial"/>
          <w:color w:val="auto"/>
          <w:sz w:val="24"/>
          <w:szCs w:val="24"/>
        </w:rPr>
        <w:t xml:space="preserve">Tabela </w:t>
      </w:r>
      <w:r w:rsidR="00E52C19" w:rsidRPr="00237760">
        <w:rPr>
          <w:rFonts w:ascii="Arial" w:hAnsi="Arial" w:cs="Arial"/>
          <w:noProof/>
          <w:color w:val="auto"/>
          <w:sz w:val="24"/>
          <w:szCs w:val="24"/>
        </w:rPr>
        <w:t>16</w:t>
      </w:r>
      <w:r w:rsidR="00535E71" w:rsidRPr="00237760">
        <w:rPr>
          <w:rFonts w:ascii="Arial" w:hAnsi="Arial" w:cs="Arial"/>
          <w:color w:val="auto"/>
          <w:sz w:val="24"/>
          <w:szCs w:val="24"/>
        </w:rPr>
        <w:fldChar w:fldCharType="end"/>
      </w:r>
      <w:r w:rsidR="0006619A" w:rsidRPr="00237760">
        <w:rPr>
          <w:rFonts w:ascii="Arial" w:hAnsi="Arial" w:cs="Arial"/>
          <w:color w:val="auto"/>
          <w:sz w:val="24"/>
          <w:szCs w:val="24"/>
        </w:rPr>
        <w:t>)</w:t>
      </w:r>
      <w:r w:rsidRPr="00237760">
        <w:rPr>
          <w:rFonts w:ascii="Arial" w:hAnsi="Arial" w:cs="Arial"/>
          <w:color w:val="auto"/>
          <w:sz w:val="24"/>
          <w:szCs w:val="24"/>
        </w:rPr>
        <w:t>:</w:t>
      </w:r>
    </w:p>
    <w:p w14:paraId="3C3D5A9A" w14:textId="3BF8CF05" w:rsidR="00207411" w:rsidRPr="00237760" w:rsidRDefault="00207411" w:rsidP="009367B4">
      <w:pPr>
        <w:pStyle w:val="Akapitzlist"/>
        <w:numPr>
          <w:ilvl w:val="0"/>
          <w:numId w:val="31"/>
        </w:numPr>
        <w:ind w:left="426"/>
        <w:jc w:val="left"/>
        <w:rPr>
          <w:rFonts w:ascii="Arial" w:hAnsi="Arial" w:cs="Arial"/>
          <w:color w:val="auto"/>
          <w:sz w:val="24"/>
          <w:szCs w:val="24"/>
        </w:rPr>
      </w:pPr>
      <w:r w:rsidRPr="00237760">
        <w:rPr>
          <w:rFonts w:ascii="Arial" w:hAnsi="Arial" w:cs="Arial"/>
          <w:b/>
          <w:color w:val="auto"/>
          <w:sz w:val="24"/>
          <w:szCs w:val="24"/>
        </w:rPr>
        <w:t>weryfikacji wartości docelowej</w:t>
      </w:r>
      <w:r w:rsidRPr="00237760">
        <w:rPr>
          <w:rFonts w:ascii="Arial" w:hAnsi="Arial" w:cs="Arial"/>
          <w:color w:val="auto"/>
          <w:sz w:val="24"/>
          <w:szCs w:val="24"/>
        </w:rPr>
        <w:t xml:space="preserve"> wskaźników w 2030 roku – ta część analizy została wykonana dla ogólnodostępnych danych statystycznych pochodzących z </w:t>
      </w:r>
      <w:r w:rsidRPr="00237760">
        <w:rPr>
          <w:rFonts w:ascii="Arial" w:hAnsi="Arial" w:cs="Arial"/>
          <w:color w:val="auto"/>
          <w:sz w:val="24"/>
          <w:szCs w:val="24"/>
        </w:rPr>
        <w:lastRenderedPageBreak/>
        <w:t>zasobów GUS</w:t>
      </w:r>
      <w:r w:rsidR="00CF347F" w:rsidRPr="00237760">
        <w:rPr>
          <w:rFonts w:ascii="Arial" w:hAnsi="Arial" w:cs="Arial"/>
          <w:color w:val="auto"/>
          <w:sz w:val="24"/>
          <w:szCs w:val="24"/>
        </w:rPr>
        <w:t xml:space="preserve">, poprzez analizę trendów </w:t>
      </w:r>
      <w:r w:rsidR="00F73537" w:rsidRPr="00237760">
        <w:rPr>
          <w:rFonts w:ascii="Arial" w:hAnsi="Arial" w:cs="Arial"/>
          <w:color w:val="auto"/>
          <w:sz w:val="24"/>
          <w:szCs w:val="24"/>
        </w:rPr>
        <w:t xml:space="preserve">(Wykresy </w:t>
      </w:r>
      <w:r w:rsidR="009F740E" w:rsidRPr="00237760">
        <w:rPr>
          <w:rFonts w:ascii="Arial" w:hAnsi="Arial" w:cs="Arial"/>
          <w:color w:val="auto"/>
          <w:sz w:val="24"/>
          <w:szCs w:val="24"/>
        </w:rPr>
        <w:t>3-17</w:t>
      </w:r>
      <w:r w:rsidR="00F73537" w:rsidRPr="00237760">
        <w:rPr>
          <w:rFonts w:ascii="Arial" w:hAnsi="Arial" w:cs="Arial"/>
          <w:color w:val="auto"/>
          <w:sz w:val="24"/>
          <w:szCs w:val="24"/>
        </w:rPr>
        <w:t xml:space="preserve"> w załączniku)</w:t>
      </w:r>
      <w:r w:rsidR="00CF347F" w:rsidRPr="00237760">
        <w:rPr>
          <w:rFonts w:ascii="Arial" w:hAnsi="Arial" w:cs="Arial"/>
          <w:color w:val="auto"/>
          <w:sz w:val="24"/>
          <w:szCs w:val="24"/>
        </w:rPr>
        <w:t xml:space="preserve"> </w:t>
      </w:r>
      <w:r w:rsidR="00CF4D0B" w:rsidRPr="00237760">
        <w:rPr>
          <w:rFonts w:ascii="Arial" w:hAnsi="Arial" w:cs="Arial"/>
          <w:color w:val="auto"/>
          <w:sz w:val="24"/>
          <w:szCs w:val="24"/>
        </w:rPr>
        <w:t xml:space="preserve">i </w:t>
      </w:r>
      <w:r w:rsidR="00CF347F" w:rsidRPr="00237760">
        <w:rPr>
          <w:rFonts w:ascii="Arial" w:hAnsi="Arial" w:cs="Arial"/>
          <w:color w:val="auto"/>
          <w:sz w:val="24"/>
          <w:szCs w:val="24"/>
        </w:rPr>
        <w:t>przy uwzględnieniu specyfiki wskaźników</w:t>
      </w:r>
      <w:r w:rsidR="0008326C" w:rsidRPr="00237760">
        <w:rPr>
          <w:rStyle w:val="Odwoanieprzypisudolnego"/>
          <w:rFonts w:ascii="Arial" w:hAnsi="Arial" w:cs="Arial"/>
          <w:color w:val="auto"/>
          <w:sz w:val="24"/>
          <w:szCs w:val="24"/>
        </w:rPr>
        <w:footnoteReference w:id="22"/>
      </w:r>
      <w:r w:rsidR="00CF347F" w:rsidRPr="00237760">
        <w:rPr>
          <w:rFonts w:ascii="Arial" w:hAnsi="Arial" w:cs="Arial"/>
          <w:color w:val="auto"/>
          <w:sz w:val="24"/>
          <w:szCs w:val="24"/>
        </w:rPr>
        <w:t>;</w:t>
      </w:r>
    </w:p>
    <w:p w14:paraId="7B605CFE" w14:textId="112AB0FE" w:rsidR="00CF347F" w:rsidRPr="00237760" w:rsidRDefault="00CF4D0B" w:rsidP="009367B4">
      <w:pPr>
        <w:pStyle w:val="Akapitzlist"/>
        <w:numPr>
          <w:ilvl w:val="0"/>
          <w:numId w:val="31"/>
        </w:numPr>
        <w:ind w:left="426"/>
        <w:jc w:val="left"/>
        <w:rPr>
          <w:rFonts w:ascii="Arial" w:hAnsi="Arial" w:cs="Arial"/>
          <w:color w:val="auto"/>
          <w:sz w:val="24"/>
          <w:szCs w:val="24"/>
        </w:rPr>
      </w:pPr>
      <w:r w:rsidRPr="00237760">
        <w:rPr>
          <w:rFonts w:ascii="Arial" w:hAnsi="Arial" w:cs="Arial"/>
          <w:b/>
          <w:color w:val="auto"/>
          <w:sz w:val="24"/>
          <w:szCs w:val="24"/>
        </w:rPr>
        <w:t>dostępności danych na poziomie lokalnym</w:t>
      </w:r>
      <w:r w:rsidRPr="00237760">
        <w:rPr>
          <w:rFonts w:ascii="Arial" w:hAnsi="Arial" w:cs="Arial"/>
          <w:color w:val="auto"/>
          <w:sz w:val="24"/>
          <w:szCs w:val="24"/>
        </w:rPr>
        <w:t xml:space="preserve"> – w znacznym stopniu ta część również została wykonana dla ogólnodostępnych danych statystycznych</w:t>
      </w:r>
      <w:r w:rsidR="00EE5CEB" w:rsidRPr="00237760">
        <w:rPr>
          <w:rFonts w:ascii="Arial" w:hAnsi="Arial" w:cs="Arial"/>
          <w:color w:val="auto"/>
          <w:sz w:val="24"/>
          <w:szCs w:val="24"/>
        </w:rPr>
        <w:t xml:space="preserve"> poprzez </w:t>
      </w:r>
      <w:r w:rsidR="0012288A" w:rsidRPr="00237760">
        <w:rPr>
          <w:rFonts w:ascii="Arial" w:hAnsi="Arial" w:cs="Arial"/>
          <w:color w:val="auto"/>
          <w:sz w:val="24"/>
          <w:szCs w:val="24"/>
        </w:rPr>
        <w:t>weryfikację poszczególnych</w:t>
      </w:r>
      <w:r w:rsidR="00EE5CEB" w:rsidRPr="00237760">
        <w:rPr>
          <w:rFonts w:ascii="Arial" w:hAnsi="Arial" w:cs="Arial"/>
          <w:color w:val="auto"/>
          <w:sz w:val="24"/>
          <w:szCs w:val="24"/>
        </w:rPr>
        <w:t xml:space="preserve"> poziomów terytorialnych</w:t>
      </w:r>
      <w:r w:rsidRPr="00237760">
        <w:rPr>
          <w:rFonts w:ascii="Arial" w:hAnsi="Arial" w:cs="Arial"/>
          <w:color w:val="auto"/>
          <w:sz w:val="24"/>
          <w:szCs w:val="24"/>
        </w:rPr>
        <w:t>;</w:t>
      </w:r>
    </w:p>
    <w:p w14:paraId="098533A8" w14:textId="76F7F2D8" w:rsidR="00CF4D0B" w:rsidRPr="00237760" w:rsidRDefault="00F61E10" w:rsidP="009367B4">
      <w:pPr>
        <w:pStyle w:val="Akapitzlist"/>
        <w:numPr>
          <w:ilvl w:val="0"/>
          <w:numId w:val="31"/>
        </w:numPr>
        <w:ind w:left="426"/>
        <w:jc w:val="left"/>
        <w:rPr>
          <w:rFonts w:ascii="Arial" w:hAnsi="Arial" w:cs="Arial"/>
          <w:color w:val="auto"/>
          <w:sz w:val="24"/>
          <w:szCs w:val="24"/>
        </w:rPr>
      </w:pPr>
      <w:r w:rsidRPr="00237760">
        <w:rPr>
          <w:rFonts w:ascii="Arial" w:hAnsi="Arial" w:cs="Arial"/>
          <w:b/>
          <w:color w:val="auto"/>
          <w:sz w:val="24"/>
          <w:szCs w:val="24"/>
        </w:rPr>
        <w:t>innych cech wybranych wskaźników</w:t>
      </w:r>
      <w:r w:rsidRPr="00237760">
        <w:rPr>
          <w:rFonts w:ascii="Arial" w:hAnsi="Arial" w:cs="Arial"/>
          <w:color w:val="auto"/>
          <w:sz w:val="24"/>
          <w:szCs w:val="24"/>
        </w:rPr>
        <w:t xml:space="preserve"> mogących mieć wpływ na skuteczność i efektywność systemu monitorowania</w:t>
      </w:r>
      <w:r w:rsidR="00AD2530" w:rsidRPr="00237760">
        <w:rPr>
          <w:rFonts w:ascii="Arial" w:hAnsi="Arial" w:cs="Arial"/>
          <w:color w:val="auto"/>
          <w:sz w:val="24"/>
          <w:szCs w:val="24"/>
        </w:rPr>
        <w:t>, w tym przebieg dotychczasowego trendu wskaźnika</w:t>
      </w:r>
      <w:r w:rsidRPr="00237760">
        <w:rPr>
          <w:rFonts w:ascii="Arial" w:hAnsi="Arial" w:cs="Arial"/>
          <w:color w:val="auto"/>
          <w:sz w:val="24"/>
          <w:szCs w:val="24"/>
        </w:rPr>
        <w:t>;</w:t>
      </w:r>
    </w:p>
    <w:p w14:paraId="60CA643E" w14:textId="769CD1C5" w:rsidR="00F61E10" w:rsidRPr="00237760" w:rsidRDefault="00F61E10" w:rsidP="009367B4">
      <w:pPr>
        <w:pStyle w:val="Akapitzlist"/>
        <w:numPr>
          <w:ilvl w:val="0"/>
          <w:numId w:val="31"/>
        </w:numPr>
        <w:ind w:left="426"/>
        <w:jc w:val="left"/>
        <w:rPr>
          <w:rFonts w:ascii="Arial" w:hAnsi="Arial" w:cs="Arial"/>
          <w:color w:val="auto"/>
          <w:sz w:val="24"/>
          <w:szCs w:val="24"/>
        </w:rPr>
      </w:pPr>
      <w:r w:rsidRPr="00237760">
        <w:rPr>
          <w:rFonts w:ascii="Arial" w:hAnsi="Arial" w:cs="Arial"/>
          <w:b/>
          <w:color w:val="auto"/>
          <w:sz w:val="24"/>
          <w:szCs w:val="24"/>
        </w:rPr>
        <w:t>innych dostępnych źródeł</w:t>
      </w:r>
      <w:r w:rsidRPr="00237760">
        <w:rPr>
          <w:rFonts w:ascii="Arial" w:hAnsi="Arial" w:cs="Arial"/>
          <w:color w:val="auto"/>
          <w:sz w:val="24"/>
          <w:szCs w:val="24"/>
        </w:rPr>
        <w:t xml:space="preserve"> mogących stanowić uzupełnienie dla </w:t>
      </w:r>
      <w:r w:rsidR="0006619A" w:rsidRPr="00237760">
        <w:rPr>
          <w:rFonts w:ascii="Arial" w:hAnsi="Arial" w:cs="Arial"/>
          <w:color w:val="auto"/>
          <w:sz w:val="24"/>
          <w:szCs w:val="24"/>
        </w:rPr>
        <w:t>obecnie przyjętego systemu monitorowania programu.</w:t>
      </w:r>
    </w:p>
    <w:p w14:paraId="672D2A5F" w14:textId="1DBC5518" w:rsidR="00D67A2C" w:rsidRPr="00237760" w:rsidRDefault="00D67A2C" w:rsidP="009367B4">
      <w:pPr>
        <w:jc w:val="left"/>
        <w:rPr>
          <w:rFonts w:ascii="Arial" w:hAnsi="Arial" w:cs="Arial"/>
          <w:color w:val="auto"/>
          <w:sz w:val="24"/>
          <w:szCs w:val="24"/>
        </w:rPr>
      </w:pPr>
      <w:r w:rsidRPr="00237760">
        <w:rPr>
          <w:rFonts w:ascii="Arial" w:hAnsi="Arial" w:cs="Arial"/>
          <w:color w:val="auto"/>
          <w:sz w:val="24"/>
          <w:szCs w:val="24"/>
        </w:rPr>
        <w:t>Generalnie w wyniku przeprowadzonej analizy należy stwierdzić, że obecny system monitorowania programu umożliwia skuteczną i efektywną ocenę jego realizacji, ale można wyciągnąć w tym zakresie kilka wniosków szczegółowych:</w:t>
      </w:r>
    </w:p>
    <w:p w14:paraId="00537BAD" w14:textId="226700B6" w:rsidR="00D67A2C" w:rsidRPr="00237760" w:rsidRDefault="00D67A2C" w:rsidP="009367B4">
      <w:pPr>
        <w:pStyle w:val="Akapitzlist"/>
        <w:numPr>
          <w:ilvl w:val="0"/>
          <w:numId w:val="32"/>
        </w:numPr>
        <w:ind w:left="426"/>
        <w:jc w:val="left"/>
        <w:rPr>
          <w:rFonts w:ascii="Arial" w:hAnsi="Arial" w:cs="Arial"/>
          <w:color w:val="auto"/>
          <w:sz w:val="24"/>
          <w:szCs w:val="24"/>
        </w:rPr>
      </w:pPr>
      <w:r w:rsidRPr="00237760">
        <w:rPr>
          <w:rFonts w:ascii="Arial" w:hAnsi="Arial" w:cs="Arial"/>
          <w:color w:val="auto"/>
          <w:sz w:val="24"/>
          <w:szCs w:val="24"/>
        </w:rPr>
        <w:t>istnie</w:t>
      </w:r>
      <w:r w:rsidR="000D34C8" w:rsidRPr="00237760">
        <w:rPr>
          <w:rFonts w:ascii="Arial" w:hAnsi="Arial" w:cs="Arial"/>
          <w:color w:val="auto"/>
          <w:sz w:val="24"/>
          <w:szCs w:val="24"/>
        </w:rPr>
        <w:t>je potrzeba doprecyzowania nazw/</w:t>
      </w:r>
      <w:r w:rsidRPr="00237760">
        <w:rPr>
          <w:rFonts w:ascii="Arial" w:hAnsi="Arial" w:cs="Arial"/>
          <w:color w:val="auto"/>
          <w:sz w:val="24"/>
          <w:szCs w:val="24"/>
        </w:rPr>
        <w:t>wskazania zakresu niektórych wskaźników monitorowania, które w obecnej formie nie precyzują dokładnie, co zostanie objęte pomiarem;</w:t>
      </w:r>
    </w:p>
    <w:p w14:paraId="053020CD" w14:textId="7817A6A1" w:rsidR="000D34C8" w:rsidRPr="00237760" w:rsidRDefault="000D34C8" w:rsidP="009367B4">
      <w:pPr>
        <w:pStyle w:val="Akapitzlist"/>
        <w:numPr>
          <w:ilvl w:val="0"/>
          <w:numId w:val="32"/>
        </w:numPr>
        <w:ind w:left="426"/>
        <w:jc w:val="left"/>
        <w:rPr>
          <w:rFonts w:ascii="Arial" w:hAnsi="Arial" w:cs="Arial"/>
          <w:color w:val="auto"/>
          <w:sz w:val="24"/>
          <w:szCs w:val="24"/>
        </w:rPr>
      </w:pPr>
      <w:r w:rsidRPr="00237760">
        <w:rPr>
          <w:rFonts w:ascii="Arial" w:hAnsi="Arial" w:cs="Arial"/>
          <w:color w:val="auto"/>
          <w:sz w:val="24"/>
          <w:szCs w:val="24"/>
        </w:rPr>
        <w:t>system monitorowania praktycznie wyczerpuje możliwości pozyskiwania danych z zakresu funkcjonowania systemów transportowych</w:t>
      </w:r>
      <w:r w:rsidR="00BF6784" w:rsidRPr="00237760">
        <w:rPr>
          <w:rFonts w:ascii="Arial" w:hAnsi="Arial" w:cs="Arial"/>
          <w:color w:val="auto"/>
          <w:sz w:val="24"/>
          <w:szCs w:val="24"/>
        </w:rPr>
        <w:t>;</w:t>
      </w:r>
    </w:p>
    <w:p w14:paraId="285B525D" w14:textId="31A08F60" w:rsidR="000D34C8" w:rsidRPr="00237760" w:rsidRDefault="00D63B57" w:rsidP="009367B4">
      <w:pPr>
        <w:pStyle w:val="Akapitzlist"/>
        <w:numPr>
          <w:ilvl w:val="0"/>
          <w:numId w:val="32"/>
        </w:numPr>
        <w:ind w:left="426"/>
        <w:jc w:val="left"/>
        <w:rPr>
          <w:rFonts w:ascii="Arial" w:hAnsi="Arial" w:cs="Arial"/>
          <w:color w:val="auto"/>
          <w:sz w:val="24"/>
          <w:szCs w:val="24"/>
        </w:rPr>
      </w:pPr>
      <w:r w:rsidRPr="00237760">
        <w:rPr>
          <w:rFonts w:ascii="Arial" w:hAnsi="Arial" w:cs="Arial"/>
          <w:color w:val="auto"/>
          <w:sz w:val="24"/>
          <w:szCs w:val="24"/>
        </w:rPr>
        <w:t>można rozważyć uzupełnienie danych statystycznych o badania społeczne, które uwzględniłyby wymiar jakościowy funkcjonowania systemów komunikacyjnych i transportowych w województwie;</w:t>
      </w:r>
    </w:p>
    <w:p w14:paraId="6259FA05" w14:textId="5CC08348" w:rsidR="00D63B57" w:rsidRPr="00237760" w:rsidRDefault="00D63B57" w:rsidP="009367B4">
      <w:pPr>
        <w:pStyle w:val="Akapitzlist"/>
        <w:numPr>
          <w:ilvl w:val="0"/>
          <w:numId w:val="32"/>
        </w:numPr>
        <w:ind w:left="426"/>
        <w:jc w:val="left"/>
        <w:rPr>
          <w:rFonts w:ascii="Arial" w:hAnsi="Arial" w:cs="Arial"/>
          <w:color w:val="auto"/>
          <w:sz w:val="24"/>
          <w:szCs w:val="24"/>
        </w:rPr>
      </w:pPr>
      <w:r w:rsidRPr="00237760">
        <w:rPr>
          <w:rFonts w:ascii="Arial" w:hAnsi="Arial" w:cs="Arial"/>
          <w:color w:val="auto"/>
          <w:sz w:val="24"/>
          <w:szCs w:val="24"/>
        </w:rPr>
        <w:t xml:space="preserve">problemem statystyki publicznej w zakresie danych transportowych jest generalnie niewielki zakres danych zbieranych na poziomie lokalnym – w systemie monitorowania programu ten problem został zniwelowany poprzez wykorzystanie innych źródeł i danych zamawianych monitorujących </w:t>
      </w:r>
      <w:r w:rsidR="005D0AD4" w:rsidRPr="00237760">
        <w:rPr>
          <w:rFonts w:ascii="Arial" w:hAnsi="Arial" w:cs="Arial"/>
          <w:color w:val="auto"/>
          <w:sz w:val="24"/>
          <w:szCs w:val="24"/>
        </w:rPr>
        <w:t>sytuację na poz</w:t>
      </w:r>
      <w:r w:rsidR="00C936FE" w:rsidRPr="00237760">
        <w:rPr>
          <w:rFonts w:ascii="Arial" w:hAnsi="Arial" w:cs="Arial"/>
          <w:color w:val="auto"/>
          <w:sz w:val="24"/>
          <w:szCs w:val="24"/>
        </w:rPr>
        <w:t>iomie konkretnych miast czy MOF;</w:t>
      </w:r>
    </w:p>
    <w:p w14:paraId="7DC72AC3" w14:textId="44B04B48" w:rsidR="00FB20A6" w:rsidRDefault="00C936FE" w:rsidP="009367B4">
      <w:pPr>
        <w:pStyle w:val="Akapitzlist"/>
        <w:numPr>
          <w:ilvl w:val="0"/>
          <w:numId w:val="32"/>
        </w:numPr>
        <w:ind w:left="426"/>
        <w:jc w:val="left"/>
        <w:rPr>
          <w:rFonts w:ascii="Arial" w:hAnsi="Arial" w:cs="Arial"/>
          <w:color w:val="auto"/>
          <w:sz w:val="24"/>
          <w:szCs w:val="24"/>
        </w:rPr>
      </w:pPr>
      <w:r w:rsidRPr="00237760">
        <w:rPr>
          <w:rFonts w:ascii="Arial" w:hAnsi="Arial" w:cs="Arial"/>
          <w:color w:val="auto"/>
          <w:sz w:val="24"/>
          <w:szCs w:val="24"/>
        </w:rPr>
        <w:t xml:space="preserve">system umożliwia zatem pomiar realizacji Programu na poziomie lokalnym w odniesieniu do poszczególnych JST regionu, choć </w:t>
      </w:r>
      <w:r w:rsidR="00002F8C" w:rsidRPr="00237760">
        <w:rPr>
          <w:rFonts w:ascii="Arial" w:hAnsi="Arial" w:cs="Arial"/>
          <w:color w:val="auto"/>
          <w:sz w:val="24"/>
          <w:szCs w:val="24"/>
        </w:rPr>
        <w:t xml:space="preserve">jednoznaczną ocenę uniemożliwia brak precyzyjnego </w:t>
      </w:r>
      <w:bookmarkStart w:id="127" w:name="_Hlk101345043"/>
      <w:r w:rsidR="00002F8C" w:rsidRPr="00237760">
        <w:rPr>
          <w:rFonts w:ascii="Arial" w:hAnsi="Arial" w:cs="Arial"/>
          <w:color w:val="auto"/>
          <w:sz w:val="24"/>
          <w:szCs w:val="24"/>
        </w:rPr>
        <w:t>wskazania zakresu pomiaru</w:t>
      </w:r>
      <w:r w:rsidRPr="00237760">
        <w:rPr>
          <w:rFonts w:ascii="Arial" w:hAnsi="Arial" w:cs="Arial"/>
          <w:color w:val="auto"/>
          <w:sz w:val="24"/>
          <w:szCs w:val="24"/>
        </w:rPr>
        <w:t>.</w:t>
      </w:r>
    </w:p>
    <w:p w14:paraId="46AF0DC6" w14:textId="7B031F43" w:rsidR="00C936FE" w:rsidRPr="00FB20A6" w:rsidRDefault="00FB20A6" w:rsidP="00FB20A6">
      <w:pPr>
        <w:spacing w:after="160" w:line="259" w:lineRule="auto"/>
        <w:jc w:val="left"/>
        <w:rPr>
          <w:rFonts w:ascii="Arial" w:eastAsia="Times New Roman" w:hAnsi="Arial" w:cs="Arial"/>
          <w:color w:val="auto"/>
          <w:sz w:val="24"/>
          <w:szCs w:val="24"/>
          <w:lang w:eastAsia="pl-PL"/>
        </w:rPr>
      </w:pPr>
      <w:r>
        <w:rPr>
          <w:rFonts w:ascii="Arial" w:hAnsi="Arial" w:cs="Arial"/>
          <w:color w:val="auto"/>
          <w:sz w:val="24"/>
          <w:szCs w:val="24"/>
        </w:rPr>
        <w:br w:type="page"/>
      </w:r>
    </w:p>
    <w:p w14:paraId="72BB311C" w14:textId="5B47CF61" w:rsidR="006A2CBF" w:rsidRPr="00237760" w:rsidRDefault="006A2CBF" w:rsidP="009367B4">
      <w:pPr>
        <w:pStyle w:val="Legenda"/>
        <w:jc w:val="left"/>
        <w:rPr>
          <w:rFonts w:ascii="Arial" w:hAnsi="Arial" w:cs="Arial"/>
          <w:color w:val="auto"/>
          <w:sz w:val="24"/>
          <w:szCs w:val="24"/>
        </w:rPr>
      </w:pPr>
      <w:bookmarkStart w:id="128" w:name="_Ref98947334"/>
      <w:bookmarkStart w:id="129" w:name="_Toc101904257"/>
      <w:r w:rsidRPr="00237760">
        <w:rPr>
          <w:rFonts w:ascii="Arial" w:hAnsi="Arial" w:cs="Arial"/>
          <w:color w:val="auto"/>
          <w:sz w:val="24"/>
          <w:szCs w:val="24"/>
        </w:rPr>
        <w:lastRenderedPageBreak/>
        <w:t xml:space="preserve">Tabela </w:t>
      </w:r>
      <w:r w:rsidR="00C91435" w:rsidRPr="00237760">
        <w:rPr>
          <w:rFonts w:ascii="Arial" w:hAnsi="Arial" w:cs="Arial"/>
          <w:noProof/>
          <w:color w:val="auto"/>
          <w:sz w:val="24"/>
          <w:szCs w:val="24"/>
        </w:rPr>
        <w:fldChar w:fldCharType="begin"/>
      </w:r>
      <w:r w:rsidR="00C91435" w:rsidRPr="00237760">
        <w:rPr>
          <w:rFonts w:ascii="Arial" w:hAnsi="Arial" w:cs="Arial"/>
          <w:noProof/>
          <w:color w:val="auto"/>
          <w:sz w:val="24"/>
          <w:szCs w:val="24"/>
        </w:rPr>
        <w:instrText xml:space="preserve"> SEQ Tabela \* ARABIC </w:instrText>
      </w:r>
      <w:r w:rsidR="00C91435" w:rsidRPr="00237760">
        <w:rPr>
          <w:rFonts w:ascii="Arial" w:hAnsi="Arial" w:cs="Arial"/>
          <w:noProof/>
          <w:color w:val="auto"/>
          <w:sz w:val="24"/>
          <w:szCs w:val="24"/>
        </w:rPr>
        <w:fldChar w:fldCharType="separate"/>
      </w:r>
      <w:r w:rsidR="00762B20" w:rsidRPr="00237760">
        <w:rPr>
          <w:rFonts w:ascii="Arial" w:hAnsi="Arial" w:cs="Arial"/>
          <w:noProof/>
          <w:color w:val="auto"/>
          <w:sz w:val="24"/>
          <w:szCs w:val="24"/>
        </w:rPr>
        <w:t>16</w:t>
      </w:r>
      <w:r w:rsidR="00C91435" w:rsidRPr="00237760">
        <w:rPr>
          <w:rFonts w:ascii="Arial" w:hAnsi="Arial" w:cs="Arial"/>
          <w:noProof/>
          <w:color w:val="auto"/>
          <w:sz w:val="24"/>
          <w:szCs w:val="24"/>
        </w:rPr>
        <w:fldChar w:fldCharType="end"/>
      </w:r>
      <w:bookmarkEnd w:id="128"/>
      <w:r w:rsidRPr="00237760">
        <w:rPr>
          <w:rFonts w:ascii="Arial" w:hAnsi="Arial" w:cs="Arial"/>
          <w:color w:val="auto"/>
          <w:sz w:val="24"/>
          <w:szCs w:val="24"/>
        </w:rPr>
        <w:t>. Analiza wskaźników monitorowania projektu PSRT</w:t>
      </w:r>
      <w:r w:rsidR="002F75F4" w:rsidRPr="00237760">
        <w:rPr>
          <w:rFonts w:ascii="Arial" w:hAnsi="Arial" w:cs="Arial"/>
          <w:color w:val="auto"/>
          <w:sz w:val="24"/>
          <w:szCs w:val="24"/>
        </w:rPr>
        <w:t xml:space="preserve"> </w:t>
      </w:r>
      <w:r w:rsidRPr="00237760">
        <w:rPr>
          <w:rFonts w:ascii="Arial" w:hAnsi="Arial" w:cs="Arial"/>
          <w:color w:val="auto"/>
          <w:sz w:val="24"/>
          <w:szCs w:val="24"/>
        </w:rPr>
        <w:t>WP</w:t>
      </w:r>
      <w:bookmarkEnd w:id="129"/>
    </w:p>
    <w:tbl>
      <w:tblPr>
        <w:tblStyle w:val="Tabela-Siatka"/>
        <w:tblW w:w="9219" w:type="dxa"/>
        <w:tblInd w:w="-5"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Look w:val="04A0" w:firstRow="1" w:lastRow="0" w:firstColumn="1" w:lastColumn="0" w:noHBand="0" w:noVBand="1"/>
        <w:tblCaption w:val="Tabela 16. Analiza wskaźników monitorowania projektu PSRT WP"/>
        <w:tblDescription w:val="Tabela zawiera Wskaźnik, Weryfikacja wartości docelowej, Poziom lokalny, Komentarz"/>
      </w:tblPr>
      <w:tblGrid>
        <w:gridCol w:w="2699"/>
        <w:gridCol w:w="1560"/>
        <w:gridCol w:w="1275"/>
        <w:gridCol w:w="3685"/>
      </w:tblGrid>
      <w:tr w:rsidR="00237760" w:rsidRPr="00237760" w14:paraId="205329ED" w14:textId="760CC087" w:rsidTr="00F077C6">
        <w:trPr>
          <w:trHeight w:val="111"/>
          <w:tblHeader/>
        </w:trPr>
        <w:tc>
          <w:tcPr>
            <w:tcW w:w="2699" w:type="dxa"/>
            <w:tcBorders>
              <w:top w:val="single" w:sz="12" w:space="0" w:color="002060"/>
              <w:left w:val="nil"/>
              <w:bottom w:val="single" w:sz="4" w:space="0" w:color="BDD6EE" w:themeColor="accent1" w:themeTint="66"/>
              <w:right w:val="nil"/>
            </w:tcBorders>
            <w:shd w:val="clear" w:color="auto" w:fill="auto"/>
            <w:vAlign w:val="center"/>
          </w:tcPr>
          <w:p w14:paraId="1BB936B2" w14:textId="530B3CC7" w:rsidR="002F3EB5" w:rsidRPr="00237760" w:rsidRDefault="002F3EB5" w:rsidP="009367B4">
            <w:pPr>
              <w:spacing w:after="0" w:line="240" w:lineRule="auto"/>
              <w:jc w:val="left"/>
              <w:rPr>
                <w:rFonts w:ascii="Arial" w:eastAsiaTheme="minorHAnsi" w:hAnsi="Arial" w:cs="Arial"/>
                <w:b/>
                <w:color w:val="auto"/>
                <w:sz w:val="24"/>
                <w:szCs w:val="24"/>
              </w:rPr>
            </w:pPr>
            <w:r w:rsidRPr="00237760">
              <w:rPr>
                <w:rFonts w:ascii="Arial" w:eastAsiaTheme="minorHAnsi" w:hAnsi="Arial" w:cs="Arial"/>
                <w:b/>
                <w:color w:val="auto"/>
                <w:sz w:val="24"/>
                <w:szCs w:val="24"/>
              </w:rPr>
              <w:t>Wskaźnik</w:t>
            </w:r>
          </w:p>
        </w:tc>
        <w:tc>
          <w:tcPr>
            <w:tcW w:w="1560" w:type="dxa"/>
            <w:tcBorders>
              <w:top w:val="single" w:sz="12" w:space="0" w:color="002060"/>
              <w:left w:val="nil"/>
              <w:bottom w:val="single" w:sz="4" w:space="0" w:color="BDD6EE" w:themeColor="accent1" w:themeTint="66"/>
              <w:right w:val="nil"/>
            </w:tcBorders>
            <w:shd w:val="clear" w:color="auto" w:fill="auto"/>
            <w:vAlign w:val="center"/>
          </w:tcPr>
          <w:p w14:paraId="2B741B97" w14:textId="1D0BA3F8" w:rsidR="002F3EB5" w:rsidRPr="00237760" w:rsidRDefault="002F3EB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Weryfikacja wartości docelowej</w:t>
            </w:r>
          </w:p>
        </w:tc>
        <w:tc>
          <w:tcPr>
            <w:tcW w:w="1275" w:type="dxa"/>
            <w:tcBorders>
              <w:top w:val="single" w:sz="12" w:space="0" w:color="002060"/>
              <w:left w:val="nil"/>
              <w:bottom w:val="single" w:sz="4" w:space="0" w:color="BDD6EE" w:themeColor="accent1" w:themeTint="66"/>
              <w:right w:val="nil"/>
            </w:tcBorders>
            <w:shd w:val="clear" w:color="auto" w:fill="auto"/>
            <w:vAlign w:val="center"/>
          </w:tcPr>
          <w:p w14:paraId="16CE9105" w14:textId="331D7062" w:rsidR="002F3EB5" w:rsidRPr="00237760" w:rsidRDefault="002F3EB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Poziom lokalny</w:t>
            </w:r>
          </w:p>
        </w:tc>
        <w:tc>
          <w:tcPr>
            <w:tcW w:w="3685" w:type="dxa"/>
            <w:tcBorders>
              <w:top w:val="single" w:sz="12" w:space="0" w:color="002060"/>
              <w:left w:val="nil"/>
              <w:bottom w:val="single" w:sz="4" w:space="0" w:color="BDD6EE" w:themeColor="accent1" w:themeTint="66"/>
              <w:right w:val="nil"/>
            </w:tcBorders>
            <w:shd w:val="clear" w:color="auto" w:fill="auto"/>
            <w:vAlign w:val="center"/>
          </w:tcPr>
          <w:p w14:paraId="6242FB65" w14:textId="2766604F" w:rsidR="002F3EB5" w:rsidRPr="00237760" w:rsidRDefault="002F3EB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Komentarz</w:t>
            </w:r>
          </w:p>
        </w:tc>
      </w:tr>
      <w:tr w:rsidR="00237760" w:rsidRPr="00237760" w14:paraId="54331676" w14:textId="6B63D99F" w:rsidTr="003D7F69">
        <w:trPr>
          <w:trHeight w:val="151"/>
        </w:trPr>
        <w:tc>
          <w:tcPr>
            <w:tcW w:w="2699"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317C3A2C" w14:textId="3E6FA42C"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Czas dojazdu do Warszawy, Krakowa, Lublina i Kielc w transporcie drogowym i kolejowym</w:t>
            </w:r>
          </w:p>
        </w:tc>
        <w:tc>
          <w:tcPr>
            <w:tcW w:w="15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4BD56290" w14:textId="4C5BE561"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 dotyczy</w:t>
            </w:r>
          </w:p>
        </w:tc>
        <w:tc>
          <w:tcPr>
            <w:tcW w:w="1275" w:type="dxa"/>
            <w:tcBorders>
              <w:top w:val="single" w:sz="4" w:space="0" w:color="BDD6EE" w:themeColor="accent1" w:themeTint="66"/>
              <w:left w:val="nil"/>
              <w:bottom w:val="single" w:sz="4" w:space="0" w:color="BDD6EE" w:themeColor="accent1" w:themeTint="66"/>
              <w:right w:val="nil"/>
            </w:tcBorders>
            <w:shd w:val="clear" w:color="auto" w:fill="DEEAF6" w:themeFill="accent1" w:themeFillTint="33"/>
            <w:vAlign w:val="center"/>
          </w:tcPr>
          <w:p w14:paraId="4162ECF4" w14:textId="6FF77B92" w:rsidR="002F3EB5" w:rsidRPr="00237760" w:rsidRDefault="00891036"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3685" w:type="dxa"/>
            <w:tcBorders>
              <w:top w:val="single" w:sz="4" w:space="0" w:color="BDD6EE" w:themeColor="accent1" w:themeTint="66"/>
              <w:left w:val="nil"/>
              <w:bottom w:val="single" w:sz="4" w:space="0" w:color="BDD6EE" w:themeColor="accent1" w:themeTint="66"/>
              <w:right w:val="nil"/>
            </w:tcBorders>
            <w:vAlign w:val="center"/>
          </w:tcPr>
          <w:p w14:paraId="70A08CF0" w14:textId="3C644FEB" w:rsidR="002F3EB5" w:rsidRPr="00237760" w:rsidRDefault="00BA2EE3" w:rsidP="009367B4">
            <w:pPr>
              <w:pStyle w:val="Akapitzlist"/>
              <w:numPr>
                <w:ilvl w:val="0"/>
                <w:numId w:val="33"/>
              </w:numPr>
              <w:spacing w:after="0" w:line="240" w:lineRule="auto"/>
              <w:ind w:left="176" w:hanging="218"/>
              <w:jc w:val="left"/>
              <w:rPr>
                <w:rFonts w:ascii="Arial" w:hAnsi="Arial" w:cs="Arial"/>
                <w:color w:val="auto"/>
                <w:sz w:val="24"/>
                <w:szCs w:val="24"/>
              </w:rPr>
            </w:pPr>
            <w:r w:rsidRPr="00237760">
              <w:rPr>
                <w:rFonts w:ascii="Arial" w:hAnsi="Arial" w:cs="Arial"/>
                <w:color w:val="auto"/>
                <w:sz w:val="24"/>
                <w:szCs w:val="24"/>
              </w:rPr>
              <w:t>nie zostało doprecyzowane w jaki sposób wyliczany będzie wskaźnik – czy dotyczy tylko Rzeszowa czy także innych miast w województwie?</w:t>
            </w:r>
          </w:p>
        </w:tc>
      </w:tr>
      <w:tr w:rsidR="00237760" w:rsidRPr="00237760" w14:paraId="5B9FB317" w14:textId="01B29E5B" w:rsidTr="003D7F69">
        <w:trPr>
          <w:trHeight w:val="151"/>
        </w:trPr>
        <w:tc>
          <w:tcPr>
            <w:tcW w:w="2699"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46F19923" w14:textId="691ACADE"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Wskaźnik dostępności potencjałowej (WMDT II, a w jego ramach WDDT II i WKDT II); wskaźniki obliczane w układzie</w:t>
            </w:r>
            <w:r w:rsidR="004459F6" w:rsidRPr="00237760">
              <w:rPr>
                <w:rFonts w:ascii="Arial" w:hAnsi="Arial" w:cs="Arial"/>
                <w:color w:val="auto"/>
                <w:sz w:val="24"/>
                <w:szCs w:val="24"/>
              </w:rPr>
              <w:t xml:space="preserve"> </w:t>
            </w:r>
            <w:r w:rsidRPr="00237760">
              <w:rPr>
                <w:rFonts w:ascii="Arial" w:hAnsi="Arial" w:cs="Arial"/>
                <w:color w:val="auto"/>
                <w:sz w:val="24"/>
                <w:szCs w:val="24"/>
              </w:rPr>
              <w:t>europejskim, krajowym i regionalnym</w:t>
            </w:r>
          </w:p>
        </w:tc>
        <w:tc>
          <w:tcPr>
            <w:tcW w:w="15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3D8CBF9D" w14:textId="38389A82"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 dotyczy</w:t>
            </w:r>
          </w:p>
        </w:tc>
        <w:tc>
          <w:tcPr>
            <w:tcW w:w="1275" w:type="dxa"/>
            <w:tcBorders>
              <w:top w:val="single" w:sz="4" w:space="0" w:color="BDD6EE" w:themeColor="accent1" w:themeTint="66"/>
              <w:left w:val="nil"/>
              <w:bottom w:val="single" w:sz="4" w:space="0" w:color="BDD6EE" w:themeColor="accent1" w:themeTint="66"/>
              <w:right w:val="nil"/>
            </w:tcBorders>
            <w:shd w:val="clear" w:color="auto" w:fill="DEEAF6" w:themeFill="accent1" w:themeFillTint="33"/>
            <w:vAlign w:val="center"/>
          </w:tcPr>
          <w:p w14:paraId="31ECF3A3" w14:textId="6A58FC76" w:rsidR="002F3EB5" w:rsidRPr="00237760" w:rsidRDefault="00656BCB"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3685" w:type="dxa"/>
            <w:vMerge w:val="restart"/>
            <w:tcBorders>
              <w:top w:val="single" w:sz="4" w:space="0" w:color="BDD6EE" w:themeColor="accent1" w:themeTint="66"/>
              <w:left w:val="nil"/>
              <w:right w:val="nil"/>
            </w:tcBorders>
            <w:vAlign w:val="center"/>
          </w:tcPr>
          <w:p w14:paraId="3C71B771" w14:textId="383D59D8" w:rsidR="002F3EB5" w:rsidRPr="00237760" w:rsidRDefault="00DD2F5A" w:rsidP="009367B4">
            <w:pPr>
              <w:pStyle w:val="Akapitzlist"/>
              <w:numPr>
                <w:ilvl w:val="0"/>
                <w:numId w:val="33"/>
              </w:numPr>
              <w:spacing w:after="0" w:line="240" w:lineRule="auto"/>
              <w:ind w:left="176" w:hanging="218"/>
              <w:jc w:val="left"/>
              <w:rPr>
                <w:rFonts w:ascii="Arial" w:hAnsi="Arial" w:cs="Arial"/>
                <w:color w:val="auto"/>
                <w:sz w:val="24"/>
                <w:szCs w:val="24"/>
              </w:rPr>
            </w:pPr>
            <w:r w:rsidRPr="00237760">
              <w:rPr>
                <w:rFonts w:ascii="Arial" w:hAnsi="Arial" w:cs="Arial"/>
                <w:color w:val="auto"/>
                <w:sz w:val="24"/>
                <w:szCs w:val="24"/>
              </w:rPr>
              <w:t xml:space="preserve">nazwy wskaźników </w:t>
            </w:r>
            <w:r w:rsidR="00442556" w:rsidRPr="00237760">
              <w:rPr>
                <w:rFonts w:ascii="Arial" w:hAnsi="Arial" w:cs="Arial"/>
                <w:color w:val="auto"/>
                <w:sz w:val="24"/>
                <w:szCs w:val="24"/>
              </w:rPr>
              <w:t>i dotychczas prowadzone badania</w:t>
            </w:r>
            <w:r w:rsidR="00442556" w:rsidRPr="00237760">
              <w:rPr>
                <w:rFonts w:ascii="Arial" w:hAnsi="Arial" w:cs="Arial"/>
                <w:color w:val="auto"/>
                <w:sz w:val="24"/>
                <w:szCs w:val="24"/>
                <w:vertAlign w:val="superscript"/>
              </w:rPr>
              <w:footnoteReference w:id="23"/>
            </w:r>
            <w:r w:rsidR="00442556" w:rsidRPr="00237760">
              <w:rPr>
                <w:rFonts w:ascii="Arial" w:hAnsi="Arial" w:cs="Arial"/>
                <w:color w:val="auto"/>
                <w:sz w:val="24"/>
                <w:szCs w:val="24"/>
              </w:rPr>
              <w:t xml:space="preserve"> </w:t>
            </w:r>
            <w:r w:rsidRPr="00237760">
              <w:rPr>
                <w:rFonts w:ascii="Arial" w:hAnsi="Arial" w:cs="Arial"/>
                <w:color w:val="auto"/>
                <w:sz w:val="24"/>
                <w:szCs w:val="24"/>
              </w:rPr>
              <w:t xml:space="preserve">wskazują na </w:t>
            </w:r>
            <w:r w:rsidR="00164CF3" w:rsidRPr="00237760">
              <w:rPr>
                <w:rFonts w:ascii="Arial" w:hAnsi="Arial" w:cs="Arial"/>
                <w:color w:val="auto"/>
                <w:sz w:val="24"/>
                <w:szCs w:val="24"/>
              </w:rPr>
              <w:t>możliwość monitoringu</w:t>
            </w:r>
            <w:r w:rsidRPr="00237760">
              <w:rPr>
                <w:rFonts w:ascii="Arial" w:hAnsi="Arial" w:cs="Arial"/>
                <w:color w:val="auto"/>
                <w:sz w:val="24"/>
                <w:szCs w:val="24"/>
              </w:rPr>
              <w:t xml:space="preserve"> poziomu lokalnego, jednak nie wskazano dokładnie, jakich jednostek / gmin będzie dotyczył pomiar</w:t>
            </w:r>
          </w:p>
        </w:tc>
      </w:tr>
      <w:tr w:rsidR="00237760" w:rsidRPr="00237760" w14:paraId="037DB94A" w14:textId="53C91CC9" w:rsidTr="003D7F69">
        <w:trPr>
          <w:trHeight w:val="151"/>
        </w:trPr>
        <w:tc>
          <w:tcPr>
            <w:tcW w:w="2699"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40CEEA61" w14:textId="7692DC2A"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Czas przejazdu z MOF-ów do Rzeszowa (transport drogowy i kolejowy)</w:t>
            </w:r>
          </w:p>
        </w:tc>
        <w:tc>
          <w:tcPr>
            <w:tcW w:w="15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5D024F59" w14:textId="386F35CD"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 dotyczy</w:t>
            </w:r>
          </w:p>
        </w:tc>
        <w:tc>
          <w:tcPr>
            <w:tcW w:w="1275" w:type="dxa"/>
            <w:tcBorders>
              <w:top w:val="single" w:sz="4" w:space="0" w:color="BDD6EE" w:themeColor="accent1" w:themeTint="66"/>
              <w:left w:val="nil"/>
              <w:bottom w:val="single" w:sz="4" w:space="0" w:color="BDD6EE" w:themeColor="accent1" w:themeTint="66"/>
              <w:right w:val="nil"/>
            </w:tcBorders>
            <w:shd w:val="clear" w:color="auto" w:fill="DEEAF6" w:themeFill="accent1" w:themeFillTint="33"/>
            <w:vAlign w:val="center"/>
          </w:tcPr>
          <w:p w14:paraId="3CAAE771" w14:textId="22822AF5" w:rsidR="002F3EB5" w:rsidRPr="00237760" w:rsidRDefault="00D934E2"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3685" w:type="dxa"/>
            <w:vMerge/>
            <w:tcBorders>
              <w:left w:val="nil"/>
              <w:right w:val="nil"/>
            </w:tcBorders>
            <w:vAlign w:val="center"/>
          </w:tcPr>
          <w:p w14:paraId="656220E3" w14:textId="6D61F999" w:rsidR="002F3EB5" w:rsidRPr="00237760" w:rsidRDefault="002F3EB5" w:rsidP="009367B4">
            <w:pPr>
              <w:pStyle w:val="Akapitzlist"/>
              <w:numPr>
                <w:ilvl w:val="0"/>
                <w:numId w:val="33"/>
              </w:numPr>
              <w:spacing w:after="0" w:line="240" w:lineRule="auto"/>
              <w:ind w:left="176" w:hanging="218"/>
              <w:jc w:val="left"/>
              <w:rPr>
                <w:rFonts w:ascii="Arial" w:hAnsi="Arial" w:cs="Arial"/>
                <w:color w:val="auto"/>
                <w:sz w:val="24"/>
                <w:szCs w:val="24"/>
              </w:rPr>
            </w:pPr>
          </w:p>
        </w:tc>
      </w:tr>
      <w:tr w:rsidR="00237760" w:rsidRPr="00237760" w14:paraId="275E7A56" w14:textId="006B3928" w:rsidTr="003D7F69">
        <w:trPr>
          <w:trHeight w:val="151"/>
        </w:trPr>
        <w:tc>
          <w:tcPr>
            <w:tcW w:w="2699"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25502A74" w14:textId="2F77F37C"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Czas przejazdu do Rzeszowa (drogowy i kolejowy)</w:t>
            </w:r>
          </w:p>
        </w:tc>
        <w:tc>
          <w:tcPr>
            <w:tcW w:w="15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0F7976DD" w14:textId="5C3D2629"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 dotyczy</w:t>
            </w:r>
          </w:p>
        </w:tc>
        <w:tc>
          <w:tcPr>
            <w:tcW w:w="1275" w:type="dxa"/>
            <w:tcBorders>
              <w:top w:val="single" w:sz="4" w:space="0" w:color="BDD6EE" w:themeColor="accent1" w:themeTint="66"/>
              <w:left w:val="nil"/>
              <w:bottom w:val="single" w:sz="4" w:space="0" w:color="BDD6EE" w:themeColor="accent1" w:themeTint="66"/>
              <w:right w:val="nil"/>
            </w:tcBorders>
            <w:shd w:val="clear" w:color="auto" w:fill="DEEAF6" w:themeFill="accent1" w:themeFillTint="33"/>
            <w:vAlign w:val="center"/>
          </w:tcPr>
          <w:p w14:paraId="41D1C424" w14:textId="7322C2D9" w:rsidR="002F3EB5" w:rsidRPr="00237760" w:rsidRDefault="00D934E2"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3685" w:type="dxa"/>
            <w:vMerge/>
            <w:tcBorders>
              <w:left w:val="nil"/>
              <w:bottom w:val="single" w:sz="4" w:space="0" w:color="BDD6EE" w:themeColor="accent1" w:themeTint="66"/>
              <w:right w:val="nil"/>
            </w:tcBorders>
            <w:vAlign w:val="center"/>
          </w:tcPr>
          <w:p w14:paraId="2C7C5F37" w14:textId="0AF8BA34" w:rsidR="002F3EB5" w:rsidRPr="00237760" w:rsidRDefault="002F3EB5" w:rsidP="009367B4">
            <w:pPr>
              <w:pStyle w:val="Akapitzlist"/>
              <w:numPr>
                <w:ilvl w:val="0"/>
                <w:numId w:val="33"/>
              </w:numPr>
              <w:spacing w:after="0" w:line="240" w:lineRule="auto"/>
              <w:ind w:left="176" w:hanging="218"/>
              <w:jc w:val="left"/>
              <w:rPr>
                <w:rFonts w:ascii="Arial" w:hAnsi="Arial" w:cs="Arial"/>
                <w:color w:val="auto"/>
                <w:sz w:val="24"/>
                <w:szCs w:val="24"/>
              </w:rPr>
            </w:pPr>
          </w:p>
        </w:tc>
      </w:tr>
      <w:tr w:rsidR="00237760" w:rsidRPr="00237760" w14:paraId="7C6D665A" w14:textId="0E7375BE" w:rsidTr="003D7F69">
        <w:trPr>
          <w:trHeight w:val="151"/>
        </w:trPr>
        <w:tc>
          <w:tcPr>
            <w:tcW w:w="2699"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4A50140E" w14:textId="37CD045E"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Liczba ludności oraz liczba przedsiębiorstw w obrębie izochrony 30 minut oraz 60 minut od:</w:t>
            </w:r>
          </w:p>
          <w:p w14:paraId="7D1E43E3" w14:textId="77777777"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a) Rzeszowa,</w:t>
            </w:r>
          </w:p>
          <w:p w14:paraId="1619342C" w14:textId="0D1F4BC9"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b) najbliższego MOF</w:t>
            </w:r>
          </w:p>
        </w:tc>
        <w:tc>
          <w:tcPr>
            <w:tcW w:w="15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5FF3366D" w14:textId="485E70DE"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 dotyczy</w:t>
            </w:r>
          </w:p>
        </w:tc>
        <w:tc>
          <w:tcPr>
            <w:tcW w:w="1275" w:type="dxa"/>
            <w:tcBorders>
              <w:top w:val="single" w:sz="4" w:space="0" w:color="BDD6EE" w:themeColor="accent1" w:themeTint="66"/>
              <w:left w:val="nil"/>
              <w:bottom w:val="single" w:sz="4" w:space="0" w:color="BDD6EE" w:themeColor="accent1" w:themeTint="66"/>
              <w:right w:val="nil"/>
            </w:tcBorders>
            <w:shd w:val="clear" w:color="auto" w:fill="DEEAF6" w:themeFill="accent1" w:themeFillTint="33"/>
            <w:vAlign w:val="center"/>
          </w:tcPr>
          <w:p w14:paraId="107BE784" w14:textId="2E376971" w:rsidR="002F3EB5" w:rsidRPr="00237760" w:rsidRDefault="00D934E2"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3685" w:type="dxa"/>
            <w:tcBorders>
              <w:top w:val="single" w:sz="4" w:space="0" w:color="BDD6EE" w:themeColor="accent1" w:themeTint="66"/>
              <w:left w:val="nil"/>
              <w:bottom w:val="single" w:sz="4" w:space="0" w:color="BDD6EE" w:themeColor="accent1" w:themeTint="66"/>
              <w:right w:val="nil"/>
            </w:tcBorders>
            <w:vAlign w:val="center"/>
          </w:tcPr>
          <w:p w14:paraId="7E78A51B" w14:textId="143DB2EB" w:rsidR="002F3EB5" w:rsidRPr="00237760" w:rsidRDefault="004C5A8E" w:rsidP="009367B4">
            <w:pPr>
              <w:pStyle w:val="Akapitzlist"/>
              <w:numPr>
                <w:ilvl w:val="0"/>
                <w:numId w:val="33"/>
              </w:numPr>
              <w:spacing w:after="0" w:line="240" w:lineRule="auto"/>
              <w:ind w:left="176" w:hanging="218"/>
              <w:jc w:val="left"/>
              <w:rPr>
                <w:rFonts w:ascii="Arial" w:hAnsi="Arial" w:cs="Arial"/>
                <w:color w:val="auto"/>
                <w:sz w:val="24"/>
                <w:szCs w:val="24"/>
              </w:rPr>
            </w:pPr>
            <w:r w:rsidRPr="00237760">
              <w:rPr>
                <w:rFonts w:ascii="Arial" w:hAnsi="Arial" w:cs="Arial"/>
                <w:color w:val="auto"/>
                <w:sz w:val="24"/>
                <w:szCs w:val="24"/>
              </w:rPr>
              <w:t xml:space="preserve">pojawia się pytanie, czy analiza </w:t>
            </w:r>
            <w:r w:rsidR="008B2A16" w:rsidRPr="00237760">
              <w:rPr>
                <w:rFonts w:ascii="Arial" w:hAnsi="Arial" w:cs="Arial"/>
                <w:color w:val="auto"/>
                <w:sz w:val="24"/>
                <w:szCs w:val="24"/>
              </w:rPr>
              <w:t>połączenia tych dwóch wskaźników, czyli przeliczenia liczby przedsiębiorstw na liczbę ludności, nie wniesie większej wartości dodanej do badania</w:t>
            </w:r>
          </w:p>
        </w:tc>
      </w:tr>
      <w:tr w:rsidR="00237760" w:rsidRPr="00237760" w14:paraId="06762331" w14:textId="25374835" w:rsidTr="003D7F69">
        <w:trPr>
          <w:trHeight w:val="151"/>
        </w:trPr>
        <w:tc>
          <w:tcPr>
            <w:tcW w:w="2699"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706DA587" w14:textId="3EF85DFC"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Czas dojazdu do Rzeszowa z ośrodków powiatowych</w:t>
            </w:r>
            <w:r w:rsidR="00D4547D" w:rsidRPr="00237760">
              <w:rPr>
                <w:rFonts w:ascii="Arial" w:hAnsi="Arial" w:cs="Arial"/>
                <w:color w:val="auto"/>
                <w:sz w:val="24"/>
                <w:szCs w:val="24"/>
              </w:rPr>
              <w:t xml:space="preserve"> </w:t>
            </w:r>
            <w:r w:rsidRPr="00237760">
              <w:rPr>
                <w:rFonts w:ascii="Arial" w:hAnsi="Arial" w:cs="Arial"/>
                <w:color w:val="auto"/>
                <w:sz w:val="24"/>
                <w:szCs w:val="24"/>
              </w:rPr>
              <w:t>obszarów peryferyjnych (transport drogowy i kolejowy)</w:t>
            </w:r>
          </w:p>
        </w:tc>
        <w:tc>
          <w:tcPr>
            <w:tcW w:w="15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39742C2C" w14:textId="45ED02D8"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 dotyczy</w:t>
            </w:r>
          </w:p>
        </w:tc>
        <w:tc>
          <w:tcPr>
            <w:tcW w:w="1275" w:type="dxa"/>
            <w:tcBorders>
              <w:top w:val="single" w:sz="4" w:space="0" w:color="BDD6EE" w:themeColor="accent1" w:themeTint="66"/>
              <w:left w:val="nil"/>
              <w:bottom w:val="single" w:sz="4" w:space="0" w:color="BDD6EE" w:themeColor="accent1" w:themeTint="66"/>
              <w:right w:val="nil"/>
            </w:tcBorders>
            <w:shd w:val="clear" w:color="auto" w:fill="DEEAF6" w:themeFill="accent1" w:themeFillTint="33"/>
            <w:vAlign w:val="center"/>
          </w:tcPr>
          <w:p w14:paraId="38CF5ED7" w14:textId="186C9A25" w:rsidR="002F3EB5" w:rsidRPr="00237760" w:rsidRDefault="00D934E2"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3685" w:type="dxa"/>
            <w:tcBorders>
              <w:top w:val="single" w:sz="4" w:space="0" w:color="BDD6EE" w:themeColor="accent1" w:themeTint="66"/>
              <w:left w:val="nil"/>
              <w:bottom w:val="single" w:sz="4" w:space="0" w:color="BDD6EE" w:themeColor="accent1" w:themeTint="66"/>
              <w:right w:val="nil"/>
            </w:tcBorders>
            <w:vAlign w:val="center"/>
          </w:tcPr>
          <w:p w14:paraId="54D9EE99" w14:textId="293DFE90" w:rsidR="002F3EB5" w:rsidRPr="00237760" w:rsidRDefault="001E04D5" w:rsidP="009367B4">
            <w:pPr>
              <w:pStyle w:val="Akapitzlist"/>
              <w:numPr>
                <w:ilvl w:val="0"/>
                <w:numId w:val="33"/>
              </w:numPr>
              <w:spacing w:after="0" w:line="240" w:lineRule="auto"/>
              <w:ind w:left="176" w:hanging="218"/>
              <w:jc w:val="left"/>
              <w:rPr>
                <w:rFonts w:ascii="Arial" w:hAnsi="Arial" w:cs="Arial"/>
                <w:color w:val="auto"/>
                <w:sz w:val="24"/>
                <w:szCs w:val="24"/>
              </w:rPr>
            </w:pPr>
            <w:r w:rsidRPr="00237760">
              <w:rPr>
                <w:rFonts w:ascii="Arial" w:hAnsi="Arial" w:cs="Arial"/>
                <w:color w:val="auto"/>
                <w:sz w:val="24"/>
                <w:szCs w:val="24"/>
              </w:rPr>
              <w:t>nazwy wskaźników wskazują na monitoring poziomu lokalnego, jednak nie wskazano dokładnie, jakich jednostek / gmin będzie dotyczył pomiar</w:t>
            </w:r>
          </w:p>
        </w:tc>
      </w:tr>
      <w:tr w:rsidR="00237760" w:rsidRPr="00237760" w14:paraId="6CD925E6" w14:textId="7B3EEEE6" w:rsidTr="003D7F69">
        <w:trPr>
          <w:trHeight w:val="151"/>
        </w:trPr>
        <w:tc>
          <w:tcPr>
            <w:tcW w:w="2699"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43357C87" w14:textId="5E3F3AB1"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Czas dojazdu do najbliższego MOF z ośrodków</w:t>
            </w:r>
            <w:r w:rsidR="004459F6" w:rsidRPr="00237760">
              <w:rPr>
                <w:rFonts w:ascii="Arial" w:hAnsi="Arial" w:cs="Arial"/>
                <w:color w:val="auto"/>
                <w:sz w:val="24"/>
                <w:szCs w:val="24"/>
              </w:rPr>
              <w:t xml:space="preserve"> </w:t>
            </w:r>
            <w:r w:rsidRPr="00237760">
              <w:rPr>
                <w:rFonts w:ascii="Arial" w:hAnsi="Arial" w:cs="Arial"/>
                <w:color w:val="auto"/>
                <w:sz w:val="24"/>
                <w:szCs w:val="24"/>
              </w:rPr>
              <w:t>powiatowych obszarów peryferyjnych (transport drogowy i kolejowy)</w:t>
            </w:r>
          </w:p>
        </w:tc>
        <w:tc>
          <w:tcPr>
            <w:tcW w:w="15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75F71231" w14:textId="34A1DEC6"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 dotyczy</w:t>
            </w:r>
          </w:p>
        </w:tc>
        <w:tc>
          <w:tcPr>
            <w:tcW w:w="1275" w:type="dxa"/>
            <w:tcBorders>
              <w:top w:val="single" w:sz="4" w:space="0" w:color="BDD6EE" w:themeColor="accent1" w:themeTint="66"/>
              <w:left w:val="nil"/>
              <w:bottom w:val="single" w:sz="4" w:space="0" w:color="BDD6EE" w:themeColor="accent1" w:themeTint="66"/>
              <w:right w:val="nil"/>
            </w:tcBorders>
            <w:shd w:val="clear" w:color="auto" w:fill="DEEAF6" w:themeFill="accent1" w:themeFillTint="33"/>
            <w:vAlign w:val="center"/>
          </w:tcPr>
          <w:p w14:paraId="2281E920" w14:textId="2956B53C" w:rsidR="002F3EB5" w:rsidRPr="00237760" w:rsidRDefault="00D934E2"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3685" w:type="dxa"/>
            <w:tcBorders>
              <w:top w:val="single" w:sz="4" w:space="0" w:color="BDD6EE" w:themeColor="accent1" w:themeTint="66"/>
              <w:left w:val="nil"/>
              <w:bottom w:val="single" w:sz="4" w:space="0" w:color="BDD6EE" w:themeColor="accent1" w:themeTint="66"/>
              <w:right w:val="nil"/>
            </w:tcBorders>
            <w:vAlign w:val="center"/>
          </w:tcPr>
          <w:p w14:paraId="385FF327" w14:textId="7B6C77FA" w:rsidR="002F3EB5" w:rsidRPr="00237760" w:rsidRDefault="00821C4B" w:rsidP="009367B4">
            <w:pPr>
              <w:pStyle w:val="Akapitzlist"/>
              <w:numPr>
                <w:ilvl w:val="0"/>
                <w:numId w:val="33"/>
              </w:numPr>
              <w:spacing w:after="0" w:line="240" w:lineRule="auto"/>
              <w:ind w:left="176" w:hanging="218"/>
              <w:jc w:val="left"/>
              <w:rPr>
                <w:rFonts w:ascii="Arial" w:hAnsi="Arial" w:cs="Arial"/>
                <w:color w:val="auto"/>
                <w:sz w:val="24"/>
                <w:szCs w:val="24"/>
              </w:rPr>
            </w:pPr>
            <w:r w:rsidRPr="00237760">
              <w:rPr>
                <w:rFonts w:ascii="Arial" w:hAnsi="Arial" w:cs="Arial"/>
                <w:color w:val="auto"/>
                <w:sz w:val="24"/>
                <w:szCs w:val="24"/>
              </w:rPr>
              <w:t xml:space="preserve">pojawia się pytanie, </w:t>
            </w:r>
            <w:r w:rsidR="003939E2" w:rsidRPr="00237760">
              <w:rPr>
                <w:rFonts w:ascii="Arial" w:hAnsi="Arial" w:cs="Arial"/>
                <w:color w:val="auto"/>
                <w:sz w:val="24"/>
                <w:szCs w:val="24"/>
              </w:rPr>
              <w:t xml:space="preserve">czy wskaźnik liczony </w:t>
            </w:r>
            <w:r w:rsidR="002125F7" w:rsidRPr="00237760">
              <w:rPr>
                <w:rFonts w:ascii="Arial" w:hAnsi="Arial" w:cs="Arial"/>
                <w:color w:val="auto"/>
                <w:sz w:val="24"/>
                <w:szCs w:val="24"/>
              </w:rPr>
              <w:t>jest względem centrum miasta rdzeniowego?</w:t>
            </w:r>
          </w:p>
        </w:tc>
      </w:tr>
      <w:tr w:rsidR="00237760" w:rsidRPr="00237760" w14:paraId="2690127D" w14:textId="77777777" w:rsidTr="003D7F69">
        <w:trPr>
          <w:trHeight w:val="151"/>
        </w:trPr>
        <w:tc>
          <w:tcPr>
            <w:tcW w:w="2699"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1F7DA909" w14:textId="1657583F" w:rsidR="004609F0" w:rsidRPr="00237760" w:rsidRDefault="004609F0"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lastRenderedPageBreak/>
              <w:t>Liczba połączeń na wybranych odcinkach poddanych rewitalizacji (transport kolejowy)</w:t>
            </w:r>
          </w:p>
        </w:tc>
        <w:tc>
          <w:tcPr>
            <w:tcW w:w="15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32CA8BAC" w14:textId="2FE13517" w:rsidR="004609F0" w:rsidRPr="00237760" w:rsidRDefault="004609F0"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 dotyczy</w:t>
            </w:r>
          </w:p>
        </w:tc>
        <w:tc>
          <w:tcPr>
            <w:tcW w:w="1275" w:type="dxa"/>
            <w:tcBorders>
              <w:top w:val="single" w:sz="4" w:space="0" w:color="BDD6EE" w:themeColor="accent1" w:themeTint="66"/>
              <w:left w:val="nil"/>
              <w:bottom w:val="single" w:sz="4" w:space="0" w:color="BDD6EE" w:themeColor="accent1" w:themeTint="66"/>
              <w:right w:val="nil"/>
            </w:tcBorders>
            <w:shd w:val="clear" w:color="auto" w:fill="DEEAF6" w:themeFill="accent1" w:themeFillTint="33"/>
            <w:vAlign w:val="center"/>
          </w:tcPr>
          <w:p w14:paraId="1F5D1150" w14:textId="6DBE82C7" w:rsidR="004609F0" w:rsidRPr="00237760" w:rsidRDefault="004609F0"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3685" w:type="dxa"/>
            <w:tcBorders>
              <w:top w:val="single" w:sz="4" w:space="0" w:color="BDD6EE" w:themeColor="accent1" w:themeTint="66"/>
              <w:left w:val="nil"/>
              <w:bottom w:val="single" w:sz="4" w:space="0" w:color="BDD6EE" w:themeColor="accent1" w:themeTint="66"/>
              <w:right w:val="nil"/>
            </w:tcBorders>
            <w:vAlign w:val="center"/>
          </w:tcPr>
          <w:p w14:paraId="506DFD02" w14:textId="535C9CEE" w:rsidR="004609F0" w:rsidRPr="00237760" w:rsidRDefault="004609F0" w:rsidP="009367B4">
            <w:pPr>
              <w:pStyle w:val="Akapitzlist"/>
              <w:numPr>
                <w:ilvl w:val="0"/>
                <w:numId w:val="33"/>
              </w:numPr>
              <w:spacing w:after="0" w:line="240" w:lineRule="auto"/>
              <w:ind w:left="176" w:hanging="218"/>
              <w:jc w:val="left"/>
              <w:rPr>
                <w:rFonts w:ascii="Arial" w:hAnsi="Arial" w:cs="Arial"/>
                <w:color w:val="auto"/>
                <w:sz w:val="24"/>
                <w:szCs w:val="24"/>
              </w:rPr>
            </w:pPr>
            <w:r w:rsidRPr="00237760">
              <w:rPr>
                <w:rFonts w:ascii="Arial" w:hAnsi="Arial" w:cs="Arial"/>
                <w:color w:val="auto"/>
                <w:sz w:val="24"/>
                <w:szCs w:val="24"/>
              </w:rPr>
              <w:t>nazwa wskaźnika sugeruje monitoring poziomu lokalnego, nie wskazano jednak na źródło pochodzenia danych</w:t>
            </w:r>
          </w:p>
        </w:tc>
      </w:tr>
      <w:tr w:rsidR="00237760" w:rsidRPr="00237760" w14:paraId="733DC865" w14:textId="4C6F68E1" w:rsidTr="003D7F69">
        <w:trPr>
          <w:trHeight w:val="151"/>
        </w:trPr>
        <w:tc>
          <w:tcPr>
            <w:tcW w:w="2699"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09CC62A8" w14:textId="45795D1D"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Czas dojazdu do centrum miasta rdzeniowego (transport drogowy i kolejowy)</w:t>
            </w:r>
          </w:p>
        </w:tc>
        <w:tc>
          <w:tcPr>
            <w:tcW w:w="15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00F17AE3" w14:textId="09B6C0DE"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 dotyczy</w:t>
            </w:r>
          </w:p>
        </w:tc>
        <w:tc>
          <w:tcPr>
            <w:tcW w:w="1275" w:type="dxa"/>
            <w:tcBorders>
              <w:top w:val="single" w:sz="4" w:space="0" w:color="BDD6EE" w:themeColor="accent1" w:themeTint="66"/>
              <w:left w:val="nil"/>
              <w:bottom w:val="single" w:sz="4" w:space="0" w:color="BDD6EE" w:themeColor="accent1" w:themeTint="66"/>
              <w:right w:val="nil"/>
            </w:tcBorders>
            <w:shd w:val="clear" w:color="auto" w:fill="DEEAF6" w:themeFill="accent1" w:themeFillTint="33"/>
            <w:vAlign w:val="center"/>
          </w:tcPr>
          <w:p w14:paraId="4B03FE40" w14:textId="4FA82BDF" w:rsidR="002F3EB5" w:rsidRPr="00237760" w:rsidRDefault="00D934E2"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3685" w:type="dxa"/>
            <w:tcBorders>
              <w:top w:val="single" w:sz="4" w:space="0" w:color="BDD6EE" w:themeColor="accent1" w:themeTint="66"/>
              <w:left w:val="nil"/>
              <w:bottom w:val="single" w:sz="4" w:space="0" w:color="BDD6EE" w:themeColor="accent1" w:themeTint="66"/>
              <w:right w:val="nil"/>
            </w:tcBorders>
            <w:vAlign w:val="center"/>
          </w:tcPr>
          <w:p w14:paraId="69175AD9" w14:textId="0F1769DA" w:rsidR="002F3EB5" w:rsidRPr="00237760" w:rsidRDefault="00821C4B" w:rsidP="009367B4">
            <w:pPr>
              <w:pStyle w:val="Akapitzlist"/>
              <w:numPr>
                <w:ilvl w:val="0"/>
                <w:numId w:val="33"/>
              </w:numPr>
              <w:spacing w:after="0" w:line="240" w:lineRule="auto"/>
              <w:ind w:left="176" w:hanging="218"/>
              <w:jc w:val="left"/>
              <w:rPr>
                <w:rFonts w:ascii="Arial" w:hAnsi="Arial" w:cs="Arial"/>
                <w:color w:val="auto"/>
                <w:sz w:val="24"/>
                <w:szCs w:val="24"/>
              </w:rPr>
            </w:pPr>
            <w:r w:rsidRPr="00237760">
              <w:rPr>
                <w:rFonts w:ascii="Arial" w:hAnsi="Arial" w:cs="Arial"/>
                <w:color w:val="auto"/>
                <w:sz w:val="24"/>
                <w:szCs w:val="24"/>
              </w:rPr>
              <w:t>nazwa wskaźnika sugeruje monitoring poziomu lokalnego, nie wskazano jednak jakich obszarów będzie dotyczył pomiar</w:t>
            </w:r>
          </w:p>
        </w:tc>
      </w:tr>
      <w:tr w:rsidR="00237760" w:rsidRPr="00237760" w14:paraId="26294776" w14:textId="1EAAEEF1" w:rsidTr="003D7F69">
        <w:trPr>
          <w:trHeight w:val="151"/>
        </w:trPr>
        <w:tc>
          <w:tcPr>
            <w:tcW w:w="2699"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6968A106" w14:textId="2EC5B222"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Odsetek korzystających transportu publicznego w dojazdach do pracy</w:t>
            </w:r>
          </w:p>
        </w:tc>
        <w:tc>
          <w:tcPr>
            <w:tcW w:w="15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6DF65298" w14:textId="5404BB9A"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 dotyczy</w:t>
            </w:r>
          </w:p>
        </w:tc>
        <w:tc>
          <w:tcPr>
            <w:tcW w:w="1275" w:type="dxa"/>
            <w:vMerge w:val="restart"/>
            <w:tcBorders>
              <w:top w:val="single" w:sz="4" w:space="0" w:color="BDD6EE" w:themeColor="accent1" w:themeTint="66"/>
              <w:left w:val="nil"/>
              <w:right w:val="nil"/>
            </w:tcBorders>
            <w:vAlign w:val="center"/>
          </w:tcPr>
          <w:p w14:paraId="775C06BF" w14:textId="77777777" w:rsidR="00C81B91" w:rsidRPr="00237760" w:rsidRDefault="00C81B91" w:rsidP="009367B4">
            <w:pPr>
              <w:spacing w:after="0" w:line="240" w:lineRule="auto"/>
              <w:jc w:val="left"/>
              <w:rPr>
                <w:rFonts w:ascii="Arial" w:hAnsi="Arial" w:cs="Arial"/>
                <w:color w:val="auto"/>
                <w:sz w:val="24"/>
                <w:szCs w:val="24"/>
              </w:rPr>
            </w:pPr>
          </w:p>
          <w:p w14:paraId="1DCB953F" w14:textId="207BD2FC" w:rsidR="002F3EB5" w:rsidRPr="00237760" w:rsidRDefault="00B16B6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brak informacji</w:t>
            </w:r>
          </w:p>
        </w:tc>
        <w:tc>
          <w:tcPr>
            <w:tcW w:w="3685" w:type="dxa"/>
            <w:vMerge w:val="restart"/>
            <w:tcBorders>
              <w:top w:val="single" w:sz="4" w:space="0" w:color="BDD6EE" w:themeColor="accent1" w:themeTint="66"/>
              <w:left w:val="nil"/>
              <w:right w:val="nil"/>
            </w:tcBorders>
            <w:vAlign w:val="center"/>
          </w:tcPr>
          <w:p w14:paraId="1E9D49CD" w14:textId="621C3D6B" w:rsidR="002F3EB5" w:rsidRPr="00237760" w:rsidRDefault="00B16B63" w:rsidP="009367B4">
            <w:pPr>
              <w:pStyle w:val="Akapitzlist"/>
              <w:numPr>
                <w:ilvl w:val="0"/>
                <w:numId w:val="33"/>
              </w:numPr>
              <w:spacing w:after="0" w:line="240" w:lineRule="auto"/>
              <w:ind w:left="176" w:hanging="218"/>
              <w:jc w:val="left"/>
              <w:rPr>
                <w:rFonts w:ascii="Arial" w:hAnsi="Arial" w:cs="Arial"/>
                <w:color w:val="auto"/>
                <w:sz w:val="24"/>
                <w:szCs w:val="24"/>
              </w:rPr>
            </w:pPr>
            <w:r w:rsidRPr="00237760">
              <w:rPr>
                <w:rFonts w:ascii="Arial" w:hAnsi="Arial" w:cs="Arial"/>
                <w:color w:val="auto"/>
                <w:sz w:val="24"/>
                <w:szCs w:val="24"/>
              </w:rPr>
              <w:t>w programie nie sprecyzowano, jakie jest źródło pochodzenia danych, w związku z czym nie jest możliwa weryfikacja poziomu, dla którego mogą zostać zebrane dane</w:t>
            </w:r>
          </w:p>
        </w:tc>
      </w:tr>
      <w:tr w:rsidR="00237760" w:rsidRPr="00237760" w14:paraId="5A614C25" w14:textId="2789AE3E" w:rsidTr="003D7F69">
        <w:trPr>
          <w:trHeight w:val="151"/>
        </w:trPr>
        <w:tc>
          <w:tcPr>
            <w:tcW w:w="2699"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256603E4" w14:textId="3FAAF999"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Odsetek korzystających z transportu kolejowego w dojazdach do pracy</w:t>
            </w:r>
          </w:p>
        </w:tc>
        <w:tc>
          <w:tcPr>
            <w:tcW w:w="15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55B012C0" w14:textId="5CC7929E"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 dotyczy</w:t>
            </w:r>
          </w:p>
        </w:tc>
        <w:tc>
          <w:tcPr>
            <w:tcW w:w="1275" w:type="dxa"/>
            <w:vMerge/>
            <w:tcBorders>
              <w:left w:val="nil"/>
              <w:right w:val="nil"/>
            </w:tcBorders>
            <w:vAlign w:val="center"/>
          </w:tcPr>
          <w:p w14:paraId="5ECC302E" w14:textId="0A930A7C" w:rsidR="002F3EB5" w:rsidRPr="00237760" w:rsidRDefault="002F3EB5" w:rsidP="009367B4">
            <w:pPr>
              <w:spacing w:after="0" w:line="240" w:lineRule="auto"/>
              <w:jc w:val="left"/>
              <w:rPr>
                <w:rFonts w:ascii="Arial" w:hAnsi="Arial" w:cs="Arial"/>
                <w:color w:val="auto"/>
                <w:sz w:val="24"/>
                <w:szCs w:val="24"/>
              </w:rPr>
            </w:pPr>
          </w:p>
        </w:tc>
        <w:tc>
          <w:tcPr>
            <w:tcW w:w="3685" w:type="dxa"/>
            <w:vMerge/>
            <w:tcBorders>
              <w:left w:val="nil"/>
              <w:right w:val="nil"/>
            </w:tcBorders>
            <w:vAlign w:val="center"/>
          </w:tcPr>
          <w:p w14:paraId="67EE3D10" w14:textId="273381D5" w:rsidR="002F3EB5" w:rsidRPr="00237760" w:rsidRDefault="002F3EB5" w:rsidP="009367B4">
            <w:pPr>
              <w:pStyle w:val="Akapitzlist"/>
              <w:numPr>
                <w:ilvl w:val="0"/>
                <w:numId w:val="33"/>
              </w:numPr>
              <w:spacing w:after="0" w:line="240" w:lineRule="auto"/>
              <w:ind w:left="176" w:hanging="218"/>
              <w:jc w:val="left"/>
              <w:rPr>
                <w:rFonts w:ascii="Arial" w:hAnsi="Arial" w:cs="Arial"/>
                <w:color w:val="auto"/>
                <w:sz w:val="24"/>
                <w:szCs w:val="24"/>
              </w:rPr>
            </w:pPr>
          </w:p>
        </w:tc>
      </w:tr>
      <w:tr w:rsidR="00237760" w:rsidRPr="00237760" w14:paraId="3DA10788" w14:textId="61862822" w:rsidTr="003D7F69">
        <w:trPr>
          <w:trHeight w:val="151"/>
        </w:trPr>
        <w:tc>
          <w:tcPr>
            <w:tcW w:w="2699"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1F076797" w14:textId="4AB0ED34"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Stosunek wskaźnika czasu dojazdu transportem kolejowym do czasu w transporcie drogowym z ośrodków gminnych w MOF do jego rdzenia</w:t>
            </w:r>
          </w:p>
        </w:tc>
        <w:tc>
          <w:tcPr>
            <w:tcW w:w="15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7A1DD80E" w14:textId="678C1C7E"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 dotyczy</w:t>
            </w:r>
          </w:p>
        </w:tc>
        <w:tc>
          <w:tcPr>
            <w:tcW w:w="1275" w:type="dxa"/>
            <w:vMerge/>
            <w:tcBorders>
              <w:left w:val="nil"/>
              <w:bottom w:val="single" w:sz="4" w:space="0" w:color="BDD6EE" w:themeColor="accent1" w:themeTint="66"/>
              <w:right w:val="nil"/>
            </w:tcBorders>
            <w:vAlign w:val="center"/>
          </w:tcPr>
          <w:p w14:paraId="65F686DF" w14:textId="77777777" w:rsidR="002F3EB5" w:rsidRPr="00237760" w:rsidRDefault="002F3EB5" w:rsidP="009367B4">
            <w:pPr>
              <w:spacing w:after="0" w:line="240" w:lineRule="auto"/>
              <w:jc w:val="left"/>
              <w:rPr>
                <w:rFonts w:ascii="Arial" w:hAnsi="Arial" w:cs="Arial"/>
                <w:color w:val="auto"/>
                <w:sz w:val="24"/>
                <w:szCs w:val="24"/>
              </w:rPr>
            </w:pPr>
          </w:p>
        </w:tc>
        <w:tc>
          <w:tcPr>
            <w:tcW w:w="3685" w:type="dxa"/>
            <w:vMerge/>
            <w:tcBorders>
              <w:left w:val="nil"/>
              <w:bottom w:val="single" w:sz="4" w:space="0" w:color="BDD6EE" w:themeColor="accent1" w:themeTint="66"/>
              <w:right w:val="nil"/>
            </w:tcBorders>
            <w:vAlign w:val="center"/>
          </w:tcPr>
          <w:p w14:paraId="72BE8E58" w14:textId="008DBA0D" w:rsidR="002F3EB5" w:rsidRPr="00237760" w:rsidRDefault="002F3EB5" w:rsidP="009367B4">
            <w:pPr>
              <w:pStyle w:val="Akapitzlist"/>
              <w:numPr>
                <w:ilvl w:val="0"/>
                <w:numId w:val="33"/>
              </w:numPr>
              <w:spacing w:after="0" w:line="240" w:lineRule="auto"/>
              <w:ind w:left="176" w:hanging="218"/>
              <w:jc w:val="left"/>
              <w:rPr>
                <w:rFonts w:ascii="Arial" w:hAnsi="Arial" w:cs="Arial"/>
                <w:color w:val="auto"/>
                <w:sz w:val="24"/>
                <w:szCs w:val="24"/>
              </w:rPr>
            </w:pPr>
          </w:p>
        </w:tc>
      </w:tr>
      <w:tr w:rsidR="00237760" w:rsidRPr="00237760" w14:paraId="36F918B5" w14:textId="5CF20CF8" w:rsidTr="003D7F69">
        <w:trPr>
          <w:trHeight w:val="163"/>
        </w:trPr>
        <w:tc>
          <w:tcPr>
            <w:tcW w:w="2699"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56E532E5" w14:textId="61FC2585"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Liczba węzłów intermodalnych oraz parkingów Park and Ride (liczba miejsc parkingowych na tych parkingach)</w:t>
            </w:r>
          </w:p>
        </w:tc>
        <w:tc>
          <w:tcPr>
            <w:tcW w:w="15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31DE5E3F" w14:textId="0BA73E96"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 dotyczy</w:t>
            </w:r>
          </w:p>
        </w:tc>
        <w:tc>
          <w:tcPr>
            <w:tcW w:w="1275" w:type="dxa"/>
            <w:tcBorders>
              <w:top w:val="single" w:sz="4" w:space="0" w:color="BDD6EE" w:themeColor="accent1" w:themeTint="66"/>
              <w:left w:val="nil"/>
              <w:bottom w:val="single" w:sz="4" w:space="0" w:color="BDD6EE" w:themeColor="accent1" w:themeTint="66"/>
              <w:right w:val="nil"/>
            </w:tcBorders>
            <w:shd w:val="clear" w:color="auto" w:fill="DEEAF6" w:themeFill="accent1" w:themeFillTint="33"/>
            <w:vAlign w:val="center"/>
          </w:tcPr>
          <w:p w14:paraId="3AD275AC" w14:textId="31B848A5" w:rsidR="002F3EB5" w:rsidRPr="00237760" w:rsidRDefault="00594734"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3685" w:type="dxa"/>
            <w:tcBorders>
              <w:top w:val="single" w:sz="4" w:space="0" w:color="BDD6EE" w:themeColor="accent1" w:themeTint="66"/>
              <w:left w:val="nil"/>
              <w:bottom w:val="single" w:sz="4" w:space="0" w:color="BDD6EE" w:themeColor="accent1" w:themeTint="66"/>
              <w:right w:val="nil"/>
            </w:tcBorders>
            <w:vAlign w:val="center"/>
          </w:tcPr>
          <w:p w14:paraId="4CE87FDA" w14:textId="4071384F" w:rsidR="002F3EB5" w:rsidRPr="00237760" w:rsidRDefault="00594734" w:rsidP="009367B4">
            <w:pPr>
              <w:pStyle w:val="Akapitzlist"/>
              <w:numPr>
                <w:ilvl w:val="0"/>
                <w:numId w:val="33"/>
              </w:numPr>
              <w:spacing w:after="0" w:line="240" w:lineRule="auto"/>
              <w:ind w:left="176" w:hanging="218"/>
              <w:jc w:val="left"/>
              <w:rPr>
                <w:rFonts w:ascii="Arial" w:hAnsi="Arial" w:cs="Arial"/>
                <w:color w:val="auto"/>
                <w:sz w:val="24"/>
                <w:szCs w:val="24"/>
              </w:rPr>
            </w:pPr>
            <w:r w:rsidRPr="00237760">
              <w:rPr>
                <w:rFonts w:ascii="Arial" w:hAnsi="Arial" w:cs="Arial"/>
                <w:color w:val="auto"/>
                <w:sz w:val="24"/>
                <w:szCs w:val="24"/>
              </w:rPr>
              <w:t>dane dotyczące parkingów dostępne w GUS dla gmin</w:t>
            </w:r>
            <w:r w:rsidR="00D4562C" w:rsidRPr="00237760">
              <w:rPr>
                <w:rFonts w:ascii="Arial" w:hAnsi="Arial" w:cs="Arial"/>
                <w:color w:val="auto"/>
                <w:sz w:val="24"/>
                <w:szCs w:val="24"/>
              </w:rPr>
              <w:t xml:space="preserve"> – możliwość pomiaru poziomu lokalnego</w:t>
            </w:r>
          </w:p>
        </w:tc>
      </w:tr>
      <w:tr w:rsidR="00237760" w:rsidRPr="00237760" w14:paraId="2CBFE8A6" w14:textId="24A449A6" w:rsidTr="003D7F69">
        <w:trPr>
          <w:trHeight w:val="151"/>
        </w:trPr>
        <w:tc>
          <w:tcPr>
            <w:tcW w:w="2699"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5D43D127" w14:textId="7C607B9A"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Poziom ruchu ciężkiego na trasach przelotowych w rdzeniu MOF</w:t>
            </w:r>
          </w:p>
        </w:tc>
        <w:tc>
          <w:tcPr>
            <w:tcW w:w="15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0DBBBF14" w14:textId="2E6C5DA8"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 dotyczy</w:t>
            </w:r>
          </w:p>
        </w:tc>
        <w:tc>
          <w:tcPr>
            <w:tcW w:w="1275" w:type="dxa"/>
            <w:tcBorders>
              <w:top w:val="single" w:sz="4" w:space="0" w:color="BDD6EE" w:themeColor="accent1" w:themeTint="66"/>
              <w:left w:val="nil"/>
              <w:bottom w:val="single" w:sz="4" w:space="0" w:color="BDD6EE" w:themeColor="accent1" w:themeTint="66"/>
              <w:right w:val="nil"/>
            </w:tcBorders>
            <w:vAlign w:val="center"/>
          </w:tcPr>
          <w:p w14:paraId="769E2A0B" w14:textId="175C05BE" w:rsidR="002F3EB5" w:rsidRPr="00237760" w:rsidRDefault="006434A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brak informacji</w:t>
            </w:r>
          </w:p>
        </w:tc>
        <w:tc>
          <w:tcPr>
            <w:tcW w:w="3685" w:type="dxa"/>
            <w:tcBorders>
              <w:top w:val="single" w:sz="4" w:space="0" w:color="BDD6EE" w:themeColor="accent1" w:themeTint="66"/>
              <w:left w:val="nil"/>
              <w:bottom w:val="single" w:sz="4" w:space="0" w:color="BDD6EE" w:themeColor="accent1" w:themeTint="66"/>
              <w:right w:val="nil"/>
            </w:tcBorders>
            <w:vAlign w:val="center"/>
          </w:tcPr>
          <w:p w14:paraId="4DAA2D03" w14:textId="0EC62598" w:rsidR="002F3EB5" w:rsidRPr="00237760" w:rsidRDefault="008D5073" w:rsidP="009367B4">
            <w:pPr>
              <w:pStyle w:val="Akapitzlist"/>
              <w:numPr>
                <w:ilvl w:val="0"/>
                <w:numId w:val="33"/>
              </w:numPr>
              <w:spacing w:after="0" w:line="240" w:lineRule="auto"/>
              <w:ind w:left="176" w:hanging="218"/>
              <w:jc w:val="left"/>
              <w:rPr>
                <w:rFonts w:ascii="Arial" w:hAnsi="Arial" w:cs="Arial"/>
                <w:color w:val="auto"/>
                <w:sz w:val="24"/>
                <w:szCs w:val="24"/>
              </w:rPr>
            </w:pPr>
            <w:r w:rsidRPr="00237760">
              <w:rPr>
                <w:rFonts w:ascii="Arial" w:hAnsi="Arial" w:cs="Arial"/>
                <w:color w:val="auto"/>
                <w:sz w:val="24"/>
                <w:szCs w:val="24"/>
              </w:rPr>
              <w:t>brak</w:t>
            </w:r>
          </w:p>
        </w:tc>
      </w:tr>
      <w:tr w:rsidR="00237760" w:rsidRPr="00237760" w14:paraId="7C2AD0C7" w14:textId="05308E42" w:rsidTr="003D7F69">
        <w:trPr>
          <w:trHeight w:val="151"/>
        </w:trPr>
        <w:tc>
          <w:tcPr>
            <w:tcW w:w="2699"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3345E73B" w14:textId="521D407A"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Liczba wypadków drogowych wewnątrz MOF</w:t>
            </w:r>
          </w:p>
        </w:tc>
        <w:tc>
          <w:tcPr>
            <w:tcW w:w="15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1BC490A9" w14:textId="59C56038"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 dotyczy</w:t>
            </w:r>
          </w:p>
        </w:tc>
        <w:tc>
          <w:tcPr>
            <w:tcW w:w="1275" w:type="dxa"/>
            <w:vMerge w:val="restart"/>
            <w:tcBorders>
              <w:top w:val="single" w:sz="4" w:space="0" w:color="BDD6EE" w:themeColor="accent1" w:themeTint="66"/>
              <w:left w:val="nil"/>
              <w:right w:val="nil"/>
            </w:tcBorders>
            <w:shd w:val="clear" w:color="auto" w:fill="DEEAF6" w:themeFill="accent1" w:themeFillTint="33"/>
            <w:vAlign w:val="center"/>
          </w:tcPr>
          <w:p w14:paraId="5EEE6F25" w14:textId="16CCED8F" w:rsidR="002F3EB5" w:rsidRPr="00237760" w:rsidRDefault="00594734"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 (powiaty)</w:t>
            </w:r>
          </w:p>
        </w:tc>
        <w:tc>
          <w:tcPr>
            <w:tcW w:w="3685" w:type="dxa"/>
            <w:vMerge w:val="restart"/>
            <w:tcBorders>
              <w:top w:val="single" w:sz="4" w:space="0" w:color="BDD6EE" w:themeColor="accent1" w:themeTint="66"/>
              <w:left w:val="nil"/>
              <w:right w:val="nil"/>
            </w:tcBorders>
            <w:vAlign w:val="center"/>
          </w:tcPr>
          <w:p w14:paraId="32CE279C" w14:textId="3E53D9D9" w:rsidR="002F3EB5" w:rsidRPr="00237760" w:rsidRDefault="00594734" w:rsidP="009367B4">
            <w:pPr>
              <w:pStyle w:val="Akapitzlist"/>
              <w:numPr>
                <w:ilvl w:val="0"/>
                <w:numId w:val="33"/>
              </w:numPr>
              <w:spacing w:after="0" w:line="240" w:lineRule="auto"/>
              <w:ind w:left="176" w:hanging="218"/>
              <w:jc w:val="left"/>
              <w:rPr>
                <w:rFonts w:ascii="Arial" w:hAnsi="Arial" w:cs="Arial"/>
                <w:color w:val="auto"/>
                <w:sz w:val="24"/>
                <w:szCs w:val="24"/>
              </w:rPr>
            </w:pPr>
            <w:r w:rsidRPr="00237760">
              <w:rPr>
                <w:rFonts w:ascii="Arial" w:hAnsi="Arial" w:cs="Arial"/>
                <w:color w:val="auto"/>
                <w:sz w:val="24"/>
                <w:szCs w:val="24"/>
              </w:rPr>
              <w:t>GUS udostępnia dane dotyczące wypadków najniżej na poziomie powiatowym (pozostałe źródł</w:t>
            </w:r>
            <w:r w:rsidR="006173C3" w:rsidRPr="00237760">
              <w:rPr>
                <w:rFonts w:ascii="Arial" w:hAnsi="Arial" w:cs="Arial"/>
                <w:color w:val="auto"/>
                <w:sz w:val="24"/>
                <w:szCs w:val="24"/>
              </w:rPr>
              <w:t xml:space="preserve">a </w:t>
            </w:r>
            <w:r w:rsidRPr="00237760">
              <w:rPr>
                <w:rFonts w:ascii="Arial" w:hAnsi="Arial" w:cs="Arial"/>
                <w:color w:val="auto"/>
                <w:sz w:val="24"/>
                <w:szCs w:val="24"/>
              </w:rPr>
              <w:t>nieweryfikowalne)</w:t>
            </w:r>
          </w:p>
        </w:tc>
      </w:tr>
      <w:tr w:rsidR="00237760" w:rsidRPr="00237760" w14:paraId="06DF7B7C" w14:textId="4D124F0D" w:rsidTr="003D7F69">
        <w:trPr>
          <w:trHeight w:val="151"/>
        </w:trPr>
        <w:tc>
          <w:tcPr>
            <w:tcW w:w="2699"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517DFAC5" w14:textId="1F68F7E4"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Liczba wypadków w województwie ogółem</w:t>
            </w:r>
          </w:p>
        </w:tc>
        <w:tc>
          <w:tcPr>
            <w:tcW w:w="15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690A2A96" w14:textId="0B08E4D7"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 dotyczy</w:t>
            </w:r>
          </w:p>
        </w:tc>
        <w:tc>
          <w:tcPr>
            <w:tcW w:w="1275" w:type="dxa"/>
            <w:vMerge/>
            <w:tcBorders>
              <w:left w:val="nil"/>
              <w:bottom w:val="single" w:sz="4" w:space="0" w:color="BDD6EE" w:themeColor="accent1" w:themeTint="66"/>
              <w:right w:val="nil"/>
            </w:tcBorders>
            <w:shd w:val="clear" w:color="auto" w:fill="DEEAF6" w:themeFill="accent1" w:themeFillTint="33"/>
            <w:vAlign w:val="center"/>
          </w:tcPr>
          <w:p w14:paraId="4610A039" w14:textId="77777777" w:rsidR="002F3EB5" w:rsidRPr="00237760" w:rsidRDefault="002F3EB5" w:rsidP="009367B4">
            <w:pPr>
              <w:spacing w:after="0" w:line="240" w:lineRule="auto"/>
              <w:jc w:val="left"/>
              <w:rPr>
                <w:rFonts w:ascii="Arial" w:hAnsi="Arial" w:cs="Arial"/>
                <w:color w:val="auto"/>
                <w:sz w:val="24"/>
                <w:szCs w:val="24"/>
              </w:rPr>
            </w:pPr>
          </w:p>
        </w:tc>
        <w:tc>
          <w:tcPr>
            <w:tcW w:w="3685" w:type="dxa"/>
            <w:vMerge/>
            <w:tcBorders>
              <w:left w:val="nil"/>
              <w:bottom w:val="single" w:sz="4" w:space="0" w:color="BDD6EE" w:themeColor="accent1" w:themeTint="66"/>
              <w:right w:val="nil"/>
            </w:tcBorders>
            <w:vAlign w:val="center"/>
          </w:tcPr>
          <w:p w14:paraId="526F779E" w14:textId="6077DFC4" w:rsidR="002F3EB5" w:rsidRPr="00237760" w:rsidRDefault="002F3EB5" w:rsidP="009367B4">
            <w:pPr>
              <w:pStyle w:val="Akapitzlist"/>
              <w:numPr>
                <w:ilvl w:val="0"/>
                <w:numId w:val="33"/>
              </w:numPr>
              <w:spacing w:after="0" w:line="240" w:lineRule="auto"/>
              <w:ind w:left="176" w:hanging="218"/>
              <w:jc w:val="left"/>
              <w:rPr>
                <w:rFonts w:ascii="Arial" w:hAnsi="Arial" w:cs="Arial"/>
                <w:color w:val="auto"/>
                <w:sz w:val="24"/>
                <w:szCs w:val="24"/>
              </w:rPr>
            </w:pPr>
          </w:p>
        </w:tc>
      </w:tr>
      <w:tr w:rsidR="00237760" w:rsidRPr="00237760" w14:paraId="14A031FD" w14:textId="141A03EC" w:rsidTr="003D7F69">
        <w:trPr>
          <w:trHeight w:val="151"/>
        </w:trPr>
        <w:tc>
          <w:tcPr>
            <w:tcW w:w="2699"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2441AA8B" w14:textId="0791B4ED"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Wielkość emisji gazów cieplarnianych z transportu z rozbiciem na emisję:</w:t>
            </w:r>
          </w:p>
          <w:p w14:paraId="06385344" w14:textId="77777777"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a) dwutlenku węgla,</w:t>
            </w:r>
          </w:p>
          <w:p w14:paraId="39DF1718" w14:textId="77777777"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b) metanu,</w:t>
            </w:r>
          </w:p>
          <w:p w14:paraId="530B93D4" w14:textId="3E85C0D2"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c) podtlenku azotu</w:t>
            </w:r>
          </w:p>
        </w:tc>
        <w:tc>
          <w:tcPr>
            <w:tcW w:w="15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7E331DD4" w14:textId="286FC904"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 dotyczy</w:t>
            </w:r>
          </w:p>
        </w:tc>
        <w:tc>
          <w:tcPr>
            <w:tcW w:w="1275" w:type="dxa"/>
            <w:tcBorders>
              <w:top w:val="single" w:sz="4" w:space="0" w:color="BDD6EE" w:themeColor="accent1" w:themeTint="66"/>
              <w:left w:val="nil"/>
              <w:bottom w:val="single" w:sz="4" w:space="0" w:color="BDD6EE" w:themeColor="accent1" w:themeTint="66"/>
              <w:right w:val="nil"/>
            </w:tcBorders>
            <w:vAlign w:val="center"/>
          </w:tcPr>
          <w:p w14:paraId="0A0C4ADA" w14:textId="6DFE01C4" w:rsidR="002F3EB5" w:rsidRPr="00237760" w:rsidRDefault="0056683A"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brak informacji</w:t>
            </w:r>
          </w:p>
        </w:tc>
        <w:tc>
          <w:tcPr>
            <w:tcW w:w="3685" w:type="dxa"/>
            <w:tcBorders>
              <w:top w:val="single" w:sz="4" w:space="0" w:color="BDD6EE" w:themeColor="accent1" w:themeTint="66"/>
              <w:left w:val="nil"/>
              <w:bottom w:val="single" w:sz="4" w:space="0" w:color="BDD6EE" w:themeColor="accent1" w:themeTint="66"/>
              <w:right w:val="nil"/>
            </w:tcBorders>
            <w:vAlign w:val="center"/>
          </w:tcPr>
          <w:p w14:paraId="45153626" w14:textId="379DCDC3" w:rsidR="002F3EB5" w:rsidRPr="00237760" w:rsidRDefault="008D5073" w:rsidP="009367B4">
            <w:pPr>
              <w:pStyle w:val="Akapitzlist"/>
              <w:numPr>
                <w:ilvl w:val="0"/>
                <w:numId w:val="33"/>
              </w:numPr>
              <w:spacing w:after="0" w:line="240" w:lineRule="auto"/>
              <w:ind w:left="176" w:hanging="218"/>
              <w:jc w:val="left"/>
              <w:rPr>
                <w:rFonts w:ascii="Arial" w:hAnsi="Arial" w:cs="Arial"/>
                <w:color w:val="auto"/>
                <w:sz w:val="24"/>
                <w:szCs w:val="24"/>
              </w:rPr>
            </w:pPr>
            <w:r w:rsidRPr="00237760">
              <w:rPr>
                <w:rFonts w:ascii="Arial" w:hAnsi="Arial" w:cs="Arial"/>
                <w:color w:val="auto"/>
                <w:sz w:val="24"/>
                <w:szCs w:val="24"/>
              </w:rPr>
              <w:t>brak</w:t>
            </w:r>
          </w:p>
        </w:tc>
      </w:tr>
      <w:tr w:rsidR="00237760" w:rsidRPr="00237760" w14:paraId="6151DE68" w14:textId="48F57A5F" w:rsidTr="003D7F69">
        <w:trPr>
          <w:trHeight w:val="151"/>
        </w:trPr>
        <w:tc>
          <w:tcPr>
            <w:tcW w:w="2699"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582AB028" w14:textId="4B7F02A5"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lastRenderedPageBreak/>
              <w:t>Drogi ekspresowe i autostrady na 100 km</w:t>
            </w:r>
            <w:r w:rsidRPr="00237760">
              <w:rPr>
                <w:rFonts w:ascii="Arial" w:hAnsi="Arial" w:cs="Arial"/>
                <w:color w:val="auto"/>
                <w:sz w:val="24"/>
                <w:szCs w:val="24"/>
                <w:vertAlign w:val="superscript"/>
              </w:rPr>
              <w:t>2</w:t>
            </w:r>
          </w:p>
        </w:tc>
        <w:tc>
          <w:tcPr>
            <w:tcW w:w="15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78B4DA46" w14:textId="660EF89E" w:rsidR="002F3EB5" w:rsidRPr="00237760" w:rsidRDefault="00066A5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OK</w:t>
            </w:r>
            <w:r w:rsidR="00E9227B" w:rsidRPr="00237760">
              <w:rPr>
                <w:rFonts w:ascii="Arial" w:hAnsi="Arial" w:cs="Arial"/>
                <w:color w:val="auto"/>
                <w:sz w:val="24"/>
                <w:szCs w:val="24"/>
              </w:rPr>
              <w:t xml:space="preserve"> </w:t>
            </w:r>
          </w:p>
        </w:tc>
        <w:tc>
          <w:tcPr>
            <w:tcW w:w="1275" w:type="dxa"/>
            <w:tcBorders>
              <w:top w:val="single" w:sz="4" w:space="0" w:color="BDD6EE" w:themeColor="accent1" w:themeTint="66"/>
              <w:left w:val="nil"/>
              <w:bottom w:val="single" w:sz="4" w:space="0" w:color="BDD6EE" w:themeColor="accent1" w:themeTint="66"/>
              <w:right w:val="nil"/>
            </w:tcBorders>
            <w:vAlign w:val="center"/>
          </w:tcPr>
          <w:p w14:paraId="4D26B746" w14:textId="6DEE111A"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w:t>
            </w:r>
          </w:p>
        </w:tc>
        <w:tc>
          <w:tcPr>
            <w:tcW w:w="3685" w:type="dxa"/>
            <w:tcBorders>
              <w:top w:val="single" w:sz="4" w:space="0" w:color="BDD6EE" w:themeColor="accent1" w:themeTint="66"/>
              <w:left w:val="nil"/>
              <w:bottom w:val="single" w:sz="4" w:space="0" w:color="BDD6EE" w:themeColor="accent1" w:themeTint="66"/>
              <w:right w:val="nil"/>
            </w:tcBorders>
            <w:vAlign w:val="center"/>
          </w:tcPr>
          <w:p w14:paraId="0C64576C" w14:textId="798DC43D" w:rsidR="002F3EB5" w:rsidRPr="00237760" w:rsidRDefault="00066A53" w:rsidP="009367B4">
            <w:pPr>
              <w:pStyle w:val="Akapitzlist"/>
              <w:numPr>
                <w:ilvl w:val="0"/>
                <w:numId w:val="33"/>
              </w:numPr>
              <w:spacing w:after="0" w:line="240" w:lineRule="auto"/>
              <w:ind w:left="176" w:hanging="218"/>
              <w:jc w:val="left"/>
              <w:rPr>
                <w:rFonts w:ascii="Arial" w:hAnsi="Arial" w:cs="Arial"/>
                <w:color w:val="auto"/>
                <w:sz w:val="24"/>
                <w:szCs w:val="24"/>
              </w:rPr>
            </w:pPr>
            <w:r w:rsidRPr="00237760">
              <w:rPr>
                <w:rFonts w:ascii="Arial" w:hAnsi="Arial" w:cs="Arial"/>
                <w:color w:val="auto"/>
                <w:sz w:val="24"/>
                <w:szCs w:val="24"/>
              </w:rPr>
              <w:t xml:space="preserve">z uwagi na </w:t>
            </w:r>
            <w:r w:rsidR="007B10E1" w:rsidRPr="00237760">
              <w:rPr>
                <w:rFonts w:ascii="Arial" w:hAnsi="Arial" w:cs="Arial"/>
                <w:color w:val="auto"/>
                <w:sz w:val="24"/>
                <w:szCs w:val="24"/>
              </w:rPr>
              <w:t xml:space="preserve">brak bezpośredniego wpływu na inwestycje ponadregionalne, </w:t>
            </w:r>
            <w:r w:rsidR="00A3767A" w:rsidRPr="00237760">
              <w:rPr>
                <w:rFonts w:ascii="Arial" w:hAnsi="Arial" w:cs="Arial"/>
                <w:color w:val="auto"/>
                <w:sz w:val="24"/>
                <w:szCs w:val="24"/>
              </w:rPr>
              <w:t>należy przyjąć, że ostrożny szacunek wartości docelowej jest dobrym podejściem</w:t>
            </w:r>
            <w:r w:rsidR="00F22161" w:rsidRPr="00237760">
              <w:rPr>
                <w:rFonts w:ascii="Arial" w:hAnsi="Arial" w:cs="Arial"/>
                <w:color w:val="auto"/>
                <w:sz w:val="24"/>
                <w:szCs w:val="24"/>
              </w:rPr>
              <w:t xml:space="preserve"> (zob. </w:t>
            </w:r>
            <w:r w:rsidR="00F22161" w:rsidRPr="00237760">
              <w:rPr>
                <w:rFonts w:ascii="Arial" w:hAnsi="Arial" w:cs="Arial"/>
                <w:color w:val="auto"/>
                <w:sz w:val="24"/>
                <w:szCs w:val="24"/>
              </w:rPr>
              <w:fldChar w:fldCharType="begin"/>
            </w:r>
            <w:r w:rsidR="00F22161" w:rsidRPr="00237760">
              <w:rPr>
                <w:rFonts w:ascii="Arial" w:hAnsi="Arial" w:cs="Arial"/>
                <w:color w:val="auto"/>
                <w:sz w:val="24"/>
                <w:szCs w:val="24"/>
              </w:rPr>
              <w:instrText xml:space="preserve"> REF _Ref99544217 \h </w:instrText>
            </w:r>
            <w:r w:rsidR="00C340E0" w:rsidRPr="00237760">
              <w:rPr>
                <w:rFonts w:ascii="Arial" w:hAnsi="Arial" w:cs="Arial"/>
                <w:color w:val="auto"/>
                <w:sz w:val="24"/>
                <w:szCs w:val="24"/>
              </w:rPr>
              <w:instrText xml:space="preserve"> \* MERGEFORMAT </w:instrText>
            </w:r>
            <w:r w:rsidR="00F22161" w:rsidRPr="00237760">
              <w:rPr>
                <w:rFonts w:ascii="Arial" w:hAnsi="Arial" w:cs="Arial"/>
                <w:color w:val="auto"/>
                <w:sz w:val="24"/>
                <w:szCs w:val="24"/>
              </w:rPr>
            </w:r>
            <w:r w:rsidR="00F22161" w:rsidRPr="00237760">
              <w:rPr>
                <w:rFonts w:ascii="Arial" w:hAnsi="Arial" w:cs="Arial"/>
                <w:color w:val="auto"/>
                <w:sz w:val="24"/>
                <w:szCs w:val="24"/>
              </w:rPr>
              <w:fldChar w:fldCharType="separate"/>
            </w:r>
            <w:r w:rsidR="00E52C19" w:rsidRPr="00237760">
              <w:rPr>
                <w:rFonts w:ascii="Arial" w:hAnsi="Arial" w:cs="Arial"/>
                <w:color w:val="auto"/>
                <w:sz w:val="24"/>
                <w:szCs w:val="24"/>
              </w:rPr>
              <w:t>Wykres 3</w:t>
            </w:r>
            <w:r w:rsidR="00F22161" w:rsidRPr="00237760">
              <w:rPr>
                <w:rFonts w:ascii="Arial" w:hAnsi="Arial" w:cs="Arial"/>
                <w:color w:val="auto"/>
                <w:sz w:val="24"/>
                <w:szCs w:val="24"/>
              </w:rPr>
              <w:fldChar w:fldCharType="end"/>
            </w:r>
            <w:r w:rsidR="00F22161" w:rsidRPr="00237760">
              <w:rPr>
                <w:rFonts w:ascii="Arial" w:hAnsi="Arial" w:cs="Arial"/>
                <w:color w:val="auto"/>
                <w:sz w:val="24"/>
                <w:szCs w:val="24"/>
              </w:rPr>
              <w:t>)</w:t>
            </w:r>
          </w:p>
        </w:tc>
      </w:tr>
      <w:tr w:rsidR="00237760" w:rsidRPr="00237760" w14:paraId="379906AD" w14:textId="5678C788" w:rsidTr="003D7F69">
        <w:trPr>
          <w:trHeight w:val="151"/>
        </w:trPr>
        <w:tc>
          <w:tcPr>
            <w:tcW w:w="2699"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3BA21AC4" w14:textId="52A9BCB3"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Udział procentowy dróg o nawierzchni spełniającej</w:t>
            </w:r>
            <w:r w:rsidR="00D4547D" w:rsidRPr="00237760">
              <w:rPr>
                <w:rFonts w:ascii="Arial" w:hAnsi="Arial" w:cs="Arial"/>
                <w:color w:val="auto"/>
                <w:sz w:val="24"/>
                <w:szCs w:val="24"/>
              </w:rPr>
              <w:t xml:space="preserve"> </w:t>
            </w:r>
            <w:r w:rsidRPr="00237760">
              <w:rPr>
                <w:rFonts w:ascii="Arial" w:hAnsi="Arial" w:cs="Arial"/>
                <w:color w:val="auto"/>
                <w:sz w:val="24"/>
                <w:szCs w:val="24"/>
              </w:rPr>
              <w:t>normatyw nośności 115 kN/oś w długości całej</w:t>
            </w:r>
            <w:r w:rsidR="004459F6" w:rsidRPr="00237760">
              <w:rPr>
                <w:rFonts w:ascii="Arial" w:hAnsi="Arial" w:cs="Arial"/>
                <w:color w:val="auto"/>
                <w:sz w:val="24"/>
                <w:szCs w:val="24"/>
              </w:rPr>
              <w:t xml:space="preserve"> </w:t>
            </w:r>
            <w:r w:rsidRPr="00237760">
              <w:rPr>
                <w:rFonts w:ascii="Arial" w:hAnsi="Arial" w:cs="Arial"/>
                <w:color w:val="auto"/>
                <w:sz w:val="24"/>
                <w:szCs w:val="24"/>
              </w:rPr>
              <w:t>sieci dróg krajowych na terenie regionu</w:t>
            </w:r>
          </w:p>
        </w:tc>
        <w:tc>
          <w:tcPr>
            <w:tcW w:w="15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54E99F47" w14:textId="3E7E6FDD" w:rsidR="002F3EB5" w:rsidRPr="00237760" w:rsidRDefault="0056683A"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 dotyczy</w:t>
            </w:r>
          </w:p>
        </w:tc>
        <w:tc>
          <w:tcPr>
            <w:tcW w:w="1275" w:type="dxa"/>
            <w:tcBorders>
              <w:top w:val="single" w:sz="4" w:space="0" w:color="BDD6EE" w:themeColor="accent1" w:themeTint="66"/>
              <w:left w:val="nil"/>
              <w:bottom w:val="single" w:sz="4" w:space="0" w:color="BDD6EE" w:themeColor="accent1" w:themeTint="66"/>
              <w:right w:val="nil"/>
            </w:tcBorders>
            <w:vAlign w:val="center"/>
          </w:tcPr>
          <w:p w14:paraId="21904AF9" w14:textId="199ABE1A" w:rsidR="002F3EB5" w:rsidRPr="00237760" w:rsidRDefault="00CA47E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brak informacji</w:t>
            </w:r>
          </w:p>
        </w:tc>
        <w:tc>
          <w:tcPr>
            <w:tcW w:w="3685" w:type="dxa"/>
            <w:tcBorders>
              <w:top w:val="single" w:sz="4" w:space="0" w:color="BDD6EE" w:themeColor="accent1" w:themeTint="66"/>
              <w:left w:val="nil"/>
              <w:bottom w:val="single" w:sz="4" w:space="0" w:color="BDD6EE" w:themeColor="accent1" w:themeTint="66"/>
              <w:right w:val="nil"/>
            </w:tcBorders>
            <w:vAlign w:val="center"/>
          </w:tcPr>
          <w:p w14:paraId="728BA051" w14:textId="69D801E7" w:rsidR="002F3EB5" w:rsidRPr="00237760" w:rsidRDefault="008D5073" w:rsidP="009367B4">
            <w:pPr>
              <w:pStyle w:val="Akapitzlist"/>
              <w:numPr>
                <w:ilvl w:val="0"/>
                <w:numId w:val="33"/>
              </w:numPr>
              <w:spacing w:after="0" w:line="240" w:lineRule="auto"/>
              <w:ind w:left="176" w:hanging="218"/>
              <w:jc w:val="left"/>
              <w:rPr>
                <w:rFonts w:ascii="Arial" w:hAnsi="Arial" w:cs="Arial"/>
                <w:color w:val="auto"/>
                <w:sz w:val="24"/>
                <w:szCs w:val="24"/>
              </w:rPr>
            </w:pPr>
            <w:r w:rsidRPr="00237760">
              <w:rPr>
                <w:rFonts w:ascii="Arial" w:hAnsi="Arial" w:cs="Arial"/>
                <w:color w:val="auto"/>
                <w:sz w:val="24"/>
                <w:szCs w:val="24"/>
              </w:rPr>
              <w:t>brak</w:t>
            </w:r>
          </w:p>
        </w:tc>
      </w:tr>
      <w:tr w:rsidR="00237760" w:rsidRPr="00237760" w14:paraId="25CB17CC" w14:textId="2977D936" w:rsidTr="003D7F69">
        <w:trPr>
          <w:trHeight w:val="726"/>
        </w:trPr>
        <w:tc>
          <w:tcPr>
            <w:tcW w:w="2699"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06C924BF" w14:textId="0BCFD1C7"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Krajowe mosty i wiadukty ogółem</w:t>
            </w:r>
          </w:p>
        </w:tc>
        <w:tc>
          <w:tcPr>
            <w:tcW w:w="15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6D93680F" w14:textId="32225E3C" w:rsidR="002F3EB5" w:rsidRPr="00237760" w:rsidRDefault="00CF01E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niedoszacowana</w:t>
            </w:r>
          </w:p>
        </w:tc>
        <w:tc>
          <w:tcPr>
            <w:tcW w:w="1275" w:type="dxa"/>
            <w:tcBorders>
              <w:top w:val="single" w:sz="4" w:space="0" w:color="BDD6EE" w:themeColor="accent1" w:themeTint="66"/>
              <w:left w:val="nil"/>
              <w:bottom w:val="single" w:sz="4" w:space="0" w:color="BDD6EE" w:themeColor="accent1" w:themeTint="66"/>
              <w:right w:val="nil"/>
            </w:tcBorders>
            <w:vAlign w:val="center"/>
          </w:tcPr>
          <w:p w14:paraId="4B0BFBE3" w14:textId="44B72332"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w:t>
            </w:r>
          </w:p>
        </w:tc>
        <w:tc>
          <w:tcPr>
            <w:tcW w:w="3685" w:type="dxa"/>
            <w:tcBorders>
              <w:top w:val="single" w:sz="4" w:space="0" w:color="BDD6EE" w:themeColor="accent1" w:themeTint="66"/>
              <w:left w:val="nil"/>
              <w:bottom w:val="single" w:sz="4" w:space="0" w:color="BDD6EE" w:themeColor="accent1" w:themeTint="66"/>
              <w:right w:val="nil"/>
            </w:tcBorders>
            <w:vAlign w:val="center"/>
          </w:tcPr>
          <w:p w14:paraId="75D4B931" w14:textId="6DC293FC" w:rsidR="002F3EB5" w:rsidRPr="00237760" w:rsidRDefault="00FF0399" w:rsidP="009367B4">
            <w:pPr>
              <w:pStyle w:val="Akapitzlist"/>
              <w:numPr>
                <w:ilvl w:val="0"/>
                <w:numId w:val="33"/>
              </w:numPr>
              <w:spacing w:after="0" w:line="240" w:lineRule="auto"/>
              <w:ind w:left="176" w:hanging="218"/>
              <w:jc w:val="left"/>
              <w:rPr>
                <w:rFonts w:ascii="Arial" w:hAnsi="Arial" w:cs="Arial"/>
                <w:color w:val="auto"/>
                <w:sz w:val="24"/>
                <w:szCs w:val="24"/>
              </w:rPr>
            </w:pPr>
            <w:r w:rsidRPr="00237760">
              <w:rPr>
                <w:rFonts w:ascii="Arial" w:hAnsi="Arial" w:cs="Arial"/>
                <w:color w:val="auto"/>
                <w:sz w:val="24"/>
                <w:szCs w:val="24"/>
              </w:rPr>
              <w:t xml:space="preserve">statystycznie wyliczona wartość (przy uwzględnieniu średniej dynamiki zmiany) jest prawdopodobnie zbyt wysoka z uwagi na </w:t>
            </w:r>
            <w:r w:rsidR="002C75B8" w:rsidRPr="00237760">
              <w:rPr>
                <w:rFonts w:ascii="Arial" w:hAnsi="Arial" w:cs="Arial"/>
                <w:color w:val="auto"/>
                <w:sz w:val="24"/>
                <w:szCs w:val="24"/>
              </w:rPr>
              <w:t xml:space="preserve">inwestycyjny </w:t>
            </w:r>
            <w:r w:rsidRPr="00237760">
              <w:rPr>
                <w:rFonts w:ascii="Arial" w:hAnsi="Arial" w:cs="Arial"/>
                <w:color w:val="auto"/>
                <w:sz w:val="24"/>
                <w:szCs w:val="24"/>
              </w:rPr>
              <w:t>charakter wskaźnika</w:t>
            </w:r>
            <w:r w:rsidR="006B0C09" w:rsidRPr="00237760">
              <w:rPr>
                <w:rFonts w:ascii="Arial" w:hAnsi="Arial" w:cs="Arial"/>
                <w:color w:val="auto"/>
                <w:sz w:val="24"/>
                <w:szCs w:val="24"/>
              </w:rPr>
              <w:t xml:space="preserve"> (zob. </w:t>
            </w:r>
            <w:r w:rsidR="006B0C09" w:rsidRPr="00237760">
              <w:rPr>
                <w:rFonts w:ascii="Arial" w:hAnsi="Arial" w:cs="Arial"/>
                <w:color w:val="auto"/>
                <w:sz w:val="24"/>
                <w:szCs w:val="24"/>
              </w:rPr>
              <w:fldChar w:fldCharType="begin"/>
            </w:r>
            <w:r w:rsidR="006B0C09" w:rsidRPr="00237760">
              <w:rPr>
                <w:rFonts w:ascii="Arial" w:hAnsi="Arial" w:cs="Arial"/>
                <w:color w:val="auto"/>
                <w:sz w:val="24"/>
                <w:szCs w:val="24"/>
              </w:rPr>
              <w:instrText xml:space="preserve"> REF _Ref99544483 \h </w:instrText>
            </w:r>
            <w:r w:rsidR="00C340E0" w:rsidRPr="00237760">
              <w:rPr>
                <w:rFonts w:ascii="Arial" w:hAnsi="Arial" w:cs="Arial"/>
                <w:color w:val="auto"/>
                <w:sz w:val="24"/>
                <w:szCs w:val="24"/>
              </w:rPr>
              <w:instrText xml:space="preserve"> \* MERGEFORMAT </w:instrText>
            </w:r>
            <w:r w:rsidR="006B0C09" w:rsidRPr="00237760">
              <w:rPr>
                <w:rFonts w:ascii="Arial" w:hAnsi="Arial" w:cs="Arial"/>
                <w:color w:val="auto"/>
                <w:sz w:val="24"/>
                <w:szCs w:val="24"/>
              </w:rPr>
            </w:r>
            <w:r w:rsidR="006B0C09" w:rsidRPr="00237760">
              <w:rPr>
                <w:rFonts w:ascii="Arial" w:hAnsi="Arial" w:cs="Arial"/>
                <w:color w:val="auto"/>
                <w:sz w:val="24"/>
                <w:szCs w:val="24"/>
              </w:rPr>
              <w:fldChar w:fldCharType="separate"/>
            </w:r>
            <w:r w:rsidR="00E52C19" w:rsidRPr="00237760">
              <w:rPr>
                <w:rFonts w:ascii="Arial" w:hAnsi="Arial" w:cs="Arial"/>
                <w:color w:val="auto"/>
                <w:sz w:val="24"/>
                <w:szCs w:val="24"/>
              </w:rPr>
              <w:t>Wykres 4</w:t>
            </w:r>
            <w:r w:rsidR="006B0C09" w:rsidRPr="00237760">
              <w:rPr>
                <w:rFonts w:ascii="Arial" w:hAnsi="Arial" w:cs="Arial"/>
                <w:color w:val="auto"/>
                <w:sz w:val="24"/>
                <w:szCs w:val="24"/>
              </w:rPr>
              <w:fldChar w:fldCharType="end"/>
            </w:r>
            <w:r w:rsidR="006B0C09" w:rsidRPr="00237760">
              <w:rPr>
                <w:rFonts w:ascii="Arial" w:hAnsi="Arial" w:cs="Arial"/>
                <w:color w:val="auto"/>
                <w:sz w:val="24"/>
                <w:szCs w:val="24"/>
              </w:rPr>
              <w:t>)</w:t>
            </w:r>
            <w:r w:rsidRPr="00237760">
              <w:rPr>
                <w:rFonts w:ascii="Arial" w:hAnsi="Arial" w:cs="Arial"/>
                <w:color w:val="auto"/>
                <w:sz w:val="24"/>
                <w:szCs w:val="24"/>
              </w:rPr>
              <w:t xml:space="preserve">, jednak warto rozważyć bardziej odważne szacunki, ponieważ </w:t>
            </w:r>
            <w:r w:rsidR="00F55696" w:rsidRPr="00237760">
              <w:rPr>
                <w:rFonts w:ascii="Arial" w:hAnsi="Arial" w:cs="Arial"/>
                <w:color w:val="auto"/>
                <w:sz w:val="24"/>
                <w:szCs w:val="24"/>
              </w:rPr>
              <w:t>wskaźnik już w 2020 roku przekroczył szacowaną wartość docelową</w:t>
            </w:r>
          </w:p>
        </w:tc>
      </w:tr>
      <w:tr w:rsidR="00237760" w:rsidRPr="00237760" w14:paraId="52964F77" w14:textId="250EEFF1" w:rsidTr="003D7F69">
        <w:trPr>
          <w:trHeight w:val="151"/>
        </w:trPr>
        <w:tc>
          <w:tcPr>
            <w:tcW w:w="2699"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6C2CC3AD" w14:textId="35B0E81F"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Ruch pasażerów w portach lotniczych – przyjazdy</w:t>
            </w:r>
            <w:r w:rsidR="00D4547D" w:rsidRPr="00237760">
              <w:rPr>
                <w:rFonts w:ascii="Arial" w:hAnsi="Arial" w:cs="Arial"/>
                <w:color w:val="auto"/>
                <w:sz w:val="24"/>
                <w:szCs w:val="24"/>
              </w:rPr>
              <w:t xml:space="preserve"> </w:t>
            </w:r>
            <w:r w:rsidRPr="00237760">
              <w:rPr>
                <w:rFonts w:ascii="Arial" w:hAnsi="Arial" w:cs="Arial"/>
                <w:color w:val="auto"/>
                <w:sz w:val="24"/>
                <w:szCs w:val="24"/>
              </w:rPr>
              <w:t>i wyjazdy</w:t>
            </w:r>
          </w:p>
        </w:tc>
        <w:tc>
          <w:tcPr>
            <w:tcW w:w="15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0C5BB824" w14:textId="329B03D5" w:rsidR="002F3EB5" w:rsidRPr="00237760" w:rsidRDefault="007736E7"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niedoszacowana / OK</w:t>
            </w:r>
            <w:r w:rsidR="0049710D" w:rsidRPr="00237760">
              <w:rPr>
                <w:rStyle w:val="Odwoanieprzypisudolnego"/>
                <w:rFonts w:ascii="Arial" w:hAnsi="Arial" w:cs="Arial"/>
                <w:color w:val="auto"/>
                <w:sz w:val="24"/>
                <w:szCs w:val="24"/>
              </w:rPr>
              <w:footnoteReference w:id="24"/>
            </w:r>
          </w:p>
        </w:tc>
        <w:tc>
          <w:tcPr>
            <w:tcW w:w="1275" w:type="dxa"/>
            <w:tcBorders>
              <w:top w:val="single" w:sz="4" w:space="0" w:color="BDD6EE" w:themeColor="accent1" w:themeTint="66"/>
              <w:left w:val="nil"/>
              <w:bottom w:val="single" w:sz="4" w:space="0" w:color="BDD6EE" w:themeColor="accent1" w:themeTint="66"/>
              <w:right w:val="nil"/>
            </w:tcBorders>
            <w:vAlign w:val="center"/>
          </w:tcPr>
          <w:p w14:paraId="35B3ECF5" w14:textId="4B9F8659" w:rsidR="002F3EB5" w:rsidRPr="00237760" w:rsidRDefault="000873CD"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w:t>
            </w:r>
          </w:p>
        </w:tc>
        <w:tc>
          <w:tcPr>
            <w:tcW w:w="3685" w:type="dxa"/>
            <w:tcBorders>
              <w:top w:val="single" w:sz="4" w:space="0" w:color="BDD6EE" w:themeColor="accent1" w:themeTint="66"/>
              <w:left w:val="nil"/>
              <w:bottom w:val="single" w:sz="4" w:space="0" w:color="BDD6EE" w:themeColor="accent1" w:themeTint="66"/>
              <w:right w:val="nil"/>
            </w:tcBorders>
            <w:vAlign w:val="center"/>
          </w:tcPr>
          <w:p w14:paraId="40D2C9DF" w14:textId="46C42E7F" w:rsidR="00D11619" w:rsidRPr="00237760" w:rsidRDefault="007736E7" w:rsidP="009367B4">
            <w:pPr>
              <w:pStyle w:val="Akapitzlist"/>
              <w:numPr>
                <w:ilvl w:val="0"/>
                <w:numId w:val="33"/>
              </w:numPr>
              <w:spacing w:after="0" w:line="240" w:lineRule="auto"/>
              <w:ind w:left="176" w:hanging="218"/>
              <w:jc w:val="left"/>
              <w:rPr>
                <w:rFonts w:ascii="Arial" w:hAnsi="Arial" w:cs="Arial"/>
                <w:color w:val="auto"/>
                <w:sz w:val="24"/>
                <w:szCs w:val="24"/>
              </w:rPr>
            </w:pPr>
            <w:r w:rsidRPr="00237760">
              <w:rPr>
                <w:rFonts w:ascii="Arial" w:hAnsi="Arial" w:cs="Arial"/>
                <w:color w:val="auto"/>
                <w:sz w:val="24"/>
                <w:szCs w:val="24"/>
              </w:rPr>
              <w:t>biorąc pod uwagę trend zmiany wskaźnika można przyjąć, że oszacowana wartość docelowa jest zbyt ostrożna</w:t>
            </w:r>
            <w:r w:rsidR="00D36110" w:rsidRPr="00237760">
              <w:rPr>
                <w:rFonts w:ascii="Arial" w:hAnsi="Arial" w:cs="Arial"/>
                <w:color w:val="auto"/>
                <w:sz w:val="24"/>
                <w:szCs w:val="24"/>
              </w:rPr>
              <w:t xml:space="preserve"> (</w:t>
            </w:r>
            <w:r w:rsidR="00D36110" w:rsidRPr="00237760">
              <w:rPr>
                <w:rFonts w:ascii="Arial" w:hAnsi="Arial" w:cs="Arial"/>
                <w:color w:val="auto"/>
                <w:sz w:val="24"/>
                <w:szCs w:val="24"/>
              </w:rPr>
              <w:fldChar w:fldCharType="begin"/>
            </w:r>
            <w:r w:rsidR="00D36110" w:rsidRPr="00237760">
              <w:rPr>
                <w:rFonts w:ascii="Arial" w:hAnsi="Arial" w:cs="Arial"/>
                <w:color w:val="auto"/>
                <w:sz w:val="24"/>
                <w:szCs w:val="24"/>
              </w:rPr>
              <w:instrText xml:space="preserve"> REF _Ref99544802 \h </w:instrText>
            </w:r>
            <w:r w:rsidR="00C340E0" w:rsidRPr="00237760">
              <w:rPr>
                <w:rFonts w:ascii="Arial" w:hAnsi="Arial" w:cs="Arial"/>
                <w:color w:val="auto"/>
                <w:sz w:val="24"/>
                <w:szCs w:val="24"/>
              </w:rPr>
              <w:instrText xml:space="preserve"> \* MERGEFORMAT </w:instrText>
            </w:r>
            <w:r w:rsidR="00D36110" w:rsidRPr="00237760">
              <w:rPr>
                <w:rFonts w:ascii="Arial" w:hAnsi="Arial" w:cs="Arial"/>
                <w:color w:val="auto"/>
                <w:sz w:val="24"/>
                <w:szCs w:val="24"/>
              </w:rPr>
            </w:r>
            <w:r w:rsidR="00D36110" w:rsidRPr="00237760">
              <w:rPr>
                <w:rFonts w:ascii="Arial" w:hAnsi="Arial" w:cs="Arial"/>
                <w:color w:val="auto"/>
                <w:sz w:val="24"/>
                <w:szCs w:val="24"/>
              </w:rPr>
              <w:fldChar w:fldCharType="separate"/>
            </w:r>
            <w:r w:rsidR="00E52C19" w:rsidRPr="00237760">
              <w:rPr>
                <w:rFonts w:ascii="Arial" w:hAnsi="Arial" w:cs="Arial"/>
                <w:color w:val="auto"/>
                <w:sz w:val="24"/>
                <w:szCs w:val="24"/>
              </w:rPr>
              <w:t>Wykres 5</w:t>
            </w:r>
            <w:r w:rsidR="00D36110" w:rsidRPr="00237760">
              <w:rPr>
                <w:rFonts w:ascii="Arial" w:hAnsi="Arial" w:cs="Arial"/>
                <w:color w:val="auto"/>
                <w:sz w:val="24"/>
                <w:szCs w:val="24"/>
              </w:rPr>
              <w:fldChar w:fldCharType="end"/>
            </w:r>
            <w:r w:rsidR="00D36110" w:rsidRPr="00237760">
              <w:rPr>
                <w:rFonts w:ascii="Arial" w:hAnsi="Arial" w:cs="Arial"/>
                <w:color w:val="auto"/>
                <w:sz w:val="24"/>
                <w:szCs w:val="24"/>
              </w:rPr>
              <w:t>)</w:t>
            </w:r>
            <w:r w:rsidRPr="00237760">
              <w:rPr>
                <w:rFonts w:ascii="Arial" w:hAnsi="Arial" w:cs="Arial"/>
                <w:color w:val="auto"/>
                <w:sz w:val="24"/>
                <w:szCs w:val="24"/>
              </w:rPr>
              <w:t xml:space="preserve">, jednak </w:t>
            </w:r>
            <w:r w:rsidR="00C2740D" w:rsidRPr="00237760">
              <w:rPr>
                <w:rFonts w:ascii="Arial" w:hAnsi="Arial" w:cs="Arial"/>
                <w:color w:val="auto"/>
                <w:sz w:val="24"/>
                <w:szCs w:val="24"/>
              </w:rPr>
              <w:t>wskaźnik jest czuły na oddziaływanie tzw. „czarnych łabędzi”, tj. pandemia</w:t>
            </w:r>
            <w:r w:rsidR="00DA4459" w:rsidRPr="00237760">
              <w:rPr>
                <w:rFonts w:ascii="Arial" w:hAnsi="Arial" w:cs="Arial"/>
                <w:color w:val="auto"/>
                <w:sz w:val="24"/>
                <w:szCs w:val="24"/>
              </w:rPr>
              <w:t xml:space="preserve"> (co pokazują dane dla 2020 roku)</w:t>
            </w:r>
            <w:r w:rsidR="00C2740D" w:rsidRPr="00237760">
              <w:rPr>
                <w:rFonts w:ascii="Arial" w:hAnsi="Arial" w:cs="Arial"/>
                <w:color w:val="auto"/>
                <w:sz w:val="24"/>
                <w:szCs w:val="24"/>
              </w:rPr>
              <w:t xml:space="preserve"> czy wojna, zatem ostrożne </w:t>
            </w:r>
            <w:r w:rsidR="00C2740D" w:rsidRPr="00237760">
              <w:rPr>
                <w:rFonts w:ascii="Arial" w:hAnsi="Arial" w:cs="Arial"/>
                <w:color w:val="auto"/>
                <w:sz w:val="24"/>
                <w:szCs w:val="24"/>
              </w:rPr>
              <w:lastRenderedPageBreak/>
              <w:t>podejście do szacunku wydaje się słuszne</w:t>
            </w:r>
            <w:r w:rsidR="00D11619" w:rsidRPr="00237760">
              <w:rPr>
                <w:rFonts w:ascii="Arial" w:hAnsi="Arial" w:cs="Arial"/>
                <w:color w:val="auto"/>
                <w:sz w:val="24"/>
                <w:szCs w:val="24"/>
              </w:rPr>
              <w:t>;</w:t>
            </w:r>
          </w:p>
          <w:p w14:paraId="4917C8AB" w14:textId="5A065AAD" w:rsidR="002F3EB5" w:rsidRPr="00237760" w:rsidRDefault="00D11619" w:rsidP="009367B4">
            <w:pPr>
              <w:pStyle w:val="Akapitzlist"/>
              <w:numPr>
                <w:ilvl w:val="0"/>
                <w:numId w:val="33"/>
              </w:numPr>
              <w:spacing w:after="0" w:line="240" w:lineRule="auto"/>
              <w:ind w:left="176" w:hanging="218"/>
              <w:jc w:val="left"/>
              <w:rPr>
                <w:rFonts w:ascii="Arial" w:hAnsi="Arial" w:cs="Arial"/>
                <w:color w:val="auto"/>
                <w:sz w:val="24"/>
                <w:szCs w:val="24"/>
              </w:rPr>
            </w:pPr>
            <w:r w:rsidRPr="00237760">
              <w:rPr>
                <w:rFonts w:ascii="Arial" w:hAnsi="Arial" w:cs="Arial"/>
                <w:color w:val="auto"/>
                <w:sz w:val="24"/>
                <w:szCs w:val="24"/>
              </w:rPr>
              <w:t>z uwagi na wrażliwość wskaźnika można rozważyć jego pomiar względem wartości krajowej – „udział ruchu pasażerów (Polska=100)” – bowiem załamania trendu są domeną krajową, nie zaś wyłącznie woj. podkarpackiego</w:t>
            </w:r>
          </w:p>
        </w:tc>
      </w:tr>
      <w:tr w:rsidR="00237760" w:rsidRPr="00237760" w14:paraId="3F61BD74" w14:textId="0E531AE5" w:rsidTr="003D7F69">
        <w:trPr>
          <w:trHeight w:val="151"/>
        </w:trPr>
        <w:tc>
          <w:tcPr>
            <w:tcW w:w="2699"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4C822CCF" w14:textId="776ABB91"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lastRenderedPageBreak/>
              <w:t>Udział procentowy dróg o nawierzchni spełniającej</w:t>
            </w:r>
            <w:r w:rsidR="00CA47E5" w:rsidRPr="00237760">
              <w:rPr>
                <w:rFonts w:ascii="Arial" w:hAnsi="Arial" w:cs="Arial"/>
                <w:color w:val="auto"/>
                <w:sz w:val="24"/>
                <w:szCs w:val="24"/>
              </w:rPr>
              <w:t xml:space="preserve"> </w:t>
            </w:r>
            <w:r w:rsidRPr="00237760">
              <w:rPr>
                <w:rFonts w:ascii="Arial" w:hAnsi="Arial" w:cs="Arial"/>
                <w:color w:val="auto"/>
                <w:sz w:val="24"/>
                <w:szCs w:val="24"/>
              </w:rPr>
              <w:t>normatyw nośności 115 kN/oś w długości całej</w:t>
            </w:r>
            <w:r w:rsidR="00CA47E5" w:rsidRPr="00237760">
              <w:rPr>
                <w:rFonts w:ascii="Arial" w:hAnsi="Arial" w:cs="Arial"/>
                <w:color w:val="auto"/>
                <w:sz w:val="24"/>
                <w:szCs w:val="24"/>
              </w:rPr>
              <w:t xml:space="preserve"> </w:t>
            </w:r>
            <w:r w:rsidRPr="00237760">
              <w:rPr>
                <w:rFonts w:ascii="Arial" w:hAnsi="Arial" w:cs="Arial"/>
                <w:color w:val="auto"/>
                <w:sz w:val="24"/>
                <w:szCs w:val="24"/>
              </w:rPr>
              <w:t>sieci dróg wojewódzkich</w:t>
            </w:r>
          </w:p>
        </w:tc>
        <w:tc>
          <w:tcPr>
            <w:tcW w:w="15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38FDEBAC" w14:textId="606BDC55" w:rsidR="002F3EB5" w:rsidRPr="00237760" w:rsidRDefault="005363E0"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 dotyczy</w:t>
            </w:r>
          </w:p>
        </w:tc>
        <w:tc>
          <w:tcPr>
            <w:tcW w:w="1275" w:type="dxa"/>
            <w:tcBorders>
              <w:top w:val="single" w:sz="4" w:space="0" w:color="BDD6EE" w:themeColor="accent1" w:themeTint="66"/>
              <w:left w:val="nil"/>
              <w:bottom w:val="single" w:sz="4" w:space="0" w:color="BDD6EE" w:themeColor="accent1" w:themeTint="66"/>
              <w:right w:val="nil"/>
            </w:tcBorders>
            <w:vAlign w:val="center"/>
          </w:tcPr>
          <w:p w14:paraId="00470399" w14:textId="4A35DBCC" w:rsidR="002F3EB5" w:rsidRPr="00237760" w:rsidRDefault="005363E0"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brak informacji</w:t>
            </w:r>
          </w:p>
        </w:tc>
        <w:tc>
          <w:tcPr>
            <w:tcW w:w="3685" w:type="dxa"/>
            <w:tcBorders>
              <w:top w:val="single" w:sz="4" w:space="0" w:color="BDD6EE" w:themeColor="accent1" w:themeTint="66"/>
              <w:left w:val="nil"/>
              <w:bottom w:val="single" w:sz="4" w:space="0" w:color="BDD6EE" w:themeColor="accent1" w:themeTint="66"/>
              <w:right w:val="nil"/>
            </w:tcBorders>
            <w:vAlign w:val="center"/>
          </w:tcPr>
          <w:p w14:paraId="253B6CDA" w14:textId="733BEC36" w:rsidR="002F3EB5" w:rsidRPr="00237760" w:rsidRDefault="008D5073" w:rsidP="009367B4">
            <w:pPr>
              <w:pStyle w:val="Akapitzlist"/>
              <w:numPr>
                <w:ilvl w:val="0"/>
                <w:numId w:val="33"/>
              </w:numPr>
              <w:spacing w:after="0" w:line="240" w:lineRule="auto"/>
              <w:ind w:left="176" w:hanging="218"/>
              <w:jc w:val="left"/>
              <w:rPr>
                <w:rFonts w:ascii="Arial" w:hAnsi="Arial" w:cs="Arial"/>
                <w:color w:val="auto"/>
                <w:sz w:val="24"/>
                <w:szCs w:val="24"/>
              </w:rPr>
            </w:pPr>
            <w:r w:rsidRPr="00237760">
              <w:rPr>
                <w:rFonts w:ascii="Arial" w:hAnsi="Arial" w:cs="Arial"/>
                <w:color w:val="auto"/>
                <w:sz w:val="24"/>
                <w:szCs w:val="24"/>
              </w:rPr>
              <w:t>brak</w:t>
            </w:r>
          </w:p>
        </w:tc>
      </w:tr>
      <w:tr w:rsidR="00237760" w:rsidRPr="00237760" w14:paraId="43A2A545" w14:textId="27F01A87" w:rsidTr="003D7F69">
        <w:trPr>
          <w:trHeight w:val="151"/>
        </w:trPr>
        <w:tc>
          <w:tcPr>
            <w:tcW w:w="2699"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46482165" w14:textId="60CCA248"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Drogi lokalne (gminne i powiatowe) o nawierzchni</w:t>
            </w:r>
            <w:r w:rsidR="004459F6" w:rsidRPr="00237760">
              <w:rPr>
                <w:rFonts w:ascii="Arial" w:hAnsi="Arial" w:cs="Arial"/>
                <w:color w:val="auto"/>
                <w:sz w:val="24"/>
                <w:szCs w:val="24"/>
              </w:rPr>
              <w:t xml:space="preserve"> </w:t>
            </w:r>
            <w:r w:rsidRPr="00237760">
              <w:rPr>
                <w:rFonts w:ascii="Arial" w:hAnsi="Arial" w:cs="Arial"/>
                <w:color w:val="auto"/>
                <w:sz w:val="24"/>
                <w:szCs w:val="24"/>
              </w:rPr>
              <w:t>twardej ulepszonej (z kostki kamiennej, klinkieru,</w:t>
            </w:r>
            <w:r w:rsidR="00CA47E5" w:rsidRPr="00237760">
              <w:rPr>
                <w:rFonts w:ascii="Arial" w:hAnsi="Arial" w:cs="Arial"/>
                <w:color w:val="auto"/>
                <w:sz w:val="24"/>
                <w:szCs w:val="24"/>
              </w:rPr>
              <w:t xml:space="preserve"> </w:t>
            </w:r>
            <w:r w:rsidRPr="00237760">
              <w:rPr>
                <w:rFonts w:ascii="Arial" w:hAnsi="Arial" w:cs="Arial"/>
                <w:color w:val="auto"/>
                <w:sz w:val="24"/>
                <w:szCs w:val="24"/>
              </w:rPr>
              <w:t>betonu, z płyt kamienno-betonowych, bitumu)</w:t>
            </w:r>
            <w:r w:rsidR="009002FB" w:rsidRPr="00237760">
              <w:rPr>
                <w:rFonts w:ascii="Arial" w:hAnsi="Arial" w:cs="Arial"/>
                <w:color w:val="auto"/>
                <w:sz w:val="24"/>
                <w:szCs w:val="24"/>
              </w:rPr>
              <w:t xml:space="preserve"> </w:t>
            </w:r>
            <w:r w:rsidRPr="00237760">
              <w:rPr>
                <w:rFonts w:ascii="Arial" w:hAnsi="Arial" w:cs="Arial"/>
                <w:color w:val="auto"/>
                <w:sz w:val="24"/>
                <w:szCs w:val="24"/>
              </w:rPr>
              <w:t>ogółem</w:t>
            </w:r>
          </w:p>
        </w:tc>
        <w:tc>
          <w:tcPr>
            <w:tcW w:w="15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58360571" w14:textId="516A2A31" w:rsidR="002F3EB5" w:rsidRPr="00237760" w:rsidRDefault="00FA531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niedoszacowana</w:t>
            </w:r>
          </w:p>
        </w:tc>
        <w:tc>
          <w:tcPr>
            <w:tcW w:w="1275" w:type="dxa"/>
            <w:tcBorders>
              <w:top w:val="single" w:sz="4" w:space="0" w:color="BDD6EE" w:themeColor="accent1" w:themeTint="66"/>
              <w:left w:val="nil"/>
              <w:bottom w:val="single" w:sz="4" w:space="0" w:color="BDD6EE" w:themeColor="accent1" w:themeTint="66"/>
              <w:right w:val="nil"/>
            </w:tcBorders>
            <w:shd w:val="clear" w:color="auto" w:fill="DEEAF6" w:themeFill="accent1" w:themeFillTint="33"/>
            <w:vAlign w:val="center"/>
          </w:tcPr>
          <w:p w14:paraId="2B7BB384" w14:textId="0082A57C"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 (powiaty)</w:t>
            </w:r>
          </w:p>
        </w:tc>
        <w:tc>
          <w:tcPr>
            <w:tcW w:w="3685" w:type="dxa"/>
            <w:tcBorders>
              <w:top w:val="single" w:sz="4" w:space="0" w:color="BDD6EE" w:themeColor="accent1" w:themeTint="66"/>
              <w:left w:val="nil"/>
              <w:bottom w:val="single" w:sz="4" w:space="0" w:color="BDD6EE" w:themeColor="accent1" w:themeTint="66"/>
              <w:right w:val="nil"/>
            </w:tcBorders>
            <w:vAlign w:val="center"/>
          </w:tcPr>
          <w:p w14:paraId="31CBD3C5" w14:textId="1E29A863" w:rsidR="00020330" w:rsidRPr="00237760" w:rsidRDefault="00FA5313" w:rsidP="009367B4">
            <w:pPr>
              <w:pStyle w:val="Akapitzlist"/>
              <w:numPr>
                <w:ilvl w:val="0"/>
                <w:numId w:val="33"/>
              </w:numPr>
              <w:spacing w:after="0" w:line="240" w:lineRule="auto"/>
              <w:ind w:left="176" w:hanging="218"/>
              <w:jc w:val="left"/>
              <w:rPr>
                <w:rFonts w:ascii="Arial" w:hAnsi="Arial" w:cs="Arial"/>
                <w:color w:val="auto"/>
                <w:sz w:val="24"/>
                <w:szCs w:val="24"/>
              </w:rPr>
            </w:pPr>
            <w:r w:rsidRPr="00237760">
              <w:rPr>
                <w:rFonts w:ascii="Arial" w:hAnsi="Arial" w:cs="Arial"/>
                <w:color w:val="auto"/>
                <w:sz w:val="24"/>
                <w:szCs w:val="24"/>
              </w:rPr>
              <w:t>wskaźnik już w 2020 roku przekroczył szacowaną wartość docelową</w:t>
            </w:r>
            <w:r w:rsidR="00AD2150" w:rsidRPr="00237760">
              <w:rPr>
                <w:rFonts w:ascii="Arial" w:hAnsi="Arial" w:cs="Arial"/>
                <w:color w:val="auto"/>
                <w:sz w:val="24"/>
                <w:szCs w:val="24"/>
              </w:rPr>
              <w:t>, można założyć także dalszy i systematyczny, choć powolny wzrost wartości wskaźnika</w:t>
            </w:r>
            <w:r w:rsidR="007F3776" w:rsidRPr="00237760">
              <w:rPr>
                <w:rFonts w:ascii="Arial" w:hAnsi="Arial" w:cs="Arial"/>
                <w:color w:val="auto"/>
                <w:sz w:val="24"/>
                <w:szCs w:val="24"/>
              </w:rPr>
              <w:t xml:space="preserve"> (</w:t>
            </w:r>
            <w:r w:rsidR="007F3776" w:rsidRPr="00237760">
              <w:rPr>
                <w:rFonts w:ascii="Arial" w:hAnsi="Arial" w:cs="Arial"/>
                <w:color w:val="auto"/>
                <w:sz w:val="24"/>
                <w:szCs w:val="24"/>
              </w:rPr>
              <w:fldChar w:fldCharType="begin"/>
            </w:r>
            <w:r w:rsidR="007F3776" w:rsidRPr="00237760">
              <w:rPr>
                <w:rFonts w:ascii="Arial" w:hAnsi="Arial" w:cs="Arial"/>
                <w:color w:val="auto"/>
                <w:sz w:val="24"/>
                <w:szCs w:val="24"/>
              </w:rPr>
              <w:instrText xml:space="preserve"> REF _Ref99544823 \h </w:instrText>
            </w:r>
            <w:r w:rsidR="00C340E0" w:rsidRPr="00237760">
              <w:rPr>
                <w:rFonts w:ascii="Arial" w:hAnsi="Arial" w:cs="Arial"/>
                <w:color w:val="auto"/>
                <w:sz w:val="24"/>
                <w:szCs w:val="24"/>
              </w:rPr>
              <w:instrText xml:space="preserve"> \* MERGEFORMAT </w:instrText>
            </w:r>
            <w:r w:rsidR="007F3776" w:rsidRPr="00237760">
              <w:rPr>
                <w:rFonts w:ascii="Arial" w:hAnsi="Arial" w:cs="Arial"/>
                <w:color w:val="auto"/>
                <w:sz w:val="24"/>
                <w:szCs w:val="24"/>
              </w:rPr>
            </w:r>
            <w:r w:rsidR="007F3776" w:rsidRPr="00237760">
              <w:rPr>
                <w:rFonts w:ascii="Arial" w:hAnsi="Arial" w:cs="Arial"/>
                <w:color w:val="auto"/>
                <w:sz w:val="24"/>
                <w:szCs w:val="24"/>
              </w:rPr>
              <w:fldChar w:fldCharType="separate"/>
            </w:r>
            <w:r w:rsidR="00E52C19" w:rsidRPr="00237760">
              <w:rPr>
                <w:rFonts w:ascii="Arial" w:hAnsi="Arial" w:cs="Arial"/>
                <w:color w:val="auto"/>
                <w:sz w:val="24"/>
                <w:szCs w:val="24"/>
              </w:rPr>
              <w:t>Wykres 6</w:t>
            </w:r>
            <w:r w:rsidR="007F3776" w:rsidRPr="00237760">
              <w:rPr>
                <w:rFonts w:ascii="Arial" w:hAnsi="Arial" w:cs="Arial"/>
                <w:color w:val="auto"/>
                <w:sz w:val="24"/>
                <w:szCs w:val="24"/>
              </w:rPr>
              <w:fldChar w:fldCharType="end"/>
            </w:r>
            <w:r w:rsidR="007F3776" w:rsidRPr="00237760">
              <w:rPr>
                <w:rFonts w:ascii="Arial" w:hAnsi="Arial" w:cs="Arial"/>
                <w:color w:val="auto"/>
                <w:sz w:val="24"/>
                <w:szCs w:val="24"/>
              </w:rPr>
              <w:t>)</w:t>
            </w:r>
            <w:r w:rsidR="00020330" w:rsidRPr="00237760">
              <w:rPr>
                <w:rFonts w:ascii="Arial" w:hAnsi="Arial" w:cs="Arial"/>
                <w:color w:val="auto"/>
                <w:sz w:val="24"/>
                <w:szCs w:val="24"/>
              </w:rPr>
              <w:t>;</w:t>
            </w:r>
          </w:p>
          <w:p w14:paraId="413687B5" w14:textId="1160BF9F" w:rsidR="002F3EB5" w:rsidRPr="00237760" w:rsidRDefault="00020330" w:rsidP="009367B4">
            <w:pPr>
              <w:pStyle w:val="Akapitzlist"/>
              <w:numPr>
                <w:ilvl w:val="0"/>
                <w:numId w:val="33"/>
              </w:numPr>
              <w:spacing w:after="0" w:line="240" w:lineRule="auto"/>
              <w:ind w:left="176" w:hanging="218"/>
              <w:jc w:val="left"/>
              <w:rPr>
                <w:rFonts w:ascii="Arial" w:hAnsi="Arial" w:cs="Arial"/>
                <w:color w:val="auto"/>
                <w:sz w:val="24"/>
                <w:szCs w:val="24"/>
              </w:rPr>
            </w:pPr>
            <w:r w:rsidRPr="00237760">
              <w:rPr>
                <w:rFonts w:ascii="Arial" w:hAnsi="Arial" w:cs="Arial"/>
                <w:color w:val="auto"/>
                <w:sz w:val="24"/>
                <w:szCs w:val="24"/>
              </w:rPr>
              <w:t xml:space="preserve">jednocześnie, </w:t>
            </w:r>
            <w:r w:rsidR="00AF5DA5" w:rsidRPr="00237760">
              <w:rPr>
                <w:rFonts w:ascii="Arial" w:hAnsi="Arial" w:cs="Arial"/>
                <w:color w:val="auto"/>
                <w:sz w:val="24"/>
                <w:szCs w:val="24"/>
              </w:rPr>
              <w:t>z uwagi na zarówno ilościowe, jak i jakościowe znaczenie wskaźnika</w:t>
            </w:r>
            <w:r w:rsidRPr="00237760">
              <w:rPr>
                <w:rFonts w:ascii="Arial" w:hAnsi="Arial" w:cs="Arial"/>
                <w:color w:val="auto"/>
                <w:sz w:val="24"/>
                <w:szCs w:val="24"/>
              </w:rPr>
              <w:t>, warto rozważyć jego modyfikację i wzięcie pod uwagę „udziału dróg lokalnych o nawierzchni twardej ulepszonej (…) w ogólnej długości dróg”</w:t>
            </w:r>
          </w:p>
        </w:tc>
      </w:tr>
      <w:tr w:rsidR="00237760" w:rsidRPr="00237760" w14:paraId="2E61B14E" w14:textId="1E2BE03F" w:rsidTr="003D7F69">
        <w:trPr>
          <w:trHeight w:val="151"/>
        </w:trPr>
        <w:tc>
          <w:tcPr>
            <w:tcW w:w="2699"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7A7E2015" w14:textId="69B13512"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Wojewódzkie mosty i wiadukty ogółem</w:t>
            </w:r>
          </w:p>
        </w:tc>
        <w:tc>
          <w:tcPr>
            <w:tcW w:w="15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53A1B1D3" w14:textId="1C71FE55" w:rsidR="002F3EB5" w:rsidRPr="00237760" w:rsidRDefault="005363E0"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niedoszacowana</w:t>
            </w:r>
          </w:p>
        </w:tc>
        <w:tc>
          <w:tcPr>
            <w:tcW w:w="1275" w:type="dxa"/>
            <w:tcBorders>
              <w:top w:val="single" w:sz="4" w:space="0" w:color="BDD6EE" w:themeColor="accent1" w:themeTint="66"/>
              <w:left w:val="nil"/>
              <w:bottom w:val="single" w:sz="4" w:space="0" w:color="BDD6EE" w:themeColor="accent1" w:themeTint="66"/>
              <w:right w:val="nil"/>
            </w:tcBorders>
            <w:vAlign w:val="center"/>
          </w:tcPr>
          <w:p w14:paraId="7D2FD094" w14:textId="3C5D1771" w:rsidR="002F3EB5" w:rsidRPr="00237760" w:rsidRDefault="005363E0"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w:t>
            </w:r>
          </w:p>
        </w:tc>
        <w:tc>
          <w:tcPr>
            <w:tcW w:w="3685" w:type="dxa"/>
            <w:tcBorders>
              <w:top w:val="single" w:sz="4" w:space="0" w:color="BDD6EE" w:themeColor="accent1" w:themeTint="66"/>
              <w:left w:val="nil"/>
              <w:bottom w:val="single" w:sz="4" w:space="0" w:color="BDD6EE" w:themeColor="accent1" w:themeTint="66"/>
              <w:right w:val="nil"/>
            </w:tcBorders>
            <w:vAlign w:val="center"/>
          </w:tcPr>
          <w:p w14:paraId="14469C44" w14:textId="5DFCC9E4" w:rsidR="002F3EB5" w:rsidRPr="00237760" w:rsidRDefault="002C75B8" w:rsidP="009367B4">
            <w:pPr>
              <w:pStyle w:val="Akapitzlist"/>
              <w:numPr>
                <w:ilvl w:val="0"/>
                <w:numId w:val="33"/>
              </w:numPr>
              <w:spacing w:after="0" w:line="240" w:lineRule="auto"/>
              <w:ind w:left="176" w:hanging="218"/>
              <w:jc w:val="left"/>
              <w:rPr>
                <w:rFonts w:ascii="Arial" w:hAnsi="Arial" w:cs="Arial"/>
                <w:color w:val="auto"/>
                <w:sz w:val="24"/>
                <w:szCs w:val="24"/>
              </w:rPr>
            </w:pPr>
            <w:r w:rsidRPr="00237760">
              <w:rPr>
                <w:rFonts w:ascii="Arial" w:hAnsi="Arial" w:cs="Arial"/>
                <w:color w:val="auto"/>
                <w:sz w:val="24"/>
                <w:szCs w:val="24"/>
              </w:rPr>
              <w:t>statystycznie wyliczona wartość (przy uwzględnieniu średniej dynamiki zmiany) jest prawdopodobnie zbyt wysoka z uwagi na inwestycyjny charakter wskaźnika, jednak warto rozważyć bardziej odważne szacunki, ponieważ wskaźnik już w 2020 roku przekroczył szacowaną war</w:t>
            </w:r>
            <w:r w:rsidR="00B05B00" w:rsidRPr="00237760">
              <w:rPr>
                <w:rFonts w:ascii="Arial" w:hAnsi="Arial" w:cs="Arial"/>
                <w:color w:val="auto"/>
                <w:sz w:val="24"/>
                <w:szCs w:val="24"/>
              </w:rPr>
              <w:t>tość</w:t>
            </w:r>
            <w:r w:rsidR="002E416A" w:rsidRPr="00237760">
              <w:rPr>
                <w:rFonts w:ascii="Arial" w:hAnsi="Arial" w:cs="Arial"/>
                <w:color w:val="auto"/>
                <w:sz w:val="24"/>
                <w:szCs w:val="24"/>
              </w:rPr>
              <w:t xml:space="preserve"> (</w:t>
            </w:r>
            <w:r w:rsidR="002E416A" w:rsidRPr="00237760">
              <w:rPr>
                <w:rFonts w:ascii="Arial" w:hAnsi="Arial" w:cs="Arial"/>
                <w:color w:val="auto"/>
                <w:sz w:val="24"/>
                <w:szCs w:val="24"/>
              </w:rPr>
              <w:fldChar w:fldCharType="begin"/>
            </w:r>
            <w:r w:rsidR="002E416A" w:rsidRPr="00237760">
              <w:rPr>
                <w:rFonts w:ascii="Arial" w:hAnsi="Arial" w:cs="Arial"/>
                <w:color w:val="auto"/>
                <w:sz w:val="24"/>
                <w:szCs w:val="24"/>
              </w:rPr>
              <w:instrText xml:space="preserve"> REF _Ref99545234 \h </w:instrText>
            </w:r>
            <w:r w:rsidR="00C340E0" w:rsidRPr="00237760">
              <w:rPr>
                <w:rFonts w:ascii="Arial" w:hAnsi="Arial" w:cs="Arial"/>
                <w:color w:val="auto"/>
                <w:sz w:val="24"/>
                <w:szCs w:val="24"/>
              </w:rPr>
              <w:instrText xml:space="preserve"> \* MERGEFORMAT </w:instrText>
            </w:r>
            <w:r w:rsidR="002E416A" w:rsidRPr="00237760">
              <w:rPr>
                <w:rFonts w:ascii="Arial" w:hAnsi="Arial" w:cs="Arial"/>
                <w:color w:val="auto"/>
                <w:sz w:val="24"/>
                <w:szCs w:val="24"/>
              </w:rPr>
            </w:r>
            <w:r w:rsidR="002E416A" w:rsidRPr="00237760">
              <w:rPr>
                <w:rFonts w:ascii="Arial" w:hAnsi="Arial" w:cs="Arial"/>
                <w:color w:val="auto"/>
                <w:sz w:val="24"/>
                <w:szCs w:val="24"/>
              </w:rPr>
              <w:fldChar w:fldCharType="separate"/>
            </w:r>
            <w:r w:rsidR="00E52C19" w:rsidRPr="00237760">
              <w:rPr>
                <w:rFonts w:ascii="Arial" w:hAnsi="Arial" w:cs="Arial"/>
                <w:color w:val="auto"/>
                <w:sz w:val="24"/>
                <w:szCs w:val="24"/>
              </w:rPr>
              <w:t>Wykres 7</w:t>
            </w:r>
            <w:r w:rsidR="002E416A" w:rsidRPr="00237760">
              <w:rPr>
                <w:rFonts w:ascii="Arial" w:hAnsi="Arial" w:cs="Arial"/>
                <w:color w:val="auto"/>
                <w:sz w:val="24"/>
                <w:szCs w:val="24"/>
              </w:rPr>
              <w:fldChar w:fldCharType="end"/>
            </w:r>
            <w:r w:rsidR="002E416A" w:rsidRPr="00237760">
              <w:rPr>
                <w:rFonts w:ascii="Arial" w:hAnsi="Arial" w:cs="Arial"/>
                <w:color w:val="auto"/>
                <w:sz w:val="24"/>
                <w:szCs w:val="24"/>
              </w:rPr>
              <w:t>)</w:t>
            </w:r>
          </w:p>
        </w:tc>
      </w:tr>
      <w:tr w:rsidR="00237760" w:rsidRPr="00237760" w14:paraId="07E7E7C8" w14:textId="63B56A19" w:rsidTr="003D7F69">
        <w:trPr>
          <w:trHeight w:val="246"/>
        </w:trPr>
        <w:tc>
          <w:tcPr>
            <w:tcW w:w="2699"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7FC60577" w14:textId="7A62E878" w:rsidR="002F3EB5" w:rsidRPr="00237760" w:rsidRDefault="002F3EB5" w:rsidP="009367B4">
            <w:pPr>
              <w:spacing w:after="0" w:line="259" w:lineRule="auto"/>
              <w:jc w:val="left"/>
              <w:rPr>
                <w:rFonts w:ascii="Arial" w:hAnsi="Arial" w:cs="Arial"/>
                <w:color w:val="auto"/>
                <w:sz w:val="24"/>
                <w:szCs w:val="24"/>
              </w:rPr>
            </w:pPr>
            <w:r w:rsidRPr="00237760">
              <w:rPr>
                <w:rFonts w:ascii="Arial" w:hAnsi="Arial" w:cs="Arial"/>
                <w:color w:val="auto"/>
                <w:sz w:val="24"/>
                <w:szCs w:val="24"/>
              </w:rPr>
              <w:lastRenderedPageBreak/>
              <w:t>Lokalne (powiatowe i gminne) mosty i wiadukty ogółem</w:t>
            </w:r>
          </w:p>
        </w:tc>
        <w:tc>
          <w:tcPr>
            <w:tcW w:w="15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6ACC998B" w14:textId="59288C3B" w:rsidR="002F3EB5" w:rsidRPr="00237760" w:rsidRDefault="00D02146"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przeszacowana / OK</w:t>
            </w:r>
          </w:p>
        </w:tc>
        <w:tc>
          <w:tcPr>
            <w:tcW w:w="1275" w:type="dxa"/>
            <w:tcBorders>
              <w:top w:val="single" w:sz="4" w:space="0" w:color="BDD6EE" w:themeColor="accent1" w:themeTint="66"/>
              <w:left w:val="nil"/>
              <w:bottom w:val="single" w:sz="4" w:space="0" w:color="BDD6EE" w:themeColor="accent1" w:themeTint="66"/>
              <w:right w:val="nil"/>
            </w:tcBorders>
            <w:vAlign w:val="center"/>
          </w:tcPr>
          <w:p w14:paraId="462B5851" w14:textId="010010A2" w:rsidR="002F3EB5" w:rsidRPr="00237760" w:rsidRDefault="00FF7A6D"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w:t>
            </w:r>
            <w:r w:rsidRPr="00237760">
              <w:rPr>
                <w:rStyle w:val="Odwoanieprzypisudolnego"/>
                <w:rFonts w:ascii="Arial" w:hAnsi="Arial" w:cs="Arial"/>
                <w:color w:val="auto"/>
                <w:sz w:val="24"/>
                <w:szCs w:val="24"/>
              </w:rPr>
              <w:footnoteReference w:id="25"/>
            </w:r>
          </w:p>
        </w:tc>
        <w:tc>
          <w:tcPr>
            <w:tcW w:w="3685" w:type="dxa"/>
            <w:tcBorders>
              <w:top w:val="single" w:sz="4" w:space="0" w:color="BDD6EE" w:themeColor="accent1" w:themeTint="66"/>
              <w:left w:val="nil"/>
              <w:bottom w:val="single" w:sz="4" w:space="0" w:color="BDD6EE" w:themeColor="accent1" w:themeTint="66"/>
              <w:right w:val="nil"/>
            </w:tcBorders>
            <w:vAlign w:val="center"/>
          </w:tcPr>
          <w:p w14:paraId="41B42855" w14:textId="32815394" w:rsidR="002F3EB5" w:rsidRPr="00237760" w:rsidRDefault="00D02146" w:rsidP="009367B4">
            <w:pPr>
              <w:pStyle w:val="Akapitzlist"/>
              <w:numPr>
                <w:ilvl w:val="0"/>
                <w:numId w:val="33"/>
              </w:numPr>
              <w:spacing w:after="0" w:line="240" w:lineRule="auto"/>
              <w:ind w:left="176" w:hanging="218"/>
              <w:jc w:val="left"/>
              <w:rPr>
                <w:rFonts w:ascii="Arial" w:hAnsi="Arial" w:cs="Arial"/>
                <w:color w:val="auto"/>
                <w:sz w:val="24"/>
                <w:szCs w:val="24"/>
              </w:rPr>
            </w:pPr>
            <w:r w:rsidRPr="00237760">
              <w:rPr>
                <w:rFonts w:ascii="Arial" w:hAnsi="Arial" w:cs="Arial"/>
                <w:color w:val="auto"/>
                <w:sz w:val="24"/>
                <w:szCs w:val="24"/>
              </w:rPr>
              <w:t>ostatnie lata to znaczne wahania wartości wskaźnika, należy zastanowić się, czy planowane inwestycje pozwolą na realizację założonej wartości docelowej</w:t>
            </w:r>
            <w:r w:rsidR="002E416A" w:rsidRPr="00237760">
              <w:rPr>
                <w:rFonts w:ascii="Arial" w:hAnsi="Arial" w:cs="Arial"/>
                <w:color w:val="auto"/>
                <w:sz w:val="24"/>
                <w:szCs w:val="24"/>
              </w:rPr>
              <w:t xml:space="preserve"> (</w:t>
            </w:r>
            <w:r w:rsidR="002E416A" w:rsidRPr="00237760">
              <w:rPr>
                <w:rFonts w:ascii="Arial" w:hAnsi="Arial" w:cs="Arial"/>
                <w:color w:val="auto"/>
                <w:sz w:val="24"/>
                <w:szCs w:val="24"/>
              </w:rPr>
              <w:fldChar w:fldCharType="begin"/>
            </w:r>
            <w:r w:rsidR="002E416A" w:rsidRPr="00237760">
              <w:rPr>
                <w:rFonts w:ascii="Arial" w:hAnsi="Arial" w:cs="Arial"/>
                <w:color w:val="auto"/>
                <w:sz w:val="24"/>
                <w:szCs w:val="24"/>
              </w:rPr>
              <w:instrText xml:space="preserve"> REF _Ref99545247 \h </w:instrText>
            </w:r>
            <w:r w:rsidR="00C340E0" w:rsidRPr="00237760">
              <w:rPr>
                <w:rFonts w:ascii="Arial" w:hAnsi="Arial" w:cs="Arial"/>
                <w:color w:val="auto"/>
                <w:sz w:val="24"/>
                <w:szCs w:val="24"/>
              </w:rPr>
              <w:instrText xml:space="preserve"> \* MERGEFORMAT </w:instrText>
            </w:r>
            <w:r w:rsidR="002E416A" w:rsidRPr="00237760">
              <w:rPr>
                <w:rFonts w:ascii="Arial" w:hAnsi="Arial" w:cs="Arial"/>
                <w:color w:val="auto"/>
                <w:sz w:val="24"/>
                <w:szCs w:val="24"/>
              </w:rPr>
            </w:r>
            <w:r w:rsidR="002E416A" w:rsidRPr="00237760">
              <w:rPr>
                <w:rFonts w:ascii="Arial" w:hAnsi="Arial" w:cs="Arial"/>
                <w:color w:val="auto"/>
                <w:sz w:val="24"/>
                <w:szCs w:val="24"/>
              </w:rPr>
              <w:fldChar w:fldCharType="separate"/>
            </w:r>
            <w:r w:rsidR="00E52C19" w:rsidRPr="00237760">
              <w:rPr>
                <w:rFonts w:ascii="Arial" w:hAnsi="Arial" w:cs="Arial"/>
                <w:color w:val="auto"/>
                <w:sz w:val="24"/>
                <w:szCs w:val="24"/>
              </w:rPr>
              <w:t>Wykres 8</w:t>
            </w:r>
            <w:r w:rsidR="002E416A" w:rsidRPr="00237760">
              <w:rPr>
                <w:rFonts w:ascii="Arial" w:hAnsi="Arial" w:cs="Arial"/>
                <w:color w:val="auto"/>
                <w:sz w:val="24"/>
                <w:szCs w:val="24"/>
              </w:rPr>
              <w:fldChar w:fldCharType="end"/>
            </w:r>
            <w:r w:rsidR="002E416A" w:rsidRPr="00237760">
              <w:rPr>
                <w:rFonts w:ascii="Arial" w:hAnsi="Arial" w:cs="Arial"/>
                <w:color w:val="auto"/>
                <w:sz w:val="24"/>
                <w:szCs w:val="24"/>
              </w:rPr>
              <w:t>)</w:t>
            </w:r>
          </w:p>
        </w:tc>
      </w:tr>
      <w:tr w:rsidR="00237760" w:rsidRPr="00237760" w14:paraId="5218647B" w14:textId="629A3681" w:rsidTr="003D7F69">
        <w:trPr>
          <w:trHeight w:val="151"/>
        </w:trPr>
        <w:tc>
          <w:tcPr>
            <w:tcW w:w="2699"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38CBEEBE" w14:textId="04B50730"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Linie kolejowe normalnotorowe dwu- i więcej torowe</w:t>
            </w:r>
          </w:p>
        </w:tc>
        <w:tc>
          <w:tcPr>
            <w:tcW w:w="15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0292B4F0" w14:textId="5F0A415C" w:rsidR="002F3EB5" w:rsidRPr="00237760" w:rsidRDefault="001819A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przeszacowana / OK</w:t>
            </w:r>
          </w:p>
        </w:tc>
        <w:tc>
          <w:tcPr>
            <w:tcW w:w="1275" w:type="dxa"/>
            <w:tcBorders>
              <w:top w:val="single" w:sz="4" w:space="0" w:color="BDD6EE" w:themeColor="accent1" w:themeTint="66"/>
              <w:left w:val="nil"/>
              <w:bottom w:val="single" w:sz="4" w:space="0" w:color="BDD6EE" w:themeColor="accent1" w:themeTint="66"/>
              <w:right w:val="nil"/>
            </w:tcBorders>
            <w:vAlign w:val="center"/>
          </w:tcPr>
          <w:p w14:paraId="5133FA5B" w14:textId="2BD795D8" w:rsidR="002F3EB5" w:rsidRPr="00237760" w:rsidRDefault="0076296C"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w:t>
            </w:r>
          </w:p>
        </w:tc>
        <w:tc>
          <w:tcPr>
            <w:tcW w:w="3685" w:type="dxa"/>
            <w:tcBorders>
              <w:top w:val="single" w:sz="4" w:space="0" w:color="BDD6EE" w:themeColor="accent1" w:themeTint="66"/>
              <w:left w:val="nil"/>
              <w:bottom w:val="single" w:sz="4" w:space="0" w:color="BDD6EE" w:themeColor="accent1" w:themeTint="66"/>
              <w:right w:val="nil"/>
            </w:tcBorders>
            <w:vAlign w:val="center"/>
          </w:tcPr>
          <w:p w14:paraId="5129D46B" w14:textId="46227826" w:rsidR="002F3EB5" w:rsidRPr="00237760" w:rsidRDefault="001819A5" w:rsidP="009367B4">
            <w:pPr>
              <w:pStyle w:val="Akapitzlist"/>
              <w:numPr>
                <w:ilvl w:val="0"/>
                <w:numId w:val="33"/>
              </w:numPr>
              <w:spacing w:after="0" w:line="240" w:lineRule="auto"/>
              <w:ind w:left="176" w:hanging="218"/>
              <w:jc w:val="left"/>
              <w:rPr>
                <w:rFonts w:ascii="Arial" w:hAnsi="Arial" w:cs="Arial"/>
                <w:color w:val="auto"/>
                <w:sz w:val="24"/>
                <w:szCs w:val="24"/>
              </w:rPr>
            </w:pPr>
            <w:r w:rsidRPr="00237760">
              <w:rPr>
                <w:rFonts w:ascii="Arial" w:hAnsi="Arial" w:cs="Arial"/>
                <w:color w:val="auto"/>
                <w:sz w:val="24"/>
                <w:szCs w:val="24"/>
              </w:rPr>
              <w:t>wskaźnik przyrasta (w okresie dostępności danych) bardzo nieznacznie, należy zastanowić się czy planowane inwestycje pozwolą na realizację założonej wartości docelowej</w:t>
            </w:r>
            <w:r w:rsidR="002E416A" w:rsidRPr="00237760">
              <w:rPr>
                <w:rFonts w:ascii="Arial" w:hAnsi="Arial" w:cs="Arial"/>
                <w:color w:val="auto"/>
                <w:sz w:val="24"/>
                <w:szCs w:val="24"/>
              </w:rPr>
              <w:t xml:space="preserve"> (</w:t>
            </w:r>
            <w:r w:rsidR="002E416A" w:rsidRPr="00237760">
              <w:rPr>
                <w:rFonts w:ascii="Arial" w:hAnsi="Arial" w:cs="Arial"/>
                <w:color w:val="auto"/>
                <w:sz w:val="24"/>
                <w:szCs w:val="24"/>
              </w:rPr>
              <w:fldChar w:fldCharType="begin"/>
            </w:r>
            <w:r w:rsidR="002E416A" w:rsidRPr="00237760">
              <w:rPr>
                <w:rFonts w:ascii="Arial" w:hAnsi="Arial" w:cs="Arial"/>
                <w:color w:val="auto"/>
                <w:sz w:val="24"/>
                <w:szCs w:val="24"/>
              </w:rPr>
              <w:instrText xml:space="preserve"> REF _Ref99545332 \h </w:instrText>
            </w:r>
            <w:r w:rsidR="00C340E0" w:rsidRPr="00237760">
              <w:rPr>
                <w:rFonts w:ascii="Arial" w:hAnsi="Arial" w:cs="Arial"/>
                <w:color w:val="auto"/>
                <w:sz w:val="24"/>
                <w:szCs w:val="24"/>
              </w:rPr>
              <w:instrText xml:space="preserve"> \* MERGEFORMAT </w:instrText>
            </w:r>
            <w:r w:rsidR="002E416A" w:rsidRPr="00237760">
              <w:rPr>
                <w:rFonts w:ascii="Arial" w:hAnsi="Arial" w:cs="Arial"/>
                <w:color w:val="auto"/>
                <w:sz w:val="24"/>
                <w:szCs w:val="24"/>
              </w:rPr>
            </w:r>
            <w:r w:rsidR="002E416A" w:rsidRPr="00237760">
              <w:rPr>
                <w:rFonts w:ascii="Arial" w:hAnsi="Arial" w:cs="Arial"/>
                <w:color w:val="auto"/>
                <w:sz w:val="24"/>
                <w:szCs w:val="24"/>
              </w:rPr>
              <w:fldChar w:fldCharType="separate"/>
            </w:r>
            <w:r w:rsidR="00E52C19" w:rsidRPr="00237760">
              <w:rPr>
                <w:rFonts w:ascii="Arial" w:hAnsi="Arial" w:cs="Arial"/>
                <w:color w:val="auto"/>
                <w:sz w:val="24"/>
                <w:szCs w:val="24"/>
              </w:rPr>
              <w:t>Wykres 9</w:t>
            </w:r>
            <w:r w:rsidR="002E416A" w:rsidRPr="00237760">
              <w:rPr>
                <w:rFonts w:ascii="Arial" w:hAnsi="Arial" w:cs="Arial"/>
                <w:color w:val="auto"/>
                <w:sz w:val="24"/>
                <w:szCs w:val="24"/>
              </w:rPr>
              <w:fldChar w:fldCharType="end"/>
            </w:r>
            <w:r w:rsidR="002E416A" w:rsidRPr="00237760">
              <w:rPr>
                <w:rFonts w:ascii="Arial" w:hAnsi="Arial" w:cs="Arial"/>
                <w:color w:val="auto"/>
                <w:sz w:val="24"/>
                <w:szCs w:val="24"/>
              </w:rPr>
              <w:t>)</w:t>
            </w:r>
          </w:p>
        </w:tc>
      </w:tr>
      <w:tr w:rsidR="00237760" w:rsidRPr="00237760" w14:paraId="520AE187" w14:textId="0FFB2001" w:rsidTr="003D7F69">
        <w:trPr>
          <w:trHeight w:val="151"/>
        </w:trPr>
        <w:tc>
          <w:tcPr>
            <w:tcW w:w="2699"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06A6D223" w14:textId="3E415854"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Linie komunikacji miejskiej – podkarpackie</w:t>
            </w:r>
          </w:p>
        </w:tc>
        <w:tc>
          <w:tcPr>
            <w:tcW w:w="15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48D84D33" w14:textId="00D99C40" w:rsidR="002F3EB5" w:rsidRPr="00237760" w:rsidRDefault="002023ED"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przeszacowana / OK</w:t>
            </w:r>
          </w:p>
        </w:tc>
        <w:tc>
          <w:tcPr>
            <w:tcW w:w="1275" w:type="dxa"/>
            <w:tcBorders>
              <w:top w:val="single" w:sz="4" w:space="0" w:color="BDD6EE" w:themeColor="accent1" w:themeTint="66"/>
              <w:left w:val="nil"/>
              <w:bottom w:val="single" w:sz="4" w:space="0" w:color="BDD6EE" w:themeColor="accent1" w:themeTint="66"/>
              <w:right w:val="nil"/>
            </w:tcBorders>
            <w:vAlign w:val="center"/>
          </w:tcPr>
          <w:p w14:paraId="2D16781E" w14:textId="600780DF" w:rsidR="002F3EB5" w:rsidRPr="00237760" w:rsidRDefault="0076296C"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w:t>
            </w:r>
          </w:p>
        </w:tc>
        <w:tc>
          <w:tcPr>
            <w:tcW w:w="3685" w:type="dxa"/>
            <w:tcBorders>
              <w:top w:val="single" w:sz="4" w:space="0" w:color="BDD6EE" w:themeColor="accent1" w:themeTint="66"/>
              <w:left w:val="nil"/>
              <w:bottom w:val="single" w:sz="4" w:space="0" w:color="BDD6EE" w:themeColor="accent1" w:themeTint="66"/>
              <w:right w:val="nil"/>
            </w:tcBorders>
            <w:vAlign w:val="center"/>
          </w:tcPr>
          <w:p w14:paraId="300780A9" w14:textId="1D93E101" w:rsidR="002F3EB5" w:rsidRPr="00237760" w:rsidRDefault="00917874" w:rsidP="009367B4">
            <w:pPr>
              <w:pStyle w:val="Akapitzlist"/>
              <w:numPr>
                <w:ilvl w:val="0"/>
                <w:numId w:val="33"/>
              </w:numPr>
              <w:spacing w:after="0" w:line="240" w:lineRule="auto"/>
              <w:ind w:left="176" w:hanging="218"/>
              <w:jc w:val="left"/>
              <w:rPr>
                <w:rFonts w:ascii="Arial" w:hAnsi="Arial" w:cs="Arial"/>
                <w:color w:val="auto"/>
                <w:sz w:val="24"/>
                <w:szCs w:val="24"/>
              </w:rPr>
            </w:pPr>
            <w:r w:rsidRPr="00237760">
              <w:rPr>
                <w:rFonts w:ascii="Arial" w:hAnsi="Arial" w:cs="Arial"/>
                <w:color w:val="auto"/>
                <w:sz w:val="24"/>
                <w:szCs w:val="24"/>
              </w:rPr>
              <w:t xml:space="preserve">w ostatnich latach (w okresie dostępności danych) wskaźnik wykazuje nieznaczny trend wzrostowy lub </w:t>
            </w:r>
            <w:r w:rsidR="0084327A" w:rsidRPr="00237760">
              <w:rPr>
                <w:rFonts w:ascii="Arial" w:hAnsi="Arial" w:cs="Arial"/>
                <w:color w:val="auto"/>
                <w:sz w:val="24"/>
                <w:szCs w:val="24"/>
              </w:rPr>
              <w:t>okresowo</w:t>
            </w:r>
            <w:r w:rsidRPr="00237760">
              <w:rPr>
                <w:rFonts w:ascii="Arial" w:hAnsi="Arial" w:cs="Arial"/>
                <w:color w:val="auto"/>
                <w:sz w:val="24"/>
                <w:szCs w:val="24"/>
              </w:rPr>
              <w:t xml:space="preserve"> spadkowy, należy zatem zastanowić się czy możliwa jest realizacja wartości docelowej, zwłaszcza w obliczu obniżenia popularności wykorzystania komunikacji miejskiej w związku z pandemią</w:t>
            </w:r>
            <w:r w:rsidR="002E416A" w:rsidRPr="00237760">
              <w:rPr>
                <w:rFonts w:ascii="Arial" w:hAnsi="Arial" w:cs="Arial"/>
                <w:color w:val="auto"/>
                <w:sz w:val="24"/>
                <w:szCs w:val="24"/>
              </w:rPr>
              <w:t xml:space="preserve"> (</w:t>
            </w:r>
            <w:r w:rsidR="002E416A" w:rsidRPr="00237760">
              <w:rPr>
                <w:rFonts w:ascii="Arial" w:hAnsi="Arial" w:cs="Arial"/>
                <w:color w:val="auto"/>
                <w:sz w:val="24"/>
                <w:szCs w:val="24"/>
              </w:rPr>
              <w:fldChar w:fldCharType="begin"/>
            </w:r>
            <w:r w:rsidR="002E416A" w:rsidRPr="00237760">
              <w:rPr>
                <w:rFonts w:ascii="Arial" w:hAnsi="Arial" w:cs="Arial"/>
                <w:color w:val="auto"/>
                <w:sz w:val="24"/>
                <w:szCs w:val="24"/>
              </w:rPr>
              <w:instrText xml:space="preserve"> REF _Ref99545363 \h </w:instrText>
            </w:r>
            <w:r w:rsidR="00C340E0" w:rsidRPr="00237760">
              <w:rPr>
                <w:rFonts w:ascii="Arial" w:hAnsi="Arial" w:cs="Arial"/>
                <w:color w:val="auto"/>
                <w:sz w:val="24"/>
                <w:szCs w:val="24"/>
              </w:rPr>
              <w:instrText xml:space="preserve"> \* MERGEFORMAT </w:instrText>
            </w:r>
            <w:r w:rsidR="002E416A" w:rsidRPr="00237760">
              <w:rPr>
                <w:rFonts w:ascii="Arial" w:hAnsi="Arial" w:cs="Arial"/>
                <w:color w:val="auto"/>
                <w:sz w:val="24"/>
                <w:szCs w:val="24"/>
              </w:rPr>
            </w:r>
            <w:r w:rsidR="002E416A" w:rsidRPr="00237760">
              <w:rPr>
                <w:rFonts w:ascii="Arial" w:hAnsi="Arial" w:cs="Arial"/>
                <w:color w:val="auto"/>
                <w:sz w:val="24"/>
                <w:szCs w:val="24"/>
              </w:rPr>
              <w:fldChar w:fldCharType="separate"/>
            </w:r>
            <w:r w:rsidR="00E52C19" w:rsidRPr="00237760">
              <w:rPr>
                <w:rFonts w:ascii="Arial" w:hAnsi="Arial" w:cs="Arial"/>
                <w:color w:val="auto"/>
                <w:sz w:val="24"/>
                <w:szCs w:val="24"/>
              </w:rPr>
              <w:t>Wykres 10</w:t>
            </w:r>
            <w:r w:rsidR="002E416A" w:rsidRPr="00237760">
              <w:rPr>
                <w:rFonts w:ascii="Arial" w:hAnsi="Arial" w:cs="Arial"/>
                <w:color w:val="auto"/>
                <w:sz w:val="24"/>
                <w:szCs w:val="24"/>
              </w:rPr>
              <w:fldChar w:fldCharType="end"/>
            </w:r>
            <w:r w:rsidR="002E416A" w:rsidRPr="00237760">
              <w:rPr>
                <w:rFonts w:ascii="Arial" w:hAnsi="Arial" w:cs="Arial"/>
                <w:color w:val="auto"/>
                <w:sz w:val="24"/>
                <w:szCs w:val="24"/>
              </w:rPr>
              <w:t>)</w:t>
            </w:r>
          </w:p>
        </w:tc>
      </w:tr>
      <w:tr w:rsidR="00237760" w:rsidRPr="00237760" w14:paraId="5904FEEE" w14:textId="49D81740" w:rsidTr="003D7F69">
        <w:trPr>
          <w:trHeight w:val="151"/>
        </w:trPr>
        <w:tc>
          <w:tcPr>
            <w:tcW w:w="2699"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0A48A707" w14:textId="5CC2E4EB"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Przeciętny przebieg 1 wozu w ciągu doby w</w:t>
            </w:r>
            <w:r w:rsidR="004459F6" w:rsidRPr="00237760">
              <w:rPr>
                <w:rFonts w:ascii="Arial" w:hAnsi="Arial" w:cs="Arial"/>
                <w:color w:val="auto"/>
                <w:sz w:val="24"/>
                <w:szCs w:val="24"/>
              </w:rPr>
              <w:t xml:space="preserve"> </w:t>
            </w:r>
            <w:r w:rsidRPr="00237760">
              <w:rPr>
                <w:rFonts w:ascii="Arial" w:hAnsi="Arial" w:cs="Arial"/>
                <w:color w:val="auto"/>
                <w:sz w:val="24"/>
                <w:szCs w:val="24"/>
              </w:rPr>
              <w:t>miejskiej komunikacji autobusowej w</w:t>
            </w:r>
            <w:r w:rsidR="004459F6" w:rsidRPr="00237760">
              <w:rPr>
                <w:rFonts w:ascii="Arial" w:hAnsi="Arial" w:cs="Arial"/>
                <w:color w:val="auto"/>
                <w:sz w:val="24"/>
                <w:szCs w:val="24"/>
              </w:rPr>
              <w:t xml:space="preserve"> </w:t>
            </w:r>
            <w:r w:rsidRPr="00237760">
              <w:rPr>
                <w:rFonts w:ascii="Arial" w:hAnsi="Arial" w:cs="Arial"/>
                <w:color w:val="auto"/>
                <w:sz w:val="24"/>
                <w:szCs w:val="24"/>
              </w:rPr>
              <w:t>województwie</w:t>
            </w:r>
          </w:p>
        </w:tc>
        <w:tc>
          <w:tcPr>
            <w:tcW w:w="15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203C7A02" w14:textId="009CCE4E" w:rsidR="002F3EB5" w:rsidRPr="00237760" w:rsidRDefault="00C340E0"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przeszacowana / OK</w:t>
            </w:r>
          </w:p>
        </w:tc>
        <w:tc>
          <w:tcPr>
            <w:tcW w:w="1275" w:type="dxa"/>
            <w:tcBorders>
              <w:top w:val="single" w:sz="4" w:space="0" w:color="BDD6EE" w:themeColor="accent1" w:themeTint="66"/>
              <w:left w:val="nil"/>
              <w:bottom w:val="single" w:sz="4" w:space="0" w:color="BDD6EE" w:themeColor="accent1" w:themeTint="66"/>
              <w:right w:val="nil"/>
            </w:tcBorders>
            <w:vAlign w:val="center"/>
          </w:tcPr>
          <w:p w14:paraId="4B21569F" w14:textId="4772D456" w:rsidR="002F3EB5" w:rsidRPr="00237760" w:rsidRDefault="0076296C"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w:t>
            </w:r>
          </w:p>
        </w:tc>
        <w:tc>
          <w:tcPr>
            <w:tcW w:w="3685" w:type="dxa"/>
            <w:tcBorders>
              <w:top w:val="single" w:sz="4" w:space="0" w:color="BDD6EE" w:themeColor="accent1" w:themeTint="66"/>
              <w:left w:val="nil"/>
              <w:bottom w:val="single" w:sz="4" w:space="0" w:color="BDD6EE" w:themeColor="accent1" w:themeTint="66"/>
              <w:right w:val="nil"/>
            </w:tcBorders>
            <w:vAlign w:val="center"/>
          </w:tcPr>
          <w:p w14:paraId="0200D6CF" w14:textId="61992D48" w:rsidR="002F3EB5" w:rsidRPr="00237760" w:rsidRDefault="00C340E0" w:rsidP="009367B4">
            <w:pPr>
              <w:pStyle w:val="Akapitzlist"/>
              <w:numPr>
                <w:ilvl w:val="0"/>
                <w:numId w:val="33"/>
              </w:numPr>
              <w:spacing w:after="0" w:line="240" w:lineRule="auto"/>
              <w:ind w:left="176" w:hanging="218"/>
              <w:jc w:val="left"/>
              <w:rPr>
                <w:rFonts w:ascii="Arial" w:hAnsi="Arial" w:cs="Arial"/>
                <w:color w:val="auto"/>
                <w:sz w:val="24"/>
                <w:szCs w:val="24"/>
              </w:rPr>
            </w:pPr>
            <w:r w:rsidRPr="00237760">
              <w:rPr>
                <w:rFonts w:ascii="Arial" w:hAnsi="Arial" w:cs="Arial"/>
                <w:color w:val="auto"/>
                <w:sz w:val="24"/>
                <w:szCs w:val="24"/>
              </w:rPr>
              <w:t xml:space="preserve">w ostatnich latach wskaźnik notuje raczej wzrost niż spadek </w:t>
            </w:r>
            <w:r w:rsidR="00932071" w:rsidRPr="00237760">
              <w:rPr>
                <w:rFonts w:ascii="Arial" w:hAnsi="Arial" w:cs="Arial"/>
                <w:color w:val="auto"/>
                <w:sz w:val="24"/>
                <w:szCs w:val="24"/>
              </w:rPr>
              <w:t>(</w:t>
            </w:r>
            <w:r w:rsidR="00932071" w:rsidRPr="00237760">
              <w:rPr>
                <w:rFonts w:ascii="Arial" w:hAnsi="Arial" w:cs="Arial"/>
                <w:color w:val="auto"/>
                <w:sz w:val="24"/>
                <w:szCs w:val="24"/>
              </w:rPr>
              <w:fldChar w:fldCharType="begin"/>
            </w:r>
            <w:r w:rsidR="00932071" w:rsidRPr="00237760">
              <w:rPr>
                <w:rFonts w:ascii="Arial" w:hAnsi="Arial" w:cs="Arial"/>
                <w:color w:val="auto"/>
                <w:sz w:val="24"/>
                <w:szCs w:val="24"/>
              </w:rPr>
              <w:instrText xml:space="preserve"> REF _Ref99545890 \h </w:instrText>
            </w:r>
            <w:r w:rsidRPr="00237760">
              <w:rPr>
                <w:rFonts w:ascii="Arial" w:hAnsi="Arial" w:cs="Arial"/>
                <w:color w:val="auto"/>
                <w:sz w:val="24"/>
                <w:szCs w:val="24"/>
              </w:rPr>
              <w:instrText xml:space="preserve"> \* MERGEFORMAT </w:instrText>
            </w:r>
            <w:r w:rsidR="00932071" w:rsidRPr="00237760">
              <w:rPr>
                <w:rFonts w:ascii="Arial" w:hAnsi="Arial" w:cs="Arial"/>
                <w:color w:val="auto"/>
                <w:sz w:val="24"/>
                <w:szCs w:val="24"/>
              </w:rPr>
            </w:r>
            <w:r w:rsidR="00932071" w:rsidRPr="00237760">
              <w:rPr>
                <w:rFonts w:ascii="Arial" w:hAnsi="Arial" w:cs="Arial"/>
                <w:color w:val="auto"/>
                <w:sz w:val="24"/>
                <w:szCs w:val="24"/>
              </w:rPr>
              <w:fldChar w:fldCharType="separate"/>
            </w:r>
            <w:r w:rsidR="00E52C19" w:rsidRPr="00237760">
              <w:rPr>
                <w:rFonts w:ascii="Arial" w:hAnsi="Arial" w:cs="Arial"/>
                <w:color w:val="auto"/>
                <w:sz w:val="24"/>
                <w:szCs w:val="24"/>
              </w:rPr>
              <w:t>Wykres 11</w:t>
            </w:r>
            <w:r w:rsidR="00932071" w:rsidRPr="00237760">
              <w:rPr>
                <w:rFonts w:ascii="Arial" w:hAnsi="Arial" w:cs="Arial"/>
                <w:color w:val="auto"/>
                <w:sz w:val="24"/>
                <w:szCs w:val="24"/>
              </w:rPr>
              <w:fldChar w:fldCharType="end"/>
            </w:r>
            <w:r w:rsidR="00932071" w:rsidRPr="00237760">
              <w:rPr>
                <w:rFonts w:ascii="Arial" w:hAnsi="Arial" w:cs="Arial"/>
                <w:color w:val="auto"/>
                <w:sz w:val="24"/>
                <w:szCs w:val="24"/>
              </w:rPr>
              <w:t>)</w:t>
            </w:r>
            <w:r w:rsidRPr="00237760">
              <w:rPr>
                <w:rFonts w:ascii="Arial" w:hAnsi="Arial" w:cs="Arial"/>
                <w:color w:val="auto"/>
                <w:sz w:val="24"/>
                <w:szCs w:val="24"/>
              </w:rPr>
              <w:t>, jednak w przypadku</w:t>
            </w:r>
            <w:r w:rsidR="002B3F2D" w:rsidRPr="00237760">
              <w:rPr>
                <w:rFonts w:ascii="Arial" w:hAnsi="Arial" w:cs="Arial"/>
                <w:color w:val="auto"/>
                <w:sz w:val="24"/>
                <w:szCs w:val="24"/>
              </w:rPr>
              <w:t xml:space="preserve"> intensywnych</w:t>
            </w:r>
            <w:r w:rsidRPr="00237760">
              <w:rPr>
                <w:rFonts w:ascii="Arial" w:hAnsi="Arial" w:cs="Arial"/>
                <w:color w:val="auto"/>
                <w:sz w:val="24"/>
                <w:szCs w:val="24"/>
              </w:rPr>
              <w:t xml:space="preserve"> planów inwestycyjnych w tabor komunikacji miejskiej możliwe jest osiągnięcie wartości docelowej</w:t>
            </w:r>
          </w:p>
        </w:tc>
      </w:tr>
      <w:tr w:rsidR="00237760" w:rsidRPr="00237760" w14:paraId="3D3547C9" w14:textId="22391420" w:rsidTr="003D7F69">
        <w:trPr>
          <w:trHeight w:val="151"/>
        </w:trPr>
        <w:tc>
          <w:tcPr>
            <w:tcW w:w="2699"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14BBF7F0" w14:textId="1F0FBADA"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Przewozy pasażerów środkami komunikacji</w:t>
            </w:r>
            <w:r w:rsidR="004459F6" w:rsidRPr="00237760">
              <w:rPr>
                <w:rFonts w:ascii="Arial" w:hAnsi="Arial" w:cs="Arial"/>
                <w:color w:val="auto"/>
                <w:sz w:val="24"/>
                <w:szCs w:val="24"/>
              </w:rPr>
              <w:t xml:space="preserve"> </w:t>
            </w:r>
            <w:r w:rsidRPr="00237760">
              <w:rPr>
                <w:rFonts w:ascii="Arial" w:hAnsi="Arial" w:cs="Arial"/>
                <w:color w:val="auto"/>
                <w:sz w:val="24"/>
                <w:szCs w:val="24"/>
              </w:rPr>
              <w:t>miejskiej</w:t>
            </w:r>
          </w:p>
        </w:tc>
        <w:tc>
          <w:tcPr>
            <w:tcW w:w="15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0A235BC7" w14:textId="603CFA6F" w:rsidR="002F3EB5" w:rsidRPr="00237760" w:rsidRDefault="001C78E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przeszacowana</w:t>
            </w:r>
            <w:r w:rsidR="00000394" w:rsidRPr="00237760">
              <w:rPr>
                <w:rFonts w:ascii="Arial" w:hAnsi="Arial" w:cs="Arial"/>
                <w:color w:val="auto"/>
                <w:sz w:val="24"/>
                <w:szCs w:val="24"/>
              </w:rPr>
              <w:t xml:space="preserve"> / OK</w:t>
            </w:r>
          </w:p>
        </w:tc>
        <w:tc>
          <w:tcPr>
            <w:tcW w:w="1275" w:type="dxa"/>
            <w:tcBorders>
              <w:top w:val="single" w:sz="4" w:space="0" w:color="BDD6EE" w:themeColor="accent1" w:themeTint="66"/>
              <w:left w:val="nil"/>
              <w:bottom w:val="single" w:sz="4" w:space="0" w:color="BDD6EE" w:themeColor="accent1" w:themeTint="66"/>
              <w:right w:val="nil"/>
            </w:tcBorders>
            <w:vAlign w:val="center"/>
          </w:tcPr>
          <w:p w14:paraId="09848D81" w14:textId="5C59096A" w:rsidR="002F3EB5" w:rsidRPr="00237760" w:rsidRDefault="0076296C"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w:t>
            </w:r>
          </w:p>
        </w:tc>
        <w:tc>
          <w:tcPr>
            <w:tcW w:w="3685" w:type="dxa"/>
            <w:tcBorders>
              <w:top w:val="single" w:sz="4" w:space="0" w:color="BDD6EE" w:themeColor="accent1" w:themeTint="66"/>
              <w:left w:val="nil"/>
              <w:bottom w:val="single" w:sz="4" w:space="0" w:color="BDD6EE" w:themeColor="accent1" w:themeTint="66"/>
              <w:right w:val="nil"/>
            </w:tcBorders>
            <w:vAlign w:val="center"/>
          </w:tcPr>
          <w:p w14:paraId="02C5D46A" w14:textId="7252FF7A" w:rsidR="002F3EB5" w:rsidRPr="00237760" w:rsidRDefault="000251E5" w:rsidP="009367B4">
            <w:pPr>
              <w:pStyle w:val="Akapitzlist"/>
              <w:numPr>
                <w:ilvl w:val="0"/>
                <w:numId w:val="33"/>
              </w:numPr>
              <w:spacing w:after="0" w:line="240" w:lineRule="auto"/>
              <w:ind w:left="176" w:hanging="218"/>
              <w:jc w:val="left"/>
              <w:rPr>
                <w:rFonts w:ascii="Arial" w:hAnsi="Arial" w:cs="Arial"/>
                <w:color w:val="auto"/>
                <w:sz w:val="24"/>
                <w:szCs w:val="24"/>
              </w:rPr>
            </w:pPr>
            <w:r w:rsidRPr="00237760">
              <w:rPr>
                <w:rFonts w:ascii="Arial" w:hAnsi="Arial" w:cs="Arial"/>
                <w:color w:val="auto"/>
                <w:sz w:val="24"/>
                <w:szCs w:val="24"/>
              </w:rPr>
              <w:t>w ostatnich latach (w okresie dostępności danych) wskaźnik wykazuje nieznaczny trend wzrostowy</w:t>
            </w:r>
            <w:r w:rsidR="00C340E0" w:rsidRPr="00237760">
              <w:rPr>
                <w:rFonts w:ascii="Arial" w:hAnsi="Arial" w:cs="Arial"/>
                <w:color w:val="auto"/>
                <w:sz w:val="24"/>
                <w:szCs w:val="24"/>
              </w:rPr>
              <w:t>, a w ostatnim roku znacznie</w:t>
            </w:r>
            <w:r w:rsidRPr="00237760">
              <w:rPr>
                <w:rFonts w:ascii="Arial" w:hAnsi="Arial" w:cs="Arial"/>
                <w:color w:val="auto"/>
                <w:sz w:val="24"/>
                <w:szCs w:val="24"/>
              </w:rPr>
              <w:t xml:space="preserve"> spadkowy, należy zatem zastanowić się czy możliwa jest realizacja wartości docelowej, zwłaszcza w obliczu obniżenia </w:t>
            </w:r>
            <w:r w:rsidRPr="00237760">
              <w:rPr>
                <w:rFonts w:ascii="Arial" w:hAnsi="Arial" w:cs="Arial"/>
                <w:color w:val="auto"/>
                <w:sz w:val="24"/>
                <w:szCs w:val="24"/>
              </w:rPr>
              <w:lastRenderedPageBreak/>
              <w:t>popularności wykorzystania komunikacji miejskiej w związku z pandemią</w:t>
            </w:r>
            <w:r w:rsidR="00C340E0" w:rsidRPr="00237760">
              <w:rPr>
                <w:rFonts w:ascii="Arial" w:hAnsi="Arial" w:cs="Arial"/>
                <w:color w:val="auto"/>
                <w:sz w:val="24"/>
                <w:szCs w:val="24"/>
              </w:rPr>
              <w:t xml:space="preserve"> (</w:t>
            </w:r>
            <w:r w:rsidR="00C340E0" w:rsidRPr="00237760">
              <w:rPr>
                <w:rFonts w:ascii="Arial" w:hAnsi="Arial" w:cs="Arial"/>
                <w:color w:val="auto"/>
                <w:sz w:val="24"/>
                <w:szCs w:val="24"/>
              </w:rPr>
              <w:fldChar w:fldCharType="begin"/>
            </w:r>
            <w:r w:rsidR="00C340E0" w:rsidRPr="00237760">
              <w:rPr>
                <w:rFonts w:ascii="Arial" w:hAnsi="Arial" w:cs="Arial"/>
                <w:color w:val="auto"/>
                <w:sz w:val="24"/>
                <w:szCs w:val="24"/>
              </w:rPr>
              <w:instrText xml:space="preserve"> REF _Ref99547466 \h  \* MERGEFORMAT </w:instrText>
            </w:r>
            <w:r w:rsidR="00C340E0" w:rsidRPr="00237760">
              <w:rPr>
                <w:rFonts w:ascii="Arial" w:hAnsi="Arial" w:cs="Arial"/>
                <w:color w:val="auto"/>
                <w:sz w:val="24"/>
                <w:szCs w:val="24"/>
              </w:rPr>
            </w:r>
            <w:r w:rsidR="00C340E0" w:rsidRPr="00237760">
              <w:rPr>
                <w:rFonts w:ascii="Arial" w:hAnsi="Arial" w:cs="Arial"/>
                <w:color w:val="auto"/>
                <w:sz w:val="24"/>
                <w:szCs w:val="24"/>
              </w:rPr>
              <w:fldChar w:fldCharType="separate"/>
            </w:r>
            <w:r w:rsidR="00E52C19" w:rsidRPr="00237760">
              <w:rPr>
                <w:rFonts w:ascii="Arial" w:hAnsi="Arial" w:cs="Arial"/>
                <w:color w:val="auto"/>
                <w:sz w:val="24"/>
                <w:szCs w:val="24"/>
              </w:rPr>
              <w:t>Wykres 12</w:t>
            </w:r>
            <w:r w:rsidR="00C340E0" w:rsidRPr="00237760">
              <w:rPr>
                <w:rFonts w:ascii="Arial" w:hAnsi="Arial" w:cs="Arial"/>
                <w:color w:val="auto"/>
                <w:sz w:val="24"/>
                <w:szCs w:val="24"/>
              </w:rPr>
              <w:fldChar w:fldCharType="end"/>
            </w:r>
            <w:r w:rsidR="00C340E0" w:rsidRPr="00237760">
              <w:rPr>
                <w:rFonts w:ascii="Arial" w:hAnsi="Arial" w:cs="Arial"/>
                <w:color w:val="auto"/>
                <w:sz w:val="24"/>
                <w:szCs w:val="24"/>
              </w:rPr>
              <w:t>)</w:t>
            </w:r>
          </w:p>
        </w:tc>
      </w:tr>
      <w:tr w:rsidR="00237760" w:rsidRPr="00237760" w14:paraId="1FF881BD" w14:textId="64C0D106" w:rsidTr="003D7F69">
        <w:trPr>
          <w:trHeight w:val="151"/>
        </w:trPr>
        <w:tc>
          <w:tcPr>
            <w:tcW w:w="2699"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44EA5E3E" w14:textId="7F45328F"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lastRenderedPageBreak/>
              <w:t>Długość zelektryfikowanych linii kolejowych</w:t>
            </w:r>
          </w:p>
        </w:tc>
        <w:tc>
          <w:tcPr>
            <w:tcW w:w="15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6E2E54DA" w14:textId="00F40362" w:rsidR="002F3EB5" w:rsidRPr="00237760" w:rsidRDefault="00D448BB"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przeszacowana / OK</w:t>
            </w:r>
          </w:p>
        </w:tc>
        <w:tc>
          <w:tcPr>
            <w:tcW w:w="1275" w:type="dxa"/>
            <w:tcBorders>
              <w:top w:val="single" w:sz="4" w:space="0" w:color="BDD6EE" w:themeColor="accent1" w:themeTint="66"/>
              <w:left w:val="nil"/>
              <w:bottom w:val="single" w:sz="4" w:space="0" w:color="BDD6EE" w:themeColor="accent1" w:themeTint="66"/>
              <w:right w:val="nil"/>
            </w:tcBorders>
            <w:vAlign w:val="center"/>
          </w:tcPr>
          <w:p w14:paraId="027A115B" w14:textId="30D045B5" w:rsidR="002F3EB5" w:rsidRPr="00237760" w:rsidRDefault="0000346C"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w:t>
            </w:r>
          </w:p>
        </w:tc>
        <w:tc>
          <w:tcPr>
            <w:tcW w:w="3685" w:type="dxa"/>
            <w:tcBorders>
              <w:top w:val="single" w:sz="4" w:space="0" w:color="BDD6EE" w:themeColor="accent1" w:themeTint="66"/>
              <w:left w:val="nil"/>
              <w:bottom w:val="single" w:sz="4" w:space="0" w:color="BDD6EE" w:themeColor="accent1" w:themeTint="66"/>
              <w:right w:val="nil"/>
            </w:tcBorders>
            <w:vAlign w:val="center"/>
          </w:tcPr>
          <w:p w14:paraId="541FBB54" w14:textId="4798F8DD" w:rsidR="002F3EB5" w:rsidRPr="00237760" w:rsidRDefault="001E0DAB" w:rsidP="009367B4">
            <w:pPr>
              <w:pStyle w:val="Akapitzlist"/>
              <w:numPr>
                <w:ilvl w:val="0"/>
                <w:numId w:val="33"/>
              </w:numPr>
              <w:spacing w:after="0" w:line="240" w:lineRule="auto"/>
              <w:ind w:left="176" w:hanging="218"/>
              <w:jc w:val="left"/>
              <w:rPr>
                <w:rFonts w:ascii="Arial" w:hAnsi="Arial" w:cs="Arial"/>
                <w:color w:val="auto"/>
                <w:sz w:val="24"/>
                <w:szCs w:val="24"/>
              </w:rPr>
            </w:pPr>
            <w:r w:rsidRPr="00237760">
              <w:rPr>
                <w:rFonts w:ascii="Arial" w:hAnsi="Arial" w:cs="Arial"/>
                <w:color w:val="auto"/>
                <w:sz w:val="24"/>
                <w:szCs w:val="24"/>
              </w:rPr>
              <w:t>wskaźnik przyrasta (w okresie dostępności danych) bardzo nieznacznie, należy zastanowić się czy planowane inwestycje pozwolą na realizację założonej wartości docelowej</w:t>
            </w:r>
            <w:r w:rsidR="00C340E0" w:rsidRPr="00237760">
              <w:rPr>
                <w:rFonts w:ascii="Arial" w:hAnsi="Arial" w:cs="Arial"/>
                <w:color w:val="auto"/>
                <w:sz w:val="24"/>
                <w:szCs w:val="24"/>
              </w:rPr>
              <w:t xml:space="preserve"> (</w:t>
            </w:r>
            <w:r w:rsidR="00C340E0" w:rsidRPr="00237760">
              <w:rPr>
                <w:rFonts w:ascii="Arial" w:hAnsi="Arial" w:cs="Arial"/>
                <w:color w:val="auto"/>
                <w:sz w:val="24"/>
                <w:szCs w:val="24"/>
              </w:rPr>
              <w:fldChar w:fldCharType="begin"/>
            </w:r>
            <w:r w:rsidR="00C340E0" w:rsidRPr="00237760">
              <w:rPr>
                <w:rFonts w:ascii="Arial" w:hAnsi="Arial" w:cs="Arial"/>
                <w:color w:val="auto"/>
                <w:sz w:val="24"/>
                <w:szCs w:val="24"/>
              </w:rPr>
              <w:instrText xml:space="preserve"> REF _Ref99547488 \h </w:instrText>
            </w:r>
            <w:r w:rsidR="00BD2C03" w:rsidRPr="00237760">
              <w:rPr>
                <w:rFonts w:ascii="Arial" w:hAnsi="Arial" w:cs="Arial"/>
                <w:color w:val="auto"/>
                <w:sz w:val="24"/>
                <w:szCs w:val="24"/>
              </w:rPr>
              <w:instrText xml:space="preserve"> \* MERGEFORMAT </w:instrText>
            </w:r>
            <w:r w:rsidR="00C340E0" w:rsidRPr="00237760">
              <w:rPr>
                <w:rFonts w:ascii="Arial" w:hAnsi="Arial" w:cs="Arial"/>
                <w:color w:val="auto"/>
                <w:sz w:val="24"/>
                <w:szCs w:val="24"/>
              </w:rPr>
            </w:r>
            <w:r w:rsidR="00C340E0" w:rsidRPr="00237760">
              <w:rPr>
                <w:rFonts w:ascii="Arial" w:hAnsi="Arial" w:cs="Arial"/>
                <w:color w:val="auto"/>
                <w:sz w:val="24"/>
                <w:szCs w:val="24"/>
              </w:rPr>
              <w:fldChar w:fldCharType="separate"/>
            </w:r>
            <w:r w:rsidR="00E52C19" w:rsidRPr="00237760">
              <w:rPr>
                <w:rFonts w:ascii="Arial" w:hAnsi="Arial" w:cs="Arial"/>
                <w:color w:val="auto"/>
                <w:sz w:val="24"/>
                <w:szCs w:val="24"/>
              </w:rPr>
              <w:t>Wykres 13</w:t>
            </w:r>
            <w:r w:rsidR="00C340E0" w:rsidRPr="00237760">
              <w:rPr>
                <w:rFonts w:ascii="Arial" w:hAnsi="Arial" w:cs="Arial"/>
                <w:color w:val="auto"/>
                <w:sz w:val="24"/>
                <w:szCs w:val="24"/>
              </w:rPr>
              <w:fldChar w:fldCharType="end"/>
            </w:r>
            <w:r w:rsidR="00C340E0" w:rsidRPr="00237760">
              <w:rPr>
                <w:rFonts w:ascii="Arial" w:hAnsi="Arial" w:cs="Arial"/>
                <w:color w:val="auto"/>
                <w:sz w:val="24"/>
                <w:szCs w:val="24"/>
              </w:rPr>
              <w:t>)</w:t>
            </w:r>
          </w:p>
        </w:tc>
      </w:tr>
      <w:tr w:rsidR="00237760" w:rsidRPr="00237760" w14:paraId="5C6FA7F1" w14:textId="07065B6E" w:rsidTr="003D7F69">
        <w:trPr>
          <w:trHeight w:val="151"/>
        </w:trPr>
        <w:tc>
          <w:tcPr>
            <w:tcW w:w="2699"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0293A6F1" w14:textId="6292F23F"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Liczba elektrycznych pojazdów autobusowego transportu miejskiego w ROF oraz MOF województwa podkarpackiego</w:t>
            </w:r>
          </w:p>
        </w:tc>
        <w:tc>
          <w:tcPr>
            <w:tcW w:w="15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75780CD1" w14:textId="5109169D" w:rsidR="002F3EB5" w:rsidRPr="00237760" w:rsidRDefault="009D511F"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 dotyczy</w:t>
            </w:r>
          </w:p>
        </w:tc>
        <w:tc>
          <w:tcPr>
            <w:tcW w:w="1275" w:type="dxa"/>
            <w:tcBorders>
              <w:top w:val="single" w:sz="4" w:space="0" w:color="BDD6EE" w:themeColor="accent1" w:themeTint="66"/>
              <w:left w:val="nil"/>
              <w:bottom w:val="single" w:sz="4" w:space="0" w:color="BDD6EE" w:themeColor="accent1" w:themeTint="66"/>
              <w:right w:val="nil"/>
            </w:tcBorders>
            <w:shd w:val="clear" w:color="auto" w:fill="DEEAF6" w:themeFill="accent1" w:themeFillTint="33"/>
            <w:vAlign w:val="center"/>
          </w:tcPr>
          <w:p w14:paraId="1990A0A5" w14:textId="26FB443A" w:rsidR="002F3EB5" w:rsidRPr="00237760" w:rsidRDefault="009D511F"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3685" w:type="dxa"/>
            <w:tcBorders>
              <w:top w:val="single" w:sz="4" w:space="0" w:color="BDD6EE" w:themeColor="accent1" w:themeTint="66"/>
              <w:left w:val="nil"/>
              <w:bottom w:val="single" w:sz="4" w:space="0" w:color="BDD6EE" w:themeColor="accent1" w:themeTint="66"/>
              <w:right w:val="nil"/>
            </w:tcBorders>
            <w:vAlign w:val="center"/>
          </w:tcPr>
          <w:p w14:paraId="19EE4243" w14:textId="7845733C" w:rsidR="002F3EB5" w:rsidRPr="00237760" w:rsidRDefault="009D511F" w:rsidP="009367B4">
            <w:pPr>
              <w:pStyle w:val="Akapitzlist"/>
              <w:numPr>
                <w:ilvl w:val="0"/>
                <w:numId w:val="33"/>
              </w:numPr>
              <w:spacing w:after="0" w:line="240" w:lineRule="auto"/>
              <w:ind w:left="176" w:hanging="218"/>
              <w:jc w:val="left"/>
              <w:rPr>
                <w:rFonts w:ascii="Arial" w:hAnsi="Arial" w:cs="Arial"/>
                <w:color w:val="auto"/>
                <w:sz w:val="24"/>
                <w:szCs w:val="24"/>
              </w:rPr>
            </w:pPr>
            <w:r w:rsidRPr="00237760">
              <w:rPr>
                <w:rFonts w:ascii="Arial" w:hAnsi="Arial" w:cs="Arial"/>
                <w:color w:val="auto"/>
                <w:sz w:val="24"/>
                <w:szCs w:val="24"/>
              </w:rPr>
              <w:t xml:space="preserve">brak dostępu do danych, ale na podstawie opisu źródła pozyskiwania danych można wnioskować, że </w:t>
            </w:r>
            <w:r w:rsidR="006173C3" w:rsidRPr="00237760">
              <w:rPr>
                <w:rFonts w:ascii="Arial" w:hAnsi="Arial" w:cs="Arial"/>
                <w:color w:val="auto"/>
                <w:sz w:val="24"/>
                <w:szCs w:val="24"/>
              </w:rPr>
              <w:t xml:space="preserve">wskaźnik </w:t>
            </w:r>
            <w:r w:rsidRPr="00237760">
              <w:rPr>
                <w:rFonts w:ascii="Arial" w:hAnsi="Arial" w:cs="Arial"/>
                <w:color w:val="auto"/>
                <w:sz w:val="24"/>
                <w:szCs w:val="24"/>
              </w:rPr>
              <w:t>dotyczy</w:t>
            </w:r>
            <w:r w:rsidR="006173C3" w:rsidRPr="00237760">
              <w:rPr>
                <w:rFonts w:ascii="Arial" w:hAnsi="Arial" w:cs="Arial"/>
                <w:color w:val="auto"/>
                <w:sz w:val="24"/>
                <w:szCs w:val="24"/>
              </w:rPr>
              <w:t xml:space="preserve"> </w:t>
            </w:r>
            <w:r w:rsidRPr="00237760">
              <w:rPr>
                <w:rFonts w:ascii="Arial" w:hAnsi="Arial" w:cs="Arial"/>
                <w:color w:val="auto"/>
                <w:sz w:val="24"/>
                <w:szCs w:val="24"/>
              </w:rPr>
              <w:t>poziomu lokalnego</w:t>
            </w:r>
          </w:p>
        </w:tc>
      </w:tr>
      <w:tr w:rsidR="00237760" w:rsidRPr="00237760" w14:paraId="5ABA6F43" w14:textId="571FEE21" w:rsidTr="003D7F69">
        <w:trPr>
          <w:trHeight w:val="151"/>
        </w:trPr>
        <w:tc>
          <w:tcPr>
            <w:tcW w:w="2699"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6E884152" w14:textId="14229ACB"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Liczba parkingów w systemie Parkuj i Jedź (Park &amp; Ride)</w:t>
            </w:r>
          </w:p>
        </w:tc>
        <w:tc>
          <w:tcPr>
            <w:tcW w:w="15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7C3ED8AD" w14:textId="5ABABFEC" w:rsidR="002F3EB5" w:rsidRPr="00237760" w:rsidRDefault="00120A70"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OK</w:t>
            </w:r>
          </w:p>
        </w:tc>
        <w:tc>
          <w:tcPr>
            <w:tcW w:w="1275" w:type="dxa"/>
            <w:tcBorders>
              <w:top w:val="single" w:sz="4" w:space="0" w:color="BDD6EE" w:themeColor="accent1" w:themeTint="66"/>
              <w:left w:val="nil"/>
              <w:bottom w:val="single" w:sz="4" w:space="0" w:color="BDD6EE" w:themeColor="accent1" w:themeTint="66"/>
              <w:right w:val="nil"/>
            </w:tcBorders>
            <w:shd w:val="clear" w:color="auto" w:fill="DEEAF6" w:themeFill="accent1" w:themeFillTint="33"/>
            <w:vAlign w:val="center"/>
          </w:tcPr>
          <w:p w14:paraId="120B68A6" w14:textId="78617EFF" w:rsidR="002F3EB5" w:rsidRPr="00237760" w:rsidRDefault="00D15C38"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3685" w:type="dxa"/>
            <w:tcBorders>
              <w:top w:val="single" w:sz="4" w:space="0" w:color="BDD6EE" w:themeColor="accent1" w:themeTint="66"/>
              <w:left w:val="nil"/>
              <w:bottom w:val="single" w:sz="4" w:space="0" w:color="BDD6EE" w:themeColor="accent1" w:themeTint="66"/>
              <w:right w:val="nil"/>
            </w:tcBorders>
            <w:vAlign w:val="center"/>
          </w:tcPr>
          <w:p w14:paraId="7EFF3FF3" w14:textId="27436BEE" w:rsidR="002F3EB5" w:rsidRPr="00237760" w:rsidRDefault="00236B80" w:rsidP="009367B4">
            <w:pPr>
              <w:pStyle w:val="Akapitzlist"/>
              <w:numPr>
                <w:ilvl w:val="0"/>
                <w:numId w:val="33"/>
              </w:numPr>
              <w:spacing w:after="0" w:line="240" w:lineRule="auto"/>
              <w:ind w:left="176" w:hanging="218"/>
              <w:jc w:val="left"/>
              <w:rPr>
                <w:rFonts w:ascii="Arial" w:hAnsi="Arial" w:cs="Arial"/>
                <w:color w:val="auto"/>
                <w:sz w:val="24"/>
                <w:szCs w:val="24"/>
              </w:rPr>
            </w:pPr>
            <w:r w:rsidRPr="00237760">
              <w:rPr>
                <w:rFonts w:ascii="Arial" w:hAnsi="Arial" w:cs="Arial"/>
                <w:color w:val="auto"/>
                <w:sz w:val="24"/>
                <w:szCs w:val="24"/>
              </w:rPr>
              <w:t>zbyt krótki szereg czasowy, aby jednoznacznie ocenić szacunek wartości docelowej dla 2030 roku</w:t>
            </w:r>
            <w:r w:rsidR="00C340E0" w:rsidRPr="00237760">
              <w:rPr>
                <w:rFonts w:ascii="Arial" w:hAnsi="Arial" w:cs="Arial"/>
                <w:color w:val="auto"/>
                <w:sz w:val="24"/>
                <w:szCs w:val="24"/>
              </w:rPr>
              <w:t xml:space="preserve"> (</w:t>
            </w:r>
            <w:r w:rsidR="00C340E0" w:rsidRPr="00237760">
              <w:rPr>
                <w:rFonts w:ascii="Arial" w:hAnsi="Arial" w:cs="Arial"/>
                <w:color w:val="auto"/>
                <w:sz w:val="24"/>
                <w:szCs w:val="24"/>
              </w:rPr>
              <w:fldChar w:fldCharType="begin"/>
            </w:r>
            <w:r w:rsidR="00C340E0" w:rsidRPr="00237760">
              <w:rPr>
                <w:rFonts w:ascii="Arial" w:hAnsi="Arial" w:cs="Arial"/>
                <w:color w:val="auto"/>
                <w:sz w:val="24"/>
                <w:szCs w:val="24"/>
              </w:rPr>
              <w:instrText xml:space="preserve"> REF _Ref99547504 \h </w:instrText>
            </w:r>
            <w:r w:rsidR="00BD2C03" w:rsidRPr="00237760">
              <w:rPr>
                <w:rFonts w:ascii="Arial" w:hAnsi="Arial" w:cs="Arial"/>
                <w:color w:val="auto"/>
                <w:sz w:val="24"/>
                <w:szCs w:val="24"/>
              </w:rPr>
              <w:instrText xml:space="preserve"> \* MERGEFORMAT </w:instrText>
            </w:r>
            <w:r w:rsidR="00C340E0" w:rsidRPr="00237760">
              <w:rPr>
                <w:rFonts w:ascii="Arial" w:hAnsi="Arial" w:cs="Arial"/>
                <w:color w:val="auto"/>
                <w:sz w:val="24"/>
                <w:szCs w:val="24"/>
              </w:rPr>
            </w:r>
            <w:r w:rsidR="00C340E0" w:rsidRPr="00237760">
              <w:rPr>
                <w:rFonts w:ascii="Arial" w:hAnsi="Arial" w:cs="Arial"/>
                <w:color w:val="auto"/>
                <w:sz w:val="24"/>
                <w:szCs w:val="24"/>
              </w:rPr>
              <w:fldChar w:fldCharType="separate"/>
            </w:r>
            <w:r w:rsidR="00E52C19" w:rsidRPr="00237760">
              <w:rPr>
                <w:rFonts w:ascii="Arial" w:hAnsi="Arial" w:cs="Arial"/>
                <w:color w:val="auto"/>
                <w:sz w:val="24"/>
                <w:szCs w:val="24"/>
              </w:rPr>
              <w:t>Wykres 14</w:t>
            </w:r>
            <w:r w:rsidR="00C340E0" w:rsidRPr="00237760">
              <w:rPr>
                <w:rFonts w:ascii="Arial" w:hAnsi="Arial" w:cs="Arial"/>
                <w:color w:val="auto"/>
                <w:sz w:val="24"/>
                <w:szCs w:val="24"/>
              </w:rPr>
              <w:fldChar w:fldCharType="end"/>
            </w:r>
            <w:r w:rsidR="00C340E0" w:rsidRPr="00237760">
              <w:rPr>
                <w:rFonts w:ascii="Arial" w:hAnsi="Arial" w:cs="Arial"/>
                <w:color w:val="auto"/>
                <w:sz w:val="24"/>
                <w:szCs w:val="24"/>
              </w:rPr>
              <w:t>)</w:t>
            </w:r>
          </w:p>
        </w:tc>
      </w:tr>
      <w:tr w:rsidR="00237760" w:rsidRPr="00237760" w14:paraId="2EDCA498" w14:textId="1BE22F8B" w:rsidTr="003D7F69">
        <w:trPr>
          <w:trHeight w:val="151"/>
        </w:trPr>
        <w:tc>
          <w:tcPr>
            <w:tcW w:w="2699"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52E29FD4" w14:textId="56A41103"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Liczba przystanków autobusowych</w:t>
            </w:r>
          </w:p>
        </w:tc>
        <w:tc>
          <w:tcPr>
            <w:tcW w:w="15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5B1A6620" w14:textId="0034A848" w:rsidR="002F3EB5" w:rsidRPr="00237760" w:rsidRDefault="002A65EF"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niedoszacowana</w:t>
            </w:r>
          </w:p>
        </w:tc>
        <w:tc>
          <w:tcPr>
            <w:tcW w:w="1275" w:type="dxa"/>
            <w:tcBorders>
              <w:top w:val="single" w:sz="4" w:space="0" w:color="BDD6EE" w:themeColor="accent1" w:themeTint="66"/>
              <w:left w:val="nil"/>
              <w:bottom w:val="single" w:sz="4" w:space="0" w:color="BDD6EE" w:themeColor="accent1" w:themeTint="66"/>
              <w:right w:val="nil"/>
            </w:tcBorders>
            <w:shd w:val="clear" w:color="auto" w:fill="DEEAF6" w:themeFill="accent1" w:themeFillTint="33"/>
            <w:vAlign w:val="center"/>
          </w:tcPr>
          <w:p w14:paraId="1ECCB8DC" w14:textId="51F739E0" w:rsidR="002F3EB5" w:rsidRPr="00237760" w:rsidRDefault="002A65EF"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3685" w:type="dxa"/>
            <w:tcBorders>
              <w:top w:val="single" w:sz="4" w:space="0" w:color="BDD6EE" w:themeColor="accent1" w:themeTint="66"/>
              <w:left w:val="nil"/>
              <w:bottom w:val="single" w:sz="4" w:space="0" w:color="BDD6EE" w:themeColor="accent1" w:themeTint="66"/>
              <w:right w:val="nil"/>
            </w:tcBorders>
            <w:vAlign w:val="center"/>
          </w:tcPr>
          <w:p w14:paraId="4F46BA71" w14:textId="28222103" w:rsidR="002F3EB5" w:rsidRPr="00237760" w:rsidRDefault="002A65EF" w:rsidP="009367B4">
            <w:pPr>
              <w:pStyle w:val="Akapitzlist"/>
              <w:numPr>
                <w:ilvl w:val="0"/>
                <w:numId w:val="33"/>
              </w:numPr>
              <w:spacing w:after="0" w:line="240" w:lineRule="auto"/>
              <w:ind w:left="176" w:hanging="218"/>
              <w:jc w:val="left"/>
              <w:rPr>
                <w:rFonts w:ascii="Arial" w:hAnsi="Arial" w:cs="Arial"/>
                <w:color w:val="auto"/>
                <w:sz w:val="24"/>
                <w:szCs w:val="24"/>
              </w:rPr>
            </w:pPr>
            <w:r w:rsidRPr="00237760">
              <w:rPr>
                <w:rFonts w:ascii="Arial" w:hAnsi="Arial" w:cs="Arial"/>
                <w:color w:val="auto"/>
                <w:sz w:val="24"/>
                <w:szCs w:val="24"/>
              </w:rPr>
              <w:t>wskaźnik już w 2020 roku przekroczył szacowaną wartość docelową</w:t>
            </w:r>
            <w:r w:rsidR="009E63C5" w:rsidRPr="00237760">
              <w:rPr>
                <w:rFonts w:ascii="Arial" w:hAnsi="Arial" w:cs="Arial"/>
                <w:color w:val="auto"/>
                <w:sz w:val="24"/>
                <w:szCs w:val="24"/>
              </w:rPr>
              <w:t>, jednak szereg czasowy dostępnych danych jest zbyt krótki, aby statystycznie prognozować wartość docelową</w:t>
            </w:r>
            <w:r w:rsidR="00A4308A" w:rsidRPr="00237760">
              <w:rPr>
                <w:rFonts w:ascii="Arial" w:hAnsi="Arial" w:cs="Arial"/>
                <w:color w:val="auto"/>
                <w:sz w:val="24"/>
                <w:szCs w:val="24"/>
              </w:rPr>
              <w:t xml:space="preserve"> (</w:t>
            </w:r>
            <w:r w:rsidR="00A4308A" w:rsidRPr="00237760">
              <w:rPr>
                <w:rFonts w:ascii="Arial" w:hAnsi="Arial" w:cs="Arial"/>
                <w:color w:val="auto"/>
                <w:sz w:val="24"/>
                <w:szCs w:val="24"/>
              </w:rPr>
              <w:fldChar w:fldCharType="begin"/>
            </w:r>
            <w:r w:rsidR="00A4308A" w:rsidRPr="00237760">
              <w:rPr>
                <w:rFonts w:ascii="Arial" w:hAnsi="Arial" w:cs="Arial"/>
                <w:color w:val="auto"/>
                <w:sz w:val="24"/>
                <w:szCs w:val="24"/>
              </w:rPr>
              <w:instrText xml:space="preserve"> REF _Ref99547592 \h </w:instrText>
            </w:r>
            <w:r w:rsidR="00BD2C03" w:rsidRPr="00237760">
              <w:rPr>
                <w:rFonts w:ascii="Arial" w:hAnsi="Arial" w:cs="Arial"/>
                <w:color w:val="auto"/>
                <w:sz w:val="24"/>
                <w:szCs w:val="24"/>
              </w:rPr>
              <w:instrText xml:space="preserve"> \* MERGEFORMAT </w:instrText>
            </w:r>
            <w:r w:rsidR="00A4308A" w:rsidRPr="00237760">
              <w:rPr>
                <w:rFonts w:ascii="Arial" w:hAnsi="Arial" w:cs="Arial"/>
                <w:color w:val="auto"/>
                <w:sz w:val="24"/>
                <w:szCs w:val="24"/>
              </w:rPr>
            </w:r>
            <w:r w:rsidR="00A4308A" w:rsidRPr="00237760">
              <w:rPr>
                <w:rFonts w:ascii="Arial" w:hAnsi="Arial" w:cs="Arial"/>
                <w:color w:val="auto"/>
                <w:sz w:val="24"/>
                <w:szCs w:val="24"/>
              </w:rPr>
              <w:fldChar w:fldCharType="separate"/>
            </w:r>
            <w:r w:rsidR="00E52C19" w:rsidRPr="00237760">
              <w:rPr>
                <w:rFonts w:ascii="Arial" w:hAnsi="Arial" w:cs="Arial"/>
                <w:color w:val="auto"/>
                <w:sz w:val="24"/>
                <w:szCs w:val="24"/>
              </w:rPr>
              <w:t>Wykres 15</w:t>
            </w:r>
            <w:r w:rsidR="00A4308A" w:rsidRPr="00237760">
              <w:rPr>
                <w:rFonts w:ascii="Arial" w:hAnsi="Arial" w:cs="Arial"/>
                <w:color w:val="auto"/>
                <w:sz w:val="24"/>
                <w:szCs w:val="24"/>
              </w:rPr>
              <w:fldChar w:fldCharType="end"/>
            </w:r>
            <w:r w:rsidR="00A4308A" w:rsidRPr="00237760">
              <w:rPr>
                <w:rFonts w:ascii="Arial" w:hAnsi="Arial" w:cs="Arial"/>
                <w:color w:val="auto"/>
                <w:sz w:val="24"/>
                <w:szCs w:val="24"/>
              </w:rPr>
              <w:t>)</w:t>
            </w:r>
          </w:p>
        </w:tc>
      </w:tr>
      <w:tr w:rsidR="00237760" w:rsidRPr="00237760" w14:paraId="020F411E" w14:textId="5C0F5FA0" w:rsidTr="003D7F69">
        <w:trPr>
          <w:trHeight w:val="151"/>
        </w:trPr>
        <w:tc>
          <w:tcPr>
            <w:tcW w:w="2699"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47C7F2B0" w14:textId="21CE553C"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Liczba autobusów komunikacji miejskiej przystosowanych do przewozu osób niepełnosprawnych</w:t>
            </w:r>
          </w:p>
        </w:tc>
        <w:tc>
          <w:tcPr>
            <w:tcW w:w="15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5CB6317D" w14:textId="36E91C6D" w:rsidR="002F3EB5" w:rsidRPr="00237760" w:rsidRDefault="0042071B"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niedoszacowana / OK</w:t>
            </w:r>
          </w:p>
        </w:tc>
        <w:tc>
          <w:tcPr>
            <w:tcW w:w="1275" w:type="dxa"/>
            <w:tcBorders>
              <w:top w:val="single" w:sz="4" w:space="0" w:color="BDD6EE" w:themeColor="accent1" w:themeTint="66"/>
              <w:left w:val="nil"/>
              <w:bottom w:val="single" w:sz="4" w:space="0" w:color="BDD6EE" w:themeColor="accent1" w:themeTint="66"/>
              <w:right w:val="nil"/>
            </w:tcBorders>
            <w:vAlign w:val="center"/>
          </w:tcPr>
          <w:p w14:paraId="5495634C" w14:textId="5667EBE1" w:rsidR="002F3EB5" w:rsidRPr="00237760" w:rsidRDefault="00F810E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w:t>
            </w:r>
          </w:p>
        </w:tc>
        <w:tc>
          <w:tcPr>
            <w:tcW w:w="3685" w:type="dxa"/>
            <w:tcBorders>
              <w:top w:val="single" w:sz="4" w:space="0" w:color="BDD6EE" w:themeColor="accent1" w:themeTint="66"/>
              <w:left w:val="nil"/>
              <w:bottom w:val="single" w:sz="4" w:space="0" w:color="BDD6EE" w:themeColor="accent1" w:themeTint="66"/>
              <w:right w:val="nil"/>
            </w:tcBorders>
            <w:vAlign w:val="center"/>
          </w:tcPr>
          <w:p w14:paraId="54D459F6" w14:textId="74865620" w:rsidR="002F3EB5" w:rsidRPr="00237760" w:rsidRDefault="00104D39" w:rsidP="009367B4">
            <w:pPr>
              <w:pStyle w:val="Akapitzlist"/>
              <w:numPr>
                <w:ilvl w:val="0"/>
                <w:numId w:val="33"/>
              </w:numPr>
              <w:spacing w:after="0" w:line="240" w:lineRule="auto"/>
              <w:ind w:left="176" w:hanging="218"/>
              <w:jc w:val="left"/>
              <w:rPr>
                <w:rFonts w:ascii="Arial" w:hAnsi="Arial" w:cs="Arial"/>
                <w:color w:val="auto"/>
                <w:sz w:val="24"/>
                <w:szCs w:val="24"/>
              </w:rPr>
            </w:pPr>
            <w:r w:rsidRPr="00237760">
              <w:rPr>
                <w:rFonts w:ascii="Arial" w:hAnsi="Arial" w:cs="Arial"/>
                <w:color w:val="auto"/>
                <w:sz w:val="24"/>
                <w:szCs w:val="24"/>
              </w:rPr>
              <w:t xml:space="preserve">statystycznie wyliczona wartość (przy uwzględnieniu średniej dynamiki zmiany) jest prawdopodobnie zbyt wysoka z uwagi na inwestycyjny charakter wskaźnika, jednak warto rozważyć bardziej odważne szacunki, ponieważ wskaźnik już w 2020 roku </w:t>
            </w:r>
            <w:r w:rsidR="00A4308A" w:rsidRPr="00237760">
              <w:rPr>
                <w:rFonts w:ascii="Arial" w:hAnsi="Arial" w:cs="Arial"/>
                <w:color w:val="auto"/>
                <w:sz w:val="24"/>
                <w:szCs w:val="24"/>
              </w:rPr>
              <w:t>był zbliżony do wartości docelowej (</w:t>
            </w:r>
            <w:r w:rsidR="00A4308A" w:rsidRPr="00237760">
              <w:rPr>
                <w:rFonts w:ascii="Arial" w:hAnsi="Arial" w:cs="Arial"/>
                <w:color w:val="auto"/>
                <w:sz w:val="24"/>
                <w:szCs w:val="24"/>
              </w:rPr>
              <w:fldChar w:fldCharType="begin"/>
            </w:r>
            <w:r w:rsidR="00A4308A" w:rsidRPr="00237760">
              <w:rPr>
                <w:rFonts w:ascii="Arial" w:hAnsi="Arial" w:cs="Arial"/>
                <w:color w:val="auto"/>
                <w:sz w:val="24"/>
                <w:szCs w:val="24"/>
              </w:rPr>
              <w:instrText xml:space="preserve"> REF _Ref99547688 \h </w:instrText>
            </w:r>
            <w:r w:rsidR="00BD2C03" w:rsidRPr="00237760">
              <w:rPr>
                <w:rFonts w:ascii="Arial" w:hAnsi="Arial" w:cs="Arial"/>
                <w:color w:val="auto"/>
                <w:sz w:val="24"/>
                <w:szCs w:val="24"/>
              </w:rPr>
              <w:instrText xml:space="preserve"> \* MERGEFORMAT </w:instrText>
            </w:r>
            <w:r w:rsidR="00A4308A" w:rsidRPr="00237760">
              <w:rPr>
                <w:rFonts w:ascii="Arial" w:hAnsi="Arial" w:cs="Arial"/>
                <w:color w:val="auto"/>
                <w:sz w:val="24"/>
                <w:szCs w:val="24"/>
              </w:rPr>
            </w:r>
            <w:r w:rsidR="00A4308A" w:rsidRPr="00237760">
              <w:rPr>
                <w:rFonts w:ascii="Arial" w:hAnsi="Arial" w:cs="Arial"/>
                <w:color w:val="auto"/>
                <w:sz w:val="24"/>
                <w:szCs w:val="24"/>
              </w:rPr>
              <w:fldChar w:fldCharType="separate"/>
            </w:r>
            <w:r w:rsidR="00E52C19" w:rsidRPr="00237760">
              <w:rPr>
                <w:rFonts w:ascii="Arial" w:hAnsi="Arial" w:cs="Arial"/>
                <w:color w:val="auto"/>
                <w:sz w:val="24"/>
                <w:szCs w:val="24"/>
              </w:rPr>
              <w:t>Wykres 16</w:t>
            </w:r>
            <w:r w:rsidR="00A4308A" w:rsidRPr="00237760">
              <w:rPr>
                <w:rFonts w:ascii="Arial" w:hAnsi="Arial" w:cs="Arial"/>
                <w:color w:val="auto"/>
                <w:sz w:val="24"/>
                <w:szCs w:val="24"/>
              </w:rPr>
              <w:fldChar w:fldCharType="end"/>
            </w:r>
            <w:r w:rsidR="00A4308A" w:rsidRPr="00237760">
              <w:rPr>
                <w:rFonts w:ascii="Arial" w:hAnsi="Arial" w:cs="Arial"/>
                <w:color w:val="auto"/>
                <w:sz w:val="24"/>
                <w:szCs w:val="24"/>
              </w:rPr>
              <w:t>)</w:t>
            </w:r>
          </w:p>
        </w:tc>
      </w:tr>
      <w:tr w:rsidR="00237760" w:rsidRPr="00237760" w14:paraId="396639A1" w14:textId="27C56E9D" w:rsidTr="003D7F69">
        <w:trPr>
          <w:trHeight w:val="151"/>
        </w:trPr>
        <w:tc>
          <w:tcPr>
            <w:tcW w:w="2699"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0F3E475B" w14:textId="1391B4A5"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Długość ścieżek rowerowych</w:t>
            </w:r>
          </w:p>
        </w:tc>
        <w:tc>
          <w:tcPr>
            <w:tcW w:w="15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634424D4" w14:textId="681A0A63" w:rsidR="002F3EB5" w:rsidRPr="00237760" w:rsidRDefault="00674C64"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niedoszacowana / OK</w:t>
            </w:r>
          </w:p>
        </w:tc>
        <w:tc>
          <w:tcPr>
            <w:tcW w:w="1275" w:type="dxa"/>
            <w:tcBorders>
              <w:top w:val="single" w:sz="4" w:space="0" w:color="BDD6EE" w:themeColor="accent1" w:themeTint="66"/>
              <w:left w:val="nil"/>
              <w:bottom w:val="single" w:sz="4" w:space="0" w:color="BDD6EE" w:themeColor="accent1" w:themeTint="66"/>
              <w:right w:val="nil"/>
            </w:tcBorders>
            <w:shd w:val="clear" w:color="auto" w:fill="DEEAF6" w:themeFill="accent1" w:themeFillTint="33"/>
            <w:vAlign w:val="center"/>
          </w:tcPr>
          <w:p w14:paraId="4845D0C0" w14:textId="5BAA8E6F" w:rsidR="002F3EB5" w:rsidRPr="00237760" w:rsidRDefault="002A65EF"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c>
          <w:tcPr>
            <w:tcW w:w="3685" w:type="dxa"/>
            <w:tcBorders>
              <w:top w:val="single" w:sz="4" w:space="0" w:color="BDD6EE" w:themeColor="accent1" w:themeTint="66"/>
              <w:left w:val="nil"/>
              <w:bottom w:val="single" w:sz="4" w:space="0" w:color="BDD6EE" w:themeColor="accent1" w:themeTint="66"/>
              <w:right w:val="nil"/>
            </w:tcBorders>
            <w:vAlign w:val="center"/>
          </w:tcPr>
          <w:p w14:paraId="5C3135FB" w14:textId="7911F921" w:rsidR="002F3EB5" w:rsidRPr="00237760" w:rsidRDefault="00674C64" w:rsidP="009367B4">
            <w:pPr>
              <w:pStyle w:val="Akapitzlist"/>
              <w:numPr>
                <w:ilvl w:val="0"/>
                <w:numId w:val="33"/>
              </w:numPr>
              <w:spacing w:after="0" w:line="240" w:lineRule="auto"/>
              <w:ind w:left="176" w:hanging="218"/>
              <w:jc w:val="left"/>
              <w:rPr>
                <w:rFonts w:ascii="Arial" w:hAnsi="Arial" w:cs="Arial"/>
                <w:color w:val="auto"/>
                <w:sz w:val="24"/>
                <w:szCs w:val="24"/>
              </w:rPr>
            </w:pPr>
            <w:r w:rsidRPr="00237760">
              <w:rPr>
                <w:rFonts w:ascii="Arial" w:hAnsi="Arial" w:cs="Arial"/>
                <w:color w:val="auto"/>
                <w:sz w:val="24"/>
                <w:szCs w:val="24"/>
              </w:rPr>
              <w:t xml:space="preserve">statystycznie wyliczona wartość (przy uwzględnieniu średniej dynamiki zmiany) jest prawdopodobnie zbyt wysoka z uwagi na inwestycyjny charakter wskaźnika, jednak </w:t>
            </w:r>
            <w:r w:rsidRPr="00237760">
              <w:rPr>
                <w:rFonts w:ascii="Arial" w:hAnsi="Arial" w:cs="Arial"/>
                <w:color w:val="auto"/>
                <w:sz w:val="24"/>
                <w:szCs w:val="24"/>
              </w:rPr>
              <w:lastRenderedPageBreak/>
              <w:t>warto rozważyć bardziej odważne szacunki</w:t>
            </w:r>
            <w:r w:rsidR="00A4308A" w:rsidRPr="00237760">
              <w:rPr>
                <w:rFonts w:ascii="Arial" w:hAnsi="Arial" w:cs="Arial"/>
                <w:color w:val="auto"/>
                <w:sz w:val="24"/>
                <w:szCs w:val="24"/>
              </w:rPr>
              <w:t xml:space="preserve"> (</w:t>
            </w:r>
            <w:r w:rsidR="00A4308A" w:rsidRPr="00237760">
              <w:rPr>
                <w:rFonts w:ascii="Arial" w:hAnsi="Arial" w:cs="Arial"/>
                <w:color w:val="auto"/>
                <w:sz w:val="24"/>
                <w:szCs w:val="24"/>
              </w:rPr>
              <w:fldChar w:fldCharType="begin"/>
            </w:r>
            <w:r w:rsidR="00A4308A" w:rsidRPr="00237760">
              <w:rPr>
                <w:rFonts w:ascii="Arial" w:hAnsi="Arial" w:cs="Arial"/>
                <w:color w:val="auto"/>
                <w:sz w:val="24"/>
                <w:szCs w:val="24"/>
              </w:rPr>
              <w:instrText xml:space="preserve"> REF _Ref99547708 \h </w:instrText>
            </w:r>
            <w:r w:rsidR="00BD2C03" w:rsidRPr="00237760">
              <w:rPr>
                <w:rFonts w:ascii="Arial" w:hAnsi="Arial" w:cs="Arial"/>
                <w:color w:val="auto"/>
                <w:sz w:val="24"/>
                <w:szCs w:val="24"/>
              </w:rPr>
              <w:instrText xml:space="preserve"> \* MERGEFORMAT </w:instrText>
            </w:r>
            <w:r w:rsidR="00A4308A" w:rsidRPr="00237760">
              <w:rPr>
                <w:rFonts w:ascii="Arial" w:hAnsi="Arial" w:cs="Arial"/>
                <w:color w:val="auto"/>
                <w:sz w:val="24"/>
                <w:szCs w:val="24"/>
              </w:rPr>
            </w:r>
            <w:r w:rsidR="00A4308A" w:rsidRPr="00237760">
              <w:rPr>
                <w:rFonts w:ascii="Arial" w:hAnsi="Arial" w:cs="Arial"/>
                <w:color w:val="auto"/>
                <w:sz w:val="24"/>
                <w:szCs w:val="24"/>
              </w:rPr>
              <w:fldChar w:fldCharType="separate"/>
            </w:r>
            <w:r w:rsidR="00E52C19" w:rsidRPr="00237760">
              <w:rPr>
                <w:rFonts w:ascii="Arial" w:hAnsi="Arial" w:cs="Arial"/>
                <w:color w:val="auto"/>
                <w:sz w:val="24"/>
                <w:szCs w:val="24"/>
              </w:rPr>
              <w:t>Wykres 17</w:t>
            </w:r>
            <w:r w:rsidR="00A4308A" w:rsidRPr="00237760">
              <w:rPr>
                <w:rFonts w:ascii="Arial" w:hAnsi="Arial" w:cs="Arial"/>
                <w:color w:val="auto"/>
                <w:sz w:val="24"/>
                <w:szCs w:val="24"/>
              </w:rPr>
              <w:fldChar w:fldCharType="end"/>
            </w:r>
            <w:r w:rsidR="00A4308A" w:rsidRPr="00237760">
              <w:rPr>
                <w:rFonts w:ascii="Arial" w:hAnsi="Arial" w:cs="Arial"/>
                <w:color w:val="auto"/>
                <w:sz w:val="24"/>
                <w:szCs w:val="24"/>
              </w:rPr>
              <w:t>)</w:t>
            </w:r>
          </w:p>
        </w:tc>
      </w:tr>
      <w:tr w:rsidR="00237760" w:rsidRPr="00237760" w14:paraId="4CE8F4CE" w14:textId="21C564F6" w:rsidTr="003D7F69">
        <w:trPr>
          <w:trHeight w:val="151"/>
        </w:trPr>
        <w:tc>
          <w:tcPr>
            <w:tcW w:w="2699"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03570323" w14:textId="09E4027A"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lastRenderedPageBreak/>
              <w:t>Liczba zdarzeń z udziałem rowerzystów na jezdniach</w:t>
            </w:r>
          </w:p>
        </w:tc>
        <w:tc>
          <w:tcPr>
            <w:tcW w:w="156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3C201328" w14:textId="1BC3ECD2" w:rsidR="002F3EB5" w:rsidRPr="00237760" w:rsidRDefault="002A65EF"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 dotyczy</w:t>
            </w:r>
          </w:p>
        </w:tc>
        <w:tc>
          <w:tcPr>
            <w:tcW w:w="1275" w:type="dxa"/>
            <w:tcBorders>
              <w:top w:val="single" w:sz="4" w:space="0" w:color="BDD6EE" w:themeColor="accent1" w:themeTint="66"/>
              <w:left w:val="nil"/>
              <w:bottom w:val="single" w:sz="4" w:space="0" w:color="BDD6EE" w:themeColor="accent1" w:themeTint="66"/>
              <w:right w:val="nil"/>
            </w:tcBorders>
            <w:vAlign w:val="center"/>
          </w:tcPr>
          <w:p w14:paraId="358BBD46" w14:textId="78FE2C25" w:rsidR="002F3EB5" w:rsidRPr="00237760" w:rsidRDefault="002A65EF"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brak informacji</w:t>
            </w:r>
          </w:p>
        </w:tc>
        <w:tc>
          <w:tcPr>
            <w:tcW w:w="3685" w:type="dxa"/>
            <w:tcBorders>
              <w:top w:val="single" w:sz="4" w:space="0" w:color="BDD6EE" w:themeColor="accent1" w:themeTint="66"/>
              <w:left w:val="nil"/>
              <w:bottom w:val="single" w:sz="4" w:space="0" w:color="BDD6EE" w:themeColor="accent1" w:themeTint="66"/>
              <w:right w:val="nil"/>
            </w:tcBorders>
            <w:vAlign w:val="center"/>
          </w:tcPr>
          <w:p w14:paraId="2CBF0896" w14:textId="194A047D" w:rsidR="002F3EB5" w:rsidRPr="00237760" w:rsidRDefault="008D5073" w:rsidP="009367B4">
            <w:pPr>
              <w:pStyle w:val="Akapitzlist"/>
              <w:numPr>
                <w:ilvl w:val="0"/>
                <w:numId w:val="33"/>
              </w:numPr>
              <w:spacing w:after="0" w:line="240" w:lineRule="auto"/>
              <w:ind w:left="176" w:hanging="218"/>
              <w:jc w:val="left"/>
              <w:rPr>
                <w:rFonts w:ascii="Arial" w:hAnsi="Arial" w:cs="Arial"/>
                <w:color w:val="auto"/>
                <w:sz w:val="24"/>
                <w:szCs w:val="24"/>
              </w:rPr>
            </w:pPr>
            <w:r w:rsidRPr="00237760">
              <w:rPr>
                <w:rFonts w:ascii="Arial" w:hAnsi="Arial" w:cs="Arial"/>
                <w:color w:val="auto"/>
                <w:sz w:val="24"/>
                <w:szCs w:val="24"/>
              </w:rPr>
              <w:t>brak</w:t>
            </w:r>
          </w:p>
        </w:tc>
      </w:tr>
      <w:tr w:rsidR="00237760" w:rsidRPr="00237760" w14:paraId="67282566" w14:textId="3BE9E48A" w:rsidTr="003D7F69">
        <w:trPr>
          <w:trHeight w:val="151"/>
        </w:trPr>
        <w:tc>
          <w:tcPr>
            <w:tcW w:w="2699" w:type="dxa"/>
            <w:tcBorders>
              <w:top w:val="single" w:sz="4" w:space="0" w:color="BDD6EE" w:themeColor="accent1" w:themeTint="66"/>
              <w:left w:val="nil"/>
              <w:bottom w:val="single" w:sz="12" w:space="0" w:color="002060"/>
              <w:right w:val="nil"/>
            </w:tcBorders>
            <w:shd w:val="clear" w:color="auto" w:fill="auto"/>
            <w:vAlign w:val="center"/>
          </w:tcPr>
          <w:p w14:paraId="0456EA9A" w14:textId="6E4B29F1" w:rsidR="002F3EB5" w:rsidRPr="00237760" w:rsidRDefault="002F3EB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Liczba zdarzeń na jezdniach z udziałem pojazdów i pieszych</w:t>
            </w:r>
          </w:p>
        </w:tc>
        <w:tc>
          <w:tcPr>
            <w:tcW w:w="1560" w:type="dxa"/>
            <w:tcBorders>
              <w:top w:val="single" w:sz="4" w:space="0" w:color="BDD6EE" w:themeColor="accent1" w:themeTint="66"/>
              <w:left w:val="nil"/>
              <w:bottom w:val="single" w:sz="12" w:space="0" w:color="002060"/>
              <w:right w:val="nil"/>
            </w:tcBorders>
            <w:shd w:val="clear" w:color="auto" w:fill="auto"/>
            <w:vAlign w:val="center"/>
          </w:tcPr>
          <w:p w14:paraId="1572BDF6" w14:textId="66F176AF" w:rsidR="002F3EB5" w:rsidRPr="00237760" w:rsidRDefault="002A65EF"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 dotyczy</w:t>
            </w:r>
          </w:p>
        </w:tc>
        <w:tc>
          <w:tcPr>
            <w:tcW w:w="1275" w:type="dxa"/>
            <w:tcBorders>
              <w:top w:val="single" w:sz="4" w:space="0" w:color="BDD6EE" w:themeColor="accent1" w:themeTint="66"/>
              <w:left w:val="nil"/>
              <w:bottom w:val="single" w:sz="12" w:space="0" w:color="002060"/>
              <w:right w:val="nil"/>
            </w:tcBorders>
            <w:vAlign w:val="center"/>
          </w:tcPr>
          <w:p w14:paraId="6DEE39B1" w14:textId="58E5E26A" w:rsidR="002F3EB5" w:rsidRPr="00237760" w:rsidRDefault="002A65EF"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brak informacji</w:t>
            </w:r>
          </w:p>
        </w:tc>
        <w:tc>
          <w:tcPr>
            <w:tcW w:w="3685" w:type="dxa"/>
            <w:tcBorders>
              <w:top w:val="single" w:sz="4" w:space="0" w:color="BDD6EE" w:themeColor="accent1" w:themeTint="66"/>
              <w:left w:val="nil"/>
              <w:bottom w:val="single" w:sz="12" w:space="0" w:color="002060"/>
              <w:right w:val="nil"/>
            </w:tcBorders>
            <w:vAlign w:val="center"/>
          </w:tcPr>
          <w:p w14:paraId="16F1560E" w14:textId="494C64C1" w:rsidR="002F3EB5" w:rsidRPr="00237760" w:rsidRDefault="008D5073" w:rsidP="009367B4">
            <w:pPr>
              <w:pStyle w:val="Akapitzlist"/>
              <w:numPr>
                <w:ilvl w:val="0"/>
                <w:numId w:val="33"/>
              </w:numPr>
              <w:spacing w:after="0" w:line="240" w:lineRule="auto"/>
              <w:ind w:left="176" w:hanging="218"/>
              <w:jc w:val="left"/>
              <w:rPr>
                <w:rFonts w:ascii="Arial" w:hAnsi="Arial" w:cs="Arial"/>
                <w:color w:val="auto"/>
                <w:sz w:val="24"/>
                <w:szCs w:val="24"/>
              </w:rPr>
            </w:pPr>
            <w:r w:rsidRPr="00237760">
              <w:rPr>
                <w:rFonts w:ascii="Arial" w:hAnsi="Arial" w:cs="Arial"/>
                <w:color w:val="auto"/>
                <w:sz w:val="24"/>
                <w:szCs w:val="24"/>
              </w:rPr>
              <w:t>brak</w:t>
            </w:r>
          </w:p>
        </w:tc>
      </w:tr>
    </w:tbl>
    <w:p w14:paraId="75AA7009" w14:textId="316CEB2B" w:rsidR="00FE3F2B" w:rsidRPr="00237760" w:rsidRDefault="00BD4E03"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 xml:space="preserve">Źródło: opracowanie własne na podstawie </w:t>
      </w:r>
      <w:r w:rsidR="00F311FF" w:rsidRPr="00237760">
        <w:rPr>
          <w:rFonts w:ascii="Arial" w:hAnsi="Arial" w:cs="Arial"/>
          <w:color w:val="auto"/>
          <w:sz w:val="24"/>
          <w:szCs w:val="24"/>
          <w:lang w:eastAsia="pl-PL"/>
        </w:rPr>
        <w:t>PSRT WP</w:t>
      </w:r>
      <w:r w:rsidRPr="00237760">
        <w:rPr>
          <w:rFonts w:ascii="Arial" w:hAnsi="Arial" w:cs="Arial"/>
          <w:color w:val="auto"/>
          <w:sz w:val="24"/>
          <w:szCs w:val="24"/>
          <w:lang w:eastAsia="pl-PL"/>
        </w:rPr>
        <w:t>.</w:t>
      </w:r>
    </w:p>
    <w:p w14:paraId="020115EA" w14:textId="391F32DE" w:rsidR="00E578A4" w:rsidRPr="00237760" w:rsidRDefault="00E578A4"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W ramach poszukiwania dodatkowych źródeł pozyskiwania danych mogących monitorować realizację Programu</w:t>
      </w:r>
      <w:r w:rsidR="009A3D44" w:rsidRPr="00237760">
        <w:rPr>
          <w:rFonts w:ascii="Arial" w:hAnsi="Arial" w:cs="Arial"/>
          <w:color w:val="auto"/>
          <w:sz w:val="24"/>
          <w:szCs w:val="24"/>
          <w:lang w:eastAsia="pl-PL"/>
        </w:rPr>
        <w:t>, zwrócono uwagę na</w:t>
      </w:r>
      <w:r w:rsidR="007963F1" w:rsidRPr="00237760">
        <w:rPr>
          <w:rFonts w:ascii="Arial" w:hAnsi="Arial" w:cs="Arial"/>
          <w:color w:val="auto"/>
          <w:sz w:val="24"/>
          <w:szCs w:val="24"/>
          <w:lang w:eastAsia="pl-PL"/>
        </w:rPr>
        <w:t>:</w:t>
      </w:r>
    </w:p>
    <w:p w14:paraId="0D6718D1" w14:textId="69DFFDE5" w:rsidR="00E93ADE" w:rsidRPr="00237760" w:rsidRDefault="0092185F" w:rsidP="009367B4">
      <w:pPr>
        <w:pStyle w:val="Akapitzlist"/>
        <w:numPr>
          <w:ilvl w:val="0"/>
          <w:numId w:val="34"/>
        </w:numPr>
        <w:ind w:left="426"/>
        <w:jc w:val="left"/>
        <w:rPr>
          <w:rFonts w:ascii="Arial" w:hAnsi="Arial" w:cs="Arial"/>
          <w:color w:val="auto"/>
          <w:sz w:val="24"/>
          <w:szCs w:val="24"/>
        </w:rPr>
      </w:pPr>
      <w:r w:rsidRPr="00237760">
        <w:rPr>
          <w:rFonts w:ascii="Arial" w:hAnsi="Arial" w:cs="Arial"/>
          <w:b/>
          <w:color w:val="auto"/>
          <w:sz w:val="24"/>
          <w:szCs w:val="24"/>
        </w:rPr>
        <w:t>wskaźnik linii regularnej komunikacji autobusowej podmiejskiej</w:t>
      </w:r>
      <w:r w:rsidRPr="00237760">
        <w:rPr>
          <w:rFonts w:ascii="Arial" w:hAnsi="Arial" w:cs="Arial"/>
          <w:color w:val="auto"/>
          <w:sz w:val="24"/>
          <w:szCs w:val="24"/>
        </w:rPr>
        <w:t xml:space="preserve"> – wskaźnik mógłby stanowić uzupełnienie dla monitoringu sytuacji w ramach MOF</w:t>
      </w:r>
      <w:r w:rsidR="00A42121" w:rsidRPr="00237760">
        <w:rPr>
          <w:rFonts w:ascii="Arial" w:hAnsi="Arial" w:cs="Arial"/>
          <w:color w:val="auto"/>
          <w:sz w:val="24"/>
          <w:szCs w:val="24"/>
        </w:rPr>
        <w:t xml:space="preserve"> (</w:t>
      </w:r>
      <w:r w:rsidR="00A42121" w:rsidRPr="00237760">
        <w:rPr>
          <w:rFonts w:ascii="Arial" w:hAnsi="Arial" w:cs="Arial"/>
          <w:color w:val="auto"/>
          <w:sz w:val="24"/>
          <w:szCs w:val="24"/>
        </w:rPr>
        <w:fldChar w:fldCharType="begin"/>
      </w:r>
      <w:r w:rsidR="00A42121" w:rsidRPr="00237760">
        <w:rPr>
          <w:rFonts w:ascii="Arial" w:hAnsi="Arial" w:cs="Arial"/>
          <w:color w:val="auto"/>
          <w:sz w:val="24"/>
          <w:szCs w:val="24"/>
        </w:rPr>
        <w:instrText xml:space="preserve"> REF _Ref101012631 \h </w:instrText>
      </w:r>
      <w:r w:rsidR="007E3C4B" w:rsidRPr="00237760">
        <w:rPr>
          <w:rFonts w:ascii="Arial" w:hAnsi="Arial" w:cs="Arial"/>
          <w:color w:val="auto"/>
          <w:sz w:val="24"/>
          <w:szCs w:val="24"/>
        </w:rPr>
        <w:instrText xml:space="preserve"> \* MERGEFORMAT </w:instrText>
      </w:r>
      <w:r w:rsidR="00A42121" w:rsidRPr="00237760">
        <w:rPr>
          <w:rFonts w:ascii="Arial" w:hAnsi="Arial" w:cs="Arial"/>
          <w:color w:val="auto"/>
          <w:sz w:val="24"/>
          <w:szCs w:val="24"/>
        </w:rPr>
      </w:r>
      <w:r w:rsidR="00A42121" w:rsidRPr="00237760">
        <w:rPr>
          <w:rFonts w:ascii="Arial" w:hAnsi="Arial" w:cs="Arial"/>
          <w:color w:val="auto"/>
          <w:sz w:val="24"/>
          <w:szCs w:val="24"/>
        </w:rPr>
        <w:fldChar w:fldCharType="separate"/>
      </w:r>
      <w:r w:rsidR="00E52C19" w:rsidRPr="00237760">
        <w:rPr>
          <w:rFonts w:ascii="Arial" w:hAnsi="Arial" w:cs="Arial"/>
          <w:color w:val="auto"/>
          <w:sz w:val="24"/>
          <w:szCs w:val="24"/>
        </w:rPr>
        <w:t xml:space="preserve">Wykres </w:t>
      </w:r>
      <w:r w:rsidR="00E52C19" w:rsidRPr="00237760">
        <w:rPr>
          <w:rFonts w:ascii="Arial" w:hAnsi="Arial" w:cs="Arial"/>
          <w:noProof/>
          <w:color w:val="auto"/>
          <w:sz w:val="24"/>
          <w:szCs w:val="24"/>
        </w:rPr>
        <w:t>1</w:t>
      </w:r>
      <w:r w:rsidR="00A42121" w:rsidRPr="00237760">
        <w:rPr>
          <w:rFonts w:ascii="Arial" w:hAnsi="Arial" w:cs="Arial"/>
          <w:color w:val="auto"/>
          <w:sz w:val="24"/>
          <w:szCs w:val="24"/>
        </w:rPr>
        <w:fldChar w:fldCharType="end"/>
      </w:r>
      <w:r w:rsidR="00A42121" w:rsidRPr="00237760">
        <w:rPr>
          <w:rFonts w:ascii="Arial" w:hAnsi="Arial" w:cs="Arial"/>
          <w:color w:val="auto"/>
          <w:sz w:val="24"/>
          <w:szCs w:val="24"/>
        </w:rPr>
        <w:t>)</w:t>
      </w:r>
      <w:r w:rsidR="007963F1" w:rsidRPr="00237760">
        <w:rPr>
          <w:rFonts w:ascii="Arial" w:hAnsi="Arial" w:cs="Arial"/>
          <w:color w:val="auto"/>
          <w:sz w:val="24"/>
          <w:szCs w:val="24"/>
        </w:rPr>
        <w:t xml:space="preserve"> </w:t>
      </w:r>
      <w:r w:rsidR="00A42121" w:rsidRPr="00237760">
        <w:rPr>
          <w:rFonts w:ascii="Arial" w:hAnsi="Arial" w:cs="Arial"/>
          <w:color w:val="auto"/>
          <w:sz w:val="24"/>
          <w:szCs w:val="24"/>
        </w:rPr>
        <w:t xml:space="preserve">– </w:t>
      </w:r>
      <w:r w:rsidR="007963F1" w:rsidRPr="00237760">
        <w:rPr>
          <w:rFonts w:ascii="Arial" w:hAnsi="Arial" w:cs="Arial"/>
          <w:color w:val="auto"/>
          <w:sz w:val="24"/>
          <w:szCs w:val="24"/>
        </w:rPr>
        <w:t>dostępny w rocznikach statystycznych województwa podkarpackiego</w:t>
      </w:r>
      <w:r w:rsidR="007A24EF" w:rsidRPr="00237760">
        <w:rPr>
          <w:rFonts w:ascii="Arial" w:hAnsi="Arial" w:cs="Arial"/>
          <w:color w:val="auto"/>
          <w:sz w:val="24"/>
          <w:szCs w:val="24"/>
        </w:rPr>
        <w:t xml:space="preserve"> i w BDL GUS</w:t>
      </w:r>
      <w:r w:rsidRPr="00237760">
        <w:rPr>
          <w:rFonts w:ascii="Arial" w:hAnsi="Arial" w:cs="Arial"/>
          <w:color w:val="auto"/>
          <w:sz w:val="24"/>
          <w:szCs w:val="24"/>
        </w:rPr>
        <w:t>;</w:t>
      </w:r>
    </w:p>
    <w:p w14:paraId="17C00ED0" w14:textId="085D8E94" w:rsidR="007A24EF" w:rsidRDefault="007A24EF" w:rsidP="009367B4">
      <w:pPr>
        <w:pStyle w:val="Legenda"/>
        <w:jc w:val="left"/>
        <w:rPr>
          <w:rFonts w:ascii="Arial" w:hAnsi="Arial" w:cs="Arial"/>
          <w:color w:val="auto"/>
          <w:sz w:val="24"/>
          <w:szCs w:val="24"/>
        </w:rPr>
      </w:pPr>
      <w:bookmarkStart w:id="130" w:name="_Ref101012631"/>
      <w:bookmarkStart w:id="131" w:name="_Toc101904223"/>
      <w:r w:rsidRPr="00237760">
        <w:rPr>
          <w:rFonts w:ascii="Arial" w:hAnsi="Arial" w:cs="Arial"/>
          <w:color w:val="auto"/>
          <w:sz w:val="24"/>
          <w:szCs w:val="24"/>
        </w:rPr>
        <w:t xml:space="preserve">Wykres </w:t>
      </w:r>
      <w:r w:rsidR="00D4562C" w:rsidRPr="00237760">
        <w:rPr>
          <w:rFonts w:ascii="Arial" w:hAnsi="Arial" w:cs="Arial"/>
          <w:noProof/>
          <w:color w:val="auto"/>
          <w:sz w:val="24"/>
          <w:szCs w:val="24"/>
        </w:rPr>
        <w:fldChar w:fldCharType="begin"/>
      </w:r>
      <w:r w:rsidR="00D4562C" w:rsidRPr="00237760">
        <w:rPr>
          <w:rFonts w:ascii="Arial" w:hAnsi="Arial" w:cs="Arial"/>
          <w:noProof/>
          <w:color w:val="auto"/>
          <w:sz w:val="24"/>
          <w:szCs w:val="24"/>
        </w:rPr>
        <w:instrText xml:space="preserve"> SEQ Wykres \* ARABIC </w:instrText>
      </w:r>
      <w:r w:rsidR="00D4562C" w:rsidRPr="00237760">
        <w:rPr>
          <w:rFonts w:ascii="Arial" w:hAnsi="Arial" w:cs="Arial"/>
          <w:noProof/>
          <w:color w:val="auto"/>
          <w:sz w:val="24"/>
          <w:szCs w:val="24"/>
        </w:rPr>
        <w:fldChar w:fldCharType="separate"/>
      </w:r>
      <w:r w:rsidR="00E52C19" w:rsidRPr="00237760">
        <w:rPr>
          <w:rFonts w:ascii="Arial" w:hAnsi="Arial" w:cs="Arial"/>
          <w:noProof/>
          <w:color w:val="auto"/>
          <w:sz w:val="24"/>
          <w:szCs w:val="24"/>
        </w:rPr>
        <w:t>1</w:t>
      </w:r>
      <w:r w:rsidR="00D4562C" w:rsidRPr="00237760">
        <w:rPr>
          <w:rFonts w:ascii="Arial" w:hAnsi="Arial" w:cs="Arial"/>
          <w:noProof/>
          <w:color w:val="auto"/>
          <w:sz w:val="24"/>
          <w:szCs w:val="24"/>
        </w:rPr>
        <w:fldChar w:fldCharType="end"/>
      </w:r>
      <w:bookmarkEnd w:id="130"/>
      <w:r w:rsidRPr="00237760">
        <w:rPr>
          <w:rFonts w:ascii="Arial" w:hAnsi="Arial" w:cs="Arial"/>
          <w:color w:val="auto"/>
          <w:sz w:val="24"/>
          <w:szCs w:val="24"/>
        </w:rPr>
        <w:t>. Linie regularnej komunikacji autobusowej – podmiejskie (szt. – prawa oś</w:t>
      </w:r>
      <w:r w:rsidR="009029B2" w:rsidRPr="00237760">
        <w:rPr>
          <w:rFonts w:ascii="Arial" w:hAnsi="Arial" w:cs="Arial"/>
          <w:color w:val="auto"/>
          <w:sz w:val="24"/>
          <w:szCs w:val="24"/>
        </w:rPr>
        <w:t>; dynamika – lewa oś</w:t>
      </w:r>
      <w:r w:rsidRPr="00237760">
        <w:rPr>
          <w:rFonts w:ascii="Arial" w:hAnsi="Arial" w:cs="Arial"/>
          <w:color w:val="auto"/>
          <w:sz w:val="24"/>
          <w:szCs w:val="24"/>
        </w:rPr>
        <w:t>)</w:t>
      </w:r>
      <w:bookmarkEnd w:id="131"/>
    </w:p>
    <w:p w14:paraId="56AB8525" w14:textId="7F5C05F5" w:rsidR="00590BFB" w:rsidRPr="00237760" w:rsidRDefault="00B2216D" w:rsidP="009367B4">
      <w:pPr>
        <w:ind w:left="66"/>
        <w:jc w:val="left"/>
        <w:rPr>
          <w:rFonts w:ascii="Arial" w:hAnsi="Arial" w:cs="Arial"/>
          <w:color w:val="auto"/>
          <w:sz w:val="24"/>
          <w:szCs w:val="24"/>
        </w:rPr>
      </w:pPr>
      <w:r w:rsidRPr="00237760">
        <w:rPr>
          <w:rFonts w:ascii="Arial" w:hAnsi="Arial" w:cs="Arial"/>
          <w:noProof/>
          <w:color w:val="auto"/>
          <w:sz w:val="24"/>
          <w:szCs w:val="24"/>
          <w:lang w:eastAsia="pl-PL"/>
        </w:rPr>
        <w:drawing>
          <wp:inline distT="0" distB="0" distL="0" distR="0" wp14:anchorId="36D32451" wp14:editId="63055755">
            <wp:extent cx="5753100" cy="2228850"/>
            <wp:effectExtent l="0" t="0" r="0" b="0"/>
            <wp:docPr id="3" name="Wykres 3" descr="Liczba linii regularnej komunikacji autobusowej w województwie podkarpackim w 2020 roku wyniosła 7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7A24EF" w:rsidRPr="00237760">
        <w:rPr>
          <w:rFonts w:ascii="Arial" w:hAnsi="Arial" w:cs="Arial"/>
          <w:color w:val="auto"/>
          <w:sz w:val="24"/>
          <w:szCs w:val="24"/>
        </w:rPr>
        <w:t xml:space="preserve">Źródło: opracowanie własne na podstawie BDL GUS. </w:t>
      </w:r>
    </w:p>
    <w:p w14:paraId="0B64B243" w14:textId="66F78676" w:rsidR="0092185F" w:rsidRPr="00237760" w:rsidRDefault="0092185F" w:rsidP="009367B4">
      <w:pPr>
        <w:pStyle w:val="Akapitzlist"/>
        <w:numPr>
          <w:ilvl w:val="0"/>
          <w:numId w:val="34"/>
        </w:numPr>
        <w:ind w:left="426"/>
        <w:jc w:val="left"/>
        <w:rPr>
          <w:rFonts w:ascii="Arial" w:hAnsi="Arial" w:cs="Arial"/>
          <w:color w:val="auto"/>
          <w:sz w:val="24"/>
          <w:szCs w:val="24"/>
        </w:rPr>
      </w:pPr>
      <w:r w:rsidRPr="00237760">
        <w:rPr>
          <w:rFonts w:ascii="Arial" w:hAnsi="Arial" w:cs="Arial"/>
          <w:b/>
          <w:color w:val="auto"/>
          <w:sz w:val="24"/>
          <w:szCs w:val="24"/>
        </w:rPr>
        <w:t>wskaźnik zużycia energii elektrycznej</w:t>
      </w:r>
      <w:r w:rsidRPr="00237760">
        <w:rPr>
          <w:rFonts w:ascii="Arial" w:hAnsi="Arial" w:cs="Arial"/>
          <w:color w:val="auto"/>
          <w:sz w:val="24"/>
          <w:szCs w:val="24"/>
        </w:rPr>
        <w:t xml:space="preserve"> – </w:t>
      </w:r>
      <w:r w:rsidR="00B2363B" w:rsidRPr="00237760">
        <w:rPr>
          <w:rFonts w:ascii="Arial" w:hAnsi="Arial" w:cs="Arial"/>
          <w:color w:val="auto"/>
          <w:sz w:val="24"/>
          <w:szCs w:val="24"/>
        </w:rPr>
        <w:t xml:space="preserve">wskaźnik mógłby zostać wykorzystany </w:t>
      </w:r>
      <w:r w:rsidRPr="00237760">
        <w:rPr>
          <w:rFonts w:ascii="Arial" w:hAnsi="Arial" w:cs="Arial"/>
          <w:color w:val="auto"/>
          <w:sz w:val="24"/>
          <w:szCs w:val="24"/>
        </w:rPr>
        <w:t>w ramach uzupełnienia monitoringu ekomobilności</w:t>
      </w:r>
      <w:r w:rsidR="007963F1" w:rsidRPr="00237760">
        <w:rPr>
          <w:rFonts w:ascii="Arial" w:hAnsi="Arial" w:cs="Arial"/>
          <w:color w:val="auto"/>
          <w:sz w:val="24"/>
          <w:szCs w:val="24"/>
        </w:rPr>
        <w:t xml:space="preserve"> w celu horyzontalnym „Transport publiczny” (</w:t>
      </w:r>
      <w:r w:rsidR="00667426" w:rsidRPr="00237760">
        <w:rPr>
          <w:rFonts w:ascii="Arial" w:hAnsi="Arial" w:cs="Arial"/>
          <w:color w:val="auto"/>
          <w:sz w:val="24"/>
          <w:szCs w:val="24"/>
        </w:rPr>
        <w:fldChar w:fldCharType="begin"/>
      </w:r>
      <w:r w:rsidR="00667426" w:rsidRPr="00237760">
        <w:rPr>
          <w:rFonts w:ascii="Arial" w:hAnsi="Arial" w:cs="Arial"/>
          <w:color w:val="auto"/>
          <w:sz w:val="24"/>
          <w:szCs w:val="24"/>
        </w:rPr>
        <w:instrText xml:space="preserve"> REF _Ref101013671 \h </w:instrText>
      </w:r>
      <w:r w:rsidR="007E3C4B" w:rsidRPr="00237760">
        <w:rPr>
          <w:rFonts w:ascii="Arial" w:hAnsi="Arial" w:cs="Arial"/>
          <w:color w:val="auto"/>
          <w:sz w:val="24"/>
          <w:szCs w:val="24"/>
        </w:rPr>
        <w:instrText xml:space="preserve"> \* MERGEFORMAT </w:instrText>
      </w:r>
      <w:r w:rsidR="00667426" w:rsidRPr="00237760">
        <w:rPr>
          <w:rFonts w:ascii="Arial" w:hAnsi="Arial" w:cs="Arial"/>
          <w:color w:val="auto"/>
          <w:sz w:val="24"/>
          <w:szCs w:val="24"/>
        </w:rPr>
      </w:r>
      <w:r w:rsidR="00667426" w:rsidRPr="00237760">
        <w:rPr>
          <w:rFonts w:ascii="Arial" w:hAnsi="Arial" w:cs="Arial"/>
          <w:color w:val="auto"/>
          <w:sz w:val="24"/>
          <w:szCs w:val="24"/>
        </w:rPr>
        <w:fldChar w:fldCharType="separate"/>
      </w:r>
      <w:r w:rsidR="00E52C19" w:rsidRPr="00237760">
        <w:rPr>
          <w:rFonts w:ascii="Arial" w:hAnsi="Arial" w:cs="Arial"/>
          <w:color w:val="auto"/>
          <w:sz w:val="24"/>
          <w:szCs w:val="24"/>
        </w:rPr>
        <w:t xml:space="preserve">Wykres </w:t>
      </w:r>
      <w:r w:rsidR="00E52C19" w:rsidRPr="00237760">
        <w:rPr>
          <w:rFonts w:ascii="Arial" w:hAnsi="Arial" w:cs="Arial"/>
          <w:noProof/>
          <w:color w:val="auto"/>
          <w:sz w:val="24"/>
          <w:szCs w:val="24"/>
        </w:rPr>
        <w:t>2</w:t>
      </w:r>
      <w:r w:rsidR="00667426" w:rsidRPr="00237760">
        <w:rPr>
          <w:rFonts w:ascii="Arial" w:hAnsi="Arial" w:cs="Arial"/>
          <w:color w:val="auto"/>
          <w:sz w:val="24"/>
          <w:szCs w:val="24"/>
        </w:rPr>
        <w:fldChar w:fldCharType="end"/>
      </w:r>
      <w:r w:rsidR="00C8635A" w:rsidRPr="00237760">
        <w:rPr>
          <w:rFonts w:ascii="Arial" w:hAnsi="Arial" w:cs="Arial"/>
          <w:color w:val="auto"/>
          <w:sz w:val="24"/>
          <w:szCs w:val="24"/>
        </w:rPr>
        <w:t xml:space="preserve">) – </w:t>
      </w:r>
      <w:r w:rsidR="007963F1" w:rsidRPr="00237760">
        <w:rPr>
          <w:rFonts w:ascii="Arial" w:hAnsi="Arial" w:cs="Arial"/>
          <w:color w:val="auto"/>
          <w:sz w:val="24"/>
          <w:szCs w:val="24"/>
        </w:rPr>
        <w:t xml:space="preserve">wskaźnik </w:t>
      </w:r>
      <w:r w:rsidR="00C8635A" w:rsidRPr="00237760">
        <w:rPr>
          <w:rFonts w:ascii="Arial" w:hAnsi="Arial" w:cs="Arial"/>
          <w:color w:val="auto"/>
          <w:sz w:val="24"/>
          <w:szCs w:val="24"/>
        </w:rPr>
        <w:t xml:space="preserve">jest </w:t>
      </w:r>
      <w:r w:rsidR="007963F1" w:rsidRPr="00237760">
        <w:rPr>
          <w:rFonts w:ascii="Arial" w:hAnsi="Arial" w:cs="Arial"/>
          <w:color w:val="auto"/>
          <w:sz w:val="24"/>
          <w:szCs w:val="24"/>
        </w:rPr>
        <w:t xml:space="preserve">dostępny w publikacji </w:t>
      </w:r>
      <w:r w:rsidR="007963F1" w:rsidRPr="00237760">
        <w:rPr>
          <w:rFonts w:ascii="Arial" w:hAnsi="Arial" w:cs="Arial"/>
          <w:i/>
          <w:color w:val="auto"/>
          <w:sz w:val="24"/>
          <w:szCs w:val="24"/>
        </w:rPr>
        <w:t>Transport drogowy w Polsce w latach 2018 i 2019</w:t>
      </w:r>
      <w:r w:rsidR="00C8635A" w:rsidRPr="00237760">
        <w:rPr>
          <w:rFonts w:ascii="Arial" w:hAnsi="Arial" w:cs="Arial"/>
          <w:color w:val="auto"/>
          <w:sz w:val="24"/>
          <w:szCs w:val="24"/>
        </w:rPr>
        <w:t xml:space="preserve"> lub BDL GUS, </w:t>
      </w:r>
      <w:r w:rsidR="00B2363B" w:rsidRPr="00237760">
        <w:rPr>
          <w:rFonts w:ascii="Arial" w:hAnsi="Arial" w:cs="Arial"/>
          <w:color w:val="auto"/>
          <w:sz w:val="24"/>
          <w:szCs w:val="24"/>
        </w:rPr>
        <w:t xml:space="preserve">wykorzystywany jest między innymi w ramach monitorowania realizacji Strategii </w:t>
      </w:r>
      <w:r w:rsidR="00C910AC" w:rsidRPr="00237760">
        <w:rPr>
          <w:rFonts w:ascii="Arial" w:hAnsi="Arial" w:cs="Arial"/>
          <w:color w:val="auto"/>
          <w:sz w:val="24"/>
          <w:szCs w:val="24"/>
        </w:rPr>
        <w:t xml:space="preserve">zrównoważonego </w:t>
      </w:r>
      <w:r w:rsidR="00B2363B" w:rsidRPr="00237760">
        <w:rPr>
          <w:rFonts w:ascii="Arial" w:hAnsi="Arial" w:cs="Arial"/>
          <w:color w:val="auto"/>
          <w:sz w:val="24"/>
          <w:szCs w:val="24"/>
        </w:rPr>
        <w:t>rozwoju transportu do 2030 roku</w:t>
      </w:r>
      <w:r w:rsidR="006C7037" w:rsidRPr="00237760">
        <w:rPr>
          <w:rFonts w:ascii="Arial" w:hAnsi="Arial" w:cs="Arial"/>
          <w:color w:val="auto"/>
          <w:sz w:val="24"/>
          <w:szCs w:val="24"/>
        </w:rPr>
        <w:t>;</w:t>
      </w:r>
    </w:p>
    <w:p w14:paraId="07FF3F50" w14:textId="36588D73" w:rsidR="00A42121" w:rsidRDefault="00A42121" w:rsidP="009367B4">
      <w:pPr>
        <w:pStyle w:val="Legenda"/>
        <w:jc w:val="left"/>
        <w:rPr>
          <w:rFonts w:ascii="Arial" w:hAnsi="Arial" w:cs="Arial"/>
          <w:color w:val="auto"/>
          <w:sz w:val="24"/>
          <w:szCs w:val="24"/>
        </w:rPr>
      </w:pPr>
      <w:bookmarkStart w:id="132" w:name="_Ref101013671"/>
      <w:bookmarkStart w:id="133" w:name="_Toc101904224"/>
      <w:r w:rsidRPr="00237760">
        <w:rPr>
          <w:rFonts w:ascii="Arial" w:hAnsi="Arial" w:cs="Arial"/>
          <w:color w:val="auto"/>
          <w:sz w:val="24"/>
          <w:szCs w:val="24"/>
        </w:rPr>
        <w:t xml:space="preserve">Wykres </w:t>
      </w:r>
      <w:r w:rsidR="00D4562C" w:rsidRPr="00237760">
        <w:rPr>
          <w:rFonts w:ascii="Arial" w:hAnsi="Arial" w:cs="Arial"/>
          <w:noProof/>
          <w:color w:val="auto"/>
          <w:sz w:val="24"/>
          <w:szCs w:val="24"/>
        </w:rPr>
        <w:fldChar w:fldCharType="begin"/>
      </w:r>
      <w:r w:rsidR="00D4562C" w:rsidRPr="00237760">
        <w:rPr>
          <w:rFonts w:ascii="Arial" w:hAnsi="Arial" w:cs="Arial"/>
          <w:noProof/>
          <w:color w:val="auto"/>
          <w:sz w:val="24"/>
          <w:szCs w:val="24"/>
        </w:rPr>
        <w:instrText xml:space="preserve"> SEQ Wykres \* ARABIC </w:instrText>
      </w:r>
      <w:r w:rsidR="00D4562C" w:rsidRPr="00237760">
        <w:rPr>
          <w:rFonts w:ascii="Arial" w:hAnsi="Arial" w:cs="Arial"/>
          <w:noProof/>
          <w:color w:val="auto"/>
          <w:sz w:val="24"/>
          <w:szCs w:val="24"/>
        </w:rPr>
        <w:fldChar w:fldCharType="separate"/>
      </w:r>
      <w:r w:rsidR="00E52C19" w:rsidRPr="00237760">
        <w:rPr>
          <w:rFonts w:ascii="Arial" w:hAnsi="Arial" w:cs="Arial"/>
          <w:noProof/>
          <w:color w:val="auto"/>
          <w:sz w:val="24"/>
          <w:szCs w:val="24"/>
        </w:rPr>
        <w:t>2</w:t>
      </w:r>
      <w:r w:rsidR="00D4562C" w:rsidRPr="00237760">
        <w:rPr>
          <w:rFonts w:ascii="Arial" w:hAnsi="Arial" w:cs="Arial"/>
          <w:noProof/>
          <w:color w:val="auto"/>
          <w:sz w:val="24"/>
          <w:szCs w:val="24"/>
        </w:rPr>
        <w:fldChar w:fldCharType="end"/>
      </w:r>
      <w:bookmarkEnd w:id="132"/>
      <w:r w:rsidRPr="00237760">
        <w:rPr>
          <w:rFonts w:ascii="Arial" w:hAnsi="Arial" w:cs="Arial"/>
          <w:color w:val="auto"/>
          <w:sz w:val="24"/>
          <w:szCs w:val="24"/>
        </w:rPr>
        <w:t>. Zużycie energii elektrycznej w transporcie</w:t>
      </w:r>
      <w:r w:rsidR="00D52F6E" w:rsidRPr="00237760">
        <w:rPr>
          <w:rFonts w:ascii="Arial" w:hAnsi="Arial" w:cs="Arial"/>
          <w:color w:val="auto"/>
          <w:sz w:val="24"/>
          <w:szCs w:val="24"/>
        </w:rPr>
        <w:t xml:space="preserve"> (GWh – prawa oś; dynamika – lewa oś)</w:t>
      </w:r>
      <w:bookmarkEnd w:id="133"/>
    </w:p>
    <w:p w14:paraId="590D328D" w14:textId="7E375176" w:rsidR="00B2216D" w:rsidRPr="00B2216D" w:rsidRDefault="00B2216D" w:rsidP="009367B4">
      <w:pPr>
        <w:rPr>
          <w:lang w:eastAsia="pl-PL"/>
        </w:rPr>
      </w:pPr>
      <w:r w:rsidRPr="00237760">
        <w:rPr>
          <w:rFonts w:ascii="Arial" w:hAnsi="Arial" w:cs="Arial"/>
          <w:noProof/>
          <w:color w:val="auto"/>
          <w:sz w:val="24"/>
          <w:szCs w:val="24"/>
          <w:lang w:eastAsia="pl-PL"/>
        </w:rPr>
        <w:lastRenderedPageBreak/>
        <w:drawing>
          <wp:inline distT="0" distB="0" distL="0" distR="0" wp14:anchorId="2FCACD1E" wp14:editId="5ABD07B6">
            <wp:extent cx="5516880" cy="2697480"/>
            <wp:effectExtent l="0" t="0" r="7620" b="7620"/>
            <wp:docPr id="22" name="Wykres 22" descr="Zużycie energii elektrycznej w transporcie w województwie podkarpackim utrzymuje trend spadkowy. Dynamika rok do roku jest korzystniejsza, niż w kraju."/>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6DA8A08" w14:textId="77777777" w:rsidR="00A42121" w:rsidRPr="00237760" w:rsidRDefault="00A42121" w:rsidP="009367B4">
      <w:pPr>
        <w:ind w:left="66"/>
        <w:jc w:val="left"/>
        <w:rPr>
          <w:rFonts w:ascii="Arial" w:hAnsi="Arial" w:cs="Arial"/>
          <w:color w:val="auto"/>
          <w:sz w:val="24"/>
          <w:szCs w:val="24"/>
        </w:rPr>
      </w:pPr>
      <w:r w:rsidRPr="00237760">
        <w:rPr>
          <w:rFonts w:ascii="Arial" w:hAnsi="Arial" w:cs="Arial"/>
          <w:color w:val="auto"/>
          <w:sz w:val="24"/>
          <w:szCs w:val="24"/>
        </w:rPr>
        <w:t xml:space="preserve">Źródło: opracowanie własne na podstawie BDL GUS. </w:t>
      </w:r>
    </w:p>
    <w:p w14:paraId="37B50CC9" w14:textId="3D00DB1C" w:rsidR="006C7037" w:rsidRPr="00237760" w:rsidRDefault="006C7037" w:rsidP="009367B4">
      <w:pPr>
        <w:pStyle w:val="Akapitzlist"/>
        <w:numPr>
          <w:ilvl w:val="0"/>
          <w:numId w:val="34"/>
        </w:numPr>
        <w:ind w:left="426"/>
        <w:jc w:val="left"/>
        <w:rPr>
          <w:rFonts w:ascii="Arial" w:hAnsi="Arial" w:cs="Arial"/>
          <w:color w:val="auto"/>
          <w:sz w:val="24"/>
          <w:szCs w:val="24"/>
        </w:rPr>
      </w:pPr>
      <w:r w:rsidRPr="00237760">
        <w:rPr>
          <w:rFonts w:ascii="Arial" w:hAnsi="Arial" w:cs="Arial"/>
          <w:b/>
          <w:color w:val="auto"/>
          <w:sz w:val="24"/>
          <w:szCs w:val="24"/>
        </w:rPr>
        <w:t>wskaźniki pochodzące z bazy CEPiK</w:t>
      </w:r>
      <w:r w:rsidR="00E06EE6" w:rsidRPr="00237760">
        <w:rPr>
          <w:rStyle w:val="Odwoanieprzypisudolnego"/>
          <w:rFonts w:ascii="Arial" w:hAnsi="Arial" w:cs="Arial"/>
          <w:color w:val="auto"/>
          <w:sz w:val="24"/>
          <w:szCs w:val="24"/>
        </w:rPr>
        <w:footnoteReference w:id="26"/>
      </w:r>
      <w:r w:rsidRPr="00237760">
        <w:rPr>
          <w:rFonts w:ascii="Arial" w:hAnsi="Arial" w:cs="Arial"/>
          <w:color w:val="auto"/>
          <w:sz w:val="24"/>
          <w:szCs w:val="24"/>
        </w:rPr>
        <w:t xml:space="preserve"> – możliwość pozyskania danych w zakresie indywidualnych pojazdów niskoemisyjnych;</w:t>
      </w:r>
    </w:p>
    <w:p w14:paraId="4C86F004" w14:textId="04E22F8B" w:rsidR="006C7037" w:rsidRPr="00237760" w:rsidRDefault="006C7037" w:rsidP="009367B4">
      <w:pPr>
        <w:pStyle w:val="Akapitzlist"/>
        <w:numPr>
          <w:ilvl w:val="0"/>
          <w:numId w:val="34"/>
        </w:numPr>
        <w:ind w:left="426"/>
        <w:jc w:val="left"/>
        <w:rPr>
          <w:rFonts w:ascii="Arial" w:hAnsi="Arial" w:cs="Arial"/>
          <w:color w:val="auto"/>
          <w:sz w:val="24"/>
          <w:szCs w:val="24"/>
        </w:rPr>
      </w:pPr>
      <w:r w:rsidRPr="00237760">
        <w:rPr>
          <w:rFonts w:ascii="Arial" w:hAnsi="Arial" w:cs="Arial"/>
          <w:b/>
          <w:color w:val="auto"/>
          <w:sz w:val="24"/>
          <w:szCs w:val="24"/>
        </w:rPr>
        <w:t>dane Urzędu Dozoru Technicznego</w:t>
      </w:r>
      <w:r w:rsidR="00AA4EDB" w:rsidRPr="00237760">
        <w:rPr>
          <w:rStyle w:val="Odwoanieprzypisudolnego"/>
          <w:rFonts w:ascii="Arial" w:hAnsi="Arial" w:cs="Arial"/>
          <w:color w:val="auto"/>
          <w:sz w:val="24"/>
          <w:szCs w:val="24"/>
        </w:rPr>
        <w:footnoteReference w:id="27"/>
      </w:r>
      <w:r w:rsidRPr="00237760">
        <w:rPr>
          <w:rFonts w:ascii="Arial" w:hAnsi="Arial" w:cs="Arial"/>
          <w:color w:val="auto"/>
          <w:sz w:val="24"/>
          <w:szCs w:val="24"/>
        </w:rPr>
        <w:t xml:space="preserve"> – możliwość pozyskania danych na temat stacji ładowania paliw alternatywnych</w:t>
      </w:r>
      <w:r w:rsidR="00FA70E0" w:rsidRPr="00237760">
        <w:rPr>
          <w:rFonts w:ascii="Arial" w:hAnsi="Arial" w:cs="Arial"/>
          <w:color w:val="auto"/>
          <w:sz w:val="24"/>
          <w:szCs w:val="24"/>
        </w:rPr>
        <w:t>;</w:t>
      </w:r>
    </w:p>
    <w:p w14:paraId="7B3A4125" w14:textId="7EE26FF0" w:rsidR="00FA70E0" w:rsidRPr="00237760" w:rsidRDefault="00FA70E0" w:rsidP="009367B4">
      <w:pPr>
        <w:pStyle w:val="Akapitzlist"/>
        <w:numPr>
          <w:ilvl w:val="0"/>
          <w:numId w:val="34"/>
        </w:numPr>
        <w:ind w:left="426"/>
        <w:jc w:val="left"/>
        <w:rPr>
          <w:rFonts w:ascii="Arial" w:hAnsi="Arial" w:cs="Arial"/>
          <w:b/>
          <w:color w:val="auto"/>
          <w:sz w:val="24"/>
          <w:szCs w:val="24"/>
        </w:rPr>
      </w:pPr>
      <w:r w:rsidRPr="00237760">
        <w:rPr>
          <w:rFonts w:ascii="Arial" w:hAnsi="Arial" w:cs="Arial"/>
          <w:b/>
          <w:color w:val="auto"/>
          <w:sz w:val="24"/>
          <w:szCs w:val="24"/>
        </w:rPr>
        <w:t xml:space="preserve">wskaźnik </w:t>
      </w:r>
      <w:r w:rsidR="005520A4" w:rsidRPr="00237760">
        <w:rPr>
          <w:rFonts w:ascii="Arial" w:hAnsi="Arial" w:cs="Arial"/>
          <w:b/>
          <w:color w:val="auto"/>
          <w:sz w:val="24"/>
          <w:szCs w:val="24"/>
        </w:rPr>
        <w:t>dostępności do portów lotniczych (</w:t>
      </w:r>
      <w:r w:rsidRPr="00237760">
        <w:rPr>
          <w:rFonts w:ascii="Arial" w:hAnsi="Arial" w:cs="Arial"/>
          <w:b/>
          <w:color w:val="auto"/>
          <w:sz w:val="24"/>
          <w:szCs w:val="24"/>
        </w:rPr>
        <w:t>WLDT</w:t>
      </w:r>
      <w:r w:rsidR="005520A4" w:rsidRPr="00237760">
        <w:rPr>
          <w:rFonts w:ascii="Arial" w:hAnsi="Arial" w:cs="Arial"/>
          <w:b/>
          <w:color w:val="auto"/>
          <w:sz w:val="24"/>
          <w:szCs w:val="24"/>
        </w:rPr>
        <w:t>)</w:t>
      </w:r>
      <w:r w:rsidR="004B7028" w:rsidRPr="00237760">
        <w:rPr>
          <w:rFonts w:ascii="Arial" w:hAnsi="Arial" w:cs="Arial"/>
          <w:b/>
          <w:color w:val="auto"/>
          <w:sz w:val="24"/>
          <w:szCs w:val="24"/>
        </w:rPr>
        <w:t xml:space="preserve"> </w:t>
      </w:r>
      <w:r w:rsidR="004B7028" w:rsidRPr="00237760">
        <w:rPr>
          <w:rFonts w:ascii="Arial" w:hAnsi="Arial" w:cs="Arial"/>
          <w:color w:val="auto"/>
          <w:sz w:val="24"/>
          <w:szCs w:val="24"/>
        </w:rPr>
        <w:t>–</w:t>
      </w:r>
      <w:r w:rsidR="00EE5747" w:rsidRPr="00237760">
        <w:rPr>
          <w:rFonts w:ascii="Arial" w:hAnsi="Arial" w:cs="Arial"/>
          <w:color w:val="auto"/>
          <w:sz w:val="24"/>
          <w:szCs w:val="24"/>
        </w:rPr>
        <w:t xml:space="preserve"> jeden ze</w:t>
      </w:r>
      <w:r w:rsidR="004B7028" w:rsidRPr="00237760">
        <w:rPr>
          <w:rFonts w:ascii="Arial" w:hAnsi="Arial" w:cs="Arial"/>
          <w:color w:val="auto"/>
          <w:sz w:val="24"/>
          <w:szCs w:val="24"/>
        </w:rPr>
        <w:t xml:space="preserve"> </w:t>
      </w:r>
      <w:r w:rsidR="00EE5747" w:rsidRPr="00237760">
        <w:rPr>
          <w:rFonts w:ascii="Arial" w:hAnsi="Arial" w:cs="Arial"/>
          <w:color w:val="auto"/>
          <w:sz w:val="24"/>
          <w:szCs w:val="24"/>
        </w:rPr>
        <w:t xml:space="preserve">wskaźników wyliczanych przez Instytut Geografii i Przestrzennego </w:t>
      </w:r>
      <w:r w:rsidR="00A74E47" w:rsidRPr="00237760">
        <w:rPr>
          <w:rFonts w:ascii="Arial" w:hAnsi="Arial" w:cs="Arial"/>
          <w:color w:val="auto"/>
          <w:sz w:val="24"/>
          <w:szCs w:val="24"/>
        </w:rPr>
        <w:t xml:space="preserve">Zagospodarowania </w:t>
      </w:r>
      <w:r w:rsidR="00EE5747" w:rsidRPr="00237760">
        <w:rPr>
          <w:rFonts w:ascii="Arial" w:hAnsi="Arial" w:cs="Arial"/>
          <w:color w:val="auto"/>
          <w:sz w:val="24"/>
          <w:szCs w:val="24"/>
        </w:rPr>
        <w:t>PAN na rzecz MFiPR, określający przepustowość portów lotniczych (Komornicki i in. 2017).</w:t>
      </w:r>
    </w:p>
    <w:p w14:paraId="29F7C540" w14:textId="42D87E07" w:rsidR="005F0DAD" w:rsidRPr="00237760" w:rsidRDefault="004B1E9E"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Podczas weryfikacji dodatkowych źródeł danych, dokonano także analizy danych zawartych w bazie Eurostat</w:t>
      </w:r>
      <w:r w:rsidR="00C040BC" w:rsidRPr="00237760">
        <w:rPr>
          <w:rStyle w:val="Odwoanieprzypisudolnego"/>
          <w:rFonts w:ascii="Arial" w:hAnsi="Arial" w:cs="Arial"/>
          <w:color w:val="auto"/>
          <w:sz w:val="24"/>
          <w:szCs w:val="24"/>
          <w:lang w:eastAsia="pl-PL"/>
        </w:rPr>
        <w:footnoteReference w:id="28"/>
      </w:r>
      <w:r w:rsidRPr="00237760">
        <w:rPr>
          <w:rFonts w:ascii="Arial" w:hAnsi="Arial" w:cs="Arial"/>
          <w:color w:val="auto"/>
          <w:sz w:val="24"/>
          <w:szCs w:val="24"/>
          <w:lang w:eastAsia="pl-PL"/>
        </w:rPr>
        <w:t xml:space="preserve">, jednak nie zidentyfikowano </w:t>
      </w:r>
      <w:r w:rsidR="007A7037" w:rsidRPr="00237760">
        <w:rPr>
          <w:rFonts w:ascii="Arial" w:hAnsi="Arial" w:cs="Arial"/>
          <w:color w:val="auto"/>
          <w:sz w:val="24"/>
          <w:szCs w:val="24"/>
          <w:lang w:eastAsia="pl-PL"/>
        </w:rPr>
        <w:t>wartościowych danych, które mogłyby uzupełnić system monitorowania Programu.</w:t>
      </w:r>
      <w:r w:rsidR="00C46154" w:rsidRPr="00237760">
        <w:rPr>
          <w:rFonts w:ascii="Arial" w:hAnsi="Arial" w:cs="Arial"/>
          <w:color w:val="auto"/>
          <w:sz w:val="24"/>
          <w:szCs w:val="24"/>
          <w:lang w:eastAsia="pl-PL"/>
        </w:rPr>
        <w:t xml:space="preserve"> Nie odnaleziono również publikacji MFIPR, w których zaprezentowane byłyby dane inne niż w publikacjach PAN.</w:t>
      </w:r>
      <w:r w:rsidR="005F0DAD" w:rsidRPr="00237760">
        <w:rPr>
          <w:rFonts w:ascii="Arial" w:hAnsi="Arial" w:cs="Arial"/>
          <w:color w:val="auto"/>
          <w:sz w:val="24"/>
          <w:szCs w:val="24"/>
          <w:lang w:eastAsia="pl-PL"/>
        </w:rPr>
        <w:br w:type="page"/>
      </w:r>
    </w:p>
    <w:p w14:paraId="2549DADE" w14:textId="258BF52C" w:rsidR="009D5A91" w:rsidRPr="00237760" w:rsidRDefault="009D5A91" w:rsidP="009367B4">
      <w:pPr>
        <w:pStyle w:val="Nagwek1"/>
        <w:rPr>
          <w:rFonts w:ascii="Arial" w:hAnsi="Arial" w:cs="Arial"/>
          <w:color w:val="auto"/>
          <w:sz w:val="24"/>
          <w:szCs w:val="24"/>
        </w:rPr>
      </w:pPr>
      <w:bookmarkStart w:id="134" w:name="_Toc101904130"/>
      <w:bookmarkEnd w:id="127"/>
      <w:r w:rsidRPr="00237760">
        <w:rPr>
          <w:rFonts w:ascii="Arial" w:hAnsi="Arial" w:cs="Arial"/>
          <w:color w:val="auto"/>
          <w:sz w:val="24"/>
          <w:szCs w:val="24"/>
        </w:rPr>
        <w:lastRenderedPageBreak/>
        <w:t>Ocena spójności</w:t>
      </w:r>
      <w:bookmarkEnd w:id="134"/>
    </w:p>
    <w:p w14:paraId="0CA90CB4" w14:textId="530AB014" w:rsidR="009D5A91" w:rsidRPr="00237760" w:rsidRDefault="009B4B64" w:rsidP="009367B4">
      <w:pPr>
        <w:pStyle w:val="Nagwek2"/>
        <w:rPr>
          <w:rFonts w:ascii="Arial" w:hAnsi="Arial" w:cs="Arial"/>
          <w:color w:val="auto"/>
          <w:sz w:val="24"/>
          <w:szCs w:val="24"/>
        </w:rPr>
      </w:pPr>
      <w:r w:rsidRPr="00237760">
        <w:rPr>
          <w:rFonts w:ascii="Arial" w:hAnsi="Arial" w:cs="Arial"/>
          <w:color w:val="auto"/>
          <w:sz w:val="24"/>
          <w:szCs w:val="24"/>
        </w:rPr>
        <w:t xml:space="preserve"> </w:t>
      </w:r>
      <w:bookmarkStart w:id="135" w:name="_Toc101904131"/>
      <w:r w:rsidR="009D5A91" w:rsidRPr="00237760">
        <w:rPr>
          <w:rFonts w:ascii="Arial" w:hAnsi="Arial" w:cs="Arial"/>
          <w:color w:val="auto"/>
          <w:sz w:val="24"/>
          <w:szCs w:val="24"/>
        </w:rPr>
        <w:t xml:space="preserve">Ocena </w:t>
      </w:r>
      <w:r w:rsidR="009C187E" w:rsidRPr="00237760">
        <w:rPr>
          <w:rFonts w:ascii="Arial" w:hAnsi="Arial" w:cs="Arial"/>
          <w:color w:val="auto"/>
          <w:sz w:val="24"/>
          <w:szCs w:val="24"/>
        </w:rPr>
        <w:t>spójności z</w:t>
      </w:r>
      <w:r w:rsidR="00CE7B03" w:rsidRPr="00237760">
        <w:rPr>
          <w:rFonts w:ascii="Arial" w:hAnsi="Arial" w:cs="Arial"/>
          <w:color w:val="auto"/>
          <w:sz w:val="24"/>
          <w:szCs w:val="24"/>
        </w:rPr>
        <w:t xml:space="preserve"> </w:t>
      </w:r>
      <w:r w:rsidR="00FB2F77" w:rsidRPr="00237760">
        <w:rPr>
          <w:rFonts w:ascii="Arial" w:hAnsi="Arial" w:cs="Arial"/>
          <w:color w:val="auto"/>
          <w:sz w:val="24"/>
          <w:szCs w:val="24"/>
        </w:rPr>
        <w:t xml:space="preserve">uwarunkowaniami </w:t>
      </w:r>
      <w:r w:rsidR="003E6991" w:rsidRPr="00237760">
        <w:rPr>
          <w:rFonts w:ascii="Arial" w:hAnsi="Arial" w:cs="Arial"/>
          <w:color w:val="auto"/>
          <w:sz w:val="24"/>
          <w:szCs w:val="24"/>
        </w:rPr>
        <w:t>europejskimi</w:t>
      </w:r>
      <w:bookmarkEnd w:id="135"/>
    </w:p>
    <w:p w14:paraId="4C591E85" w14:textId="77777777" w:rsidR="009D5A91" w:rsidRPr="00D352FD" w:rsidRDefault="009D5A91" w:rsidP="00D352FD">
      <w:pPr>
        <w:pStyle w:val="Nagwek3"/>
        <w:numPr>
          <w:ilvl w:val="0"/>
          <w:numId w:val="0"/>
        </w:numPr>
        <w:ind w:left="851" w:hanging="851"/>
        <w:rPr>
          <w:rFonts w:ascii="Arial" w:hAnsi="Arial" w:cs="Arial"/>
          <w:color w:val="auto"/>
          <w:sz w:val="24"/>
          <w:szCs w:val="24"/>
        </w:rPr>
      </w:pPr>
      <w:bookmarkStart w:id="136" w:name="_Toc101904132"/>
      <w:r w:rsidRPr="00D352FD">
        <w:rPr>
          <w:rFonts w:ascii="Arial" w:hAnsi="Arial" w:cs="Arial"/>
          <w:color w:val="auto"/>
          <w:sz w:val="24"/>
          <w:szCs w:val="24"/>
        </w:rPr>
        <w:t>Synteza</w:t>
      </w:r>
      <w:bookmarkEnd w:id="136"/>
    </w:p>
    <w:p w14:paraId="11F4B8F3" w14:textId="77777777" w:rsidR="009D5A91" w:rsidRPr="00237760" w:rsidRDefault="009D5A91" w:rsidP="009367B4">
      <w:pPr>
        <w:jc w:val="left"/>
        <w:rPr>
          <w:rFonts w:ascii="Arial" w:hAnsi="Arial" w:cs="Arial"/>
          <w:bCs/>
          <w:iCs/>
          <w:color w:val="auto"/>
          <w:sz w:val="24"/>
          <w:szCs w:val="24"/>
        </w:rPr>
      </w:pPr>
      <w:r w:rsidRPr="00237760">
        <w:rPr>
          <w:rFonts w:ascii="Arial" w:hAnsi="Arial" w:cs="Arial"/>
          <w:color w:val="auto"/>
          <w:sz w:val="24"/>
          <w:szCs w:val="24"/>
        </w:rPr>
        <w:t>Pytanie ewaluacyjne:</w:t>
      </w:r>
      <w:r w:rsidRPr="00237760">
        <w:rPr>
          <w:rFonts w:ascii="Arial" w:hAnsi="Arial" w:cs="Arial"/>
          <w:bCs/>
          <w:iCs/>
          <w:color w:val="auto"/>
          <w:sz w:val="24"/>
          <w:szCs w:val="24"/>
        </w:rPr>
        <w:t xml:space="preserve"> </w:t>
      </w:r>
    </w:p>
    <w:p w14:paraId="7467F394" w14:textId="38BD00B0" w:rsidR="009D5A91" w:rsidRPr="00237760" w:rsidRDefault="009D5A91" w:rsidP="009367B4">
      <w:pPr>
        <w:jc w:val="left"/>
        <w:rPr>
          <w:rFonts w:ascii="Arial" w:hAnsi="Arial" w:cs="Arial"/>
          <w:color w:val="auto"/>
          <w:sz w:val="24"/>
          <w:szCs w:val="24"/>
        </w:rPr>
      </w:pPr>
      <w:r w:rsidRPr="00237760">
        <w:rPr>
          <w:rFonts w:ascii="Arial" w:hAnsi="Arial" w:cs="Arial"/>
          <w:b/>
          <w:i/>
          <w:color w:val="auto"/>
          <w:sz w:val="24"/>
          <w:szCs w:val="24"/>
        </w:rPr>
        <w:t xml:space="preserve">Czy projekt Programu jest zgodny i komplementarny z obowiązującymi regulacjami prawa, </w:t>
      </w:r>
      <w:bookmarkStart w:id="137" w:name="_Hlk97489888"/>
      <w:r w:rsidRPr="00237760">
        <w:rPr>
          <w:rFonts w:ascii="Arial" w:hAnsi="Arial" w:cs="Arial"/>
          <w:b/>
          <w:i/>
          <w:color w:val="auto"/>
          <w:sz w:val="24"/>
          <w:szCs w:val="24"/>
        </w:rPr>
        <w:t>wytycznymi MFiPR dotyczącymi spełnienia warunkowości podstawowej</w:t>
      </w:r>
      <w:bookmarkEnd w:id="137"/>
      <w:r w:rsidRPr="00237760">
        <w:rPr>
          <w:rFonts w:ascii="Arial" w:hAnsi="Arial" w:cs="Arial"/>
          <w:b/>
          <w:i/>
          <w:color w:val="auto"/>
          <w:sz w:val="24"/>
          <w:szCs w:val="24"/>
        </w:rPr>
        <w:t xml:space="preserve">, </w:t>
      </w:r>
      <w:bookmarkStart w:id="138" w:name="_Hlk97493099"/>
      <w:r w:rsidRPr="00237760">
        <w:rPr>
          <w:rFonts w:ascii="Arial" w:hAnsi="Arial" w:cs="Arial"/>
          <w:b/>
          <w:i/>
          <w:color w:val="auto"/>
          <w:sz w:val="24"/>
          <w:szCs w:val="24"/>
        </w:rPr>
        <w:t>wytycznymi JASPERS dotyczącymi metodologii opracowania regionalnych planów transportowych</w:t>
      </w:r>
      <w:bookmarkEnd w:id="138"/>
      <w:r w:rsidRPr="00237760">
        <w:rPr>
          <w:rFonts w:ascii="Arial" w:hAnsi="Arial" w:cs="Arial"/>
          <w:b/>
          <w:i/>
          <w:color w:val="auto"/>
          <w:sz w:val="24"/>
          <w:szCs w:val="24"/>
        </w:rPr>
        <w:t xml:space="preserve"> oraz właściwymi dokumentami krajowymi i unijnymi dotyczącymi nowego systemu programowania i wdrażania Europejskich Funduszy Strukturalnych i Inwestycyjnych (EFSI) w perspektywie finansowej 2021-2027 oraz aktualnie obowiązującymi zasadami polityki regionalnej?</w:t>
      </w:r>
    </w:p>
    <w:p w14:paraId="52F86289" w14:textId="77777777" w:rsidR="009D5A91" w:rsidRPr="00237760" w:rsidRDefault="009D5A91" w:rsidP="009367B4">
      <w:pPr>
        <w:jc w:val="left"/>
        <w:rPr>
          <w:rFonts w:ascii="Arial" w:hAnsi="Arial" w:cs="Arial"/>
          <w:color w:val="auto"/>
          <w:sz w:val="24"/>
          <w:szCs w:val="24"/>
        </w:rPr>
      </w:pPr>
      <w:r w:rsidRPr="00237760">
        <w:rPr>
          <w:rFonts w:ascii="Arial" w:hAnsi="Arial" w:cs="Arial"/>
          <w:color w:val="auto"/>
          <w:sz w:val="24"/>
          <w:szCs w:val="24"/>
        </w:rPr>
        <w:t>Syntetyczna odpowiedź:</w:t>
      </w:r>
    </w:p>
    <w:p w14:paraId="0EA49A5D" w14:textId="63949933" w:rsidR="009D5A91" w:rsidRPr="00237760" w:rsidRDefault="008436FB" w:rsidP="009367B4">
      <w:pPr>
        <w:jc w:val="left"/>
        <w:rPr>
          <w:rFonts w:ascii="Arial" w:hAnsi="Arial" w:cs="Arial"/>
          <w:b/>
          <w:i/>
          <w:color w:val="auto"/>
          <w:sz w:val="24"/>
          <w:szCs w:val="24"/>
        </w:rPr>
      </w:pPr>
      <w:r w:rsidRPr="00237760">
        <w:rPr>
          <w:rFonts w:ascii="Arial" w:hAnsi="Arial" w:cs="Arial"/>
          <w:b/>
          <w:i/>
          <w:color w:val="auto"/>
          <w:sz w:val="24"/>
          <w:szCs w:val="24"/>
        </w:rPr>
        <w:t>Tak, d</w:t>
      </w:r>
      <w:r w:rsidR="002D2064" w:rsidRPr="00237760">
        <w:rPr>
          <w:rFonts w:ascii="Arial" w:hAnsi="Arial" w:cs="Arial"/>
          <w:b/>
          <w:i/>
          <w:color w:val="auto"/>
          <w:sz w:val="24"/>
          <w:szCs w:val="24"/>
        </w:rPr>
        <w:t xml:space="preserve">okument </w:t>
      </w:r>
      <w:r w:rsidR="00A73862" w:rsidRPr="00237760">
        <w:rPr>
          <w:rFonts w:ascii="Arial" w:hAnsi="Arial" w:cs="Arial"/>
          <w:b/>
          <w:i/>
          <w:color w:val="auto"/>
          <w:sz w:val="24"/>
          <w:szCs w:val="24"/>
        </w:rPr>
        <w:t>kompleksowo odpowiada na założenia</w:t>
      </w:r>
      <w:r w:rsidR="00F760AC" w:rsidRPr="00237760">
        <w:rPr>
          <w:rFonts w:ascii="Arial" w:hAnsi="Arial" w:cs="Arial"/>
          <w:b/>
          <w:i/>
          <w:color w:val="auto"/>
          <w:sz w:val="24"/>
          <w:szCs w:val="24"/>
        </w:rPr>
        <w:t>:</w:t>
      </w:r>
      <w:r w:rsidR="00A73862" w:rsidRPr="00237760">
        <w:rPr>
          <w:rFonts w:ascii="Arial" w:hAnsi="Arial" w:cs="Arial"/>
          <w:b/>
          <w:i/>
          <w:color w:val="auto"/>
          <w:sz w:val="24"/>
          <w:szCs w:val="24"/>
        </w:rPr>
        <w:t xml:space="preserve"> </w:t>
      </w:r>
      <w:r w:rsidR="005704B6" w:rsidRPr="00237760">
        <w:rPr>
          <w:rFonts w:ascii="Arial" w:hAnsi="Arial" w:cs="Arial"/>
          <w:b/>
          <w:i/>
          <w:color w:val="auto"/>
          <w:sz w:val="24"/>
          <w:szCs w:val="24"/>
        </w:rPr>
        <w:t>pakietu rozporządzeń dotyczącego polityki spójności</w:t>
      </w:r>
      <w:r w:rsidR="00067163" w:rsidRPr="00237760">
        <w:rPr>
          <w:rFonts w:ascii="Arial" w:hAnsi="Arial" w:cs="Arial"/>
          <w:b/>
          <w:i/>
          <w:color w:val="auto"/>
          <w:sz w:val="24"/>
          <w:szCs w:val="24"/>
        </w:rPr>
        <w:t>,</w:t>
      </w:r>
      <w:r w:rsidR="00A73862" w:rsidRPr="00237760">
        <w:rPr>
          <w:rFonts w:ascii="Arial" w:hAnsi="Arial" w:cs="Arial"/>
          <w:b/>
          <w:i/>
          <w:color w:val="auto"/>
          <w:sz w:val="24"/>
          <w:szCs w:val="24"/>
        </w:rPr>
        <w:t xml:space="preserve"> Umowy Partnerstwa </w:t>
      </w:r>
      <w:r w:rsidR="00F760AC" w:rsidRPr="00237760">
        <w:rPr>
          <w:rFonts w:ascii="Arial" w:hAnsi="Arial" w:cs="Arial"/>
          <w:b/>
          <w:i/>
          <w:color w:val="auto"/>
          <w:sz w:val="24"/>
          <w:szCs w:val="24"/>
        </w:rPr>
        <w:t xml:space="preserve">i kluczowych programów operacyjnych poziomu krajowego </w:t>
      </w:r>
      <w:r w:rsidR="00A73862" w:rsidRPr="00237760">
        <w:rPr>
          <w:rFonts w:ascii="Arial" w:hAnsi="Arial" w:cs="Arial"/>
          <w:b/>
          <w:i/>
          <w:color w:val="auto"/>
          <w:sz w:val="24"/>
          <w:szCs w:val="24"/>
        </w:rPr>
        <w:t xml:space="preserve">oraz bez zastrzeżeń spełnia </w:t>
      </w:r>
      <w:r w:rsidR="00763E04" w:rsidRPr="00237760">
        <w:rPr>
          <w:rFonts w:ascii="Arial" w:hAnsi="Arial" w:cs="Arial"/>
          <w:b/>
          <w:i/>
          <w:color w:val="auto"/>
          <w:sz w:val="24"/>
          <w:szCs w:val="24"/>
        </w:rPr>
        <w:t>warunkowość podstawow</w:t>
      </w:r>
      <w:r w:rsidR="00274AD2" w:rsidRPr="00237760">
        <w:rPr>
          <w:rFonts w:ascii="Arial" w:hAnsi="Arial" w:cs="Arial"/>
          <w:b/>
          <w:i/>
          <w:color w:val="auto"/>
          <w:sz w:val="24"/>
          <w:szCs w:val="24"/>
        </w:rPr>
        <w:t>ą</w:t>
      </w:r>
      <w:r w:rsidR="00763E04" w:rsidRPr="00237760">
        <w:rPr>
          <w:rFonts w:ascii="Arial" w:hAnsi="Arial" w:cs="Arial"/>
          <w:b/>
          <w:i/>
          <w:color w:val="auto"/>
          <w:sz w:val="24"/>
          <w:szCs w:val="24"/>
        </w:rPr>
        <w:t xml:space="preserve"> dla </w:t>
      </w:r>
      <w:r w:rsidR="00824E51" w:rsidRPr="00237760">
        <w:rPr>
          <w:rFonts w:ascii="Arial" w:hAnsi="Arial" w:cs="Arial"/>
          <w:b/>
          <w:i/>
          <w:color w:val="auto"/>
          <w:sz w:val="24"/>
          <w:szCs w:val="24"/>
        </w:rPr>
        <w:t xml:space="preserve">kluczowego programu </w:t>
      </w:r>
      <w:r w:rsidR="00763E04" w:rsidRPr="00237760">
        <w:rPr>
          <w:rFonts w:ascii="Arial" w:hAnsi="Arial" w:cs="Arial"/>
          <w:b/>
          <w:i/>
          <w:color w:val="auto"/>
          <w:sz w:val="24"/>
          <w:szCs w:val="24"/>
        </w:rPr>
        <w:t>Celu Polityki 3</w:t>
      </w:r>
      <w:r w:rsidR="00824E51" w:rsidRPr="00237760">
        <w:rPr>
          <w:rFonts w:ascii="Arial" w:hAnsi="Arial" w:cs="Arial"/>
          <w:b/>
          <w:i/>
          <w:color w:val="auto"/>
          <w:sz w:val="24"/>
          <w:szCs w:val="24"/>
        </w:rPr>
        <w:t>.</w:t>
      </w:r>
      <w:r w:rsidR="003051D0" w:rsidRPr="00237760">
        <w:rPr>
          <w:rFonts w:ascii="Arial" w:hAnsi="Arial" w:cs="Arial"/>
          <w:b/>
          <w:i/>
          <w:color w:val="auto"/>
          <w:sz w:val="24"/>
          <w:szCs w:val="24"/>
        </w:rPr>
        <w:t xml:space="preserve"> S</w:t>
      </w:r>
      <w:r w:rsidR="00A73862" w:rsidRPr="00237760">
        <w:rPr>
          <w:rFonts w:ascii="Arial" w:hAnsi="Arial" w:cs="Arial"/>
          <w:b/>
          <w:i/>
          <w:color w:val="auto"/>
          <w:sz w:val="24"/>
          <w:szCs w:val="24"/>
        </w:rPr>
        <w:t xml:space="preserve">pełnia </w:t>
      </w:r>
      <w:r w:rsidR="00824E51" w:rsidRPr="00237760">
        <w:rPr>
          <w:rFonts w:ascii="Arial" w:hAnsi="Arial" w:cs="Arial"/>
          <w:b/>
          <w:i/>
          <w:color w:val="auto"/>
          <w:sz w:val="24"/>
          <w:szCs w:val="24"/>
        </w:rPr>
        <w:t>też, choć</w:t>
      </w:r>
      <w:r w:rsidR="002D2064" w:rsidRPr="00237760">
        <w:rPr>
          <w:rFonts w:ascii="Arial" w:hAnsi="Arial" w:cs="Arial"/>
          <w:b/>
          <w:i/>
          <w:color w:val="auto"/>
          <w:sz w:val="24"/>
          <w:szCs w:val="24"/>
        </w:rPr>
        <w:t xml:space="preserve"> z drobnymi zastrzeżeniami</w:t>
      </w:r>
      <w:r w:rsidR="00824E51" w:rsidRPr="00237760">
        <w:rPr>
          <w:rFonts w:ascii="Arial" w:hAnsi="Arial" w:cs="Arial"/>
          <w:b/>
          <w:i/>
          <w:color w:val="auto"/>
          <w:sz w:val="24"/>
          <w:szCs w:val="24"/>
        </w:rPr>
        <w:t xml:space="preserve">, </w:t>
      </w:r>
      <w:r w:rsidR="004F3DBA" w:rsidRPr="00237760">
        <w:rPr>
          <w:rFonts w:ascii="Arial" w:hAnsi="Arial" w:cs="Arial"/>
          <w:b/>
          <w:i/>
          <w:color w:val="auto"/>
          <w:sz w:val="24"/>
          <w:szCs w:val="24"/>
        </w:rPr>
        <w:t xml:space="preserve">wymogi </w:t>
      </w:r>
      <w:r w:rsidR="001C6BAA" w:rsidRPr="00237760">
        <w:rPr>
          <w:rFonts w:ascii="Arial" w:hAnsi="Arial" w:cs="Arial"/>
          <w:b/>
          <w:i/>
          <w:color w:val="auto"/>
          <w:sz w:val="24"/>
          <w:szCs w:val="24"/>
        </w:rPr>
        <w:t xml:space="preserve">Ustawy o </w:t>
      </w:r>
      <w:r w:rsidR="00A73862" w:rsidRPr="00237760">
        <w:rPr>
          <w:rFonts w:ascii="Arial" w:hAnsi="Arial" w:cs="Arial"/>
          <w:b/>
          <w:i/>
          <w:color w:val="auto"/>
          <w:sz w:val="24"/>
          <w:szCs w:val="24"/>
        </w:rPr>
        <w:t>zasadach prowadzenia polityki rozwoju</w:t>
      </w:r>
      <w:r w:rsidR="00824E51" w:rsidRPr="00237760">
        <w:rPr>
          <w:rFonts w:ascii="Arial" w:hAnsi="Arial" w:cs="Arial"/>
          <w:b/>
          <w:i/>
          <w:color w:val="auto"/>
          <w:sz w:val="24"/>
          <w:szCs w:val="24"/>
        </w:rPr>
        <w:t xml:space="preserve"> oraz realizuje wytyczne JASPERS dla metodyki opracowania regionalnych planów transportowych.</w:t>
      </w:r>
      <w:r w:rsidR="00FB650B" w:rsidRPr="00237760">
        <w:rPr>
          <w:rFonts w:ascii="Arial" w:hAnsi="Arial" w:cs="Arial"/>
          <w:b/>
          <w:i/>
          <w:color w:val="auto"/>
          <w:sz w:val="24"/>
          <w:szCs w:val="24"/>
        </w:rPr>
        <w:t xml:space="preserve"> Odpowiada też na istotne z punktu widzenia </w:t>
      </w:r>
      <w:r w:rsidR="008944B0" w:rsidRPr="00237760">
        <w:rPr>
          <w:rFonts w:ascii="Arial" w:hAnsi="Arial" w:cs="Arial"/>
          <w:b/>
          <w:i/>
          <w:color w:val="auto"/>
          <w:sz w:val="24"/>
          <w:szCs w:val="24"/>
        </w:rPr>
        <w:t>regionalnego programu rozwoju transportu przepisy w zakresie zarządzania infrastrukturą transportową oraz przewozem osób i towarów</w:t>
      </w:r>
      <w:r w:rsidR="002C10F2" w:rsidRPr="00237760">
        <w:rPr>
          <w:rStyle w:val="Odwoanieprzypisudolnego"/>
          <w:rFonts w:ascii="Arial" w:hAnsi="Arial" w:cs="Arial"/>
          <w:b/>
          <w:i/>
          <w:color w:val="auto"/>
          <w:sz w:val="24"/>
          <w:szCs w:val="24"/>
        </w:rPr>
        <w:footnoteReference w:id="29"/>
      </w:r>
      <w:r w:rsidR="003A08CA" w:rsidRPr="00237760">
        <w:rPr>
          <w:rFonts w:ascii="Arial" w:hAnsi="Arial" w:cs="Arial"/>
          <w:b/>
          <w:i/>
          <w:color w:val="auto"/>
          <w:sz w:val="24"/>
          <w:szCs w:val="24"/>
        </w:rPr>
        <w:t>.</w:t>
      </w:r>
    </w:p>
    <w:p w14:paraId="357BC0BD" w14:textId="7B33E605" w:rsidR="009D5A91" w:rsidRPr="00237760" w:rsidRDefault="009D5A91" w:rsidP="009367B4">
      <w:pPr>
        <w:pStyle w:val="Nagwek4"/>
        <w:shd w:val="clear" w:color="auto" w:fill="auto"/>
        <w:rPr>
          <w:rFonts w:ascii="Arial" w:hAnsi="Arial" w:cs="Arial"/>
          <w:color w:val="auto"/>
        </w:rPr>
      </w:pPr>
      <w:r w:rsidRPr="00237760">
        <w:rPr>
          <w:rFonts w:ascii="Arial" w:hAnsi="Arial" w:cs="Arial"/>
          <w:color w:val="auto"/>
        </w:rPr>
        <w:t xml:space="preserve"> </w:t>
      </w:r>
      <w:bookmarkStart w:id="139" w:name="_Toc101904133"/>
      <w:r w:rsidRPr="00237760">
        <w:rPr>
          <w:rFonts w:ascii="Arial" w:hAnsi="Arial" w:cs="Arial"/>
          <w:color w:val="auto"/>
        </w:rPr>
        <w:t>Analiza</w:t>
      </w:r>
      <w:bookmarkEnd w:id="139"/>
    </w:p>
    <w:p w14:paraId="25DDC506" w14:textId="77777777" w:rsidR="000B7C22" w:rsidRPr="00237760" w:rsidRDefault="000B7C22" w:rsidP="009367B4">
      <w:pPr>
        <w:pStyle w:val="Nagwek3"/>
        <w:rPr>
          <w:rFonts w:ascii="Arial" w:hAnsi="Arial" w:cs="Arial"/>
          <w:color w:val="auto"/>
          <w:sz w:val="24"/>
          <w:szCs w:val="24"/>
        </w:rPr>
      </w:pPr>
      <w:bookmarkStart w:id="140" w:name="_Toc101904134"/>
      <w:bookmarkStart w:id="141" w:name="_Ref89606318"/>
      <w:bookmarkStart w:id="142" w:name="_Ref28355042"/>
      <w:bookmarkStart w:id="143" w:name="_Toc28552588"/>
      <w:bookmarkStart w:id="144" w:name="_Toc90222996"/>
      <w:bookmarkStart w:id="145" w:name="_Toc90333474"/>
      <w:r w:rsidRPr="00237760">
        <w:rPr>
          <w:rFonts w:ascii="Arial" w:hAnsi="Arial" w:cs="Arial"/>
          <w:color w:val="auto"/>
          <w:sz w:val="24"/>
          <w:szCs w:val="24"/>
        </w:rPr>
        <w:t>Zgodność z Ustawą o zasadach prowadzenia polityki rozwoju</w:t>
      </w:r>
      <w:bookmarkEnd w:id="140"/>
    </w:p>
    <w:p w14:paraId="47DC3572" w14:textId="45AFB3DE" w:rsidR="000B7C22" w:rsidRDefault="001E0C9C" w:rsidP="009367B4">
      <w:pPr>
        <w:jc w:val="left"/>
        <w:rPr>
          <w:rFonts w:ascii="Arial" w:hAnsi="Arial" w:cs="Arial"/>
          <w:iCs/>
          <w:color w:val="auto"/>
          <w:sz w:val="24"/>
          <w:szCs w:val="24"/>
          <w:lang w:eastAsia="pl-PL"/>
        </w:rPr>
      </w:pPr>
      <w:r w:rsidRPr="00237760">
        <w:rPr>
          <w:rFonts w:ascii="Arial" w:hAnsi="Arial" w:cs="Arial"/>
          <w:color w:val="auto"/>
          <w:sz w:val="24"/>
          <w:szCs w:val="24"/>
          <w:lang w:eastAsia="pl-PL"/>
        </w:rPr>
        <w:t xml:space="preserve">Zgodnie z </w:t>
      </w:r>
      <w:r w:rsidR="000B1304" w:rsidRPr="00237760">
        <w:rPr>
          <w:rFonts w:ascii="Arial" w:hAnsi="Arial" w:cs="Arial"/>
          <w:iCs/>
          <w:color w:val="auto"/>
          <w:sz w:val="24"/>
          <w:szCs w:val="24"/>
          <w:lang w:eastAsia="pl-PL"/>
        </w:rPr>
        <w:t>U</w:t>
      </w:r>
      <w:r w:rsidRPr="00237760">
        <w:rPr>
          <w:rFonts w:ascii="Arial" w:hAnsi="Arial" w:cs="Arial"/>
          <w:iCs/>
          <w:color w:val="auto"/>
          <w:sz w:val="24"/>
          <w:szCs w:val="24"/>
          <w:lang w:eastAsia="pl-PL"/>
        </w:rPr>
        <w:t xml:space="preserve">stawą </w:t>
      </w:r>
      <w:r w:rsidR="000B7C22" w:rsidRPr="00237760">
        <w:rPr>
          <w:rFonts w:ascii="Arial" w:hAnsi="Arial" w:cs="Arial"/>
          <w:iCs/>
          <w:color w:val="auto"/>
          <w:sz w:val="24"/>
          <w:szCs w:val="24"/>
          <w:lang w:eastAsia="pl-PL"/>
        </w:rPr>
        <w:t>o zasadach prowadzenia polityki rozwoju, dokument PSRT WP jest programem rozwoju, musi zatem spełniać</w:t>
      </w:r>
      <w:r w:rsidRPr="00237760">
        <w:rPr>
          <w:rFonts w:ascii="Arial" w:hAnsi="Arial" w:cs="Arial"/>
          <w:iCs/>
          <w:color w:val="auto"/>
          <w:sz w:val="24"/>
          <w:szCs w:val="24"/>
          <w:lang w:eastAsia="pl-PL"/>
        </w:rPr>
        <w:t xml:space="preserve"> związane z tym i</w:t>
      </w:r>
      <w:r w:rsidR="000B7C22" w:rsidRPr="00237760">
        <w:rPr>
          <w:rFonts w:ascii="Arial" w:hAnsi="Arial" w:cs="Arial"/>
          <w:iCs/>
          <w:color w:val="auto"/>
          <w:sz w:val="24"/>
          <w:szCs w:val="24"/>
          <w:lang w:eastAsia="pl-PL"/>
        </w:rPr>
        <w:t xml:space="preserve"> nakładane przez ten akt prawny wymogi</w:t>
      </w:r>
      <w:r w:rsidR="0058550B" w:rsidRPr="00237760">
        <w:rPr>
          <w:rFonts w:ascii="Arial" w:hAnsi="Arial" w:cs="Arial"/>
          <w:iCs/>
          <w:color w:val="auto"/>
          <w:sz w:val="24"/>
          <w:szCs w:val="24"/>
          <w:lang w:eastAsia="pl-PL"/>
        </w:rPr>
        <w:t xml:space="preserve"> (</w:t>
      </w:r>
      <w:r w:rsidR="0058550B" w:rsidRPr="00237760">
        <w:rPr>
          <w:rFonts w:ascii="Arial" w:hAnsi="Arial" w:cs="Arial"/>
          <w:iCs/>
          <w:color w:val="auto"/>
          <w:sz w:val="24"/>
          <w:szCs w:val="24"/>
          <w:lang w:eastAsia="pl-PL"/>
        </w:rPr>
        <w:fldChar w:fldCharType="begin"/>
      </w:r>
      <w:r w:rsidR="0058550B" w:rsidRPr="00237760">
        <w:rPr>
          <w:rFonts w:ascii="Arial" w:hAnsi="Arial" w:cs="Arial"/>
          <w:iCs/>
          <w:color w:val="auto"/>
          <w:sz w:val="24"/>
          <w:szCs w:val="24"/>
          <w:lang w:eastAsia="pl-PL"/>
        </w:rPr>
        <w:instrText xml:space="preserve"> REF _Ref100080565 \h  \* MERGEFORMAT </w:instrText>
      </w:r>
      <w:r w:rsidR="0058550B" w:rsidRPr="00237760">
        <w:rPr>
          <w:rFonts w:ascii="Arial" w:hAnsi="Arial" w:cs="Arial"/>
          <w:iCs/>
          <w:color w:val="auto"/>
          <w:sz w:val="24"/>
          <w:szCs w:val="24"/>
          <w:lang w:eastAsia="pl-PL"/>
        </w:rPr>
      </w:r>
      <w:r w:rsidR="0058550B" w:rsidRPr="00237760">
        <w:rPr>
          <w:rFonts w:ascii="Arial" w:hAnsi="Arial" w:cs="Arial"/>
          <w:iCs/>
          <w:color w:val="auto"/>
          <w:sz w:val="24"/>
          <w:szCs w:val="24"/>
          <w:lang w:eastAsia="pl-PL"/>
        </w:rPr>
        <w:fldChar w:fldCharType="separate"/>
      </w:r>
      <w:r w:rsidR="00E52C19" w:rsidRPr="00237760">
        <w:rPr>
          <w:rFonts w:ascii="Arial" w:hAnsi="Arial" w:cs="Arial"/>
          <w:bCs/>
          <w:color w:val="auto"/>
          <w:sz w:val="24"/>
          <w:szCs w:val="24"/>
          <w:lang w:eastAsia="pl-PL"/>
        </w:rPr>
        <w:t xml:space="preserve">Tabela </w:t>
      </w:r>
      <w:r w:rsidR="00E52C19" w:rsidRPr="00237760">
        <w:rPr>
          <w:rFonts w:ascii="Arial" w:hAnsi="Arial" w:cs="Arial"/>
          <w:bCs/>
          <w:noProof/>
          <w:color w:val="auto"/>
          <w:sz w:val="24"/>
          <w:szCs w:val="24"/>
          <w:lang w:eastAsia="pl-PL"/>
        </w:rPr>
        <w:t>17</w:t>
      </w:r>
      <w:r w:rsidR="0058550B" w:rsidRPr="00237760">
        <w:rPr>
          <w:rFonts w:ascii="Arial" w:hAnsi="Arial" w:cs="Arial"/>
          <w:iCs/>
          <w:color w:val="auto"/>
          <w:sz w:val="24"/>
          <w:szCs w:val="24"/>
          <w:lang w:eastAsia="pl-PL"/>
        </w:rPr>
        <w:fldChar w:fldCharType="end"/>
      </w:r>
      <w:r w:rsidR="0058550B" w:rsidRPr="00237760">
        <w:rPr>
          <w:rFonts w:ascii="Arial" w:hAnsi="Arial" w:cs="Arial"/>
          <w:iCs/>
          <w:color w:val="auto"/>
          <w:sz w:val="24"/>
          <w:szCs w:val="24"/>
          <w:lang w:eastAsia="pl-PL"/>
        </w:rPr>
        <w:t>).</w:t>
      </w:r>
    </w:p>
    <w:p w14:paraId="00941336" w14:textId="4BB19DA3" w:rsidR="00F077C6" w:rsidRDefault="00F077C6">
      <w:pPr>
        <w:spacing w:after="160" w:line="259" w:lineRule="auto"/>
        <w:jc w:val="left"/>
        <w:rPr>
          <w:rFonts w:ascii="Arial" w:hAnsi="Arial" w:cs="Arial"/>
          <w:iCs/>
          <w:color w:val="auto"/>
          <w:sz w:val="24"/>
          <w:szCs w:val="24"/>
          <w:lang w:eastAsia="pl-PL"/>
        </w:rPr>
      </w:pPr>
      <w:r>
        <w:rPr>
          <w:rFonts w:ascii="Arial" w:hAnsi="Arial" w:cs="Arial"/>
          <w:iCs/>
          <w:color w:val="auto"/>
          <w:sz w:val="24"/>
          <w:szCs w:val="24"/>
          <w:lang w:eastAsia="pl-PL"/>
        </w:rPr>
        <w:br w:type="page"/>
      </w:r>
    </w:p>
    <w:p w14:paraId="65FB2E14" w14:textId="57450E9B" w:rsidR="000B7C22" w:rsidRPr="00237760" w:rsidRDefault="000B7C22" w:rsidP="009367B4">
      <w:pPr>
        <w:pStyle w:val="Legenda"/>
        <w:jc w:val="left"/>
        <w:rPr>
          <w:rFonts w:ascii="Arial" w:hAnsi="Arial" w:cs="Arial"/>
          <w:color w:val="auto"/>
          <w:sz w:val="24"/>
          <w:szCs w:val="24"/>
        </w:rPr>
      </w:pPr>
      <w:bookmarkStart w:id="146" w:name="_Ref100080565"/>
      <w:bookmarkStart w:id="147" w:name="_Toc101904258"/>
      <w:r w:rsidRPr="00237760">
        <w:rPr>
          <w:rFonts w:ascii="Arial" w:hAnsi="Arial" w:cs="Arial"/>
          <w:color w:val="auto"/>
          <w:sz w:val="24"/>
          <w:szCs w:val="24"/>
        </w:rPr>
        <w:lastRenderedPageBreak/>
        <w:t xml:space="preserve">Tabela </w:t>
      </w:r>
      <w:r w:rsidR="00F64FED" w:rsidRPr="00237760">
        <w:rPr>
          <w:rFonts w:ascii="Arial" w:hAnsi="Arial" w:cs="Arial"/>
          <w:noProof/>
          <w:color w:val="auto"/>
          <w:sz w:val="24"/>
          <w:szCs w:val="24"/>
        </w:rPr>
        <w:fldChar w:fldCharType="begin"/>
      </w:r>
      <w:r w:rsidR="00F64FED" w:rsidRPr="00237760">
        <w:rPr>
          <w:rFonts w:ascii="Arial" w:hAnsi="Arial" w:cs="Arial"/>
          <w:noProof/>
          <w:color w:val="auto"/>
          <w:sz w:val="24"/>
          <w:szCs w:val="24"/>
        </w:rPr>
        <w:instrText xml:space="preserve"> SEQ Tabela \* ARABIC </w:instrText>
      </w:r>
      <w:r w:rsidR="00F64FED" w:rsidRPr="00237760">
        <w:rPr>
          <w:rFonts w:ascii="Arial" w:hAnsi="Arial" w:cs="Arial"/>
          <w:noProof/>
          <w:color w:val="auto"/>
          <w:sz w:val="24"/>
          <w:szCs w:val="24"/>
        </w:rPr>
        <w:fldChar w:fldCharType="separate"/>
      </w:r>
      <w:r w:rsidR="00762B20" w:rsidRPr="00237760">
        <w:rPr>
          <w:rFonts w:ascii="Arial" w:hAnsi="Arial" w:cs="Arial"/>
          <w:noProof/>
          <w:color w:val="auto"/>
          <w:sz w:val="24"/>
          <w:szCs w:val="24"/>
        </w:rPr>
        <w:t>17</w:t>
      </w:r>
      <w:r w:rsidR="00F64FED" w:rsidRPr="00237760">
        <w:rPr>
          <w:rFonts w:ascii="Arial" w:hAnsi="Arial" w:cs="Arial"/>
          <w:noProof/>
          <w:color w:val="auto"/>
          <w:sz w:val="24"/>
          <w:szCs w:val="24"/>
        </w:rPr>
        <w:fldChar w:fldCharType="end"/>
      </w:r>
      <w:bookmarkEnd w:id="146"/>
      <w:r w:rsidRPr="00237760">
        <w:rPr>
          <w:rFonts w:ascii="Arial" w:hAnsi="Arial" w:cs="Arial"/>
          <w:color w:val="auto"/>
          <w:sz w:val="24"/>
          <w:szCs w:val="24"/>
        </w:rPr>
        <w:t xml:space="preserve">. Zgodność PSRT WP z </w:t>
      </w:r>
      <w:r w:rsidR="00EF0D78" w:rsidRPr="00237760">
        <w:rPr>
          <w:rFonts w:ascii="Arial" w:hAnsi="Arial" w:cs="Arial"/>
          <w:color w:val="auto"/>
          <w:sz w:val="24"/>
          <w:szCs w:val="24"/>
        </w:rPr>
        <w:t>wymogami</w:t>
      </w:r>
      <w:r w:rsidRPr="00237760">
        <w:rPr>
          <w:rFonts w:ascii="Arial" w:hAnsi="Arial" w:cs="Arial"/>
          <w:color w:val="auto"/>
          <w:sz w:val="24"/>
          <w:szCs w:val="24"/>
        </w:rPr>
        <w:t xml:space="preserve"> Ustawy o zasadach prowadzenia polityki rozwoju dla programu rozwoju</w:t>
      </w:r>
      <w:bookmarkEnd w:id="147"/>
    </w:p>
    <w:tbl>
      <w:tblPr>
        <w:tblStyle w:val="Tabela-Siatka"/>
        <w:tblW w:w="9077" w:type="dxa"/>
        <w:tblInd w:w="-5"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ook w:val="04A0" w:firstRow="1" w:lastRow="0" w:firstColumn="1" w:lastColumn="0" w:noHBand="0" w:noVBand="1"/>
        <w:tblCaption w:val="Tabela 17. Zgodność PSRT WP z wymogami Ustawy o zasadach prowadzenia polityki rozwoju dla programu rozwoju"/>
        <w:tblDescription w:val="Tabela zawiera Wymogi Ustawy o zasadach prowadzenia polityki rozwoju dla programu rozwoju, Realizacja wymogów przez PSRT WP"/>
      </w:tblPr>
      <w:tblGrid>
        <w:gridCol w:w="3271"/>
        <w:gridCol w:w="5806"/>
      </w:tblGrid>
      <w:tr w:rsidR="00237760" w:rsidRPr="00237760" w14:paraId="03B5DEFE" w14:textId="77777777" w:rsidTr="00F077C6">
        <w:trPr>
          <w:trHeight w:val="111"/>
          <w:tblHeader/>
        </w:trPr>
        <w:tc>
          <w:tcPr>
            <w:tcW w:w="2982" w:type="dxa"/>
            <w:tcBorders>
              <w:top w:val="single" w:sz="12" w:space="0" w:color="002060"/>
              <w:left w:val="nil"/>
              <w:bottom w:val="single" w:sz="4" w:space="0" w:color="BDD6EE" w:themeColor="accent1" w:themeTint="66"/>
              <w:right w:val="nil"/>
            </w:tcBorders>
            <w:shd w:val="clear" w:color="auto" w:fill="auto"/>
            <w:vAlign w:val="center"/>
            <w:hideMark/>
          </w:tcPr>
          <w:p w14:paraId="7023A308" w14:textId="1A84439A" w:rsidR="000B7C22" w:rsidRPr="00237760" w:rsidRDefault="00EF0D78" w:rsidP="009367B4">
            <w:pPr>
              <w:spacing w:after="0" w:line="240" w:lineRule="auto"/>
              <w:jc w:val="left"/>
              <w:rPr>
                <w:rFonts w:ascii="Arial" w:eastAsiaTheme="minorHAnsi" w:hAnsi="Arial" w:cs="Arial"/>
                <w:b/>
                <w:color w:val="auto"/>
                <w:sz w:val="24"/>
                <w:szCs w:val="24"/>
              </w:rPr>
            </w:pPr>
            <w:r w:rsidRPr="00237760">
              <w:rPr>
                <w:rFonts w:ascii="Arial" w:hAnsi="Arial" w:cs="Arial"/>
                <w:b/>
                <w:color w:val="auto"/>
                <w:sz w:val="24"/>
                <w:szCs w:val="24"/>
              </w:rPr>
              <w:t>Wymogi</w:t>
            </w:r>
            <w:r w:rsidR="000B7C22" w:rsidRPr="00237760">
              <w:rPr>
                <w:rFonts w:ascii="Arial" w:hAnsi="Arial" w:cs="Arial"/>
                <w:b/>
                <w:color w:val="auto"/>
                <w:sz w:val="24"/>
                <w:szCs w:val="24"/>
              </w:rPr>
              <w:t xml:space="preserve"> Ustawy o zasadach prowadzenia polityki rozwoju</w:t>
            </w:r>
            <w:r w:rsidR="000B7C22" w:rsidRPr="00237760">
              <w:rPr>
                <w:rFonts w:ascii="Arial" w:hAnsi="Arial" w:cs="Arial"/>
                <w:b/>
                <w:i/>
                <w:color w:val="auto"/>
                <w:sz w:val="24"/>
                <w:szCs w:val="24"/>
              </w:rPr>
              <w:t xml:space="preserve"> </w:t>
            </w:r>
            <w:r w:rsidR="000B7C22" w:rsidRPr="00237760">
              <w:rPr>
                <w:rFonts w:ascii="Arial" w:hAnsi="Arial" w:cs="Arial"/>
                <w:b/>
                <w:color w:val="auto"/>
                <w:sz w:val="24"/>
                <w:szCs w:val="24"/>
              </w:rPr>
              <w:t>dla programu rozwoju</w:t>
            </w:r>
          </w:p>
        </w:tc>
        <w:tc>
          <w:tcPr>
            <w:tcW w:w="6095" w:type="dxa"/>
            <w:tcBorders>
              <w:top w:val="single" w:sz="12" w:space="0" w:color="002060"/>
              <w:left w:val="nil"/>
              <w:bottom w:val="single" w:sz="4" w:space="0" w:color="BDD6EE" w:themeColor="accent1" w:themeTint="66"/>
              <w:right w:val="nil"/>
            </w:tcBorders>
            <w:shd w:val="clear" w:color="auto" w:fill="auto"/>
            <w:vAlign w:val="center"/>
            <w:hideMark/>
          </w:tcPr>
          <w:p w14:paraId="22326E15" w14:textId="31FD1D68" w:rsidR="000B7C22" w:rsidRPr="00237760" w:rsidRDefault="000B7C22" w:rsidP="009367B4">
            <w:pPr>
              <w:spacing w:after="0" w:line="240" w:lineRule="auto"/>
              <w:jc w:val="left"/>
              <w:rPr>
                <w:rFonts w:ascii="Arial" w:hAnsi="Arial" w:cs="Arial"/>
                <w:b/>
                <w:color w:val="auto"/>
                <w:sz w:val="24"/>
                <w:szCs w:val="24"/>
                <w:highlight w:val="yellow"/>
              </w:rPr>
            </w:pPr>
            <w:r w:rsidRPr="00237760">
              <w:rPr>
                <w:rFonts w:ascii="Arial" w:eastAsiaTheme="minorHAnsi" w:hAnsi="Arial" w:cs="Arial"/>
                <w:b/>
                <w:bCs/>
                <w:color w:val="auto"/>
                <w:sz w:val="24"/>
                <w:szCs w:val="24"/>
              </w:rPr>
              <w:t xml:space="preserve">Realizacja </w:t>
            </w:r>
            <w:r w:rsidR="00EF0D78" w:rsidRPr="00237760">
              <w:rPr>
                <w:rFonts w:ascii="Arial" w:eastAsiaTheme="minorHAnsi" w:hAnsi="Arial" w:cs="Arial"/>
                <w:b/>
                <w:bCs/>
                <w:color w:val="auto"/>
                <w:sz w:val="24"/>
                <w:szCs w:val="24"/>
              </w:rPr>
              <w:t>wymogów</w:t>
            </w:r>
            <w:r w:rsidRPr="00237760">
              <w:rPr>
                <w:rFonts w:ascii="Arial" w:eastAsiaTheme="minorHAnsi" w:hAnsi="Arial" w:cs="Arial"/>
                <w:b/>
                <w:bCs/>
                <w:color w:val="auto"/>
                <w:sz w:val="24"/>
                <w:szCs w:val="24"/>
              </w:rPr>
              <w:t xml:space="preserve"> przez </w:t>
            </w:r>
            <w:r w:rsidR="005B110D" w:rsidRPr="00237760">
              <w:rPr>
                <w:rFonts w:ascii="Arial" w:eastAsiaTheme="minorHAnsi" w:hAnsi="Arial" w:cs="Arial"/>
                <w:b/>
                <w:bCs/>
                <w:color w:val="auto"/>
                <w:sz w:val="24"/>
                <w:szCs w:val="24"/>
              </w:rPr>
              <w:t>PSRT WP</w:t>
            </w:r>
          </w:p>
        </w:tc>
      </w:tr>
      <w:tr w:rsidR="00237760" w:rsidRPr="00237760" w14:paraId="5314570E" w14:textId="77777777" w:rsidTr="0040093A">
        <w:trPr>
          <w:trHeight w:val="151"/>
        </w:trPr>
        <w:tc>
          <w:tcPr>
            <w:tcW w:w="2982" w:type="dxa"/>
            <w:tcBorders>
              <w:top w:val="single" w:sz="4" w:space="0" w:color="BDD6EE" w:themeColor="accent1" w:themeTint="66"/>
              <w:left w:val="nil"/>
              <w:bottom w:val="single" w:sz="4" w:space="0" w:color="BDD6EE" w:themeColor="accent1" w:themeTint="66"/>
              <w:right w:val="nil"/>
            </w:tcBorders>
            <w:shd w:val="clear" w:color="auto" w:fill="auto"/>
          </w:tcPr>
          <w:p w14:paraId="73387510" w14:textId="77777777" w:rsidR="000B7C22" w:rsidRPr="00237760" w:rsidRDefault="000B7C22"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Realizacja celów strategii rozwoju, o których mowa w art. 9 strategie rozwoju pkt 3–6 (strategia rozwoju województwa, inne strategie rozwoju) oraz programy wieloletnie, o których mowa w przepisach o finansach publicznych) (art. 15 ust. 4 pkt 2)</w:t>
            </w:r>
            <w:r w:rsidRPr="00237760">
              <w:rPr>
                <w:rStyle w:val="Odwoanieprzypisudolnego"/>
                <w:rFonts w:ascii="Arial" w:hAnsi="Arial" w:cs="Arial"/>
                <w:color w:val="auto"/>
                <w:sz w:val="24"/>
                <w:szCs w:val="24"/>
              </w:rPr>
              <w:footnoteReference w:id="30"/>
            </w:r>
          </w:p>
        </w:tc>
        <w:tc>
          <w:tcPr>
            <w:tcW w:w="6095"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189D188C" w14:textId="77777777" w:rsidR="00743228" w:rsidRPr="00237760" w:rsidRDefault="000B7C22" w:rsidP="009367B4">
            <w:pPr>
              <w:pStyle w:val="Akapitzlist"/>
              <w:numPr>
                <w:ilvl w:val="0"/>
                <w:numId w:val="7"/>
              </w:numPr>
              <w:spacing w:after="0"/>
              <w:ind w:left="177" w:hanging="238"/>
              <w:jc w:val="left"/>
              <w:rPr>
                <w:rFonts w:ascii="Arial" w:hAnsi="Arial" w:cs="Arial"/>
                <w:color w:val="auto"/>
                <w:sz w:val="24"/>
                <w:szCs w:val="24"/>
              </w:rPr>
            </w:pPr>
            <w:r w:rsidRPr="00237760">
              <w:rPr>
                <w:rFonts w:ascii="Arial" w:hAnsi="Arial" w:cs="Arial"/>
                <w:color w:val="auto"/>
                <w:sz w:val="24"/>
                <w:szCs w:val="24"/>
              </w:rPr>
              <w:t>Zgodnie z zapisami PSRT WP „na poziomie regionalnym Program jest zasadniczym narzędziem realizacji Strategii Rozwoju Województwa – Podkarpackie 2030 uchwalonej przez Sejmik Województwa Podkarpackiego w dniu 28 września 2020 r. (Uchwała Nr XXVII/458/20)</w:t>
            </w:r>
            <w:r w:rsidR="002D212C" w:rsidRPr="00237760">
              <w:rPr>
                <w:rFonts w:ascii="Arial" w:hAnsi="Arial" w:cs="Arial"/>
                <w:color w:val="auto"/>
                <w:sz w:val="24"/>
                <w:szCs w:val="24"/>
              </w:rPr>
              <w:t>”</w:t>
            </w:r>
            <w:r w:rsidRPr="00237760">
              <w:rPr>
                <w:rFonts w:ascii="Arial" w:hAnsi="Arial" w:cs="Arial"/>
                <w:color w:val="auto"/>
                <w:sz w:val="24"/>
                <w:szCs w:val="24"/>
              </w:rPr>
              <w:t>;</w:t>
            </w:r>
          </w:p>
          <w:p w14:paraId="4BEE8A2C" w14:textId="77777777" w:rsidR="00743228" w:rsidRPr="00237760" w:rsidRDefault="000B7C22" w:rsidP="009367B4">
            <w:pPr>
              <w:pStyle w:val="Akapitzlist"/>
              <w:numPr>
                <w:ilvl w:val="0"/>
                <w:numId w:val="7"/>
              </w:numPr>
              <w:spacing w:after="0"/>
              <w:ind w:left="177" w:hanging="238"/>
              <w:jc w:val="left"/>
              <w:rPr>
                <w:rFonts w:ascii="Arial" w:hAnsi="Arial" w:cs="Arial"/>
                <w:color w:val="auto"/>
                <w:sz w:val="24"/>
                <w:szCs w:val="24"/>
              </w:rPr>
            </w:pPr>
            <w:r w:rsidRPr="00237760">
              <w:rPr>
                <w:rFonts w:ascii="Arial" w:hAnsi="Arial" w:cs="Arial"/>
                <w:color w:val="auto"/>
                <w:sz w:val="24"/>
                <w:szCs w:val="24"/>
              </w:rPr>
              <w:t>Podstawą dla wyznaczenia celów dokumentu były założenia SRW, świadczy o tym cytat z rodz. III</w:t>
            </w:r>
            <w:r w:rsidR="001E6839" w:rsidRPr="00237760">
              <w:rPr>
                <w:rFonts w:ascii="Arial" w:hAnsi="Arial" w:cs="Arial"/>
                <w:color w:val="auto"/>
                <w:sz w:val="24"/>
                <w:szCs w:val="24"/>
              </w:rPr>
              <w:t>.</w:t>
            </w:r>
            <w:r w:rsidRPr="00237760">
              <w:rPr>
                <w:rFonts w:ascii="Arial" w:hAnsi="Arial" w:cs="Arial"/>
                <w:color w:val="auto"/>
                <w:sz w:val="24"/>
                <w:szCs w:val="24"/>
              </w:rPr>
              <w:t xml:space="preserve"> 1. („Biorąc pod uwagę zapisy Strategii Rozwoju Województwa - Podkarpackie 2030, jak również wyniki przeprowadzonych analiz eksperckich oraz problemy wynikające z diagnozy (…) wskazano następujące cele podstawowe i horyzontalne”;</w:t>
            </w:r>
          </w:p>
          <w:p w14:paraId="442B7AD7" w14:textId="77636A24" w:rsidR="000B7C22" w:rsidRPr="00237760" w:rsidRDefault="000B7C22" w:rsidP="009367B4">
            <w:pPr>
              <w:pStyle w:val="Akapitzlist"/>
              <w:numPr>
                <w:ilvl w:val="0"/>
                <w:numId w:val="7"/>
              </w:numPr>
              <w:spacing w:after="0"/>
              <w:ind w:left="177" w:hanging="238"/>
              <w:jc w:val="left"/>
              <w:rPr>
                <w:rFonts w:ascii="Arial" w:hAnsi="Arial" w:cs="Arial"/>
                <w:color w:val="auto"/>
                <w:sz w:val="24"/>
                <w:szCs w:val="24"/>
              </w:rPr>
            </w:pPr>
            <w:r w:rsidRPr="00237760">
              <w:rPr>
                <w:rFonts w:ascii="Arial" w:hAnsi="Arial" w:cs="Arial"/>
                <w:bCs/>
                <w:color w:val="auto"/>
                <w:sz w:val="24"/>
                <w:szCs w:val="24"/>
              </w:rPr>
              <w:t xml:space="preserve">Niniejsza ewaluacja wykazała spójność celów PSRT WP z celami SRWP i z innymi dokumentami strategicznymi oraz programami wyższego rzędu (patrz rozdz. </w:t>
            </w:r>
            <w:r w:rsidR="00BC3A33" w:rsidRPr="00237760">
              <w:rPr>
                <w:rFonts w:ascii="Arial" w:hAnsi="Arial" w:cs="Arial"/>
                <w:bCs/>
                <w:color w:val="auto"/>
                <w:sz w:val="24"/>
                <w:szCs w:val="24"/>
              </w:rPr>
              <w:fldChar w:fldCharType="begin"/>
            </w:r>
            <w:r w:rsidR="00BC3A33" w:rsidRPr="00237760">
              <w:rPr>
                <w:rFonts w:ascii="Arial" w:hAnsi="Arial" w:cs="Arial"/>
                <w:bCs/>
                <w:color w:val="auto"/>
                <w:sz w:val="24"/>
                <w:szCs w:val="24"/>
              </w:rPr>
              <w:instrText xml:space="preserve"> REF _Ref100829766 \r \h </w:instrText>
            </w:r>
            <w:r w:rsidR="0040093A" w:rsidRPr="00237760">
              <w:rPr>
                <w:rFonts w:ascii="Arial" w:hAnsi="Arial" w:cs="Arial"/>
                <w:bCs/>
                <w:color w:val="auto"/>
                <w:sz w:val="24"/>
                <w:szCs w:val="24"/>
              </w:rPr>
              <w:instrText xml:space="preserve"> \* MERGEFORMAT </w:instrText>
            </w:r>
            <w:r w:rsidR="00BC3A33" w:rsidRPr="00237760">
              <w:rPr>
                <w:rFonts w:ascii="Arial" w:hAnsi="Arial" w:cs="Arial"/>
                <w:bCs/>
                <w:color w:val="auto"/>
                <w:sz w:val="24"/>
                <w:szCs w:val="24"/>
              </w:rPr>
            </w:r>
            <w:r w:rsidR="00BC3A33" w:rsidRPr="00237760">
              <w:rPr>
                <w:rFonts w:ascii="Arial" w:hAnsi="Arial" w:cs="Arial"/>
                <w:bCs/>
                <w:color w:val="auto"/>
                <w:sz w:val="24"/>
                <w:szCs w:val="24"/>
              </w:rPr>
              <w:fldChar w:fldCharType="separate"/>
            </w:r>
            <w:r w:rsidR="00E52C19" w:rsidRPr="00237760">
              <w:rPr>
                <w:rFonts w:ascii="Arial" w:hAnsi="Arial" w:cs="Arial"/>
                <w:bCs/>
                <w:color w:val="auto"/>
                <w:sz w:val="24"/>
                <w:szCs w:val="24"/>
              </w:rPr>
              <w:t>5.3</w:t>
            </w:r>
            <w:r w:rsidR="00BC3A33" w:rsidRPr="00237760">
              <w:rPr>
                <w:rFonts w:ascii="Arial" w:hAnsi="Arial" w:cs="Arial"/>
                <w:bCs/>
                <w:color w:val="auto"/>
                <w:sz w:val="24"/>
                <w:szCs w:val="24"/>
              </w:rPr>
              <w:fldChar w:fldCharType="end"/>
            </w:r>
            <w:r w:rsidR="00BC3A33" w:rsidRPr="00237760">
              <w:rPr>
                <w:rFonts w:ascii="Arial" w:hAnsi="Arial" w:cs="Arial"/>
                <w:bCs/>
                <w:color w:val="auto"/>
                <w:sz w:val="24"/>
                <w:szCs w:val="24"/>
              </w:rPr>
              <w:t xml:space="preserve"> i </w:t>
            </w:r>
            <w:r w:rsidR="00DC0E39" w:rsidRPr="00237760">
              <w:rPr>
                <w:rFonts w:ascii="Arial" w:hAnsi="Arial" w:cs="Arial"/>
                <w:bCs/>
                <w:color w:val="auto"/>
                <w:sz w:val="24"/>
                <w:szCs w:val="24"/>
              </w:rPr>
              <w:fldChar w:fldCharType="begin"/>
            </w:r>
            <w:r w:rsidR="00DC0E39" w:rsidRPr="00237760">
              <w:rPr>
                <w:rFonts w:ascii="Arial" w:hAnsi="Arial" w:cs="Arial"/>
                <w:bCs/>
                <w:color w:val="auto"/>
                <w:sz w:val="24"/>
                <w:szCs w:val="24"/>
              </w:rPr>
              <w:instrText xml:space="preserve"> REF _Ref100829779 \r \h </w:instrText>
            </w:r>
            <w:r w:rsidR="0040093A" w:rsidRPr="00237760">
              <w:rPr>
                <w:rFonts w:ascii="Arial" w:hAnsi="Arial" w:cs="Arial"/>
                <w:bCs/>
                <w:color w:val="auto"/>
                <w:sz w:val="24"/>
                <w:szCs w:val="24"/>
              </w:rPr>
              <w:instrText xml:space="preserve"> \* MERGEFORMAT </w:instrText>
            </w:r>
            <w:r w:rsidR="00DC0E39" w:rsidRPr="00237760">
              <w:rPr>
                <w:rFonts w:ascii="Arial" w:hAnsi="Arial" w:cs="Arial"/>
                <w:bCs/>
                <w:color w:val="auto"/>
                <w:sz w:val="24"/>
                <w:szCs w:val="24"/>
              </w:rPr>
            </w:r>
            <w:r w:rsidR="00DC0E39" w:rsidRPr="00237760">
              <w:rPr>
                <w:rFonts w:ascii="Arial" w:hAnsi="Arial" w:cs="Arial"/>
                <w:bCs/>
                <w:color w:val="auto"/>
                <w:sz w:val="24"/>
                <w:szCs w:val="24"/>
              </w:rPr>
              <w:fldChar w:fldCharType="separate"/>
            </w:r>
            <w:r w:rsidR="00E52C19" w:rsidRPr="00237760">
              <w:rPr>
                <w:rFonts w:ascii="Arial" w:hAnsi="Arial" w:cs="Arial"/>
                <w:bCs/>
                <w:color w:val="auto"/>
                <w:sz w:val="24"/>
                <w:szCs w:val="24"/>
              </w:rPr>
              <w:t>5.2</w:t>
            </w:r>
            <w:r w:rsidR="00DC0E39" w:rsidRPr="00237760">
              <w:rPr>
                <w:rFonts w:ascii="Arial" w:hAnsi="Arial" w:cs="Arial"/>
                <w:bCs/>
                <w:color w:val="auto"/>
                <w:sz w:val="24"/>
                <w:szCs w:val="24"/>
              </w:rPr>
              <w:fldChar w:fldCharType="end"/>
            </w:r>
            <w:r w:rsidR="00DC0E39" w:rsidRPr="00237760">
              <w:rPr>
                <w:rFonts w:ascii="Arial" w:hAnsi="Arial" w:cs="Arial"/>
                <w:bCs/>
                <w:color w:val="auto"/>
                <w:sz w:val="24"/>
                <w:szCs w:val="24"/>
              </w:rPr>
              <w:t xml:space="preserve"> </w:t>
            </w:r>
            <w:r w:rsidR="00ED7DF2" w:rsidRPr="00237760">
              <w:rPr>
                <w:rFonts w:ascii="Arial" w:hAnsi="Arial" w:cs="Arial"/>
                <w:bCs/>
                <w:color w:val="auto"/>
                <w:sz w:val="24"/>
                <w:szCs w:val="24"/>
              </w:rPr>
              <w:t>tego dokumentu</w:t>
            </w:r>
            <w:r w:rsidRPr="00237760">
              <w:rPr>
                <w:rFonts w:ascii="Arial" w:hAnsi="Arial" w:cs="Arial"/>
                <w:bCs/>
                <w:color w:val="auto"/>
                <w:sz w:val="24"/>
                <w:szCs w:val="24"/>
              </w:rPr>
              <w:t>).</w:t>
            </w:r>
          </w:p>
        </w:tc>
      </w:tr>
      <w:tr w:rsidR="00237760" w:rsidRPr="00237760" w14:paraId="64D85C73" w14:textId="77777777" w:rsidTr="00BD7D92">
        <w:trPr>
          <w:trHeight w:val="151"/>
        </w:trPr>
        <w:tc>
          <w:tcPr>
            <w:tcW w:w="2982"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4E5CA2D4" w14:textId="77777777" w:rsidR="000B7C22" w:rsidRPr="00237760" w:rsidRDefault="000B7C22"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Nieprzekraczanie okresu obowiązywania strategii rozwoju, którą realizuje program (art. 16)</w:t>
            </w:r>
          </w:p>
        </w:tc>
        <w:tc>
          <w:tcPr>
            <w:tcW w:w="6095"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52DF8AB0" w14:textId="77777777" w:rsidR="000B7C22" w:rsidRPr="00237760" w:rsidRDefault="000B7C22" w:rsidP="009367B4">
            <w:pPr>
              <w:pStyle w:val="Akapitzlist"/>
              <w:numPr>
                <w:ilvl w:val="0"/>
                <w:numId w:val="7"/>
              </w:numPr>
              <w:spacing w:after="0"/>
              <w:ind w:left="177" w:hanging="238"/>
              <w:jc w:val="left"/>
              <w:rPr>
                <w:rFonts w:ascii="Arial" w:hAnsi="Arial" w:cs="Arial"/>
                <w:color w:val="auto"/>
                <w:sz w:val="24"/>
                <w:szCs w:val="24"/>
              </w:rPr>
            </w:pPr>
            <w:r w:rsidRPr="00237760">
              <w:rPr>
                <w:rFonts w:ascii="Arial" w:eastAsia="MS Gothic" w:hAnsi="Arial" w:cs="Arial"/>
                <w:color w:val="auto"/>
                <w:sz w:val="24"/>
                <w:szCs w:val="24"/>
              </w:rPr>
              <w:t>Horyzont czasowy PSRT WP wyznaczono do 2030 (jest tożsamy z horyzontem SRWP).</w:t>
            </w:r>
          </w:p>
        </w:tc>
      </w:tr>
      <w:tr w:rsidR="00237760" w:rsidRPr="00237760" w14:paraId="41EBDF8F" w14:textId="77777777" w:rsidTr="00BD7D92">
        <w:trPr>
          <w:trHeight w:val="151"/>
        </w:trPr>
        <w:tc>
          <w:tcPr>
            <w:tcW w:w="2982"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5B5F91CD" w14:textId="77777777" w:rsidR="000B7C22" w:rsidRPr="00237760" w:rsidRDefault="000B7C22"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Przedstawienie wniosków z diagnozy sytuacji społecznej, gospodarczej i przestrzennej, z uwzględnieniem obszarów funkcjonalnych, w tym miejskich obszarów funkcjonalnych (art. 17 ust. 1 pkt 1)</w:t>
            </w:r>
          </w:p>
        </w:tc>
        <w:tc>
          <w:tcPr>
            <w:tcW w:w="6095"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3FBB9133" w14:textId="49D364E6" w:rsidR="005C763E" w:rsidRPr="00237760" w:rsidRDefault="000B7C22" w:rsidP="009367B4">
            <w:pPr>
              <w:pStyle w:val="Akapitzlist"/>
              <w:numPr>
                <w:ilvl w:val="0"/>
                <w:numId w:val="7"/>
              </w:numPr>
              <w:spacing w:after="0"/>
              <w:ind w:left="177" w:hanging="238"/>
              <w:jc w:val="left"/>
              <w:rPr>
                <w:rFonts w:ascii="Arial" w:eastAsia="MS Gothic" w:hAnsi="Arial" w:cs="Arial"/>
                <w:color w:val="auto"/>
                <w:sz w:val="24"/>
                <w:szCs w:val="24"/>
              </w:rPr>
            </w:pPr>
            <w:r w:rsidRPr="00237760">
              <w:rPr>
                <w:rFonts w:ascii="Arial" w:eastAsia="MS Gothic" w:hAnsi="Arial" w:cs="Arial"/>
                <w:color w:val="auto"/>
                <w:sz w:val="24"/>
                <w:szCs w:val="24"/>
              </w:rPr>
              <w:t xml:space="preserve">Rozdz. I. Diagnoza stanu systemu transportowego w województwie podkarpackim przedstawia wnioski z przygotowanego na potrzeby PSRT dokumentu „Diagnoza stanu istniejącego transportu w województwie podkarpackim” w uzupełnieniu o ekspertyzy: „Rozwój transportu w województwie podkarpackim w perspektywie do 2030”, „Stan obecny i prognozowane zmiany sytuacji transportowej województwa podkarpackiego w świetle krajowych modeli ruchu”, „Analiza infrastruktury oraz potencjału </w:t>
            </w:r>
            <w:r w:rsidRPr="00237760">
              <w:rPr>
                <w:rFonts w:ascii="Arial" w:eastAsia="MS Gothic" w:hAnsi="Arial" w:cs="Arial"/>
                <w:color w:val="auto"/>
                <w:sz w:val="24"/>
                <w:szCs w:val="24"/>
              </w:rPr>
              <w:lastRenderedPageBreak/>
              <w:t>portu lotniczego Rzeszów – Jasionka w perspektywie do 2030 r.”</w:t>
            </w:r>
            <w:r w:rsidR="00354CCC" w:rsidRPr="00237760">
              <w:rPr>
                <w:rFonts w:ascii="Arial" w:eastAsia="MS Gothic" w:hAnsi="Arial" w:cs="Arial"/>
                <w:color w:val="auto"/>
                <w:sz w:val="24"/>
                <w:szCs w:val="24"/>
              </w:rPr>
              <w:t>;</w:t>
            </w:r>
          </w:p>
          <w:p w14:paraId="6CCE504F" w14:textId="4B63F99C" w:rsidR="000B7C22" w:rsidRPr="00237760" w:rsidRDefault="005C763E" w:rsidP="009367B4">
            <w:pPr>
              <w:pStyle w:val="Akapitzlist"/>
              <w:numPr>
                <w:ilvl w:val="0"/>
                <w:numId w:val="7"/>
              </w:numPr>
              <w:spacing w:after="0"/>
              <w:ind w:left="177" w:hanging="238"/>
              <w:jc w:val="left"/>
              <w:rPr>
                <w:rFonts w:ascii="Arial" w:eastAsia="MS Gothic" w:hAnsi="Arial" w:cs="Arial"/>
                <w:color w:val="auto"/>
                <w:sz w:val="24"/>
                <w:szCs w:val="24"/>
              </w:rPr>
            </w:pPr>
            <w:r w:rsidRPr="00237760">
              <w:rPr>
                <w:rFonts w:ascii="Arial" w:eastAsia="MS Gothic" w:hAnsi="Arial" w:cs="Arial"/>
                <w:color w:val="auto"/>
                <w:sz w:val="24"/>
                <w:szCs w:val="24"/>
              </w:rPr>
              <w:t>P</w:t>
            </w:r>
            <w:r w:rsidR="000B7C22" w:rsidRPr="00237760">
              <w:rPr>
                <w:rFonts w:ascii="Arial" w:eastAsia="MS Gothic" w:hAnsi="Arial" w:cs="Arial"/>
                <w:color w:val="auto"/>
                <w:sz w:val="24"/>
                <w:szCs w:val="24"/>
              </w:rPr>
              <w:t xml:space="preserve">rzedstawione wnioski mają charakter kompleksowy i przedstawiają uwarunkowania rozwoju transportu w ujęciu społecznym, gospodarczym, </w:t>
            </w:r>
            <w:r w:rsidR="00ED37C8" w:rsidRPr="00237760">
              <w:rPr>
                <w:rFonts w:ascii="Arial" w:eastAsia="MS Gothic" w:hAnsi="Arial" w:cs="Arial"/>
                <w:color w:val="auto"/>
                <w:sz w:val="24"/>
                <w:szCs w:val="24"/>
              </w:rPr>
              <w:t xml:space="preserve">przyrodniczym, </w:t>
            </w:r>
            <w:r w:rsidR="000B7C22" w:rsidRPr="00237760">
              <w:rPr>
                <w:rFonts w:ascii="Arial" w:eastAsia="MS Gothic" w:hAnsi="Arial" w:cs="Arial"/>
                <w:color w:val="auto"/>
                <w:sz w:val="24"/>
                <w:szCs w:val="24"/>
              </w:rPr>
              <w:t>technicznym</w:t>
            </w:r>
            <w:r w:rsidR="002A4047" w:rsidRPr="00237760">
              <w:rPr>
                <w:rFonts w:ascii="Arial" w:eastAsia="MS Gothic" w:hAnsi="Arial" w:cs="Arial"/>
                <w:color w:val="auto"/>
                <w:sz w:val="24"/>
                <w:szCs w:val="24"/>
              </w:rPr>
              <w:t>, organizacyjnym</w:t>
            </w:r>
            <w:r w:rsidR="000B7C22" w:rsidRPr="00237760">
              <w:rPr>
                <w:rFonts w:ascii="Arial" w:eastAsia="MS Gothic" w:hAnsi="Arial" w:cs="Arial"/>
                <w:color w:val="auto"/>
                <w:sz w:val="24"/>
                <w:szCs w:val="24"/>
              </w:rPr>
              <w:t xml:space="preserve"> i przestrzennym (</w:t>
            </w:r>
            <w:r w:rsidR="000B7C22" w:rsidRPr="00237760">
              <w:rPr>
                <w:rFonts w:ascii="Arial" w:eastAsia="MS Gothic" w:hAnsi="Arial" w:cs="Arial"/>
                <w:color w:val="auto"/>
                <w:sz w:val="24"/>
                <w:szCs w:val="24"/>
                <w:u w:val="single"/>
              </w:rPr>
              <w:t xml:space="preserve">wraz z uwzględnieniem charakterystyk miejskich obszarów funkcjonalnych – rozdz. </w:t>
            </w:r>
            <w:r w:rsidR="00986707" w:rsidRPr="00237760">
              <w:rPr>
                <w:rFonts w:ascii="Arial" w:eastAsia="MS Gothic" w:hAnsi="Arial" w:cs="Arial"/>
                <w:color w:val="auto"/>
                <w:sz w:val="24"/>
                <w:szCs w:val="24"/>
                <w:u w:val="single"/>
              </w:rPr>
              <w:t xml:space="preserve">I. </w:t>
            </w:r>
            <w:r w:rsidR="000B7C22" w:rsidRPr="00237760">
              <w:rPr>
                <w:rFonts w:ascii="Arial" w:eastAsia="MS Gothic" w:hAnsi="Arial" w:cs="Arial"/>
                <w:color w:val="auto"/>
                <w:sz w:val="24"/>
                <w:szCs w:val="24"/>
                <w:u w:val="single"/>
              </w:rPr>
              <w:t xml:space="preserve">1.4.1.1. – </w:t>
            </w:r>
            <w:r w:rsidR="002E482B" w:rsidRPr="00237760">
              <w:rPr>
                <w:rFonts w:ascii="Arial" w:eastAsia="MS Gothic" w:hAnsi="Arial" w:cs="Arial"/>
                <w:color w:val="auto"/>
                <w:sz w:val="24"/>
                <w:szCs w:val="24"/>
                <w:u w:val="single"/>
              </w:rPr>
              <w:t>I.</w:t>
            </w:r>
            <w:r w:rsidR="000B7C22" w:rsidRPr="00237760">
              <w:rPr>
                <w:rFonts w:ascii="Arial" w:eastAsia="MS Gothic" w:hAnsi="Arial" w:cs="Arial"/>
                <w:color w:val="auto"/>
                <w:sz w:val="24"/>
                <w:szCs w:val="24"/>
                <w:u w:val="single"/>
              </w:rPr>
              <w:t xml:space="preserve"> 1.4.2.11 PSRT).</w:t>
            </w:r>
          </w:p>
        </w:tc>
      </w:tr>
      <w:tr w:rsidR="00237760" w:rsidRPr="00237760" w14:paraId="4DECA054" w14:textId="77777777" w:rsidTr="00BD7D92">
        <w:trPr>
          <w:trHeight w:val="151"/>
        </w:trPr>
        <w:tc>
          <w:tcPr>
            <w:tcW w:w="2982"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10EC4A58" w14:textId="77777777" w:rsidR="000B7C22" w:rsidRPr="00237760" w:rsidRDefault="000B7C22"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lastRenderedPageBreak/>
              <w:t>Cel główny i cele szczegółowe nawiązujące do SOR-u lub do strategii rozwoju, o których mowa w art. 9 strategie rozwoju pkt 3–6 (strategia rozwoju województwa, inne strategie rozwoju) (art. 17 ust. 1 pkt 3)</w:t>
            </w:r>
          </w:p>
        </w:tc>
        <w:tc>
          <w:tcPr>
            <w:tcW w:w="6095"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6EEB95A4" w14:textId="646AC305" w:rsidR="000B7C22" w:rsidRPr="00237760" w:rsidRDefault="00CD54F0" w:rsidP="009367B4">
            <w:pPr>
              <w:pStyle w:val="Akapitzlist"/>
              <w:numPr>
                <w:ilvl w:val="0"/>
                <w:numId w:val="7"/>
              </w:numPr>
              <w:spacing w:after="0"/>
              <w:ind w:left="177" w:hanging="238"/>
              <w:jc w:val="left"/>
              <w:rPr>
                <w:rFonts w:ascii="Arial" w:eastAsia="MS Gothic" w:hAnsi="Arial" w:cs="Arial"/>
                <w:color w:val="auto"/>
                <w:sz w:val="24"/>
                <w:szCs w:val="24"/>
              </w:rPr>
            </w:pPr>
            <w:r w:rsidRPr="00237760">
              <w:rPr>
                <w:rFonts w:ascii="Arial" w:eastAsia="MS Gothic" w:hAnsi="Arial" w:cs="Arial"/>
                <w:color w:val="auto"/>
                <w:sz w:val="24"/>
                <w:szCs w:val="24"/>
              </w:rPr>
              <w:t xml:space="preserve">PSRT </w:t>
            </w:r>
            <w:r w:rsidR="000B7C22" w:rsidRPr="00237760">
              <w:rPr>
                <w:rFonts w:ascii="Arial" w:eastAsia="MS Gothic" w:hAnsi="Arial" w:cs="Arial"/>
                <w:color w:val="auto"/>
                <w:sz w:val="24"/>
                <w:szCs w:val="24"/>
              </w:rPr>
              <w:t xml:space="preserve">WP realizuje zapisy Strategii rozwoju województwa – Podkarpackie 2030, analiza wykazała spójność celów PSRT WP z celami SRWP (zob. rozdz. </w:t>
            </w:r>
            <w:r w:rsidR="004358A7" w:rsidRPr="00237760">
              <w:rPr>
                <w:rFonts w:ascii="Arial" w:eastAsia="MS Gothic" w:hAnsi="Arial" w:cs="Arial"/>
                <w:color w:val="auto"/>
                <w:sz w:val="24"/>
                <w:szCs w:val="24"/>
              </w:rPr>
              <w:fldChar w:fldCharType="begin"/>
            </w:r>
            <w:r w:rsidR="004358A7" w:rsidRPr="00237760">
              <w:rPr>
                <w:rFonts w:ascii="Arial" w:eastAsia="MS Gothic" w:hAnsi="Arial" w:cs="Arial"/>
                <w:color w:val="auto"/>
                <w:sz w:val="24"/>
                <w:szCs w:val="24"/>
              </w:rPr>
              <w:instrText xml:space="preserve"> REF _Ref100844864 \r \h </w:instrText>
            </w:r>
            <w:r w:rsidR="0040093A" w:rsidRPr="00237760">
              <w:rPr>
                <w:rFonts w:ascii="Arial" w:eastAsia="MS Gothic" w:hAnsi="Arial" w:cs="Arial"/>
                <w:color w:val="auto"/>
                <w:sz w:val="24"/>
                <w:szCs w:val="24"/>
              </w:rPr>
              <w:instrText xml:space="preserve"> \* MERGEFORMAT </w:instrText>
            </w:r>
            <w:r w:rsidR="004358A7" w:rsidRPr="00237760">
              <w:rPr>
                <w:rFonts w:ascii="Arial" w:eastAsia="MS Gothic" w:hAnsi="Arial" w:cs="Arial"/>
                <w:color w:val="auto"/>
                <w:sz w:val="24"/>
                <w:szCs w:val="24"/>
              </w:rPr>
            </w:r>
            <w:r w:rsidR="004358A7" w:rsidRPr="00237760">
              <w:rPr>
                <w:rFonts w:ascii="Arial" w:eastAsia="MS Gothic" w:hAnsi="Arial" w:cs="Arial"/>
                <w:color w:val="auto"/>
                <w:sz w:val="24"/>
                <w:szCs w:val="24"/>
              </w:rPr>
              <w:fldChar w:fldCharType="separate"/>
            </w:r>
            <w:r w:rsidR="00E52C19" w:rsidRPr="00237760">
              <w:rPr>
                <w:rFonts w:ascii="Arial" w:eastAsia="MS Gothic" w:hAnsi="Arial" w:cs="Arial"/>
                <w:color w:val="auto"/>
                <w:sz w:val="24"/>
                <w:szCs w:val="24"/>
              </w:rPr>
              <w:t>5.3</w:t>
            </w:r>
            <w:r w:rsidR="004358A7" w:rsidRPr="00237760">
              <w:rPr>
                <w:rFonts w:ascii="Arial" w:eastAsia="MS Gothic" w:hAnsi="Arial" w:cs="Arial"/>
                <w:color w:val="auto"/>
                <w:sz w:val="24"/>
                <w:szCs w:val="24"/>
              </w:rPr>
              <w:fldChar w:fldCharType="end"/>
            </w:r>
            <w:r w:rsidR="0082490E" w:rsidRPr="00237760">
              <w:rPr>
                <w:rFonts w:ascii="Arial" w:eastAsia="MS Gothic" w:hAnsi="Arial" w:cs="Arial"/>
                <w:color w:val="auto"/>
                <w:sz w:val="24"/>
                <w:szCs w:val="24"/>
              </w:rPr>
              <w:t xml:space="preserve"> ewaluacji</w:t>
            </w:r>
            <w:r w:rsidR="000B7C22" w:rsidRPr="00237760">
              <w:rPr>
                <w:rFonts w:ascii="Arial" w:eastAsia="MS Gothic" w:hAnsi="Arial" w:cs="Arial"/>
                <w:color w:val="auto"/>
                <w:sz w:val="24"/>
                <w:szCs w:val="24"/>
              </w:rPr>
              <w:t>)</w:t>
            </w:r>
          </w:p>
          <w:p w14:paraId="3BA1EC22" w14:textId="1ADE2666" w:rsidR="007D4E17" w:rsidRPr="00237760" w:rsidRDefault="007D4E17" w:rsidP="009367B4">
            <w:pPr>
              <w:pStyle w:val="Akapitzlist"/>
              <w:numPr>
                <w:ilvl w:val="0"/>
                <w:numId w:val="7"/>
              </w:numPr>
              <w:spacing w:after="0"/>
              <w:ind w:left="177" w:hanging="238"/>
              <w:jc w:val="left"/>
              <w:rPr>
                <w:rFonts w:ascii="Arial" w:eastAsia="MS Gothic" w:hAnsi="Arial" w:cs="Arial"/>
                <w:color w:val="auto"/>
                <w:sz w:val="24"/>
                <w:szCs w:val="24"/>
              </w:rPr>
            </w:pPr>
            <w:r w:rsidRPr="00237760">
              <w:rPr>
                <w:rFonts w:ascii="Arial" w:eastAsia="MS Gothic" w:hAnsi="Arial" w:cs="Arial"/>
                <w:color w:val="auto"/>
                <w:sz w:val="24"/>
                <w:szCs w:val="24"/>
              </w:rPr>
              <w:t xml:space="preserve">W bazie celów </w:t>
            </w:r>
            <w:r w:rsidRPr="00237760">
              <w:rPr>
                <w:rFonts w:ascii="Arial" w:eastAsia="MS Gothic" w:hAnsi="Arial" w:cs="Arial"/>
                <w:b/>
                <w:bCs/>
                <w:color w:val="auto"/>
                <w:sz w:val="24"/>
                <w:szCs w:val="24"/>
                <w:u w:val="single"/>
              </w:rPr>
              <w:t xml:space="preserve">brakuje jednak </w:t>
            </w:r>
            <w:r w:rsidRPr="00237760">
              <w:rPr>
                <w:rFonts w:ascii="Arial" w:eastAsia="MS Gothic" w:hAnsi="Arial" w:cs="Arial"/>
                <w:color w:val="auto"/>
                <w:sz w:val="24"/>
                <w:szCs w:val="24"/>
              </w:rPr>
              <w:t>hierarchicznie nadrzędnego celu głównego.</w:t>
            </w:r>
          </w:p>
        </w:tc>
      </w:tr>
      <w:tr w:rsidR="00237760" w:rsidRPr="00237760" w14:paraId="401FF50C" w14:textId="77777777" w:rsidTr="00BD7D92">
        <w:trPr>
          <w:trHeight w:val="151"/>
        </w:trPr>
        <w:tc>
          <w:tcPr>
            <w:tcW w:w="2982"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09CF9767" w14:textId="77777777" w:rsidR="000B7C22" w:rsidRPr="00237760" w:rsidRDefault="000B7C22"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Wskazanie priorytetów oraz kierunków interwencji (art. 17 ust. 1 pkt 4)</w:t>
            </w:r>
          </w:p>
        </w:tc>
        <w:tc>
          <w:tcPr>
            <w:tcW w:w="6095"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7BEFF892" w14:textId="77777777" w:rsidR="000B7C22" w:rsidRPr="00237760" w:rsidRDefault="000B7C22" w:rsidP="009367B4">
            <w:pPr>
              <w:pStyle w:val="Akapitzlist"/>
              <w:numPr>
                <w:ilvl w:val="0"/>
                <w:numId w:val="7"/>
              </w:numPr>
              <w:spacing w:after="0"/>
              <w:ind w:left="177" w:hanging="238"/>
              <w:jc w:val="left"/>
              <w:rPr>
                <w:rFonts w:ascii="Arial" w:hAnsi="Arial" w:cs="Arial"/>
                <w:color w:val="auto"/>
                <w:sz w:val="24"/>
                <w:szCs w:val="24"/>
              </w:rPr>
            </w:pPr>
            <w:r w:rsidRPr="00237760">
              <w:rPr>
                <w:rFonts w:ascii="Arial" w:eastAsia="MS Gothic" w:hAnsi="Arial" w:cs="Arial"/>
                <w:color w:val="auto"/>
                <w:sz w:val="24"/>
                <w:szCs w:val="24"/>
              </w:rPr>
              <w:t>PSRT WP w rozdz. III. wskazuje 3 cele podstawowe, 4 cele horyzontalne oraz uszczegóławiające je kierunki rozwoju.</w:t>
            </w:r>
          </w:p>
        </w:tc>
      </w:tr>
      <w:tr w:rsidR="00237760" w:rsidRPr="00237760" w14:paraId="7E93EFDA" w14:textId="77777777" w:rsidTr="00BD7D92">
        <w:trPr>
          <w:trHeight w:val="151"/>
        </w:trPr>
        <w:tc>
          <w:tcPr>
            <w:tcW w:w="2982"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25089884" w14:textId="77777777" w:rsidR="000B7C22" w:rsidRPr="00237760" w:rsidRDefault="000B7C22" w:rsidP="009367B4">
            <w:pPr>
              <w:spacing w:after="0" w:line="240" w:lineRule="auto"/>
              <w:jc w:val="left"/>
              <w:rPr>
                <w:rFonts w:ascii="Arial" w:hAnsi="Arial" w:cs="Arial"/>
                <w:color w:val="auto"/>
                <w:sz w:val="24"/>
                <w:szCs w:val="24"/>
              </w:rPr>
            </w:pPr>
            <w:bookmarkStart w:id="148" w:name="_Hlk101345799"/>
            <w:r w:rsidRPr="00237760">
              <w:rPr>
                <w:rFonts w:ascii="Arial" w:hAnsi="Arial" w:cs="Arial"/>
                <w:color w:val="auto"/>
                <w:sz w:val="24"/>
                <w:szCs w:val="24"/>
              </w:rPr>
              <w:t>Wskazanie oczekiwanych rezultatów planowanej interwencji wraz ze wskaźnikami w nawiązaniu do SOR-u lub strategii rozwoju, o których mowa w art. 9 strategie rozwoju pkt 3–6 (art. 17 ust. 1 pkt 5)</w:t>
            </w:r>
          </w:p>
        </w:tc>
        <w:tc>
          <w:tcPr>
            <w:tcW w:w="6095"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1BC56939" w14:textId="47AE7F90" w:rsidR="00743228" w:rsidRPr="00237760" w:rsidRDefault="000B7C22" w:rsidP="009367B4">
            <w:pPr>
              <w:pStyle w:val="Akapitzlist"/>
              <w:numPr>
                <w:ilvl w:val="0"/>
                <w:numId w:val="7"/>
              </w:numPr>
              <w:spacing w:after="0"/>
              <w:ind w:left="177" w:hanging="238"/>
              <w:jc w:val="left"/>
              <w:rPr>
                <w:rFonts w:ascii="Arial" w:hAnsi="Arial" w:cs="Arial"/>
                <w:color w:val="auto"/>
                <w:sz w:val="24"/>
                <w:szCs w:val="24"/>
              </w:rPr>
            </w:pPr>
            <w:r w:rsidRPr="00237760">
              <w:rPr>
                <w:rFonts w:ascii="Arial" w:hAnsi="Arial" w:cs="Arial"/>
                <w:bCs/>
                <w:color w:val="auto"/>
                <w:sz w:val="24"/>
                <w:szCs w:val="24"/>
              </w:rPr>
              <w:t>Cele PSRT WP wynikają bezpośrednio ze zidentyfikowanych problemów bazowych (wynikających z diagnozy) i są sformułowaniem oczekiwanego rezultatu, by możliwym było mierzenie ich realizacji w rozdz. IV. 6. System monitoringu i ewaluacji (oceny realizacji Programu) przedstawiono wskaźniki: oddziaływania (nazwane wskaźnikami monitorowania)</w:t>
            </w:r>
            <w:r w:rsidR="008B557B" w:rsidRPr="00237760">
              <w:rPr>
                <w:rFonts w:ascii="Arial" w:hAnsi="Arial" w:cs="Arial"/>
                <w:bCs/>
                <w:color w:val="auto"/>
                <w:sz w:val="24"/>
                <w:szCs w:val="24"/>
              </w:rPr>
              <w:t xml:space="preserve"> oraz</w:t>
            </w:r>
            <w:r w:rsidRPr="00237760">
              <w:rPr>
                <w:rFonts w:ascii="Arial" w:hAnsi="Arial" w:cs="Arial"/>
                <w:bCs/>
                <w:color w:val="auto"/>
                <w:sz w:val="24"/>
                <w:szCs w:val="24"/>
              </w:rPr>
              <w:t xml:space="preserve"> produktu i rezultatu;</w:t>
            </w:r>
          </w:p>
          <w:p w14:paraId="1D346859" w14:textId="08395D85" w:rsidR="000B7C22" w:rsidRPr="00237760" w:rsidRDefault="000B7C22" w:rsidP="009367B4">
            <w:pPr>
              <w:pStyle w:val="Akapitzlist"/>
              <w:numPr>
                <w:ilvl w:val="0"/>
                <w:numId w:val="7"/>
              </w:numPr>
              <w:spacing w:after="0"/>
              <w:ind w:left="177" w:hanging="238"/>
              <w:jc w:val="left"/>
              <w:rPr>
                <w:rFonts w:ascii="Arial" w:hAnsi="Arial" w:cs="Arial"/>
                <w:color w:val="auto"/>
                <w:sz w:val="24"/>
                <w:szCs w:val="24"/>
              </w:rPr>
            </w:pPr>
            <w:r w:rsidRPr="00237760">
              <w:rPr>
                <w:rFonts w:ascii="Arial" w:hAnsi="Arial" w:cs="Arial"/>
                <w:color w:val="auto"/>
                <w:sz w:val="24"/>
                <w:szCs w:val="24"/>
              </w:rPr>
              <w:t>Autorzy nawiązują do systemów monitoringu innych (nadrzędnych) dokumentów regionalnych (SRWP, RPO WP, FEP) wskazując ich pomocniczy charakter w monitoringu PSRT WP („(…) plan transportowy jest ściśle powiązany z podstawowymi dokumentami programowymi Samorządu Województwa Podkarpackiego (strategia, program regionalny), dlatego jego realizacja będzie wpływać na osiągnięcie wskaźników określonych w tych dokumentach”.).</w:t>
            </w:r>
          </w:p>
        </w:tc>
      </w:tr>
      <w:tr w:rsidR="00237760" w:rsidRPr="00237760" w14:paraId="231F2700" w14:textId="77777777" w:rsidTr="00BD7D92">
        <w:trPr>
          <w:trHeight w:val="151"/>
        </w:trPr>
        <w:tc>
          <w:tcPr>
            <w:tcW w:w="2982"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0C657004" w14:textId="77777777" w:rsidR="000B7C22" w:rsidRPr="00237760" w:rsidRDefault="000B7C22"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lastRenderedPageBreak/>
              <w:t>Określenie systemu realizacji, w tym plan finansowy zawierający w szczególności: źródła finansowania; kwotę środków przeznaczonych na finansowanie realizacji programu i jej podział między poszczególne priorytety, a w przypadku programu rozwoju o wartości powyżej 300 mln zł, także kwotę środków przeznaczonych na przygotowanie raportu ewaluacyjnego podsumowującego efekty realizacji programu; informację o wysokości współfinansowania programu i poszczególnych priorytetów (art. 17 ust. 1 pkt 6)</w:t>
            </w:r>
          </w:p>
        </w:tc>
        <w:tc>
          <w:tcPr>
            <w:tcW w:w="6095"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2A86F9A2" w14:textId="77777777" w:rsidR="000B7C22" w:rsidRPr="00237760" w:rsidRDefault="000B7C22" w:rsidP="009367B4">
            <w:pPr>
              <w:pStyle w:val="Akapitzlist"/>
              <w:numPr>
                <w:ilvl w:val="0"/>
                <w:numId w:val="7"/>
              </w:numPr>
              <w:spacing w:after="0"/>
              <w:ind w:left="177" w:hanging="238"/>
              <w:jc w:val="left"/>
              <w:rPr>
                <w:rFonts w:ascii="Arial" w:eastAsia="MS Gothic" w:hAnsi="Arial" w:cs="Arial"/>
                <w:color w:val="auto"/>
                <w:sz w:val="24"/>
                <w:szCs w:val="24"/>
              </w:rPr>
            </w:pPr>
            <w:r w:rsidRPr="00237760">
              <w:rPr>
                <w:rFonts w:ascii="Arial" w:eastAsia="MS Gothic" w:hAnsi="Arial" w:cs="Arial"/>
                <w:color w:val="auto"/>
                <w:sz w:val="24"/>
                <w:szCs w:val="24"/>
              </w:rPr>
              <w:t>System realizacji wraz z planem finansowym przedstawiono w rozdz. IV. System wdrażania i realizacji;</w:t>
            </w:r>
          </w:p>
          <w:p w14:paraId="17238DD3" w14:textId="77777777" w:rsidR="000B7C22" w:rsidRPr="00237760" w:rsidRDefault="000B7C22" w:rsidP="009367B4">
            <w:pPr>
              <w:pStyle w:val="Akapitzlist"/>
              <w:numPr>
                <w:ilvl w:val="0"/>
                <w:numId w:val="7"/>
              </w:numPr>
              <w:spacing w:after="0"/>
              <w:ind w:left="177" w:hanging="238"/>
              <w:jc w:val="left"/>
              <w:rPr>
                <w:rFonts w:ascii="Arial" w:eastAsia="MS Gothic" w:hAnsi="Arial" w:cs="Arial"/>
                <w:color w:val="auto"/>
                <w:sz w:val="24"/>
                <w:szCs w:val="24"/>
              </w:rPr>
            </w:pPr>
            <w:r w:rsidRPr="00237760">
              <w:rPr>
                <w:rFonts w:ascii="Arial" w:hAnsi="Arial" w:cs="Arial"/>
                <w:color w:val="auto"/>
                <w:sz w:val="24"/>
                <w:szCs w:val="24"/>
                <w:lang w:eastAsia="en-US"/>
              </w:rPr>
              <w:t xml:space="preserve">Zakłada się wykorzystanie różnych źródeł finansowania, a demarkacja wsparcia ma być oparta m.in. o: kategorię infrastruktury i jej charakter (krajowa, ponadregionalna, regionalna), przynależność do sieci TEN-T czy miejsce realizacji; </w:t>
            </w:r>
          </w:p>
          <w:p w14:paraId="4A04A68D" w14:textId="101CEEEF" w:rsidR="000B7C22" w:rsidRPr="00237760" w:rsidRDefault="00912AA3" w:rsidP="009367B4">
            <w:pPr>
              <w:pStyle w:val="Akapitzlist"/>
              <w:numPr>
                <w:ilvl w:val="0"/>
                <w:numId w:val="7"/>
              </w:numPr>
              <w:spacing w:after="0"/>
              <w:ind w:left="177" w:hanging="238"/>
              <w:jc w:val="left"/>
              <w:rPr>
                <w:rFonts w:ascii="Arial" w:eastAsia="MS Gothic" w:hAnsi="Arial" w:cs="Arial"/>
                <w:color w:val="auto"/>
                <w:sz w:val="24"/>
                <w:szCs w:val="24"/>
              </w:rPr>
            </w:pPr>
            <w:r w:rsidRPr="00237760">
              <w:rPr>
                <w:rFonts w:ascii="Arial" w:hAnsi="Arial" w:cs="Arial"/>
                <w:color w:val="auto"/>
                <w:sz w:val="24"/>
                <w:szCs w:val="24"/>
                <w:lang w:eastAsia="en-US"/>
              </w:rPr>
              <w:t>J</w:t>
            </w:r>
            <w:r w:rsidR="000B7C22" w:rsidRPr="00237760">
              <w:rPr>
                <w:rFonts w:ascii="Arial" w:hAnsi="Arial" w:cs="Arial"/>
                <w:color w:val="auto"/>
                <w:sz w:val="24"/>
                <w:szCs w:val="24"/>
                <w:lang w:eastAsia="en-US"/>
              </w:rPr>
              <w:t>ako źródła wskazuje się przede wszystkim środki UE (z perspektyw: 2014-2020 i 2021-2027) uzupełnione o krajowe środki publiczne na inwestycje transportowe drogowe (na poziomie krajowym, wojewódzkim i lokalnym) oraz inne źródła finansowania (m.in. środki prywatne inwestorów, kredyty komercyjne i pożyczki, środki uzyskiwane dzięki wdrażaniu zasad: „zanieczyszczający płaci” oraz „użytkownik płaci”);</w:t>
            </w:r>
          </w:p>
          <w:p w14:paraId="2F765354" w14:textId="77777777" w:rsidR="000B7C22" w:rsidRPr="00237760" w:rsidRDefault="000B7C22" w:rsidP="009367B4">
            <w:pPr>
              <w:pStyle w:val="Akapitzlist"/>
              <w:numPr>
                <w:ilvl w:val="0"/>
                <w:numId w:val="7"/>
              </w:numPr>
              <w:spacing w:after="0"/>
              <w:ind w:left="177" w:hanging="238"/>
              <w:jc w:val="left"/>
              <w:rPr>
                <w:rFonts w:ascii="Arial" w:eastAsia="MS Gothic" w:hAnsi="Arial" w:cs="Arial"/>
                <w:color w:val="auto"/>
                <w:sz w:val="24"/>
                <w:szCs w:val="24"/>
              </w:rPr>
            </w:pPr>
            <w:r w:rsidRPr="00237760">
              <w:rPr>
                <w:rFonts w:ascii="Arial" w:eastAsia="MS Gothic" w:hAnsi="Arial" w:cs="Arial"/>
                <w:color w:val="auto"/>
                <w:sz w:val="24"/>
                <w:szCs w:val="24"/>
              </w:rPr>
              <w:t>Przedstawiono możliwości (współ)finansowania działań (w zakresie poszczególnych celów) ze źródeł zewnętrznych (środków unijnych, krajowych i innych);</w:t>
            </w:r>
          </w:p>
          <w:p w14:paraId="373EB1FA" w14:textId="77777777" w:rsidR="00354CCC" w:rsidRPr="00237760" w:rsidRDefault="000B7C22" w:rsidP="009367B4">
            <w:pPr>
              <w:pStyle w:val="Akapitzlist"/>
              <w:numPr>
                <w:ilvl w:val="0"/>
                <w:numId w:val="7"/>
              </w:numPr>
              <w:spacing w:after="0"/>
              <w:ind w:left="177" w:hanging="238"/>
              <w:jc w:val="left"/>
              <w:rPr>
                <w:rFonts w:ascii="Arial" w:eastAsia="MS Gothic" w:hAnsi="Arial" w:cs="Arial"/>
                <w:color w:val="auto"/>
                <w:sz w:val="24"/>
                <w:szCs w:val="24"/>
              </w:rPr>
            </w:pPr>
            <w:r w:rsidRPr="00237760">
              <w:rPr>
                <w:rFonts w:ascii="Arial" w:eastAsia="MS Gothic" w:hAnsi="Arial" w:cs="Arial"/>
                <w:color w:val="auto"/>
                <w:sz w:val="24"/>
                <w:szCs w:val="24"/>
              </w:rPr>
              <w:t>W załączniku do PSRT WP przedstawiono analizy wartości inwestycji dotyczących dróg wojewódzkich i podległej infrastruktury drogowej oraz taboru kolejowego</w:t>
            </w:r>
          </w:p>
          <w:p w14:paraId="2D5EA650" w14:textId="7B3E883B" w:rsidR="000B7C22" w:rsidRPr="00237760" w:rsidRDefault="000B7C22" w:rsidP="009367B4">
            <w:pPr>
              <w:pStyle w:val="Akapitzlist"/>
              <w:numPr>
                <w:ilvl w:val="0"/>
                <w:numId w:val="7"/>
              </w:numPr>
              <w:spacing w:after="0"/>
              <w:ind w:left="177" w:hanging="238"/>
              <w:jc w:val="left"/>
              <w:rPr>
                <w:rFonts w:ascii="Arial" w:eastAsia="MS Gothic" w:hAnsi="Arial" w:cs="Arial"/>
                <w:color w:val="auto"/>
                <w:sz w:val="24"/>
                <w:szCs w:val="24"/>
              </w:rPr>
            </w:pPr>
            <w:bookmarkStart w:id="149" w:name="_Hlk101345822"/>
            <w:r w:rsidRPr="00237760">
              <w:rPr>
                <w:rFonts w:ascii="Arial" w:hAnsi="Arial" w:cs="Arial"/>
                <w:color w:val="auto"/>
                <w:sz w:val="24"/>
                <w:szCs w:val="24"/>
              </w:rPr>
              <w:t xml:space="preserve">W dokumencie </w:t>
            </w:r>
            <w:r w:rsidRPr="00237760">
              <w:rPr>
                <w:rFonts w:ascii="Arial" w:hAnsi="Arial" w:cs="Arial"/>
                <w:b/>
                <w:color w:val="auto"/>
                <w:sz w:val="24"/>
                <w:szCs w:val="24"/>
                <w:u w:val="single"/>
              </w:rPr>
              <w:t>nie widnieje</w:t>
            </w:r>
            <w:r w:rsidRPr="00237760">
              <w:rPr>
                <w:rFonts w:ascii="Arial" w:hAnsi="Arial" w:cs="Arial"/>
                <w:color w:val="auto"/>
                <w:sz w:val="24"/>
                <w:szCs w:val="24"/>
              </w:rPr>
              <w:t xml:space="preserve"> informacja o kwocie środków przeznaczonych na przygotowanie raportu ewaluacyjnego podsumowującego efekty realizacji programu.</w:t>
            </w:r>
            <w:bookmarkEnd w:id="149"/>
          </w:p>
        </w:tc>
      </w:tr>
      <w:tr w:rsidR="00237760" w:rsidRPr="00237760" w14:paraId="4694CE7E" w14:textId="77777777" w:rsidTr="00354CCC">
        <w:trPr>
          <w:trHeight w:val="151"/>
        </w:trPr>
        <w:tc>
          <w:tcPr>
            <w:tcW w:w="2982"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7D27FFF7" w14:textId="50254F8A" w:rsidR="000B7C22" w:rsidRPr="00237760" w:rsidRDefault="000B7C22" w:rsidP="009367B4">
            <w:pPr>
              <w:spacing w:after="0" w:line="240" w:lineRule="auto"/>
              <w:jc w:val="left"/>
              <w:rPr>
                <w:rFonts w:ascii="Arial" w:hAnsi="Arial" w:cs="Arial"/>
                <w:color w:val="auto"/>
                <w:sz w:val="24"/>
                <w:szCs w:val="24"/>
              </w:rPr>
            </w:pPr>
            <w:bookmarkStart w:id="150" w:name="_Hlk101346211"/>
            <w:bookmarkEnd w:id="148"/>
            <w:r w:rsidRPr="00237760">
              <w:rPr>
                <w:rFonts w:ascii="Arial" w:hAnsi="Arial" w:cs="Arial"/>
                <w:color w:val="auto"/>
                <w:sz w:val="24"/>
                <w:szCs w:val="24"/>
              </w:rPr>
              <w:t>Wskazanie zakresu planowanej interwencji, która będzie realizowana w ujęciu terytorialnym, możliwy</w:t>
            </w:r>
            <w:r w:rsidR="008A707B" w:rsidRPr="00237760">
              <w:rPr>
                <w:rFonts w:ascii="Arial" w:hAnsi="Arial" w:cs="Arial"/>
                <w:color w:val="auto"/>
                <w:sz w:val="24"/>
                <w:szCs w:val="24"/>
              </w:rPr>
              <w:t>m</w:t>
            </w:r>
            <w:r w:rsidRPr="00237760">
              <w:rPr>
                <w:rFonts w:ascii="Arial" w:hAnsi="Arial" w:cs="Arial"/>
                <w:color w:val="auto"/>
                <w:sz w:val="24"/>
                <w:szCs w:val="24"/>
              </w:rPr>
              <w:t xml:space="preserve"> do objęcia kontraktem sektorowym (art. 17 ust. 1 pkt 7)</w:t>
            </w:r>
          </w:p>
        </w:tc>
        <w:tc>
          <w:tcPr>
            <w:tcW w:w="6095"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755B31DC" w14:textId="534BE914" w:rsidR="000B7C22" w:rsidRPr="00237760" w:rsidRDefault="00047A6E" w:rsidP="009367B4">
            <w:pPr>
              <w:pStyle w:val="Akapitzlist"/>
              <w:numPr>
                <w:ilvl w:val="0"/>
                <w:numId w:val="7"/>
              </w:numPr>
              <w:spacing w:after="0"/>
              <w:ind w:left="177" w:hanging="238"/>
              <w:jc w:val="left"/>
              <w:rPr>
                <w:rFonts w:ascii="Arial" w:eastAsia="MS Gothic" w:hAnsi="Arial" w:cs="Arial"/>
                <w:color w:val="auto"/>
                <w:sz w:val="24"/>
                <w:szCs w:val="24"/>
              </w:rPr>
            </w:pPr>
            <w:r w:rsidRPr="00237760">
              <w:rPr>
                <w:rFonts w:ascii="Arial" w:eastAsia="MS Gothic" w:hAnsi="Arial" w:cs="Arial"/>
                <w:color w:val="auto"/>
                <w:sz w:val="24"/>
                <w:szCs w:val="24"/>
              </w:rPr>
              <w:t xml:space="preserve">W PSRT WP przedstawiono </w:t>
            </w:r>
            <w:r w:rsidR="00E8376B" w:rsidRPr="00237760">
              <w:rPr>
                <w:rFonts w:ascii="Arial" w:eastAsia="MS Gothic" w:hAnsi="Arial" w:cs="Arial"/>
                <w:color w:val="auto"/>
                <w:sz w:val="24"/>
                <w:szCs w:val="24"/>
              </w:rPr>
              <w:t xml:space="preserve">możliwości finansowania ze środków krajowych programów, które </w:t>
            </w:r>
            <w:r w:rsidR="008B166E" w:rsidRPr="00237760">
              <w:rPr>
                <w:rFonts w:ascii="Arial" w:eastAsia="MS Gothic" w:hAnsi="Arial" w:cs="Arial"/>
                <w:color w:val="auto"/>
                <w:sz w:val="24"/>
                <w:szCs w:val="24"/>
              </w:rPr>
              <w:t>teoretycznie mogą być realizowanie poprzez kontrakt sektorowy,</w:t>
            </w:r>
            <w:r w:rsidR="000B7C22" w:rsidRPr="00237760">
              <w:rPr>
                <w:rFonts w:ascii="Arial" w:eastAsia="MS Gothic" w:hAnsi="Arial" w:cs="Arial"/>
                <w:color w:val="auto"/>
                <w:sz w:val="24"/>
                <w:szCs w:val="24"/>
              </w:rPr>
              <w:t xml:space="preserve"> </w:t>
            </w:r>
            <w:r w:rsidR="00CB50DB" w:rsidRPr="00237760">
              <w:rPr>
                <w:rFonts w:ascii="Arial" w:eastAsia="MS Gothic" w:hAnsi="Arial" w:cs="Arial"/>
                <w:color w:val="auto"/>
                <w:sz w:val="24"/>
                <w:szCs w:val="24"/>
              </w:rPr>
              <w:t xml:space="preserve">bezpośrednio </w:t>
            </w:r>
            <w:r w:rsidR="000B7C22" w:rsidRPr="00237760">
              <w:rPr>
                <w:rFonts w:ascii="Arial" w:eastAsia="MS Gothic" w:hAnsi="Arial" w:cs="Arial"/>
                <w:b/>
                <w:color w:val="auto"/>
                <w:sz w:val="24"/>
                <w:szCs w:val="24"/>
                <w:u w:val="single"/>
              </w:rPr>
              <w:t xml:space="preserve">nie </w:t>
            </w:r>
            <w:r w:rsidR="00190CD8" w:rsidRPr="00237760">
              <w:rPr>
                <w:rFonts w:ascii="Arial" w:eastAsia="MS Gothic" w:hAnsi="Arial" w:cs="Arial"/>
                <w:b/>
                <w:color w:val="auto"/>
                <w:sz w:val="24"/>
                <w:szCs w:val="24"/>
                <w:u w:val="single"/>
              </w:rPr>
              <w:t>wskazano</w:t>
            </w:r>
            <w:r w:rsidR="00190CD8" w:rsidRPr="00237760">
              <w:rPr>
                <w:rFonts w:ascii="Arial" w:eastAsia="MS Gothic" w:hAnsi="Arial" w:cs="Arial"/>
                <w:color w:val="auto"/>
                <w:sz w:val="24"/>
                <w:szCs w:val="24"/>
              </w:rPr>
              <w:t xml:space="preserve"> jednak </w:t>
            </w:r>
            <w:r w:rsidR="00873E07" w:rsidRPr="00237760">
              <w:rPr>
                <w:rFonts w:ascii="Arial" w:eastAsia="MS Gothic" w:hAnsi="Arial" w:cs="Arial"/>
                <w:color w:val="auto"/>
                <w:sz w:val="24"/>
                <w:szCs w:val="24"/>
              </w:rPr>
              <w:t>takiej możliwości.</w:t>
            </w:r>
            <w:r w:rsidR="00BE60B7" w:rsidRPr="00237760">
              <w:rPr>
                <w:rFonts w:ascii="Arial" w:eastAsia="MS Gothic" w:hAnsi="Arial" w:cs="Arial"/>
                <w:color w:val="auto"/>
                <w:sz w:val="24"/>
                <w:szCs w:val="24"/>
              </w:rPr>
              <w:t xml:space="preserve"> </w:t>
            </w:r>
          </w:p>
        </w:tc>
      </w:tr>
      <w:tr w:rsidR="00237760" w:rsidRPr="00237760" w14:paraId="7897D7FD" w14:textId="77777777" w:rsidTr="00BD7D92">
        <w:trPr>
          <w:trHeight w:val="151"/>
        </w:trPr>
        <w:tc>
          <w:tcPr>
            <w:tcW w:w="2982"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55C29535" w14:textId="77777777" w:rsidR="000B7C22" w:rsidRPr="00237760" w:rsidRDefault="000B7C22" w:rsidP="009367B4">
            <w:pPr>
              <w:spacing w:after="0" w:line="240" w:lineRule="auto"/>
              <w:jc w:val="left"/>
              <w:rPr>
                <w:rFonts w:ascii="Arial" w:hAnsi="Arial" w:cs="Arial"/>
                <w:color w:val="auto"/>
                <w:sz w:val="24"/>
                <w:szCs w:val="24"/>
              </w:rPr>
            </w:pPr>
            <w:bookmarkStart w:id="151" w:name="_Hlk101346391"/>
            <w:bookmarkEnd w:id="150"/>
            <w:r w:rsidRPr="00237760">
              <w:rPr>
                <w:rFonts w:ascii="Arial" w:hAnsi="Arial" w:cs="Arial"/>
                <w:color w:val="auto"/>
                <w:sz w:val="24"/>
                <w:szCs w:val="24"/>
              </w:rPr>
              <w:t xml:space="preserve">Określenie sposobu monitorowania i oceny stopnia osiągania celu </w:t>
            </w:r>
            <w:r w:rsidRPr="00237760">
              <w:rPr>
                <w:rFonts w:ascii="Arial" w:hAnsi="Arial" w:cs="Arial"/>
                <w:color w:val="auto"/>
                <w:sz w:val="24"/>
                <w:szCs w:val="24"/>
              </w:rPr>
              <w:lastRenderedPageBreak/>
              <w:t>głównego i celów szczegółowych (art. 17 ust. 1 pkt 8)</w:t>
            </w:r>
            <w:bookmarkEnd w:id="151"/>
          </w:p>
        </w:tc>
        <w:tc>
          <w:tcPr>
            <w:tcW w:w="6095"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24E2FF80" w14:textId="77777777" w:rsidR="000B7C22" w:rsidRPr="00237760" w:rsidRDefault="000B7C22" w:rsidP="009367B4">
            <w:pPr>
              <w:pStyle w:val="Akapitzlist"/>
              <w:numPr>
                <w:ilvl w:val="0"/>
                <w:numId w:val="7"/>
              </w:numPr>
              <w:spacing w:after="0"/>
              <w:ind w:left="177" w:hanging="238"/>
              <w:jc w:val="left"/>
              <w:rPr>
                <w:rFonts w:ascii="Arial" w:eastAsia="MS Gothic" w:hAnsi="Arial" w:cs="Arial"/>
                <w:color w:val="auto"/>
                <w:sz w:val="24"/>
                <w:szCs w:val="24"/>
              </w:rPr>
            </w:pPr>
            <w:r w:rsidRPr="00237760">
              <w:rPr>
                <w:rFonts w:ascii="Arial" w:eastAsia="MS Gothic" w:hAnsi="Arial" w:cs="Arial"/>
                <w:color w:val="auto"/>
                <w:sz w:val="24"/>
                <w:szCs w:val="24"/>
              </w:rPr>
              <w:lastRenderedPageBreak/>
              <w:t xml:space="preserve">System monitoringu opisano </w:t>
            </w:r>
            <w:r w:rsidRPr="00237760">
              <w:rPr>
                <w:rFonts w:ascii="Arial" w:hAnsi="Arial" w:cs="Arial"/>
                <w:bCs/>
                <w:color w:val="auto"/>
                <w:sz w:val="24"/>
                <w:szCs w:val="24"/>
              </w:rPr>
              <w:t>w rozdz. IV. 6. System monitoringu i ewaluacji (oceny realizacji Programu), opiera się on na:</w:t>
            </w:r>
          </w:p>
          <w:p w14:paraId="31EB0B89" w14:textId="3013EC11" w:rsidR="00743228" w:rsidRPr="00237760" w:rsidRDefault="000B7C22" w:rsidP="009367B4">
            <w:pPr>
              <w:pStyle w:val="Akapitzlist"/>
              <w:numPr>
                <w:ilvl w:val="1"/>
                <w:numId w:val="7"/>
              </w:numPr>
              <w:spacing w:after="0"/>
              <w:ind w:left="602" w:hanging="283"/>
              <w:jc w:val="left"/>
              <w:rPr>
                <w:rFonts w:ascii="Arial" w:eastAsia="MS Gothic" w:hAnsi="Arial" w:cs="Arial"/>
                <w:color w:val="auto"/>
                <w:sz w:val="24"/>
                <w:szCs w:val="24"/>
              </w:rPr>
            </w:pPr>
            <w:r w:rsidRPr="00237760">
              <w:rPr>
                <w:rFonts w:ascii="Arial" w:hAnsi="Arial" w:cs="Arial"/>
                <w:bCs/>
                <w:color w:val="auto"/>
                <w:sz w:val="24"/>
                <w:szCs w:val="24"/>
              </w:rPr>
              <w:lastRenderedPageBreak/>
              <w:t>1</w:t>
            </w:r>
            <w:r w:rsidR="00C308DC" w:rsidRPr="00237760">
              <w:rPr>
                <w:rFonts w:ascii="Arial" w:hAnsi="Arial" w:cs="Arial"/>
                <w:bCs/>
                <w:color w:val="auto"/>
                <w:sz w:val="24"/>
                <w:szCs w:val="24"/>
              </w:rPr>
              <w:t>7</w:t>
            </w:r>
            <w:r w:rsidRPr="00237760">
              <w:rPr>
                <w:rFonts w:ascii="Arial" w:hAnsi="Arial" w:cs="Arial"/>
                <w:bCs/>
                <w:color w:val="auto"/>
                <w:sz w:val="24"/>
                <w:szCs w:val="24"/>
              </w:rPr>
              <w:t xml:space="preserve"> wskaźnikach oddziaływania (nazwane wskaźnikami monitorowania) – przypisano co najmniej dwa każdemu celowi podstawowemu i 7 grupie celów horyzontalnych,</w:t>
            </w:r>
          </w:p>
          <w:p w14:paraId="0372C567" w14:textId="1FF26A77" w:rsidR="000B7C22" w:rsidRPr="00237760" w:rsidRDefault="000B7C22" w:rsidP="009367B4">
            <w:pPr>
              <w:pStyle w:val="Akapitzlist"/>
              <w:numPr>
                <w:ilvl w:val="1"/>
                <w:numId w:val="7"/>
              </w:numPr>
              <w:spacing w:after="0"/>
              <w:ind w:left="602" w:hanging="283"/>
              <w:jc w:val="left"/>
              <w:rPr>
                <w:rFonts w:ascii="Arial" w:eastAsia="MS Gothic" w:hAnsi="Arial" w:cs="Arial"/>
                <w:color w:val="auto"/>
                <w:sz w:val="24"/>
                <w:szCs w:val="24"/>
              </w:rPr>
            </w:pPr>
            <w:r w:rsidRPr="00237760">
              <w:rPr>
                <w:rFonts w:ascii="Arial" w:hAnsi="Arial" w:cs="Arial"/>
                <w:bCs/>
                <w:color w:val="auto"/>
                <w:sz w:val="24"/>
                <w:szCs w:val="24"/>
              </w:rPr>
              <w:t>20 wskaźnikach produktu i rezultatu – po co najmniej trzy dla każdego celu podstawowego i 8 dla celów horyzontalnych;</w:t>
            </w:r>
          </w:p>
          <w:p w14:paraId="1C161F62" w14:textId="77777777" w:rsidR="00354CCC" w:rsidRPr="00237760" w:rsidRDefault="000B7C22" w:rsidP="009367B4">
            <w:pPr>
              <w:pStyle w:val="Akapitzlist"/>
              <w:numPr>
                <w:ilvl w:val="0"/>
                <w:numId w:val="7"/>
              </w:numPr>
              <w:spacing w:after="0"/>
              <w:ind w:left="177" w:hanging="238"/>
              <w:jc w:val="left"/>
              <w:rPr>
                <w:rFonts w:ascii="Arial" w:hAnsi="Arial" w:cs="Arial"/>
                <w:color w:val="auto"/>
                <w:sz w:val="24"/>
                <w:szCs w:val="24"/>
              </w:rPr>
            </w:pPr>
            <w:r w:rsidRPr="00237760">
              <w:rPr>
                <w:rFonts w:ascii="Arial" w:hAnsi="Arial" w:cs="Arial"/>
                <w:bCs/>
                <w:color w:val="auto"/>
                <w:sz w:val="24"/>
                <w:szCs w:val="24"/>
              </w:rPr>
              <w:t xml:space="preserve">Wskaźnikom oddziaływania przyporządkowano źródła danych, a wskaźnikom produktu i rezultatu – źródła danych, wartość bazową, </w:t>
            </w:r>
            <w:r w:rsidR="00772F6F" w:rsidRPr="00237760">
              <w:rPr>
                <w:rFonts w:ascii="Arial" w:hAnsi="Arial" w:cs="Arial"/>
                <w:bCs/>
                <w:color w:val="auto"/>
                <w:sz w:val="24"/>
                <w:szCs w:val="24"/>
              </w:rPr>
              <w:t>szacunkową</w:t>
            </w:r>
            <w:r w:rsidRPr="00237760">
              <w:rPr>
                <w:rFonts w:ascii="Arial" w:hAnsi="Arial" w:cs="Arial"/>
                <w:bCs/>
                <w:color w:val="auto"/>
                <w:sz w:val="24"/>
                <w:szCs w:val="24"/>
              </w:rPr>
              <w:t xml:space="preserve"> wartość docelową i częstotliwość pomiaru. </w:t>
            </w:r>
          </w:p>
          <w:p w14:paraId="7C343F40" w14:textId="48133D62" w:rsidR="00354CCC" w:rsidRPr="00237760" w:rsidRDefault="000B7C22" w:rsidP="009367B4">
            <w:pPr>
              <w:pStyle w:val="Akapitzlist"/>
              <w:numPr>
                <w:ilvl w:val="0"/>
                <w:numId w:val="7"/>
              </w:numPr>
              <w:spacing w:after="0"/>
              <w:ind w:left="177" w:hanging="238"/>
              <w:jc w:val="left"/>
              <w:rPr>
                <w:rFonts w:ascii="Arial" w:hAnsi="Arial" w:cs="Arial"/>
                <w:color w:val="auto"/>
                <w:sz w:val="24"/>
                <w:szCs w:val="24"/>
              </w:rPr>
            </w:pPr>
            <w:bookmarkStart w:id="152" w:name="_Hlk101346413"/>
            <w:r w:rsidRPr="00237760">
              <w:rPr>
                <w:rFonts w:ascii="Arial" w:hAnsi="Arial" w:cs="Arial"/>
                <w:color w:val="auto"/>
                <w:sz w:val="24"/>
                <w:szCs w:val="24"/>
              </w:rPr>
              <w:t xml:space="preserve">W PSRT </w:t>
            </w:r>
            <w:r w:rsidR="00D61902" w:rsidRPr="00237760">
              <w:rPr>
                <w:rFonts w:ascii="Arial" w:hAnsi="Arial" w:cs="Arial"/>
                <w:color w:val="auto"/>
                <w:sz w:val="24"/>
                <w:szCs w:val="24"/>
              </w:rPr>
              <w:t xml:space="preserve">WP </w:t>
            </w:r>
            <w:r w:rsidRPr="00237760">
              <w:rPr>
                <w:rFonts w:ascii="Arial" w:hAnsi="Arial" w:cs="Arial"/>
                <w:color w:val="auto"/>
                <w:sz w:val="24"/>
                <w:szCs w:val="24"/>
              </w:rPr>
              <w:t xml:space="preserve">nie wskazano jednego celu głównego, stąd też brak wskaźnika mierzącego jego realizację. </w:t>
            </w:r>
          </w:p>
          <w:bookmarkEnd w:id="152"/>
          <w:p w14:paraId="0E4E9ADD" w14:textId="2008CFFB" w:rsidR="000B7C22" w:rsidRPr="00237760" w:rsidRDefault="00290C2A" w:rsidP="009367B4">
            <w:pPr>
              <w:pStyle w:val="Akapitzlist"/>
              <w:numPr>
                <w:ilvl w:val="0"/>
                <w:numId w:val="7"/>
              </w:numPr>
              <w:spacing w:after="0"/>
              <w:ind w:left="177" w:hanging="238"/>
              <w:jc w:val="left"/>
              <w:rPr>
                <w:rFonts w:ascii="Arial" w:hAnsi="Arial" w:cs="Arial"/>
                <w:color w:val="auto"/>
                <w:sz w:val="24"/>
                <w:szCs w:val="24"/>
              </w:rPr>
            </w:pPr>
            <w:r w:rsidRPr="00237760">
              <w:rPr>
                <w:rFonts w:ascii="Arial" w:hAnsi="Arial" w:cs="Arial"/>
                <w:color w:val="auto"/>
                <w:sz w:val="24"/>
                <w:szCs w:val="24"/>
              </w:rPr>
              <w:t xml:space="preserve">Szczegółowa ocena systemu monitoringu i ewaluacji zawarta jest w rodz. </w:t>
            </w:r>
            <w:r w:rsidR="00F97118" w:rsidRPr="00237760">
              <w:rPr>
                <w:rFonts w:ascii="Arial" w:hAnsi="Arial" w:cs="Arial"/>
                <w:color w:val="auto"/>
                <w:sz w:val="24"/>
                <w:szCs w:val="24"/>
              </w:rPr>
              <w:fldChar w:fldCharType="begin"/>
            </w:r>
            <w:r w:rsidR="00F97118" w:rsidRPr="00237760">
              <w:rPr>
                <w:rFonts w:ascii="Arial" w:hAnsi="Arial" w:cs="Arial"/>
                <w:color w:val="auto"/>
                <w:sz w:val="24"/>
                <w:szCs w:val="24"/>
              </w:rPr>
              <w:instrText xml:space="preserve"> REF _Ref100828682 \r \h </w:instrText>
            </w:r>
            <w:r w:rsidR="0040093A" w:rsidRPr="00237760">
              <w:rPr>
                <w:rFonts w:ascii="Arial" w:hAnsi="Arial" w:cs="Arial"/>
                <w:color w:val="auto"/>
                <w:sz w:val="24"/>
                <w:szCs w:val="24"/>
              </w:rPr>
              <w:instrText xml:space="preserve"> \* MERGEFORMAT </w:instrText>
            </w:r>
            <w:r w:rsidR="00F97118" w:rsidRPr="00237760">
              <w:rPr>
                <w:rFonts w:ascii="Arial" w:hAnsi="Arial" w:cs="Arial"/>
                <w:color w:val="auto"/>
                <w:sz w:val="24"/>
                <w:szCs w:val="24"/>
              </w:rPr>
            </w:r>
            <w:r w:rsidR="00F97118" w:rsidRPr="00237760">
              <w:rPr>
                <w:rFonts w:ascii="Arial" w:hAnsi="Arial" w:cs="Arial"/>
                <w:color w:val="auto"/>
                <w:sz w:val="24"/>
                <w:szCs w:val="24"/>
              </w:rPr>
              <w:fldChar w:fldCharType="separate"/>
            </w:r>
            <w:r w:rsidR="00E52C19" w:rsidRPr="00237760">
              <w:rPr>
                <w:rFonts w:ascii="Arial" w:hAnsi="Arial" w:cs="Arial"/>
                <w:color w:val="auto"/>
                <w:sz w:val="24"/>
                <w:szCs w:val="24"/>
              </w:rPr>
              <w:t>4.3</w:t>
            </w:r>
            <w:r w:rsidR="00F97118" w:rsidRPr="00237760">
              <w:rPr>
                <w:rFonts w:ascii="Arial" w:hAnsi="Arial" w:cs="Arial"/>
                <w:color w:val="auto"/>
                <w:sz w:val="24"/>
                <w:szCs w:val="24"/>
              </w:rPr>
              <w:fldChar w:fldCharType="end"/>
            </w:r>
            <w:r w:rsidRPr="00237760">
              <w:rPr>
                <w:rFonts w:ascii="Arial" w:hAnsi="Arial" w:cs="Arial"/>
                <w:color w:val="auto"/>
                <w:sz w:val="24"/>
                <w:szCs w:val="24"/>
              </w:rPr>
              <w:t xml:space="preserve"> niniejsze</w:t>
            </w:r>
            <w:r w:rsidR="00727D75" w:rsidRPr="00237760">
              <w:rPr>
                <w:rFonts w:ascii="Arial" w:hAnsi="Arial" w:cs="Arial"/>
                <w:color w:val="auto"/>
                <w:sz w:val="24"/>
                <w:szCs w:val="24"/>
              </w:rPr>
              <w:t>go dokumentu.</w:t>
            </w:r>
          </w:p>
        </w:tc>
      </w:tr>
      <w:tr w:rsidR="00237760" w:rsidRPr="00237760" w14:paraId="78D50A61" w14:textId="77777777" w:rsidTr="00BD7D92">
        <w:trPr>
          <w:trHeight w:val="151"/>
        </w:trPr>
        <w:tc>
          <w:tcPr>
            <w:tcW w:w="2982"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7445FE97" w14:textId="77777777" w:rsidR="000B7C22" w:rsidRPr="00237760" w:rsidRDefault="000B7C22"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lastRenderedPageBreak/>
              <w:t>Przeprowadzenie konsultacji z jednostkami samorządu terytorialnego oraz partnerami społecznymi i gospodarczymi (art. 19a)</w:t>
            </w:r>
          </w:p>
        </w:tc>
        <w:tc>
          <w:tcPr>
            <w:tcW w:w="6095"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3C44E675" w14:textId="77777777" w:rsidR="000B7C22" w:rsidRPr="00237760" w:rsidRDefault="000B7C22" w:rsidP="009367B4">
            <w:pPr>
              <w:pStyle w:val="Akapitzlist"/>
              <w:numPr>
                <w:ilvl w:val="0"/>
                <w:numId w:val="7"/>
              </w:numPr>
              <w:spacing w:after="0"/>
              <w:ind w:left="177" w:hanging="238"/>
              <w:jc w:val="left"/>
              <w:rPr>
                <w:rFonts w:ascii="Arial" w:hAnsi="Arial" w:cs="Arial"/>
                <w:color w:val="auto"/>
                <w:sz w:val="24"/>
                <w:szCs w:val="24"/>
              </w:rPr>
            </w:pPr>
            <w:r w:rsidRPr="00237760">
              <w:rPr>
                <w:rFonts w:ascii="Arial" w:eastAsia="MS Gothic" w:hAnsi="Arial" w:cs="Arial"/>
                <w:color w:val="auto"/>
                <w:sz w:val="24"/>
                <w:szCs w:val="24"/>
              </w:rPr>
              <w:t>W dniach 28 stycznia 2022 r. do 7 marca 2022 r. przeprowadzono społeczne konsultacje projektu, w ramach których:</w:t>
            </w:r>
          </w:p>
          <w:p w14:paraId="17029078" w14:textId="33C26035" w:rsidR="00743228" w:rsidRPr="00237760" w:rsidRDefault="000B7C22" w:rsidP="009367B4">
            <w:pPr>
              <w:pStyle w:val="Akapitzlist"/>
              <w:numPr>
                <w:ilvl w:val="1"/>
                <w:numId w:val="7"/>
              </w:numPr>
              <w:spacing w:after="0"/>
              <w:ind w:left="602" w:hanging="284"/>
              <w:jc w:val="left"/>
              <w:rPr>
                <w:rFonts w:ascii="Arial" w:hAnsi="Arial" w:cs="Arial"/>
                <w:color w:val="auto"/>
                <w:sz w:val="24"/>
                <w:szCs w:val="24"/>
              </w:rPr>
            </w:pPr>
            <w:r w:rsidRPr="00237760">
              <w:rPr>
                <w:rFonts w:ascii="Arial" w:hAnsi="Arial" w:cs="Arial"/>
                <w:color w:val="auto"/>
                <w:sz w:val="24"/>
                <w:szCs w:val="24"/>
              </w:rPr>
              <w:t>Zorganizowano konferencje konsultacyjne w formie hybrydowej</w:t>
            </w:r>
            <w:r w:rsidR="00E1675F" w:rsidRPr="00237760">
              <w:rPr>
                <w:rFonts w:ascii="Arial" w:hAnsi="Arial" w:cs="Arial"/>
                <w:color w:val="auto"/>
                <w:sz w:val="24"/>
                <w:szCs w:val="24"/>
              </w:rPr>
              <w:t xml:space="preserve"> lub stacjonarnej</w:t>
            </w:r>
            <w:r w:rsidRPr="00237760">
              <w:rPr>
                <w:rFonts w:ascii="Arial" w:hAnsi="Arial" w:cs="Arial"/>
                <w:color w:val="auto"/>
                <w:sz w:val="24"/>
                <w:szCs w:val="24"/>
              </w:rPr>
              <w:t xml:space="preserve"> w następujących miastach: Rzeszów, Przemyśl, Stalowa Wola, Dębica, Sanok, Ustrzyki Dolne, Tarnobrzeg, Krosno,</w:t>
            </w:r>
          </w:p>
          <w:p w14:paraId="43849B66" w14:textId="381AA97A" w:rsidR="000B7C22" w:rsidRPr="00237760" w:rsidRDefault="000B7C22" w:rsidP="009367B4">
            <w:pPr>
              <w:pStyle w:val="Akapitzlist"/>
              <w:numPr>
                <w:ilvl w:val="1"/>
                <w:numId w:val="7"/>
              </w:numPr>
              <w:spacing w:after="0"/>
              <w:ind w:left="602" w:hanging="284"/>
              <w:jc w:val="left"/>
              <w:rPr>
                <w:rFonts w:ascii="Arial" w:hAnsi="Arial" w:cs="Arial"/>
                <w:color w:val="auto"/>
                <w:sz w:val="24"/>
                <w:szCs w:val="24"/>
              </w:rPr>
            </w:pPr>
            <w:r w:rsidRPr="00237760">
              <w:rPr>
                <w:rFonts w:ascii="Arial" w:hAnsi="Arial" w:cs="Arial"/>
                <w:color w:val="auto"/>
                <w:sz w:val="24"/>
                <w:szCs w:val="24"/>
              </w:rPr>
              <w:t>Udostępniono formularze konsultacyjne (formularze uwag on-line, formularze „tradycyjne” (dostarczane pocztą) oraz zapewniono możliwość ustnego zgłaszania uwag (w Urzędzie Marszałkowskim</w:t>
            </w:r>
            <w:r w:rsidR="00E066FA" w:rsidRPr="00237760">
              <w:rPr>
                <w:rFonts w:ascii="Arial" w:hAnsi="Arial" w:cs="Arial"/>
                <w:color w:val="auto"/>
                <w:sz w:val="24"/>
                <w:szCs w:val="24"/>
              </w:rPr>
              <w:t xml:space="preserve"> oraz podczas konferencji konsultacyjnych</w:t>
            </w:r>
            <w:r w:rsidRPr="00237760">
              <w:rPr>
                <w:rFonts w:ascii="Arial" w:hAnsi="Arial" w:cs="Arial"/>
                <w:color w:val="auto"/>
                <w:sz w:val="24"/>
                <w:szCs w:val="24"/>
              </w:rPr>
              <w:t>)</w:t>
            </w:r>
            <w:r w:rsidRPr="00237760">
              <w:rPr>
                <w:rStyle w:val="Odwoanieprzypisudolnego"/>
                <w:rFonts w:ascii="Arial" w:hAnsi="Arial" w:cs="Arial"/>
                <w:color w:val="auto"/>
                <w:sz w:val="24"/>
                <w:szCs w:val="24"/>
              </w:rPr>
              <w:footnoteReference w:id="31"/>
            </w:r>
            <w:r w:rsidRPr="00237760">
              <w:rPr>
                <w:rFonts w:ascii="Arial" w:hAnsi="Arial" w:cs="Arial"/>
                <w:color w:val="auto"/>
                <w:sz w:val="24"/>
                <w:szCs w:val="24"/>
              </w:rPr>
              <w:t>.</w:t>
            </w:r>
          </w:p>
          <w:p w14:paraId="6175A202" w14:textId="6DD9BE48" w:rsidR="000B7C22" w:rsidRPr="00237760" w:rsidRDefault="000B7C22" w:rsidP="009367B4">
            <w:pPr>
              <w:pStyle w:val="Akapitzlist"/>
              <w:numPr>
                <w:ilvl w:val="0"/>
                <w:numId w:val="7"/>
              </w:numPr>
              <w:spacing w:after="0"/>
              <w:ind w:left="177" w:hanging="238"/>
              <w:jc w:val="left"/>
              <w:rPr>
                <w:rFonts w:ascii="Arial" w:hAnsi="Arial" w:cs="Arial"/>
                <w:color w:val="auto"/>
                <w:sz w:val="24"/>
                <w:szCs w:val="24"/>
              </w:rPr>
            </w:pPr>
            <w:r w:rsidRPr="00237760">
              <w:rPr>
                <w:rFonts w:ascii="Arial" w:hAnsi="Arial" w:cs="Arial"/>
                <w:color w:val="auto"/>
                <w:sz w:val="24"/>
                <w:szCs w:val="24"/>
              </w:rPr>
              <w:t>W konsultacjach, ale też na etapie tworzenia programu, zaangażowano przedstawicieli władz samorządowych oraz (publicznych i prywatnych) partnerów społecznych i gospodarczych.</w:t>
            </w:r>
          </w:p>
        </w:tc>
      </w:tr>
      <w:tr w:rsidR="00237760" w:rsidRPr="00237760" w14:paraId="3EA8BB4E" w14:textId="77777777" w:rsidTr="00BD7D92">
        <w:trPr>
          <w:trHeight w:val="14"/>
        </w:trPr>
        <w:tc>
          <w:tcPr>
            <w:tcW w:w="2982" w:type="dxa"/>
            <w:tcBorders>
              <w:top w:val="single" w:sz="4" w:space="0" w:color="BDD6EE" w:themeColor="accent1" w:themeTint="66"/>
              <w:left w:val="nil"/>
              <w:bottom w:val="single" w:sz="12" w:space="0" w:color="002060"/>
              <w:right w:val="nil"/>
            </w:tcBorders>
            <w:shd w:val="clear" w:color="auto" w:fill="auto"/>
            <w:vAlign w:val="center"/>
          </w:tcPr>
          <w:p w14:paraId="1FFC1B69" w14:textId="77777777" w:rsidR="000B7C22" w:rsidRPr="00237760" w:rsidRDefault="000B7C22"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Przyjęcie programu przez zarząd województwa w </w:t>
            </w:r>
            <w:r w:rsidRPr="00237760">
              <w:rPr>
                <w:rFonts w:ascii="Arial" w:hAnsi="Arial" w:cs="Arial"/>
                <w:color w:val="auto"/>
                <w:sz w:val="24"/>
                <w:szCs w:val="24"/>
              </w:rPr>
              <w:lastRenderedPageBreak/>
              <w:t>drodze uchwały (art. 19 ust. 3)</w:t>
            </w:r>
          </w:p>
        </w:tc>
        <w:tc>
          <w:tcPr>
            <w:tcW w:w="6095" w:type="dxa"/>
            <w:tcBorders>
              <w:top w:val="single" w:sz="4" w:space="0" w:color="BDD6EE" w:themeColor="accent1" w:themeTint="66"/>
              <w:left w:val="nil"/>
              <w:bottom w:val="single" w:sz="12" w:space="0" w:color="002060"/>
              <w:right w:val="nil"/>
            </w:tcBorders>
            <w:shd w:val="clear" w:color="auto" w:fill="auto"/>
            <w:vAlign w:val="center"/>
          </w:tcPr>
          <w:p w14:paraId="0E5A70DE" w14:textId="632AAB16" w:rsidR="000B7C22" w:rsidRPr="00237760" w:rsidRDefault="000B7C22" w:rsidP="009367B4">
            <w:pPr>
              <w:pStyle w:val="Akapitzlist"/>
              <w:numPr>
                <w:ilvl w:val="0"/>
                <w:numId w:val="16"/>
              </w:numPr>
              <w:spacing w:after="0"/>
              <w:ind w:left="177" w:hanging="284"/>
              <w:jc w:val="left"/>
              <w:rPr>
                <w:rFonts w:ascii="Arial" w:hAnsi="Arial" w:cs="Arial"/>
                <w:color w:val="auto"/>
                <w:sz w:val="24"/>
                <w:szCs w:val="24"/>
              </w:rPr>
            </w:pPr>
            <w:r w:rsidRPr="00237760">
              <w:rPr>
                <w:rFonts w:ascii="Arial" w:eastAsia="MS Gothic" w:hAnsi="Arial" w:cs="Arial"/>
                <w:color w:val="auto"/>
                <w:sz w:val="24"/>
                <w:szCs w:val="24"/>
              </w:rPr>
              <w:lastRenderedPageBreak/>
              <w:t xml:space="preserve">Projekt PSRT WP został przyjęty uchwałą zarządu województwa, niemniej jednak na obecnym etapie </w:t>
            </w:r>
            <w:r w:rsidRPr="00237760">
              <w:rPr>
                <w:rFonts w:ascii="Arial" w:eastAsia="MS Gothic" w:hAnsi="Arial" w:cs="Arial"/>
                <w:color w:val="auto"/>
                <w:sz w:val="24"/>
                <w:szCs w:val="24"/>
              </w:rPr>
              <w:lastRenderedPageBreak/>
              <w:t>(ewaluacji ex-ante) nie jest możliwa weryfikacja realizacji tego wymogu.</w:t>
            </w:r>
          </w:p>
        </w:tc>
      </w:tr>
    </w:tbl>
    <w:p w14:paraId="6A268430" w14:textId="77777777" w:rsidR="000B7C22" w:rsidRPr="00237760" w:rsidRDefault="000B7C22"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lastRenderedPageBreak/>
        <w:t>Źródło: opracowanie własne na podstawie PSRT WP oraz Ustawy o zasadach prowadzenia polityki rozwoju.</w:t>
      </w:r>
    </w:p>
    <w:p w14:paraId="39C876EE" w14:textId="6D2DD6B4" w:rsidR="000B7C22" w:rsidRPr="00237760" w:rsidRDefault="005A0EB3" w:rsidP="009367B4">
      <w:pPr>
        <w:jc w:val="left"/>
        <w:rPr>
          <w:rFonts w:ascii="Arial" w:hAnsi="Arial" w:cs="Arial"/>
          <w:color w:val="auto"/>
          <w:sz w:val="24"/>
          <w:szCs w:val="24"/>
          <w:lang w:eastAsia="pl-PL"/>
        </w:rPr>
      </w:pPr>
      <w:bookmarkStart w:id="153" w:name="_Hlk101346671"/>
      <w:r w:rsidRPr="00237760">
        <w:rPr>
          <w:rFonts w:ascii="Arial" w:hAnsi="Arial" w:cs="Arial"/>
          <w:color w:val="auto"/>
          <w:sz w:val="24"/>
          <w:szCs w:val="24"/>
          <w:lang w:eastAsia="pl-PL"/>
        </w:rPr>
        <w:t xml:space="preserve">Analiza </w:t>
      </w:r>
      <w:r w:rsidR="009E6563" w:rsidRPr="00237760">
        <w:rPr>
          <w:rFonts w:ascii="Arial" w:hAnsi="Arial" w:cs="Arial"/>
          <w:color w:val="auto"/>
          <w:sz w:val="24"/>
          <w:szCs w:val="24"/>
          <w:lang w:eastAsia="pl-PL"/>
        </w:rPr>
        <w:t xml:space="preserve">wykazała, że </w:t>
      </w:r>
      <w:r w:rsidR="006040A9" w:rsidRPr="00237760">
        <w:rPr>
          <w:rFonts w:ascii="Arial" w:hAnsi="Arial" w:cs="Arial"/>
          <w:color w:val="auto"/>
          <w:sz w:val="24"/>
          <w:szCs w:val="24"/>
          <w:lang w:eastAsia="pl-PL"/>
        </w:rPr>
        <w:t>metodyka przygotowania dokumentu</w:t>
      </w:r>
      <w:r w:rsidR="009E6563" w:rsidRPr="00237760">
        <w:rPr>
          <w:rFonts w:ascii="Arial" w:hAnsi="Arial" w:cs="Arial"/>
          <w:color w:val="auto"/>
          <w:sz w:val="24"/>
          <w:szCs w:val="24"/>
          <w:lang w:eastAsia="pl-PL"/>
        </w:rPr>
        <w:t xml:space="preserve"> </w:t>
      </w:r>
      <w:r w:rsidR="006040A9" w:rsidRPr="00237760">
        <w:rPr>
          <w:rFonts w:ascii="Arial" w:hAnsi="Arial" w:cs="Arial"/>
          <w:color w:val="auto"/>
          <w:sz w:val="24"/>
          <w:szCs w:val="24"/>
          <w:lang w:eastAsia="pl-PL"/>
        </w:rPr>
        <w:t xml:space="preserve">programowego </w:t>
      </w:r>
      <w:r w:rsidR="009E6563" w:rsidRPr="00237760">
        <w:rPr>
          <w:rFonts w:ascii="Arial" w:hAnsi="Arial" w:cs="Arial"/>
          <w:color w:val="auto"/>
          <w:sz w:val="24"/>
          <w:szCs w:val="24"/>
          <w:lang w:eastAsia="pl-PL"/>
        </w:rPr>
        <w:t xml:space="preserve">PSRT WP </w:t>
      </w:r>
      <w:r w:rsidR="008901A1" w:rsidRPr="00237760">
        <w:rPr>
          <w:rFonts w:ascii="Arial" w:hAnsi="Arial" w:cs="Arial"/>
          <w:color w:val="auto"/>
          <w:sz w:val="24"/>
          <w:szCs w:val="24"/>
          <w:lang w:eastAsia="pl-PL"/>
        </w:rPr>
        <w:t xml:space="preserve">jest zgodna </w:t>
      </w:r>
      <w:r w:rsidR="00C605B2" w:rsidRPr="00237760">
        <w:rPr>
          <w:rFonts w:ascii="Arial" w:hAnsi="Arial" w:cs="Arial"/>
          <w:color w:val="auto"/>
          <w:sz w:val="24"/>
          <w:szCs w:val="24"/>
          <w:lang w:eastAsia="pl-PL"/>
        </w:rPr>
        <w:br/>
      </w:r>
      <w:r w:rsidR="00B82728" w:rsidRPr="00237760">
        <w:rPr>
          <w:rFonts w:ascii="Arial" w:hAnsi="Arial" w:cs="Arial"/>
          <w:color w:val="auto"/>
          <w:sz w:val="24"/>
          <w:szCs w:val="24"/>
          <w:lang w:eastAsia="pl-PL"/>
        </w:rPr>
        <w:t>z</w:t>
      </w:r>
      <w:r w:rsidR="008901A1" w:rsidRPr="00237760">
        <w:rPr>
          <w:rFonts w:ascii="Arial" w:hAnsi="Arial" w:cs="Arial"/>
          <w:color w:val="auto"/>
          <w:sz w:val="24"/>
          <w:szCs w:val="24"/>
          <w:lang w:eastAsia="pl-PL"/>
        </w:rPr>
        <w:t xml:space="preserve"> większością</w:t>
      </w:r>
      <w:r w:rsidR="00543EB7" w:rsidRPr="00237760">
        <w:rPr>
          <w:rFonts w:ascii="Arial" w:hAnsi="Arial" w:cs="Arial"/>
          <w:color w:val="auto"/>
          <w:sz w:val="24"/>
          <w:szCs w:val="24"/>
          <w:lang w:eastAsia="pl-PL"/>
        </w:rPr>
        <w:t xml:space="preserve"> </w:t>
      </w:r>
      <w:r w:rsidR="00EF0D78" w:rsidRPr="00237760">
        <w:rPr>
          <w:rFonts w:ascii="Arial" w:hAnsi="Arial" w:cs="Arial"/>
          <w:color w:val="auto"/>
          <w:sz w:val="24"/>
          <w:szCs w:val="24"/>
          <w:lang w:eastAsia="pl-PL"/>
        </w:rPr>
        <w:t>wymogów</w:t>
      </w:r>
      <w:r w:rsidR="00543EB7" w:rsidRPr="00237760">
        <w:rPr>
          <w:rFonts w:ascii="Arial" w:hAnsi="Arial" w:cs="Arial"/>
          <w:color w:val="auto"/>
          <w:sz w:val="24"/>
          <w:szCs w:val="24"/>
          <w:lang w:eastAsia="pl-PL"/>
        </w:rPr>
        <w:t xml:space="preserve"> </w:t>
      </w:r>
      <w:bookmarkStart w:id="154" w:name="_Hlk101346544"/>
      <w:r w:rsidR="00F3043C" w:rsidRPr="00237760">
        <w:rPr>
          <w:rFonts w:ascii="Arial" w:hAnsi="Arial" w:cs="Arial"/>
          <w:color w:val="auto"/>
          <w:sz w:val="24"/>
          <w:szCs w:val="24"/>
          <w:lang w:eastAsia="pl-PL"/>
        </w:rPr>
        <w:t>Ustawy o zasadach prowadzenia polityki rozwoju</w:t>
      </w:r>
      <w:bookmarkEnd w:id="154"/>
      <w:r w:rsidR="00F3043C" w:rsidRPr="00237760">
        <w:rPr>
          <w:rFonts w:ascii="Arial" w:hAnsi="Arial" w:cs="Arial"/>
          <w:color w:val="auto"/>
          <w:sz w:val="24"/>
          <w:szCs w:val="24"/>
          <w:lang w:eastAsia="pl-PL"/>
        </w:rPr>
        <w:t xml:space="preserve">. Celem poprawienia zidentyfikowanych </w:t>
      </w:r>
      <w:r w:rsidR="00472423" w:rsidRPr="00237760">
        <w:rPr>
          <w:rFonts w:ascii="Arial" w:hAnsi="Arial" w:cs="Arial"/>
          <w:color w:val="auto"/>
          <w:sz w:val="24"/>
          <w:szCs w:val="24"/>
          <w:lang w:eastAsia="pl-PL"/>
        </w:rPr>
        <w:t>uchybień zaleca się jednak:</w:t>
      </w:r>
    </w:p>
    <w:p w14:paraId="7E4EB6B0" w14:textId="402592FB" w:rsidR="00472423" w:rsidRPr="00237760" w:rsidRDefault="00EF0D78" w:rsidP="009367B4">
      <w:pPr>
        <w:pStyle w:val="Akapitzlist"/>
        <w:numPr>
          <w:ilvl w:val="0"/>
          <w:numId w:val="35"/>
        </w:numPr>
        <w:ind w:left="426"/>
        <w:jc w:val="left"/>
        <w:rPr>
          <w:rFonts w:ascii="Arial" w:hAnsi="Arial" w:cs="Arial"/>
          <w:color w:val="auto"/>
          <w:sz w:val="24"/>
          <w:szCs w:val="24"/>
        </w:rPr>
      </w:pPr>
      <w:r w:rsidRPr="00237760">
        <w:rPr>
          <w:rFonts w:ascii="Arial" w:hAnsi="Arial" w:cs="Arial"/>
          <w:color w:val="auto"/>
          <w:sz w:val="24"/>
          <w:szCs w:val="24"/>
        </w:rPr>
        <w:t>zawarcie w PSRT WP informacji o kwocie</w:t>
      </w:r>
      <w:r w:rsidR="000E07A8" w:rsidRPr="00237760">
        <w:rPr>
          <w:rFonts w:ascii="Arial" w:hAnsi="Arial" w:cs="Arial"/>
          <w:color w:val="auto"/>
          <w:sz w:val="24"/>
          <w:szCs w:val="24"/>
        </w:rPr>
        <w:t xml:space="preserve"> środków</w:t>
      </w:r>
      <w:r w:rsidRPr="00237760">
        <w:rPr>
          <w:rFonts w:ascii="Arial" w:hAnsi="Arial" w:cs="Arial"/>
          <w:color w:val="auto"/>
          <w:sz w:val="24"/>
          <w:szCs w:val="24"/>
        </w:rPr>
        <w:t xml:space="preserve"> przeznaczon</w:t>
      </w:r>
      <w:r w:rsidR="000E07A8" w:rsidRPr="00237760">
        <w:rPr>
          <w:rFonts w:ascii="Arial" w:hAnsi="Arial" w:cs="Arial"/>
          <w:color w:val="auto"/>
          <w:sz w:val="24"/>
          <w:szCs w:val="24"/>
        </w:rPr>
        <w:t xml:space="preserve">ych </w:t>
      </w:r>
      <w:r w:rsidRPr="00237760">
        <w:rPr>
          <w:rFonts w:ascii="Arial" w:hAnsi="Arial" w:cs="Arial"/>
          <w:color w:val="auto"/>
          <w:sz w:val="24"/>
          <w:szCs w:val="24"/>
        </w:rPr>
        <w:t>na przygotowanie raportu ewaluacyjnego podsumowującego efekty realizacji programu</w:t>
      </w:r>
      <w:r w:rsidR="000E07A8" w:rsidRPr="00237760">
        <w:rPr>
          <w:rFonts w:ascii="Arial" w:hAnsi="Arial" w:cs="Arial"/>
          <w:color w:val="auto"/>
          <w:sz w:val="24"/>
          <w:szCs w:val="24"/>
        </w:rPr>
        <w:t xml:space="preserve"> (</w:t>
      </w:r>
      <w:r w:rsidR="00CF703D" w:rsidRPr="00237760">
        <w:rPr>
          <w:rFonts w:ascii="Arial" w:hAnsi="Arial" w:cs="Arial"/>
          <w:color w:val="auto"/>
          <w:sz w:val="24"/>
          <w:szCs w:val="24"/>
        </w:rPr>
        <w:t xml:space="preserve">obowiązek </w:t>
      </w:r>
      <w:r w:rsidR="000E07A8" w:rsidRPr="00237760">
        <w:rPr>
          <w:rFonts w:ascii="Arial" w:hAnsi="Arial" w:cs="Arial"/>
          <w:color w:val="auto"/>
          <w:sz w:val="24"/>
          <w:szCs w:val="24"/>
        </w:rPr>
        <w:t>wynika z art. 17 ust. 1 pkt 6 ustawy)</w:t>
      </w:r>
      <w:r w:rsidR="007F50BE" w:rsidRPr="00237760">
        <w:rPr>
          <w:rFonts w:ascii="Arial" w:hAnsi="Arial" w:cs="Arial"/>
          <w:color w:val="auto"/>
          <w:sz w:val="24"/>
          <w:szCs w:val="24"/>
        </w:rPr>
        <w:t>,</w:t>
      </w:r>
    </w:p>
    <w:p w14:paraId="0CDFBC7D" w14:textId="6272661A" w:rsidR="00472423" w:rsidRPr="00237760" w:rsidRDefault="007F50BE" w:rsidP="009367B4">
      <w:pPr>
        <w:pStyle w:val="Akapitzlist"/>
        <w:numPr>
          <w:ilvl w:val="0"/>
          <w:numId w:val="35"/>
        </w:numPr>
        <w:ind w:left="426"/>
        <w:jc w:val="left"/>
        <w:rPr>
          <w:rFonts w:ascii="Arial" w:hAnsi="Arial" w:cs="Arial"/>
          <w:color w:val="auto"/>
          <w:sz w:val="24"/>
          <w:szCs w:val="24"/>
        </w:rPr>
      </w:pPr>
      <w:r w:rsidRPr="00237760">
        <w:rPr>
          <w:rFonts w:ascii="Arial" w:hAnsi="Arial" w:cs="Arial"/>
          <w:color w:val="auto"/>
          <w:sz w:val="24"/>
          <w:szCs w:val="24"/>
        </w:rPr>
        <w:t>wskazanie zakresu planowanej interwencji, która będzie realizowana w ujęciu terytorialnym, możliwy</w:t>
      </w:r>
      <w:r w:rsidR="008A707B" w:rsidRPr="00237760">
        <w:rPr>
          <w:rFonts w:ascii="Arial" w:hAnsi="Arial" w:cs="Arial"/>
          <w:color w:val="auto"/>
          <w:sz w:val="24"/>
          <w:szCs w:val="24"/>
        </w:rPr>
        <w:t>m</w:t>
      </w:r>
      <w:r w:rsidRPr="00237760">
        <w:rPr>
          <w:rFonts w:ascii="Arial" w:hAnsi="Arial" w:cs="Arial"/>
          <w:color w:val="auto"/>
          <w:sz w:val="24"/>
          <w:szCs w:val="24"/>
        </w:rPr>
        <w:t xml:space="preserve"> do objęcia kontraktem sektorowym </w:t>
      </w:r>
      <w:r w:rsidR="00E960C1" w:rsidRPr="00237760">
        <w:rPr>
          <w:rFonts w:ascii="Arial" w:hAnsi="Arial" w:cs="Arial"/>
          <w:color w:val="auto"/>
          <w:sz w:val="24"/>
          <w:szCs w:val="24"/>
        </w:rPr>
        <w:t>(wynika z art. 17 ust. 1 pkt 7)</w:t>
      </w:r>
      <w:r w:rsidR="002E004F" w:rsidRPr="00237760">
        <w:rPr>
          <w:rStyle w:val="Odwoanieprzypisudolnego"/>
          <w:rFonts w:ascii="Arial" w:hAnsi="Arial" w:cs="Arial"/>
          <w:color w:val="auto"/>
          <w:sz w:val="24"/>
          <w:szCs w:val="24"/>
        </w:rPr>
        <w:footnoteReference w:id="32"/>
      </w:r>
      <w:r w:rsidR="003873EC" w:rsidRPr="00237760">
        <w:rPr>
          <w:rFonts w:ascii="Arial" w:hAnsi="Arial" w:cs="Arial"/>
          <w:color w:val="auto"/>
          <w:sz w:val="24"/>
          <w:szCs w:val="24"/>
        </w:rPr>
        <w:t>,</w:t>
      </w:r>
    </w:p>
    <w:p w14:paraId="59C3F093" w14:textId="02974FC1" w:rsidR="003873EC" w:rsidRPr="00237760" w:rsidRDefault="003873EC" w:rsidP="009367B4">
      <w:pPr>
        <w:pStyle w:val="Akapitzlist"/>
        <w:numPr>
          <w:ilvl w:val="0"/>
          <w:numId w:val="35"/>
        </w:numPr>
        <w:ind w:left="426"/>
        <w:jc w:val="left"/>
        <w:rPr>
          <w:rFonts w:ascii="Arial" w:hAnsi="Arial" w:cs="Arial"/>
          <w:color w:val="auto"/>
          <w:sz w:val="24"/>
          <w:szCs w:val="24"/>
        </w:rPr>
      </w:pPr>
      <w:r w:rsidRPr="00237760">
        <w:rPr>
          <w:rFonts w:ascii="Arial" w:hAnsi="Arial" w:cs="Arial"/>
          <w:color w:val="auto"/>
          <w:sz w:val="24"/>
          <w:szCs w:val="24"/>
        </w:rPr>
        <w:t>określenie w Programie celu głównego</w:t>
      </w:r>
      <w:r w:rsidR="007D4E17" w:rsidRPr="00237760">
        <w:rPr>
          <w:rFonts w:ascii="Arial" w:hAnsi="Arial" w:cs="Arial"/>
          <w:color w:val="auto"/>
          <w:sz w:val="24"/>
          <w:szCs w:val="24"/>
        </w:rPr>
        <w:t xml:space="preserve"> i wskazanie sposobu mierzenia jego realizacji</w:t>
      </w:r>
      <w:r w:rsidR="009306DB" w:rsidRPr="00237760">
        <w:rPr>
          <w:rFonts w:ascii="Arial" w:hAnsi="Arial" w:cs="Arial"/>
          <w:color w:val="auto"/>
          <w:sz w:val="24"/>
          <w:szCs w:val="24"/>
        </w:rPr>
        <w:t xml:space="preserve"> (wynika z art. 17 ust. 1 pkt 3</w:t>
      </w:r>
      <w:r w:rsidR="007D4E17" w:rsidRPr="00237760">
        <w:rPr>
          <w:rFonts w:ascii="Arial" w:hAnsi="Arial" w:cs="Arial"/>
          <w:color w:val="auto"/>
          <w:sz w:val="24"/>
          <w:szCs w:val="24"/>
        </w:rPr>
        <w:t xml:space="preserve"> i 8</w:t>
      </w:r>
      <w:r w:rsidR="009306DB" w:rsidRPr="00237760">
        <w:rPr>
          <w:rFonts w:ascii="Arial" w:hAnsi="Arial" w:cs="Arial"/>
          <w:color w:val="auto"/>
          <w:sz w:val="24"/>
          <w:szCs w:val="24"/>
        </w:rPr>
        <w:t>)</w:t>
      </w:r>
      <w:r w:rsidRPr="00237760">
        <w:rPr>
          <w:rFonts w:ascii="Arial" w:hAnsi="Arial" w:cs="Arial"/>
          <w:color w:val="auto"/>
          <w:sz w:val="24"/>
          <w:szCs w:val="24"/>
        </w:rPr>
        <w:t>.</w:t>
      </w:r>
    </w:p>
    <w:bookmarkEnd w:id="153"/>
    <w:p w14:paraId="18956933" w14:textId="58286DED" w:rsidR="0047693B" w:rsidRPr="00237760" w:rsidRDefault="00B95916" w:rsidP="009367B4">
      <w:pPr>
        <w:jc w:val="left"/>
        <w:rPr>
          <w:rFonts w:ascii="Arial" w:hAnsi="Arial" w:cs="Arial"/>
          <w:color w:val="auto"/>
          <w:sz w:val="24"/>
          <w:szCs w:val="24"/>
        </w:rPr>
      </w:pPr>
      <w:r w:rsidRPr="00237760">
        <w:rPr>
          <w:rFonts w:ascii="Arial" w:hAnsi="Arial" w:cs="Arial"/>
          <w:color w:val="auto"/>
          <w:sz w:val="24"/>
          <w:szCs w:val="24"/>
        </w:rPr>
        <w:t xml:space="preserve">Nie uznaje się za uchybienie </w:t>
      </w:r>
      <w:r w:rsidR="00DC291A" w:rsidRPr="00237760">
        <w:rPr>
          <w:rFonts w:ascii="Arial" w:hAnsi="Arial" w:cs="Arial"/>
          <w:color w:val="auto"/>
          <w:sz w:val="24"/>
          <w:szCs w:val="24"/>
        </w:rPr>
        <w:t>brak</w:t>
      </w:r>
      <w:r w:rsidR="00474D27" w:rsidRPr="00237760">
        <w:rPr>
          <w:rFonts w:ascii="Arial" w:hAnsi="Arial" w:cs="Arial"/>
          <w:color w:val="auto"/>
          <w:sz w:val="24"/>
          <w:szCs w:val="24"/>
        </w:rPr>
        <w:t>u</w:t>
      </w:r>
      <w:r w:rsidR="00DC291A" w:rsidRPr="00237760">
        <w:rPr>
          <w:rFonts w:ascii="Arial" w:hAnsi="Arial" w:cs="Arial"/>
          <w:color w:val="auto"/>
          <w:sz w:val="24"/>
          <w:szCs w:val="24"/>
        </w:rPr>
        <w:t xml:space="preserve"> przedstawienia szczegółowych informacji dotyczących wysokości współfinansowania</w:t>
      </w:r>
      <w:r w:rsidR="00B65DD7" w:rsidRPr="00237760">
        <w:rPr>
          <w:rFonts w:ascii="Arial" w:hAnsi="Arial" w:cs="Arial"/>
          <w:color w:val="auto"/>
          <w:sz w:val="24"/>
          <w:szCs w:val="24"/>
        </w:rPr>
        <w:t xml:space="preserve"> planowanej interwencji, gdyż na obecnym</w:t>
      </w:r>
      <w:r w:rsidR="007A6A13" w:rsidRPr="00237760">
        <w:rPr>
          <w:rFonts w:ascii="Arial" w:hAnsi="Arial" w:cs="Arial"/>
          <w:color w:val="auto"/>
          <w:sz w:val="24"/>
          <w:szCs w:val="24"/>
        </w:rPr>
        <w:t xml:space="preserve"> etapie</w:t>
      </w:r>
      <w:r w:rsidR="00B65DD7" w:rsidRPr="00237760">
        <w:rPr>
          <w:rFonts w:ascii="Arial" w:hAnsi="Arial" w:cs="Arial"/>
          <w:color w:val="auto"/>
          <w:sz w:val="24"/>
          <w:szCs w:val="24"/>
        </w:rPr>
        <w:t xml:space="preserve"> przedstawienie takich analiz nie jest możliwe</w:t>
      </w:r>
      <w:r w:rsidR="007A6A13" w:rsidRPr="00237760">
        <w:rPr>
          <w:rFonts w:ascii="Arial" w:hAnsi="Arial" w:cs="Arial"/>
          <w:color w:val="auto"/>
          <w:sz w:val="24"/>
          <w:szCs w:val="24"/>
        </w:rPr>
        <w:t>.</w:t>
      </w:r>
    </w:p>
    <w:p w14:paraId="3D15D56F" w14:textId="3F80B5C5" w:rsidR="0083430F" w:rsidRPr="00237760" w:rsidRDefault="0083430F" w:rsidP="009367B4">
      <w:pPr>
        <w:pStyle w:val="Nagwek3"/>
        <w:rPr>
          <w:rFonts w:ascii="Arial" w:hAnsi="Arial" w:cs="Arial"/>
          <w:color w:val="auto"/>
          <w:sz w:val="24"/>
          <w:szCs w:val="24"/>
        </w:rPr>
      </w:pPr>
      <w:bookmarkStart w:id="156" w:name="_Toc101904135"/>
      <w:r w:rsidRPr="00237760">
        <w:rPr>
          <w:rFonts w:ascii="Arial" w:hAnsi="Arial" w:cs="Arial"/>
          <w:color w:val="auto"/>
          <w:sz w:val="24"/>
          <w:szCs w:val="24"/>
        </w:rPr>
        <w:t xml:space="preserve">Zgodność z pakietem </w:t>
      </w:r>
      <w:bookmarkStart w:id="157" w:name="_Hlk100699174"/>
      <w:r w:rsidRPr="00237760">
        <w:rPr>
          <w:rFonts w:ascii="Arial" w:hAnsi="Arial" w:cs="Arial"/>
          <w:color w:val="auto"/>
          <w:sz w:val="24"/>
          <w:szCs w:val="24"/>
        </w:rPr>
        <w:t>rozporządzeń dla polityki spójności na lata 2021-2027</w:t>
      </w:r>
      <w:r w:rsidR="005E3448" w:rsidRPr="00237760">
        <w:rPr>
          <w:rFonts w:ascii="Arial" w:hAnsi="Arial" w:cs="Arial"/>
          <w:color w:val="auto"/>
          <w:sz w:val="24"/>
          <w:szCs w:val="24"/>
        </w:rPr>
        <w:t xml:space="preserve"> oraz </w:t>
      </w:r>
      <w:r w:rsidR="00A43F6D" w:rsidRPr="00237760">
        <w:rPr>
          <w:rFonts w:ascii="Arial" w:hAnsi="Arial" w:cs="Arial"/>
          <w:color w:val="auto"/>
          <w:sz w:val="24"/>
          <w:szCs w:val="24"/>
        </w:rPr>
        <w:t>programami operacyjnymi poziomu krajowego</w:t>
      </w:r>
      <w:bookmarkEnd w:id="156"/>
    </w:p>
    <w:bookmarkEnd w:id="157"/>
    <w:p w14:paraId="16B80D4A" w14:textId="0583063F" w:rsidR="0083430F" w:rsidRPr="00237760" w:rsidRDefault="00751C91"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 xml:space="preserve">Przygotowany przez </w:t>
      </w:r>
      <w:r w:rsidR="00673E03" w:rsidRPr="00237760">
        <w:rPr>
          <w:rFonts w:ascii="Arial" w:hAnsi="Arial" w:cs="Arial"/>
          <w:color w:val="auto"/>
          <w:sz w:val="24"/>
          <w:szCs w:val="24"/>
          <w:lang w:eastAsia="pl-PL"/>
        </w:rPr>
        <w:t xml:space="preserve">Parlament Europejski i </w:t>
      </w:r>
      <w:r w:rsidR="00187C46" w:rsidRPr="00237760">
        <w:rPr>
          <w:rFonts w:ascii="Arial" w:hAnsi="Arial" w:cs="Arial"/>
          <w:color w:val="auto"/>
          <w:sz w:val="24"/>
          <w:szCs w:val="24"/>
          <w:lang w:eastAsia="pl-PL"/>
        </w:rPr>
        <w:t>Rad</w:t>
      </w:r>
      <w:r w:rsidRPr="00237760">
        <w:rPr>
          <w:rFonts w:ascii="Arial" w:hAnsi="Arial" w:cs="Arial"/>
          <w:color w:val="auto"/>
          <w:sz w:val="24"/>
          <w:szCs w:val="24"/>
          <w:lang w:eastAsia="pl-PL"/>
        </w:rPr>
        <w:t>ę</w:t>
      </w:r>
      <w:r w:rsidR="00187C46" w:rsidRPr="00237760">
        <w:rPr>
          <w:rFonts w:ascii="Arial" w:hAnsi="Arial" w:cs="Arial"/>
          <w:color w:val="auto"/>
          <w:sz w:val="24"/>
          <w:szCs w:val="24"/>
          <w:lang w:eastAsia="pl-PL"/>
        </w:rPr>
        <w:t xml:space="preserve"> UE pakiet pięciu rozporządzeń, </w:t>
      </w:r>
      <w:r w:rsidR="003D4B82" w:rsidRPr="00237760">
        <w:rPr>
          <w:rFonts w:ascii="Arial" w:hAnsi="Arial" w:cs="Arial"/>
          <w:color w:val="auto"/>
          <w:sz w:val="24"/>
          <w:szCs w:val="24"/>
          <w:lang w:eastAsia="pl-PL"/>
        </w:rPr>
        <w:t>będących podstawą</w:t>
      </w:r>
      <w:r w:rsidR="00187C46" w:rsidRPr="00237760">
        <w:rPr>
          <w:rFonts w:ascii="Arial" w:hAnsi="Arial" w:cs="Arial"/>
          <w:color w:val="auto"/>
          <w:sz w:val="24"/>
          <w:szCs w:val="24"/>
          <w:lang w:eastAsia="pl-PL"/>
        </w:rPr>
        <w:t xml:space="preserve"> polityki spójności na lata 2021-2027</w:t>
      </w:r>
      <w:r w:rsidRPr="00237760">
        <w:rPr>
          <w:rFonts w:ascii="Arial" w:hAnsi="Arial" w:cs="Arial"/>
          <w:color w:val="auto"/>
          <w:sz w:val="24"/>
          <w:szCs w:val="24"/>
          <w:lang w:eastAsia="pl-PL"/>
        </w:rPr>
        <w:t xml:space="preserve"> składa się z:</w:t>
      </w:r>
    </w:p>
    <w:p w14:paraId="48B207C5" w14:textId="48A1D939" w:rsidR="00332125" w:rsidRPr="00237760" w:rsidRDefault="00332125" w:rsidP="009367B4">
      <w:pPr>
        <w:pStyle w:val="Akapitzlist"/>
        <w:numPr>
          <w:ilvl w:val="0"/>
          <w:numId w:val="36"/>
        </w:numPr>
        <w:ind w:left="426"/>
        <w:jc w:val="left"/>
        <w:rPr>
          <w:rFonts w:ascii="Arial" w:hAnsi="Arial" w:cs="Arial"/>
          <w:color w:val="auto"/>
          <w:sz w:val="24"/>
          <w:szCs w:val="24"/>
        </w:rPr>
      </w:pPr>
      <w:r w:rsidRPr="00237760">
        <w:rPr>
          <w:rFonts w:ascii="Arial" w:hAnsi="Arial" w:cs="Arial"/>
          <w:i/>
          <w:color w:val="auto"/>
          <w:sz w:val="24"/>
          <w:szCs w:val="24"/>
        </w:rPr>
        <w:t>Rozporządzeni</w:t>
      </w:r>
      <w:r w:rsidR="00267F24" w:rsidRPr="00237760">
        <w:rPr>
          <w:rFonts w:ascii="Arial" w:hAnsi="Arial" w:cs="Arial"/>
          <w:i/>
          <w:color w:val="auto"/>
          <w:sz w:val="24"/>
          <w:szCs w:val="24"/>
        </w:rPr>
        <w:t>a</w:t>
      </w:r>
      <w:r w:rsidRPr="00237760">
        <w:rPr>
          <w:rFonts w:ascii="Arial" w:hAnsi="Arial" w:cs="Arial"/>
          <w:i/>
          <w:color w:val="auto"/>
          <w:sz w:val="24"/>
          <w:szCs w:val="24"/>
        </w:rPr>
        <w:t xml:space="preserve"> Parlamentu Europejskiego i Rady (UE) 2021/1060 z dnia 24 czerwca 2021 r. ustanawiające</w:t>
      </w:r>
      <w:r w:rsidR="00267F24" w:rsidRPr="00237760">
        <w:rPr>
          <w:rFonts w:ascii="Arial" w:hAnsi="Arial" w:cs="Arial"/>
          <w:i/>
          <w:color w:val="auto"/>
          <w:sz w:val="24"/>
          <w:szCs w:val="24"/>
        </w:rPr>
        <w:t>go</w:t>
      </w:r>
      <w:r w:rsidRPr="00237760">
        <w:rPr>
          <w:rFonts w:ascii="Arial" w:hAnsi="Arial" w:cs="Arial"/>
          <w:i/>
          <w:color w:val="auto"/>
          <w:sz w:val="24"/>
          <w:szCs w:val="24"/>
        </w:rPr>
        <w:t xml:space="preserv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w:t>
      </w:r>
      <w:r w:rsidRPr="00237760">
        <w:rPr>
          <w:rFonts w:ascii="Arial" w:hAnsi="Arial" w:cs="Arial"/>
          <w:i/>
          <w:color w:val="auto"/>
          <w:sz w:val="24"/>
          <w:szCs w:val="24"/>
        </w:rPr>
        <w:lastRenderedPageBreak/>
        <w:t>Finansowego na rzecz Zarządzania Granicami i Polityki Wizowej</w:t>
      </w:r>
      <w:r w:rsidR="00896D4A" w:rsidRPr="00237760">
        <w:rPr>
          <w:rFonts w:ascii="Arial" w:hAnsi="Arial" w:cs="Arial"/>
          <w:color w:val="auto"/>
          <w:sz w:val="24"/>
          <w:szCs w:val="24"/>
        </w:rPr>
        <w:t xml:space="preserve"> (tzw. rozporządzenie ramowe),</w:t>
      </w:r>
    </w:p>
    <w:p w14:paraId="7B3D9E8E" w14:textId="5113AB5F" w:rsidR="00267F24" w:rsidRPr="00237760" w:rsidRDefault="001C0B1B" w:rsidP="009367B4">
      <w:pPr>
        <w:pStyle w:val="Akapitzlist"/>
        <w:numPr>
          <w:ilvl w:val="0"/>
          <w:numId w:val="36"/>
        </w:numPr>
        <w:ind w:left="426"/>
        <w:jc w:val="left"/>
        <w:rPr>
          <w:rFonts w:ascii="Arial" w:hAnsi="Arial" w:cs="Arial"/>
          <w:color w:val="auto"/>
          <w:sz w:val="24"/>
          <w:szCs w:val="24"/>
        </w:rPr>
      </w:pPr>
      <w:r w:rsidRPr="00237760">
        <w:rPr>
          <w:rFonts w:ascii="Arial" w:hAnsi="Arial" w:cs="Arial"/>
          <w:i/>
          <w:color w:val="auto"/>
          <w:sz w:val="24"/>
          <w:szCs w:val="24"/>
        </w:rPr>
        <w:t xml:space="preserve">Rozporządzenia Parlamentu Europejskiego i Rady (UE) </w:t>
      </w:r>
      <w:r w:rsidR="00DA7AB7" w:rsidRPr="00237760">
        <w:rPr>
          <w:rFonts w:ascii="Arial" w:hAnsi="Arial" w:cs="Arial"/>
          <w:i/>
          <w:color w:val="auto"/>
          <w:sz w:val="24"/>
          <w:szCs w:val="24"/>
        </w:rPr>
        <w:t>2021/1058 z dnia 24 czerwca 2021 r. w sprawie Europejskiego Funduszu Rozwoju Regionalnego i Funduszu Spójności</w:t>
      </w:r>
      <w:r w:rsidRPr="00237760">
        <w:rPr>
          <w:rFonts w:ascii="Arial" w:hAnsi="Arial" w:cs="Arial"/>
          <w:color w:val="auto"/>
          <w:sz w:val="24"/>
          <w:szCs w:val="24"/>
        </w:rPr>
        <w:t>,</w:t>
      </w:r>
    </w:p>
    <w:p w14:paraId="3C4AA749" w14:textId="2935D018" w:rsidR="00E65105" w:rsidRPr="00237760" w:rsidRDefault="001C0B1B" w:rsidP="009367B4">
      <w:pPr>
        <w:pStyle w:val="Akapitzlist"/>
        <w:numPr>
          <w:ilvl w:val="0"/>
          <w:numId w:val="36"/>
        </w:numPr>
        <w:ind w:left="426"/>
        <w:jc w:val="left"/>
        <w:rPr>
          <w:rFonts w:ascii="Arial" w:hAnsi="Arial" w:cs="Arial"/>
          <w:color w:val="auto"/>
          <w:sz w:val="24"/>
          <w:szCs w:val="24"/>
        </w:rPr>
      </w:pPr>
      <w:r w:rsidRPr="00237760">
        <w:rPr>
          <w:rFonts w:ascii="Arial" w:hAnsi="Arial" w:cs="Arial"/>
          <w:i/>
          <w:color w:val="auto"/>
          <w:sz w:val="24"/>
          <w:szCs w:val="24"/>
        </w:rPr>
        <w:t>Rozporządzenia Parlamentu Europejskiego i Rady (UE)</w:t>
      </w:r>
      <w:r w:rsidR="00133E01" w:rsidRPr="00237760">
        <w:rPr>
          <w:rFonts w:ascii="Arial" w:hAnsi="Arial" w:cs="Arial"/>
          <w:i/>
          <w:color w:val="auto"/>
          <w:sz w:val="24"/>
          <w:szCs w:val="24"/>
        </w:rPr>
        <w:t xml:space="preserve"> 2021/1057 z dnia 24 czerwca 2021 r. ustanawiające Europejski Fundusz Społeczny Plus (EFS+) oraz uchylające rozporządzenie (UE) nr 1296/2013</w:t>
      </w:r>
      <w:r w:rsidR="00E65105" w:rsidRPr="00237760">
        <w:rPr>
          <w:rFonts w:ascii="Arial" w:hAnsi="Arial" w:cs="Arial"/>
          <w:color w:val="auto"/>
          <w:sz w:val="24"/>
          <w:szCs w:val="24"/>
        </w:rPr>
        <w:t>,</w:t>
      </w:r>
    </w:p>
    <w:p w14:paraId="0160522D" w14:textId="0667A438" w:rsidR="00E307BC" w:rsidRPr="00237760" w:rsidRDefault="009020B9" w:rsidP="009367B4">
      <w:pPr>
        <w:pStyle w:val="Akapitzlist"/>
        <w:numPr>
          <w:ilvl w:val="0"/>
          <w:numId w:val="36"/>
        </w:numPr>
        <w:ind w:left="426"/>
        <w:jc w:val="left"/>
        <w:rPr>
          <w:rFonts w:ascii="Arial" w:hAnsi="Arial" w:cs="Arial"/>
          <w:color w:val="auto"/>
          <w:sz w:val="24"/>
          <w:szCs w:val="24"/>
        </w:rPr>
      </w:pPr>
      <w:r w:rsidRPr="00237760">
        <w:rPr>
          <w:rFonts w:ascii="Arial" w:hAnsi="Arial" w:cs="Arial"/>
          <w:i/>
          <w:color w:val="auto"/>
          <w:sz w:val="24"/>
          <w:szCs w:val="24"/>
        </w:rPr>
        <w:t>Rozporządzenia Parlamentu Europejskiego i Rady (UE)2021/1059 z dnia 24 czerwca 2021 r. w sprawie przepisów szczegółowych dotyczących celu „Europejska współpraca terytorialna” (Interreg) wspieranego w ramach Europejskiego Funduszu Rozwoju Regionalnego oraz instrumentów finansowania zewnętrznego</w:t>
      </w:r>
      <w:r w:rsidR="00E307BC" w:rsidRPr="00237760">
        <w:rPr>
          <w:rFonts w:ascii="Arial" w:hAnsi="Arial" w:cs="Arial"/>
          <w:color w:val="auto"/>
          <w:sz w:val="24"/>
          <w:szCs w:val="24"/>
        </w:rPr>
        <w:t>,</w:t>
      </w:r>
    </w:p>
    <w:p w14:paraId="5357A98D" w14:textId="65DC7635" w:rsidR="00E307BC" w:rsidRPr="00237760" w:rsidRDefault="00E307BC" w:rsidP="009367B4">
      <w:pPr>
        <w:pStyle w:val="Akapitzlist"/>
        <w:numPr>
          <w:ilvl w:val="0"/>
          <w:numId w:val="36"/>
        </w:numPr>
        <w:ind w:left="426"/>
        <w:jc w:val="left"/>
        <w:rPr>
          <w:rFonts w:ascii="Arial" w:hAnsi="Arial" w:cs="Arial"/>
          <w:color w:val="auto"/>
          <w:sz w:val="24"/>
          <w:szCs w:val="24"/>
        </w:rPr>
      </w:pPr>
      <w:r w:rsidRPr="00237760">
        <w:rPr>
          <w:rFonts w:ascii="Arial" w:hAnsi="Arial" w:cs="Arial"/>
          <w:i/>
          <w:color w:val="auto"/>
          <w:sz w:val="24"/>
          <w:szCs w:val="24"/>
        </w:rPr>
        <w:t>Rozporządzenia Parlamentu Europejskiego i Rady (UE) 2021/1056 z dnia 24 czerwca 2021 r. ustanawiające Fundusz na rzecz Sprawiedliwej Transformacji</w:t>
      </w:r>
      <w:r w:rsidRPr="00237760">
        <w:rPr>
          <w:rFonts w:ascii="Arial" w:hAnsi="Arial" w:cs="Arial"/>
          <w:color w:val="auto"/>
          <w:sz w:val="24"/>
          <w:szCs w:val="24"/>
        </w:rPr>
        <w:t>.</w:t>
      </w:r>
    </w:p>
    <w:p w14:paraId="40CF2B61" w14:textId="7AA229BC" w:rsidR="00834797" w:rsidRPr="00237760" w:rsidRDefault="00834797"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 xml:space="preserve">W niniejszym rozdziale pominięto analizę zgodności </w:t>
      </w:r>
      <w:r w:rsidR="00426009" w:rsidRPr="00237760">
        <w:rPr>
          <w:rFonts w:ascii="Arial" w:hAnsi="Arial" w:cs="Arial"/>
          <w:color w:val="auto"/>
          <w:sz w:val="24"/>
          <w:szCs w:val="24"/>
          <w:lang w:eastAsia="pl-PL"/>
        </w:rPr>
        <w:t>PSRT WP</w:t>
      </w:r>
      <w:r w:rsidRPr="00237760">
        <w:rPr>
          <w:rFonts w:ascii="Arial" w:hAnsi="Arial" w:cs="Arial"/>
          <w:color w:val="auto"/>
          <w:sz w:val="24"/>
          <w:szCs w:val="24"/>
          <w:lang w:eastAsia="pl-PL"/>
        </w:rPr>
        <w:t xml:space="preserve"> z celami</w:t>
      </w:r>
      <w:r w:rsidR="00DD7E00" w:rsidRPr="00237760">
        <w:rPr>
          <w:rFonts w:ascii="Arial" w:hAnsi="Arial" w:cs="Arial"/>
          <w:color w:val="auto"/>
          <w:sz w:val="24"/>
          <w:szCs w:val="24"/>
          <w:lang w:eastAsia="pl-PL"/>
        </w:rPr>
        <w:t xml:space="preserve"> polityki przedstawionymi w</w:t>
      </w:r>
      <w:r w:rsidRPr="00237760">
        <w:rPr>
          <w:rFonts w:ascii="Arial" w:hAnsi="Arial" w:cs="Arial"/>
          <w:color w:val="auto"/>
          <w:sz w:val="24"/>
          <w:szCs w:val="24"/>
          <w:lang w:eastAsia="pl-PL"/>
        </w:rPr>
        <w:t xml:space="preserve"> </w:t>
      </w:r>
      <w:r w:rsidR="00CF5D8F" w:rsidRPr="00237760">
        <w:rPr>
          <w:rFonts w:ascii="Arial" w:hAnsi="Arial" w:cs="Arial"/>
          <w:color w:val="auto"/>
          <w:sz w:val="24"/>
          <w:szCs w:val="24"/>
          <w:lang w:eastAsia="pl-PL"/>
        </w:rPr>
        <w:t>rozporządzeni</w:t>
      </w:r>
      <w:r w:rsidR="00DD7E00" w:rsidRPr="00237760">
        <w:rPr>
          <w:rFonts w:ascii="Arial" w:hAnsi="Arial" w:cs="Arial"/>
          <w:color w:val="auto"/>
          <w:sz w:val="24"/>
          <w:szCs w:val="24"/>
          <w:lang w:eastAsia="pl-PL"/>
        </w:rPr>
        <w:t>u</w:t>
      </w:r>
      <w:r w:rsidR="00CF5D8F" w:rsidRPr="00237760">
        <w:rPr>
          <w:rFonts w:ascii="Arial" w:hAnsi="Arial" w:cs="Arial"/>
          <w:color w:val="auto"/>
          <w:sz w:val="24"/>
          <w:szCs w:val="24"/>
          <w:lang w:eastAsia="pl-PL"/>
        </w:rPr>
        <w:t xml:space="preserve"> ramow</w:t>
      </w:r>
      <w:r w:rsidR="00DD7E00" w:rsidRPr="00237760">
        <w:rPr>
          <w:rFonts w:ascii="Arial" w:hAnsi="Arial" w:cs="Arial"/>
          <w:color w:val="auto"/>
          <w:sz w:val="24"/>
          <w:szCs w:val="24"/>
          <w:lang w:eastAsia="pl-PL"/>
        </w:rPr>
        <w:t>ym</w:t>
      </w:r>
      <w:r w:rsidR="00CF5D8F" w:rsidRPr="00237760">
        <w:rPr>
          <w:rFonts w:ascii="Arial" w:hAnsi="Arial" w:cs="Arial"/>
          <w:color w:val="auto"/>
          <w:sz w:val="24"/>
          <w:szCs w:val="24"/>
          <w:lang w:eastAsia="pl-PL"/>
        </w:rPr>
        <w:t xml:space="preserve">, jako że w rozdziale </w:t>
      </w:r>
      <w:r w:rsidR="00A901E0" w:rsidRPr="00237760">
        <w:rPr>
          <w:rFonts w:ascii="Arial" w:hAnsi="Arial" w:cs="Arial"/>
          <w:color w:val="auto"/>
          <w:sz w:val="24"/>
          <w:szCs w:val="24"/>
          <w:lang w:eastAsia="pl-PL"/>
        </w:rPr>
        <w:fldChar w:fldCharType="begin"/>
      </w:r>
      <w:r w:rsidR="00A901E0" w:rsidRPr="00237760">
        <w:rPr>
          <w:rFonts w:ascii="Arial" w:hAnsi="Arial" w:cs="Arial"/>
          <w:color w:val="auto"/>
          <w:sz w:val="24"/>
          <w:szCs w:val="24"/>
          <w:lang w:eastAsia="pl-PL"/>
        </w:rPr>
        <w:instrText xml:space="preserve"> REF _Ref100699823 \r \h </w:instrText>
      </w:r>
      <w:r w:rsidR="00237760" w:rsidRPr="00237760">
        <w:rPr>
          <w:rFonts w:ascii="Arial" w:hAnsi="Arial" w:cs="Arial"/>
          <w:color w:val="auto"/>
          <w:sz w:val="24"/>
          <w:szCs w:val="24"/>
          <w:lang w:eastAsia="pl-PL"/>
        </w:rPr>
        <w:instrText xml:space="preserve"> \* MERGEFORMAT </w:instrText>
      </w:r>
      <w:r w:rsidR="00A901E0" w:rsidRPr="00237760">
        <w:rPr>
          <w:rFonts w:ascii="Arial" w:hAnsi="Arial" w:cs="Arial"/>
          <w:color w:val="auto"/>
          <w:sz w:val="24"/>
          <w:szCs w:val="24"/>
          <w:lang w:eastAsia="pl-PL"/>
        </w:rPr>
      </w:r>
      <w:r w:rsidR="00A901E0" w:rsidRPr="00237760">
        <w:rPr>
          <w:rFonts w:ascii="Arial" w:hAnsi="Arial" w:cs="Arial"/>
          <w:color w:val="auto"/>
          <w:sz w:val="24"/>
          <w:szCs w:val="24"/>
          <w:lang w:eastAsia="pl-PL"/>
        </w:rPr>
        <w:fldChar w:fldCharType="separate"/>
      </w:r>
      <w:r w:rsidR="00E52C19" w:rsidRPr="00237760">
        <w:rPr>
          <w:rFonts w:ascii="Arial" w:hAnsi="Arial" w:cs="Arial"/>
          <w:color w:val="auto"/>
          <w:sz w:val="24"/>
          <w:szCs w:val="24"/>
          <w:lang w:eastAsia="pl-PL"/>
        </w:rPr>
        <w:t>5.1.3</w:t>
      </w:r>
      <w:r w:rsidR="00A901E0" w:rsidRPr="00237760">
        <w:rPr>
          <w:rFonts w:ascii="Arial" w:hAnsi="Arial" w:cs="Arial"/>
          <w:color w:val="auto"/>
          <w:sz w:val="24"/>
          <w:szCs w:val="24"/>
          <w:lang w:eastAsia="pl-PL"/>
        </w:rPr>
        <w:fldChar w:fldCharType="end"/>
      </w:r>
      <w:r w:rsidR="00A901E0" w:rsidRPr="00237760">
        <w:rPr>
          <w:rFonts w:ascii="Arial" w:hAnsi="Arial" w:cs="Arial"/>
          <w:color w:val="auto"/>
          <w:sz w:val="24"/>
          <w:szCs w:val="24"/>
          <w:lang w:eastAsia="pl-PL"/>
        </w:rPr>
        <w:t xml:space="preserve"> </w:t>
      </w:r>
      <w:r w:rsidR="00DF067A" w:rsidRPr="00237760">
        <w:rPr>
          <w:rFonts w:ascii="Arial" w:hAnsi="Arial" w:cs="Arial"/>
          <w:color w:val="auto"/>
          <w:sz w:val="24"/>
          <w:szCs w:val="24"/>
          <w:lang w:eastAsia="pl-PL"/>
        </w:rPr>
        <w:t xml:space="preserve">przedstawiono </w:t>
      </w:r>
      <w:r w:rsidR="0015766D" w:rsidRPr="00237760">
        <w:rPr>
          <w:rFonts w:ascii="Arial" w:hAnsi="Arial" w:cs="Arial"/>
          <w:color w:val="auto"/>
          <w:sz w:val="24"/>
          <w:szCs w:val="24"/>
          <w:lang w:eastAsia="pl-PL"/>
        </w:rPr>
        <w:t xml:space="preserve">analizę </w:t>
      </w:r>
      <w:r w:rsidR="009018EB" w:rsidRPr="00237760">
        <w:rPr>
          <w:rFonts w:ascii="Arial" w:hAnsi="Arial" w:cs="Arial"/>
          <w:color w:val="auto"/>
          <w:sz w:val="24"/>
          <w:szCs w:val="24"/>
          <w:lang w:eastAsia="pl-PL"/>
        </w:rPr>
        <w:t xml:space="preserve">Umowy Partnerstwa, która zgodnie z art. 11 niniejszego rozporządzenia stanowi </w:t>
      </w:r>
      <w:r w:rsidR="00660479" w:rsidRPr="00237760">
        <w:rPr>
          <w:rFonts w:ascii="Arial" w:hAnsi="Arial" w:cs="Arial"/>
          <w:color w:val="auto"/>
          <w:sz w:val="24"/>
          <w:szCs w:val="24"/>
          <w:lang w:eastAsia="pl-PL"/>
        </w:rPr>
        <w:t xml:space="preserve">ich </w:t>
      </w:r>
      <w:r w:rsidR="009018EB" w:rsidRPr="00237760">
        <w:rPr>
          <w:rFonts w:ascii="Arial" w:hAnsi="Arial" w:cs="Arial"/>
          <w:color w:val="auto"/>
          <w:sz w:val="24"/>
          <w:szCs w:val="24"/>
          <w:lang w:eastAsia="pl-PL"/>
        </w:rPr>
        <w:t>uszczegółowienie</w:t>
      </w:r>
      <w:r w:rsidR="004D37F8" w:rsidRPr="00237760">
        <w:rPr>
          <w:rFonts w:ascii="Arial" w:hAnsi="Arial" w:cs="Arial"/>
          <w:color w:val="auto"/>
          <w:sz w:val="24"/>
          <w:szCs w:val="24"/>
          <w:lang w:eastAsia="pl-PL"/>
        </w:rPr>
        <w:t>.</w:t>
      </w:r>
    </w:p>
    <w:p w14:paraId="33915F64" w14:textId="29DAFA16" w:rsidR="00076E2E" w:rsidRPr="00237760" w:rsidRDefault="00EC1FB4"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 xml:space="preserve">Analiza wykazuje </w:t>
      </w:r>
      <w:r w:rsidR="00471CD5" w:rsidRPr="00237760">
        <w:rPr>
          <w:rFonts w:ascii="Arial" w:hAnsi="Arial" w:cs="Arial"/>
          <w:color w:val="auto"/>
          <w:sz w:val="24"/>
          <w:szCs w:val="24"/>
          <w:lang w:eastAsia="pl-PL"/>
        </w:rPr>
        <w:t>zgodność celów PSRT WP z rozporzą</w:t>
      </w:r>
      <w:r w:rsidR="002C704E" w:rsidRPr="00237760">
        <w:rPr>
          <w:rFonts w:ascii="Arial" w:hAnsi="Arial" w:cs="Arial"/>
          <w:color w:val="auto"/>
          <w:sz w:val="24"/>
          <w:szCs w:val="24"/>
          <w:lang w:eastAsia="pl-PL"/>
        </w:rPr>
        <w:t>dzeniem ws.</w:t>
      </w:r>
      <w:r w:rsidR="00471CD5" w:rsidRPr="00237760">
        <w:rPr>
          <w:rFonts w:ascii="Arial" w:hAnsi="Arial" w:cs="Arial"/>
          <w:color w:val="auto"/>
          <w:sz w:val="24"/>
          <w:szCs w:val="24"/>
          <w:lang w:eastAsia="pl-PL"/>
        </w:rPr>
        <w:t xml:space="preserve"> </w:t>
      </w:r>
      <w:r w:rsidR="002C704E" w:rsidRPr="00237760">
        <w:rPr>
          <w:rFonts w:ascii="Arial" w:hAnsi="Arial" w:cs="Arial"/>
          <w:color w:val="auto"/>
          <w:sz w:val="24"/>
          <w:szCs w:val="24"/>
          <w:lang w:eastAsia="pl-PL"/>
        </w:rPr>
        <w:t xml:space="preserve">EFRR i FS </w:t>
      </w:r>
      <w:r w:rsidR="000112F7" w:rsidRPr="00237760">
        <w:rPr>
          <w:rFonts w:ascii="Arial" w:hAnsi="Arial" w:cs="Arial"/>
          <w:color w:val="auto"/>
          <w:sz w:val="24"/>
          <w:szCs w:val="24"/>
          <w:lang w:eastAsia="pl-PL"/>
        </w:rPr>
        <w:t xml:space="preserve">na </w:t>
      </w:r>
      <w:r w:rsidR="00471CD5" w:rsidRPr="00237760">
        <w:rPr>
          <w:rFonts w:ascii="Arial" w:hAnsi="Arial" w:cs="Arial"/>
          <w:color w:val="auto"/>
          <w:sz w:val="24"/>
          <w:szCs w:val="24"/>
          <w:lang w:eastAsia="pl-PL"/>
        </w:rPr>
        <w:t>lata 2021-2027</w:t>
      </w:r>
      <w:r w:rsidR="002C704E" w:rsidRPr="00237760">
        <w:rPr>
          <w:rFonts w:ascii="Arial" w:hAnsi="Arial" w:cs="Arial"/>
          <w:color w:val="auto"/>
          <w:sz w:val="24"/>
          <w:szCs w:val="24"/>
          <w:lang w:eastAsia="pl-PL"/>
        </w:rPr>
        <w:t xml:space="preserve">, </w:t>
      </w:r>
      <w:r w:rsidR="009C5EE0" w:rsidRPr="00237760">
        <w:rPr>
          <w:rFonts w:ascii="Arial" w:hAnsi="Arial" w:cs="Arial"/>
          <w:color w:val="auto"/>
          <w:sz w:val="24"/>
          <w:szCs w:val="24"/>
          <w:lang w:eastAsia="pl-PL"/>
        </w:rPr>
        <w:t xml:space="preserve">czyli </w:t>
      </w:r>
      <w:r w:rsidR="000112F7" w:rsidRPr="00237760">
        <w:rPr>
          <w:rFonts w:ascii="Arial" w:hAnsi="Arial" w:cs="Arial"/>
          <w:color w:val="auto"/>
          <w:sz w:val="24"/>
          <w:szCs w:val="24"/>
          <w:lang w:eastAsia="pl-PL"/>
        </w:rPr>
        <w:t>dotycząc</w:t>
      </w:r>
      <w:r w:rsidR="004C2FE7" w:rsidRPr="00237760">
        <w:rPr>
          <w:rFonts w:ascii="Arial" w:hAnsi="Arial" w:cs="Arial"/>
          <w:color w:val="auto"/>
          <w:sz w:val="24"/>
          <w:szCs w:val="24"/>
          <w:lang w:eastAsia="pl-PL"/>
        </w:rPr>
        <w:t xml:space="preserve">ym </w:t>
      </w:r>
      <w:r w:rsidR="009C5EE0" w:rsidRPr="00237760">
        <w:rPr>
          <w:rFonts w:ascii="Arial" w:hAnsi="Arial" w:cs="Arial"/>
          <w:color w:val="auto"/>
          <w:sz w:val="24"/>
          <w:szCs w:val="24"/>
          <w:lang w:eastAsia="pl-PL"/>
        </w:rPr>
        <w:t>kluczowych dla ewaluowanego dokumentu</w:t>
      </w:r>
      <w:r w:rsidR="0086172E" w:rsidRPr="00237760">
        <w:rPr>
          <w:rFonts w:ascii="Arial" w:hAnsi="Arial" w:cs="Arial"/>
          <w:color w:val="auto"/>
          <w:sz w:val="24"/>
          <w:szCs w:val="24"/>
          <w:lang w:eastAsia="pl-PL"/>
        </w:rPr>
        <w:t xml:space="preserve"> funduszy</w:t>
      </w:r>
      <w:r w:rsidR="009C5EE0" w:rsidRPr="00237760">
        <w:rPr>
          <w:rFonts w:ascii="Arial" w:hAnsi="Arial" w:cs="Arial"/>
          <w:color w:val="auto"/>
          <w:sz w:val="24"/>
          <w:szCs w:val="24"/>
          <w:lang w:eastAsia="pl-PL"/>
        </w:rPr>
        <w:t>, ze względu na jego koncentrację tematyczną</w:t>
      </w:r>
      <w:r w:rsidR="00471CD5" w:rsidRPr="00237760">
        <w:rPr>
          <w:rStyle w:val="Odwoanieprzypisudolnego"/>
          <w:rFonts w:ascii="Arial" w:hAnsi="Arial" w:cs="Arial"/>
          <w:color w:val="auto"/>
          <w:sz w:val="24"/>
          <w:szCs w:val="24"/>
          <w:lang w:eastAsia="pl-PL"/>
        </w:rPr>
        <w:footnoteReference w:id="33"/>
      </w:r>
      <w:r w:rsidR="00471CD5" w:rsidRPr="00237760">
        <w:rPr>
          <w:rFonts w:ascii="Arial" w:hAnsi="Arial" w:cs="Arial"/>
          <w:color w:val="auto"/>
          <w:sz w:val="24"/>
          <w:szCs w:val="24"/>
          <w:lang w:eastAsia="pl-PL"/>
        </w:rPr>
        <w:t>.</w:t>
      </w:r>
      <w:r w:rsidR="004C2FE7" w:rsidRPr="00237760">
        <w:rPr>
          <w:rFonts w:ascii="Arial" w:hAnsi="Arial" w:cs="Arial"/>
          <w:color w:val="auto"/>
          <w:sz w:val="24"/>
          <w:szCs w:val="24"/>
          <w:lang w:eastAsia="pl-PL"/>
        </w:rPr>
        <w:t xml:space="preserve"> </w:t>
      </w:r>
    </w:p>
    <w:p w14:paraId="31E3939D" w14:textId="7CF878FE" w:rsidR="003471A9" w:rsidRPr="00237760" w:rsidRDefault="001C4E88" w:rsidP="009367B4">
      <w:pPr>
        <w:jc w:val="left"/>
        <w:rPr>
          <w:rFonts w:ascii="Arial" w:hAnsi="Arial" w:cs="Arial"/>
          <w:color w:val="auto"/>
          <w:sz w:val="24"/>
          <w:szCs w:val="24"/>
        </w:rPr>
      </w:pPr>
      <w:r w:rsidRPr="00237760">
        <w:rPr>
          <w:rFonts w:ascii="Arial" w:hAnsi="Arial" w:cs="Arial"/>
          <w:color w:val="auto"/>
          <w:sz w:val="24"/>
          <w:szCs w:val="24"/>
        </w:rPr>
        <w:t xml:space="preserve">Zakres </w:t>
      </w:r>
      <w:r w:rsidR="004C2FE7" w:rsidRPr="00237760">
        <w:rPr>
          <w:rFonts w:ascii="Arial" w:hAnsi="Arial" w:cs="Arial"/>
          <w:color w:val="auto"/>
          <w:sz w:val="24"/>
          <w:szCs w:val="24"/>
        </w:rPr>
        <w:t>tematyczny PSRT WP implikuje fakt najsilniejszej spójności z rozporządzeniem dotyczącym EFRR i FS poprzez cele szczegółowe związane z rozwojem transportu, czyli wytyczonych w niniejszym akcie prawnym w ramach CP3 „Lepiej połączona Europa” (</w:t>
      </w:r>
      <w:r w:rsidR="004C2FE7" w:rsidRPr="00237760">
        <w:rPr>
          <w:rFonts w:ascii="Arial" w:hAnsi="Arial" w:cs="Arial"/>
          <w:color w:val="auto"/>
          <w:sz w:val="24"/>
          <w:szCs w:val="24"/>
        </w:rPr>
        <w:fldChar w:fldCharType="begin"/>
      </w:r>
      <w:r w:rsidR="004C2FE7" w:rsidRPr="00237760">
        <w:rPr>
          <w:rFonts w:ascii="Arial" w:hAnsi="Arial" w:cs="Arial"/>
          <w:color w:val="auto"/>
          <w:sz w:val="24"/>
          <w:szCs w:val="24"/>
        </w:rPr>
        <w:instrText xml:space="preserve"> REF _Ref100921066 \h </w:instrText>
      </w:r>
      <w:r w:rsidR="00237760" w:rsidRPr="00237760">
        <w:rPr>
          <w:rFonts w:ascii="Arial" w:hAnsi="Arial" w:cs="Arial"/>
          <w:color w:val="auto"/>
          <w:sz w:val="24"/>
          <w:szCs w:val="24"/>
        </w:rPr>
        <w:instrText xml:space="preserve"> \* MERGEFORMAT </w:instrText>
      </w:r>
      <w:r w:rsidR="004C2FE7" w:rsidRPr="00237760">
        <w:rPr>
          <w:rFonts w:ascii="Arial" w:hAnsi="Arial" w:cs="Arial"/>
          <w:color w:val="auto"/>
          <w:sz w:val="24"/>
          <w:szCs w:val="24"/>
        </w:rPr>
      </w:r>
      <w:r w:rsidR="004C2FE7" w:rsidRPr="00237760">
        <w:rPr>
          <w:rFonts w:ascii="Arial" w:hAnsi="Arial" w:cs="Arial"/>
          <w:color w:val="auto"/>
          <w:sz w:val="24"/>
          <w:szCs w:val="24"/>
        </w:rPr>
        <w:fldChar w:fldCharType="separate"/>
      </w:r>
      <w:r w:rsidR="00E52C19" w:rsidRPr="00237760">
        <w:rPr>
          <w:rFonts w:ascii="Arial" w:hAnsi="Arial" w:cs="Arial"/>
          <w:color w:val="auto"/>
          <w:sz w:val="24"/>
          <w:szCs w:val="24"/>
        </w:rPr>
        <w:t xml:space="preserve">Tabela </w:t>
      </w:r>
      <w:r w:rsidR="00E52C19" w:rsidRPr="00237760">
        <w:rPr>
          <w:rFonts w:ascii="Arial" w:hAnsi="Arial" w:cs="Arial"/>
          <w:noProof/>
          <w:color w:val="auto"/>
          <w:sz w:val="24"/>
          <w:szCs w:val="24"/>
        </w:rPr>
        <w:t>18</w:t>
      </w:r>
      <w:r w:rsidR="004C2FE7" w:rsidRPr="00237760">
        <w:rPr>
          <w:rFonts w:ascii="Arial" w:hAnsi="Arial" w:cs="Arial"/>
          <w:color w:val="auto"/>
          <w:sz w:val="24"/>
          <w:szCs w:val="24"/>
        </w:rPr>
        <w:fldChar w:fldCharType="end"/>
      </w:r>
      <w:r w:rsidR="004C2FE7" w:rsidRPr="00237760">
        <w:rPr>
          <w:rFonts w:ascii="Arial" w:hAnsi="Arial" w:cs="Arial"/>
          <w:color w:val="auto"/>
          <w:sz w:val="24"/>
          <w:szCs w:val="24"/>
        </w:rPr>
        <w:t>). Silnie reprezentowane są również cele szczegółowe (EFRR i FS) skupiające się na ochronie środowiska, w szczególności dążące do mitygacji, przede wszystkim poprzez ograniczenie emisji oraz innego negatywnego wpływu transportu na środowisko (są to więc zarówno założenia w ramach CP2 „Bardziej przyjazna dla środowiska niskoemisyjna Europa”, jak i CP3 „Lepiej połączona Europa”).</w:t>
      </w:r>
    </w:p>
    <w:p w14:paraId="603CB840" w14:textId="2C17C590" w:rsidR="004C2FE7" w:rsidRPr="00237760" w:rsidRDefault="004C2FE7" w:rsidP="009367B4">
      <w:pPr>
        <w:jc w:val="left"/>
        <w:rPr>
          <w:rFonts w:ascii="Arial" w:hAnsi="Arial" w:cs="Arial"/>
          <w:color w:val="auto"/>
          <w:sz w:val="24"/>
          <w:szCs w:val="24"/>
        </w:rPr>
      </w:pPr>
      <w:r w:rsidRPr="00237760">
        <w:rPr>
          <w:rFonts w:ascii="Arial" w:hAnsi="Arial" w:cs="Arial"/>
          <w:color w:val="auto"/>
          <w:sz w:val="24"/>
          <w:szCs w:val="24"/>
        </w:rPr>
        <w:t>Poprzez poszczególne kierunki rozwoju PSRT WP</w:t>
      </w:r>
      <w:r w:rsidR="00BD35F9" w:rsidRPr="00237760">
        <w:rPr>
          <w:rFonts w:ascii="Arial" w:hAnsi="Arial" w:cs="Arial"/>
          <w:color w:val="auto"/>
          <w:sz w:val="24"/>
          <w:szCs w:val="24"/>
        </w:rPr>
        <w:t xml:space="preserve"> podejmuje </w:t>
      </w:r>
      <w:r w:rsidRPr="00237760">
        <w:rPr>
          <w:rFonts w:ascii="Arial" w:hAnsi="Arial" w:cs="Arial"/>
          <w:color w:val="auto"/>
          <w:sz w:val="24"/>
          <w:szCs w:val="24"/>
        </w:rPr>
        <w:t xml:space="preserve">też inne obszary tematyczne wskazane w niniejszym rozporządzeniu. Przykładem jest rozwój kultury i turystyki zrównoważonej (z naciskiem na ten drugi aspekt), w ramach, których rozwiązania pojawiają się we wszystkich celach podstawowych oraz w celu horyzontalnym 3. (są to dążenia łączące tematykę kultury, turystyki i transportu). </w:t>
      </w:r>
      <w:r w:rsidRPr="00237760">
        <w:rPr>
          <w:rFonts w:ascii="Arial" w:hAnsi="Arial" w:cs="Arial"/>
          <w:color w:val="auto"/>
          <w:sz w:val="24"/>
          <w:szCs w:val="24"/>
        </w:rPr>
        <w:lastRenderedPageBreak/>
        <w:t xml:space="preserve">Dokument PSRT WP stanowi zatem dość szeroką odpowiedź na zagadnienia wskazywane przez rozporządzenie (UE) 2021/1058 (stanowiące cele szczegółowe EFRR i Funduszu Spójności). Wskazane kierunki działań w ramach celów PSRT WP (w różnym stopniu) odpowiadają celom szczegółowym w ramach wszystkich celów polityki spójności. Co ważne, nie stoją też z żadnym z nich w sprzeczności. </w:t>
      </w:r>
    </w:p>
    <w:p w14:paraId="2D15CFCE" w14:textId="07A53800" w:rsidR="00622B2D" w:rsidRPr="00237760" w:rsidRDefault="00622B2D" w:rsidP="009367B4">
      <w:pPr>
        <w:pStyle w:val="Legenda"/>
        <w:jc w:val="left"/>
        <w:rPr>
          <w:rFonts w:ascii="Arial" w:hAnsi="Arial" w:cs="Arial"/>
          <w:color w:val="auto"/>
          <w:sz w:val="24"/>
          <w:szCs w:val="24"/>
        </w:rPr>
      </w:pPr>
      <w:bookmarkStart w:id="158" w:name="_Ref100921066"/>
      <w:bookmarkStart w:id="159" w:name="_Toc101904259"/>
      <w:r w:rsidRPr="00237760">
        <w:rPr>
          <w:rFonts w:ascii="Arial" w:hAnsi="Arial" w:cs="Arial"/>
          <w:color w:val="auto"/>
          <w:sz w:val="24"/>
          <w:szCs w:val="24"/>
        </w:rPr>
        <w:t xml:space="preserve">Tabela </w:t>
      </w:r>
      <w:r w:rsidRPr="00237760">
        <w:rPr>
          <w:rFonts w:ascii="Arial" w:hAnsi="Arial" w:cs="Arial"/>
          <w:color w:val="auto"/>
          <w:sz w:val="24"/>
          <w:szCs w:val="24"/>
        </w:rPr>
        <w:fldChar w:fldCharType="begin"/>
      </w:r>
      <w:r w:rsidRPr="00237760">
        <w:rPr>
          <w:rFonts w:ascii="Arial" w:hAnsi="Arial" w:cs="Arial"/>
          <w:noProof/>
          <w:color w:val="auto"/>
          <w:sz w:val="24"/>
          <w:szCs w:val="24"/>
        </w:rPr>
        <w:instrText xml:space="preserve"> SEQ Tabela \* ARABIC </w:instrText>
      </w:r>
      <w:r w:rsidRPr="00237760">
        <w:rPr>
          <w:rFonts w:ascii="Arial" w:hAnsi="Arial" w:cs="Arial"/>
          <w:color w:val="auto"/>
          <w:sz w:val="24"/>
          <w:szCs w:val="24"/>
        </w:rPr>
        <w:fldChar w:fldCharType="separate"/>
      </w:r>
      <w:r w:rsidR="00762B20" w:rsidRPr="00237760">
        <w:rPr>
          <w:rFonts w:ascii="Arial" w:hAnsi="Arial" w:cs="Arial"/>
          <w:noProof/>
          <w:color w:val="auto"/>
          <w:sz w:val="24"/>
          <w:szCs w:val="24"/>
        </w:rPr>
        <w:t>18</w:t>
      </w:r>
      <w:r w:rsidRPr="00237760">
        <w:rPr>
          <w:rFonts w:ascii="Arial" w:hAnsi="Arial" w:cs="Arial"/>
          <w:color w:val="auto"/>
          <w:sz w:val="24"/>
          <w:szCs w:val="24"/>
        </w:rPr>
        <w:fldChar w:fldCharType="end"/>
      </w:r>
      <w:bookmarkEnd w:id="158"/>
      <w:r w:rsidRPr="00237760">
        <w:rPr>
          <w:rFonts w:ascii="Arial" w:hAnsi="Arial" w:cs="Arial"/>
          <w:color w:val="auto"/>
          <w:sz w:val="24"/>
          <w:szCs w:val="24"/>
        </w:rPr>
        <w:t xml:space="preserve">. Ocena zgodności celów PSRT WP z założeniami </w:t>
      </w:r>
      <w:r w:rsidR="00837D5D" w:rsidRPr="00237760">
        <w:rPr>
          <w:rFonts w:ascii="Arial" w:hAnsi="Arial" w:cs="Arial"/>
          <w:color w:val="auto"/>
          <w:sz w:val="24"/>
          <w:szCs w:val="24"/>
        </w:rPr>
        <w:t>Rozporządzenia Parlamentu Europejskiego i Rady (UE) 2021/1058 z dnia 24 czerwca 2021 r. w sprawie Europejskiego Funduszu Rozwoju Regionalnego i Funduszu Spójności</w:t>
      </w:r>
      <w:r w:rsidR="00D94B89" w:rsidRPr="00237760">
        <w:rPr>
          <w:rStyle w:val="Odwoanieprzypisudolnego"/>
          <w:rFonts w:ascii="Arial" w:hAnsi="Arial" w:cs="Arial"/>
          <w:color w:val="auto"/>
          <w:sz w:val="24"/>
          <w:szCs w:val="24"/>
        </w:rPr>
        <w:footnoteReference w:id="34"/>
      </w:r>
      <w:bookmarkEnd w:id="159"/>
    </w:p>
    <w:tbl>
      <w:tblPr>
        <w:tblStyle w:val="Tabela-Siatka"/>
        <w:tblW w:w="9219" w:type="dxa"/>
        <w:tblInd w:w="-5"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57" w:type="dxa"/>
          <w:right w:w="57" w:type="dxa"/>
        </w:tblCellMar>
        <w:tblLook w:val="04A0" w:firstRow="1" w:lastRow="0" w:firstColumn="1" w:lastColumn="0" w:noHBand="0" w:noVBand="1"/>
        <w:tblCaption w:val="Tabela 18. Ocena zgodności celów PSRT WP z założeniami Rozporządzenia Parlamentu Europejskiego i Rady (UE) 2021/1058 z dnia 24 czerwca 2021 r. w sprawie Europejskiego Funduszu Rozwoju Regionalnego i Funduszu Spójności "/>
        <w:tblDescription w:val="Tabela zawiera Cele szczegółowe EFRR i Funduszu Spójności, Cele podstawowe PSRT WP, Cele horyzontalne PSRT WP"/>
      </w:tblPr>
      <w:tblGrid>
        <w:gridCol w:w="5108"/>
        <w:gridCol w:w="586"/>
        <w:gridCol w:w="586"/>
        <w:gridCol w:w="587"/>
        <w:gridCol w:w="84"/>
        <w:gridCol w:w="502"/>
        <w:gridCol w:w="587"/>
        <w:gridCol w:w="586"/>
        <w:gridCol w:w="587"/>
        <w:gridCol w:w="6"/>
      </w:tblGrid>
      <w:tr w:rsidR="00FB20A6" w:rsidRPr="00237760" w14:paraId="06F49E5B" w14:textId="77777777" w:rsidTr="00FB20A6">
        <w:trPr>
          <w:trHeight w:val="450"/>
          <w:tblHeader/>
        </w:trPr>
        <w:tc>
          <w:tcPr>
            <w:tcW w:w="5108" w:type="dxa"/>
            <w:vMerge w:val="restart"/>
            <w:tcBorders>
              <w:top w:val="single" w:sz="12" w:space="0" w:color="002060"/>
              <w:left w:val="nil"/>
              <w:bottom w:val="single" w:sz="4" w:space="0" w:color="BDD6EE" w:themeColor="accent1" w:themeTint="66"/>
              <w:right w:val="nil"/>
            </w:tcBorders>
            <w:shd w:val="clear" w:color="auto" w:fill="auto"/>
            <w:vAlign w:val="center"/>
            <w:hideMark/>
          </w:tcPr>
          <w:p w14:paraId="01252BAE" w14:textId="6942B7E2" w:rsidR="00FB20A6" w:rsidRPr="00237760" w:rsidRDefault="00FB20A6" w:rsidP="00FB20A6">
            <w:pPr>
              <w:spacing w:after="0" w:line="240" w:lineRule="auto"/>
              <w:jc w:val="left"/>
              <w:rPr>
                <w:rFonts w:ascii="Arial" w:hAnsi="Arial" w:cs="Arial"/>
                <w:b/>
                <w:color w:val="auto"/>
                <w:sz w:val="24"/>
                <w:szCs w:val="24"/>
              </w:rPr>
            </w:pPr>
            <w:r w:rsidRPr="00237760">
              <w:rPr>
                <w:rFonts w:ascii="Arial" w:hAnsi="Arial" w:cs="Arial"/>
                <w:b/>
                <w:color w:val="auto"/>
                <w:sz w:val="24"/>
                <w:szCs w:val="24"/>
              </w:rPr>
              <w:t>Cele szczegółowe EFRR i Funduszu Spójności</w:t>
            </w:r>
          </w:p>
        </w:tc>
        <w:tc>
          <w:tcPr>
            <w:tcW w:w="1843" w:type="dxa"/>
            <w:gridSpan w:val="4"/>
            <w:tcBorders>
              <w:top w:val="single" w:sz="12" w:space="0" w:color="002060"/>
              <w:left w:val="nil"/>
              <w:bottom w:val="single" w:sz="4" w:space="0" w:color="BDD6EE" w:themeColor="accent1" w:themeTint="66"/>
            </w:tcBorders>
            <w:shd w:val="clear" w:color="auto" w:fill="auto"/>
            <w:vAlign w:val="center"/>
          </w:tcPr>
          <w:p w14:paraId="0A09743A" w14:textId="5CAD183E" w:rsidR="00FB20A6" w:rsidRPr="00237760" w:rsidRDefault="00FB20A6" w:rsidP="00FB20A6">
            <w:pPr>
              <w:spacing w:after="0" w:line="240" w:lineRule="auto"/>
              <w:jc w:val="left"/>
              <w:rPr>
                <w:rFonts w:ascii="Arial" w:hAnsi="Arial" w:cs="Arial"/>
                <w:b/>
                <w:color w:val="auto"/>
                <w:sz w:val="24"/>
                <w:szCs w:val="24"/>
              </w:rPr>
            </w:pPr>
            <w:r w:rsidRPr="00237760">
              <w:rPr>
                <w:rFonts w:ascii="Arial" w:hAnsi="Arial" w:cs="Arial"/>
                <w:b/>
                <w:color w:val="auto"/>
                <w:sz w:val="24"/>
                <w:szCs w:val="24"/>
              </w:rPr>
              <w:t>Cele podstawowe PSRT WP</w:t>
            </w:r>
          </w:p>
        </w:tc>
        <w:tc>
          <w:tcPr>
            <w:tcW w:w="2268" w:type="dxa"/>
            <w:gridSpan w:val="5"/>
            <w:tcBorders>
              <w:top w:val="single" w:sz="12" w:space="0" w:color="002060"/>
              <w:left w:val="nil"/>
              <w:bottom w:val="single" w:sz="4" w:space="0" w:color="BDD6EE" w:themeColor="accent1" w:themeTint="66"/>
            </w:tcBorders>
            <w:shd w:val="clear" w:color="auto" w:fill="auto"/>
            <w:vAlign w:val="center"/>
          </w:tcPr>
          <w:p w14:paraId="27BC8986" w14:textId="358A6603" w:rsidR="00FB20A6" w:rsidRPr="00237760" w:rsidRDefault="00FB20A6" w:rsidP="00FB20A6">
            <w:pPr>
              <w:spacing w:after="0" w:line="240" w:lineRule="auto"/>
              <w:jc w:val="left"/>
              <w:rPr>
                <w:rFonts w:ascii="Arial" w:hAnsi="Arial" w:cs="Arial"/>
                <w:b/>
                <w:color w:val="auto"/>
                <w:sz w:val="24"/>
                <w:szCs w:val="24"/>
              </w:rPr>
            </w:pPr>
            <w:r w:rsidRPr="00237760">
              <w:rPr>
                <w:rFonts w:ascii="Arial" w:hAnsi="Arial" w:cs="Arial"/>
                <w:b/>
                <w:color w:val="auto"/>
                <w:sz w:val="24"/>
                <w:szCs w:val="24"/>
              </w:rPr>
              <w:t>Cele horyzontalne PSRT WP</w:t>
            </w:r>
          </w:p>
        </w:tc>
      </w:tr>
      <w:tr w:rsidR="00237760" w:rsidRPr="00237760" w14:paraId="3C39F08C" w14:textId="77777777" w:rsidTr="00FB20A6">
        <w:trPr>
          <w:gridAfter w:val="1"/>
          <w:wAfter w:w="6" w:type="dxa"/>
          <w:trHeight w:val="56"/>
          <w:tblHeader/>
        </w:trPr>
        <w:tc>
          <w:tcPr>
            <w:tcW w:w="5108" w:type="dxa"/>
            <w:vMerge/>
            <w:tcBorders>
              <w:top w:val="nil"/>
              <w:left w:val="nil"/>
              <w:bottom w:val="single" w:sz="4" w:space="0" w:color="BDD6EE" w:themeColor="accent1" w:themeTint="66"/>
              <w:right w:val="nil"/>
            </w:tcBorders>
            <w:shd w:val="clear" w:color="auto" w:fill="auto"/>
            <w:vAlign w:val="center"/>
            <w:hideMark/>
          </w:tcPr>
          <w:p w14:paraId="716BBB85" w14:textId="77777777" w:rsidR="00F0276A" w:rsidRPr="00237760" w:rsidRDefault="00F0276A" w:rsidP="009367B4">
            <w:pPr>
              <w:spacing w:after="0" w:line="240" w:lineRule="auto"/>
              <w:jc w:val="left"/>
              <w:rPr>
                <w:rFonts w:ascii="Arial" w:hAnsi="Arial" w:cs="Arial"/>
                <w:b/>
                <w:color w:val="auto"/>
                <w:sz w:val="24"/>
                <w:szCs w:val="24"/>
              </w:rPr>
            </w:pP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4D05D730" w14:textId="77777777" w:rsidR="00F0276A" w:rsidRPr="00237760" w:rsidRDefault="00F0276A"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741D2407" w14:textId="77777777" w:rsidR="00F0276A" w:rsidRPr="00237760" w:rsidRDefault="00F0276A"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1CFC0759" w14:textId="77777777" w:rsidR="00F0276A" w:rsidRPr="00237760" w:rsidRDefault="00F0276A"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586"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0BB29CE7" w14:textId="77777777" w:rsidR="00F0276A" w:rsidRPr="00237760" w:rsidRDefault="00F0276A"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5E3A0CE7" w14:textId="77777777" w:rsidR="00F0276A" w:rsidRPr="00237760" w:rsidRDefault="00F0276A"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nil"/>
            </w:tcBorders>
            <w:shd w:val="clear" w:color="auto" w:fill="auto"/>
          </w:tcPr>
          <w:p w14:paraId="740DE297" w14:textId="77777777" w:rsidR="00F0276A" w:rsidRPr="00237760" w:rsidRDefault="00F0276A"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nil"/>
            </w:tcBorders>
            <w:shd w:val="clear" w:color="auto" w:fill="auto"/>
          </w:tcPr>
          <w:p w14:paraId="53BAB18A" w14:textId="77777777" w:rsidR="00F0276A" w:rsidRPr="00237760" w:rsidRDefault="00F0276A"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4.</w:t>
            </w:r>
          </w:p>
        </w:tc>
      </w:tr>
      <w:tr w:rsidR="00237760" w:rsidRPr="00237760" w14:paraId="4B381935" w14:textId="77777777" w:rsidTr="00FB20A6">
        <w:trPr>
          <w:gridAfter w:val="1"/>
          <w:wAfter w:w="6" w:type="dxa"/>
          <w:trHeight w:val="1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15CDF68A" w14:textId="77777777" w:rsidR="00F0276A" w:rsidRPr="00237760" w:rsidRDefault="00F0276A"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Rozwijanie i wzmacnianie zdolności badawczych i innowacyjnych oraz wykorzystywanie zaawansowanych technologii</w:t>
            </w: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1977D125"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249F3715"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0B10F4C7"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248B2919"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09B45D68"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67701088"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5137229F" w14:textId="77777777" w:rsidR="00F0276A" w:rsidRPr="00237760" w:rsidRDefault="00F0276A" w:rsidP="009367B4">
            <w:pPr>
              <w:spacing w:after="0" w:line="240" w:lineRule="auto"/>
              <w:jc w:val="left"/>
              <w:rPr>
                <w:rFonts w:ascii="Arial" w:hAnsi="Arial" w:cs="Arial"/>
                <w:color w:val="auto"/>
                <w:sz w:val="24"/>
                <w:szCs w:val="24"/>
              </w:rPr>
            </w:pPr>
          </w:p>
        </w:tc>
      </w:tr>
      <w:tr w:rsidR="00237760" w:rsidRPr="00237760" w14:paraId="68E02E97" w14:textId="77777777" w:rsidTr="00FB20A6">
        <w:trPr>
          <w:gridAfter w:val="1"/>
          <w:wAfter w:w="6" w:type="dxa"/>
          <w:trHeight w:val="1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422BF23A" w14:textId="77777777" w:rsidR="00F0276A" w:rsidRPr="00237760" w:rsidRDefault="00F0276A"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Czerpanie korzyści z cyfryzacji dla obywateli, przedsiębiorstw, organizacji badawczych i instytucji publicznych</w:t>
            </w: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2AF86B18"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17315143"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5A072D23"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605B8196"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31874A95"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2E450FF8"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2A826EC4" w14:textId="77777777" w:rsidR="00F0276A" w:rsidRPr="00237760" w:rsidRDefault="00F0276A" w:rsidP="009367B4">
            <w:pPr>
              <w:spacing w:after="0" w:line="240" w:lineRule="auto"/>
              <w:jc w:val="left"/>
              <w:rPr>
                <w:rFonts w:ascii="Arial" w:hAnsi="Arial" w:cs="Arial"/>
                <w:color w:val="auto"/>
                <w:sz w:val="24"/>
                <w:szCs w:val="24"/>
              </w:rPr>
            </w:pPr>
          </w:p>
        </w:tc>
      </w:tr>
      <w:tr w:rsidR="00237760" w:rsidRPr="00237760" w14:paraId="2C910D42" w14:textId="77777777" w:rsidTr="00FB20A6">
        <w:trPr>
          <w:gridAfter w:val="1"/>
          <w:wAfter w:w="6" w:type="dxa"/>
          <w:trHeight w:val="70"/>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7B684B71" w14:textId="77777777" w:rsidR="00F0276A" w:rsidRPr="00237760" w:rsidRDefault="00F0276A"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Wzmacnianie trwałego wzrostu i konkurencyjności MŚP oraz tworzenie miejsc pracy w MŚP, w tym poprzez inwestycje produkcyjne </w:t>
            </w: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6B23202A"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3D95DDAC"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3965F769"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17D14E84"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53BDC97C"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32E78858"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776659D4" w14:textId="77777777" w:rsidR="00F0276A" w:rsidRPr="00237760" w:rsidRDefault="00F0276A" w:rsidP="009367B4">
            <w:pPr>
              <w:spacing w:after="0" w:line="240" w:lineRule="auto"/>
              <w:jc w:val="left"/>
              <w:rPr>
                <w:rFonts w:ascii="Arial" w:hAnsi="Arial" w:cs="Arial"/>
                <w:color w:val="auto"/>
                <w:sz w:val="24"/>
                <w:szCs w:val="24"/>
              </w:rPr>
            </w:pPr>
          </w:p>
        </w:tc>
      </w:tr>
      <w:tr w:rsidR="00237760" w:rsidRPr="00237760" w14:paraId="5021FF5E" w14:textId="77777777" w:rsidTr="00FB20A6">
        <w:trPr>
          <w:gridAfter w:val="1"/>
          <w:wAfter w:w="6" w:type="dxa"/>
          <w:trHeight w:val="70"/>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53B65E8A" w14:textId="77777777" w:rsidR="00F0276A" w:rsidRPr="00237760" w:rsidRDefault="00F0276A"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Rozwijanie umiejętności w zakresie inteligentnej specjalizacji, transformacji przemysłowej i przedsiębiorczości</w:t>
            </w: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1655AB81"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6FA11F65"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133E53FD"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5928D2C5"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0E2AC2CF"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1980409D"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683B9076" w14:textId="77777777" w:rsidR="00F0276A" w:rsidRPr="00237760" w:rsidRDefault="00F0276A" w:rsidP="009367B4">
            <w:pPr>
              <w:spacing w:after="0" w:line="240" w:lineRule="auto"/>
              <w:jc w:val="left"/>
              <w:rPr>
                <w:rFonts w:ascii="Arial" w:hAnsi="Arial" w:cs="Arial"/>
                <w:color w:val="auto"/>
                <w:sz w:val="24"/>
                <w:szCs w:val="24"/>
              </w:rPr>
            </w:pPr>
          </w:p>
        </w:tc>
      </w:tr>
      <w:tr w:rsidR="00237760" w:rsidRPr="00237760" w14:paraId="597862C6" w14:textId="77777777" w:rsidTr="00FB20A6">
        <w:trPr>
          <w:gridAfter w:val="1"/>
          <w:wAfter w:w="6" w:type="dxa"/>
          <w:trHeight w:val="70"/>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434EA6B2" w14:textId="77777777" w:rsidR="00F0276A" w:rsidRPr="00237760" w:rsidRDefault="00F0276A"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Udoskonalanie łączności cyfrowej</w:t>
            </w: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3B5DC392"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172487C4"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6F7927DE"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15FB5C4C"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671091C5"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01B51B52"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1BE5C9B8" w14:textId="77777777" w:rsidR="00F0276A" w:rsidRPr="00237760" w:rsidRDefault="00F0276A" w:rsidP="009367B4">
            <w:pPr>
              <w:spacing w:after="0" w:line="240" w:lineRule="auto"/>
              <w:jc w:val="left"/>
              <w:rPr>
                <w:rFonts w:ascii="Arial" w:hAnsi="Arial" w:cs="Arial"/>
                <w:color w:val="auto"/>
                <w:sz w:val="24"/>
                <w:szCs w:val="24"/>
              </w:rPr>
            </w:pPr>
          </w:p>
        </w:tc>
      </w:tr>
      <w:tr w:rsidR="00237760" w:rsidRPr="00237760" w14:paraId="2D62D443" w14:textId="77777777" w:rsidTr="00FB20A6">
        <w:trPr>
          <w:gridAfter w:val="1"/>
          <w:wAfter w:w="6" w:type="dxa"/>
          <w:trHeight w:val="70"/>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7A7228FB" w14:textId="77777777" w:rsidR="00F0276A" w:rsidRPr="00237760" w:rsidRDefault="00F0276A"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Wspieranie efektywności energetycznej i redukcji emisji gazów cieplarnianych</w:t>
            </w: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089B2A56"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43B3D02D"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64462B42"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72F665CE"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71AC8013"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01BA5D01"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658EABD4" w14:textId="77777777" w:rsidR="00F0276A" w:rsidRPr="00237760" w:rsidRDefault="00F0276A" w:rsidP="009367B4">
            <w:pPr>
              <w:spacing w:after="0" w:line="240" w:lineRule="auto"/>
              <w:jc w:val="left"/>
              <w:rPr>
                <w:rFonts w:ascii="Arial" w:hAnsi="Arial" w:cs="Arial"/>
                <w:color w:val="auto"/>
                <w:sz w:val="24"/>
                <w:szCs w:val="24"/>
              </w:rPr>
            </w:pPr>
          </w:p>
        </w:tc>
      </w:tr>
      <w:tr w:rsidR="00237760" w:rsidRPr="00237760" w14:paraId="60D776B0" w14:textId="77777777" w:rsidTr="00FB20A6">
        <w:trPr>
          <w:gridAfter w:val="1"/>
          <w:wAfter w:w="6" w:type="dxa"/>
          <w:trHeight w:val="70"/>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4375DC91" w14:textId="77777777" w:rsidR="00F0276A" w:rsidRPr="00237760" w:rsidRDefault="00F0276A"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Wspieranie energii odnawialnej zgodnie z dyrektywą (UE) 2018/2001, w tym określonymi w niej kryteriami zrównoważonego rozwoju</w:t>
            </w: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1B9B726E"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3581B1F0"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4B942512"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0D5EF810"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0F5F2D18"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5151BCCC"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47C4B819" w14:textId="77777777" w:rsidR="00F0276A" w:rsidRPr="00237760" w:rsidRDefault="00F0276A" w:rsidP="009367B4">
            <w:pPr>
              <w:spacing w:after="0" w:line="240" w:lineRule="auto"/>
              <w:jc w:val="left"/>
              <w:rPr>
                <w:rFonts w:ascii="Arial" w:hAnsi="Arial" w:cs="Arial"/>
                <w:color w:val="auto"/>
                <w:sz w:val="24"/>
                <w:szCs w:val="24"/>
              </w:rPr>
            </w:pPr>
          </w:p>
        </w:tc>
      </w:tr>
      <w:tr w:rsidR="00237760" w:rsidRPr="00237760" w14:paraId="0B035B6D" w14:textId="77777777" w:rsidTr="00FB20A6">
        <w:trPr>
          <w:gridAfter w:val="1"/>
          <w:wAfter w:w="6" w:type="dxa"/>
          <w:trHeight w:val="70"/>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44F13573" w14:textId="77777777" w:rsidR="00F0276A" w:rsidRPr="00237760" w:rsidRDefault="00F0276A"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Rozwój inteligentnych systemów i sieci energetycznych oraz systemów magazynowania energii poza transeuropejską siecią energetyczną (TEN-E)</w:t>
            </w: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749C4BC0"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2B12EFD3"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10873ADC"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vAlign w:val="center"/>
          </w:tcPr>
          <w:p w14:paraId="2EE9CF28"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5ABD0513"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2078980D"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4D6DDEA6" w14:textId="77777777" w:rsidR="00F0276A" w:rsidRPr="00237760" w:rsidRDefault="00F0276A" w:rsidP="009367B4">
            <w:pPr>
              <w:spacing w:after="0" w:line="240" w:lineRule="auto"/>
              <w:jc w:val="left"/>
              <w:rPr>
                <w:rFonts w:ascii="Arial" w:hAnsi="Arial" w:cs="Arial"/>
                <w:color w:val="auto"/>
                <w:sz w:val="24"/>
                <w:szCs w:val="24"/>
              </w:rPr>
            </w:pPr>
          </w:p>
        </w:tc>
      </w:tr>
      <w:tr w:rsidR="00237760" w:rsidRPr="00237760" w14:paraId="13A6C093" w14:textId="77777777" w:rsidTr="00FB20A6">
        <w:trPr>
          <w:gridAfter w:val="1"/>
          <w:wAfter w:w="6" w:type="dxa"/>
          <w:trHeight w:val="70"/>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1AD72543" w14:textId="77777777" w:rsidR="00F0276A" w:rsidRPr="00237760" w:rsidRDefault="00F0276A"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Wspieranie przystosowania się do zmian klimatu i zapobiegania ryzyku związanemu z klęskami żywiołowymi i katastrofami, a także odporności, z uwzględnieniem podejścia ekosystemowego</w:t>
            </w: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4ABD4BD0"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5B12478C"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674FAFA8"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7712AC26"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22633221"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5286ED6F"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1D4FA62D" w14:textId="77777777" w:rsidR="00F0276A" w:rsidRPr="00237760" w:rsidRDefault="00F0276A" w:rsidP="009367B4">
            <w:pPr>
              <w:spacing w:after="0" w:line="240" w:lineRule="auto"/>
              <w:jc w:val="left"/>
              <w:rPr>
                <w:rFonts w:ascii="Arial" w:hAnsi="Arial" w:cs="Arial"/>
                <w:color w:val="auto"/>
                <w:sz w:val="24"/>
                <w:szCs w:val="24"/>
              </w:rPr>
            </w:pPr>
          </w:p>
        </w:tc>
      </w:tr>
      <w:tr w:rsidR="00237760" w:rsidRPr="00237760" w14:paraId="09D14686" w14:textId="77777777" w:rsidTr="00FB20A6">
        <w:trPr>
          <w:gridAfter w:val="1"/>
          <w:wAfter w:w="6" w:type="dxa"/>
          <w:trHeight w:val="70"/>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7F369207" w14:textId="77777777" w:rsidR="00F0276A" w:rsidRPr="00237760" w:rsidRDefault="00F0276A"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lastRenderedPageBreak/>
              <w:t>Wspieranie dostępu do wody oraz zrównoważonej gospodarki wodnej</w:t>
            </w: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6B8D1372"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1E2FF4D4"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30D01899"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3A4C662C"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1FF86F7E"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18D9EF85"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7BC68460" w14:textId="77777777" w:rsidR="00F0276A" w:rsidRPr="00237760" w:rsidRDefault="00F0276A" w:rsidP="009367B4">
            <w:pPr>
              <w:spacing w:after="0" w:line="240" w:lineRule="auto"/>
              <w:jc w:val="left"/>
              <w:rPr>
                <w:rFonts w:ascii="Arial" w:hAnsi="Arial" w:cs="Arial"/>
                <w:color w:val="auto"/>
                <w:sz w:val="24"/>
                <w:szCs w:val="24"/>
              </w:rPr>
            </w:pPr>
          </w:p>
        </w:tc>
      </w:tr>
      <w:tr w:rsidR="00237760" w:rsidRPr="00237760" w14:paraId="06E58C54" w14:textId="77777777" w:rsidTr="00FB20A6">
        <w:trPr>
          <w:gridAfter w:val="1"/>
          <w:wAfter w:w="6" w:type="dxa"/>
          <w:trHeight w:val="70"/>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3C8B28AB" w14:textId="77777777" w:rsidR="00F0276A" w:rsidRPr="00237760" w:rsidRDefault="00F0276A"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Wspieranie transformacji w kierunku gospodarki o obiegu zamkniętym i gospodarki zasobooszczędnej</w:t>
            </w: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41A4057B"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4C7325F6"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788425E1"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00AE2EF0"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354B6CF4"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299F9639"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6A52D5EB" w14:textId="77777777" w:rsidR="00F0276A" w:rsidRPr="00237760" w:rsidRDefault="00F0276A" w:rsidP="009367B4">
            <w:pPr>
              <w:spacing w:after="0" w:line="240" w:lineRule="auto"/>
              <w:jc w:val="left"/>
              <w:rPr>
                <w:rFonts w:ascii="Arial" w:hAnsi="Arial" w:cs="Arial"/>
                <w:color w:val="auto"/>
                <w:sz w:val="24"/>
                <w:szCs w:val="24"/>
              </w:rPr>
            </w:pPr>
          </w:p>
        </w:tc>
      </w:tr>
      <w:tr w:rsidR="00237760" w:rsidRPr="00237760" w14:paraId="635291D3" w14:textId="77777777" w:rsidTr="00FB20A6">
        <w:trPr>
          <w:gridAfter w:val="1"/>
          <w:wAfter w:w="6" w:type="dxa"/>
          <w:trHeight w:val="70"/>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2F45162F" w14:textId="77777777" w:rsidR="00F0276A" w:rsidRPr="00237760" w:rsidRDefault="00F0276A"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Wzmacnianie ochrony i zachowania przyrody, różnorodności biologicznej oraz zielonej infrastruktury, w tym na obszarach miejskich, oraz ograniczanie wszelkich rodzajów zanieczyszczenia</w:t>
            </w: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0870CE3D"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6AA4A05F"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48A94EC7"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22400236"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0CA183E6"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2B4DBD76"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606A2677" w14:textId="77777777" w:rsidR="00F0276A" w:rsidRPr="00237760" w:rsidRDefault="00F0276A" w:rsidP="009367B4">
            <w:pPr>
              <w:spacing w:after="0" w:line="240" w:lineRule="auto"/>
              <w:jc w:val="left"/>
              <w:rPr>
                <w:rFonts w:ascii="Arial" w:hAnsi="Arial" w:cs="Arial"/>
                <w:color w:val="auto"/>
                <w:sz w:val="24"/>
                <w:szCs w:val="24"/>
              </w:rPr>
            </w:pPr>
          </w:p>
        </w:tc>
      </w:tr>
      <w:tr w:rsidR="00237760" w:rsidRPr="00237760" w14:paraId="1D3826AB" w14:textId="77777777" w:rsidTr="00FB20A6">
        <w:trPr>
          <w:gridAfter w:val="1"/>
          <w:wAfter w:w="6" w:type="dxa"/>
          <w:trHeight w:val="70"/>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71B12963" w14:textId="77777777" w:rsidR="00F0276A" w:rsidRPr="00237760" w:rsidRDefault="00F0276A"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Wspieranie zrównoważonej multimodalnej mobilności miejskiej jako elementu transformacji w kierunku gospodarki zeroemisyjnej</w:t>
            </w: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348D9DB9"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37E88545"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6E4D7158"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2C022F89"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6AE66A44"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2487A831"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034C3273" w14:textId="77777777" w:rsidR="00F0276A" w:rsidRPr="00237760" w:rsidRDefault="00F0276A" w:rsidP="009367B4">
            <w:pPr>
              <w:spacing w:after="0" w:line="240" w:lineRule="auto"/>
              <w:jc w:val="left"/>
              <w:rPr>
                <w:rFonts w:ascii="Arial" w:hAnsi="Arial" w:cs="Arial"/>
                <w:color w:val="auto"/>
                <w:sz w:val="24"/>
                <w:szCs w:val="24"/>
              </w:rPr>
            </w:pPr>
          </w:p>
        </w:tc>
      </w:tr>
      <w:tr w:rsidR="00237760" w:rsidRPr="00237760" w14:paraId="578899E7" w14:textId="77777777" w:rsidTr="00FB20A6">
        <w:trPr>
          <w:gridAfter w:val="1"/>
          <w:wAfter w:w="6" w:type="dxa"/>
          <w:trHeight w:val="70"/>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0E302D24" w14:textId="77777777" w:rsidR="00F0276A" w:rsidRPr="00237760" w:rsidRDefault="00F0276A"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Rozwój odpornej na zmiany klimatu, inteligentnej, bezpiecznej, zrównoważonej i intermodalnej TEN-T</w:t>
            </w: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69407F57" w14:textId="0902BDAB" w:rsidR="00F0276A" w:rsidRPr="00237760" w:rsidRDefault="00F0276A" w:rsidP="009367B4">
            <w:pPr>
              <w:spacing w:after="0" w:line="240" w:lineRule="auto"/>
              <w:jc w:val="left"/>
              <w:rPr>
                <w:rFonts w:ascii="Arial" w:hAnsi="Arial" w:cs="Arial"/>
                <w:color w:val="auto"/>
                <w:sz w:val="24"/>
                <w:szCs w:val="24"/>
              </w:rPr>
            </w:pP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6A620E76"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4ED1A73F"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vAlign w:val="center"/>
          </w:tcPr>
          <w:p w14:paraId="5C0A08AE"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07FBF187"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676D7440"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cPr>
          <w:p w14:paraId="6D119B88" w14:textId="77777777" w:rsidR="00F0276A" w:rsidRPr="00237760" w:rsidRDefault="00F0276A" w:rsidP="009367B4">
            <w:pPr>
              <w:spacing w:after="0" w:line="240" w:lineRule="auto"/>
              <w:jc w:val="left"/>
              <w:rPr>
                <w:rFonts w:ascii="Arial" w:hAnsi="Arial" w:cs="Arial"/>
                <w:color w:val="auto"/>
                <w:sz w:val="24"/>
                <w:szCs w:val="24"/>
              </w:rPr>
            </w:pPr>
          </w:p>
        </w:tc>
      </w:tr>
      <w:tr w:rsidR="00237760" w:rsidRPr="00237760" w14:paraId="6B462CCC" w14:textId="77777777" w:rsidTr="00FB20A6">
        <w:trPr>
          <w:gridAfter w:val="1"/>
          <w:wAfter w:w="6" w:type="dxa"/>
          <w:trHeight w:val="70"/>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2E852988" w14:textId="77777777" w:rsidR="00F0276A" w:rsidRPr="00237760" w:rsidRDefault="00F0276A"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Rozwój i udoskonalanie zrównoważonej, odpornej na zmiany klimatu, inteligentnej i intermodalnej mobilności na poziomie krajowym, regionalnym i lokalnym, w tym poprawę dostępu do TEN-T oraz mobilności transgranicznej</w:t>
            </w: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45970E7D"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4F13A135"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3F1C5940"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3D98D4C7"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2B2798AE"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29192281"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444D79CB" w14:textId="77777777" w:rsidR="00F0276A" w:rsidRPr="00237760" w:rsidRDefault="00F0276A" w:rsidP="009367B4">
            <w:pPr>
              <w:spacing w:after="0" w:line="240" w:lineRule="auto"/>
              <w:jc w:val="left"/>
              <w:rPr>
                <w:rFonts w:ascii="Arial" w:hAnsi="Arial" w:cs="Arial"/>
                <w:color w:val="auto"/>
                <w:sz w:val="24"/>
                <w:szCs w:val="24"/>
              </w:rPr>
            </w:pPr>
          </w:p>
        </w:tc>
      </w:tr>
      <w:tr w:rsidR="00237760" w:rsidRPr="00237760" w14:paraId="685D2271" w14:textId="77777777" w:rsidTr="00FB20A6">
        <w:trPr>
          <w:gridAfter w:val="1"/>
          <w:wAfter w:w="6" w:type="dxa"/>
          <w:trHeight w:val="70"/>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7E3175F5" w14:textId="77777777" w:rsidR="00F0276A" w:rsidRPr="00237760" w:rsidRDefault="00F0276A"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4A872EEA"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3F1FAB0A"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3CF164EB"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13B94D63"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46DA836A"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vAlign w:val="center"/>
          </w:tcPr>
          <w:p w14:paraId="47F0590B"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6A94C52C" w14:textId="77777777" w:rsidR="00F0276A" w:rsidRPr="00237760" w:rsidRDefault="00F0276A" w:rsidP="009367B4">
            <w:pPr>
              <w:spacing w:after="0" w:line="240" w:lineRule="auto"/>
              <w:jc w:val="left"/>
              <w:rPr>
                <w:rFonts w:ascii="Arial" w:hAnsi="Arial" w:cs="Arial"/>
                <w:color w:val="auto"/>
                <w:sz w:val="24"/>
                <w:szCs w:val="24"/>
              </w:rPr>
            </w:pPr>
          </w:p>
        </w:tc>
      </w:tr>
      <w:tr w:rsidR="00237760" w:rsidRPr="00237760" w14:paraId="42A69424" w14:textId="77777777" w:rsidTr="00FB20A6">
        <w:trPr>
          <w:gridAfter w:val="1"/>
          <w:wAfter w:w="6" w:type="dxa"/>
          <w:trHeight w:val="70"/>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57FF33BF" w14:textId="77777777" w:rsidR="00F0276A" w:rsidRPr="00237760" w:rsidRDefault="00F0276A"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Poprawa skuteczności i poziomu włączenia społecznego rynków pracy oraz dostępu do wysokiej jakości zatrudnienia poprzez rozwój infrastruktury społecznej i wspieranie ekonomii społecznej</w:t>
            </w: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74711966"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31E8574A"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396987D4"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208C909B"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4B9453D0"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146033AC"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49AB108C" w14:textId="77777777" w:rsidR="00F0276A" w:rsidRPr="00237760" w:rsidRDefault="00F0276A" w:rsidP="009367B4">
            <w:pPr>
              <w:spacing w:after="0" w:line="240" w:lineRule="auto"/>
              <w:jc w:val="left"/>
              <w:rPr>
                <w:rFonts w:ascii="Arial" w:hAnsi="Arial" w:cs="Arial"/>
                <w:color w:val="auto"/>
                <w:sz w:val="24"/>
                <w:szCs w:val="24"/>
              </w:rPr>
            </w:pPr>
          </w:p>
        </w:tc>
      </w:tr>
      <w:tr w:rsidR="00237760" w:rsidRPr="00237760" w14:paraId="2B78832A" w14:textId="77777777" w:rsidTr="00FB20A6">
        <w:trPr>
          <w:gridAfter w:val="1"/>
          <w:wAfter w:w="6" w:type="dxa"/>
          <w:trHeight w:val="70"/>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0B8DF549" w14:textId="77777777" w:rsidR="00F0276A" w:rsidRPr="00237760" w:rsidRDefault="00F0276A"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60079A94"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1EC20E4A"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15AADD4A"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56F82065"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07FFAB98"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7666A515"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5AD7FFAD" w14:textId="77777777" w:rsidR="00F0276A" w:rsidRPr="00237760" w:rsidRDefault="00F0276A" w:rsidP="009367B4">
            <w:pPr>
              <w:spacing w:after="0" w:line="240" w:lineRule="auto"/>
              <w:jc w:val="left"/>
              <w:rPr>
                <w:rFonts w:ascii="Arial" w:hAnsi="Arial" w:cs="Arial"/>
                <w:color w:val="auto"/>
                <w:sz w:val="24"/>
                <w:szCs w:val="24"/>
              </w:rPr>
            </w:pPr>
          </w:p>
        </w:tc>
      </w:tr>
      <w:tr w:rsidR="00237760" w:rsidRPr="00237760" w14:paraId="0F1328D4" w14:textId="77777777" w:rsidTr="00FB20A6">
        <w:trPr>
          <w:gridAfter w:val="1"/>
          <w:wAfter w:w="6" w:type="dxa"/>
          <w:trHeight w:val="70"/>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494CAAA3" w14:textId="13EC1A96" w:rsidR="00F0276A" w:rsidRPr="00237760" w:rsidRDefault="00F0276A"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Wspieranie integracji społeczno-gospodarczej obywateli państw trzecich, w tym migrantów, </w:t>
            </w:r>
            <w:r w:rsidRPr="00237760">
              <w:rPr>
                <w:rFonts w:ascii="Arial" w:hAnsi="Arial" w:cs="Arial"/>
                <w:color w:val="auto"/>
                <w:sz w:val="24"/>
                <w:szCs w:val="24"/>
              </w:rPr>
              <w:lastRenderedPageBreak/>
              <w:t>dzięki zintegrowanym działaniom obejmującym usługi mieszkaniowe i usługi społeczne</w:t>
            </w: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1D3B1AE4"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7F8350FA"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6BC670D7"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36E3E935"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60766EE4"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3A891C76"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3915A978" w14:textId="77777777" w:rsidR="00F0276A" w:rsidRPr="00237760" w:rsidRDefault="00F0276A" w:rsidP="009367B4">
            <w:pPr>
              <w:spacing w:after="0" w:line="240" w:lineRule="auto"/>
              <w:jc w:val="left"/>
              <w:rPr>
                <w:rFonts w:ascii="Arial" w:hAnsi="Arial" w:cs="Arial"/>
                <w:color w:val="auto"/>
                <w:sz w:val="24"/>
                <w:szCs w:val="24"/>
              </w:rPr>
            </w:pPr>
          </w:p>
        </w:tc>
      </w:tr>
      <w:tr w:rsidR="00237760" w:rsidRPr="00237760" w14:paraId="59503CA2" w14:textId="77777777" w:rsidTr="00FB20A6">
        <w:trPr>
          <w:gridAfter w:val="1"/>
          <w:wAfter w:w="6" w:type="dxa"/>
          <w:trHeight w:val="70"/>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6D120463" w14:textId="77777777" w:rsidR="00F0276A" w:rsidRPr="00237760" w:rsidRDefault="00F0276A"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Zapewnianie równego dostępu do opieki zdrowotnej i wspieranie odporności systemów opieki zdrowotnej, w tym podstawowej opieki zdrowotnej, oraz wspieranie przechodzenia od opieki instytucjonalnej do opieki rodzinnej i środowiskowej</w:t>
            </w: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673F2CB8"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7DA37844"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0349B85A"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3E31FAAF"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1E6AE8F1"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0677161C"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2197D843" w14:textId="77777777" w:rsidR="00F0276A" w:rsidRPr="00237760" w:rsidRDefault="00F0276A" w:rsidP="009367B4">
            <w:pPr>
              <w:spacing w:after="0" w:line="240" w:lineRule="auto"/>
              <w:jc w:val="left"/>
              <w:rPr>
                <w:rFonts w:ascii="Arial" w:hAnsi="Arial" w:cs="Arial"/>
                <w:color w:val="auto"/>
                <w:sz w:val="24"/>
                <w:szCs w:val="24"/>
              </w:rPr>
            </w:pPr>
          </w:p>
        </w:tc>
      </w:tr>
      <w:tr w:rsidR="00237760" w:rsidRPr="00237760" w14:paraId="5F196323" w14:textId="77777777" w:rsidTr="00FB20A6">
        <w:trPr>
          <w:gridAfter w:val="1"/>
          <w:wAfter w:w="6" w:type="dxa"/>
          <w:trHeight w:val="70"/>
        </w:trPr>
        <w:tc>
          <w:tcPr>
            <w:tcW w:w="5108" w:type="dxa"/>
            <w:tcBorders>
              <w:top w:val="single" w:sz="4" w:space="0" w:color="BDD6EE" w:themeColor="accent1" w:themeTint="66"/>
              <w:left w:val="nil"/>
              <w:bottom w:val="single" w:sz="12" w:space="0" w:color="002060"/>
              <w:right w:val="single" w:sz="4" w:space="0" w:color="BDD6EE" w:themeColor="accent1" w:themeTint="66"/>
            </w:tcBorders>
          </w:tcPr>
          <w:p w14:paraId="7632F8D3" w14:textId="77777777" w:rsidR="00F0276A" w:rsidRPr="00237760" w:rsidRDefault="00F0276A"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Wzmacnianie roli kultury i zrównoważonej turystyki w rozwoju gospodarczym, włączeniu społecznym i innowacjach społecznych</w:t>
            </w:r>
          </w:p>
        </w:tc>
        <w:tc>
          <w:tcPr>
            <w:tcW w:w="586"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9CC2E5" w:themeFill="accent1" w:themeFillTint="99"/>
          </w:tcPr>
          <w:p w14:paraId="1C80BF06"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9CC2E5" w:themeFill="accent1" w:themeFillTint="99"/>
            <w:vAlign w:val="center"/>
          </w:tcPr>
          <w:p w14:paraId="122D1323"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9CC2E5" w:themeFill="accent1" w:themeFillTint="99"/>
            <w:vAlign w:val="center"/>
          </w:tcPr>
          <w:p w14:paraId="6643E3E7"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gridSpan w:val="2"/>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FFFFFF" w:themeFill="background1"/>
            <w:vAlign w:val="center"/>
          </w:tcPr>
          <w:p w14:paraId="558B0BFA"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FFFFFF" w:themeFill="background1"/>
            <w:vAlign w:val="center"/>
          </w:tcPr>
          <w:p w14:paraId="525767B6" w14:textId="77777777" w:rsidR="00F0276A" w:rsidRPr="00237760" w:rsidRDefault="00F0276A" w:rsidP="009367B4">
            <w:pPr>
              <w:spacing w:after="0" w:line="240" w:lineRule="auto"/>
              <w:jc w:val="left"/>
              <w:rPr>
                <w:rFonts w:ascii="Arial" w:hAnsi="Arial" w:cs="Arial"/>
                <w:color w:val="auto"/>
                <w:sz w:val="24"/>
                <w:szCs w:val="24"/>
              </w:rPr>
            </w:pPr>
          </w:p>
        </w:tc>
        <w:tc>
          <w:tcPr>
            <w:tcW w:w="586"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9CC2E5" w:themeFill="accent1" w:themeFillTint="99"/>
            <w:vAlign w:val="center"/>
          </w:tcPr>
          <w:p w14:paraId="7E328E8D" w14:textId="77777777" w:rsidR="00F0276A" w:rsidRPr="00237760" w:rsidRDefault="00F0276A" w:rsidP="009367B4">
            <w:pPr>
              <w:spacing w:after="0" w:line="240" w:lineRule="auto"/>
              <w:jc w:val="left"/>
              <w:rPr>
                <w:rFonts w:ascii="Arial" w:hAnsi="Arial" w:cs="Arial"/>
                <w:color w:val="auto"/>
                <w:sz w:val="24"/>
                <w:szCs w:val="24"/>
              </w:rPr>
            </w:pPr>
          </w:p>
        </w:tc>
        <w:tc>
          <w:tcPr>
            <w:tcW w:w="587"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FFFFFF" w:themeFill="background1"/>
          </w:tcPr>
          <w:p w14:paraId="7493A477" w14:textId="77777777" w:rsidR="00F0276A" w:rsidRPr="00237760" w:rsidRDefault="00F0276A" w:rsidP="009367B4">
            <w:pPr>
              <w:spacing w:after="0" w:line="240" w:lineRule="auto"/>
              <w:jc w:val="left"/>
              <w:rPr>
                <w:rFonts w:ascii="Arial" w:hAnsi="Arial" w:cs="Arial"/>
                <w:color w:val="auto"/>
                <w:sz w:val="24"/>
                <w:szCs w:val="24"/>
              </w:rPr>
            </w:pPr>
          </w:p>
        </w:tc>
      </w:tr>
    </w:tbl>
    <w:p w14:paraId="0EAC641D" w14:textId="772BF44E" w:rsidR="00622B2D" w:rsidRPr="00237760" w:rsidRDefault="00622B2D" w:rsidP="009367B4">
      <w:pPr>
        <w:spacing w:after="0"/>
        <w:jc w:val="left"/>
        <w:rPr>
          <w:rFonts w:ascii="Arial" w:hAnsi="Arial" w:cs="Arial"/>
          <w:color w:val="auto"/>
          <w:sz w:val="24"/>
          <w:szCs w:val="24"/>
        </w:rPr>
      </w:pPr>
      <w:r w:rsidRPr="00237760">
        <w:rPr>
          <w:rFonts w:ascii="Arial" w:hAnsi="Arial" w:cs="Arial"/>
          <w:color w:val="auto"/>
          <w:sz w:val="24"/>
          <w:szCs w:val="24"/>
        </w:rPr>
        <w:t xml:space="preserve">Źródło: opracowanie własne na podstawie PSRT WP oraz </w:t>
      </w:r>
      <w:r w:rsidR="002F2462" w:rsidRPr="00237760">
        <w:rPr>
          <w:rFonts w:ascii="Arial" w:hAnsi="Arial" w:cs="Arial"/>
          <w:color w:val="auto"/>
          <w:sz w:val="24"/>
          <w:szCs w:val="24"/>
        </w:rPr>
        <w:t>rozporządzeni</w:t>
      </w:r>
      <w:r w:rsidR="009F5949" w:rsidRPr="00237760">
        <w:rPr>
          <w:rFonts w:ascii="Arial" w:hAnsi="Arial" w:cs="Arial"/>
          <w:color w:val="auto"/>
          <w:sz w:val="24"/>
          <w:szCs w:val="24"/>
        </w:rPr>
        <w:t xml:space="preserve">a </w:t>
      </w:r>
      <w:r w:rsidR="002F2462" w:rsidRPr="00237760">
        <w:rPr>
          <w:rFonts w:ascii="Arial" w:hAnsi="Arial" w:cs="Arial"/>
          <w:color w:val="auto"/>
          <w:sz w:val="24"/>
          <w:szCs w:val="24"/>
        </w:rPr>
        <w:t>PE i Rady UE</w:t>
      </w:r>
      <w:r w:rsidR="0040093A" w:rsidRPr="00237760">
        <w:rPr>
          <w:rFonts w:ascii="Arial" w:hAnsi="Arial" w:cs="Arial"/>
          <w:color w:val="auto"/>
          <w:sz w:val="24"/>
          <w:szCs w:val="24"/>
        </w:rPr>
        <w:t>.</w:t>
      </w:r>
    </w:p>
    <w:p w14:paraId="5FF29CB8" w14:textId="77777777" w:rsidR="00CE7572" w:rsidRPr="00237760" w:rsidRDefault="00CE7572" w:rsidP="009367B4">
      <w:pPr>
        <w:spacing w:after="0"/>
        <w:jc w:val="left"/>
        <w:rPr>
          <w:rFonts w:ascii="Arial" w:hAnsi="Arial" w:cs="Arial"/>
          <w:color w:val="auto"/>
          <w:sz w:val="24"/>
          <w:szCs w:val="24"/>
        </w:rPr>
      </w:pPr>
    </w:p>
    <w:p w14:paraId="4DD02C56" w14:textId="2702E6CD" w:rsidR="00675E1C" w:rsidRPr="00237760" w:rsidRDefault="00106C9F" w:rsidP="009367B4">
      <w:pPr>
        <w:jc w:val="left"/>
        <w:rPr>
          <w:rFonts w:ascii="Arial" w:hAnsi="Arial" w:cs="Arial"/>
          <w:color w:val="auto"/>
          <w:sz w:val="24"/>
          <w:szCs w:val="24"/>
        </w:rPr>
      </w:pPr>
      <w:r w:rsidRPr="00237760">
        <w:rPr>
          <w:rFonts w:ascii="Arial" w:hAnsi="Arial" w:cs="Arial"/>
          <w:color w:val="auto"/>
          <w:sz w:val="24"/>
          <w:szCs w:val="24"/>
        </w:rPr>
        <w:t>PSRT WP charakteryzuje się n</w:t>
      </w:r>
      <w:r w:rsidR="00BB2D3B" w:rsidRPr="00237760">
        <w:rPr>
          <w:rFonts w:ascii="Arial" w:hAnsi="Arial" w:cs="Arial"/>
          <w:color w:val="auto"/>
          <w:sz w:val="24"/>
          <w:szCs w:val="24"/>
        </w:rPr>
        <w:t>iewielkim stopniem spójności</w:t>
      </w:r>
      <w:r w:rsidR="0080277B" w:rsidRPr="00237760">
        <w:rPr>
          <w:rFonts w:ascii="Arial" w:hAnsi="Arial" w:cs="Arial"/>
          <w:color w:val="auto"/>
          <w:sz w:val="24"/>
          <w:szCs w:val="24"/>
        </w:rPr>
        <w:t xml:space="preserve"> z</w:t>
      </w:r>
      <w:r w:rsidR="009C1C6B" w:rsidRPr="00237760">
        <w:rPr>
          <w:rFonts w:ascii="Arial" w:hAnsi="Arial" w:cs="Arial"/>
          <w:color w:val="auto"/>
          <w:sz w:val="24"/>
          <w:szCs w:val="24"/>
        </w:rPr>
        <w:t>e</w:t>
      </w:r>
      <w:r w:rsidR="0080277B" w:rsidRPr="00237760">
        <w:rPr>
          <w:rFonts w:ascii="Arial" w:hAnsi="Arial" w:cs="Arial"/>
          <w:color w:val="auto"/>
          <w:sz w:val="24"/>
          <w:szCs w:val="24"/>
        </w:rPr>
        <w:t xml:space="preserve"> </w:t>
      </w:r>
      <w:r w:rsidR="00BB2D3B" w:rsidRPr="00237760">
        <w:rPr>
          <w:rFonts w:ascii="Arial" w:hAnsi="Arial" w:cs="Arial"/>
          <w:color w:val="auto"/>
          <w:sz w:val="24"/>
          <w:szCs w:val="24"/>
        </w:rPr>
        <w:t>wskazanymi w rozporządzeniu</w:t>
      </w:r>
      <w:r w:rsidR="004A2FC3" w:rsidRPr="00237760">
        <w:rPr>
          <w:rFonts w:ascii="Arial" w:hAnsi="Arial" w:cs="Arial"/>
          <w:color w:val="auto"/>
          <w:sz w:val="24"/>
          <w:szCs w:val="24"/>
        </w:rPr>
        <w:t xml:space="preserve"> (UE) 2021/</w:t>
      </w:r>
      <w:r w:rsidR="0080277B" w:rsidRPr="00237760">
        <w:rPr>
          <w:rFonts w:ascii="Arial" w:hAnsi="Arial" w:cs="Arial"/>
          <w:color w:val="auto"/>
          <w:sz w:val="24"/>
          <w:szCs w:val="24"/>
        </w:rPr>
        <w:t>1057</w:t>
      </w:r>
      <w:r w:rsidR="00BB2D3B" w:rsidRPr="00237760">
        <w:rPr>
          <w:rFonts w:ascii="Arial" w:hAnsi="Arial" w:cs="Arial"/>
          <w:color w:val="auto"/>
          <w:sz w:val="24"/>
          <w:szCs w:val="24"/>
        </w:rPr>
        <w:t xml:space="preserve"> celami </w:t>
      </w:r>
      <w:r w:rsidRPr="00237760">
        <w:rPr>
          <w:rFonts w:ascii="Arial" w:hAnsi="Arial" w:cs="Arial"/>
          <w:color w:val="auto"/>
          <w:sz w:val="24"/>
          <w:szCs w:val="24"/>
        </w:rPr>
        <w:t xml:space="preserve">szczegółowymi EFS+. Wśród </w:t>
      </w:r>
      <w:r w:rsidR="00F76F36" w:rsidRPr="00237760">
        <w:rPr>
          <w:rFonts w:ascii="Arial" w:hAnsi="Arial" w:cs="Arial"/>
          <w:color w:val="auto"/>
          <w:sz w:val="24"/>
          <w:szCs w:val="24"/>
        </w:rPr>
        <w:t>kilkunastu</w:t>
      </w:r>
      <w:r w:rsidRPr="00237760">
        <w:rPr>
          <w:rFonts w:ascii="Arial" w:hAnsi="Arial" w:cs="Arial"/>
          <w:color w:val="auto"/>
          <w:sz w:val="24"/>
          <w:szCs w:val="24"/>
        </w:rPr>
        <w:t xml:space="preserve"> wymienionych zagadnień mówić można o </w:t>
      </w:r>
      <w:r w:rsidR="00675E1C" w:rsidRPr="00237760">
        <w:rPr>
          <w:rFonts w:ascii="Arial" w:hAnsi="Arial" w:cs="Arial"/>
          <w:color w:val="auto"/>
          <w:sz w:val="24"/>
          <w:szCs w:val="24"/>
        </w:rPr>
        <w:t>spójności z dwoma:</w:t>
      </w:r>
    </w:p>
    <w:p w14:paraId="6D02F601" w14:textId="77777777" w:rsidR="00125DBB" w:rsidRPr="00237760" w:rsidRDefault="00F76F36" w:rsidP="009367B4">
      <w:pPr>
        <w:pStyle w:val="Akapitzlist"/>
        <w:numPr>
          <w:ilvl w:val="0"/>
          <w:numId w:val="37"/>
        </w:numPr>
        <w:jc w:val="left"/>
        <w:rPr>
          <w:rFonts w:ascii="Arial" w:hAnsi="Arial" w:cs="Arial"/>
          <w:color w:val="auto"/>
          <w:sz w:val="24"/>
          <w:szCs w:val="24"/>
        </w:rPr>
      </w:pPr>
      <w:r w:rsidRPr="00237760">
        <w:rPr>
          <w:rFonts w:ascii="Arial" w:hAnsi="Arial" w:cs="Arial"/>
          <w:color w:val="auto"/>
          <w:sz w:val="24"/>
          <w:szCs w:val="24"/>
        </w:rPr>
        <w:t xml:space="preserve"> </w:t>
      </w:r>
      <w:r w:rsidR="00125DBB" w:rsidRPr="00237760">
        <w:rPr>
          <w:rFonts w:ascii="Arial" w:hAnsi="Arial" w:cs="Arial"/>
          <w:color w:val="auto"/>
          <w:sz w:val="24"/>
          <w:szCs w:val="24"/>
        </w:rPr>
        <w:t xml:space="preserve">„Wspieranie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 </w:t>
      </w:r>
      <w:r w:rsidR="0013614E" w:rsidRPr="00237760">
        <w:rPr>
          <w:rFonts w:ascii="Arial" w:hAnsi="Arial" w:cs="Arial"/>
          <w:color w:val="auto"/>
          <w:sz w:val="24"/>
          <w:szCs w:val="24"/>
        </w:rPr>
        <w:t>–</w:t>
      </w:r>
      <w:r w:rsidR="00125DBB" w:rsidRPr="00237760">
        <w:rPr>
          <w:rFonts w:ascii="Arial" w:hAnsi="Arial" w:cs="Arial"/>
          <w:color w:val="auto"/>
          <w:sz w:val="24"/>
          <w:szCs w:val="24"/>
        </w:rPr>
        <w:t xml:space="preserve"> </w:t>
      </w:r>
      <w:r w:rsidR="0013614E" w:rsidRPr="00237760">
        <w:rPr>
          <w:rFonts w:ascii="Arial" w:hAnsi="Arial" w:cs="Arial"/>
          <w:color w:val="auto"/>
          <w:sz w:val="24"/>
          <w:szCs w:val="24"/>
        </w:rPr>
        <w:t>poprzez kierunek</w:t>
      </w:r>
      <w:r w:rsidR="00125DBB" w:rsidRPr="00237760">
        <w:rPr>
          <w:rFonts w:ascii="Arial" w:hAnsi="Arial" w:cs="Arial"/>
          <w:color w:val="auto"/>
          <w:sz w:val="24"/>
          <w:szCs w:val="24"/>
        </w:rPr>
        <w:t xml:space="preserve"> </w:t>
      </w:r>
      <w:r w:rsidRPr="00237760">
        <w:rPr>
          <w:rFonts w:ascii="Arial" w:hAnsi="Arial" w:cs="Arial"/>
          <w:color w:val="auto"/>
          <w:sz w:val="24"/>
          <w:szCs w:val="24"/>
        </w:rPr>
        <w:t>„Wsparcie instytucjonalne, infrastrukturalne, techniczne i szkoleniowe dla podmiotów ratowniczych, służb, inspekcji i straży, organizacji pozarządowych (NGO) i innych zapewniających bezpieczeństwo i działających w obszarze bezpieczeństwa i ratownictwa</w:t>
      </w:r>
      <w:r w:rsidR="00125DBB" w:rsidRPr="00237760">
        <w:rPr>
          <w:rFonts w:ascii="Arial" w:hAnsi="Arial" w:cs="Arial"/>
          <w:color w:val="auto"/>
          <w:sz w:val="24"/>
          <w:szCs w:val="24"/>
        </w:rPr>
        <w:t xml:space="preserve">” </w:t>
      </w:r>
      <w:r w:rsidRPr="00237760">
        <w:rPr>
          <w:rFonts w:ascii="Arial" w:hAnsi="Arial" w:cs="Arial"/>
          <w:color w:val="auto"/>
          <w:sz w:val="24"/>
          <w:szCs w:val="24"/>
        </w:rPr>
        <w:t>(CH4)</w:t>
      </w:r>
      <w:r w:rsidR="00125DBB" w:rsidRPr="00237760">
        <w:rPr>
          <w:rFonts w:ascii="Arial" w:hAnsi="Arial" w:cs="Arial"/>
          <w:color w:val="auto"/>
          <w:sz w:val="24"/>
          <w:szCs w:val="24"/>
        </w:rPr>
        <w:t>,</w:t>
      </w:r>
    </w:p>
    <w:p w14:paraId="42DCD5EE" w14:textId="355D16DF" w:rsidR="00EE03F3" w:rsidRPr="00237760" w:rsidRDefault="00125DBB" w:rsidP="009367B4">
      <w:pPr>
        <w:pStyle w:val="Akapitzlist"/>
        <w:numPr>
          <w:ilvl w:val="0"/>
          <w:numId w:val="37"/>
        </w:numPr>
        <w:jc w:val="left"/>
        <w:rPr>
          <w:rFonts w:ascii="Arial" w:hAnsi="Arial" w:cs="Arial"/>
          <w:color w:val="auto"/>
          <w:sz w:val="24"/>
          <w:szCs w:val="24"/>
        </w:rPr>
      </w:pPr>
      <w:r w:rsidRPr="00237760">
        <w:rPr>
          <w:rFonts w:ascii="Arial" w:hAnsi="Arial" w:cs="Arial"/>
          <w:color w:val="auto"/>
          <w:sz w:val="24"/>
          <w:szCs w:val="24"/>
        </w:rPr>
        <w:t>„W</w:t>
      </w:r>
      <w:r w:rsidR="00EE03F3" w:rsidRPr="00237760">
        <w:rPr>
          <w:rFonts w:ascii="Arial" w:hAnsi="Arial" w:cs="Arial"/>
          <w:color w:val="auto"/>
          <w:sz w:val="24"/>
          <w:szCs w:val="24"/>
        </w:rPr>
        <w:t>spieranie integracji społecznej osób zagrożonych ubóstwem lub wykluczeniem społecznym, w tym osób najbardziej potrzebujących i dzieci</w:t>
      </w:r>
      <w:r w:rsidRPr="00237760">
        <w:rPr>
          <w:rFonts w:ascii="Arial" w:hAnsi="Arial" w:cs="Arial"/>
          <w:color w:val="auto"/>
          <w:sz w:val="24"/>
          <w:szCs w:val="24"/>
        </w:rPr>
        <w:t>” – poprzez kierun</w:t>
      </w:r>
      <w:r w:rsidR="00BD09DC" w:rsidRPr="00237760">
        <w:rPr>
          <w:rFonts w:ascii="Arial" w:hAnsi="Arial" w:cs="Arial"/>
          <w:color w:val="auto"/>
          <w:sz w:val="24"/>
          <w:szCs w:val="24"/>
        </w:rPr>
        <w:t>ki związane z przeciwdziałaniem wykluczenia transportowego w ramach celu horyzontalnego 3.</w:t>
      </w:r>
    </w:p>
    <w:p w14:paraId="71D3AD02" w14:textId="6F0DD791" w:rsidR="00EE03F3" w:rsidRPr="00237760" w:rsidRDefault="00EE03F3"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 xml:space="preserve">Co istotne, nie </w:t>
      </w:r>
      <w:r w:rsidR="0013614E" w:rsidRPr="00237760">
        <w:rPr>
          <w:rFonts w:ascii="Arial" w:hAnsi="Arial" w:cs="Arial"/>
          <w:color w:val="auto"/>
          <w:sz w:val="24"/>
          <w:szCs w:val="24"/>
          <w:lang w:eastAsia="pl-PL"/>
        </w:rPr>
        <w:t>zidentyfikowano celów będących sprzecznych z założeniami EFS+.</w:t>
      </w:r>
    </w:p>
    <w:p w14:paraId="5239F03E" w14:textId="683ACD39" w:rsidR="00152DFA" w:rsidRPr="00237760" w:rsidRDefault="00CC6888"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 xml:space="preserve">W </w:t>
      </w:r>
      <w:r w:rsidR="004A45E3" w:rsidRPr="00237760">
        <w:rPr>
          <w:rFonts w:ascii="Arial" w:hAnsi="Arial" w:cs="Arial"/>
          <w:color w:val="auto"/>
          <w:sz w:val="24"/>
          <w:szCs w:val="24"/>
          <w:lang w:eastAsia="pl-PL"/>
        </w:rPr>
        <w:t xml:space="preserve">PSRT WP nie wskazuje </w:t>
      </w:r>
      <w:r w:rsidRPr="00237760">
        <w:rPr>
          <w:rFonts w:ascii="Arial" w:hAnsi="Arial" w:cs="Arial"/>
          <w:color w:val="auto"/>
          <w:sz w:val="24"/>
          <w:szCs w:val="24"/>
          <w:lang w:eastAsia="pl-PL"/>
        </w:rPr>
        <w:t xml:space="preserve">się </w:t>
      </w:r>
      <w:r w:rsidR="004A45E3" w:rsidRPr="00237760">
        <w:rPr>
          <w:rFonts w:ascii="Arial" w:hAnsi="Arial" w:cs="Arial"/>
          <w:color w:val="auto"/>
          <w:sz w:val="24"/>
          <w:szCs w:val="24"/>
          <w:lang w:eastAsia="pl-PL"/>
        </w:rPr>
        <w:t>celu „Europejska współpraca terytorialna” (Interreg) jako źródł</w:t>
      </w:r>
      <w:r w:rsidR="00C74BB2" w:rsidRPr="00237760">
        <w:rPr>
          <w:rFonts w:ascii="Arial" w:hAnsi="Arial" w:cs="Arial"/>
          <w:color w:val="auto"/>
          <w:sz w:val="24"/>
          <w:szCs w:val="24"/>
          <w:lang w:eastAsia="pl-PL"/>
        </w:rPr>
        <w:t>a</w:t>
      </w:r>
      <w:r w:rsidR="004A45E3" w:rsidRPr="00237760">
        <w:rPr>
          <w:rFonts w:ascii="Arial" w:hAnsi="Arial" w:cs="Arial"/>
          <w:color w:val="auto"/>
          <w:sz w:val="24"/>
          <w:szCs w:val="24"/>
          <w:lang w:eastAsia="pl-PL"/>
        </w:rPr>
        <w:t xml:space="preserve"> finansowania </w:t>
      </w:r>
      <w:r w:rsidRPr="00237760">
        <w:rPr>
          <w:rFonts w:ascii="Arial" w:hAnsi="Arial" w:cs="Arial"/>
          <w:color w:val="auto"/>
          <w:sz w:val="24"/>
          <w:szCs w:val="24"/>
          <w:lang w:eastAsia="pl-PL"/>
        </w:rPr>
        <w:t>założeń</w:t>
      </w:r>
      <w:r w:rsidR="00C74BB2" w:rsidRPr="00237760">
        <w:rPr>
          <w:rFonts w:ascii="Arial" w:hAnsi="Arial" w:cs="Arial"/>
          <w:color w:val="auto"/>
          <w:sz w:val="24"/>
          <w:szCs w:val="24"/>
          <w:lang w:eastAsia="pl-PL"/>
        </w:rPr>
        <w:t>.</w:t>
      </w:r>
      <w:r w:rsidR="004A45E3" w:rsidRPr="00237760">
        <w:rPr>
          <w:rFonts w:ascii="Arial" w:hAnsi="Arial" w:cs="Arial"/>
          <w:color w:val="auto"/>
          <w:sz w:val="24"/>
          <w:szCs w:val="24"/>
          <w:lang w:eastAsia="pl-PL"/>
        </w:rPr>
        <w:t xml:space="preserve"> </w:t>
      </w:r>
      <w:r w:rsidR="007217A3" w:rsidRPr="00237760">
        <w:rPr>
          <w:rFonts w:ascii="Arial" w:hAnsi="Arial" w:cs="Arial"/>
          <w:color w:val="auto"/>
          <w:sz w:val="24"/>
          <w:szCs w:val="24"/>
          <w:lang w:eastAsia="pl-PL"/>
        </w:rPr>
        <w:t>C</w:t>
      </w:r>
      <w:r w:rsidR="004A45E3" w:rsidRPr="00237760">
        <w:rPr>
          <w:rFonts w:ascii="Arial" w:hAnsi="Arial" w:cs="Arial"/>
          <w:color w:val="auto"/>
          <w:sz w:val="24"/>
          <w:szCs w:val="24"/>
          <w:lang w:eastAsia="pl-PL"/>
        </w:rPr>
        <w:t>o więcej, zgodnie z art. 14 rozporządzenia UE 2021/1059</w:t>
      </w:r>
      <w:r w:rsidR="00C74BB2" w:rsidRPr="00237760">
        <w:rPr>
          <w:rFonts w:ascii="Arial" w:hAnsi="Arial" w:cs="Arial"/>
          <w:color w:val="auto"/>
          <w:sz w:val="24"/>
          <w:szCs w:val="24"/>
          <w:lang w:eastAsia="pl-PL"/>
        </w:rPr>
        <w:t>,</w:t>
      </w:r>
      <w:r w:rsidR="004A45E3" w:rsidRPr="00237760">
        <w:rPr>
          <w:rFonts w:ascii="Arial" w:hAnsi="Arial" w:cs="Arial"/>
          <w:color w:val="auto"/>
          <w:sz w:val="24"/>
          <w:szCs w:val="24"/>
          <w:lang w:eastAsia="pl-PL"/>
        </w:rPr>
        <w:t xml:space="preserve"> w ramach programów Interreg realizuje się te same cele szczegółowe, co </w:t>
      </w:r>
      <w:r w:rsidR="004A45E3" w:rsidRPr="00237760">
        <w:rPr>
          <w:rFonts w:ascii="Arial" w:hAnsi="Arial" w:cs="Arial"/>
          <w:color w:val="auto"/>
          <w:sz w:val="24"/>
          <w:szCs w:val="24"/>
          <w:lang w:eastAsia="pl-PL"/>
        </w:rPr>
        <w:lastRenderedPageBreak/>
        <w:t>w przypadku EFRR i Funduszu Spójności, ewentualnie – te same co dla EFS+</w:t>
      </w:r>
      <w:r w:rsidR="004A45E3" w:rsidRPr="00237760">
        <w:rPr>
          <w:rStyle w:val="Odwoanieprzypisudolnego"/>
          <w:rFonts w:ascii="Arial" w:hAnsi="Arial" w:cs="Arial"/>
          <w:color w:val="auto"/>
          <w:sz w:val="24"/>
          <w:szCs w:val="24"/>
          <w:lang w:eastAsia="pl-PL"/>
        </w:rPr>
        <w:footnoteReference w:id="35"/>
      </w:r>
      <w:r w:rsidR="004A45E3" w:rsidRPr="00237760">
        <w:rPr>
          <w:rFonts w:ascii="Arial" w:hAnsi="Arial" w:cs="Arial"/>
          <w:color w:val="auto"/>
          <w:sz w:val="24"/>
          <w:szCs w:val="24"/>
          <w:lang w:eastAsia="pl-PL"/>
        </w:rPr>
        <w:t xml:space="preserve">. Dlatego </w:t>
      </w:r>
      <w:r w:rsidR="00C02387" w:rsidRPr="00237760">
        <w:rPr>
          <w:rFonts w:ascii="Arial" w:hAnsi="Arial" w:cs="Arial"/>
          <w:color w:val="auto"/>
          <w:sz w:val="24"/>
          <w:szCs w:val="24"/>
          <w:lang w:eastAsia="pl-PL"/>
        </w:rPr>
        <w:t>też,</w:t>
      </w:r>
      <w:r w:rsidR="004A45E3" w:rsidRPr="00237760">
        <w:rPr>
          <w:rFonts w:ascii="Arial" w:hAnsi="Arial" w:cs="Arial"/>
          <w:color w:val="auto"/>
          <w:sz w:val="24"/>
          <w:szCs w:val="24"/>
          <w:lang w:eastAsia="pl-PL"/>
        </w:rPr>
        <w:t xml:space="preserve"> wnioski dotyczące spójności z rozporządzeniami: ws. Europejskiego Funduszu Rozwoju Regionalnego (EFRR) i Funduszu Spójności (FS) oraz ws. Europejskiego Funduszu Społecznego Plus (EFS+) są wiążące również dla rozporządzenia ws. Interreg.</w:t>
      </w:r>
    </w:p>
    <w:p w14:paraId="225BF7C0" w14:textId="1B0B164B" w:rsidR="00152DFA" w:rsidRPr="00237760" w:rsidRDefault="00152DFA" w:rsidP="009367B4">
      <w:pPr>
        <w:jc w:val="left"/>
        <w:rPr>
          <w:rFonts w:ascii="Arial" w:hAnsi="Arial" w:cs="Arial"/>
          <w:color w:val="auto"/>
          <w:sz w:val="24"/>
          <w:szCs w:val="24"/>
        </w:rPr>
      </w:pPr>
      <w:r w:rsidRPr="00237760">
        <w:rPr>
          <w:rFonts w:ascii="Arial" w:hAnsi="Arial" w:cs="Arial"/>
          <w:color w:val="auto"/>
          <w:sz w:val="24"/>
          <w:szCs w:val="24"/>
          <w:lang w:eastAsia="pl-PL"/>
        </w:rPr>
        <w:t>W ramach niniejszej ewaluacji bezcelow</w:t>
      </w:r>
      <w:r w:rsidR="00E11F72" w:rsidRPr="00237760">
        <w:rPr>
          <w:rFonts w:ascii="Arial" w:hAnsi="Arial" w:cs="Arial"/>
          <w:color w:val="auto"/>
          <w:sz w:val="24"/>
          <w:szCs w:val="24"/>
          <w:lang w:eastAsia="pl-PL"/>
        </w:rPr>
        <w:t xml:space="preserve">a również jest ocena spójności z zapisami rozporządzenia ws. </w:t>
      </w:r>
      <w:r w:rsidR="00E11F72" w:rsidRPr="00237760">
        <w:rPr>
          <w:rFonts w:ascii="Arial" w:hAnsi="Arial" w:cs="Arial"/>
          <w:color w:val="auto"/>
          <w:sz w:val="24"/>
          <w:szCs w:val="24"/>
        </w:rPr>
        <w:t>Fundusz</w:t>
      </w:r>
      <w:r w:rsidR="008A48C8" w:rsidRPr="00237760">
        <w:rPr>
          <w:rFonts w:ascii="Arial" w:hAnsi="Arial" w:cs="Arial"/>
          <w:color w:val="auto"/>
          <w:sz w:val="24"/>
          <w:szCs w:val="24"/>
        </w:rPr>
        <w:t>u</w:t>
      </w:r>
      <w:r w:rsidR="00E11F72" w:rsidRPr="00237760">
        <w:rPr>
          <w:rFonts w:ascii="Arial" w:hAnsi="Arial" w:cs="Arial"/>
          <w:color w:val="auto"/>
          <w:sz w:val="24"/>
          <w:szCs w:val="24"/>
        </w:rPr>
        <w:t xml:space="preserve"> na rzecz Sprawiedliwej Transformacji, jako że zgodnie z art. 10 i 11</w:t>
      </w:r>
      <w:r w:rsidR="007B46A9" w:rsidRPr="00237760">
        <w:rPr>
          <w:rFonts w:ascii="Arial" w:hAnsi="Arial" w:cs="Arial"/>
          <w:color w:val="auto"/>
          <w:sz w:val="24"/>
          <w:szCs w:val="24"/>
        </w:rPr>
        <w:t xml:space="preserve"> tego aktu, zasoby Funduszu na rzecz Sprawiedliwej Transformacji programowane są </w:t>
      </w:r>
      <w:r w:rsidR="000D7C85" w:rsidRPr="00237760">
        <w:rPr>
          <w:rFonts w:ascii="Arial" w:hAnsi="Arial" w:cs="Arial"/>
          <w:color w:val="auto"/>
          <w:sz w:val="24"/>
          <w:szCs w:val="24"/>
        </w:rPr>
        <w:t xml:space="preserve">w regionach, na terenie których państwa członkowskie wraz z odpowiednimi władzami lokalnymi i regionalnymi zidentyfikowały </w:t>
      </w:r>
      <w:r w:rsidR="00C05A2D" w:rsidRPr="00237760">
        <w:rPr>
          <w:rFonts w:ascii="Arial" w:hAnsi="Arial" w:cs="Arial"/>
          <w:color w:val="auto"/>
          <w:sz w:val="24"/>
          <w:szCs w:val="24"/>
        </w:rPr>
        <w:t xml:space="preserve">obszary </w:t>
      </w:r>
      <w:r w:rsidR="000B04DF" w:rsidRPr="00237760">
        <w:rPr>
          <w:rFonts w:ascii="Arial" w:hAnsi="Arial" w:cs="Arial"/>
          <w:color w:val="auto"/>
          <w:sz w:val="24"/>
          <w:szCs w:val="24"/>
        </w:rPr>
        <w:t xml:space="preserve">najbardziej </w:t>
      </w:r>
      <w:r w:rsidR="00C05A2D" w:rsidRPr="00237760">
        <w:rPr>
          <w:rFonts w:ascii="Arial" w:hAnsi="Arial" w:cs="Arial"/>
          <w:color w:val="auto"/>
          <w:sz w:val="24"/>
          <w:szCs w:val="24"/>
        </w:rPr>
        <w:t xml:space="preserve">dotknięte negatywnymi skutkami gospodarczymi i społecznymi transformacji. </w:t>
      </w:r>
      <w:r w:rsidR="00B25959" w:rsidRPr="00237760">
        <w:rPr>
          <w:rFonts w:ascii="Arial" w:hAnsi="Arial" w:cs="Arial"/>
          <w:color w:val="auto"/>
          <w:sz w:val="24"/>
          <w:szCs w:val="24"/>
        </w:rPr>
        <w:t>Województwo Podkarpackie nie zostało sk</w:t>
      </w:r>
      <w:r w:rsidR="00C74BB2" w:rsidRPr="00237760">
        <w:rPr>
          <w:rFonts w:ascii="Arial" w:hAnsi="Arial" w:cs="Arial"/>
          <w:color w:val="auto"/>
          <w:sz w:val="24"/>
          <w:szCs w:val="24"/>
        </w:rPr>
        <w:t>la</w:t>
      </w:r>
      <w:r w:rsidR="00B25959" w:rsidRPr="00237760">
        <w:rPr>
          <w:rFonts w:ascii="Arial" w:hAnsi="Arial" w:cs="Arial"/>
          <w:color w:val="auto"/>
          <w:sz w:val="24"/>
          <w:szCs w:val="24"/>
        </w:rPr>
        <w:t>syfikowane do grupy regionów charakteryzujących się znacznymi problemami w tym zakresie.</w:t>
      </w:r>
    </w:p>
    <w:p w14:paraId="2F69D18B" w14:textId="65DC0144" w:rsidR="00A43F6D" w:rsidRPr="00237760" w:rsidRDefault="007D3E90" w:rsidP="009367B4">
      <w:pPr>
        <w:jc w:val="left"/>
        <w:rPr>
          <w:rFonts w:ascii="Arial" w:hAnsi="Arial" w:cs="Arial"/>
          <w:color w:val="auto"/>
          <w:sz w:val="24"/>
          <w:szCs w:val="24"/>
        </w:rPr>
      </w:pPr>
      <w:r w:rsidRPr="00237760">
        <w:rPr>
          <w:rFonts w:ascii="Arial" w:hAnsi="Arial" w:cs="Arial"/>
          <w:color w:val="auto"/>
          <w:sz w:val="24"/>
          <w:szCs w:val="24"/>
        </w:rPr>
        <w:t>PSRT WP wskazuje jako źródła finansowania</w:t>
      </w:r>
      <w:r w:rsidR="003775F4" w:rsidRPr="00237760">
        <w:rPr>
          <w:rFonts w:ascii="Arial" w:hAnsi="Arial" w:cs="Arial"/>
          <w:color w:val="auto"/>
          <w:sz w:val="24"/>
          <w:szCs w:val="24"/>
        </w:rPr>
        <w:t xml:space="preserve"> m.in. </w:t>
      </w:r>
      <w:r w:rsidR="003775F4" w:rsidRPr="00237760">
        <w:rPr>
          <w:rFonts w:ascii="Arial" w:hAnsi="Arial" w:cs="Arial"/>
          <w:i/>
          <w:color w:val="auto"/>
          <w:sz w:val="24"/>
          <w:szCs w:val="24"/>
        </w:rPr>
        <w:t>Fundusze Europejskie</w:t>
      </w:r>
      <w:r w:rsidR="00CE7F76" w:rsidRPr="00237760">
        <w:rPr>
          <w:rFonts w:ascii="Arial" w:hAnsi="Arial" w:cs="Arial"/>
          <w:i/>
          <w:color w:val="auto"/>
          <w:sz w:val="24"/>
          <w:szCs w:val="24"/>
        </w:rPr>
        <w:t xml:space="preserve"> dla Polski Wschodniej</w:t>
      </w:r>
      <w:r w:rsidR="007B71CF" w:rsidRPr="00237760">
        <w:rPr>
          <w:rFonts w:ascii="Arial" w:hAnsi="Arial" w:cs="Arial"/>
          <w:color w:val="auto"/>
          <w:sz w:val="24"/>
          <w:szCs w:val="24"/>
        </w:rPr>
        <w:t xml:space="preserve"> (FEPW) oraz </w:t>
      </w:r>
      <w:r w:rsidR="007B71CF" w:rsidRPr="00237760">
        <w:rPr>
          <w:rFonts w:ascii="Arial" w:hAnsi="Arial" w:cs="Arial"/>
          <w:i/>
          <w:color w:val="auto"/>
          <w:sz w:val="24"/>
          <w:szCs w:val="24"/>
        </w:rPr>
        <w:t>Fundusze Europejskie na Infrastrukturę, Klimat, Środowisko 2021-2027</w:t>
      </w:r>
      <w:r w:rsidR="003B3EDD" w:rsidRPr="00237760">
        <w:rPr>
          <w:rFonts w:ascii="Arial" w:hAnsi="Arial" w:cs="Arial"/>
          <w:color w:val="auto"/>
          <w:sz w:val="24"/>
          <w:szCs w:val="24"/>
        </w:rPr>
        <w:t xml:space="preserve"> (FENIKS)</w:t>
      </w:r>
      <w:r w:rsidR="007B71CF" w:rsidRPr="00237760">
        <w:rPr>
          <w:rFonts w:ascii="Arial" w:hAnsi="Arial" w:cs="Arial"/>
          <w:color w:val="auto"/>
          <w:sz w:val="24"/>
          <w:szCs w:val="24"/>
        </w:rPr>
        <w:t xml:space="preserve">. </w:t>
      </w:r>
      <w:r w:rsidR="00DE1F68" w:rsidRPr="00237760">
        <w:rPr>
          <w:rFonts w:ascii="Arial" w:hAnsi="Arial" w:cs="Arial"/>
          <w:color w:val="auto"/>
          <w:sz w:val="24"/>
          <w:szCs w:val="24"/>
        </w:rPr>
        <w:t>Programy te mają być główn</w:t>
      </w:r>
      <w:r w:rsidR="00F164F8" w:rsidRPr="00237760">
        <w:rPr>
          <w:rFonts w:ascii="Arial" w:hAnsi="Arial" w:cs="Arial"/>
          <w:color w:val="auto"/>
          <w:sz w:val="24"/>
          <w:szCs w:val="24"/>
        </w:rPr>
        <w:t xml:space="preserve">ą formą wsparcia finansowego na poziomie krajowym obok regionalnego FEP. </w:t>
      </w:r>
      <w:r w:rsidR="00600189" w:rsidRPr="00237760">
        <w:rPr>
          <w:rFonts w:ascii="Arial" w:hAnsi="Arial" w:cs="Arial"/>
          <w:color w:val="auto"/>
          <w:sz w:val="24"/>
          <w:szCs w:val="24"/>
        </w:rPr>
        <w:t>Fundusze Europejskie dla Polski Wschodniej</w:t>
      </w:r>
      <w:r w:rsidR="006566A5" w:rsidRPr="00237760">
        <w:rPr>
          <w:rFonts w:ascii="Arial" w:hAnsi="Arial" w:cs="Arial"/>
          <w:color w:val="auto"/>
          <w:sz w:val="24"/>
          <w:szCs w:val="24"/>
        </w:rPr>
        <w:t xml:space="preserve"> to program obejmujący 5 najsłabiej rozwinięt</w:t>
      </w:r>
      <w:r w:rsidR="00CC5F8C" w:rsidRPr="00237760">
        <w:rPr>
          <w:rFonts w:ascii="Arial" w:hAnsi="Arial" w:cs="Arial"/>
          <w:color w:val="auto"/>
          <w:sz w:val="24"/>
          <w:szCs w:val="24"/>
        </w:rPr>
        <w:t>ych</w:t>
      </w:r>
      <w:r w:rsidR="006566A5" w:rsidRPr="00237760">
        <w:rPr>
          <w:rFonts w:ascii="Arial" w:hAnsi="Arial" w:cs="Arial"/>
          <w:color w:val="auto"/>
          <w:sz w:val="24"/>
          <w:szCs w:val="24"/>
        </w:rPr>
        <w:t xml:space="preserve"> regionów kraju</w:t>
      </w:r>
      <w:r w:rsidR="002E22C4" w:rsidRPr="00237760">
        <w:rPr>
          <w:rFonts w:ascii="Arial" w:hAnsi="Arial" w:cs="Arial"/>
          <w:color w:val="auto"/>
          <w:sz w:val="24"/>
          <w:szCs w:val="24"/>
        </w:rPr>
        <w:t xml:space="preserve">: </w:t>
      </w:r>
      <w:r w:rsidR="006566A5" w:rsidRPr="00237760">
        <w:rPr>
          <w:rFonts w:ascii="Arial" w:hAnsi="Arial" w:cs="Arial"/>
          <w:color w:val="auto"/>
          <w:sz w:val="24"/>
          <w:szCs w:val="24"/>
        </w:rPr>
        <w:t>lubelskie, podkarpackie, podlaskie, świętokrzyskie i warmińsko-mazurskie oraz regionu statystycznego – mazowiecki</w:t>
      </w:r>
      <w:r w:rsidR="0028579B" w:rsidRPr="00237760">
        <w:rPr>
          <w:rFonts w:ascii="Arial" w:hAnsi="Arial" w:cs="Arial"/>
          <w:color w:val="auto"/>
          <w:sz w:val="24"/>
          <w:szCs w:val="24"/>
        </w:rPr>
        <w:t>ego</w:t>
      </w:r>
      <w:r w:rsidR="006566A5" w:rsidRPr="00237760">
        <w:rPr>
          <w:rFonts w:ascii="Arial" w:hAnsi="Arial" w:cs="Arial"/>
          <w:color w:val="auto"/>
          <w:sz w:val="24"/>
          <w:szCs w:val="24"/>
        </w:rPr>
        <w:t xml:space="preserve"> regionaln</w:t>
      </w:r>
      <w:r w:rsidR="0028579B" w:rsidRPr="00237760">
        <w:rPr>
          <w:rFonts w:ascii="Arial" w:hAnsi="Arial" w:cs="Arial"/>
          <w:color w:val="auto"/>
          <w:sz w:val="24"/>
          <w:szCs w:val="24"/>
        </w:rPr>
        <w:t>ego</w:t>
      </w:r>
      <w:r w:rsidR="00ED41C9" w:rsidRPr="00237760">
        <w:rPr>
          <w:rFonts w:ascii="Arial" w:hAnsi="Arial" w:cs="Arial"/>
          <w:color w:val="auto"/>
          <w:sz w:val="24"/>
          <w:szCs w:val="24"/>
        </w:rPr>
        <w:t>.</w:t>
      </w:r>
      <w:r w:rsidR="002E22C4" w:rsidRPr="00237760">
        <w:rPr>
          <w:rFonts w:ascii="Arial" w:hAnsi="Arial" w:cs="Arial"/>
          <w:color w:val="auto"/>
          <w:sz w:val="24"/>
          <w:szCs w:val="24"/>
        </w:rPr>
        <w:t xml:space="preserve"> Program ten </w:t>
      </w:r>
      <w:r w:rsidR="00FF6840" w:rsidRPr="00237760">
        <w:rPr>
          <w:rFonts w:ascii="Arial" w:hAnsi="Arial" w:cs="Arial"/>
          <w:color w:val="auto"/>
          <w:sz w:val="24"/>
          <w:szCs w:val="24"/>
        </w:rPr>
        <w:t xml:space="preserve">opiera się na celach, które są tożsame z </w:t>
      </w:r>
      <w:r w:rsidR="0028579B" w:rsidRPr="00237760">
        <w:rPr>
          <w:rFonts w:ascii="Arial" w:hAnsi="Arial" w:cs="Arial"/>
          <w:color w:val="auto"/>
          <w:sz w:val="24"/>
          <w:szCs w:val="24"/>
        </w:rPr>
        <w:t>tymi</w:t>
      </w:r>
      <w:r w:rsidR="00FF6840" w:rsidRPr="00237760">
        <w:rPr>
          <w:rFonts w:ascii="Arial" w:hAnsi="Arial" w:cs="Arial"/>
          <w:color w:val="auto"/>
          <w:sz w:val="24"/>
          <w:szCs w:val="24"/>
        </w:rPr>
        <w:t xml:space="preserve"> wskazanymi </w:t>
      </w:r>
      <w:r w:rsidR="00A57249" w:rsidRPr="00237760">
        <w:rPr>
          <w:rFonts w:ascii="Arial" w:hAnsi="Arial" w:cs="Arial"/>
          <w:color w:val="auto"/>
          <w:sz w:val="24"/>
          <w:szCs w:val="24"/>
        </w:rPr>
        <w:t xml:space="preserve">w </w:t>
      </w:r>
      <w:r w:rsidR="00FF6840" w:rsidRPr="00237760">
        <w:rPr>
          <w:rFonts w:ascii="Arial" w:hAnsi="Arial" w:cs="Arial"/>
          <w:color w:val="auto"/>
          <w:sz w:val="24"/>
          <w:szCs w:val="24"/>
        </w:rPr>
        <w:t>rozporządze</w:t>
      </w:r>
      <w:r w:rsidR="007F0640" w:rsidRPr="00237760">
        <w:rPr>
          <w:rFonts w:ascii="Arial" w:hAnsi="Arial" w:cs="Arial"/>
          <w:color w:val="auto"/>
          <w:sz w:val="24"/>
          <w:szCs w:val="24"/>
        </w:rPr>
        <w:t>niu ws. EFRR i FS.</w:t>
      </w:r>
      <w:r w:rsidR="00FF6840" w:rsidRPr="00237760">
        <w:rPr>
          <w:rFonts w:ascii="Arial" w:hAnsi="Arial" w:cs="Arial"/>
          <w:color w:val="auto"/>
          <w:sz w:val="24"/>
          <w:szCs w:val="24"/>
        </w:rPr>
        <w:t xml:space="preserve"> </w:t>
      </w:r>
      <w:r w:rsidR="00B01231" w:rsidRPr="00237760">
        <w:rPr>
          <w:rFonts w:ascii="Arial" w:hAnsi="Arial" w:cs="Arial"/>
          <w:color w:val="auto"/>
          <w:sz w:val="24"/>
          <w:szCs w:val="24"/>
        </w:rPr>
        <w:t xml:space="preserve">Dokument </w:t>
      </w:r>
      <w:r w:rsidR="00FF6840" w:rsidRPr="00237760">
        <w:rPr>
          <w:rFonts w:ascii="Arial" w:hAnsi="Arial" w:cs="Arial"/>
          <w:color w:val="auto"/>
          <w:sz w:val="24"/>
          <w:szCs w:val="24"/>
        </w:rPr>
        <w:t>FEPW wskazuje następujące cele:</w:t>
      </w:r>
    </w:p>
    <w:p w14:paraId="2A3C2703" w14:textId="7DD567A7" w:rsidR="00FF6840" w:rsidRPr="00237760" w:rsidRDefault="00471811" w:rsidP="009367B4">
      <w:pPr>
        <w:pStyle w:val="Akapitzlist"/>
        <w:numPr>
          <w:ilvl w:val="0"/>
          <w:numId w:val="17"/>
        </w:numPr>
        <w:jc w:val="left"/>
        <w:rPr>
          <w:rFonts w:ascii="Arial" w:hAnsi="Arial" w:cs="Arial"/>
          <w:color w:val="auto"/>
          <w:sz w:val="24"/>
          <w:szCs w:val="24"/>
        </w:rPr>
      </w:pPr>
      <w:r w:rsidRPr="00237760">
        <w:rPr>
          <w:rFonts w:ascii="Arial" w:hAnsi="Arial" w:cs="Arial"/>
          <w:color w:val="auto"/>
          <w:sz w:val="24"/>
          <w:szCs w:val="24"/>
        </w:rPr>
        <w:t>wzmacnianie trwałego wzrostu i konkurencyjności MŚP oraz tworzenie miejsc pracy w MŚP, w tym przez inwestycje produkcyjne,</w:t>
      </w:r>
    </w:p>
    <w:p w14:paraId="658F1D84" w14:textId="4BFBC688" w:rsidR="00471811" w:rsidRPr="00237760" w:rsidRDefault="00471811" w:rsidP="009367B4">
      <w:pPr>
        <w:pStyle w:val="Akapitzlist"/>
        <w:numPr>
          <w:ilvl w:val="0"/>
          <w:numId w:val="17"/>
        </w:numPr>
        <w:jc w:val="left"/>
        <w:rPr>
          <w:rFonts w:ascii="Arial" w:hAnsi="Arial" w:cs="Arial"/>
          <w:color w:val="auto"/>
          <w:sz w:val="24"/>
          <w:szCs w:val="24"/>
        </w:rPr>
      </w:pPr>
      <w:r w:rsidRPr="00237760">
        <w:rPr>
          <w:rFonts w:ascii="Arial" w:hAnsi="Arial" w:cs="Arial"/>
          <w:color w:val="auto"/>
          <w:sz w:val="24"/>
          <w:szCs w:val="24"/>
        </w:rPr>
        <w:lastRenderedPageBreak/>
        <w:t>rozwój inteligentnych systemów i sieci energetycznych oraz systemów magazynowania energii poza transeuropejską siecią energetyczną (TEN-E),</w:t>
      </w:r>
    </w:p>
    <w:p w14:paraId="289EE95F" w14:textId="2CFC3BD3" w:rsidR="00471811" w:rsidRPr="00237760" w:rsidRDefault="00540575" w:rsidP="009367B4">
      <w:pPr>
        <w:pStyle w:val="Akapitzlist"/>
        <w:numPr>
          <w:ilvl w:val="0"/>
          <w:numId w:val="17"/>
        </w:numPr>
        <w:jc w:val="left"/>
        <w:rPr>
          <w:rFonts w:ascii="Arial" w:hAnsi="Arial" w:cs="Arial"/>
          <w:color w:val="auto"/>
          <w:sz w:val="24"/>
          <w:szCs w:val="24"/>
        </w:rPr>
      </w:pPr>
      <w:r w:rsidRPr="00237760">
        <w:rPr>
          <w:rFonts w:ascii="Arial" w:hAnsi="Arial" w:cs="Arial"/>
          <w:color w:val="auto"/>
          <w:sz w:val="24"/>
          <w:szCs w:val="24"/>
        </w:rPr>
        <w:t>w</w:t>
      </w:r>
      <w:r w:rsidR="00471811" w:rsidRPr="00237760">
        <w:rPr>
          <w:rFonts w:ascii="Arial" w:hAnsi="Arial" w:cs="Arial"/>
          <w:color w:val="auto"/>
          <w:sz w:val="24"/>
          <w:szCs w:val="24"/>
        </w:rPr>
        <w:t>spieranie przystosowania się do zmian klimatu i zapobiegania ryzyku związanemu z klęskami żywiołowymi i katastrofami, a także odporności, z uwzględnieniem podejścia ekosystemowego,</w:t>
      </w:r>
    </w:p>
    <w:p w14:paraId="66DC3002" w14:textId="7308451D" w:rsidR="00471811" w:rsidRPr="00237760" w:rsidRDefault="00E7505C" w:rsidP="009367B4">
      <w:pPr>
        <w:pStyle w:val="Akapitzlist"/>
        <w:numPr>
          <w:ilvl w:val="0"/>
          <w:numId w:val="17"/>
        </w:numPr>
        <w:jc w:val="left"/>
        <w:rPr>
          <w:rFonts w:ascii="Arial" w:hAnsi="Arial" w:cs="Arial"/>
          <w:color w:val="auto"/>
          <w:sz w:val="24"/>
          <w:szCs w:val="24"/>
        </w:rPr>
      </w:pPr>
      <w:r w:rsidRPr="00237760">
        <w:rPr>
          <w:rFonts w:ascii="Arial" w:hAnsi="Arial" w:cs="Arial"/>
          <w:color w:val="auto"/>
          <w:sz w:val="24"/>
          <w:szCs w:val="24"/>
        </w:rPr>
        <w:t>wzmacnianie ochrony i zachowania przyrody, różnorodności biologicznej oraz zielonej infrastruktury, w tym na obszarach miejskich, oraz ograniczanie wszelkich rodzajów zanieczyszczenia,</w:t>
      </w:r>
    </w:p>
    <w:p w14:paraId="6A40317A" w14:textId="74AEDE02" w:rsidR="00E7505C" w:rsidRPr="00237760" w:rsidRDefault="00E7505C" w:rsidP="009367B4">
      <w:pPr>
        <w:pStyle w:val="Akapitzlist"/>
        <w:numPr>
          <w:ilvl w:val="0"/>
          <w:numId w:val="17"/>
        </w:numPr>
        <w:jc w:val="left"/>
        <w:rPr>
          <w:rFonts w:ascii="Arial" w:hAnsi="Arial" w:cs="Arial"/>
          <w:color w:val="auto"/>
          <w:sz w:val="24"/>
          <w:szCs w:val="24"/>
        </w:rPr>
      </w:pPr>
      <w:r w:rsidRPr="00237760">
        <w:rPr>
          <w:rFonts w:ascii="Arial" w:hAnsi="Arial" w:cs="Arial"/>
          <w:color w:val="auto"/>
          <w:sz w:val="24"/>
          <w:szCs w:val="24"/>
        </w:rPr>
        <w:t>wspieranie zrównoważonej multimodalnej mobilności miejskiej jako elementu transformacji w kierunku gospodarki zeroemisyjnej,</w:t>
      </w:r>
    </w:p>
    <w:p w14:paraId="3E0A0E0A" w14:textId="6E6E3AE7" w:rsidR="00E7505C" w:rsidRPr="00237760" w:rsidRDefault="002E1EA3" w:rsidP="009367B4">
      <w:pPr>
        <w:pStyle w:val="Akapitzlist"/>
        <w:numPr>
          <w:ilvl w:val="0"/>
          <w:numId w:val="17"/>
        </w:numPr>
        <w:jc w:val="left"/>
        <w:rPr>
          <w:rFonts w:ascii="Arial" w:hAnsi="Arial" w:cs="Arial"/>
          <w:color w:val="auto"/>
          <w:sz w:val="24"/>
          <w:szCs w:val="24"/>
        </w:rPr>
      </w:pPr>
      <w:r w:rsidRPr="00237760">
        <w:rPr>
          <w:rFonts w:ascii="Arial" w:hAnsi="Arial" w:cs="Arial"/>
          <w:color w:val="auto"/>
          <w:sz w:val="24"/>
          <w:szCs w:val="24"/>
        </w:rPr>
        <w:t>r</w:t>
      </w:r>
      <w:r w:rsidR="00E7505C" w:rsidRPr="00237760">
        <w:rPr>
          <w:rFonts w:ascii="Arial" w:hAnsi="Arial" w:cs="Arial"/>
          <w:color w:val="auto"/>
          <w:sz w:val="24"/>
          <w:szCs w:val="24"/>
        </w:rPr>
        <w:t xml:space="preserve">ozwój odpornej na zmiany klimatu, inteligentnej, bezpiecznej, zrównoważonej </w:t>
      </w:r>
      <w:r w:rsidR="00C605B2" w:rsidRPr="00237760">
        <w:rPr>
          <w:rFonts w:ascii="Arial" w:hAnsi="Arial" w:cs="Arial"/>
          <w:color w:val="auto"/>
          <w:sz w:val="24"/>
          <w:szCs w:val="24"/>
        </w:rPr>
        <w:br/>
      </w:r>
      <w:r w:rsidR="00E7505C" w:rsidRPr="00237760">
        <w:rPr>
          <w:rFonts w:ascii="Arial" w:hAnsi="Arial" w:cs="Arial"/>
          <w:color w:val="auto"/>
          <w:sz w:val="24"/>
          <w:szCs w:val="24"/>
        </w:rPr>
        <w:t>i intermodalnej TEN-T,</w:t>
      </w:r>
    </w:p>
    <w:p w14:paraId="0CD13178" w14:textId="15D69EF7" w:rsidR="00E7505C" w:rsidRPr="00237760" w:rsidRDefault="002E1EA3" w:rsidP="009367B4">
      <w:pPr>
        <w:pStyle w:val="Akapitzlist"/>
        <w:numPr>
          <w:ilvl w:val="0"/>
          <w:numId w:val="17"/>
        </w:numPr>
        <w:jc w:val="left"/>
        <w:rPr>
          <w:rFonts w:ascii="Arial" w:hAnsi="Arial" w:cs="Arial"/>
          <w:color w:val="auto"/>
          <w:sz w:val="24"/>
          <w:szCs w:val="24"/>
        </w:rPr>
      </w:pPr>
      <w:r w:rsidRPr="00237760">
        <w:rPr>
          <w:rFonts w:ascii="Arial" w:hAnsi="Arial" w:cs="Arial"/>
          <w:color w:val="auto"/>
          <w:sz w:val="24"/>
          <w:szCs w:val="24"/>
        </w:rPr>
        <w:t>r</w:t>
      </w:r>
      <w:r w:rsidR="009B5C52" w:rsidRPr="00237760">
        <w:rPr>
          <w:rFonts w:ascii="Arial" w:hAnsi="Arial" w:cs="Arial"/>
          <w:color w:val="auto"/>
          <w:sz w:val="24"/>
          <w:szCs w:val="24"/>
        </w:rPr>
        <w:t xml:space="preserve">ozwój i udoskonalanie zrównoważonej, odpornej na zmiany klimatu, inteligentnej </w:t>
      </w:r>
      <w:r w:rsidR="00C605B2" w:rsidRPr="00237760">
        <w:rPr>
          <w:rFonts w:ascii="Arial" w:hAnsi="Arial" w:cs="Arial"/>
          <w:color w:val="auto"/>
          <w:sz w:val="24"/>
          <w:szCs w:val="24"/>
        </w:rPr>
        <w:br/>
      </w:r>
      <w:r w:rsidR="009B5C52" w:rsidRPr="00237760">
        <w:rPr>
          <w:rFonts w:ascii="Arial" w:hAnsi="Arial" w:cs="Arial"/>
          <w:color w:val="auto"/>
          <w:sz w:val="24"/>
          <w:szCs w:val="24"/>
        </w:rPr>
        <w:t>i intermodalnej mobilności na poziomie krajowym, regionalnym i lokalnym, w tym poprawę dostępu do TEN-T oraz mobilności transgranicznej,</w:t>
      </w:r>
    </w:p>
    <w:p w14:paraId="30515D70" w14:textId="699D6BF5" w:rsidR="009B5C52" w:rsidRPr="00237760" w:rsidRDefault="002E1EA3" w:rsidP="009367B4">
      <w:pPr>
        <w:pStyle w:val="Akapitzlist"/>
        <w:numPr>
          <w:ilvl w:val="0"/>
          <w:numId w:val="17"/>
        </w:numPr>
        <w:jc w:val="left"/>
        <w:rPr>
          <w:rFonts w:ascii="Arial" w:hAnsi="Arial" w:cs="Arial"/>
          <w:color w:val="auto"/>
          <w:sz w:val="24"/>
          <w:szCs w:val="24"/>
        </w:rPr>
      </w:pPr>
      <w:r w:rsidRPr="00237760">
        <w:rPr>
          <w:rFonts w:ascii="Arial" w:hAnsi="Arial" w:cs="Arial"/>
          <w:color w:val="auto"/>
          <w:sz w:val="24"/>
          <w:szCs w:val="24"/>
        </w:rPr>
        <w:t>z</w:t>
      </w:r>
      <w:r w:rsidR="009B5C52" w:rsidRPr="00237760">
        <w:rPr>
          <w:rFonts w:ascii="Arial" w:hAnsi="Arial" w:cs="Arial"/>
          <w:color w:val="auto"/>
          <w:sz w:val="24"/>
          <w:szCs w:val="24"/>
        </w:rPr>
        <w:t>apewnianie równego dostępu do opieki zdrowotnej i wspieranie odporności systemów opieki zdrowotnej, w tym podstawowej opieki zdrowotnej, oraz wspieranie przechodzenia od opieki instytucjonalnej do opieki rodzinnej i środowiskowej,</w:t>
      </w:r>
    </w:p>
    <w:p w14:paraId="746518BA" w14:textId="43028A8B" w:rsidR="002E1EA3" w:rsidRPr="00237760" w:rsidRDefault="00D73343" w:rsidP="009367B4">
      <w:pPr>
        <w:pStyle w:val="Akapitzlist"/>
        <w:numPr>
          <w:ilvl w:val="0"/>
          <w:numId w:val="17"/>
        </w:numPr>
        <w:jc w:val="left"/>
        <w:rPr>
          <w:rFonts w:ascii="Arial" w:hAnsi="Arial" w:cs="Arial"/>
          <w:color w:val="auto"/>
          <w:sz w:val="24"/>
          <w:szCs w:val="24"/>
        </w:rPr>
      </w:pPr>
      <w:r w:rsidRPr="00237760">
        <w:rPr>
          <w:rFonts w:ascii="Arial" w:hAnsi="Arial" w:cs="Arial"/>
          <w:color w:val="auto"/>
          <w:sz w:val="24"/>
          <w:szCs w:val="24"/>
        </w:rPr>
        <w:t>w</w:t>
      </w:r>
      <w:r w:rsidR="002E1EA3" w:rsidRPr="00237760">
        <w:rPr>
          <w:rFonts w:ascii="Arial" w:hAnsi="Arial" w:cs="Arial"/>
          <w:color w:val="auto"/>
          <w:sz w:val="24"/>
          <w:szCs w:val="24"/>
        </w:rPr>
        <w:t>zmacnianie roli kultury i zrównoważonej turystyki w rozwoju gospodarczym, włączeniu społecznym i innowacjach społecznych</w:t>
      </w:r>
      <w:r w:rsidRPr="00237760">
        <w:rPr>
          <w:rFonts w:ascii="Arial" w:hAnsi="Arial" w:cs="Arial"/>
          <w:color w:val="auto"/>
          <w:sz w:val="24"/>
          <w:szCs w:val="24"/>
        </w:rPr>
        <w:t>.</w:t>
      </w:r>
    </w:p>
    <w:p w14:paraId="1BE07D8D" w14:textId="63469764" w:rsidR="007F0640" w:rsidRPr="00237760" w:rsidRDefault="00A16A84" w:rsidP="009367B4">
      <w:pPr>
        <w:jc w:val="left"/>
        <w:rPr>
          <w:rFonts w:ascii="Arial" w:hAnsi="Arial" w:cs="Arial"/>
          <w:color w:val="auto"/>
          <w:sz w:val="24"/>
          <w:szCs w:val="24"/>
        </w:rPr>
      </w:pPr>
      <w:r w:rsidRPr="00237760">
        <w:rPr>
          <w:rFonts w:ascii="Arial" w:hAnsi="Arial" w:cs="Arial"/>
          <w:color w:val="auto"/>
          <w:sz w:val="24"/>
          <w:szCs w:val="24"/>
        </w:rPr>
        <w:t>Jako</w:t>
      </w:r>
      <w:r w:rsidR="007F0640" w:rsidRPr="00237760">
        <w:rPr>
          <w:rFonts w:ascii="Arial" w:hAnsi="Arial" w:cs="Arial"/>
          <w:color w:val="auto"/>
          <w:sz w:val="24"/>
          <w:szCs w:val="24"/>
        </w:rPr>
        <w:t xml:space="preserve"> że wszystkie </w:t>
      </w:r>
      <w:r w:rsidRPr="00237760">
        <w:rPr>
          <w:rFonts w:ascii="Arial" w:hAnsi="Arial" w:cs="Arial"/>
          <w:color w:val="auto"/>
          <w:sz w:val="24"/>
          <w:szCs w:val="24"/>
        </w:rPr>
        <w:t>z nich</w:t>
      </w:r>
      <w:r w:rsidR="007F0640" w:rsidRPr="00237760">
        <w:rPr>
          <w:rFonts w:ascii="Arial" w:hAnsi="Arial" w:cs="Arial"/>
          <w:color w:val="auto"/>
          <w:sz w:val="24"/>
          <w:szCs w:val="24"/>
        </w:rPr>
        <w:t xml:space="preserve"> stanowią też </w:t>
      </w:r>
      <w:r w:rsidRPr="00237760">
        <w:rPr>
          <w:rFonts w:ascii="Arial" w:hAnsi="Arial" w:cs="Arial"/>
          <w:color w:val="auto"/>
          <w:sz w:val="24"/>
          <w:szCs w:val="24"/>
        </w:rPr>
        <w:t>cele szczegółowe dotyczące programowania EFRR i FS, to też matryca spójności</w:t>
      </w:r>
      <w:r w:rsidR="003E3635" w:rsidRPr="00237760">
        <w:rPr>
          <w:rFonts w:ascii="Arial" w:hAnsi="Arial" w:cs="Arial"/>
          <w:color w:val="auto"/>
          <w:sz w:val="24"/>
          <w:szCs w:val="24"/>
        </w:rPr>
        <w:t xml:space="preserve"> </w:t>
      </w:r>
      <w:r w:rsidR="00447542" w:rsidRPr="00237760">
        <w:rPr>
          <w:rFonts w:ascii="Arial" w:hAnsi="Arial" w:cs="Arial"/>
          <w:color w:val="auto"/>
          <w:sz w:val="24"/>
          <w:szCs w:val="24"/>
        </w:rPr>
        <w:t>(</w:t>
      </w:r>
      <w:r w:rsidR="006B52FB" w:rsidRPr="00237760">
        <w:rPr>
          <w:rFonts w:ascii="Arial" w:hAnsi="Arial" w:cs="Arial"/>
          <w:color w:val="auto"/>
          <w:sz w:val="24"/>
          <w:szCs w:val="24"/>
        </w:rPr>
        <w:fldChar w:fldCharType="begin"/>
      </w:r>
      <w:r w:rsidR="006B52FB" w:rsidRPr="00237760">
        <w:rPr>
          <w:rFonts w:ascii="Arial" w:hAnsi="Arial" w:cs="Arial"/>
          <w:color w:val="auto"/>
          <w:sz w:val="24"/>
          <w:szCs w:val="24"/>
        </w:rPr>
        <w:instrText xml:space="preserve"> REF _Ref100921066 \h </w:instrText>
      </w:r>
      <w:r w:rsidR="00237760" w:rsidRPr="00237760">
        <w:rPr>
          <w:rFonts w:ascii="Arial" w:hAnsi="Arial" w:cs="Arial"/>
          <w:color w:val="auto"/>
          <w:sz w:val="24"/>
          <w:szCs w:val="24"/>
        </w:rPr>
        <w:instrText xml:space="preserve"> \* MERGEFORMAT </w:instrText>
      </w:r>
      <w:r w:rsidR="006B52FB" w:rsidRPr="00237760">
        <w:rPr>
          <w:rFonts w:ascii="Arial" w:hAnsi="Arial" w:cs="Arial"/>
          <w:color w:val="auto"/>
          <w:sz w:val="24"/>
          <w:szCs w:val="24"/>
        </w:rPr>
      </w:r>
      <w:r w:rsidR="006B52FB" w:rsidRPr="00237760">
        <w:rPr>
          <w:rFonts w:ascii="Arial" w:hAnsi="Arial" w:cs="Arial"/>
          <w:color w:val="auto"/>
          <w:sz w:val="24"/>
          <w:szCs w:val="24"/>
        </w:rPr>
        <w:fldChar w:fldCharType="separate"/>
      </w:r>
      <w:r w:rsidR="00E52C19" w:rsidRPr="00237760">
        <w:rPr>
          <w:rFonts w:ascii="Arial" w:hAnsi="Arial" w:cs="Arial"/>
          <w:color w:val="auto"/>
          <w:sz w:val="24"/>
          <w:szCs w:val="24"/>
        </w:rPr>
        <w:t xml:space="preserve">Tabela </w:t>
      </w:r>
      <w:r w:rsidR="00E52C19" w:rsidRPr="00237760">
        <w:rPr>
          <w:rFonts w:ascii="Arial" w:hAnsi="Arial" w:cs="Arial"/>
          <w:noProof/>
          <w:color w:val="auto"/>
          <w:sz w:val="24"/>
          <w:szCs w:val="24"/>
        </w:rPr>
        <w:t>18</w:t>
      </w:r>
      <w:r w:rsidR="006B52FB" w:rsidRPr="00237760">
        <w:rPr>
          <w:rFonts w:ascii="Arial" w:hAnsi="Arial" w:cs="Arial"/>
          <w:color w:val="auto"/>
          <w:sz w:val="24"/>
          <w:szCs w:val="24"/>
        </w:rPr>
        <w:fldChar w:fldCharType="end"/>
      </w:r>
      <w:r w:rsidR="00447542" w:rsidRPr="00237760">
        <w:rPr>
          <w:rFonts w:ascii="Arial" w:hAnsi="Arial" w:cs="Arial"/>
          <w:color w:val="auto"/>
          <w:sz w:val="24"/>
          <w:szCs w:val="24"/>
        </w:rPr>
        <w:t xml:space="preserve">) </w:t>
      </w:r>
      <w:r w:rsidR="007E011A" w:rsidRPr="00237760">
        <w:rPr>
          <w:rFonts w:ascii="Arial" w:hAnsi="Arial" w:cs="Arial"/>
          <w:color w:val="auto"/>
          <w:sz w:val="24"/>
          <w:szCs w:val="24"/>
        </w:rPr>
        <w:t xml:space="preserve">w zakresie wyżej wymienionych celów jest i w tym przypadku wiążąca. </w:t>
      </w:r>
      <w:r w:rsidR="00905AF7" w:rsidRPr="00237760">
        <w:rPr>
          <w:rFonts w:ascii="Arial" w:hAnsi="Arial" w:cs="Arial"/>
          <w:color w:val="auto"/>
          <w:sz w:val="24"/>
          <w:szCs w:val="24"/>
        </w:rPr>
        <w:t>Z</w:t>
      </w:r>
      <w:r w:rsidR="006B52FB" w:rsidRPr="00237760">
        <w:rPr>
          <w:rFonts w:ascii="Arial" w:hAnsi="Arial" w:cs="Arial"/>
          <w:color w:val="auto"/>
          <w:sz w:val="24"/>
          <w:szCs w:val="24"/>
        </w:rPr>
        <w:t>ałożenia PSRT WP są spójne z celami szczegółowymi FEPW</w:t>
      </w:r>
      <w:r w:rsidR="00DC232E" w:rsidRPr="00237760">
        <w:rPr>
          <w:rFonts w:ascii="Arial" w:hAnsi="Arial" w:cs="Arial"/>
          <w:color w:val="auto"/>
          <w:sz w:val="24"/>
          <w:szCs w:val="24"/>
        </w:rPr>
        <w:t>, w szczególności w zakresie CP3 i CP2</w:t>
      </w:r>
      <w:r w:rsidR="006B52FB" w:rsidRPr="00237760">
        <w:rPr>
          <w:rFonts w:ascii="Arial" w:hAnsi="Arial" w:cs="Arial"/>
          <w:color w:val="auto"/>
          <w:sz w:val="24"/>
          <w:szCs w:val="24"/>
        </w:rPr>
        <w:t>.</w:t>
      </w:r>
    </w:p>
    <w:p w14:paraId="3AE9865F" w14:textId="43FBFF3A" w:rsidR="003E3A6C" w:rsidRPr="00237760" w:rsidRDefault="006B52FB" w:rsidP="009367B4">
      <w:pPr>
        <w:jc w:val="left"/>
        <w:rPr>
          <w:rFonts w:ascii="Arial" w:hAnsi="Arial" w:cs="Arial"/>
          <w:color w:val="auto"/>
          <w:sz w:val="24"/>
          <w:szCs w:val="24"/>
        </w:rPr>
      </w:pPr>
      <w:r w:rsidRPr="00237760">
        <w:rPr>
          <w:rFonts w:ascii="Arial" w:hAnsi="Arial" w:cs="Arial"/>
          <w:i/>
          <w:color w:val="auto"/>
          <w:sz w:val="24"/>
          <w:szCs w:val="24"/>
        </w:rPr>
        <w:t>Fundusze Europejskie na Infrastrukturę, Klimat, Środowisko 2021-2027</w:t>
      </w:r>
      <w:r w:rsidRPr="00237760">
        <w:rPr>
          <w:rFonts w:ascii="Arial" w:hAnsi="Arial" w:cs="Arial"/>
          <w:color w:val="auto"/>
          <w:sz w:val="24"/>
          <w:szCs w:val="24"/>
        </w:rPr>
        <w:t xml:space="preserve"> </w:t>
      </w:r>
      <w:r w:rsidR="005B762D" w:rsidRPr="00237760">
        <w:rPr>
          <w:rFonts w:ascii="Arial" w:hAnsi="Arial" w:cs="Arial"/>
          <w:color w:val="auto"/>
          <w:sz w:val="24"/>
          <w:szCs w:val="24"/>
        </w:rPr>
        <w:t>to</w:t>
      </w:r>
      <w:r w:rsidRPr="00237760">
        <w:rPr>
          <w:rFonts w:ascii="Arial" w:hAnsi="Arial" w:cs="Arial"/>
          <w:color w:val="auto"/>
          <w:sz w:val="24"/>
          <w:szCs w:val="24"/>
        </w:rPr>
        <w:t xml:space="preserve"> </w:t>
      </w:r>
      <w:r w:rsidR="0048681F" w:rsidRPr="00237760">
        <w:rPr>
          <w:rFonts w:ascii="Arial" w:hAnsi="Arial" w:cs="Arial"/>
          <w:color w:val="auto"/>
          <w:sz w:val="24"/>
          <w:szCs w:val="24"/>
        </w:rPr>
        <w:t xml:space="preserve">największy </w:t>
      </w:r>
      <w:r w:rsidR="003C3A0E" w:rsidRPr="00237760">
        <w:rPr>
          <w:rFonts w:ascii="Arial" w:hAnsi="Arial" w:cs="Arial"/>
          <w:color w:val="auto"/>
          <w:sz w:val="24"/>
          <w:szCs w:val="24"/>
        </w:rPr>
        <w:t xml:space="preserve">względem alokacji finansowej </w:t>
      </w:r>
      <w:r w:rsidR="0048681F" w:rsidRPr="00237760">
        <w:rPr>
          <w:rFonts w:ascii="Arial" w:hAnsi="Arial" w:cs="Arial"/>
          <w:color w:val="auto"/>
          <w:sz w:val="24"/>
          <w:szCs w:val="24"/>
        </w:rPr>
        <w:t>program krajowy</w:t>
      </w:r>
      <w:r w:rsidR="003C3A0E" w:rsidRPr="00237760">
        <w:rPr>
          <w:rFonts w:ascii="Arial" w:hAnsi="Arial" w:cs="Arial"/>
          <w:color w:val="auto"/>
          <w:sz w:val="24"/>
          <w:szCs w:val="24"/>
        </w:rPr>
        <w:t xml:space="preserve"> (w zakresie polityki spójności), którego założenia ukierunkowane są n</w:t>
      </w:r>
      <w:r w:rsidR="0001490B" w:rsidRPr="00237760">
        <w:rPr>
          <w:rFonts w:ascii="Arial" w:hAnsi="Arial" w:cs="Arial"/>
          <w:color w:val="auto"/>
          <w:sz w:val="24"/>
          <w:szCs w:val="24"/>
        </w:rPr>
        <w:t>a</w:t>
      </w:r>
      <w:r w:rsidR="0048681F" w:rsidRPr="00237760">
        <w:rPr>
          <w:rFonts w:ascii="Arial" w:hAnsi="Arial" w:cs="Arial"/>
          <w:color w:val="auto"/>
          <w:sz w:val="24"/>
          <w:szCs w:val="24"/>
        </w:rPr>
        <w:t xml:space="preserve"> popraw</w:t>
      </w:r>
      <w:r w:rsidR="003C3A0E" w:rsidRPr="00237760">
        <w:rPr>
          <w:rFonts w:ascii="Arial" w:hAnsi="Arial" w:cs="Arial"/>
          <w:color w:val="auto"/>
          <w:sz w:val="24"/>
          <w:szCs w:val="24"/>
        </w:rPr>
        <w:t>ę</w:t>
      </w:r>
      <w:r w:rsidR="0048681F" w:rsidRPr="00237760">
        <w:rPr>
          <w:rFonts w:ascii="Arial" w:hAnsi="Arial" w:cs="Arial"/>
          <w:color w:val="auto"/>
          <w:sz w:val="24"/>
          <w:szCs w:val="24"/>
        </w:rPr>
        <w:t xml:space="preserve"> warunków rozwoju kraju poprzez budowę infrastruktury technicznej i społecznej zgodnie z założeniami rozwoju zrównoważonego</w:t>
      </w:r>
      <w:r w:rsidR="003C3A0E" w:rsidRPr="00237760">
        <w:rPr>
          <w:rStyle w:val="Odwoanieprzypisudolnego"/>
          <w:rFonts w:ascii="Arial" w:hAnsi="Arial" w:cs="Arial"/>
          <w:color w:val="auto"/>
          <w:sz w:val="24"/>
          <w:szCs w:val="24"/>
        </w:rPr>
        <w:footnoteReference w:id="36"/>
      </w:r>
      <w:r w:rsidR="0048681F" w:rsidRPr="00237760">
        <w:rPr>
          <w:rFonts w:ascii="Arial" w:hAnsi="Arial" w:cs="Arial"/>
          <w:color w:val="auto"/>
          <w:sz w:val="24"/>
          <w:szCs w:val="24"/>
        </w:rPr>
        <w:t xml:space="preserve">. </w:t>
      </w:r>
      <w:r w:rsidR="00933862" w:rsidRPr="00237760">
        <w:rPr>
          <w:rFonts w:ascii="Arial" w:hAnsi="Arial" w:cs="Arial"/>
          <w:color w:val="auto"/>
          <w:sz w:val="24"/>
          <w:szCs w:val="24"/>
        </w:rPr>
        <w:t xml:space="preserve">Są to </w:t>
      </w:r>
      <w:r w:rsidR="0048681F" w:rsidRPr="00237760">
        <w:rPr>
          <w:rFonts w:ascii="Arial" w:hAnsi="Arial" w:cs="Arial"/>
          <w:color w:val="auto"/>
          <w:sz w:val="24"/>
          <w:szCs w:val="24"/>
        </w:rPr>
        <w:t>m.in działania na rzecz efektywnego, niskoemisyjnego systemu energetycznego</w:t>
      </w:r>
      <w:r w:rsidR="00933862" w:rsidRPr="00237760">
        <w:rPr>
          <w:rFonts w:ascii="Arial" w:hAnsi="Arial" w:cs="Arial"/>
          <w:color w:val="auto"/>
          <w:sz w:val="24"/>
          <w:szCs w:val="24"/>
        </w:rPr>
        <w:t>,</w:t>
      </w:r>
      <w:r w:rsidR="0048681F" w:rsidRPr="00237760">
        <w:rPr>
          <w:rFonts w:ascii="Arial" w:hAnsi="Arial" w:cs="Arial"/>
          <w:color w:val="auto"/>
          <w:sz w:val="24"/>
          <w:szCs w:val="24"/>
        </w:rPr>
        <w:t xml:space="preserve"> rozwoju </w:t>
      </w:r>
      <w:r w:rsidR="00933862" w:rsidRPr="00237760">
        <w:rPr>
          <w:rFonts w:ascii="Arial" w:hAnsi="Arial" w:cs="Arial"/>
          <w:color w:val="auto"/>
          <w:sz w:val="24"/>
          <w:szCs w:val="24"/>
        </w:rPr>
        <w:t>OZE</w:t>
      </w:r>
      <w:r w:rsidR="0048681F" w:rsidRPr="00237760">
        <w:rPr>
          <w:rFonts w:ascii="Arial" w:hAnsi="Arial" w:cs="Arial"/>
          <w:color w:val="auto"/>
          <w:sz w:val="24"/>
          <w:szCs w:val="24"/>
        </w:rPr>
        <w:t xml:space="preserve">, gospodarki przyjaznej środowisku i o obiegu zamkniętym, adaptacji do zmian klimatu, gospodarki wodno-ściekowej, zachowania bioróżnorodności, bezpiecznego i przyjaznego środowisku systemu transportowego, </w:t>
      </w:r>
      <w:r w:rsidR="0048681F" w:rsidRPr="00237760">
        <w:rPr>
          <w:rFonts w:ascii="Arial" w:hAnsi="Arial" w:cs="Arial"/>
          <w:color w:val="auto"/>
          <w:sz w:val="24"/>
          <w:szCs w:val="24"/>
        </w:rPr>
        <w:lastRenderedPageBreak/>
        <w:t>poprawy dostępu oraz zwiększenia odporności systemu ochrony zdrowia</w:t>
      </w:r>
      <w:r w:rsidR="00933862" w:rsidRPr="00237760">
        <w:rPr>
          <w:rFonts w:ascii="Arial" w:hAnsi="Arial" w:cs="Arial"/>
          <w:color w:val="auto"/>
          <w:sz w:val="24"/>
          <w:szCs w:val="24"/>
        </w:rPr>
        <w:t xml:space="preserve"> oraz</w:t>
      </w:r>
      <w:r w:rsidR="0048681F" w:rsidRPr="00237760">
        <w:rPr>
          <w:rFonts w:ascii="Arial" w:hAnsi="Arial" w:cs="Arial"/>
          <w:color w:val="auto"/>
          <w:sz w:val="24"/>
          <w:szCs w:val="24"/>
        </w:rPr>
        <w:t xml:space="preserve"> wzmocnienia roli kultury w rozwoju społecznym i gospodarczym</w:t>
      </w:r>
      <w:r w:rsidR="00933862" w:rsidRPr="00237760">
        <w:rPr>
          <w:rStyle w:val="Odwoanieprzypisudolnego"/>
          <w:rFonts w:ascii="Arial" w:hAnsi="Arial" w:cs="Arial"/>
          <w:color w:val="auto"/>
          <w:sz w:val="24"/>
          <w:szCs w:val="24"/>
        </w:rPr>
        <w:footnoteReference w:id="37"/>
      </w:r>
      <w:r w:rsidR="00933862" w:rsidRPr="00237760">
        <w:rPr>
          <w:rFonts w:ascii="Arial" w:hAnsi="Arial" w:cs="Arial"/>
          <w:color w:val="auto"/>
          <w:sz w:val="24"/>
          <w:szCs w:val="24"/>
        </w:rPr>
        <w:t xml:space="preserve">. </w:t>
      </w:r>
      <w:r w:rsidR="006451F0" w:rsidRPr="00237760">
        <w:rPr>
          <w:rFonts w:ascii="Arial" w:hAnsi="Arial" w:cs="Arial"/>
          <w:color w:val="auto"/>
          <w:sz w:val="24"/>
          <w:szCs w:val="24"/>
        </w:rPr>
        <w:t>Logika</w:t>
      </w:r>
      <w:r w:rsidR="003E3A6C" w:rsidRPr="00237760">
        <w:rPr>
          <w:rFonts w:ascii="Arial" w:hAnsi="Arial" w:cs="Arial"/>
          <w:color w:val="auto"/>
          <w:sz w:val="24"/>
          <w:szCs w:val="24"/>
        </w:rPr>
        <w:t xml:space="preserve"> </w:t>
      </w:r>
      <w:r w:rsidR="006451F0" w:rsidRPr="00237760">
        <w:rPr>
          <w:rFonts w:ascii="Arial" w:hAnsi="Arial" w:cs="Arial"/>
          <w:color w:val="auto"/>
          <w:sz w:val="24"/>
          <w:szCs w:val="24"/>
        </w:rPr>
        <w:t>formułowania celów</w:t>
      </w:r>
      <w:r w:rsidR="00933862" w:rsidRPr="00237760">
        <w:rPr>
          <w:rFonts w:ascii="Arial" w:hAnsi="Arial" w:cs="Arial"/>
          <w:color w:val="auto"/>
          <w:sz w:val="24"/>
          <w:szCs w:val="24"/>
        </w:rPr>
        <w:t xml:space="preserve"> szczegółowych</w:t>
      </w:r>
      <w:r w:rsidR="006451F0" w:rsidRPr="00237760">
        <w:rPr>
          <w:rFonts w:ascii="Arial" w:hAnsi="Arial" w:cs="Arial"/>
          <w:color w:val="auto"/>
          <w:sz w:val="24"/>
          <w:szCs w:val="24"/>
        </w:rPr>
        <w:t>, również w przypadku tego programu opierała się na ich wyborze z rozporządzenia ws. EFRR i FS</w:t>
      </w:r>
      <w:r w:rsidR="00D768AE" w:rsidRPr="00237760">
        <w:rPr>
          <w:rFonts w:ascii="Arial" w:hAnsi="Arial" w:cs="Arial"/>
          <w:color w:val="auto"/>
          <w:sz w:val="24"/>
          <w:szCs w:val="24"/>
        </w:rPr>
        <w:t>, są to następujące założenia:</w:t>
      </w:r>
    </w:p>
    <w:p w14:paraId="0C578901" w14:textId="26545775" w:rsidR="002F5D95" w:rsidRPr="00237760" w:rsidRDefault="002F5D95" w:rsidP="009367B4">
      <w:pPr>
        <w:pStyle w:val="Akapitzlist"/>
        <w:numPr>
          <w:ilvl w:val="0"/>
          <w:numId w:val="18"/>
        </w:numPr>
        <w:jc w:val="left"/>
        <w:rPr>
          <w:rFonts w:ascii="Arial" w:hAnsi="Arial" w:cs="Arial"/>
          <w:color w:val="auto"/>
          <w:sz w:val="24"/>
          <w:szCs w:val="24"/>
        </w:rPr>
      </w:pPr>
      <w:r w:rsidRPr="00237760">
        <w:rPr>
          <w:rFonts w:ascii="Arial" w:hAnsi="Arial" w:cs="Arial"/>
          <w:color w:val="auto"/>
          <w:sz w:val="24"/>
          <w:szCs w:val="24"/>
        </w:rPr>
        <w:t>wspieranie efektywności energetycznej i redukcji emisji gazów cieplarnianych</w:t>
      </w:r>
      <w:r w:rsidR="00D768AE" w:rsidRPr="00237760">
        <w:rPr>
          <w:rFonts w:ascii="Arial" w:hAnsi="Arial" w:cs="Arial"/>
          <w:color w:val="auto"/>
          <w:sz w:val="24"/>
          <w:szCs w:val="24"/>
        </w:rPr>
        <w:t>,</w:t>
      </w:r>
    </w:p>
    <w:p w14:paraId="5292AB43" w14:textId="5F8F7343" w:rsidR="004E4EA9" w:rsidRPr="00237760" w:rsidRDefault="004E4EA9" w:rsidP="009367B4">
      <w:pPr>
        <w:pStyle w:val="Akapitzlist"/>
        <w:numPr>
          <w:ilvl w:val="0"/>
          <w:numId w:val="18"/>
        </w:numPr>
        <w:jc w:val="left"/>
        <w:rPr>
          <w:rFonts w:ascii="Arial" w:hAnsi="Arial" w:cs="Arial"/>
          <w:color w:val="auto"/>
          <w:sz w:val="24"/>
          <w:szCs w:val="24"/>
        </w:rPr>
      </w:pPr>
      <w:r w:rsidRPr="00237760">
        <w:rPr>
          <w:rFonts w:ascii="Arial" w:hAnsi="Arial" w:cs="Arial"/>
          <w:color w:val="auto"/>
          <w:sz w:val="24"/>
          <w:szCs w:val="24"/>
        </w:rPr>
        <w:t>wspieranie energii odnawialnej,</w:t>
      </w:r>
    </w:p>
    <w:p w14:paraId="5A74836A" w14:textId="3969F641" w:rsidR="00DD2EFF" w:rsidRPr="00237760" w:rsidRDefault="00DD2EFF" w:rsidP="009367B4">
      <w:pPr>
        <w:pStyle w:val="Akapitzlist"/>
        <w:numPr>
          <w:ilvl w:val="0"/>
          <w:numId w:val="18"/>
        </w:numPr>
        <w:jc w:val="left"/>
        <w:rPr>
          <w:rFonts w:ascii="Arial" w:hAnsi="Arial" w:cs="Arial"/>
          <w:color w:val="auto"/>
          <w:sz w:val="24"/>
          <w:szCs w:val="24"/>
        </w:rPr>
      </w:pPr>
      <w:r w:rsidRPr="00237760">
        <w:rPr>
          <w:rFonts w:ascii="Arial" w:hAnsi="Arial" w:cs="Arial"/>
          <w:color w:val="auto"/>
          <w:sz w:val="24"/>
          <w:szCs w:val="24"/>
        </w:rPr>
        <w:t>rozwój inteligentnych systemów i sieci energetycznych oraz systemów magazynowania energii poza transeuropejską siecią energetyczną (TEN-E),</w:t>
      </w:r>
    </w:p>
    <w:p w14:paraId="152F9E8B" w14:textId="4786BBF1" w:rsidR="002F5D95" w:rsidRPr="00237760" w:rsidRDefault="002F5D95" w:rsidP="009367B4">
      <w:pPr>
        <w:pStyle w:val="Akapitzlist"/>
        <w:numPr>
          <w:ilvl w:val="0"/>
          <w:numId w:val="18"/>
        </w:numPr>
        <w:jc w:val="left"/>
        <w:rPr>
          <w:rFonts w:ascii="Arial" w:hAnsi="Arial" w:cs="Arial"/>
          <w:color w:val="auto"/>
          <w:sz w:val="24"/>
          <w:szCs w:val="24"/>
        </w:rPr>
      </w:pPr>
      <w:r w:rsidRPr="00237760">
        <w:rPr>
          <w:rFonts w:ascii="Arial" w:hAnsi="Arial" w:cs="Arial"/>
          <w:color w:val="auto"/>
          <w:sz w:val="24"/>
          <w:szCs w:val="24"/>
        </w:rPr>
        <w:t>wspieranie przystosowania się do zmian klimatu i zapobiegania ryzyku związanemu z klęskami żywiołowymi i katastrofami, a także odporności, z uwzględnieniem podejścia ekosystemowego</w:t>
      </w:r>
      <w:r w:rsidR="00DD2EFF" w:rsidRPr="00237760">
        <w:rPr>
          <w:rFonts w:ascii="Arial" w:hAnsi="Arial" w:cs="Arial"/>
          <w:color w:val="auto"/>
          <w:sz w:val="24"/>
          <w:szCs w:val="24"/>
        </w:rPr>
        <w:t>,</w:t>
      </w:r>
    </w:p>
    <w:p w14:paraId="5EE1F04B" w14:textId="35313ADC" w:rsidR="002F5D95" w:rsidRPr="00237760" w:rsidRDefault="002F5D95" w:rsidP="009367B4">
      <w:pPr>
        <w:pStyle w:val="Akapitzlist"/>
        <w:numPr>
          <w:ilvl w:val="0"/>
          <w:numId w:val="18"/>
        </w:numPr>
        <w:jc w:val="left"/>
        <w:rPr>
          <w:rFonts w:ascii="Arial" w:hAnsi="Arial" w:cs="Arial"/>
          <w:color w:val="auto"/>
          <w:sz w:val="24"/>
          <w:szCs w:val="24"/>
        </w:rPr>
      </w:pPr>
      <w:r w:rsidRPr="00237760">
        <w:rPr>
          <w:rFonts w:ascii="Arial" w:hAnsi="Arial" w:cs="Arial"/>
          <w:color w:val="auto"/>
          <w:sz w:val="24"/>
          <w:szCs w:val="24"/>
        </w:rPr>
        <w:t xml:space="preserve">wspieranie dostępu do wody oraz zrównoważonej gospodarki wodnej </w:t>
      </w:r>
    </w:p>
    <w:p w14:paraId="1CCC571F" w14:textId="085CCEF7" w:rsidR="002F5D95" w:rsidRPr="00237760" w:rsidRDefault="002F5D95" w:rsidP="009367B4">
      <w:pPr>
        <w:pStyle w:val="Akapitzlist"/>
        <w:numPr>
          <w:ilvl w:val="0"/>
          <w:numId w:val="18"/>
        </w:numPr>
        <w:jc w:val="left"/>
        <w:rPr>
          <w:rFonts w:ascii="Arial" w:hAnsi="Arial" w:cs="Arial"/>
          <w:color w:val="auto"/>
          <w:sz w:val="24"/>
          <w:szCs w:val="24"/>
        </w:rPr>
      </w:pPr>
      <w:r w:rsidRPr="00237760">
        <w:rPr>
          <w:rFonts w:ascii="Arial" w:hAnsi="Arial" w:cs="Arial"/>
          <w:color w:val="auto"/>
          <w:sz w:val="24"/>
          <w:szCs w:val="24"/>
        </w:rPr>
        <w:t>wspieranie transformacji w kierunku gospodarki o obiegu zamkniętym i gospodarki zasobooszczędnej</w:t>
      </w:r>
      <w:r w:rsidR="00DA2866" w:rsidRPr="00237760">
        <w:rPr>
          <w:rFonts w:ascii="Arial" w:hAnsi="Arial" w:cs="Arial"/>
          <w:color w:val="auto"/>
          <w:sz w:val="24"/>
          <w:szCs w:val="24"/>
        </w:rPr>
        <w:t>,</w:t>
      </w:r>
    </w:p>
    <w:p w14:paraId="707653AF" w14:textId="6F524267" w:rsidR="002F5D95" w:rsidRPr="00237760" w:rsidRDefault="002F5D95" w:rsidP="009367B4">
      <w:pPr>
        <w:pStyle w:val="Akapitzlist"/>
        <w:numPr>
          <w:ilvl w:val="0"/>
          <w:numId w:val="18"/>
        </w:numPr>
        <w:jc w:val="left"/>
        <w:rPr>
          <w:rFonts w:ascii="Arial" w:hAnsi="Arial" w:cs="Arial"/>
          <w:color w:val="auto"/>
          <w:sz w:val="24"/>
          <w:szCs w:val="24"/>
        </w:rPr>
      </w:pPr>
      <w:r w:rsidRPr="00237760">
        <w:rPr>
          <w:rFonts w:ascii="Arial" w:hAnsi="Arial" w:cs="Arial"/>
          <w:color w:val="auto"/>
          <w:sz w:val="24"/>
          <w:szCs w:val="24"/>
        </w:rPr>
        <w:t>wzmacnianie ochrony i zachowania przyrody, różnorodności biologicznej oraz zielonej infrastruktury, w tym na obszarach miejskich, oraz ograniczanie wszelkich rodzajów zanieczyszczenia</w:t>
      </w:r>
      <w:r w:rsidR="00BE6F7A" w:rsidRPr="00237760">
        <w:rPr>
          <w:rFonts w:ascii="Arial" w:hAnsi="Arial" w:cs="Arial"/>
          <w:color w:val="auto"/>
          <w:sz w:val="24"/>
          <w:szCs w:val="24"/>
        </w:rPr>
        <w:t>,</w:t>
      </w:r>
    </w:p>
    <w:p w14:paraId="342D9BE2" w14:textId="56E6ABE8" w:rsidR="00DA2866" w:rsidRPr="00237760" w:rsidRDefault="00DA2866" w:rsidP="009367B4">
      <w:pPr>
        <w:pStyle w:val="Akapitzlist"/>
        <w:numPr>
          <w:ilvl w:val="0"/>
          <w:numId w:val="18"/>
        </w:numPr>
        <w:jc w:val="left"/>
        <w:rPr>
          <w:rFonts w:ascii="Arial" w:hAnsi="Arial" w:cs="Arial"/>
          <w:color w:val="auto"/>
          <w:sz w:val="24"/>
          <w:szCs w:val="24"/>
        </w:rPr>
      </w:pPr>
      <w:r w:rsidRPr="00237760">
        <w:rPr>
          <w:rFonts w:ascii="Arial" w:hAnsi="Arial" w:cs="Arial"/>
          <w:color w:val="auto"/>
          <w:sz w:val="24"/>
          <w:szCs w:val="24"/>
        </w:rPr>
        <w:t>wspieranie zrównoważonej multimodalnej mobilności miejskiej jako elementu transformacji w kierunku gospodarki zeroemisyjnej,</w:t>
      </w:r>
    </w:p>
    <w:p w14:paraId="2D49309A" w14:textId="5895BEFE" w:rsidR="00DA2866" w:rsidRPr="00237760" w:rsidRDefault="009710E1" w:rsidP="009367B4">
      <w:pPr>
        <w:pStyle w:val="Akapitzlist"/>
        <w:numPr>
          <w:ilvl w:val="0"/>
          <w:numId w:val="18"/>
        </w:numPr>
        <w:jc w:val="left"/>
        <w:rPr>
          <w:rFonts w:ascii="Arial" w:hAnsi="Arial" w:cs="Arial"/>
          <w:color w:val="auto"/>
          <w:sz w:val="24"/>
          <w:szCs w:val="24"/>
        </w:rPr>
      </w:pPr>
      <w:r w:rsidRPr="00237760">
        <w:rPr>
          <w:rFonts w:ascii="Arial" w:hAnsi="Arial" w:cs="Arial"/>
          <w:color w:val="auto"/>
          <w:sz w:val="24"/>
          <w:szCs w:val="24"/>
        </w:rPr>
        <w:t>r</w:t>
      </w:r>
      <w:r w:rsidR="00DA2866" w:rsidRPr="00237760">
        <w:rPr>
          <w:rFonts w:ascii="Arial" w:hAnsi="Arial" w:cs="Arial"/>
          <w:color w:val="auto"/>
          <w:sz w:val="24"/>
          <w:szCs w:val="24"/>
        </w:rPr>
        <w:t xml:space="preserve">ozwój odpornej na zmiany klimatu, inteligentnej, bezpiecznej, zrównoważonej </w:t>
      </w:r>
      <w:r w:rsidR="00C605B2" w:rsidRPr="00237760">
        <w:rPr>
          <w:rFonts w:ascii="Arial" w:hAnsi="Arial" w:cs="Arial"/>
          <w:color w:val="auto"/>
          <w:sz w:val="24"/>
          <w:szCs w:val="24"/>
        </w:rPr>
        <w:br/>
      </w:r>
      <w:r w:rsidR="00DA2866" w:rsidRPr="00237760">
        <w:rPr>
          <w:rFonts w:ascii="Arial" w:hAnsi="Arial" w:cs="Arial"/>
          <w:color w:val="auto"/>
          <w:sz w:val="24"/>
          <w:szCs w:val="24"/>
        </w:rPr>
        <w:t>i intermodalnej TEN-T,</w:t>
      </w:r>
    </w:p>
    <w:p w14:paraId="6430DAFF" w14:textId="03CCF98F" w:rsidR="00DA2866" w:rsidRPr="00237760" w:rsidRDefault="009710E1" w:rsidP="009367B4">
      <w:pPr>
        <w:pStyle w:val="Akapitzlist"/>
        <w:numPr>
          <w:ilvl w:val="0"/>
          <w:numId w:val="18"/>
        </w:numPr>
        <w:jc w:val="left"/>
        <w:rPr>
          <w:rFonts w:ascii="Arial" w:hAnsi="Arial" w:cs="Arial"/>
          <w:color w:val="auto"/>
          <w:sz w:val="24"/>
          <w:szCs w:val="24"/>
        </w:rPr>
      </w:pPr>
      <w:r w:rsidRPr="00237760">
        <w:rPr>
          <w:rFonts w:ascii="Arial" w:hAnsi="Arial" w:cs="Arial"/>
          <w:color w:val="auto"/>
          <w:sz w:val="24"/>
          <w:szCs w:val="24"/>
        </w:rPr>
        <w:t xml:space="preserve">rozwój i udoskonalanie zrównoważonej, odpornej na zmiany klimatu, inteligentnej </w:t>
      </w:r>
      <w:r w:rsidR="00C605B2" w:rsidRPr="00237760">
        <w:rPr>
          <w:rFonts w:ascii="Arial" w:hAnsi="Arial" w:cs="Arial"/>
          <w:color w:val="auto"/>
          <w:sz w:val="24"/>
          <w:szCs w:val="24"/>
        </w:rPr>
        <w:br/>
      </w:r>
      <w:r w:rsidRPr="00237760">
        <w:rPr>
          <w:rFonts w:ascii="Arial" w:hAnsi="Arial" w:cs="Arial"/>
          <w:color w:val="auto"/>
          <w:sz w:val="24"/>
          <w:szCs w:val="24"/>
        </w:rPr>
        <w:t>i intermodalnej mobilności na poziomie krajowym, regionalnym i lokalnym, w tym poprawę dostępu do TEN-T oraz mobilności transgranicznej,</w:t>
      </w:r>
    </w:p>
    <w:p w14:paraId="67B66B4E" w14:textId="679C7C61" w:rsidR="007D4B92" w:rsidRPr="00237760" w:rsidRDefault="007D4B92" w:rsidP="009367B4">
      <w:pPr>
        <w:pStyle w:val="Akapitzlist"/>
        <w:numPr>
          <w:ilvl w:val="0"/>
          <w:numId w:val="18"/>
        </w:numPr>
        <w:jc w:val="left"/>
        <w:rPr>
          <w:rFonts w:ascii="Arial" w:hAnsi="Arial" w:cs="Arial"/>
          <w:color w:val="auto"/>
          <w:sz w:val="24"/>
          <w:szCs w:val="24"/>
        </w:rPr>
      </w:pPr>
      <w:r w:rsidRPr="00237760">
        <w:rPr>
          <w:rFonts w:ascii="Arial" w:hAnsi="Arial" w:cs="Arial"/>
          <w:color w:val="auto"/>
          <w:sz w:val="24"/>
          <w:szCs w:val="24"/>
        </w:rPr>
        <w:t>zapewnianie równego dostępu do opieki zdrowotnej i wspieranie odporności systemów opieki zdrowotnej, w tym podstawowej opieki zdrowotnej, oraz wspieranie przechodzenia od opieki instytucjonalnej do opieki rodzinnej i środowiskowej,</w:t>
      </w:r>
    </w:p>
    <w:p w14:paraId="6ACA9C2D" w14:textId="388B924E" w:rsidR="007D4B92" w:rsidRPr="00237760" w:rsidRDefault="007D4B92" w:rsidP="009367B4">
      <w:pPr>
        <w:pStyle w:val="Akapitzlist"/>
        <w:numPr>
          <w:ilvl w:val="0"/>
          <w:numId w:val="18"/>
        </w:numPr>
        <w:jc w:val="left"/>
        <w:rPr>
          <w:rFonts w:ascii="Arial" w:hAnsi="Arial" w:cs="Arial"/>
          <w:color w:val="auto"/>
          <w:sz w:val="24"/>
          <w:szCs w:val="24"/>
        </w:rPr>
      </w:pPr>
      <w:r w:rsidRPr="00237760">
        <w:rPr>
          <w:rFonts w:ascii="Arial" w:hAnsi="Arial" w:cs="Arial"/>
          <w:color w:val="auto"/>
          <w:sz w:val="24"/>
          <w:szCs w:val="24"/>
        </w:rPr>
        <w:t>wzmacnianie roli kultury i zrównoważonej turystyki w rozwoju gospodarczym, włączeniu społecznym i innowacjach społecznych.</w:t>
      </w:r>
    </w:p>
    <w:p w14:paraId="0C00D8FF" w14:textId="262ABF8E" w:rsidR="00BE6F7A" w:rsidRPr="00237760" w:rsidRDefault="00933862" w:rsidP="009367B4">
      <w:pPr>
        <w:jc w:val="left"/>
        <w:rPr>
          <w:rFonts w:ascii="Arial" w:hAnsi="Arial" w:cs="Arial"/>
          <w:color w:val="auto"/>
          <w:sz w:val="24"/>
          <w:szCs w:val="24"/>
        </w:rPr>
      </w:pPr>
      <w:r w:rsidRPr="00237760">
        <w:rPr>
          <w:rFonts w:ascii="Arial" w:hAnsi="Arial" w:cs="Arial"/>
          <w:color w:val="auto"/>
          <w:sz w:val="24"/>
          <w:szCs w:val="24"/>
        </w:rPr>
        <w:t xml:space="preserve">Ze względu na </w:t>
      </w:r>
      <w:r w:rsidR="009F662D" w:rsidRPr="00237760">
        <w:rPr>
          <w:rFonts w:ascii="Arial" w:hAnsi="Arial" w:cs="Arial"/>
          <w:color w:val="auto"/>
          <w:sz w:val="24"/>
          <w:szCs w:val="24"/>
        </w:rPr>
        <w:t>tak wyskoki poziom zbieżności z celami szczegółowymi wskazanymi w rozporządzeniu (UE) 2021/1058</w:t>
      </w:r>
      <w:r w:rsidR="003679E1" w:rsidRPr="00237760">
        <w:rPr>
          <w:rFonts w:ascii="Arial" w:hAnsi="Arial" w:cs="Arial"/>
          <w:color w:val="auto"/>
          <w:sz w:val="24"/>
          <w:szCs w:val="24"/>
        </w:rPr>
        <w:t xml:space="preserve">, również w tym przypadku </w:t>
      </w:r>
      <w:r w:rsidR="00981FC5" w:rsidRPr="00237760">
        <w:rPr>
          <w:rFonts w:ascii="Arial" w:hAnsi="Arial" w:cs="Arial"/>
          <w:color w:val="auto"/>
          <w:sz w:val="24"/>
          <w:szCs w:val="24"/>
        </w:rPr>
        <w:t xml:space="preserve">przeprowadzona powyżej </w:t>
      </w:r>
      <w:r w:rsidR="003679E1" w:rsidRPr="00237760">
        <w:rPr>
          <w:rFonts w:ascii="Arial" w:hAnsi="Arial" w:cs="Arial"/>
          <w:color w:val="auto"/>
          <w:sz w:val="24"/>
          <w:szCs w:val="24"/>
        </w:rPr>
        <w:t xml:space="preserve">analiza </w:t>
      </w:r>
      <w:r w:rsidR="00981FC5" w:rsidRPr="00237760">
        <w:rPr>
          <w:rFonts w:ascii="Arial" w:hAnsi="Arial" w:cs="Arial"/>
          <w:color w:val="auto"/>
          <w:sz w:val="24"/>
          <w:szCs w:val="24"/>
        </w:rPr>
        <w:t>(</w:t>
      </w:r>
      <w:r w:rsidR="003679E1" w:rsidRPr="00237760">
        <w:rPr>
          <w:rFonts w:ascii="Arial" w:hAnsi="Arial" w:cs="Arial"/>
          <w:color w:val="auto"/>
          <w:sz w:val="24"/>
          <w:szCs w:val="24"/>
        </w:rPr>
        <w:fldChar w:fldCharType="begin"/>
      </w:r>
      <w:r w:rsidR="003679E1" w:rsidRPr="00237760">
        <w:rPr>
          <w:rFonts w:ascii="Arial" w:hAnsi="Arial" w:cs="Arial"/>
          <w:color w:val="auto"/>
          <w:sz w:val="24"/>
          <w:szCs w:val="24"/>
        </w:rPr>
        <w:instrText xml:space="preserve"> REF _Ref100921066 \h </w:instrText>
      </w:r>
      <w:r w:rsidR="00237760" w:rsidRPr="00237760">
        <w:rPr>
          <w:rFonts w:ascii="Arial" w:hAnsi="Arial" w:cs="Arial"/>
          <w:color w:val="auto"/>
          <w:sz w:val="24"/>
          <w:szCs w:val="24"/>
        </w:rPr>
        <w:instrText xml:space="preserve"> \* MERGEFORMAT </w:instrText>
      </w:r>
      <w:r w:rsidR="003679E1" w:rsidRPr="00237760">
        <w:rPr>
          <w:rFonts w:ascii="Arial" w:hAnsi="Arial" w:cs="Arial"/>
          <w:color w:val="auto"/>
          <w:sz w:val="24"/>
          <w:szCs w:val="24"/>
        </w:rPr>
      </w:r>
      <w:r w:rsidR="003679E1" w:rsidRPr="00237760">
        <w:rPr>
          <w:rFonts w:ascii="Arial" w:hAnsi="Arial" w:cs="Arial"/>
          <w:color w:val="auto"/>
          <w:sz w:val="24"/>
          <w:szCs w:val="24"/>
        </w:rPr>
        <w:fldChar w:fldCharType="separate"/>
      </w:r>
      <w:r w:rsidR="00E52C19" w:rsidRPr="00237760">
        <w:rPr>
          <w:rFonts w:ascii="Arial" w:hAnsi="Arial" w:cs="Arial"/>
          <w:color w:val="auto"/>
          <w:sz w:val="24"/>
          <w:szCs w:val="24"/>
        </w:rPr>
        <w:t xml:space="preserve">Tabela </w:t>
      </w:r>
      <w:r w:rsidR="00E52C19" w:rsidRPr="00237760">
        <w:rPr>
          <w:rFonts w:ascii="Arial" w:hAnsi="Arial" w:cs="Arial"/>
          <w:noProof/>
          <w:color w:val="auto"/>
          <w:sz w:val="24"/>
          <w:szCs w:val="24"/>
        </w:rPr>
        <w:t>18</w:t>
      </w:r>
      <w:r w:rsidR="003679E1" w:rsidRPr="00237760">
        <w:rPr>
          <w:rFonts w:ascii="Arial" w:hAnsi="Arial" w:cs="Arial"/>
          <w:color w:val="auto"/>
          <w:sz w:val="24"/>
          <w:szCs w:val="24"/>
        </w:rPr>
        <w:fldChar w:fldCharType="end"/>
      </w:r>
      <w:r w:rsidR="00981FC5" w:rsidRPr="00237760">
        <w:rPr>
          <w:rFonts w:ascii="Arial" w:hAnsi="Arial" w:cs="Arial"/>
          <w:color w:val="auto"/>
          <w:sz w:val="24"/>
          <w:szCs w:val="24"/>
        </w:rPr>
        <w:t>)</w:t>
      </w:r>
      <w:r w:rsidR="003679E1" w:rsidRPr="00237760">
        <w:rPr>
          <w:rFonts w:ascii="Arial" w:hAnsi="Arial" w:cs="Arial"/>
          <w:color w:val="auto"/>
          <w:sz w:val="24"/>
          <w:szCs w:val="24"/>
        </w:rPr>
        <w:t xml:space="preserve"> jest użyteczna w zakresie powtarzających się celów. Jako że FENIKS skupia się na szczególnie wyeksponowanych w </w:t>
      </w:r>
      <w:r w:rsidR="00067163" w:rsidRPr="00237760">
        <w:rPr>
          <w:rFonts w:ascii="Arial" w:hAnsi="Arial" w:cs="Arial"/>
          <w:color w:val="auto"/>
          <w:sz w:val="24"/>
          <w:szCs w:val="24"/>
        </w:rPr>
        <w:t xml:space="preserve">PSRT WP </w:t>
      </w:r>
      <w:r w:rsidR="00067163" w:rsidRPr="00237760">
        <w:rPr>
          <w:rFonts w:ascii="Arial" w:hAnsi="Arial" w:cs="Arial"/>
          <w:color w:val="auto"/>
          <w:sz w:val="24"/>
          <w:szCs w:val="24"/>
        </w:rPr>
        <w:lastRenderedPageBreak/>
        <w:t>działaniach związanych z ochroną środowiska i rozwojem transportu, to należy stwierdzić znaczny poziom spójności z tym programem.</w:t>
      </w:r>
      <w:r w:rsidR="003679E1" w:rsidRPr="00237760">
        <w:rPr>
          <w:rFonts w:ascii="Arial" w:hAnsi="Arial" w:cs="Arial"/>
          <w:color w:val="auto"/>
          <w:sz w:val="24"/>
          <w:szCs w:val="24"/>
        </w:rPr>
        <w:t xml:space="preserve"> </w:t>
      </w:r>
    </w:p>
    <w:p w14:paraId="66DFD5F0" w14:textId="1098B914" w:rsidR="00495F40" w:rsidRPr="00237760" w:rsidRDefault="00495F40" w:rsidP="009367B4">
      <w:pPr>
        <w:pStyle w:val="Nagwek3"/>
        <w:rPr>
          <w:rFonts w:ascii="Arial" w:hAnsi="Arial" w:cs="Arial"/>
          <w:color w:val="auto"/>
          <w:sz w:val="24"/>
          <w:szCs w:val="24"/>
        </w:rPr>
      </w:pPr>
      <w:bookmarkStart w:id="160" w:name="_Ref100699823"/>
      <w:bookmarkStart w:id="161" w:name="_Toc101904136"/>
      <w:r w:rsidRPr="00237760">
        <w:rPr>
          <w:rFonts w:ascii="Arial" w:hAnsi="Arial" w:cs="Arial"/>
          <w:color w:val="auto"/>
          <w:sz w:val="24"/>
          <w:szCs w:val="24"/>
        </w:rPr>
        <w:t>Zgodność z Umową Partnerstwa</w:t>
      </w:r>
      <w:bookmarkEnd w:id="160"/>
      <w:bookmarkEnd w:id="161"/>
    </w:p>
    <w:p w14:paraId="7F917A9D" w14:textId="6861FBBD" w:rsidR="00A931D9" w:rsidRDefault="00A931D9" w:rsidP="009367B4">
      <w:pPr>
        <w:jc w:val="left"/>
        <w:rPr>
          <w:rFonts w:ascii="Arial" w:hAnsi="Arial" w:cs="Arial"/>
          <w:color w:val="auto"/>
          <w:sz w:val="24"/>
          <w:szCs w:val="24"/>
          <w:lang w:eastAsia="pl-PL"/>
        </w:rPr>
      </w:pPr>
      <w:r w:rsidRPr="00237760">
        <w:rPr>
          <w:rFonts w:ascii="Arial" w:hAnsi="Arial" w:cs="Arial"/>
          <w:i/>
          <w:color w:val="auto"/>
          <w:sz w:val="24"/>
          <w:szCs w:val="24"/>
          <w:lang w:eastAsia="pl-PL"/>
        </w:rPr>
        <w:t>Umowa Partnerstwa</w:t>
      </w:r>
      <w:r w:rsidRPr="00237760">
        <w:rPr>
          <w:rFonts w:ascii="Arial" w:hAnsi="Arial" w:cs="Arial"/>
          <w:color w:val="auto"/>
          <w:sz w:val="24"/>
          <w:szCs w:val="24"/>
          <w:lang w:eastAsia="pl-PL"/>
        </w:rPr>
        <w:t xml:space="preserve"> </w:t>
      </w:r>
      <w:r w:rsidR="001F0A0B" w:rsidRPr="00237760">
        <w:rPr>
          <w:rFonts w:ascii="Arial" w:hAnsi="Arial" w:cs="Arial"/>
          <w:color w:val="auto"/>
          <w:sz w:val="24"/>
          <w:szCs w:val="24"/>
          <w:lang w:eastAsia="pl-PL"/>
        </w:rPr>
        <w:t xml:space="preserve">stanowi podstawowy krajowy dokument </w:t>
      </w:r>
      <w:r w:rsidR="00986288" w:rsidRPr="00237760">
        <w:rPr>
          <w:rFonts w:ascii="Arial" w:hAnsi="Arial" w:cs="Arial"/>
          <w:color w:val="auto"/>
          <w:sz w:val="24"/>
          <w:szCs w:val="24"/>
          <w:lang w:eastAsia="pl-PL"/>
        </w:rPr>
        <w:t>zawierający strategiczne kierunki programowania</w:t>
      </w:r>
      <w:r w:rsidR="0000052B" w:rsidRPr="00237760">
        <w:rPr>
          <w:rFonts w:ascii="Arial" w:hAnsi="Arial" w:cs="Arial"/>
          <w:color w:val="auto"/>
          <w:sz w:val="24"/>
          <w:szCs w:val="24"/>
          <w:lang w:eastAsia="pl-PL"/>
        </w:rPr>
        <w:t xml:space="preserve"> oraz </w:t>
      </w:r>
      <w:r w:rsidR="00B50EEF" w:rsidRPr="00237760">
        <w:rPr>
          <w:rFonts w:ascii="Arial" w:hAnsi="Arial" w:cs="Arial"/>
          <w:color w:val="auto"/>
          <w:sz w:val="24"/>
          <w:szCs w:val="24"/>
          <w:lang w:eastAsia="pl-PL"/>
        </w:rPr>
        <w:t xml:space="preserve">założenia skutecznego </w:t>
      </w:r>
      <w:r w:rsidR="0000052B" w:rsidRPr="00237760">
        <w:rPr>
          <w:rFonts w:ascii="Arial" w:hAnsi="Arial" w:cs="Arial"/>
          <w:color w:val="auto"/>
          <w:sz w:val="24"/>
          <w:szCs w:val="24"/>
          <w:lang w:eastAsia="pl-PL"/>
        </w:rPr>
        <w:t>wdrażania funduszy europejskich</w:t>
      </w:r>
      <w:r w:rsidR="00377A78" w:rsidRPr="00237760">
        <w:rPr>
          <w:rFonts w:ascii="Arial" w:hAnsi="Arial" w:cs="Arial"/>
          <w:color w:val="auto"/>
          <w:sz w:val="24"/>
          <w:szCs w:val="24"/>
          <w:lang w:eastAsia="pl-PL"/>
        </w:rPr>
        <w:t xml:space="preserve"> na lata 2021-2027</w:t>
      </w:r>
      <w:r w:rsidR="008052DF" w:rsidRPr="00237760">
        <w:rPr>
          <w:rStyle w:val="Odwoanieprzypisudolnego"/>
          <w:rFonts w:ascii="Arial" w:hAnsi="Arial" w:cs="Arial"/>
          <w:color w:val="auto"/>
          <w:sz w:val="24"/>
          <w:szCs w:val="24"/>
          <w:lang w:eastAsia="pl-PL"/>
        </w:rPr>
        <w:footnoteReference w:id="38"/>
      </w:r>
      <w:r w:rsidR="008052DF" w:rsidRPr="00237760">
        <w:rPr>
          <w:rFonts w:ascii="Arial" w:hAnsi="Arial" w:cs="Arial"/>
          <w:color w:val="auto"/>
          <w:sz w:val="24"/>
          <w:szCs w:val="24"/>
          <w:lang w:eastAsia="pl-PL"/>
        </w:rPr>
        <w:t>.</w:t>
      </w:r>
      <w:r w:rsidR="002266E0" w:rsidRPr="00237760">
        <w:rPr>
          <w:rFonts w:ascii="Arial" w:hAnsi="Arial" w:cs="Arial"/>
          <w:color w:val="auto"/>
          <w:sz w:val="24"/>
          <w:szCs w:val="24"/>
          <w:lang w:eastAsia="pl-PL"/>
        </w:rPr>
        <w:t xml:space="preserve"> </w:t>
      </w:r>
      <w:r w:rsidR="00A42067" w:rsidRPr="00237760">
        <w:rPr>
          <w:rFonts w:ascii="Arial" w:hAnsi="Arial" w:cs="Arial"/>
          <w:color w:val="auto"/>
          <w:sz w:val="24"/>
          <w:szCs w:val="24"/>
          <w:lang w:eastAsia="pl-PL"/>
        </w:rPr>
        <w:t>Zgodność</w:t>
      </w:r>
      <w:r w:rsidR="00411930" w:rsidRPr="00237760">
        <w:rPr>
          <w:rFonts w:ascii="Arial" w:hAnsi="Arial" w:cs="Arial"/>
          <w:color w:val="auto"/>
          <w:sz w:val="24"/>
          <w:szCs w:val="24"/>
          <w:lang w:eastAsia="pl-PL"/>
        </w:rPr>
        <w:t xml:space="preserve"> celó</w:t>
      </w:r>
      <w:r w:rsidR="00450E67" w:rsidRPr="00237760">
        <w:rPr>
          <w:rFonts w:ascii="Arial" w:hAnsi="Arial" w:cs="Arial"/>
          <w:color w:val="auto"/>
          <w:sz w:val="24"/>
          <w:szCs w:val="24"/>
          <w:lang w:eastAsia="pl-PL"/>
        </w:rPr>
        <w:t xml:space="preserve">w </w:t>
      </w:r>
      <w:r w:rsidR="00D04568" w:rsidRPr="00237760">
        <w:rPr>
          <w:rFonts w:ascii="Arial" w:hAnsi="Arial" w:cs="Arial"/>
          <w:color w:val="auto"/>
          <w:sz w:val="24"/>
          <w:szCs w:val="24"/>
          <w:lang w:eastAsia="pl-PL"/>
        </w:rPr>
        <w:t xml:space="preserve">PSRT WP </w:t>
      </w:r>
      <w:r w:rsidR="008A1909" w:rsidRPr="00237760">
        <w:rPr>
          <w:rFonts w:ascii="Arial" w:hAnsi="Arial" w:cs="Arial"/>
          <w:color w:val="auto"/>
          <w:sz w:val="24"/>
          <w:szCs w:val="24"/>
          <w:lang w:eastAsia="pl-PL"/>
        </w:rPr>
        <w:t xml:space="preserve">z </w:t>
      </w:r>
      <w:r w:rsidR="003C2209" w:rsidRPr="00237760">
        <w:rPr>
          <w:rFonts w:ascii="Arial" w:hAnsi="Arial" w:cs="Arial"/>
          <w:color w:val="auto"/>
          <w:sz w:val="24"/>
          <w:szCs w:val="24"/>
          <w:lang w:eastAsia="pl-PL"/>
        </w:rPr>
        <w:t>założeniami</w:t>
      </w:r>
      <w:r w:rsidR="008A1909" w:rsidRPr="00237760">
        <w:rPr>
          <w:rFonts w:ascii="Arial" w:hAnsi="Arial" w:cs="Arial"/>
          <w:color w:val="auto"/>
          <w:sz w:val="24"/>
          <w:szCs w:val="24"/>
          <w:lang w:eastAsia="pl-PL"/>
        </w:rPr>
        <w:t xml:space="preserve"> UP</w:t>
      </w:r>
      <w:r w:rsidR="00095934" w:rsidRPr="00237760">
        <w:rPr>
          <w:rFonts w:ascii="Arial" w:hAnsi="Arial" w:cs="Arial"/>
          <w:color w:val="auto"/>
          <w:sz w:val="24"/>
          <w:szCs w:val="24"/>
          <w:lang w:eastAsia="pl-PL"/>
        </w:rPr>
        <w:t xml:space="preserve"> należy rozumieć jako </w:t>
      </w:r>
      <w:r w:rsidR="00600808" w:rsidRPr="00237760">
        <w:rPr>
          <w:rFonts w:ascii="Arial" w:hAnsi="Arial" w:cs="Arial"/>
          <w:color w:val="auto"/>
          <w:sz w:val="24"/>
          <w:szCs w:val="24"/>
          <w:lang w:eastAsia="pl-PL"/>
        </w:rPr>
        <w:t xml:space="preserve">badanie </w:t>
      </w:r>
      <w:r w:rsidR="00310B51" w:rsidRPr="00237760">
        <w:rPr>
          <w:rFonts w:ascii="Arial" w:hAnsi="Arial" w:cs="Arial"/>
          <w:color w:val="auto"/>
          <w:sz w:val="24"/>
          <w:szCs w:val="24"/>
          <w:lang w:eastAsia="pl-PL"/>
        </w:rPr>
        <w:t>teo</w:t>
      </w:r>
      <w:r w:rsidR="00854370" w:rsidRPr="00237760">
        <w:rPr>
          <w:rFonts w:ascii="Arial" w:hAnsi="Arial" w:cs="Arial"/>
          <w:color w:val="auto"/>
          <w:sz w:val="24"/>
          <w:szCs w:val="24"/>
          <w:lang w:eastAsia="pl-PL"/>
        </w:rPr>
        <w:t>retycznych</w:t>
      </w:r>
      <w:r w:rsidR="00F647B9" w:rsidRPr="00237760">
        <w:rPr>
          <w:rFonts w:ascii="Arial" w:hAnsi="Arial" w:cs="Arial"/>
          <w:color w:val="auto"/>
          <w:sz w:val="24"/>
          <w:szCs w:val="24"/>
          <w:lang w:eastAsia="pl-PL"/>
        </w:rPr>
        <w:t xml:space="preserve"> </w:t>
      </w:r>
      <w:r w:rsidR="00AE02C5" w:rsidRPr="00237760">
        <w:rPr>
          <w:rFonts w:ascii="Arial" w:hAnsi="Arial" w:cs="Arial"/>
          <w:color w:val="auto"/>
          <w:sz w:val="24"/>
          <w:szCs w:val="24"/>
          <w:lang w:eastAsia="pl-PL"/>
        </w:rPr>
        <w:t>możliwości</w:t>
      </w:r>
      <w:r w:rsidR="00600808" w:rsidRPr="00237760">
        <w:rPr>
          <w:rFonts w:ascii="Arial" w:hAnsi="Arial" w:cs="Arial"/>
          <w:color w:val="auto"/>
          <w:sz w:val="24"/>
          <w:szCs w:val="24"/>
          <w:lang w:eastAsia="pl-PL"/>
        </w:rPr>
        <w:t xml:space="preserve"> </w:t>
      </w:r>
      <w:r w:rsidR="001B4630" w:rsidRPr="00237760">
        <w:rPr>
          <w:rFonts w:ascii="Arial" w:hAnsi="Arial" w:cs="Arial"/>
          <w:color w:val="auto"/>
          <w:sz w:val="24"/>
          <w:szCs w:val="24"/>
          <w:lang w:eastAsia="pl-PL"/>
        </w:rPr>
        <w:t xml:space="preserve">korzystania z funduszy </w:t>
      </w:r>
      <w:r w:rsidR="00354E41" w:rsidRPr="00237760">
        <w:rPr>
          <w:rFonts w:ascii="Arial" w:hAnsi="Arial" w:cs="Arial"/>
          <w:color w:val="auto"/>
          <w:sz w:val="24"/>
          <w:szCs w:val="24"/>
          <w:lang w:eastAsia="pl-PL"/>
        </w:rPr>
        <w:t>przeznaczonych na politykę spójności</w:t>
      </w:r>
      <w:r w:rsidR="00A42067" w:rsidRPr="00237760">
        <w:rPr>
          <w:rFonts w:ascii="Arial" w:hAnsi="Arial" w:cs="Arial"/>
          <w:color w:val="auto"/>
          <w:sz w:val="24"/>
          <w:szCs w:val="24"/>
          <w:lang w:eastAsia="pl-PL"/>
        </w:rPr>
        <w:t xml:space="preserve"> (</w:t>
      </w:r>
      <w:r w:rsidR="00A42067" w:rsidRPr="00237760">
        <w:rPr>
          <w:rFonts w:ascii="Arial" w:hAnsi="Arial" w:cs="Arial"/>
          <w:color w:val="auto"/>
          <w:sz w:val="24"/>
          <w:szCs w:val="24"/>
          <w:highlight w:val="yellow"/>
          <w:lang w:eastAsia="pl-PL"/>
        </w:rPr>
        <w:fldChar w:fldCharType="begin"/>
      </w:r>
      <w:r w:rsidR="00A42067" w:rsidRPr="00237760">
        <w:rPr>
          <w:rFonts w:ascii="Arial" w:hAnsi="Arial" w:cs="Arial"/>
          <w:color w:val="auto"/>
          <w:sz w:val="24"/>
          <w:szCs w:val="24"/>
          <w:lang w:eastAsia="pl-PL"/>
        </w:rPr>
        <w:instrText xml:space="preserve"> REF _Ref100080807 \h </w:instrText>
      </w:r>
      <w:r w:rsidR="00BD2C03" w:rsidRPr="00237760">
        <w:rPr>
          <w:rFonts w:ascii="Arial" w:hAnsi="Arial" w:cs="Arial"/>
          <w:color w:val="auto"/>
          <w:sz w:val="24"/>
          <w:szCs w:val="24"/>
          <w:highlight w:val="yellow"/>
          <w:lang w:eastAsia="pl-PL"/>
        </w:rPr>
        <w:instrText xml:space="preserve"> \* MERGEFORMAT </w:instrText>
      </w:r>
      <w:r w:rsidR="00A42067" w:rsidRPr="00237760">
        <w:rPr>
          <w:rFonts w:ascii="Arial" w:hAnsi="Arial" w:cs="Arial"/>
          <w:color w:val="auto"/>
          <w:sz w:val="24"/>
          <w:szCs w:val="24"/>
          <w:highlight w:val="yellow"/>
          <w:lang w:eastAsia="pl-PL"/>
        </w:rPr>
      </w:r>
      <w:r w:rsidR="00A42067" w:rsidRPr="00237760">
        <w:rPr>
          <w:rFonts w:ascii="Arial" w:hAnsi="Arial" w:cs="Arial"/>
          <w:color w:val="auto"/>
          <w:sz w:val="24"/>
          <w:szCs w:val="24"/>
          <w:highlight w:val="yellow"/>
          <w:lang w:eastAsia="pl-PL"/>
        </w:rPr>
        <w:fldChar w:fldCharType="separate"/>
      </w:r>
      <w:r w:rsidR="00E52C19" w:rsidRPr="00237760">
        <w:rPr>
          <w:rFonts w:ascii="Arial" w:hAnsi="Arial" w:cs="Arial"/>
          <w:color w:val="auto"/>
          <w:sz w:val="24"/>
          <w:szCs w:val="24"/>
        </w:rPr>
        <w:t xml:space="preserve">Tabela </w:t>
      </w:r>
      <w:r w:rsidR="00E52C19" w:rsidRPr="00237760">
        <w:rPr>
          <w:rFonts w:ascii="Arial" w:hAnsi="Arial" w:cs="Arial"/>
          <w:noProof/>
          <w:color w:val="auto"/>
          <w:sz w:val="24"/>
          <w:szCs w:val="24"/>
        </w:rPr>
        <w:t>19</w:t>
      </w:r>
      <w:r w:rsidR="00A42067" w:rsidRPr="00237760">
        <w:rPr>
          <w:rFonts w:ascii="Arial" w:hAnsi="Arial" w:cs="Arial"/>
          <w:color w:val="auto"/>
          <w:sz w:val="24"/>
          <w:szCs w:val="24"/>
          <w:highlight w:val="yellow"/>
          <w:lang w:eastAsia="pl-PL"/>
        </w:rPr>
        <w:fldChar w:fldCharType="end"/>
      </w:r>
      <w:r w:rsidR="004975F5" w:rsidRPr="00237760">
        <w:rPr>
          <w:rFonts w:ascii="Arial" w:hAnsi="Arial" w:cs="Arial"/>
          <w:color w:val="auto"/>
          <w:sz w:val="24"/>
          <w:szCs w:val="24"/>
          <w:lang w:eastAsia="pl-PL"/>
        </w:rPr>
        <w:t>).</w:t>
      </w:r>
      <w:r w:rsidR="00AD56B2" w:rsidRPr="00237760">
        <w:rPr>
          <w:rFonts w:ascii="Arial" w:hAnsi="Arial" w:cs="Arial"/>
          <w:color w:val="auto"/>
          <w:sz w:val="24"/>
          <w:szCs w:val="24"/>
          <w:lang w:eastAsia="pl-PL"/>
        </w:rPr>
        <w:t xml:space="preserve"> </w:t>
      </w:r>
      <w:r w:rsidR="00271C21" w:rsidRPr="00237760">
        <w:rPr>
          <w:rFonts w:ascii="Arial" w:hAnsi="Arial" w:cs="Arial"/>
          <w:color w:val="auto"/>
          <w:sz w:val="24"/>
          <w:szCs w:val="24"/>
          <w:lang w:eastAsia="pl-PL"/>
        </w:rPr>
        <w:t xml:space="preserve">Zgodność oceniano poprzez </w:t>
      </w:r>
      <w:r w:rsidR="00E153F5" w:rsidRPr="00237760">
        <w:rPr>
          <w:rFonts w:ascii="Arial" w:hAnsi="Arial" w:cs="Arial"/>
          <w:color w:val="auto"/>
          <w:sz w:val="24"/>
          <w:szCs w:val="24"/>
          <w:lang w:eastAsia="pl-PL"/>
        </w:rPr>
        <w:t>interpretację zapisów UP dotyczących zakresów wsparcia</w:t>
      </w:r>
      <w:r w:rsidR="00E63BCD" w:rsidRPr="00237760">
        <w:rPr>
          <w:rFonts w:ascii="Arial" w:hAnsi="Arial" w:cs="Arial"/>
          <w:color w:val="auto"/>
          <w:sz w:val="24"/>
          <w:szCs w:val="24"/>
          <w:lang w:eastAsia="pl-PL"/>
        </w:rPr>
        <w:t xml:space="preserve"> poszczególnych obszarów działań</w:t>
      </w:r>
      <w:r w:rsidR="0078539B" w:rsidRPr="00237760">
        <w:rPr>
          <w:rFonts w:ascii="Arial" w:hAnsi="Arial" w:cs="Arial"/>
          <w:color w:val="auto"/>
          <w:sz w:val="24"/>
          <w:szCs w:val="24"/>
          <w:lang w:eastAsia="pl-PL"/>
        </w:rPr>
        <w:t xml:space="preserve"> </w:t>
      </w:r>
      <w:r w:rsidR="00E54341" w:rsidRPr="00237760">
        <w:rPr>
          <w:rFonts w:ascii="Arial" w:hAnsi="Arial" w:cs="Arial"/>
          <w:color w:val="auto"/>
          <w:sz w:val="24"/>
          <w:szCs w:val="24"/>
          <w:lang w:eastAsia="pl-PL"/>
        </w:rPr>
        <w:t xml:space="preserve">w kontekście </w:t>
      </w:r>
      <w:r w:rsidR="00A51ECD" w:rsidRPr="00237760">
        <w:rPr>
          <w:rFonts w:ascii="Arial" w:hAnsi="Arial" w:cs="Arial"/>
          <w:color w:val="auto"/>
          <w:sz w:val="24"/>
          <w:szCs w:val="24"/>
          <w:lang w:eastAsia="pl-PL"/>
        </w:rPr>
        <w:t>kierunków rozwoju PSRT WP.</w:t>
      </w:r>
      <w:r w:rsidR="009C46C9" w:rsidRPr="00237760">
        <w:rPr>
          <w:rFonts w:ascii="Arial" w:hAnsi="Arial" w:cs="Arial"/>
          <w:color w:val="auto"/>
          <w:sz w:val="24"/>
          <w:szCs w:val="24"/>
          <w:lang w:eastAsia="pl-PL"/>
        </w:rPr>
        <w:t xml:space="preserve"> Podkreślić jednak należy, że kluczowe dla </w:t>
      </w:r>
      <w:r w:rsidR="00305F10" w:rsidRPr="00237760">
        <w:rPr>
          <w:rFonts w:ascii="Arial" w:hAnsi="Arial" w:cs="Arial"/>
          <w:color w:val="auto"/>
          <w:sz w:val="24"/>
          <w:szCs w:val="24"/>
          <w:lang w:eastAsia="pl-PL"/>
        </w:rPr>
        <w:t>wykorzystania</w:t>
      </w:r>
      <w:r w:rsidR="009C46C9" w:rsidRPr="00237760">
        <w:rPr>
          <w:rFonts w:ascii="Arial" w:hAnsi="Arial" w:cs="Arial"/>
          <w:color w:val="auto"/>
          <w:sz w:val="24"/>
          <w:szCs w:val="24"/>
          <w:lang w:eastAsia="pl-PL"/>
        </w:rPr>
        <w:t xml:space="preserve"> </w:t>
      </w:r>
      <w:r w:rsidR="00305F10" w:rsidRPr="00237760">
        <w:rPr>
          <w:rFonts w:ascii="Arial" w:hAnsi="Arial" w:cs="Arial"/>
          <w:color w:val="auto"/>
          <w:sz w:val="24"/>
          <w:szCs w:val="24"/>
          <w:lang w:eastAsia="pl-PL"/>
        </w:rPr>
        <w:t>funduszy europejskich są interpretacje</w:t>
      </w:r>
      <w:r w:rsidR="00232A22" w:rsidRPr="00237760">
        <w:rPr>
          <w:rFonts w:ascii="Arial" w:hAnsi="Arial" w:cs="Arial"/>
          <w:color w:val="auto"/>
          <w:sz w:val="24"/>
          <w:szCs w:val="24"/>
          <w:lang w:eastAsia="pl-PL"/>
        </w:rPr>
        <w:t xml:space="preserve"> (uszczegółowienie założeń</w:t>
      </w:r>
      <w:r w:rsidR="004821A5" w:rsidRPr="00237760">
        <w:rPr>
          <w:rFonts w:ascii="Arial" w:hAnsi="Arial" w:cs="Arial"/>
          <w:color w:val="auto"/>
          <w:sz w:val="24"/>
          <w:szCs w:val="24"/>
          <w:lang w:eastAsia="pl-PL"/>
        </w:rPr>
        <w:t xml:space="preserve"> </w:t>
      </w:r>
      <w:r w:rsidR="00232A22" w:rsidRPr="00237760">
        <w:rPr>
          <w:rFonts w:ascii="Arial" w:hAnsi="Arial" w:cs="Arial"/>
          <w:color w:val="auto"/>
          <w:sz w:val="24"/>
          <w:szCs w:val="24"/>
          <w:lang w:eastAsia="pl-PL"/>
        </w:rPr>
        <w:t>UP</w:t>
      </w:r>
      <w:r w:rsidR="002F48D0" w:rsidRPr="00237760">
        <w:rPr>
          <w:rFonts w:ascii="Arial" w:hAnsi="Arial" w:cs="Arial"/>
          <w:color w:val="auto"/>
          <w:sz w:val="24"/>
          <w:szCs w:val="24"/>
          <w:lang w:eastAsia="pl-PL"/>
        </w:rPr>
        <w:t>)</w:t>
      </w:r>
      <w:r w:rsidR="00232A22" w:rsidRPr="00237760">
        <w:rPr>
          <w:rFonts w:ascii="Arial" w:hAnsi="Arial" w:cs="Arial"/>
          <w:color w:val="auto"/>
          <w:sz w:val="24"/>
          <w:szCs w:val="24"/>
          <w:lang w:eastAsia="pl-PL"/>
        </w:rPr>
        <w:t xml:space="preserve"> przedstawione w programach </w:t>
      </w:r>
      <w:r w:rsidR="00F17F10" w:rsidRPr="00237760">
        <w:rPr>
          <w:rFonts w:ascii="Arial" w:hAnsi="Arial" w:cs="Arial"/>
          <w:color w:val="auto"/>
          <w:sz w:val="24"/>
          <w:szCs w:val="24"/>
          <w:lang w:eastAsia="pl-PL"/>
        </w:rPr>
        <w:t>krajowych i regionalnych.</w:t>
      </w:r>
    </w:p>
    <w:p w14:paraId="12037427" w14:textId="572383C5" w:rsidR="002350B5" w:rsidRDefault="002350B5">
      <w:pPr>
        <w:spacing w:after="160" w:line="259" w:lineRule="auto"/>
        <w:jc w:val="left"/>
        <w:rPr>
          <w:rFonts w:ascii="Arial" w:hAnsi="Arial" w:cs="Arial"/>
          <w:color w:val="auto"/>
          <w:sz w:val="24"/>
          <w:szCs w:val="24"/>
          <w:lang w:eastAsia="pl-PL"/>
        </w:rPr>
      </w:pPr>
      <w:r>
        <w:rPr>
          <w:rFonts w:ascii="Arial" w:hAnsi="Arial" w:cs="Arial"/>
          <w:color w:val="auto"/>
          <w:sz w:val="24"/>
          <w:szCs w:val="24"/>
          <w:lang w:eastAsia="pl-PL"/>
        </w:rPr>
        <w:br w:type="page"/>
      </w:r>
    </w:p>
    <w:p w14:paraId="49FAEEB1" w14:textId="31646D03" w:rsidR="00482054" w:rsidRPr="00237760" w:rsidRDefault="00482054" w:rsidP="009367B4">
      <w:pPr>
        <w:pStyle w:val="Legenda"/>
        <w:jc w:val="left"/>
        <w:rPr>
          <w:rFonts w:ascii="Arial" w:hAnsi="Arial" w:cs="Arial"/>
          <w:color w:val="auto"/>
          <w:sz w:val="24"/>
          <w:szCs w:val="24"/>
        </w:rPr>
      </w:pPr>
      <w:bookmarkStart w:id="162" w:name="_Ref100080807"/>
      <w:bookmarkStart w:id="163" w:name="_Toc101904260"/>
      <w:r w:rsidRPr="00237760">
        <w:rPr>
          <w:rFonts w:ascii="Arial" w:hAnsi="Arial" w:cs="Arial"/>
          <w:color w:val="auto"/>
          <w:sz w:val="24"/>
          <w:szCs w:val="24"/>
        </w:rPr>
        <w:lastRenderedPageBreak/>
        <w:t xml:space="preserve">Tabela </w:t>
      </w:r>
      <w:r w:rsidRPr="00237760">
        <w:rPr>
          <w:rFonts w:ascii="Arial" w:hAnsi="Arial" w:cs="Arial"/>
          <w:color w:val="auto"/>
          <w:sz w:val="24"/>
          <w:szCs w:val="24"/>
        </w:rPr>
        <w:fldChar w:fldCharType="begin"/>
      </w:r>
      <w:r w:rsidRPr="00237760">
        <w:rPr>
          <w:rFonts w:ascii="Arial" w:hAnsi="Arial" w:cs="Arial"/>
          <w:noProof/>
          <w:color w:val="auto"/>
          <w:sz w:val="24"/>
          <w:szCs w:val="24"/>
        </w:rPr>
        <w:instrText xml:space="preserve"> SEQ Tabela \* ARABIC </w:instrText>
      </w:r>
      <w:r w:rsidRPr="00237760">
        <w:rPr>
          <w:rFonts w:ascii="Arial" w:hAnsi="Arial" w:cs="Arial"/>
          <w:color w:val="auto"/>
          <w:sz w:val="24"/>
          <w:szCs w:val="24"/>
        </w:rPr>
        <w:fldChar w:fldCharType="separate"/>
      </w:r>
      <w:r w:rsidR="00762B20" w:rsidRPr="00237760">
        <w:rPr>
          <w:rFonts w:ascii="Arial" w:hAnsi="Arial" w:cs="Arial"/>
          <w:noProof/>
          <w:color w:val="auto"/>
          <w:sz w:val="24"/>
          <w:szCs w:val="24"/>
        </w:rPr>
        <w:t>19</w:t>
      </w:r>
      <w:r w:rsidRPr="00237760">
        <w:rPr>
          <w:rFonts w:ascii="Arial" w:hAnsi="Arial" w:cs="Arial"/>
          <w:color w:val="auto"/>
          <w:sz w:val="24"/>
          <w:szCs w:val="24"/>
        </w:rPr>
        <w:fldChar w:fldCharType="end"/>
      </w:r>
      <w:bookmarkEnd w:id="162"/>
      <w:r w:rsidRPr="00237760">
        <w:rPr>
          <w:rFonts w:ascii="Arial" w:hAnsi="Arial" w:cs="Arial"/>
          <w:color w:val="auto"/>
          <w:sz w:val="24"/>
          <w:szCs w:val="24"/>
        </w:rPr>
        <w:t>.</w:t>
      </w:r>
      <w:bookmarkEnd w:id="141"/>
      <w:bookmarkEnd w:id="142"/>
      <w:r w:rsidRPr="00237760">
        <w:rPr>
          <w:rFonts w:ascii="Arial" w:hAnsi="Arial" w:cs="Arial"/>
          <w:color w:val="auto"/>
          <w:sz w:val="24"/>
          <w:szCs w:val="24"/>
        </w:rPr>
        <w:t xml:space="preserve"> </w:t>
      </w:r>
      <w:bookmarkEnd w:id="143"/>
      <w:r w:rsidRPr="00237760">
        <w:rPr>
          <w:rFonts w:ascii="Arial" w:hAnsi="Arial" w:cs="Arial"/>
          <w:color w:val="auto"/>
          <w:sz w:val="24"/>
          <w:szCs w:val="24"/>
        </w:rPr>
        <w:t xml:space="preserve">Ocena zgodności celów </w:t>
      </w:r>
      <w:r w:rsidR="00175FC9" w:rsidRPr="00237760">
        <w:rPr>
          <w:rFonts w:ascii="Arial" w:hAnsi="Arial" w:cs="Arial"/>
          <w:color w:val="auto"/>
          <w:sz w:val="24"/>
          <w:szCs w:val="24"/>
        </w:rPr>
        <w:t>PSRT</w:t>
      </w:r>
      <w:r w:rsidRPr="00237760">
        <w:rPr>
          <w:rFonts w:ascii="Arial" w:hAnsi="Arial" w:cs="Arial"/>
          <w:color w:val="auto"/>
          <w:sz w:val="24"/>
          <w:szCs w:val="24"/>
        </w:rPr>
        <w:t xml:space="preserve"> WP z obszarami tematycznymi działań określonych w</w:t>
      </w:r>
      <w:r w:rsidR="00175FC9" w:rsidRPr="00237760">
        <w:rPr>
          <w:rFonts w:ascii="Arial" w:hAnsi="Arial" w:cs="Arial"/>
          <w:color w:val="auto"/>
          <w:sz w:val="24"/>
          <w:szCs w:val="24"/>
        </w:rPr>
        <w:t xml:space="preserve"> projekcie</w:t>
      </w:r>
      <w:r w:rsidRPr="00237760">
        <w:rPr>
          <w:rFonts w:ascii="Arial" w:hAnsi="Arial" w:cs="Arial"/>
          <w:color w:val="auto"/>
          <w:sz w:val="24"/>
          <w:szCs w:val="24"/>
        </w:rPr>
        <w:t xml:space="preserve"> Umow</w:t>
      </w:r>
      <w:r w:rsidR="00175FC9" w:rsidRPr="00237760">
        <w:rPr>
          <w:rFonts w:ascii="Arial" w:hAnsi="Arial" w:cs="Arial"/>
          <w:color w:val="auto"/>
          <w:sz w:val="24"/>
          <w:szCs w:val="24"/>
        </w:rPr>
        <w:t xml:space="preserve">y </w:t>
      </w:r>
      <w:r w:rsidRPr="00237760">
        <w:rPr>
          <w:rFonts w:ascii="Arial" w:hAnsi="Arial" w:cs="Arial"/>
          <w:color w:val="auto"/>
          <w:sz w:val="24"/>
          <w:szCs w:val="24"/>
        </w:rPr>
        <w:t>Partnerstwa (UP)</w:t>
      </w:r>
      <w:bookmarkEnd w:id="144"/>
      <w:bookmarkEnd w:id="145"/>
      <w:r w:rsidR="00045C57" w:rsidRPr="00237760">
        <w:rPr>
          <w:rStyle w:val="Odwoanieprzypisudolnego"/>
          <w:rFonts w:ascii="Arial" w:hAnsi="Arial" w:cs="Arial"/>
          <w:color w:val="auto"/>
          <w:sz w:val="24"/>
          <w:szCs w:val="24"/>
        </w:rPr>
        <w:footnoteReference w:id="39"/>
      </w:r>
      <w:bookmarkEnd w:id="163"/>
    </w:p>
    <w:tbl>
      <w:tblPr>
        <w:tblStyle w:val="Tabela-Siatka"/>
        <w:tblW w:w="9219" w:type="dxa"/>
        <w:tblInd w:w="-5"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57" w:type="dxa"/>
          <w:right w:w="57" w:type="dxa"/>
        </w:tblCellMar>
        <w:tblLook w:val="04A0" w:firstRow="1" w:lastRow="0" w:firstColumn="1" w:lastColumn="0" w:noHBand="0" w:noVBand="1"/>
        <w:tblCaption w:val="Tabela 19. Ocena zgodności celów PSRT WP z obszarami tematycznymi działań określonych w projekcie Umowy Partnerstwa (UP) "/>
        <w:tblDescription w:val="Tabela zawiera Obszar działań w ramach celów UP*, Cele podstawowe PSRT WP, Cele horyzontalne PSRT WP"/>
      </w:tblPr>
      <w:tblGrid>
        <w:gridCol w:w="3974"/>
        <w:gridCol w:w="748"/>
        <w:gridCol w:w="748"/>
        <w:gridCol w:w="772"/>
        <w:gridCol w:w="725"/>
        <w:gridCol w:w="749"/>
        <w:gridCol w:w="748"/>
        <w:gridCol w:w="749"/>
        <w:gridCol w:w="6"/>
      </w:tblGrid>
      <w:tr w:rsidR="00237760" w:rsidRPr="00237760" w14:paraId="725C842B" w14:textId="5043B216" w:rsidTr="00FB20A6">
        <w:trPr>
          <w:trHeight w:val="450"/>
          <w:tblHeader/>
        </w:trPr>
        <w:tc>
          <w:tcPr>
            <w:tcW w:w="3974" w:type="dxa"/>
            <w:vMerge w:val="restart"/>
            <w:tcBorders>
              <w:top w:val="single" w:sz="12" w:space="0" w:color="002060"/>
              <w:left w:val="nil"/>
              <w:bottom w:val="single" w:sz="4" w:space="0" w:color="BDD6EE" w:themeColor="accent1" w:themeTint="66"/>
              <w:right w:val="nil"/>
            </w:tcBorders>
            <w:shd w:val="clear" w:color="auto" w:fill="auto"/>
            <w:vAlign w:val="center"/>
            <w:hideMark/>
          </w:tcPr>
          <w:p w14:paraId="063C74DE" w14:textId="7AF9135A" w:rsidR="00E112A3" w:rsidRPr="00237760" w:rsidRDefault="00E112A3"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Obszar działań w ramach celów UP</w:t>
            </w:r>
            <w:r w:rsidR="00AC1C5D" w:rsidRPr="00237760">
              <w:rPr>
                <w:rFonts w:ascii="Arial" w:hAnsi="Arial" w:cs="Arial"/>
                <w:b/>
                <w:color w:val="auto"/>
                <w:sz w:val="24"/>
                <w:szCs w:val="24"/>
              </w:rPr>
              <w:t>*</w:t>
            </w:r>
          </w:p>
        </w:tc>
        <w:tc>
          <w:tcPr>
            <w:tcW w:w="2268" w:type="dxa"/>
            <w:gridSpan w:val="3"/>
            <w:tcBorders>
              <w:top w:val="single" w:sz="12" w:space="0" w:color="002060"/>
              <w:left w:val="nil"/>
              <w:bottom w:val="single" w:sz="4" w:space="0" w:color="BDD6EE" w:themeColor="accent1" w:themeTint="66"/>
            </w:tcBorders>
            <w:shd w:val="clear" w:color="auto" w:fill="auto"/>
            <w:vAlign w:val="center"/>
          </w:tcPr>
          <w:p w14:paraId="5B66EEF1" w14:textId="55534930" w:rsidR="00E112A3" w:rsidRPr="00237760" w:rsidRDefault="00E112A3"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podstawowe PSRT WP</w:t>
            </w:r>
          </w:p>
        </w:tc>
        <w:tc>
          <w:tcPr>
            <w:tcW w:w="2977" w:type="dxa"/>
            <w:gridSpan w:val="5"/>
            <w:tcBorders>
              <w:top w:val="single" w:sz="12" w:space="0" w:color="002060"/>
              <w:left w:val="nil"/>
              <w:bottom w:val="single" w:sz="4" w:space="0" w:color="BDD6EE" w:themeColor="accent1" w:themeTint="66"/>
            </w:tcBorders>
            <w:shd w:val="clear" w:color="auto" w:fill="auto"/>
            <w:vAlign w:val="center"/>
          </w:tcPr>
          <w:p w14:paraId="5013E137" w14:textId="694EC311" w:rsidR="00E112A3" w:rsidRPr="00237760" w:rsidRDefault="00E112A3"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horyzontalne PSRT WP</w:t>
            </w:r>
          </w:p>
        </w:tc>
      </w:tr>
      <w:tr w:rsidR="00237760" w:rsidRPr="00237760" w14:paraId="7CD89E3E" w14:textId="26A661CE" w:rsidTr="00FB20A6">
        <w:trPr>
          <w:gridAfter w:val="1"/>
          <w:wAfter w:w="6" w:type="dxa"/>
          <w:trHeight w:val="56"/>
          <w:tblHeader/>
        </w:trPr>
        <w:tc>
          <w:tcPr>
            <w:tcW w:w="3974" w:type="dxa"/>
            <w:vMerge/>
            <w:tcBorders>
              <w:top w:val="nil"/>
              <w:left w:val="nil"/>
              <w:bottom w:val="single" w:sz="4" w:space="0" w:color="BDD6EE" w:themeColor="accent1" w:themeTint="66"/>
              <w:right w:val="nil"/>
            </w:tcBorders>
            <w:shd w:val="clear" w:color="auto" w:fill="auto"/>
            <w:vAlign w:val="center"/>
            <w:hideMark/>
          </w:tcPr>
          <w:p w14:paraId="62475171" w14:textId="77777777" w:rsidR="00E112A3" w:rsidRPr="00237760" w:rsidRDefault="00E112A3" w:rsidP="009367B4">
            <w:pPr>
              <w:spacing w:after="0" w:line="240" w:lineRule="auto"/>
              <w:jc w:val="left"/>
              <w:rPr>
                <w:rFonts w:ascii="Arial" w:hAnsi="Arial" w:cs="Arial"/>
                <w:b/>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2CE33977" w14:textId="0E9540A2" w:rsidR="00E112A3" w:rsidRPr="00237760" w:rsidRDefault="004E6D7F"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24204BA5" w14:textId="4E300CFC" w:rsidR="00E112A3" w:rsidRPr="00237760" w:rsidRDefault="004E6D7F"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77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0602C260" w14:textId="0D89A434" w:rsidR="00E112A3" w:rsidRPr="00237760" w:rsidRDefault="004E6D7F"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7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32E790A7" w14:textId="77777777" w:rsidR="00E112A3" w:rsidRPr="00237760" w:rsidRDefault="00E112A3"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78A51DD9" w14:textId="77777777" w:rsidR="00E112A3" w:rsidRPr="00237760" w:rsidRDefault="00E112A3"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nil"/>
            </w:tcBorders>
            <w:shd w:val="clear" w:color="auto" w:fill="auto"/>
          </w:tcPr>
          <w:p w14:paraId="7176FD19" w14:textId="77777777" w:rsidR="00E112A3" w:rsidRPr="00237760" w:rsidRDefault="00E112A3"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nil"/>
            </w:tcBorders>
            <w:shd w:val="clear" w:color="auto" w:fill="auto"/>
          </w:tcPr>
          <w:p w14:paraId="5802DC33" w14:textId="14B6C9C4" w:rsidR="00E112A3" w:rsidRPr="00237760" w:rsidRDefault="004E6D7F"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4.</w:t>
            </w:r>
          </w:p>
        </w:tc>
      </w:tr>
      <w:tr w:rsidR="00237760" w:rsidRPr="00237760" w14:paraId="03057125" w14:textId="1667AB0B" w:rsidTr="00FB20A6">
        <w:trPr>
          <w:gridAfter w:val="1"/>
          <w:wAfter w:w="6" w:type="dxa"/>
          <w:trHeight w:val="312"/>
        </w:trPr>
        <w:tc>
          <w:tcPr>
            <w:tcW w:w="3974"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1D3B9B99" w14:textId="77777777" w:rsidR="00E112A3" w:rsidRPr="00237760" w:rsidRDefault="00E112A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Wzrost znaczenia badań i innowacji oraz wykorzystanie zaawansowanych technologii (CP1)</w:t>
            </w: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44A2D1C5" w14:textId="77777777" w:rsidR="00E112A3" w:rsidRPr="00237760" w:rsidRDefault="00E112A3"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35565087" w14:textId="77777777" w:rsidR="00E112A3" w:rsidRPr="00237760" w:rsidRDefault="00E112A3" w:rsidP="009367B4">
            <w:pPr>
              <w:spacing w:after="0" w:line="240" w:lineRule="auto"/>
              <w:jc w:val="left"/>
              <w:rPr>
                <w:rFonts w:ascii="Arial" w:hAnsi="Arial" w:cs="Arial"/>
                <w:color w:val="auto"/>
                <w:sz w:val="24"/>
                <w:szCs w:val="24"/>
              </w:rPr>
            </w:pPr>
          </w:p>
        </w:tc>
        <w:tc>
          <w:tcPr>
            <w:tcW w:w="77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4B5C1C57" w14:textId="77777777" w:rsidR="00E112A3" w:rsidRPr="00237760" w:rsidRDefault="00E112A3" w:rsidP="009367B4">
            <w:pPr>
              <w:spacing w:after="0" w:line="240" w:lineRule="auto"/>
              <w:jc w:val="left"/>
              <w:rPr>
                <w:rFonts w:ascii="Arial" w:hAnsi="Arial" w:cs="Arial"/>
                <w:color w:val="auto"/>
                <w:sz w:val="24"/>
                <w:szCs w:val="24"/>
              </w:rPr>
            </w:pPr>
          </w:p>
        </w:tc>
        <w:tc>
          <w:tcPr>
            <w:tcW w:w="7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27B81285" w14:textId="77777777" w:rsidR="00E112A3" w:rsidRPr="00237760" w:rsidRDefault="00E112A3"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5BAB34C8" w14:textId="77777777" w:rsidR="00E112A3" w:rsidRPr="00237760" w:rsidRDefault="00E112A3"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5214CCE6" w14:textId="77777777" w:rsidR="00E112A3" w:rsidRPr="00237760" w:rsidRDefault="00E112A3"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22197DF2" w14:textId="77777777" w:rsidR="00E112A3" w:rsidRPr="00237760" w:rsidRDefault="00E112A3" w:rsidP="009367B4">
            <w:pPr>
              <w:spacing w:after="0" w:line="240" w:lineRule="auto"/>
              <w:jc w:val="left"/>
              <w:rPr>
                <w:rFonts w:ascii="Arial" w:hAnsi="Arial" w:cs="Arial"/>
                <w:color w:val="auto"/>
                <w:sz w:val="24"/>
                <w:szCs w:val="24"/>
              </w:rPr>
            </w:pPr>
          </w:p>
        </w:tc>
      </w:tr>
      <w:tr w:rsidR="00237760" w:rsidRPr="00237760" w14:paraId="77BC6946" w14:textId="4F48FCC4" w:rsidTr="00FB20A6">
        <w:trPr>
          <w:gridAfter w:val="1"/>
          <w:wAfter w:w="6" w:type="dxa"/>
          <w:trHeight w:val="14"/>
        </w:trPr>
        <w:tc>
          <w:tcPr>
            <w:tcW w:w="3974"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02D246E7" w14:textId="77777777" w:rsidR="00E112A3" w:rsidRPr="00237760" w:rsidRDefault="00E112A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Wzmocnienie potencjału przedsiębiorstw i administracji publicznej na rzecz nowoczesnej gospodarki (CP1)</w:t>
            </w: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441F9E8A" w14:textId="77777777" w:rsidR="00E112A3" w:rsidRPr="00237760" w:rsidRDefault="00E112A3"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0C11F17F" w14:textId="77777777" w:rsidR="00E112A3" w:rsidRPr="00237760" w:rsidRDefault="00E112A3" w:rsidP="009367B4">
            <w:pPr>
              <w:spacing w:after="0" w:line="240" w:lineRule="auto"/>
              <w:jc w:val="left"/>
              <w:rPr>
                <w:rFonts w:ascii="Arial" w:hAnsi="Arial" w:cs="Arial"/>
                <w:color w:val="auto"/>
                <w:sz w:val="24"/>
                <w:szCs w:val="24"/>
              </w:rPr>
            </w:pPr>
          </w:p>
        </w:tc>
        <w:tc>
          <w:tcPr>
            <w:tcW w:w="77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276A550D" w14:textId="77777777" w:rsidR="00E112A3" w:rsidRPr="00237760" w:rsidRDefault="00E112A3" w:rsidP="009367B4">
            <w:pPr>
              <w:spacing w:after="0" w:line="240" w:lineRule="auto"/>
              <w:jc w:val="left"/>
              <w:rPr>
                <w:rFonts w:ascii="Arial" w:hAnsi="Arial" w:cs="Arial"/>
                <w:color w:val="auto"/>
                <w:sz w:val="24"/>
                <w:szCs w:val="24"/>
              </w:rPr>
            </w:pPr>
          </w:p>
        </w:tc>
        <w:tc>
          <w:tcPr>
            <w:tcW w:w="7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354DAB3D" w14:textId="77777777" w:rsidR="00E112A3" w:rsidRPr="00237760" w:rsidRDefault="00E112A3"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7FAF22FD" w14:textId="77777777" w:rsidR="00E112A3" w:rsidRPr="00237760" w:rsidRDefault="00E112A3"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7CDE5053" w14:textId="77777777" w:rsidR="00E112A3" w:rsidRPr="00237760" w:rsidRDefault="00E112A3"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3E15C26C" w14:textId="77777777" w:rsidR="00E112A3" w:rsidRPr="00237760" w:rsidRDefault="00E112A3" w:rsidP="009367B4">
            <w:pPr>
              <w:spacing w:after="0" w:line="240" w:lineRule="auto"/>
              <w:jc w:val="left"/>
              <w:rPr>
                <w:rFonts w:ascii="Arial" w:hAnsi="Arial" w:cs="Arial"/>
                <w:color w:val="auto"/>
                <w:sz w:val="24"/>
                <w:szCs w:val="24"/>
              </w:rPr>
            </w:pPr>
          </w:p>
        </w:tc>
      </w:tr>
      <w:tr w:rsidR="00237760" w:rsidRPr="00237760" w14:paraId="4DCED7CE" w14:textId="77777777" w:rsidTr="00FB20A6">
        <w:trPr>
          <w:gridAfter w:val="1"/>
          <w:wAfter w:w="6" w:type="dxa"/>
          <w:trHeight w:val="14"/>
        </w:trPr>
        <w:tc>
          <w:tcPr>
            <w:tcW w:w="3974"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71F10D56" w14:textId="506A848F" w:rsidR="00005FEF" w:rsidRPr="00237760" w:rsidRDefault="005C60D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Wzmacnianie łączności cyfrowej (CP1)</w:t>
            </w: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4799A343" w14:textId="77777777" w:rsidR="00005FEF" w:rsidRPr="00237760" w:rsidRDefault="00005FEF"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6C192777" w14:textId="77777777" w:rsidR="00005FEF" w:rsidRPr="00237760" w:rsidRDefault="00005FEF" w:rsidP="009367B4">
            <w:pPr>
              <w:spacing w:after="0" w:line="240" w:lineRule="auto"/>
              <w:jc w:val="left"/>
              <w:rPr>
                <w:rFonts w:ascii="Arial" w:hAnsi="Arial" w:cs="Arial"/>
                <w:color w:val="auto"/>
                <w:sz w:val="24"/>
                <w:szCs w:val="24"/>
              </w:rPr>
            </w:pPr>
          </w:p>
        </w:tc>
        <w:tc>
          <w:tcPr>
            <w:tcW w:w="77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1C0BF02D" w14:textId="77777777" w:rsidR="00005FEF" w:rsidRPr="00237760" w:rsidRDefault="00005FEF" w:rsidP="009367B4">
            <w:pPr>
              <w:spacing w:after="0" w:line="240" w:lineRule="auto"/>
              <w:jc w:val="left"/>
              <w:rPr>
                <w:rFonts w:ascii="Arial" w:hAnsi="Arial" w:cs="Arial"/>
                <w:color w:val="auto"/>
                <w:sz w:val="24"/>
                <w:szCs w:val="24"/>
              </w:rPr>
            </w:pPr>
          </w:p>
        </w:tc>
        <w:tc>
          <w:tcPr>
            <w:tcW w:w="7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1109B036" w14:textId="77777777" w:rsidR="00005FEF" w:rsidRPr="00237760" w:rsidRDefault="00005FEF"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3BB9D47F" w14:textId="77777777" w:rsidR="00005FEF" w:rsidRPr="00237760" w:rsidRDefault="00005FEF"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6319CD8C" w14:textId="77777777" w:rsidR="00005FEF" w:rsidRPr="00237760" w:rsidRDefault="00005FEF"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6FEF63A6" w14:textId="77777777" w:rsidR="00005FEF" w:rsidRPr="00237760" w:rsidRDefault="00005FEF" w:rsidP="009367B4">
            <w:pPr>
              <w:spacing w:after="0" w:line="240" w:lineRule="auto"/>
              <w:jc w:val="left"/>
              <w:rPr>
                <w:rFonts w:ascii="Arial" w:hAnsi="Arial" w:cs="Arial"/>
                <w:color w:val="auto"/>
                <w:sz w:val="24"/>
                <w:szCs w:val="24"/>
              </w:rPr>
            </w:pPr>
          </w:p>
        </w:tc>
      </w:tr>
      <w:tr w:rsidR="00237760" w:rsidRPr="00237760" w14:paraId="083F6186" w14:textId="072CB5B9" w:rsidTr="00FB20A6">
        <w:trPr>
          <w:gridAfter w:val="1"/>
          <w:wAfter w:w="6" w:type="dxa"/>
          <w:trHeight w:val="70"/>
        </w:trPr>
        <w:tc>
          <w:tcPr>
            <w:tcW w:w="3974"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121F9CA4" w14:textId="269DE398" w:rsidR="00E112A3" w:rsidRPr="00237760" w:rsidRDefault="00E112A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Efektywność energetyczna </w:t>
            </w:r>
            <w:r w:rsidR="00A23D46" w:rsidRPr="00237760">
              <w:rPr>
                <w:rFonts w:ascii="Arial" w:hAnsi="Arial" w:cs="Arial"/>
                <w:color w:val="auto"/>
                <w:sz w:val="24"/>
                <w:szCs w:val="24"/>
              </w:rPr>
              <w:t xml:space="preserve">i redukcja emisji gazów cieplarnianych </w:t>
            </w:r>
            <w:r w:rsidR="00A23D46" w:rsidRPr="00237760">
              <w:rPr>
                <w:rFonts w:ascii="Arial" w:hAnsi="Arial" w:cs="Arial"/>
                <w:color w:val="auto"/>
                <w:sz w:val="24"/>
                <w:szCs w:val="24"/>
              </w:rPr>
              <w:cr/>
            </w:r>
            <w:r w:rsidRPr="00237760">
              <w:rPr>
                <w:rFonts w:ascii="Arial" w:hAnsi="Arial" w:cs="Arial"/>
                <w:color w:val="auto"/>
                <w:sz w:val="24"/>
                <w:szCs w:val="24"/>
              </w:rPr>
              <w:t>(CP2)</w:t>
            </w: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58070205" w14:textId="77777777" w:rsidR="00E112A3" w:rsidRPr="00237760" w:rsidRDefault="00E112A3"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1FE55947" w14:textId="77777777" w:rsidR="00E112A3" w:rsidRPr="00237760" w:rsidRDefault="00E112A3" w:rsidP="009367B4">
            <w:pPr>
              <w:spacing w:after="0" w:line="240" w:lineRule="auto"/>
              <w:jc w:val="left"/>
              <w:rPr>
                <w:rFonts w:ascii="Arial" w:hAnsi="Arial" w:cs="Arial"/>
                <w:color w:val="auto"/>
                <w:sz w:val="24"/>
                <w:szCs w:val="24"/>
              </w:rPr>
            </w:pPr>
          </w:p>
        </w:tc>
        <w:tc>
          <w:tcPr>
            <w:tcW w:w="77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3C9EBC01" w14:textId="77777777" w:rsidR="00E112A3" w:rsidRPr="00237760" w:rsidRDefault="00E112A3" w:rsidP="009367B4">
            <w:pPr>
              <w:spacing w:after="0" w:line="240" w:lineRule="auto"/>
              <w:jc w:val="left"/>
              <w:rPr>
                <w:rFonts w:ascii="Arial" w:hAnsi="Arial" w:cs="Arial"/>
                <w:color w:val="auto"/>
                <w:sz w:val="24"/>
                <w:szCs w:val="24"/>
              </w:rPr>
            </w:pPr>
          </w:p>
        </w:tc>
        <w:tc>
          <w:tcPr>
            <w:tcW w:w="7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309F4995" w14:textId="77777777" w:rsidR="00E112A3" w:rsidRPr="00237760" w:rsidRDefault="00E112A3"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69D69D16" w14:textId="77777777" w:rsidR="00E112A3" w:rsidRPr="00237760" w:rsidRDefault="00E112A3"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69554B87" w14:textId="77777777" w:rsidR="00E112A3" w:rsidRPr="00237760" w:rsidRDefault="00E112A3"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594427C3" w14:textId="77777777" w:rsidR="00E112A3" w:rsidRPr="00237760" w:rsidRDefault="00E112A3" w:rsidP="009367B4">
            <w:pPr>
              <w:spacing w:after="0" w:line="240" w:lineRule="auto"/>
              <w:jc w:val="left"/>
              <w:rPr>
                <w:rFonts w:ascii="Arial" w:hAnsi="Arial" w:cs="Arial"/>
                <w:color w:val="auto"/>
                <w:sz w:val="24"/>
                <w:szCs w:val="24"/>
              </w:rPr>
            </w:pPr>
          </w:p>
        </w:tc>
      </w:tr>
      <w:tr w:rsidR="00237760" w:rsidRPr="00237760" w14:paraId="52BA3935" w14:textId="2EE31800" w:rsidTr="00FB20A6">
        <w:trPr>
          <w:gridAfter w:val="1"/>
          <w:wAfter w:w="6" w:type="dxa"/>
          <w:trHeight w:val="70"/>
        </w:trPr>
        <w:tc>
          <w:tcPr>
            <w:tcW w:w="3974"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028CFF3D" w14:textId="77777777" w:rsidR="00E112A3" w:rsidRPr="00237760" w:rsidRDefault="00E112A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Wsparcie produkcji energii z OZE (CP2)</w:t>
            </w: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3220ABCD" w14:textId="77777777" w:rsidR="00E112A3" w:rsidRPr="00237760" w:rsidRDefault="00E112A3"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2A6B9F68" w14:textId="77777777" w:rsidR="00E112A3" w:rsidRPr="00237760" w:rsidRDefault="00E112A3" w:rsidP="009367B4">
            <w:pPr>
              <w:spacing w:after="0" w:line="240" w:lineRule="auto"/>
              <w:jc w:val="left"/>
              <w:rPr>
                <w:rFonts w:ascii="Arial" w:hAnsi="Arial" w:cs="Arial"/>
                <w:color w:val="auto"/>
                <w:sz w:val="24"/>
                <w:szCs w:val="24"/>
              </w:rPr>
            </w:pPr>
          </w:p>
        </w:tc>
        <w:tc>
          <w:tcPr>
            <w:tcW w:w="77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7DCF1AA4" w14:textId="77777777" w:rsidR="00E112A3" w:rsidRPr="00237760" w:rsidRDefault="00E112A3" w:rsidP="009367B4">
            <w:pPr>
              <w:spacing w:after="0" w:line="240" w:lineRule="auto"/>
              <w:jc w:val="left"/>
              <w:rPr>
                <w:rFonts w:ascii="Arial" w:hAnsi="Arial" w:cs="Arial"/>
                <w:color w:val="auto"/>
                <w:sz w:val="24"/>
                <w:szCs w:val="24"/>
              </w:rPr>
            </w:pPr>
          </w:p>
        </w:tc>
        <w:tc>
          <w:tcPr>
            <w:tcW w:w="7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0D3DF8D2" w14:textId="77777777" w:rsidR="00E112A3" w:rsidRPr="00237760" w:rsidRDefault="00E112A3"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1D7F51DB" w14:textId="77777777" w:rsidR="00E112A3" w:rsidRPr="00237760" w:rsidRDefault="00E112A3"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3873EF90" w14:textId="77777777" w:rsidR="00E112A3" w:rsidRPr="00237760" w:rsidRDefault="00E112A3"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591C8D6B" w14:textId="77777777" w:rsidR="00E112A3" w:rsidRPr="00237760" w:rsidRDefault="00E112A3" w:rsidP="009367B4">
            <w:pPr>
              <w:spacing w:after="0" w:line="240" w:lineRule="auto"/>
              <w:jc w:val="left"/>
              <w:rPr>
                <w:rFonts w:ascii="Arial" w:hAnsi="Arial" w:cs="Arial"/>
                <w:color w:val="auto"/>
                <w:sz w:val="24"/>
                <w:szCs w:val="24"/>
              </w:rPr>
            </w:pPr>
          </w:p>
        </w:tc>
      </w:tr>
      <w:tr w:rsidR="00237760" w:rsidRPr="00237760" w14:paraId="76F985FC" w14:textId="6B4A90D5" w:rsidTr="00FB20A6">
        <w:trPr>
          <w:gridAfter w:val="1"/>
          <w:wAfter w:w="6" w:type="dxa"/>
          <w:trHeight w:val="70"/>
        </w:trPr>
        <w:tc>
          <w:tcPr>
            <w:tcW w:w="3974"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4D31948C" w14:textId="37FFB9AA" w:rsidR="00E112A3" w:rsidRPr="00237760" w:rsidRDefault="00E112A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Wsparcie infrastruktury energetycznej</w:t>
            </w:r>
            <w:r w:rsidR="0044438C" w:rsidRPr="00237760">
              <w:rPr>
                <w:rFonts w:ascii="Arial" w:hAnsi="Arial" w:cs="Arial"/>
                <w:color w:val="auto"/>
                <w:sz w:val="24"/>
                <w:szCs w:val="24"/>
              </w:rPr>
              <w:t>, w tym magazynowania energii oraz</w:t>
            </w:r>
            <w:r w:rsidRPr="00237760">
              <w:rPr>
                <w:rFonts w:ascii="Arial" w:hAnsi="Arial" w:cs="Arial"/>
                <w:color w:val="auto"/>
                <w:sz w:val="24"/>
                <w:szCs w:val="24"/>
              </w:rPr>
              <w:t xml:space="preserve"> inteligentnych </w:t>
            </w:r>
            <w:r w:rsidR="00D6150C" w:rsidRPr="00237760">
              <w:rPr>
                <w:rFonts w:ascii="Arial" w:hAnsi="Arial" w:cs="Arial"/>
                <w:color w:val="auto"/>
                <w:sz w:val="24"/>
                <w:szCs w:val="24"/>
              </w:rPr>
              <w:t>systemów</w:t>
            </w:r>
            <w:r w:rsidRPr="00237760">
              <w:rPr>
                <w:rFonts w:ascii="Arial" w:hAnsi="Arial" w:cs="Arial"/>
                <w:color w:val="auto"/>
                <w:sz w:val="24"/>
                <w:szCs w:val="24"/>
              </w:rPr>
              <w:t xml:space="preserve"> (CP2)</w:t>
            </w: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79B37BA3" w14:textId="77777777" w:rsidR="00E112A3" w:rsidRPr="00237760" w:rsidRDefault="00E112A3"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759B0F60" w14:textId="77777777" w:rsidR="00E112A3" w:rsidRPr="00237760" w:rsidRDefault="00E112A3" w:rsidP="009367B4">
            <w:pPr>
              <w:spacing w:after="0" w:line="240" w:lineRule="auto"/>
              <w:jc w:val="left"/>
              <w:rPr>
                <w:rFonts w:ascii="Arial" w:hAnsi="Arial" w:cs="Arial"/>
                <w:color w:val="auto"/>
                <w:sz w:val="24"/>
                <w:szCs w:val="24"/>
              </w:rPr>
            </w:pPr>
          </w:p>
        </w:tc>
        <w:tc>
          <w:tcPr>
            <w:tcW w:w="77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58A9DD1F" w14:textId="77777777" w:rsidR="00E112A3" w:rsidRPr="00237760" w:rsidRDefault="00E112A3" w:rsidP="009367B4">
            <w:pPr>
              <w:spacing w:after="0" w:line="240" w:lineRule="auto"/>
              <w:jc w:val="left"/>
              <w:rPr>
                <w:rFonts w:ascii="Arial" w:hAnsi="Arial" w:cs="Arial"/>
                <w:color w:val="auto"/>
                <w:sz w:val="24"/>
                <w:szCs w:val="24"/>
              </w:rPr>
            </w:pPr>
          </w:p>
        </w:tc>
        <w:tc>
          <w:tcPr>
            <w:tcW w:w="7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0794C2DC" w14:textId="476F190B" w:rsidR="00E112A3" w:rsidRPr="00237760" w:rsidRDefault="00E112A3"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7104282B" w14:textId="77777777" w:rsidR="00E112A3" w:rsidRPr="00237760" w:rsidRDefault="00E112A3"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4785E6F1" w14:textId="199D6D19" w:rsidR="00E112A3" w:rsidRPr="00237760" w:rsidRDefault="00E112A3"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26A33D88" w14:textId="77777777" w:rsidR="00E112A3" w:rsidRPr="00237760" w:rsidRDefault="00E112A3" w:rsidP="009367B4">
            <w:pPr>
              <w:spacing w:after="0" w:line="240" w:lineRule="auto"/>
              <w:jc w:val="left"/>
              <w:rPr>
                <w:rFonts w:ascii="Arial" w:hAnsi="Arial" w:cs="Arial"/>
                <w:color w:val="auto"/>
                <w:sz w:val="24"/>
                <w:szCs w:val="24"/>
              </w:rPr>
            </w:pPr>
          </w:p>
        </w:tc>
      </w:tr>
      <w:tr w:rsidR="00237760" w:rsidRPr="00237760" w14:paraId="0A602B2A" w14:textId="79BF5CAB" w:rsidTr="00FB20A6">
        <w:trPr>
          <w:gridAfter w:val="1"/>
          <w:wAfter w:w="6" w:type="dxa"/>
          <w:trHeight w:val="70"/>
        </w:trPr>
        <w:tc>
          <w:tcPr>
            <w:tcW w:w="3974"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5D961DF7" w14:textId="3240478C" w:rsidR="00E112A3" w:rsidRPr="00237760" w:rsidRDefault="00BF354F"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Przystosowanie do zmian klimatu i zapobieganie ryzyku klęsk żywiołowych oraz katastrof, wsparcie odporności i podejścia ekosystemowego </w:t>
            </w:r>
            <w:r w:rsidR="00636CC1" w:rsidRPr="00237760">
              <w:rPr>
                <w:rFonts w:ascii="Arial" w:hAnsi="Arial" w:cs="Arial"/>
                <w:color w:val="auto"/>
                <w:sz w:val="24"/>
                <w:szCs w:val="24"/>
              </w:rPr>
              <w:t>(CP2)</w:t>
            </w: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22C59724" w14:textId="77777777" w:rsidR="00E112A3" w:rsidRPr="00237760" w:rsidRDefault="00E112A3"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1143F608" w14:textId="77777777" w:rsidR="00E112A3" w:rsidRPr="00237760" w:rsidRDefault="00E112A3" w:rsidP="009367B4">
            <w:pPr>
              <w:spacing w:after="0" w:line="240" w:lineRule="auto"/>
              <w:jc w:val="left"/>
              <w:rPr>
                <w:rFonts w:ascii="Arial" w:hAnsi="Arial" w:cs="Arial"/>
                <w:color w:val="auto"/>
                <w:sz w:val="24"/>
                <w:szCs w:val="24"/>
              </w:rPr>
            </w:pPr>
          </w:p>
        </w:tc>
        <w:tc>
          <w:tcPr>
            <w:tcW w:w="77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77423BFD" w14:textId="77777777" w:rsidR="00E112A3" w:rsidRPr="00237760" w:rsidRDefault="00E112A3" w:rsidP="009367B4">
            <w:pPr>
              <w:spacing w:after="0" w:line="240" w:lineRule="auto"/>
              <w:jc w:val="left"/>
              <w:rPr>
                <w:rFonts w:ascii="Arial" w:hAnsi="Arial" w:cs="Arial"/>
                <w:color w:val="auto"/>
                <w:sz w:val="24"/>
                <w:szCs w:val="24"/>
              </w:rPr>
            </w:pPr>
          </w:p>
        </w:tc>
        <w:tc>
          <w:tcPr>
            <w:tcW w:w="7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430443C2" w14:textId="77777777" w:rsidR="00E112A3" w:rsidRPr="00237760" w:rsidRDefault="00E112A3"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15A84438" w14:textId="77777777" w:rsidR="00E112A3" w:rsidRPr="00237760" w:rsidRDefault="00E112A3"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734DCA8B" w14:textId="77777777" w:rsidR="00E112A3" w:rsidRPr="00237760" w:rsidRDefault="00E112A3"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3D531624" w14:textId="77777777" w:rsidR="00E112A3" w:rsidRPr="00237760" w:rsidRDefault="00E112A3" w:rsidP="009367B4">
            <w:pPr>
              <w:spacing w:after="0" w:line="240" w:lineRule="auto"/>
              <w:jc w:val="left"/>
              <w:rPr>
                <w:rFonts w:ascii="Arial" w:hAnsi="Arial" w:cs="Arial"/>
                <w:color w:val="auto"/>
                <w:sz w:val="24"/>
                <w:szCs w:val="24"/>
              </w:rPr>
            </w:pPr>
          </w:p>
        </w:tc>
      </w:tr>
      <w:tr w:rsidR="00237760" w:rsidRPr="00237760" w14:paraId="1FE6C68E" w14:textId="03702F92" w:rsidTr="00FB20A6">
        <w:trPr>
          <w:gridAfter w:val="1"/>
          <w:wAfter w:w="6" w:type="dxa"/>
          <w:trHeight w:val="70"/>
        </w:trPr>
        <w:tc>
          <w:tcPr>
            <w:tcW w:w="3974"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266496B1" w14:textId="508020ED" w:rsidR="00E112A3" w:rsidRPr="00237760" w:rsidRDefault="00E112A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Zrównoważona gospodarka wodna i ściekowa</w:t>
            </w:r>
            <w:r w:rsidR="00A77DC4" w:rsidRPr="00237760">
              <w:rPr>
                <w:rFonts w:ascii="Arial" w:hAnsi="Arial" w:cs="Arial"/>
                <w:color w:val="auto"/>
                <w:sz w:val="24"/>
                <w:szCs w:val="24"/>
              </w:rPr>
              <w:t>, wspieranie dostępu do wody</w:t>
            </w:r>
            <w:r w:rsidRPr="00237760">
              <w:rPr>
                <w:rFonts w:ascii="Arial" w:hAnsi="Arial" w:cs="Arial"/>
                <w:color w:val="auto"/>
                <w:sz w:val="24"/>
                <w:szCs w:val="24"/>
              </w:rPr>
              <w:t xml:space="preserve"> (CP2)</w:t>
            </w: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2A25316E" w14:textId="77777777" w:rsidR="00E112A3" w:rsidRPr="00237760" w:rsidRDefault="00E112A3"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6FE61589" w14:textId="77777777" w:rsidR="00E112A3" w:rsidRPr="00237760" w:rsidRDefault="00E112A3" w:rsidP="009367B4">
            <w:pPr>
              <w:spacing w:after="0" w:line="240" w:lineRule="auto"/>
              <w:jc w:val="left"/>
              <w:rPr>
                <w:rFonts w:ascii="Arial" w:hAnsi="Arial" w:cs="Arial"/>
                <w:color w:val="auto"/>
                <w:sz w:val="24"/>
                <w:szCs w:val="24"/>
              </w:rPr>
            </w:pPr>
          </w:p>
        </w:tc>
        <w:tc>
          <w:tcPr>
            <w:tcW w:w="77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68D51B08" w14:textId="77777777" w:rsidR="00E112A3" w:rsidRPr="00237760" w:rsidRDefault="00E112A3" w:rsidP="009367B4">
            <w:pPr>
              <w:spacing w:after="0" w:line="240" w:lineRule="auto"/>
              <w:jc w:val="left"/>
              <w:rPr>
                <w:rFonts w:ascii="Arial" w:hAnsi="Arial" w:cs="Arial"/>
                <w:color w:val="auto"/>
                <w:sz w:val="24"/>
                <w:szCs w:val="24"/>
              </w:rPr>
            </w:pPr>
          </w:p>
        </w:tc>
        <w:tc>
          <w:tcPr>
            <w:tcW w:w="7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527B0242" w14:textId="77777777" w:rsidR="00E112A3" w:rsidRPr="00237760" w:rsidRDefault="00E112A3"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54127D96" w14:textId="77777777" w:rsidR="00E112A3" w:rsidRPr="00237760" w:rsidRDefault="00E112A3"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6468B4A3" w14:textId="77777777" w:rsidR="00E112A3" w:rsidRPr="00237760" w:rsidRDefault="00E112A3"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01DD9935" w14:textId="77777777" w:rsidR="00E112A3" w:rsidRPr="00237760" w:rsidRDefault="00E112A3" w:rsidP="009367B4">
            <w:pPr>
              <w:spacing w:after="0" w:line="240" w:lineRule="auto"/>
              <w:jc w:val="left"/>
              <w:rPr>
                <w:rFonts w:ascii="Arial" w:hAnsi="Arial" w:cs="Arial"/>
                <w:color w:val="auto"/>
                <w:sz w:val="24"/>
                <w:szCs w:val="24"/>
              </w:rPr>
            </w:pPr>
          </w:p>
        </w:tc>
      </w:tr>
      <w:tr w:rsidR="00237760" w:rsidRPr="00237760" w14:paraId="5838B00B" w14:textId="563CE174" w:rsidTr="00FB20A6">
        <w:trPr>
          <w:gridAfter w:val="1"/>
          <w:wAfter w:w="6" w:type="dxa"/>
          <w:trHeight w:val="70"/>
        </w:trPr>
        <w:tc>
          <w:tcPr>
            <w:tcW w:w="3974"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735BFA4B" w14:textId="77777777" w:rsidR="00E112A3" w:rsidRPr="00237760" w:rsidRDefault="00E112A3" w:rsidP="009367B4">
            <w:pPr>
              <w:spacing w:after="0" w:line="240" w:lineRule="auto"/>
              <w:jc w:val="left"/>
              <w:rPr>
                <w:rFonts w:ascii="Arial" w:hAnsi="Arial" w:cs="Arial"/>
                <w:color w:val="auto"/>
                <w:sz w:val="24"/>
                <w:szCs w:val="24"/>
              </w:rPr>
            </w:pPr>
            <w:bookmarkStart w:id="164" w:name="_Hlk87201918"/>
            <w:r w:rsidRPr="00237760">
              <w:rPr>
                <w:rFonts w:ascii="Arial" w:hAnsi="Arial" w:cs="Arial"/>
                <w:color w:val="auto"/>
                <w:sz w:val="24"/>
                <w:szCs w:val="24"/>
              </w:rPr>
              <w:t>Gospodarka odpadami i efektywne wykorzystanie zasobów (CP2)</w:t>
            </w:r>
            <w:bookmarkEnd w:id="164"/>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1BAF41A3" w14:textId="77777777" w:rsidR="00E112A3" w:rsidRPr="00237760" w:rsidRDefault="00E112A3"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2D75D25F" w14:textId="77777777" w:rsidR="00E112A3" w:rsidRPr="00237760" w:rsidRDefault="00E112A3" w:rsidP="009367B4">
            <w:pPr>
              <w:spacing w:after="0" w:line="240" w:lineRule="auto"/>
              <w:jc w:val="left"/>
              <w:rPr>
                <w:rFonts w:ascii="Arial" w:hAnsi="Arial" w:cs="Arial"/>
                <w:color w:val="auto"/>
                <w:sz w:val="24"/>
                <w:szCs w:val="24"/>
              </w:rPr>
            </w:pPr>
          </w:p>
        </w:tc>
        <w:tc>
          <w:tcPr>
            <w:tcW w:w="77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1C145D48" w14:textId="77777777" w:rsidR="00E112A3" w:rsidRPr="00237760" w:rsidRDefault="00E112A3" w:rsidP="009367B4">
            <w:pPr>
              <w:spacing w:after="0" w:line="240" w:lineRule="auto"/>
              <w:jc w:val="left"/>
              <w:rPr>
                <w:rFonts w:ascii="Arial" w:hAnsi="Arial" w:cs="Arial"/>
                <w:color w:val="auto"/>
                <w:sz w:val="24"/>
                <w:szCs w:val="24"/>
              </w:rPr>
            </w:pPr>
          </w:p>
        </w:tc>
        <w:tc>
          <w:tcPr>
            <w:tcW w:w="7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544B53AB" w14:textId="77777777" w:rsidR="00E112A3" w:rsidRPr="00237760" w:rsidRDefault="00E112A3"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68D5B005" w14:textId="77777777" w:rsidR="00E112A3" w:rsidRPr="00237760" w:rsidRDefault="00E112A3"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68CE950B" w14:textId="77777777" w:rsidR="00E112A3" w:rsidRPr="00237760" w:rsidRDefault="00E112A3"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78A1F647" w14:textId="77777777" w:rsidR="00E112A3" w:rsidRPr="00237760" w:rsidRDefault="00E112A3" w:rsidP="009367B4">
            <w:pPr>
              <w:spacing w:after="0" w:line="240" w:lineRule="auto"/>
              <w:jc w:val="left"/>
              <w:rPr>
                <w:rFonts w:ascii="Arial" w:hAnsi="Arial" w:cs="Arial"/>
                <w:color w:val="auto"/>
                <w:sz w:val="24"/>
                <w:szCs w:val="24"/>
              </w:rPr>
            </w:pPr>
          </w:p>
        </w:tc>
      </w:tr>
      <w:tr w:rsidR="00237760" w:rsidRPr="00237760" w14:paraId="76A0EF25" w14:textId="4006A905" w:rsidTr="00FB20A6">
        <w:trPr>
          <w:gridAfter w:val="1"/>
          <w:wAfter w:w="6" w:type="dxa"/>
          <w:trHeight w:val="70"/>
        </w:trPr>
        <w:tc>
          <w:tcPr>
            <w:tcW w:w="3974"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11C6892A" w14:textId="6574134D" w:rsidR="00E112A3" w:rsidRPr="00237760" w:rsidRDefault="004A6D40"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Wzmacnianie ochrony</w:t>
            </w:r>
            <w:r w:rsidR="00E112A3" w:rsidRPr="00237760">
              <w:rPr>
                <w:rFonts w:ascii="Arial" w:hAnsi="Arial" w:cs="Arial"/>
                <w:color w:val="auto"/>
                <w:sz w:val="24"/>
                <w:szCs w:val="24"/>
              </w:rPr>
              <w:t xml:space="preserve"> dziedzictwa przyrodniczego i różnorodności biologicznej </w:t>
            </w:r>
            <w:r w:rsidRPr="00237760">
              <w:rPr>
                <w:rFonts w:ascii="Arial" w:hAnsi="Arial" w:cs="Arial"/>
                <w:color w:val="auto"/>
                <w:sz w:val="24"/>
                <w:szCs w:val="24"/>
              </w:rPr>
              <w:t xml:space="preserve">oraz zielonej infrastruktury </w:t>
            </w:r>
            <w:r w:rsidR="00E112A3" w:rsidRPr="00237760">
              <w:rPr>
                <w:rFonts w:ascii="Arial" w:hAnsi="Arial" w:cs="Arial"/>
                <w:color w:val="auto"/>
                <w:sz w:val="24"/>
                <w:szCs w:val="24"/>
              </w:rPr>
              <w:t>(CP2)</w:t>
            </w: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2EF55A8C" w14:textId="77777777" w:rsidR="00E112A3" w:rsidRPr="00237760" w:rsidRDefault="00E112A3"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159F6B21" w14:textId="77777777" w:rsidR="00E112A3" w:rsidRPr="00237760" w:rsidRDefault="00E112A3" w:rsidP="009367B4">
            <w:pPr>
              <w:spacing w:after="0" w:line="240" w:lineRule="auto"/>
              <w:jc w:val="left"/>
              <w:rPr>
                <w:rFonts w:ascii="Arial" w:hAnsi="Arial" w:cs="Arial"/>
                <w:color w:val="auto"/>
                <w:sz w:val="24"/>
                <w:szCs w:val="24"/>
              </w:rPr>
            </w:pPr>
          </w:p>
        </w:tc>
        <w:tc>
          <w:tcPr>
            <w:tcW w:w="77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1FDD824B" w14:textId="77777777" w:rsidR="00E112A3" w:rsidRPr="00237760" w:rsidRDefault="00E112A3" w:rsidP="009367B4">
            <w:pPr>
              <w:spacing w:after="0" w:line="240" w:lineRule="auto"/>
              <w:jc w:val="left"/>
              <w:rPr>
                <w:rFonts w:ascii="Arial" w:hAnsi="Arial" w:cs="Arial"/>
                <w:color w:val="auto"/>
                <w:sz w:val="24"/>
                <w:szCs w:val="24"/>
              </w:rPr>
            </w:pPr>
          </w:p>
        </w:tc>
        <w:tc>
          <w:tcPr>
            <w:tcW w:w="7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0FDC3EA8" w14:textId="77777777" w:rsidR="00E112A3" w:rsidRPr="00237760" w:rsidRDefault="00E112A3"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0F5C6A7B" w14:textId="77777777" w:rsidR="00E112A3" w:rsidRPr="00237760" w:rsidRDefault="00E112A3"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676DB40B" w14:textId="77777777" w:rsidR="00E112A3" w:rsidRPr="00237760" w:rsidRDefault="00E112A3"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5A8EFAFC" w14:textId="77777777" w:rsidR="00E112A3" w:rsidRPr="00237760" w:rsidRDefault="00E112A3" w:rsidP="009367B4">
            <w:pPr>
              <w:spacing w:after="0" w:line="240" w:lineRule="auto"/>
              <w:jc w:val="left"/>
              <w:rPr>
                <w:rFonts w:ascii="Arial" w:hAnsi="Arial" w:cs="Arial"/>
                <w:color w:val="auto"/>
                <w:sz w:val="24"/>
                <w:szCs w:val="24"/>
              </w:rPr>
            </w:pPr>
          </w:p>
        </w:tc>
      </w:tr>
      <w:tr w:rsidR="00237760" w:rsidRPr="00237760" w14:paraId="78EC401D" w14:textId="74C81AF1" w:rsidTr="00FB20A6">
        <w:trPr>
          <w:gridAfter w:val="1"/>
          <w:wAfter w:w="6" w:type="dxa"/>
          <w:trHeight w:val="70"/>
        </w:trPr>
        <w:tc>
          <w:tcPr>
            <w:tcW w:w="3974"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170366E3" w14:textId="77777777" w:rsidR="00E112A3" w:rsidRPr="00237760" w:rsidRDefault="00E112A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Transport niskoemisyjny i mobilność miejska (CP2)</w:t>
            </w: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46BFB59B" w14:textId="77777777" w:rsidR="00E112A3" w:rsidRPr="00237760" w:rsidRDefault="00E112A3"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43A6E76E" w14:textId="77777777" w:rsidR="00E112A3" w:rsidRPr="00237760" w:rsidRDefault="00E112A3" w:rsidP="009367B4">
            <w:pPr>
              <w:spacing w:after="0" w:line="240" w:lineRule="auto"/>
              <w:jc w:val="left"/>
              <w:rPr>
                <w:rFonts w:ascii="Arial" w:hAnsi="Arial" w:cs="Arial"/>
                <w:color w:val="auto"/>
                <w:sz w:val="24"/>
                <w:szCs w:val="24"/>
              </w:rPr>
            </w:pPr>
          </w:p>
        </w:tc>
        <w:tc>
          <w:tcPr>
            <w:tcW w:w="77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750944EB" w14:textId="77777777" w:rsidR="00E112A3" w:rsidRPr="00237760" w:rsidRDefault="00E112A3" w:rsidP="009367B4">
            <w:pPr>
              <w:spacing w:after="0" w:line="240" w:lineRule="auto"/>
              <w:jc w:val="left"/>
              <w:rPr>
                <w:rFonts w:ascii="Arial" w:hAnsi="Arial" w:cs="Arial"/>
                <w:color w:val="auto"/>
                <w:sz w:val="24"/>
                <w:szCs w:val="24"/>
              </w:rPr>
            </w:pPr>
          </w:p>
        </w:tc>
        <w:tc>
          <w:tcPr>
            <w:tcW w:w="7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7FA5E307" w14:textId="77777777" w:rsidR="00E112A3" w:rsidRPr="00237760" w:rsidRDefault="00E112A3"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1A0386E5" w14:textId="77777777" w:rsidR="00E112A3" w:rsidRPr="00237760" w:rsidRDefault="00E112A3"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145AC2B4" w14:textId="77777777" w:rsidR="00E112A3" w:rsidRPr="00237760" w:rsidRDefault="00E112A3"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3BBE94C6" w14:textId="77777777" w:rsidR="00E112A3" w:rsidRPr="00237760" w:rsidRDefault="00E112A3" w:rsidP="009367B4">
            <w:pPr>
              <w:spacing w:after="0" w:line="240" w:lineRule="auto"/>
              <w:jc w:val="left"/>
              <w:rPr>
                <w:rFonts w:ascii="Arial" w:hAnsi="Arial" w:cs="Arial"/>
                <w:color w:val="auto"/>
                <w:sz w:val="24"/>
                <w:szCs w:val="24"/>
              </w:rPr>
            </w:pPr>
          </w:p>
        </w:tc>
      </w:tr>
      <w:tr w:rsidR="00237760" w:rsidRPr="00237760" w14:paraId="012819C9" w14:textId="22CDA3BD" w:rsidTr="00FB20A6">
        <w:trPr>
          <w:gridAfter w:val="1"/>
          <w:wAfter w:w="6" w:type="dxa"/>
          <w:trHeight w:val="70"/>
        </w:trPr>
        <w:tc>
          <w:tcPr>
            <w:tcW w:w="3974"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1A6498BD" w14:textId="50CCB4B6" w:rsidR="00E112A3" w:rsidRPr="00237760" w:rsidRDefault="00C11012"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Rozwój lądowej infrastruktury transportowej (punktowej i liniowej) </w:t>
            </w:r>
            <w:r w:rsidRPr="00237760">
              <w:rPr>
                <w:rFonts w:ascii="Arial" w:hAnsi="Arial" w:cs="Arial"/>
                <w:color w:val="auto"/>
                <w:sz w:val="24"/>
                <w:szCs w:val="24"/>
              </w:rPr>
              <w:lastRenderedPageBreak/>
              <w:t xml:space="preserve">w ramach sieci bazowej i kompleksowej TEN-T (transport drogowy, szynowy/kolejowy, wodny śródlądowy, morski, lotniczy) </w:t>
            </w:r>
            <w:r w:rsidR="00636CC1" w:rsidRPr="00237760">
              <w:rPr>
                <w:rFonts w:ascii="Arial" w:hAnsi="Arial" w:cs="Arial"/>
                <w:color w:val="auto"/>
                <w:sz w:val="24"/>
                <w:szCs w:val="24"/>
              </w:rPr>
              <w:t>(CP3)</w:t>
            </w: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2BBCCACA" w14:textId="50091295" w:rsidR="00E112A3" w:rsidRPr="00237760" w:rsidRDefault="00E112A3"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04BC5F95" w14:textId="77777777" w:rsidR="00E112A3" w:rsidRPr="00237760" w:rsidRDefault="00E112A3" w:rsidP="009367B4">
            <w:pPr>
              <w:spacing w:after="0" w:line="240" w:lineRule="auto"/>
              <w:jc w:val="left"/>
              <w:rPr>
                <w:rFonts w:ascii="Arial" w:hAnsi="Arial" w:cs="Arial"/>
                <w:color w:val="auto"/>
                <w:sz w:val="24"/>
                <w:szCs w:val="24"/>
              </w:rPr>
            </w:pPr>
          </w:p>
        </w:tc>
        <w:tc>
          <w:tcPr>
            <w:tcW w:w="77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49AB9372" w14:textId="77777777" w:rsidR="00E112A3" w:rsidRPr="00237760" w:rsidRDefault="00E112A3" w:rsidP="009367B4">
            <w:pPr>
              <w:spacing w:after="0" w:line="240" w:lineRule="auto"/>
              <w:jc w:val="left"/>
              <w:rPr>
                <w:rFonts w:ascii="Arial" w:hAnsi="Arial" w:cs="Arial"/>
                <w:color w:val="auto"/>
                <w:sz w:val="24"/>
                <w:szCs w:val="24"/>
              </w:rPr>
            </w:pPr>
          </w:p>
        </w:tc>
        <w:tc>
          <w:tcPr>
            <w:tcW w:w="7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56445EB8" w14:textId="77777777" w:rsidR="00E112A3" w:rsidRPr="00237760" w:rsidRDefault="00E112A3"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17F29EAD" w14:textId="77777777" w:rsidR="00E112A3" w:rsidRPr="00237760" w:rsidRDefault="00E112A3"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51BE008E" w14:textId="77777777" w:rsidR="00E112A3" w:rsidRPr="00237760" w:rsidRDefault="00E112A3"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460F5064" w14:textId="77777777" w:rsidR="00E112A3" w:rsidRPr="00237760" w:rsidRDefault="00E112A3" w:rsidP="009367B4">
            <w:pPr>
              <w:spacing w:after="0" w:line="240" w:lineRule="auto"/>
              <w:jc w:val="left"/>
              <w:rPr>
                <w:rFonts w:ascii="Arial" w:hAnsi="Arial" w:cs="Arial"/>
                <w:color w:val="auto"/>
                <w:sz w:val="24"/>
                <w:szCs w:val="24"/>
              </w:rPr>
            </w:pPr>
          </w:p>
        </w:tc>
      </w:tr>
      <w:tr w:rsidR="00237760" w:rsidRPr="00237760" w14:paraId="424B6055" w14:textId="73B24964" w:rsidTr="00FB20A6">
        <w:trPr>
          <w:gridAfter w:val="1"/>
          <w:wAfter w:w="6" w:type="dxa"/>
          <w:trHeight w:val="70"/>
        </w:trPr>
        <w:tc>
          <w:tcPr>
            <w:tcW w:w="3974"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7A71F175" w14:textId="77777777" w:rsidR="00E112A3" w:rsidRPr="00237760" w:rsidRDefault="00E112A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Poprawa dostępności transportowej regionów i subregionów (CP3)</w:t>
            </w: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04ECE882" w14:textId="77777777" w:rsidR="00E112A3" w:rsidRPr="00237760" w:rsidRDefault="00E112A3"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0FA08970" w14:textId="77777777" w:rsidR="00E112A3" w:rsidRPr="00237760" w:rsidRDefault="00E112A3" w:rsidP="009367B4">
            <w:pPr>
              <w:spacing w:after="0" w:line="240" w:lineRule="auto"/>
              <w:jc w:val="left"/>
              <w:rPr>
                <w:rFonts w:ascii="Arial" w:hAnsi="Arial" w:cs="Arial"/>
                <w:color w:val="auto"/>
                <w:sz w:val="24"/>
                <w:szCs w:val="24"/>
              </w:rPr>
            </w:pPr>
          </w:p>
        </w:tc>
        <w:tc>
          <w:tcPr>
            <w:tcW w:w="77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1CC548BC" w14:textId="77777777" w:rsidR="00E112A3" w:rsidRPr="00237760" w:rsidRDefault="00E112A3" w:rsidP="009367B4">
            <w:pPr>
              <w:spacing w:after="0" w:line="240" w:lineRule="auto"/>
              <w:jc w:val="left"/>
              <w:rPr>
                <w:rFonts w:ascii="Arial" w:hAnsi="Arial" w:cs="Arial"/>
                <w:color w:val="auto"/>
                <w:sz w:val="24"/>
                <w:szCs w:val="24"/>
              </w:rPr>
            </w:pPr>
          </w:p>
        </w:tc>
        <w:tc>
          <w:tcPr>
            <w:tcW w:w="7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57840CDE" w14:textId="77777777" w:rsidR="00E112A3" w:rsidRPr="00237760" w:rsidRDefault="00E112A3"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7FEE7FCE" w14:textId="77777777" w:rsidR="00E112A3" w:rsidRPr="00237760" w:rsidRDefault="00E112A3"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7BA9F5E6" w14:textId="77777777" w:rsidR="00E112A3" w:rsidRPr="00237760" w:rsidRDefault="00E112A3"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19B6831B" w14:textId="77777777" w:rsidR="00E112A3" w:rsidRPr="00237760" w:rsidRDefault="00E112A3" w:rsidP="009367B4">
            <w:pPr>
              <w:spacing w:after="0" w:line="240" w:lineRule="auto"/>
              <w:jc w:val="left"/>
              <w:rPr>
                <w:rFonts w:ascii="Arial" w:hAnsi="Arial" w:cs="Arial"/>
                <w:color w:val="auto"/>
                <w:sz w:val="24"/>
                <w:szCs w:val="24"/>
              </w:rPr>
            </w:pPr>
          </w:p>
        </w:tc>
      </w:tr>
      <w:tr w:rsidR="00237760" w:rsidRPr="00237760" w14:paraId="0128D0D4" w14:textId="544A9783" w:rsidTr="00FB20A6">
        <w:trPr>
          <w:gridAfter w:val="1"/>
          <w:wAfter w:w="6" w:type="dxa"/>
          <w:trHeight w:val="70"/>
        </w:trPr>
        <w:tc>
          <w:tcPr>
            <w:tcW w:w="3974"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60BB6662" w14:textId="77777777" w:rsidR="00E112A3" w:rsidRPr="00237760" w:rsidRDefault="00E112A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Przyspieszenie wprowadzania rozwiązań cyfrowych do polskiego systemu transportowego (CP3)</w:t>
            </w: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0A58BEA1" w14:textId="77777777" w:rsidR="00E112A3" w:rsidRPr="00237760" w:rsidRDefault="00E112A3"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0995E50F" w14:textId="77777777" w:rsidR="00E112A3" w:rsidRPr="00237760" w:rsidRDefault="00E112A3" w:rsidP="009367B4">
            <w:pPr>
              <w:spacing w:after="0" w:line="240" w:lineRule="auto"/>
              <w:jc w:val="left"/>
              <w:rPr>
                <w:rFonts w:ascii="Arial" w:hAnsi="Arial" w:cs="Arial"/>
                <w:color w:val="auto"/>
                <w:sz w:val="24"/>
                <w:szCs w:val="24"/>
              </w:rPr>
            </w:pPr>
          </w:p>
        </w:tc>
        <w:tc>
          <w:tcPr>
            <w:tcW w:w="77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vAlign w:val="center"/>
          </w:tcPr>
          <w:p w14:paraId="56811743" w14:textId="77777777" w:rsidR="00E112A3" w:rsidRPr="00237760" w:rsidRDefault="00E112A3" w:rsidP="009367B4">
            <w:pPr>
              <w:spacing w:after="0" w:line="240" w:lineRule="auto"/>
              <w:jc w:val="left"/>
              <w:rPr>
                <w:rFonts w:ascii="Arial" w:hAnsi="Arial" w:cs="Arial"/>
                <w:color w:val="auto"/>
                <w:sz w:val="24"/>
                <w:szCs w:val="24"/>
              </w:rPr>
            </w:pPr>
          </w:p>
        </w:tc>
        <w:tc>
          <w:tcPr>
            <w:tcW w:w="7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316642A0" w14:textId="77777777" w:rsidR="00E112A3" w:rsidRPr="00237760" w:rsidRDefault="00E112A3"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3B16D36F" w14:textId="77777777" w:rsidR="00E112A3" w:rsidRPr="00237760" w:rsidRDefault="00E112A3"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vAlign w:val="center"/>
          </w:tcPr>
          <w:p w14:paraId="75BA24F5" w14:textId="77777777" w:rsidR="00E112A3" w:rsidRPr="00237760" w:rsidRDefault="00E112A3"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4CA3717A" w14:textId="77777777" w:rsidR="00E112A3" w:rsidRPr="00237760" w:rsidRDefault="00E112A3" w:rsidP="009367B4">
            <w:pPr>
              <w:spacing w:after="0" w:line="240" w:lineRule="auto"/>
              <w:jc w:val="left"/>
              <w:rPr>
                <w:rFonts w:ascii="Arial" w:hAnsi="Arial" w:cs="Arial"/>
                <w:color w:val="auto"/>
                <w:sz w:val="24"/>
                <w:szCs w:val="24"/>
              </w:rPr>
            </w:pPr>
          </w:p>
        </w:tc>
      </w:tr>
      <w:tr w:rsidR="00237760" w:rsidRPr="00237760" w14:paraId="5223E35C" w14:textId="7C2AF4F2" w:rsidTr="00FB20A6">
        <w:trPr>
          <w:gridAfter w:val="1"/>
          <w:wAfter w:w="6" w:type="dxa"/>
          <w:trHeight w:val="70"/>
        </w:trPr>
        <w:tc>
          <w:tcPr>
            <w:tcW w:w="3974"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15E01861" w14:textId="77777777" w:rsidR="00E112A3" w:rsidRPr="00237760" w:rsidRDefault="00E112A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Sieci szerokopasmowe (CP3)</w:t>
            </w: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139C2CDB" w14:textId="77777777" w:rsidR="00E112A3" w:rsidRPr="00237760" w:rsidRDefault="00E112A3"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69717F4F" w14:textId="77777777" w:rsidR="00E112A3" w:rsidRPr="00237760" w:rsidRDefault="00E112A3" w:rsidP="009367B4">
            <w:pPr>
              <w:spacing w:after="0" w:line="240" w:lineRule="auto"/>
              <w:jc w:val="left"/>
              <w:rPr>
                <w:rFonts w:ascii="Arial" w:hAnsi="Arial" w:cs="Arial"/>
                <w:color w:val="auto"/>
                <w:sz w:val="24"/>
                <w:szCs w:val="24"/>
              </w:rPr>
            </w:pPr>
          </w:p>
        </w:tc>
        <w:tc>
          <w:tcPr>
            <w:tcW w:w="77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422DEAEB" w14:textId="77777777" w:rsidR="00E112A3" w:rsidRPr="00237760" w:rsidRDefault="00E112A3" w:rsidP="009367B4">
            <w:pPr>
              <w:spacing w:after="0" w:line="240" w:lineRule="auto"/>
              <w:jc w:val="left"/>
              <w:rPr>
                <w:rFonts w:ascii="Arial" w:hAnsi="Arial" w:cs="Arial"/>
                <w:color w:val="auto"/>
                <w:sz w:val="24"/>
                <w:szCs w:val="24"/>
              </w:rPr>
            </w:pPr>
          </w:p>
        </w:tc>
        <w:tc>
          <w:tcPr>
            <w:tcW w:w="7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7699FE74" w14:textId="77777777" w:rsidR="00E112A3" w:rsidRPr="00237760" w:rsidRDefault="00E112A3"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0CC3941E" w14:textId="77777777" w:rsidR="00E112A3" w:rsidRPr="00237760" w:rsidRDefault="00E112A3"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4615ECA2" w14:textId="77777777" w:rsidR="00E112A3" w:rsidRPr="00237760" w:rsidRDefault="00E112A3"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1703D4B6" w14:textId="77777777" w:rsidR="00E112A3" w:rsidRPr="00237760" w:rsidRDefault="00E112A3" w:rsidP="009367B4">
            <w:pPr>
              <w:spacing w:after="0" w:line="240" w:lineRule="auto"/>
              <w:jc w:val="left"/>
              <w:rPr>
                <w:rFonts w:ascii="Arial" w:hAnsi="Arial" w:cs="Arial"/>
                <w:color w:val="auto"/>
                <w:sz w:val="24"/>
                <w:szCs w:val="24"/>
              </w:rPr>
            </w:pPr>
          </w:p>
        </w:tc>
      </w:tr>
      <w:tr w:rsidR="00237760" w:rsidRPr="00237760" w14:paraId="79D57209" w14:textId="391D0FAC" w:rsidTr="00FB20A6">
        <w:trPr>
          <w:gridAfter w:val="1"/>
          <w:wAfter w:w="6" w:type="dxa"/>
          <w:trHeight w:val="70"/>
        </w:trPr>
        <w:tc>
          <w:tcPr>
            <w:tcW w:w="3974"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45D61876" w14:textId="77777777" w:rsidR="00E112A3" w:rsidRPr="00237760" w:rsidRDefault="00E112A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Rynek pracy, zasoby ludzkie (CP4)</w:t>
            </w: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57ECD8C7" w14:textId="77777777" w:rsidR="00E112A3" w:rsidRPr="00237760" w:rsidRDefault="00E112A3"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34452149" w14:textId="77777777" w:rsidR="00E112A3" w:rsidRPr="00237760" w:rsidRDefault="00E112A3" w:rsidP="009367B4">
            <w:pPr>
              <w:spacing w:after="0" w:line="240" w:lineRule="auto"/>
              <w:jc w:val="left"/>
              <w:rPr>
                <w:rFonts w:ascii="Arial" w:hAnsi="Arial" w:cs="Arial"/>
                <w:color w:val="auto"/>
                <w:sz w:val="24"/>
                <w:szCs w:val="24"/>
              </w:rPr>
            </w:pPr>
          </w:p>
        </w:tc>
        <w:tc>
          <w:tcPr>
            <w:tcW w:w="77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5B1AC2F0" w14:textId="77777777" w:rsidR="00E112A3" w:rsidRPr="00237760" w:rsidRDefault="00E112A3" w:rsidP="009367B4">
            <w:pPr>
              <w:spacing w:after="0" w:line="240" w:lineRule="auto"/>
              <w:jc w:val="left"/>
              <w:rPr>
                <w:rFonts w:ascii="Arial" w:hAnsi="Arial" w:cs="Arial"/>
                <w:color w:val="auto"/>
                <w:sz w:val="24"/>
                <w:szCs w:val="24"/>
              </w:rPr>
            </w:pPr>
          </w:p>
        </w:tc>
        <w:tc>
          <w:tcPr>
            <w:tcW w:w="7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2CB54DBA" w14:textId="77777777" w:rsidR="00E112A3" w:rsidRPr="00237760" w:rsidRDefault="00E112A3"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4273988F" w14:textId="77777777" w:rsidR="00E112A3" w:rsidRPr="00237760" w:rsidRDefault="00E112A3"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vAlign w:val="center"/>
          </w:tcPr>
          <w:p w14:paraId="67B0846F" w14:textId="77777777" w:rsidR="00E112A3" w:rsidRPr="00237760" w:rsidRDefault="00E112A3"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2AEEFCB2" w14:textId="77777777" w:rsidR="00E112A3" w:rsidRPr="00237760" w:rsidRDefault="00E112A3" w:rsidP="009367B4">
            <w:pPr>
              <w:spacing w:after="0" w:line="240" w:lineRule="auto"/>
              <w:jc w:val="left"/>
              <w:rPr>
                <w:rFonts w:ascii="Arial" w:hAnsi="Arial" w:cs="Arial"/>
                <w:color w:val="auto"/>
                <w:sz w:val="24"/>
                <w:szCs w:val="24"/>
              </w:rPr>
            </w:pPr>
          </w:p>
        </w:tc>
      </w:tr>
      <w:tr w:rsidR="00237760" w:rsidRPr="00237760" w14:paraId="4AEC3C67" w14:textId="6153D6FC" w:rsidTr="00FB20A6">
        <w:trPr>
          <w:gridAfter w:val="1"/>
          <w:wAfter w:w="6" w:type="dxa"/>
          <w:trHeight w:val="70"/>
        </w:trPr>
        <w:tc>
          <w:tcPr>
            <w:tcW w:w="3974"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0C84A9B3" w14:textId="77777777" w:rsidR="00E112A3" w:rsidRPr="00237760" w:rsidRDefault="00E112A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Edukacja i kompetencje (CP4)</w:t>
            </w: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5A9272A6" w14:textId="77777777" w:rsidR="00E112A3" w:rsidRPr="00237760" w:rsidRDefault="00E112A3"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3F453740" w14:textId="77777777" w:rsidR="00E112A3" w:rsidRPr="00237760" w:rsidRDefault="00E112A3" w:rsidP="009367B4">
            <w:pPr>
              <w:spacing w:after="0" w:line="240" w:lineRule="auto"/>
              <w:jc w:val="left"/>
              <w:rPr>
                <w:rFonts w:ascii="Arial" w:hAnsi="Arial" w:cs="Arial"/>
                <w:color w:val="auto"/>
                <w:sz w:val="24"/>
                <w:szCs w:val="24"/>
              </w:rPr>
            </w:pPr>
          </w:p>
        </w:tc>
        <w:tc>
          <w:tcPr>
            <w:tcW w:w="77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5D657022" w14:textId="77777777" w:rsidR="00E112A3" w:rsidRPr="00237760" w:rsidRDefault="00E112A3" w:rsidP="009367B4">
            <w:pPr>
              <w:spacing w:after="0" w:line="240" w:lineRule="auto"/>
              <w:jc w:val="left"/>
              <w:rPr>
                <w:rFonts w:ascii="Arial" w:hAnsi="Arial" w:cs="Arial"/>
                <w:color w:val="auto"/>
                <w:sz w:val="24"/>
                <w:szCs w:val="24"/>
              </w:rPr>
            </w:pPr>
          </w:p>
        </w:tc>
        <w:tc>
          <w:tcPr>
            <w:tcW w:w="7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178BB90C" w14:textId="77777777" w:rsidR="00E112A3" w:rsidRPr="00237760" w:rsidRDefault="00E112A3"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6646BC07" w14:textId="77777777" w:rsidR="00E112A3" w:rsidRPr="00237760" w:rsidRDefault="00E112A3"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42A83B00" w14:textId="77777777" w:rsidR="00E112A3" w:rsidRPr="00237760" w:rsidRDefault="00E112A3"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686B692C" w14:textId="77777777" w:rsidR="00E112A3" w:rsidRPr="00237760" w:rsidRDefault="00E112A3" w:rsidP="009367B4">
            <w:pPr>
              <w:spacing w:after="0" w:line="240" w:lineRule="auto"/>
              <w:jc w:val="left"/>
              <w:rPr>
                <w:rFonts w:ascii="Arial" w:hAnsi="Arial" w:cs="Arial"/>
                <w:color w:val="auto"/>
                <w:sz w:val="24"/>
                <w:szCs w:val="24"/>
              </w:rPr>
            </w:pPr>
          </w:p>
        </w:tc>
      </w:tr>
      <w:tr w:rsidR="00237760" w:rsidRPr="00237760" w14:paraId="01FF01C9" w14:textId="151E01EC" w:rsidTr="00FB20A6">
        <w:trPr>
          <w:gridAfter w:val="1"/>
          <w:wAfter w:w="6" w:type="dxa"/>
          <w:trHeight w:val="70"/>
        </w:trPr>
        <w:tc>
          <w:tcPr>
            <w:tcW w:w="3974"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63D6073E" w14:textId="77777777" w:rsidR="00E112A3" w:rsidRPr="00237760" w:rsidRDefault="00E112A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Włączenie i integracja społeczna (CP4)</w:t>
            </w: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2DB9656F" w14:textId="77777777" w:rsidR="00E112A3" w:rsidRPr="00237760" w:rsidRDefault="00E112A3"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3C7515F0" w14:textId="77777777" w:rsidR="00E112A3" w:rsidRPr="00237760" w:rsidRDefault="00E112A3" w:rsidP="009367B4">
            <w:pPr>
              <w:spacing w:after="0" w:line="240" w:lineRule="auto"/>
              <w:jc w:val="left"/>
              <w:rPr>
                <w:rFonts w:ascii="Arial" w:hAnsi="Arial" w:cs="Arial"/>
                <w:color w:val="auto"/>
                <w:sz w:val="24"/>
                <w:szCs w:val="24"/>
              </w:rPr>
            </w:pPr>
          </w:p>
        </w:tc>
        <w:tc>
          <w:tcPr>
            <w:tcW w:w="77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72D75E05" w14:textId="77777777" w:rsidR="00E112A3" w:rsidRPr="00237760" w:rsidRDefault="00E112A3" w:rsidP="009367B4">
            <w:pPr>
              <w:spacing w:after="0" w:line="240" w:lineRule="auto"/>
              <w:jc w:val="left"/>
              <w:rPr>
                <w:rFonts w:ascii="Arial" w:hAnsi="Arial" w:cs="Arial"/>
                <w:color w:val="auto"/>
                <w:sz w:val="24"/>
                <w:szCs w:val="24"/>
              </w:rPr>
            </w:pPr>
          </w:p>
        </w:tc>
        <w:tc>
          <w:tcPr>
            <w:tcW w:w="7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4B3ECABF" w14:textId="77777777" w:rsidR="00E112A3" w:rsidRPr="00237760" w:rsidRDefault="00E112A3"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42F4CEA3" w14:textId="77777777" w:rsidR="00E112A3" w:rsidRPr="00237760" w:rsidRDefault="00E112A3"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44A82778" w14:textId="77777777" w:rsidR="00E112A3" w:rsidRPr="00237760" w:rsidRDefault="00E112A3"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3B3C6B5D" w14:textId="77777777" w:rsidR="00E112A3" w:rsidRPr="00237760" w:rsidRDefault="00E112A3" w:rsidP="009367B4">
            <w:pPr>
              <w:spacing w:after="0" w:line="240" w:lineRule="auto"/>
              <w:jc w:val="left"/>
              <w:rPr>
                <w:rFonts w:ascii="Arial" w:hAnsi="Arial" w:cs="Arial"/>
                <w:color w:val="auto"/>
                <w:sz w:val="24"/>
                <w:szCs w:val="24"/>
              </w:rPr>
            </w:pPr>
          </w:p>
        </w:tc>
      </w:tr>
      <w:tr w:rsidR="00237760" w:rsidRPr="00237760" w14:paraId="255B9289" w14:textId="15A3AAF4" w:rsidTr="00FB20A6">
        <w:trPr>
          <w:gridAfter w:val="1"/>
          <w:wAfter w:w="6" w:type="dxa"/>
          <w:trHeight w:val="70"/>
        </w:trPr>
        <w:tc>
          <w:tcPr>
            <w:tcW w:w="3974"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2EF431AB" w14:textId="18BBD461" w:rsidR="00E112A3" w:rsidRPr="00237760" w:rsidRDefault="00E112A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Ochrona zdrowia (CP4)</w:t>
            </w: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0F89B01A" w14:textId="77777777" w:rsidR="00E112A3" w:rsidRPr="00237760" w:rsidRDefault="00E112A3"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303599B5" w14:textId="77777777" w:rsidR="00E112A3" w:rsidRPr="00237760" w:rsidRDefault="00E112A3" w:rsidP="009367B4">
            <w:pPr>
              <w:spacing w:after="0" w:line="240" w:lineRule="auto"/>
              <w:jc w:val="left"/>
              <w:rPr>
                <w:rFonts w:ascii="Arial" w:hAnsi="Arial" w:cs="Arial"/>
                <w:color w:val="auto"/>
                <w:sz w:val="24"/>
                <w:szCs w:val="24"/>
              </w:rPr>
            </w:pPr>
          </w:p>
        </w:tc>
        <w:tc>
          <w:tcPr>
            <w:tcW w:w="77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13567A71" w14:textId="77777777" w:rsidR="00E112A3" w:rsidRPr="00237760" w:rsidRDefault="00E112A3" w:rsidP="009367B4">
            <w:pPr>
              <w:spacing w:after="0" w:line="240" w:lineRule="auto"/>
              <w:jc w:val="left"/>
              <w:rPr>
                <w:rFonts w:ascii="Arial" w:hAnsi="Arial" w:cs="Arial"/>
                <w:color w:val="auto"/>
                <w:sz w:val="24"/>
                <w:szCs w:val="24"/>
              </w:rPr>
            </w:pPr>
          </w:p>
        </w:tc>
        <w:tc>
          <w:tcPr>
            <w:tcW w:w="7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77A3F1AD" w14:textId="77777777" w:rsidR="00E112A3" w:rsidRPr="00237760" w:rsidRDefault="00E112A3"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677B75A1" w14:textId="77777777" w:rsidR="00E112A3" w:rsidRPr="00237760" w:rsidRDefault="00E112A3"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065C7E07" w14:textId="77777777" w:rsidR="00E112A3" w:rsidRPr="00237760" w:rsidRDefault="00E112A3"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42E20AC3" w14:textId="77777777" w:rsidR="00E112A3" w:rsidRPr="00237760" w:rsidRDefault="00E112A3" w:rsidP="009367B4">
            <w:pPr>
              <w:spacing w:after="0" w:line="240" w:lineRule="auto"/>
              <w:jc w:val="left"/>
              <w:rPr>
                <w:rFonts w:ascii="Arial" w:hAnsi="Arial" w:cs="Arial"/>
                <w:color w:val="auto"/>
                <w:sz w:val="24"/>
                <w:szCs w:val="24"/>
              </w:rPr>
            </w:pPr>
          </w:p>
        </w:tc>
      </w:tr>
      <w:tr w:rsidR="00237760" w:rsidRPr="00237760" w14:paraId="7D8AD424" w14:textId="789436D4" w:rsidTr="00FB20A6">
        <w:trPr>
          <w:gridAfter w:val="1"/>
          <w:wAfter w:w="6" w:type="dxa"/>
          <w:trHeight w:val="70"/>
        </w:trPr>
        <w:tc>
          <w:tcPr>
            <w:tcW w:w="3974" w:type="dxa"/>
            <w:tcBorders>
              <w:top w:val="single" w:sz="4" w:space="0" w:color="BDD6EE" w:themeColor="accent1" w:themeTint="66"/>
              <w:left w:val="nil"/>
              <w:bottom w:val="single" w:sz="12" w:space="0" w:color="002060"/>
              <w:right w:val="single" w:sz="4" w:space="0" w:color="BDD6EE" w:themeColor="accent1" w:themeTint="66"/>
            </w:tcBorders>
          </w:tcPr>
          <w:p w14:paraId="451149E4" w14:textId="4572BA38" w:rsidR="00E112A3" w:rsidRPr="00237760" w:rsidRDefault="00E112A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Kultura i turystyka (CP4)</w:t>
            </w:r>
          </w:p>
        </w:tc>
        <w:tc>
          <w:tcPr>
            <w:tcW w:w="748"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9CC2E5" w:themeFill="accent1" w:themeFillTint="99"/>
          </w:tcPr>
          <w:p w14:paraId="34B0D0C2" w14:textId="77777777" w:rsidR="00E112A3" w:rsidRPr="00237760" w:rsidRDefault="00E112A3"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9CC2E5" w:themeFill="accent1" w:themeFillTint="99"/>
            <w:vAlign w:val="center"/>
          </w:tcPr>
          <w:p w14:paraId="7E456DC7" w14:textId="77777777" w:rsidR="00E112A3" w:rsidRPr="00237760" w:rsidRDefault="00E112A3" w:rsidP="009367B4">
            <w:pPr>
              <w:spacing w:after="0" w:line="240" w:lineRule="auto"/>
              <w:jc w:val="left"/>
              <w:rPr>
                <w:rFonts w:ascii="Arial" w:hAnsi="Arial" w:cs="Arial"/>
                <w:color w:val="auto"/>
                <w:sz w:val="24"/>
                <w:szCs w:val="24"/>
              </w:rPr>
            </w:pPr>
          </w:p>
        </w:tc>
        <w:tc>
          <w:tcPr>
            <w:tcW w:w="772"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9CC2E5" w:themeFill="accent1" w:themeFillTint="99"/>
            <w:vAlign w:val="center"/>
          </w:tcPr>
          <w:p w14:paraId="48915A30" w14:textId="77777777" w:rsidR="00E112A3" w:rsidRPr="00237760" w:rsidRDefault="00E112A3" w:rsidP="009367B4">
            <w:pPr>
              <w:spacing w:after="0" w:line="240" w:lineRule="auto"/>
              <w:jc w:val="left"/>
              <w:rPr>
                <w:rFonts w:ascii="Arial" w:hAnsi="Arial" w:cs="Arial"/>
                <w:color w:val="auto"/>
                <w:sz w:val="24"/>
                <w:szCs w:val="24"/>
              </w:rPr>
            </w:pPr>
          </w:p>
        </w:tc>
        <w:tc>
          <w:tcPr>
            <w:tcW w:w="725"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FFFFFF" w:themeFill="background1"/>
            <w:vAlign w:val="center"/>
          </w:tcPr>
          <w:p w14:paraId="0B3DB6B0" w14:textId="77777777" w:rsidR="00E112A3" w:rsidRPr="00237760" w:rsidRDefault="00E112A3"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FFFFFF" w:themeFill="background1"/>
            <w:vAlign w:val="center"/>
          </w:tcPr>
          <w:p w14:paraId="599629D8" w14:textId="77777777" w:rsidR="00E112A3" w:rsidRPr="00237760" w:rsidRDefault="00E112A3"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9CC2E5" w:themeFill="accent1" w:themeFillTint="99"/>
            <w:vAlign w:val="center"/>
          </w:tcPr>
          <w:p w14:paraId="70D02E3D" w14:textId="77777777" w:rsidR="00E112A3" w:rsidRPr="00237760" w:rsidRDefault="00E112A3"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FFFFFF" w:themeFill="background1"/>
          </w:tcPr>
          <w:p w14:paraId="690867F0" w14:textId="77777777" w:rsidR="00E112A3" w:rsidRPr="00237760" w:rsidRDefault="00E112A3" w:rsidP="009367B4">
            <w:pPr>
              <w:spacing w:after="0" w:line="240" w:lineRule="auto"/>
              <w:jc w:val="left"/>
              <w:rPr>
                <w:rFonts w:ascii="Arial" w:hAnsi="Arial" w:cs="Arial"/>
                <w:color w:val="auto"/>
                <w:sz w:val="24"/>
                <w:szCs w:val="24"/>
              </w:rPr>
            </w:pPr>
          </w:p>
        </w:tc>
      </w:tr>
    </w:tbl>
    <w:p w14:paraId="3B54FB7D" w14:textId="398784A2" w:rsidR="00F02EE1" w:rsidRPr="00237760" w:rsidRDefault="003E0B13" w:rsidP="009367B4">
      <w:pPr>
        <w:spacing w:after="0"/>
        <w:jc w:val="left"/>
        <w:rPr>
          <w:rFonts w:ascii="Arial" w:hAnsi="Arial" w:cs="Arial"/>
          <w:color w:val="auto"/>
          <w:sz w:val="24"/>
          <w:szCs w:val="24"/>
        </w:rPr>
      </w:pPr>
      <w:r w:rsidRPr="00237760">
        <w:rPr>
          <w:rFonts w:ascii="Arial" w:hAnsi="Arial" w:cs="Arial"/>
          <w:color w:val="auto"/>
          <w:sz w:val="24"/>
          <w:szCs w:val="24"/>
        </w:rPr>
        <w:t>Źródło: opracowanie własne na podstawie PSRT WP oraz projektu Umowy Partnerstwa.</w:t>
      </w:r>
    </w:p>
    <w:p w14:paraId="7F4066B6" w14:textId="180C6361" w:rsidR="00AC1C5D" w:rsidRPr="00237760" w:rsidRDefault="00AC1C5D" w:rsidP="009367B4">
      <w:pPr>
        <w:spacing w:after="0"/>
        <w:jc w:val="left"/>
        <w:rPr>
          <w:rFonts w:ascii="Arial" w:hAnsi="Arial" w:cs="Arial"/>
          <w:color w:val="auto"/>
          <w:sz w:val="24"/>
          <w:szCs w:val="24"/>
        </w:rPr>
      </w:pPr>
      <w:r w:rsidRPr="00237760">
        <w:rPr>
          <w:rFonts w:ascii="Arial" w:hAnsi="Arial" w:cs="Arial"/>
          <w:color w:val="auto"/>
          <w:sz w:val="24"/>
          <w:szCs w:val="24"/>
        </w:rPr>
        <w:t>* Pominięto CP</w:t>
      </w:r>
      <w:r w:rsidR="00BE5B20" w:rsidRPr="00237760">
        <w:rPr>
          <w:rFonts w:ascii="Arial" w:hAnsi="Arial" w:cs="Arial"/>
          <w:color w:val="auto"/>
          <w:sz w:val="24"/>
          <w:szCs w:val="24"/>
        </w:rPr>
        <w:t>5</w:t>
      </w:r>
      <w:r w:rsidR="00D63EF8" w:rsidRPr="00237760">
        <w:rPr>
          <w:rFonts w:ascii="Arial" w:hAnsi="Arial" w:cs="Arial"/>
          <w:color w:val="auto"/>
          <w:sz w:val="24"/>
          <w:szCs w:val="24"/>
        </w:rPr>
        <w:t xml:space="preserve">, który opiera się </w:t>
      </w:r>
      <w:r w:rsidR="0049706F" w:rsidRPr="00237760">
        <w:rPr>
          <w:rFonts w:ascii="Arial" w:hAnsi="Arial" w:cs="Arial"/>
          <w:color w:val="auto"/>
          <w:sz w:val="24"/>
          <w:szCs w:val="24"/>
        </w:rPr>
        <w:t>realizowaniu projektów właściwych dla wszystkich celów polityki spójności oraz C</w:t>
      </w:r>
      <w:r w:rsidR="005658F8" w:rsidRPr="00237760">
        <w:rPr>
          <w:rFonts w:ascii="Arial" w:hAnsi="Arial" w:cs="Arial"/>
          <w:color w:val="auto"/>
          <w:sz w:val="24"/>
          <w:szCs w:val="24"/>
        </w:rPr>
        <w:t>P6</w:t>
      </w:r>
      <w:r w:rsidR="00C6114E" w:rsidRPr="00237760">
        <w:rPr>
          <w:rFonts w:ascii="Arial" w:hAnsi="Arial" w:cs="Arial"/>
          <w:color w:val="auto"/>
          <w:sz w:val="24"/>
          <w:szCs w:val="24"/>
        </w:rPr>
        <w:t>, który nie obejmuje województwa podkarpackiego</w:t>
      </w:r>
    </w:p>
    <w:p w14:paraId="2E4D3E21" w14:textId="77777777" w:rsidR="00C6114E" w:rsidRPr="00237760" w:rsidRDefault="00C6114E" w:rsidP="009367B4">
      <w:pPr>
        <w:spacing w:after="0"/>
        <w:jc w:val="left"/>
        <w:rPr>
          <w:rFonts w:ascii="Arial" w:hAnsi="Arial" w:cs="Arial"/>
          <w:color w:val="auto"/>
          <w:sz w:val="24"/>
          <w:szCs w:val="24"/>
          <w:lang w:eastAsia="pl-PL"/>
        </w:rPr>
      </w:pPr>
    </w:p>
    <w:p w14:paraId="05500D8A" w14:textId="3BC7518B" w:rsidR="00185632" w:rsidRPr="00237760" w:rsidRDefault="00377A78"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 xml:space="preserve">Pomimo oczywistego </w:t>
      </w:r>
      <w:r w:rsidR="009502C1" w:rsidRPr="00237760">
        <w:rPr>
          <w:rFonts w:ascii="Arial" w:hAnsi="Arial" w:cs="Arial"/>
          <w:color w:val="auto"/>
          <w:sz w:val="24"/>
          <w:szCs w:val="24"/>
          <w:lang w:eastAsia="pl-PL"/>
        </w:rPr>
        <w:t xml:space="preserve">tematycznego </w:t>
      </w:r>
      <w:r w:rsidRPr="00237760">
        <w:rPr>
          <w:rFonts w:ascii="Arial" w:hAnsi="Arial" w:cs="Arial"/>
          <w:color w:val="auto"/>
          <w:sz w:val="24"/>
          <w:szCs w:val="24"/>
          <w:lang w:eastAsia="pl-PL"/>
        </w:rPr>
        <w:t>ukierunkowania</w:t>
      </w:r>
      <w:r w:rsidR="009502C1" w:rsidRPr="00237760">
        <w:rPr>
          <w:rFonts w:ascii="Arial" w:hAnsi="Arial" w:cs="Arial"/>
          <w:color w:val="auto"/>
          <w:sz w:val="24"/>
          <w:szCs w:val="24"/>
          <w:lang w:eastAsia="pl-PL"/>
        </w:rPr>
        <w:t xml:space="preserve"> </w:t>
      </w:r>
      <w:r w:rsidRPr="00237760">
        <w:rPr>
          <w:rFonts w:ascii="Arial" w:hAnsi="Arial" w:cs="Arial"/>
          <w:color w:val="auto"/>
          <w:sz w:val="24"/>
          <w:szCs w:val="24"/>
          <w:lang w:eastAsia="pl-PL"/>
        </w:rPr>
        <w:t xml:space="preserve">na </w:t>
      </w:r>
      <w:r w:rsidR="009502C1" w:rsidRPr="00237760">
        <w:rPr>
          <w:rFonts w:ascii="Arial" w:hAnsi="Arial" w:cs="Arial"/>
          <w:color w:val="auto"/>
          <w:sz w:val="24"/>
          <w:szCs w:val="24"/>
          <w:lang w:eastAsia="pl-PL"/>
        </w:rPr>
        <w:t xml:space="preserve">realizację </w:t>
      </w:r>
      <w:r w:rsidRPr="00237760">
        <w:rPr>
          <w:rFonts w:ascii="Arial" w:hAnsi="Arial" w:cs="Arial"/>
          <w:color w:val="auto"/>
          <w:sz w:val="24"/>
          <w:szCs w:val="24"/>
          <w:lang w:eastAsia="pl-PL"/>
        </w:rPr>
        <w:t xml:space="preserve">CP3 „Lepiej połączona Europa”, PSRT WP </w:t>
      </w:r>
      <w:r w:rsidR="00D6633D" w:rsidRPr="00237760">
        <w:rPr>
          <w:rFonts w:ascii="Arial" w:hAnsi="Arial" w:cs="Arial"/>
          <w:color w:val="auto"/>
          <w:sz w:val="24"/>
          <w:szCs w:val="24"/>
          <w:lang w:eastAsia="pl-PL"/>
        </w:rPr>
        <w:t xml:space="preserve">ogólnie </w:t>
      </w:r>
      <w:r w:rsidRPr="00237760">
        <w:rPr>
          <w:rFonts w:ascii="Arial" w:hAnsi="Arial" w:cs="Arial"/>
          <w:color w:val="auto"/>
          <w:sz w:val="24"/>
          <w:szCs w:val="24"/>
          <w:lang w:eastAsia="pl-PL"/>
        </w:rPr>
        <w:t>dość szeroko odpowiada na założenia UP. Większość obszarów tematycznych UP jest realizowana (w pewnym stopniu) przez cele PSRT WP. Z charakter</w:t>
      </w:r>
      <w:r w:rsidR="001D7B30" w:rsidRPr="00237760">
        <w:rPr>
          <w:rFonts w:ascii="Arial" w:hAnsi="Arial" w:cs="Arial"/>
          <w:color w:val="auto"/>
          <w:sz w:val="24"/>
          <w:szCs w:val="24"/>
          <w:lang w:eastAsia="pl-PL"/>
        </w:rPr>
        <w:t>u</w:t>
      </w:r>
      <w:r w:rsidRPr="00237760">
        <w:rPr>
          <w:rFonts w:ascii="Arial" w:hAnsi="Arial" w:cs="Arial"/>
          <w:color w:val="auto"/>
          <w:sz w:val="24"/>
          <w:szCs w:val="24"/>
          <w:lang w:eastAsia="pl-PL"/>
        </w:rPr>
        <w:t xml:space="preserve"> dokumentu wynika fakt spójności założeń CP3 z każdym celem PSRT WP</w:t>
      </w:r>
      <w:r w:rsidR="00B530A8" w:rsidRPr="00237760">
        <w:rPr>
          <w:rFonts w:ascii="Arial" w:hAnsi="Arial" w:cs="Arial"/>
          <w:color w:val="auto"/>
          <w:sz w:val="24"/>
          <w:szCs w:val="24"/>
          <w:lang w:eastAsia="pl-PL"/>
        </w:rPr>
        <w:t>. W</w:t>
      </w:r>
      <w:r w:rsidR="00D10FDA" w:rsidRPr="00237760">
        <w:rPr>
          <w:rFonts w:ascii="Arial" w:hAnsi="Arial" w:cs="Arial"/>
          <w:color w:val="auto"/>
          <w:sz w:val="24"/>
          <w:szCs w:val="24"/>
          <w:lang w:eastAsia="pl-PL"/>
        </w:rPr>
        <w:t xml:space="preserve"> kontekście </w:t>
      </w:r>
      <w:r w:rsidR="006526ED" w:rsidRPr="00237760">
        <w:rPr>
          <w:rFonts w:ascii="Arial" w:hAnsi="Arial" w:cs="Arial"/>
          <w:color w:val="auto"/>
          <w:sz w:val="24"/>
          <w:szCs w:val="24"/>
          <w:lang w:eastAsia="pl-PL"/>
        </w:rPr>
        <w:t xml:space="preserve">zakładanego </w:t>
      </w:r>
      <w:r w:rsidR="00D10FDA" w:rsidRPr="00237760">
        <w:rPr>
          <w:rFonts w:ascii="Arial" w:hAnsi="Arial" w:cs="Arial"/>
          <w:color w:val="auto"/>
          <w:sz w:val="24"/>
          <w:szCs w:val="24"/>
          <w:lang w:eastAsia="pl-PL"/>
        </w:rPr>
        <w:t xml:space="preserve">systemu realizacji </w:t>
      </w:r>
      <w:r w:rsidR="006526ED" w:rsidRPr="00237760">
        <w:rPr>
          <w:rFonts w:ascii="Arial" w:hAnsi="Arial" w:cs="Arial"/>
          <w:color w:val="auto"/>
          <w:sz w:val="24"/>
          <w:szCs w:val="24"/>
          <w:lang w:eastAsia="pl-PL"/>
        </w:rPr>
        <w:t>jest to kluczowa cecha</w:t>
      </w:r>
      <w:r w:rsidR="006604A7" w:rsidRPr="00237760">
        <w:rPr>
          <w:rFonts w:ascii="Arial" w:hAnsi="Arial" w:cs="Arial"/>
          <w:color w:val="auto"/>
          <w:sz w:val="24"/>
          <w:szCs w:val="24"/>
          <w:lang w:eastAsia="pl-PL"/>
        </w:rPr>
        <w:t xml:space="preserve"> tego</w:t>
      </w:r>
      <w:r w:rsidR="006526ED" w:rsidRPr="00237760">
        <w:rPr>
          <w:rFonts w:ascii="Arial" w:hAnsi="Arial" w:cs="Arial"/>
          <w:color w:val="auto"/>
          <w:sz w:val="24"/>
          <w:szCs w:val="24"/>
          <w:lang w:eastAsia="pl-PL"/>
        </w:rPr>
        <w:t xml:space="preserve"> </w:t>
      </w:r>
      <w:r w:rsidR="006604A7" w:rsidRPr="00237760">
        <w:rPr>
          <w:rFonts w:ascii="Arial" w:hAnsi="Arial" w:cs="Arial"/>
          <w:color w:val="auto"/>
          <w:sz w:val="24"/>
          <w:szCs w:val="24"/>
          <w:lang w:eastAsia="pl-PL"/>
        </w:rPr>
        <w:t>programu</w:t>
      </w:r>
      <w:r w:rsidR="006526ED" w:rsidRPr="00237760">
        <w:rPr>
          <w:rFonts w:ascii="Arial" w:hAnsi="Arial" w:cs="Arial"/>
          <w:color w:val="auto"/>
          <w:sz w:val="24"/>
          <w:szCs w:val="24"/>
          <w:lang w:eastAsia="pl-PL"/>
        </w:rPr>
        <w:t>.</w:t>
      </w:r>
      <w:r w:rsidRPr="00237760">
        <w:rPr>
          <w:rFonts w:ascii="Arial" w:hAnsi="Arial" w:cs="Arial"/>
          <w:color w:val="auto"/>
          <w:sz w:val="24"/>
          <w:szCs w:val="24"/>
          <w:lang w:eastAsia="pl-PL"/>
        </w:rPr>
        <w:t xml:space="preserve"> </w:t>
      </w:r>
    </w:p>
    <w:p w14:paraId="63D5EE0D" w14:textId="51D3B2DC" w:rsidR="00377A78" w:rsidRPr="00237760" w:rsidRDefault="00377A78"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 xml:space="preserve">Cele podstawowe, ze względu na (dominujące) ścisłe ukierunkowanie na rozwój infrastruktury transportowej odpowiadają przede wszystkim na założenia CP3, zaś cele horyzontalne, stanowiące szersze spojrzenie na rozwój transportu wykazują też spójność z obszarem CP2 „Bardziej przyjazna dla środowiska niskoemisyjna Europa” (poprzez </w:t>
      </w:r>
      <w:r w:rsidR="006001EB" w:rsidRPr="00237760">
        <w:rPr>
          <w:rFonts w:ascii="Arial" w:hAnsi="Arial" w:cs="Arial"/>
          <w:color w:val="auto"/>
          <w:sz w:val="24"/>
          <w:szCs w:val="24"/>
          <w:lang w:eastAsia="pl-PL"/>
        </w:rPr>
        <w:t>wyraźne</w:t>
      </w:r>
      <w:r w:rsidRPr="00237760">
        <w:rPr>
          <w:rFonts w:ascii="Arial" w:hAnsi="Arial" w:cs="Arial"/>
          <w:color w:val="auto"/>
          <w:sz w:val="24"/>
          <w:szCs w:val="24"/>
          <w:lang w:eastAsia="pl-PL"/>
        </w:rPr>
        <w:t xml:space="preserve"> skupienie na działaniach mitygacyjnych i adaptacyjnych</w:t>
      </w:r>
      <w:r w:rsidR="0000033C" w:rsidRPr="00237760">
        <w:rPr>
          <w:rFonts w:ascii="Arial" w:hAnsi="Arial" w:cs="Arial"/>
          <w:color w:val="auto"/>
          <w:sz w:val="24"/>
          <w:szCs w:val="24"/>
          <w:lang w:eastAsia="pl-PL"/>
        </w:rPr>
        <w:t>, co w szczególności dotyczy</w:t>
      </w:r>
      <w:r w:rsidR="00B07E04" w:rsidRPr="00237760">
        <w:rPr>
          <w:rFonts w:ascii="Arial" w:hAnsi="Arial" w:cs="Arial"/>
          <w:color w:val="auto"/>
          <w:sz w:val="24"/>
          <w:szCs w:val="24"/>
          <w:lang w:eastAsia="pl-PL"/>
        </w:rPr>
        <w:t xml:space="preserve"> celu horyzontalnego 1.</w:t>
      </w:r>
      <w:r w:rsidRPr="00237760">
        <w:rPr>
          <w:rFonts w:ascii="Arial" w:hAnsi="Arial" w:cs="Arial"/>
          <w:color w:val="auto"/>
          <w:sz w:val="24"/>
          <w:szCs w:val="24"/>
          <w:lang w:eastAsia="pl-PL"/>
        </w:rPr>
        <w:t>) oraz z obszarami:</w:t>
      </w:r>
    </w:p>
    <w:p w14:paraId="211A5E36" w14:textId="418179BD" w:rsidR="00377A78" w:rsidRPr="00237760" w:rsidRDefault="00377A78" w:rsidP="009367B4">
      <w:pPr>
        <w:pStyle w:val="Akapitzlist"/>
        <w:numPr>
          <w:ilvl w:val="0"/>
          <w:numId w:val="38"/>
        </w:numPr>
        <w:ind w:left="709"/>
        <w:jc w:val="left"/>
        <w:rPr>
          <w:rFonts w:ascii="Arial" w:hAnsi="Arial" w:cs="Arial"/>
          <w:color w:val="auto"/>
          <w:sz w:val="24"/>
          <w:szCs w:val="24"/>
        </w:rPr>
      </w:pPr>
      <w:r w:rsidRPr="00237760">
        <w:rPr>
          <w:rFonts w:ascii="Arial" w:hAnsi="Arial" w:cs="Arial"/>
          <w:color w:val="auto"/>
          <w:sz w:val="24"/>
          <w:szCs w:val="24"/>
        </w:rPr>
        <w:t>CP1 „Bardziej konkurencyjna i inteligentna Europa dzięki promowaniu innowacyjnej i inteligentnej transformacji gospodarczej”,</w:t>
      </w:r>
    </w:p>
    <w:p w14:paraId="0B9D1044" w14:textId="06F9FE02" w:rsidR="00377A78" w:rsidRPr="00237760" w:rsidRDefault="00377A78" w:rsidP="009367B4">
      <w:pPr>
        <w:pStyle w:val="Akapitzlist"/>
        <w:numPr>
          <w:ilvl w:val="0"/>
          <w:numId w:val="38"/>
        </w:numPr>
        <w:ind w:left="709"/>
        <w:jc w:val="left"/>
        <w:rPr>
          <w:rFonts w:ascii="Arial" w:hAnsi="Arial" w:cs="Arial"/>
          <w:color w:val="auto"/>
          <w:sz w:val="24"/>
          <w:szCs w:val="24"/>
        </w:rPr>
      </w:pPr>
      <w:r w:rsidRPr="00237760">
        <w:rPr>
          <w:rFonts w:ascii="Arial" w:hAnsi="Arial" w:cs="Arial"/>
          <w:color w:val="auto"/>
          <w:sz w:val="24"/>
          <w:szCs w:val="24"/>
        </w:rPr>
        <w:t>CP4 „Europa o silniejszym wymiarze społecznym”</w:t>
      </w:r>
      <w:r w:rsidRPr="00237760">
        <w:rPr>
          <w:rStyle w:val="Odwoanieprzypisudolnego"/>
          <w:rFonts w:ascii="Arial" w:hAnsi="Arial" w:cs="Arial"/>
          <w:color w:val="auto"/>
          <w:sz w:val="24"/>
          <w:szCs w:val="24"/>
        </w:rPr>
        <w:footnoteReference w:id="40"/>
      </w:r>
    </w:p>
    <w:p w14:paraId="6D8BC1C7" w14:textId="10DF1865" w:rsidR="00313D03" w:rsidRPr="00237760" w:rsidRDefault="00377A78" w:rsidP="009367B4">
      <w:pPr>
        <w:jc w:val="left"/>
        <w:rPr>
          <w:rFonts w:ascii="Arial" w:hAnsi="Arial" w:cs="Arial"/>
          <w:color w:val="auto"/>
          <w:sz w:val="24"/>
          <w:szCs w:val="24"/>
        </w:rPr>
      </w:pPr>
      <w:r w:rsidRPr="00237760">
        <w:rPr>
          <w:rFonts w:ascii="Arial" w:hAnsi="Arial" w:cs="Arial"/>
          <w:color w:val="auto"/>
          <w:sz w:val="24"/>
          <w:szCs w:val="24"/>
        </w:rPr>
        <w:lastRenderedPageBreak/>
        <w:t>poprzez pojedyncze kierunki działań PSRT WP wpisujące się w zakres aktywności w ramach obszarów tych celów polityki spójności.</w:t>
      </w:r>
    </w:p>
    <w:p w14:paraId="69F50F22" w14:textId="6249D424" w:rsidR="0027182F" w:rsidRPr="00237760" w:rsidRDefault="0027182F" w:rsidP="009367B4">
      <w:pPr>
        <w:pStyle w:val="Nagwek3"/>
        <w:rPr>
          <w:rFonts w:ascii="Arial" w:hAnsi="Arial" w:cs="Arial"/>
          <w:color w:val="auto"/>
          <w:sz w:val="24"/>
          <w:szCs w:val="24"/>
        </w:rPr>
      </w:pPr>
      <w:bookmarkStart w:id="165" w:name="_Toc101904137"/>
      <w:r w:rsidRPr="00237760">
        <w:rPr>
          <w:rFonts w:ascii="Arial" w:hAnsi="Arial" w:cs="Arial"/>
          <w:color w:val="auto"/>
          <w:sz w:val="24"/>
          <w:szCs w:val="24"/>
        </w:rPr>
        <w:t>Zgodność z wytycznymi dotyczącymi spełnienia warunkowości podstawowej dla Celu Polityki 3</w:t>
      </w:r>
      <w:r w:rsidR="00F62490" w:rsidRPr="00237760">
        <w:rPr>
          <w:rFonts w:ascii="Arial" w:hAnsi="Arial" w:cs="Arial"/>
          <w:color w:val="auto"/>
          <w:sz w:val="24"/>
          <w:szCs w:val="24"/>
        </w:rPr>
        <w:t xml:space="preserve"> – „</w:t>
      </w:r>
      <w:r w:rsidR="00693DCB" w:rsidRPr="00237760">
        <w:rPr>
          <w:rFonts w:ascii="Arial" w:hAnsi="Arial" w:cs="Arial"/>
          <w:color w:val="auto"/>
          <w:sz w:val="24"/>
          <w:szCs w:val="24"/>
        </w:rPr>
        <w:t>Lepiej</w:t>
      </w:r>
      <w:r w:rsidR="00F62490" w:rsidRPr="00237760">
        <w:rPr>
          <w:rFonts w:ascii="Arial" w:hAnsi="Arial" w:cs="Arial"/>
          <w:color w:val="auto"/>
          <w:sz w:val="24"/>
          <w:szCs w:val="24"/>
        </w:rPr>
        <w:t xml:space="preserve"> połączona Europa”</w:t>
      </w:r>
      <w:bookmarkEnd w:id="165"/>
    </w:p>
    <w:p w14:paraId="592EC21F" w14:textId="079ED199" w:rsidR="000437F2" w:rsidRPr="00237760" w:rsidRDefault="00A718D0"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Jako</w:t>
      </w:r>
      <w:r w:rsidR="00220848" w:rsidRPr="00237760">
        <w:rPr>
          <w:rFonts w:ascii="Arial" w:hAnsi="Arial" w:cs="Arial"/>
          <w:color w:val="auto"/>
          <w:sz w:val="24"/>
          <w:szCs w:val="24"/>
          <w:lang w:eastAsia="pl-PL"/>
        </w:rPr>
        <w:t xml:space="preserve"> że PSRT WP bazuje </w:t>
      </w:r>
      <w:r w:rsidR="005E6EA8" w:rsidRPr="00237760">
        <w:rPr>
          <w:rFonts w:ascii="Arial" w:hAnsi="Arial" w:cs="Arial"/>
          <w:color w:val="auto"/>
          <w:sz w:val="24"/>
          <w:szCs w:val="24"/>
          <w:lang w:eastAsia="pl-PL"/>
        </w:rPr>
        <w:t xml:space="preserve">finansowo </w:t>
      </w:r>
      <w:r w:rsidR="00220848" w:rsidRPr="00237760">
        <w:rPr>
          <w:rFonts w:ascii="Arial" w:hAnsi="Arial" w:cs="Arial"/>
          <w:color w:val="auto"/>
          <w:sz w:val="24"/>
          <w:szCs w:val="24"/>
          <w:lang w:eastAsia="pl-PL"/>
        </w:rPr>
        <w:t xml:space="preserve">przede wszystkim na </w:t>
      </w:r>
      <w:r w:rsidR="005E6EA8" w:rsidRPr="00237760">
        <w:rPr>
          <w:rFonts w:ascii="Arial" w:hAnsi="Arial" w:cs="Arial"/>
          <w:color w:val="auto"/>
          <w:sz w:val="24"/>
          <w:szCs w:val="24"/>
          <w:lang w:eastAsia="pl-PL"/>
        </w:rPr>
        <w:t xml:space="preserve">środkach unijnych </w:t>
      </w:r>
      <w:r w:rsidR="00DF7A7D" w:rsidRPr="00237760">
        <w:rPr>
          <w:rFonts w:ascii="Arial" w:hAnsi="Arial" w:cs="Arial"/>
          <w:color w:val="auto"/>
          <w:sz w:val="24"/>
          <w:szCs w:val="24"/>
          <w:lang w:eastAsia="pl-PL"/>
        </w:rPr>
        <w:t xml:space="preserve">z zakresu </w:t>
      </w:r>
      <w:r w:rsidR="00AF4E86" w:rsidRPr="00237760">
        <w:rPr>
          <w:rFonts w:ascii="Arial" w:hAnsi="Arial" w:cs="Arial"/>
          <w:color w:val="auto"/>
          <w:sz w:val="24"/>
          <w:szCs w:val="24"/>
          <w:lang w:eastAsia="pl-PL"/>
        </w:rPr>
        <w:t>C</w:t>
      </w:r>
      <w:r w:rsidR="00DF7A7D" w:rsidRPr="00237760">
        <w:rPr>
          <w:rFonts w:ascii="Arial" w:hAnsi="Arial" w:cs="Arial"/>
          <w:color w:val="auto"/>
          <w:sz w:val="24"/>
          <w:szCs w:val="24"/>
          <w:lang w:eastAsia="pl-PL"/>
        </w:rPr>
        <w:t>elu „Lepiej połączona Europa”</w:t>
      </w:r>
      <w:r w:rsidR="00AF4E86" w:rsidRPr="00237760">
        <w:rPr>
          <w:rFonts w:ascii="Arial" w:hAnsi="Arial" w:cs="Arial"/>
          <w:color w:val="auto"/>
          <w:sz w:val="24"/>
          <w:szCs w:val="24"/>
          <w:lang w:eastAsia="pl-PL"/>
        </w:rPr>
        <w:t>, to konieczna jest analiza spełnienia warunk</w:t>
      </w:r>
      <w:r w:rsidR="003240F2" w:rsidRPr="00237760">
        <w:rPr>
          <w:rFonts w:ascii="Arial" w:hAnsi="Arial" w:cs="Arial"/>
          <w:color w:val="auto"/>
          <w:sz w:val="24"/>
          <w:szCs w:val="24"/>
          <w:lang w:eastAsia="pl-PL"/>
        </w:rPr>
        <w:t xml:space="preserve">u </w:t>
      </w:r>
      <w:r w:rsidR="00AF4E86" w:rsidRPr="00237760">
        <w:rPr>
          <w:rFonts w:ascii="Arial" w:hAnsi="Arial" w:cs="Arial"/>
          <w:color w:val="auto"/>
          <w:sz w:val="24"/>
          <w:szCs w:val="24"/>
          <w:lang w:eastAsia="pl-PL"/>
        </w:rPr>
        <w:t>podstawow</w:t>
      </w:r>
      <w:r w:rsidR="003240F2" w:rsidRPr="00237760">
        <w:rPr>
          <w:rFonts w:ascii="Arial" w:hAnsi="Arial" w:cs="Arial"/>
          <w:color w:val="auto"/>
          <w:sz w:val="24"/>
          <w:szCs w:val="24"/>
          <w:lang w:eastAsia="pl-PL"/>
        </w:rPr>
        <w:t xml:space="preserve">ego </w:t>
      </w:r>
      <w:r w:rsidR="00EF4C97" w:rsidRPr="00237760">
        <w:rPr>
          <w:rFonts w:ascii="Arial" w:hAnsi="Arial" w:cs="Arial"/>
          <w:color w:val="auto"/>
          <w:sz w:val="24"/>
          <w:szCs w:val="24"/>
          <w:lang w:eastAsia="pl-PL"/>
        </w:rPr>
        <w:t>(pn. kompleksowe planowanie transportu na odpowiednim poziomie)</w:t>
      </w:r>
      <w:r w:rsidR="007F5094" w:rsidRPr="00237760">
        <w:rPr>
          <w:rFonts w:ascii="Arial" w:hAnsi="Arial" w:cs="Arial"/>
          <w:color w:val="auto"/>
          <w:sz w:val="24"/>
          <w:szCs w:val="24"/>
          <w:lang w:eastAsia="pl-PL"/>
        </w:rPr>
        <w:t>,</w:t>
      </w:r>
      <w:r w:rsidR="003240F2" w:rsidRPr="00237760">
        <w:rPr>
          <w:rFonts w:ascii="Arial" w:hAnsi="Arial" w:cs="Arial"/>
          <w:color w:val="auto"/>
          <w:sz w:val="24"/>
          <w:szCs w:val="24"/>
          <w:lang w:eastAsia="pl-PL"/>
        </w:rPr>
        <w:t xml:space="preserve"> </w:t>
      </w:r>
      <w:r w:rsidR="00AF4E86" w:rsidRPr="00237760">
        <w:rPr>
          <w:rFonts w:ascii="Arial" w:hAnsi="Arial" w:cs="Arial"/>
          <w:color w:val="auto"/>
          <w:sz w:val="24"/>
          <w:szCs w:val="24"/>
          <w:lang w:eastAsia="pl-PL"/>
        </w:rPr>
        <w:t>nakładan</w:t>
      </w:r>
      <w:r w:rsidR="003240F2" w:rsidRPr="00237760">
        <w:rPr>
          <w:rFonts w:ascii="Arial" w:hAnsi="Arial" w:cs="Arial"/>
          <w:color w:val="auto"/>
          <w:sz w:val="24"/>
          <w:szCs w:val="24"/>
          <w:lang w:eastAsia="pl-PL"/>
        </w:rPr>
        <w:t xml:space="preserve">ego przez </w:t>
      </w:r>
      <w:r w:rsidR="00E2635F" w:rsidRPr="00237760">
        <w:rPr>
          <w:rFonts w:ascii="Arial" w:hAnsi="Arial" w:cs="Arial"/>
          <w:color w:val="auto"/>
          <w:sz w:val="24"/>
          <w:szCs w:val="24"/>
          <w:lang w:eastAsia="pl-PL"/>
        </w:rPr>
        <w:t>Parlament Europejski i Radę UE</w:t>
      </w:r>
      <w:r w:rsidR="00E2635F" w:rsidRPr="00237760">
        <w:rPr>
          <w:rStyle w:val="Odwoanieprzypisudolnego"/>
          <w:rFonts w:ascii="Arial" w:hAnsi="Arial" w:cs="Arial"/>
          <w:color w:val="auto"/>
          <w:sz w:val="24"/>
          <w:szCs w:val="24"/>
          <w:lang w:eastAsia="pl-PL"/>
        </w:rPr>
        <w:footnoteReference w:id="41"/>
      </w:r>
      <w:r w:rsidR="000437F2" w:rsidRPr="00237760">
        <w:rPr>
          <w:rFonts w:ascii="Arial" w:hAnsi="Arial" w:cs="Arial"/>
          <w:color w:val="auto"/>
          <w:sz w:val="24"/>
          <w:szCs w:val="24"/>
          <w:lang w:eastAsia="pl-PL"/>
        </w:rPr>
        <w:t>.</w:t>
      </w:r>
    </w:p>
    <w:p w14:paraId="50285B2E" w14:textId="773CEA39" w:rsidR="00240B01" w:rsidRPr="00237760" w:rsidRDefault="00F02EE1" w:rsidP="009367B4">
      <w:pPr>
        <w:pStyle w:val="Legenda"/>
        <w:jc w:val="left"/>
        <w:rPr>
          <w:rFonts w:ascii="Arial" w:hAnsi="Arial" w:cs="Arial"/>
          <w:color w:val="auto"/>
          <w:sz w:val="24"/>
          <w:szCs w:val="24"/>
        </w:rPr>
      </w:pPr>
      <w:bookmarkStart w:id="166" w:name="_Ref89606014"/>
      <w:bookmarkStart w:id="167" w:name="_Ref27747908"/>
      <w:bookmarkStart w:id="168" w:name="_Toc28552590"/>
      <w:bookmarkStart w:id="169" w:name="_Toc90222995"/>
      <w:bookmarkStart w:id="170" w:name="_Toc90333473"/>
      <w:bookmarkStart w:id="171" w:name="_Toc101904261"/>
      <w:r w:rsidRPr="00237760">
        <w:rPr>
          <w:rFonts w:ascii="Arial" w:hAnsi="Arial" w:cs="Arial"/>
          <w:color w:val="auto"/>
          <w:sz w:val="24"/>
          <w:szCs w:val="24"/>
        </w:rPr>
        <w:t xml:space="preserve">Tabela </w:t>
      </w:r>
      <w:r w:rsidR="00F64FED" w:rsidRPr="00237760">
        <w:rPr>
          <w:rFonts w:ascii="Arial" w:hAnsi="Arial" w:cs="Arial"/>
          <w:noProof/>
          <w:color w:val="auto"/>
          <w:sz w:val="24"/>
          <w:szCs w:val="24"/>
        </w:rPr>
        <w:fldChar w:fldCharType="begin"/>
      </w:r>
      <w:r w:rsidR="00F64FED" w:rsidRPr="00237760">
        <w:rPr>
          <w:rFonts w:ascii="Arial" w:hAnsi="Arial" w:cs="Arial"/>
          <w:noProof/>
          <w:color w:val="auto"/>
          <w:sz w:val="24"/>
          <w:szCs w:val="24"/>
        </w:rPr>
        <w:instrText xml:space="preserve"> SEQ Tabela \* ARABIC </w:instrText>
      </w:r>
      <w:r w:rsidR="00F64FED" w:rsidRPr="00237760">
        <w:rPr>
          <w:rFonts w:ascii="Arial" w:hAnsi="Arial" w:cs="Arial"/>
          <w:noProof/>
          <w:color w:val="auto"/>
          <w:sz w:val="24"/>
          <w:szCs w:val="24"/>
        </w:rPr>
        <w:fldChar w:fldCharType="separate"/>
      </w:r>
      <w:r w:rsidR="00762B20" w:rsidRPr="00237760">
        <w:rPr>
          <w:rFonts w:ascii="Arial" w:hAnsi="Arial" w:cs="Arial"/>
          <w:noProof/>
          <w:color w:val="auto"/>
          <w:sz w:val="24"/>
          <w:szCs w:val="24"/>
        </w:rPr>
        <w:t>20</w:t>
      </w:r>
      <w:r w:rsidR="00F64FED" w:rsidRPr="00237760">
        <w:rPr>
          <w:rFonts w:ascii="Arial" w:hAnsi="Arial" w:cs="Arial"/>
          <w:noProof/>
          <w:color w:val="auto"/>
          <w:sz w:val="24"/>
          <w:szCs w:val="24"/>
        </w:rPr>
        <w:fldChar w:fldCharType="end"/>
      </w:r>
      <w:r w:rsidRPr="00237760">
        <w:rPr>
          <w:rFonts w:ascii="Arial" w:hAnsi="Arial" w:cs="Arial"/>
          <w:color w:val="auto"/>
          <w:sz w:val="24"/>
          <w:szCs w:val="24"/>
        </w:rPr>
        <w:t>.</w:t>
      </w:r>
      <w:bookmarkEnd w:id="166"/>
      <w:bookmarkEnd w:id="167"/>
      <w:r w:rsidRPr="00237760">
        <w:rPr>
          <w:rFonts w:ascii="Arial" w:hAnsi="Arial" w:cs="Arial"/>
          <w:color w:val="auto"/>
          <w:sz w:val="24"/>
          <w:szCs w:val="24"/>
        </w:rPr>
        <w:t xml:space="preserve"> </w:t>
      </w:r>
      <w:bookmarkEnd w:id="168"/>
      <w:r w:rsidRPr="00237760">
        <w:rPr>
          <w:rFonts w:ascii="Arial" w:hAnsi="Arial" w:cs="Arial"/>
          <w:color w:val="auto"/>
          <w:sz w:val="24"/>
          <w:szCs w:val="24"/>
        </w:rPr>
        <w:t xml:space="preserve">Ocena zgodności działań w ramach </w:t>
      </w:r>
      <w:r w:rsidR="00CA5007" w:rsidRPr="00237760">
        <w:rPr>
          <w:rFonts w:ascii="Arial" w:hAnsi="Arial" w:cs="Arial"/>
          <w:color w:val="auto"/>
          <w:sz w:val="24"/>
          <w:szCs w:val="24"/>
        </w:rPr>
        <w:t>PSRT</w:t>
      </w:r>
      <w:r w:rsidRPr="00237760">
        <w:rPr>
          <w:rFonts w:ascii="Arial" w:hAnsi="Arial" w:cs="Arial"/>
          <w:color w:val="auto"/>
          <w:sz w:val="24"/>
          <w:szCs w:val="24"/>
        </w:rPr>
        <w:t xml:space="preserve"> WP z warunkowością podstawową CP</w:t>
      </w:r>
      <w:bookmarkEnd w:id="169"/>
      <w:bookmarkEnd w:id="170"/>
      <w:r w:rsidRPr="00237760">
        <w:rPr>
          <w:rFonts w:ascii="Arial" w:hAnsi="Arial" w:cs="Arial"/>
          <w:color w:val="auto"/>
          <w:sz w:val="24"/>
          <w:szCs w:val="24"/>
        </w:rPr>
        <w:t>3</w:t>
      </w:r>
      <w:bookmarkEnd w:id="171"/>
    </w:p>
    <w:tbl>
      <w:tblPr>
        <w:tblStyle w:val="Tabela-Siatka"/>
        <w:tblW w:w="9078" w:type="dxa"/>
        <w:tblInd w:w="-5"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28" w:type="dxa"/>
          <w:right w:w="28" w:type="dxa"/>
        </w:tblCellMar>
        <w:tblLook w:val="04A0" w:firstRow="1" w:lastRow="0" w:firstColumn="1" w:lastColumn="0" w:noHBand="0" w:noVBand="1"/>
        <w:tblCaption w:val="Tabela 20. Ocena zgodności działań w ramach PSRT WP z warunkowością podstawową CP3"/>
        <w:tblDescription w:val="Tabela zawiera Kryteria warunku podstawowego dla CP3, Komentarz (przykłady działań w kontekście PSRT WP)"/>
      </w:tblPr>
      <w:tblGrid>
        <w:gridCol w:w="1990"/>
        <w:gridCol w:w="5812"/>
        <w:gridCol w:w="1276"/>
      </w:tblGrid>
      <w:tr w:rsidR="00237760" w:rsidRPr="00237760" w14:paraId="2132EC14" w14:textId="77777777" w:rsidTr="002350B5">
        <w:trPr>
          <w:trHeight w:val="111"/>
          <w:tblHeader/>
        </w:trPr>
        <w:tc>
          <w:tcPr>
            <w:tcW w:w="1990" w:type="dxa"/>
            <w:tcBorders>
              <w:top w:val="single" w:sz="12" w:space="0" w:color="002060"/>
              <w:left w:val="nil"/>
              <w:bottom w:val="single" w:sz="4" w:space="0" w:color="BDD6EE" w:themeColor="accent1" w:themeTint="66"/>
              <w:right w:val="nil"/>
            </w:tcBorders>
            <w:shd w:val="clear" w:color="auto" w:fill="auto"/>
            <w:vAlign w:val="center"/>
            <w:hideMark/>
          </w:tcPr>
          <w:p w14:paraId="4F8A5CDD" w14:textId="7C6A9E03" w:rsidR="00240B01" w:rsidRPr="00237760" w:rsidRDefault="00240B01" w:rsidP="009367B4">
            <w:pPr>
              <w:spacing w:after="0"/>
              <w:jc w:val="left"/>
              <w:rPr>
                <w:rFonts w:ascii="Arial" w:hAnsi="Arial" w:cs="Arial"/>
                <w:b/>
                <w:color w:val="auto"/>
                <w:sz w:val="24"/>
                <w:szCs w:val="24"/>
              </w:rPr>
            </w:pPr>
            <w:r w:rsidRPr="00237760">
              <w:rPr>
                <w:rFonts w:ascii="Arial" w:hAnsi="Arial" w:cs="Arial"/>
                <w:b/>
                <w:color w:val="auto"/>
                <w:sz w:val="24"/>
                <w:szCs w:val="24"/>
              </w:rPr>
              <w:t>Kryteria warunku podstawowego dla CP3</w:t>
            </w:r>
          </w:p>
        </w:tc>
        <w:tc>
          <w:tcPr>
            <w:tcW w:w="5812" w:type="dxa"/>
            <w:tcBorders>
              <w:top w:val="single" w:sz="12" w:space="0" w:color="002060"/>
              <w:left w:val="nil"/>
              <w:bottom w:val="single" w:sz="4" w:space="0" w:color="BDD6EE" w:themeColor="accent1" w:themeTint="66"/>
              <w:right w:val="nil"/>
            </w:tcBorders>
            <w:shd w:val="clear" w:color="auto" w:fill="auto"/>
            <w:vAlign w:val="center"/>
            <w:hideMark/>
          </w:tcPr>
          <w:p w14:paraId="0A196BA8" w14:textId="1A255CE9" w:rsidR="00240B01" w:rsidRPr="00237760" w:rsidRDefault="00240B01" w:rsidP="009367B4">
            <w:pPr>
              <w:spacing w:after="0"/>
              <w:jc w:val="left"/>
              <w:rPr>
                <w:rFonts w:ascii="Arial" w:hAnsi="Arial" w:cs="Arial"/>
                <w:b/>
                <w:color w:val="auto"/>
                <w:sz w:val="24"/>
                <w:szCs w:val="24"/>
              </w:rPr>
            </w:pPr>
            <w:r w:rsidRPr="00237760">
              <w:rPr>
                <w:rFonts w:ascii="Arial" w:hAnsi="Arial" w:cs="Arial"/>
                <w:b/>
                <w:color w:val="auto"/>
                <w:sz w:val="24"/>
                <w:szCs w:val="24"/>
              </w:rPr>
              <w:t xml:space="preserve">Komentarz (przykłady działań w kontekście </w:t>
            </w:r>
            <w:r w:rsidR="002A0118" w:rsidRPr="00237760">
              <w:rPr>
                <w:rFonts w:ascii="Arial" w:hAnsi="Arial" w:cs="Arial"/>
                <w:b/>
                <w:color w:val="auto"/>
                <w:sz w:val="24"/>
                <w:szCs w:val="24"/>
              </w:rPr>
              <w:t>PSRT WP</w:t>
            </w:r>
            <w:r w:rsidRPr="00237760">
              <w:rPr>
                <w:rFonts w:ascii="Arial" w:hAnsi="Arial" w:cs="Arial"/>
                <w:b/>
                <w:color w:val="auto"/>
                <w:sz w:val="24"/>
                <w:szCs w:val="24"/>
              </w:rPr>
              <w:t>)</w:t>
            </w:r>
          </w:p>
        </w:tc>
        <w:tc>
          <w:tcPr>
            <w:tcW w:w="1276" w:type="dxa"/>
            <w:tcBorders>
              <w:top w:val="single" w:sz="12" w:space="0" w:color="002060"/>
              <w:left w:val="nil"/>
              <w:bottom w:val="single" w:sz="4" w:space="0" w:color="BDD6EE" w:themeColor="accent1" w:themeTint="66"/>
              <w:right w:val="nil"/>
            </w:tcBorders>
            <w:shd w:val="clear" w:color="auto" w:fill="auto"/>
            <w:vAlign w:val="center"/>
          </w:tcPr>
          <w:p w14:paraId="0C43D444" w14:textId="77777777" w:rsidR="00240B01" w:rsidRPr="00237760" w:rsidRDefault="00240B01" w:rsidP="009367B4">
            <w:pPr>
              <w:spacing w:after="0"/>
              <w:jc w:val="left"/>
              <w:rPr>
                <w:rFonts w:ascii="Arial" w:hAnsi="Arial" w:cs="Arial"/>
                <w:b/>
                <w:color w:val="auto"/>
                <w:sz w:val="24"/>
                <w:szCs w:val="24"/>
              </w:rPr>
            </w:pPr>
            <w:r w:rsidRPr="00237760">
              <w:rPr>
                <w:rFonts w:ascii="Arial" w:hAnsi="Arial" w:cs="Arial"/>
                <w:b/>
                <w:color w:val="auto"/>
                <w:sz w:val="24"/>
                <w:szCs w:val="24"/>
              </w:rPr>
              <w:t>Zgodność</w:t>
            </w:r>
          </w:p>
        </w:tc>
      </w:tr>
      <w:tr w:rsidR="00237760" w:rsidRPr="00237760" w14:paraId="3B66677C" w14:textId="77777777" w:rsidTr="00B32A20">
        <w:trPr>
          <w:trHeight w:val="151"/>
        </w:trPr>
        <w:tc>
          <w:tcPr>
            <w:tcW w:w="1990" w:type="dxa"/>
            <w:tcBorders>
              <w:top w:val="single" w:sz="4" w:space="0" w:color="BDD6EE" w:themeColor="accent1" w:themeTint="66"/>
              <w:left w:val="nil"/>
              <w:bottom w:val="single" w:sz="4" w:space="0" w:color="BDD6EE" w:themeColor="accent1" w:themeTint="66"/>
              <w:right w:val="nil"/>
            </w:tcBorders>
            <w:vAlign w:val="center"/>
            <w:hideMark/>
          </w:tcPr>
          <w:p w14:paraId="399777A9" w14:textId="2C9497B5" w:rsidR="00240B01" w:rsidRPr="00237760" w:rsidRDefault="00240B01"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1. </w:t>
            </w:r>
            <w:r w:rsidR="009A50F1" w:rsidRPr="00237760">
              <w:rPr>
                <w:rFonts w:ascii="Arial" w:hAnsi="Arial" w:cs="Arial"/>
                <w:color w:val="auto"/>
                <w:sz w:val="24"/>
                <w:szCs w:val="24"/>
              </w:rPr>
              <w:t>Ocena ekonomiczna planowanych inwestycji, oparta na analizie zapotrzebowania i modelach przepływów transportowych, które powinny uwzględniać spodziewany wpływ otwarcia rynków usług kolejowych</w:t>
            </w:r>
          </w:p>
        </w:tc>
        <w:tc>
          <w:tcPr>
            <w:tcW w:w="5812" w:type="dxa"/>
            <w:tcBorders>
              <w:top w:val="single" w:sz="4" w:space="0" w:color="BDD6EE" w:themeColor="accent1" w:themeTint="66"/>
              <w:left w:val="nil"/>
              <w:bottom w:val="single" w:sz="4" w:space="0" w:color="BDD6EE" w:themeColor="accent1" w:themeTint="66"/>
              <w:right w:val="nil"/>
            </w:tcBorders>
            <w:hideMark/>
          </w:tcPr>
          <w:p w14:paraId="02D6514F" w14:textId="644AD92A" w:rsidR="002A0118" w:rsidRPr="00237760" w:rsidRDefault="00510C3C" w:rsidP="009367B4">
            <w:pPr>
              <w:pStyle w:val="Akapitzlist"/>
              <w:numPr>
                <w:ilvl w:val="0"/>
                <w:numId w:val="39"/>
              </w:numPr>
              <w:spacing w:after="0"/>
              <w:ind w:left="254" w:hanging="144"/>
              <w:jc w:val="left"/>
              <w:rPr>
                <w:rFonts w:ascii="Arial" w:hAnsi="Arial" w:cs="Arial"/>
                <w:color w:val="auto"/>
                <w:sz w:val="24"/>
                <w:szCs w:val="24"/>
                <w:lang w:eastAsia="en-US"/>
              </w:rPr>
            </w:pPr>
            <w:r w:rsidRPr="00237760">
              <w:rPr>
                <w:rFonts w:ascii="Arial" w:hAnsi="Arial" w:cs="Arial"/>
                <w:color w:val="auto"/>
                <w:sz w:val="24"/>
                <w:szCs w:val="24"/>
                <w:lang w:eastAsia="en-US"/>
              </w:rPr>
              <w:t>W ramach realizacji dokumentu przeprowadzono diagnozę (odrębny dokument)</w:t>
            </w:r>
            <w:r w:rsidR="00E573E2" w:rsidRPr="00237760">
              <w:rPr>
                <w:rFonts w:ascii="Arial" w:hAnsi="Arial" w:cs="Arial"/>
                <w:color w:val="auto"/>
                <w:sz w:val="24"/>
                <w:szCs w:val="24"/>
                <w:lang w:eastAsia="en-US"/>
              </w:rPr>
              <w:t>, którą oparto</w:t>
            </w:r>
            <w:r w:rsidR="00346FE6" w:rsidRPr="00237760">
              <w:rPr>
                <w:rFonts w:ascii="Arial" w:hAnsi="Arial" w:cs="Arial"/>
                <w:color w:val="auto"/>
                <w:sz w:val="24"/>
                <w:szCs w:val="24"/>
                <w:lang w:eastAsia="en-US"/>
              </w:rPr>
              <w:t xml:space="preserve"> m.in. na zleconych ekspertyzach</w:t>
            </w:r>
            <w:r w:rsidR="00D130D1" w:rsidRPr="00237760">
              <w:rPr>
                <w:rFonts w:ascii="Arial" w:hAnsi="Arial" w:cs="Arial"/>
                <w:color w:val="auto"/>
                <w:sz w:val="24"/>
                <w:szCs w:val="24"/>
                <w:lang w:eastAsia="en-US"/>
              </w:rPr>
              <w:t>,</w:t>
            </w:r>
            <w:r w:rsidR="00153A0E" w:rsidRPr="00237760">
              <w:rPr>
                <w:rFonts w:ascii="Arial" w:hAnsi="Arial" w:cs="Arial"/>
                <w:color w:val="auto"/>
                <w:sz w:val="24"/>
                <w:szCs w:val="24"/>
                <w:lang w:eastAsia="en-US"/>
              </w:rPr>
              <w:t xml:space="preserve"> wnioski z diagnozy stanowią </w:t>
            </w:r>
            <w:r w:rsidR="0029355A" w:rsidRPr="00237760">
              <w:rPr>
                <w:rFonts w:ascii="Arial" w:hAnsi="Arial" w:cs="Arial"/>
                <w:color w:val="auto"/>
                <w:sz w:val="24"/>
                <w:szCs w:val="24"/>
                <w:lang w:eastAsia="en-US"/>
              </w:rPr>
              <w:t>znaczną część PS</w:t>
            </w:r>
            <w:r w:rsidR="00AE6FE9" w:rsidRPr="00237760">
              <w:rPr>
                <w:rFonts w:ascii="Arial" w:hAnsi="Arial" w:cs="Arial"/>
                <w:color w:val="auto"/>
                <w:sz w:val="24"/>
                <w:szCs w:val="24"/>
                <w:lang w:eastAsia="en-US"/>
              </w:rPr>
              <w:t>RT WP;</w:t>
            </w:r>
          </w:p>
          <w:p w14:paraId="3284AB59" w14:textId="7D79513D" w:rsidR="00AE6FE9" w:rsidRPr="00237760" w:rsidRDefault="00D17D7D" w:rsidP="009367B4">
            <w:pPr>
              <w:pStyle w:val="Akapitzlist"/>
              <w:numPr>
                <w:ilvl w:val="0"/>
                <w:numId w:val="39"/>
              </w:numPr>
              <w:spacing w:after="0"/>
              <w:ind w:left="254" w:hanging="144"/>
              <w:jc w:val="left"/>
              <w:rPr>
                <w:rFonts w:ascii="Arial" w:hAnsi="Arial" w:cs="Arial"/>
                <w:color w:val="auto"/>
                <w:sz w:val="24"/>
                <w:szCs w:val="24"/>
                <w:lang w:eastAsia="en-US"/>
              </w:rPr>
            </w:pPr>
            <w:r w:rsidRPr="00237760">
              <w:rPr>
                <w:rFonts w:ascii="Arial" w:hAnsi="Arial" w:cs="Arial"/>
                <w:color w:val="auto"/>
                <w:sz w:val="24"/>
                <w:szCs w:val="24"/>
                <w:lang w:eastAsia="en-US"/>
              </w:rPr>
              <w:t>W rod</w:t>
            </w:r>
            <w:r w:rsidR="002720C6" w:rsidRPr="00237760">
              <w:rPr>
                <w:rFonts w:ascii="Arial" w:hAnsi="Arial" w:cs="Arial"/>
                <w:color w:val="auto"/>
                <w:sz w:val="24"/>
                <w:szCs w:val="24"/>
                <w:lang w:eastAsia="en-US"/>
              </w:rPr>
              <w:t xml:space="preserve">z. </w:t>
            </w:r>
            <w:r w:rsidR="0059116D" w:rsidRPr="00237760">
              <w:rPr>
                <w:rFonts w:ascii="Arial" w:hAnsi="Arial" w:cs="Arial"/>
                <w:color w:val="auto"/>
                <w:sz w:val="24"/>
                <w:szCs w:val="24"/>
                <w:lang w:eastAsia="en-US"/>
              </w:rPr>
              <w:t>I</w:t>
            </w:r>
            <w:r w:rsidR="00A81448" w:rsidRPr="00237760">
              <w:rPr>
                <w:rFonts w:ascii="Arial" w:hAnsi="Arial" w:cs="Arial"/>
                <w:color w:val="auto"/>
                <w:sz w:val="24"/>
                <w:szCs w:val="24"/>
                <w:lang w:eastAsia="en-US"/>
              </w:rPr>
              <w:t>.</w:t>
            </w:r>
            <w:r w:rsidR="0059116D" w:rsidRPr="00237760">
              <w:rPr>
                <w:rFonts w:ascii="Arial" w:hAnsi="Arial" w:cs="Arial"/>
                <w:color w:val="auto"/>
                <w:sz w:val="24"/>
                <w:szCs w:val="24"/>
                <w:lang w:eastAsia="en-US"/>
              </w:rPr>
              <w:t xml:space="preserve"> </w:t>
            </w:r>
            <w:r w:rsidR="002720C6" w:rsidRPr="00237760">
              <w:rPr>
                <w:rFonts w:ascii="Arial" w:hAnsi="Arial" w:cs="Arial"/>
                <w:color w:val="auto"/>
                <w:sz w:val="24"/>
                <w:szCs w:val="24"/>
                <w:lang w:eastAsia="en-US"/>
              </w:rPr>
              <w:t>1</w:t>
            </w:r>
            <w:r w:rsidR="00A81448" w:rsidRPr="00237760">
              <w:rPr>
                <w:rFonts w:ascii="Arial" w:hAnsi="Arial" w:cs="Arial"/>
                <w:color w:val="auto"/>
                <w:sz w:val="24"/>
                <w:szCs w:val="24"/>
                <w:lang w:eastAsia="en-US"/>
              </w:rPr>
              <w:t>.</w:t>
            </w:r>
            <w:r w:rsidR="002720C6" w:rsidRPr="00237760">
              <w:rPr>
                <w:rFonts w:ascii="Arial" w:hAnsi="Arial" w:cs="Arial"/>
                <w:color w:val="auto"/>
                <w:sz w:val="24"/>
                <w:szCs w:val="24"/>
                <w:lang w:eastAsia="en-US"/>
              </w:rPr>
              <w:t xml:space="preserve"> będącym sy</w:t>
            </w:r>
            <w:r w:rsidR="00F233D3" w:rsidRPr="00237760">
              <w:rPr>
                <w:rFonts w:ascii="Arial" w:hAnsi="Arial" w:cs="Arial"/>
                <w:color w:val="auto"/>
                <w:sz w:val="24"/>
                <w:szCs w:val="24"/>
                <w:lang w:eastAsia="en-US"/>
              </w:rPr>
              <w:t xml:space="preserve">ntezą diagnozy </w:t>
            </w:r>
            <w:r w:rsidR="0060366A" w:rsidRPr="00237760">
              <w:rPr>
                <w:rFonts w:ascii="Arial" w:hAnsi="Arial" w:cs="Arial"/>
                <w:color w:val="auto"/>
                <w:sz w:val="24"/>
                <w:szCs w:val="24"/>
                <w:lang w:eastAsia="en-US"/>
              </w:rPr>
              <w:t xml:space="preserve">przedstawiono </w:t>
            </w:r>
            <w:r w:rsidR="003754FD" w:rsidRPr="00237760">
              <w:rPr>
                <w:rFonts w:ascii="Arial" w:hAnsi="Arial" w:cs="Arial"/>
                <w:color w:val="auto"/>
                <w:sz w:val="24"/>
                <w:szCs w:val="24"/>
                <w:lang w:eastAsia="en-US"/>
              </w:rPr>
              <w:t xml:space="preserve">m.in. </w:t>
            </w:r>
            <w:r w:rsidR="0060366A" w:rsidRPr="00237760">
              <w:rPr>
                <w:rFonts w:ascii="Arial" w:hAnsi="Arial" w:cs="Arial"/>
                <w:color w:val="auto"/>
                <w:sz w:val="24"/>
                <w:szCs w:val="24"/>
                <w:lang w:eastAsia="en-US"/>
              </w:rPr>
              <w:t>analizę generator</w:t>
            </w:r>
            <w:r w:rsidR="00847B62" w:rsidRPr="00237760">
              <w:rPr>
                <w:rFonts w:ascii="Arial" w:hAnsi="Arial" w:cs="Arial"/>
                <w:color w:val="auto"/>
                <w:sz w:val="24"/>
                <w:szCs w:val="24"/>
                <w:lang w:eastAsia="en-US"/>
              </w:rPr>
              <w:t>ów ruchu (</w:t>
            </w:r>
            <w:r w:rsidR="002357DE" w:rsidRPr="00237760">
              <w:rPr>
                <w:rFonts w:ascii="Arial" w:hAnsi="Arial" w:cs="Arial"/>
                <w:color w:val="auto"/>
                <w:sz w:val="24"/>
                <w:szCs w:val="24"/>
                <w:lang w:eastAsia="en-US"/>
              </w:rPr>
              <w:t>miejsc, „w których ruch powstaje i gdzie jest absorbowany”),</w:t>
            </w:r>
            <w:r w:rsidR="00303F64" w:rsidRPr="00237760">
              <w:rPr>
                <w:rFonts w:ascii="Arial" w:hAnsi="Arial" w:cs="Arial"/>
                <w:color w:val="auto"/>
                <w:sz w:val="24"/>
                <w:szCs w:val="24"/>
                <w:lang w:eastAsia="en-US"/>
              </w:rPr>
              <w:t xml:space="preserve"> charakterystykę sieci transportowej (w tym kolejowej) oraz </w:t>
            </w:r>
            <w:r w:rsidR="007767BE" w:rsidRPr="00237760">
              <w:rPr>
                <w:rFonts w:ascii="Arial" w:hAnsi="Arial" w:cs="Arial"/>
                <w:color w:val="auto"/>
                <w:sz w:val="24"/>
                <w:szCs w:val="24"/>
                <w:lang w:eastAsia="en-US"/>
              </w:rPr>
              <w:t xml:space="preserve">analizę przepływów </w:t>
            </w:r>
            <w:r w:rsidR="00575927" w:rsidRPr="00237760">
              <w:rPr>
                <w:rFonts w:ascii="Arial" w:hAnsi="Arial" w:cs="Arial"/>
                <w:color w:val="auto"/>
                <w:sz w:val="24"/>
                <w:szCs w:val="24"/>
                <w:lang w:eastAsia="en-US"/>
              </w:rPr>
              <w:t xml:space="preserve">(biorąc pod uwagę </w:t>
            </w:r>
            <w:r w:rsidR="00500BAF" w:rsidRPr="00237760">
              <w:rPr>
                <w:rFonts w:ascii="Arial" w:hAnsi="Arial" w:cs="Arial"/>
                <w:color w:val="auto"/>
                <w:sz w:val="24"/>
                <w:szCs w:val="24"/>
                <w:lang w:eastAsia="en-US"/>
              </w:rPr>
              <w:t>motywację</w:t>
            </w:r>
            <w:r w:rsidR="00DF61D6" w:rsidRPr="00237760">
              <w:rPr>
                <w:rFonts w:ascii="Arial" w:hAnsi="Arial" w:cs="Arial"/>
                <w:color w:val="auto"/>
                <w:sz w:val="24"/>
                <w:szCs w:val="24"/>
                <w:lang w:eastAsia="en-US"/>
              </w:rPr>
              <w:t xml:space="preserve"> i </w:t>
            </w:r>
            <w:r w:rsidR="00682D23" w:rsidRPr="00237760">
              <w:rPr>
                <w:rFonts w:ascii="Arial" w:hAnsi="Arial" w:cs="Arial"/>
                <w:color w:val="auto"/>
                <w:sz w:val="24"/>
                <w:szCs w:val="24"/>
                <w:lang w:eastAsia="en-US"/>
              </w:rPr>
              <w:t>sposób</w:t>
            </w:r>
            <w:r w:rsidR="00A31AA3" w:rsidRPr="00237760">
              <w:rPr>
                <w:rFonts w:ascii="Arial" w:hAnsi="Arial" w:cs="Arial"/>
                <w:color w:val="auto"/>
                <w:sz w:val="24"/>
                <w:szCs w:val="24"/>
                <w:lang w:eastAsia="en-US"/>
              </w:rPr>
              <w:t xml:space="preserve"> </w:t>
            </w:r>
            <w:r w:rsidR="00575927" w:rsidRPr="00237760">
              <w:rPr>
                <w:rFonts w:ascii="Arial" w:hAnsi="Arial" w:cs="Arial"/>
                <w:color w:val="auto"/>
                <w:sz w:val="24"/>
                <w:szCs w:val="24"/>
                <w:lang w:eastAsia="en-US"/>
              </w:rPr>
              <w:t>przemieszczania się</w:t>
            </w:r>
            <w:r w:rsidR="00DF61D6" w:rsidRPr="00237760">
              <w:rPr>
                <w:rFonts w:ascii="Arial" w:hAnsi="Arial" w:cs="Arial"/>
                <w:color w:val="auto"/>
                <w:sz w:val="24"/>
                <w:szCs w:val="24"/>
                <w:lang w:eastAsia="en-US"/>
              </w:rPr>
              <w:t>, jak i przestrzenną charakterystykę potoków ruch</w:t>
            </w:r>
            <w:r w:rsidR="00F001BC" w:rsidRPr="00237760">
              <w:rPr>
                <w:rFonts w:ascii="Arial" w:hAnsi="Arial" w:cs="Arial"/>
                <w:color w:val="auto"/>
                <w:sz w:val="24"/>
                <w:szCs w:val="24"/>
                <w:lang w:eastAsia="en-US"/>
              </w:rPr>
              <w:t xml:space="preserve">u) i wnioski z analizy </w:t>
            </w:r>
            <w:r w:rsidR="00356C4C" w:rsidRPr="00237760">
              <w:rPr>
                <w:rFonts w:ascii="Arial" w:hAnsi="Arial" w:cs="Arial"/>
                <w:color w:val="auto"/>
                <w:sz w:val="24"/>
                <w:szCs w:val="24"/>
                <w:lang w:eastAsia="en-US"/>
              </w:rPr>
              <w:t>stanu transportu zbiorowego;</w:t>
            </w:r>
          </w:p>
          <w:p w14:paraId="7BBA1D70" w14:textId="7619B20D" w:rsidR="00240B01" w:rsidRPr="00237760" w:rsidRDefault="00D64D18" w:rsidP="009367B4">
            <w:pPr>
              <w:pStyle w:val="Akapitzlist"/>
              <w:numPr>
                <w:ilvl w:val="0"/>
                <w:numId w:val="39"/>
              </w:numPr>
              <w:spacing w:after="0"/>
              <w:ind w:left="254" w:hanging="144"/>
              <w:jc w:val="left"/>
              <w:rPr>
                <w:rFonts w:ascii="Arial" w:hAnsi="Arial" w:cs="Arial"/>
                <w:color w:val="auto"/>
                <w:sz w:val="24"/>
                <w:szCs w:val="24"/>
                <w:lang w:eastAsia="en-US"/>
              </w:rPr>
            </w:pPr>
            <w:r w:rsidRPr="00237760">
              <w:rPr>
                <w:rFonts w:ascii="Arial" w:hAnsi="Arial" w:cs="Arial"/>
                <w:color w:val="auto"/>
                <w:sz w:val="24"/>
                <w:szCs w:val="24"/>
                <w:lang w:eastAsia="en-US"/>
              </w:rPr>
              <w:t>Przeprowadzono analizę popytową</w:t>
            </w:r>
            <w:r w:rsidR="000F1A9D" w:rsidRPr="00237760">
              <w:rPr>
                <w:rFonts w:ascii="Arial" w:hAnsi="Arial" w:cs="Arial"/>
                <w:color w:val="auto"/>
                <w:sz w:val="24"/>
                <w:szCs w:val="24"/>
                <w:lang w:eastAsia="en-US"/>
              </w:rPr>
              <w:t xml:space="preserve"> </w:t>
            </w:r>
            <w:r w:rsidR="008F70FF" w:rsidRPr="00237760">
              <w:rPr>
                <w:rFonts w:ascii="Arial" w:hAnsi="Arial" w:cs="Arial"/>
                <w:color w:val="auto"/>
                <w:sz w:val="24"/>
                <w:szCs w:val="24"/>
                <w:lang w:eastAsia="en-US"/>
              </w:rPr>
              <w:t>(</w:t>
            </w:r>
            <w:r w:rsidR="000F1A9D" w:rsidRPr="00237760">
              <w:rPr>
                <w:rFonts w:ascii="Arial" w:hAnsi="Arial" w:cs="Arial"/>
                <w:color w:val="auto"/>
                <w:sz w:val="24"/>
                <w:szCs w:val="24"/>
                <w:lang w:eastAsia="en-US"/>
              </w:rPr>
              <w:t>uzupełnioną o wykorzystanie elementów istniejących modeli krajowych</w:t>
            </w:r>
            <w:r w:rsidR="008F70FF" w:rsidRPr="00237760">
              <w:rPr>
                <w:rFonts w:ascii="Arial" w:hAnsi="Arial" w:cs="Arial"/>
                <w:color w:val="auto"/>
                <w:sz w:val="24"/>
                <w:szCs w:val="24"/>
                <w:lang w:eastAsia="en-US"/>
              </w:rPr>
              <w:t>)</w:t>
            </w:r>
            <w:r w:rsidR="00367E1C" w:rsidRPr="00237760">
              <w:rPr>
                <w:rFonts w:ascii="Arial" w:hAnsi="Arial" w:cs="Arial"/>
                <w:color w:val="auto"/>
                <w:sz w:val="24"/>
                <w:szCs w:val="24"/>
                <w:lang w:eastAsia="en-US"/>
              </w:rPr>
              <w:t>, w ramach której przedstawiono wnioski dotyczące</w:t>
            </w:r>
            <w:r w:rsidR="005C160A" w:rsidRPr="00237760">
              <w:rPr>
                <w:rFonts w:ascii="Arial" w:hAnsi="Arial" w:cs="Arial"/>
                <w:color w:val="auto"/>
                <w:sz w:val="24"/>
                <w:szCs w:val="24"/>
                <w:lang w:eastAsia="en-US"/>
              </w:rPr>
              <w:t xml:space="preserve"> przestrze</w:t>
            </w:r>
            <w:r w:rsidR="00DB6417" w:rsidRPr="00237760">
              <w:rPr>
                <w:rFonts w:ascii="Arial" w:hAnsi="Arial" w:cs="Arial"/>
                <w:color w:val="auto"/>
                <w:sz w:val="24"/>
                <w:szCs w:val="24"/>
                <w:lang w:eastAsia="en-US"/>
              </w:rPr>
              <w:t xml:space="preserve">nnego rozmieszczenia </w:t>
            </w:r>
            <w:r w:rsidR="00AF3162" w:rsidRPr="00237760">
              <w:rPr>
                <w:rFonts w:ascii="Arial" w:hAnsi="Arial" w:cs="Arial"/>
                <w:color w:val="auto"/>
                <w:sz w:val="24"/>
                <w:szCs w:val="24"/>
                <w:lang w:eastAsia="en-US"/>
              </w:rPr>
              <w:lastRenderedPageBreak/>
              <w:t>potencjałów rozwoju transportu publicznego</w:t>
            </w:r>
            <w:r w:rsidR="001671D0" w:rsidRPr="00237760">
              <w:rPr>
                <w:rFonts w:ascii="Arial" w:hAnsi="Arial" w:cs="Arial"/>
                <w:color w:val="auto"/>
                <w:sz w:val="24"/>
                <w:szCs w:val="24"/>
                <w:lang w:eastAsia="en-US"/>
              </w:rPr>
              <w:t xml:space="preserve"> (kolejowego i autobusowego)</w:t>
            </w:r>
            <w:r w:rsidR="00474C20" w:rsidRPr="00237760">
              <w:rPr>
                <w:rFonts w:ascii="Arial" w:hAnsi="Arial" w:cs="Arial"/>
                <w:color w:val="auto"/>
                <w:sz w:val="24"/>
                <w:szCs w:val="24"/>
                <w:lang w:eastAsia="en-US"/>
              </w:rPr>
              <w:t>.</w:t>
            </w:r>
          </w:p>
        </w:tc>
        <w:tc>
          <w:tcPr>
            <w:tcW w:w="1276" w:type="dxa"/>
            <w:tcBorders>
              <w:top w:val="single" w:sz="4" w:space="0" w:color="BDD6EE" w:themeColor="accent1" w:themeTint="66"/>
              <w:left w:val="nil"/>
              <w:bottom w:val="single" w:sz="4" w:space="0" w:color="BDD6EE" w:themeColor="accent1" w:themeTint="66"/>
              <w:right w:val="nil"/>
            </w:tcBorders>
            <w:vAlign w:val="center"/>
          </w:tcPr>
          <w:p w14:paraId="2E085DBB" w14:textId="77777777" w:rsidR="00240B01" w:rsidRPr="00237760" w:rsidRDefault="00240B01" w:rsidP="009367B4">
            <w:pPr>
              <w:spacing w:after="0" w:line="240" w:lineRule="auto"/>
              <w:ind w:left="76"/>
              <w:contextualSpacing/>
              <w:jc w:val="left"/>
              <w:rPr>
                <w:rFonts w:ascii="Arial" w:hAnsi="Arial" w:cs="Arial"/>
                <w:color w:val="auto"/>
                <w:sz w:val="24"/>
                <w:szCs w:val="24"/>
              </w:rPr>
            </w:pPr>
          </w:p>
          <w:p w14:paraId="12009525" w14:textId="77777777" w:rsidR="00240B01" w:rsidRPr="00237760" w:rsidRDefault="00240B01" w:rsidP="009367B4">
            <w:pPr>
              <w:spacing w:after="0"/>
              <w:jc w:val="left"/>
              <w:rPr>
                <w:rFonts w:ascii="Arial" w:hAnsi="Arial" w:cs="Arial"/>
                <w:b/>
                <w:color w:val="auto"/>
                <w:sz w:val="24"/>
                <w:szCs w:val="24"/>
              </w:rPr>
            </w:pPr>
            <w:r w:rsidRPr="00237760">
              <w:rPr>
                <w:rFonts w:ascii="Arial" w:hAnsi="Arial" w:cs="Arial"/>
                <w:b/>
                <w:color w:val="auto"/>
                <w:sz w:val="24"/>
                <w:szCs w:val="24"/>
              </w:rPr>
              <w:t>+</w:t>
            </w:r>
          </w:p>
        </w:tc>
      </w:tr>
      <w:tr w:rsidR="00237760" w:rsidRPr="00237760" w14:paraId="4431198C" w14:textId="77777777" w:rsidTr="00B32A20">
        <w:trPr>
          <w:trHeight w:val="14"/>
        </w:trPr>
        <w:tc>
          <w:tcPr>
            <w:tcW w:w="1990" w:type="dxa"/>
            <w:tcBorders>
              <w:top w:val="single" w:sz="4" w:space="0" w:color="BDD6EE" w:themeColor="accent1" w:themeTint="66"/>
              <w:left w:val="nil"/>
              <w:bottom w:val="single" w:sz="4" w:space="0" w:color="BDD6EE" w:themeColor="accent1" w:themeTint="66"/>
              <w:right w:val="nil"/>
            </w:tcBorders>
            <w:vAlign w:val="center"/>
          </w:tcPr>
          <w:p w14:paraId="37232258" w14:textId="39522FD1" w:rsidR="00240B01" w:rsidRPr="00237760" w:rsidRDefault="0034231F"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2. Spójność z elementami zintegrowanego krajowego planu w dziedzinie energii i klimatu dotyczącymi transportu</w:t>
            </w:r>
          </w:p>
        </w:tc>
        <w:tc>
          <w:tcPr>
            <w:tcW w:w="5812" w:type="dxa"/>
            <w:tcBorders>
              <w:top w:val="single" w:sz="4" w:space="0" w:color="BDD6EE" w:themeColor="accent1" w:themeTint="66"/>
              <w:left w:val="nil"/>
              <w:bottom w:val="single" w:sz="4" w:space="0" w:color="BDD6EE" w:themeColor="accent1" w:themeTint="66"/>
              <w:right w:val="nil"/>
            </w:tcBorders>
          </w:tcPr>
          <w:p w14:paraId="2BAB1C66" w14:textId="4E8E0100" w:rsidR="009A6AA5" w:rsidRPr="00237760" w:rsidRDefault="009A6AA5" w:rsidP="009367B4">
            <w:pPr>
              <w:pStyle w:val="Akapitzlist"/>
              <w:numPr>
                <w:ilvl w:val="0"/>
                <w:numId w:val="39"/>
              </w:numPr>
              <w:spacing w:after="0"/>
              <w:ind w:left="254" w:hanging="144"/>
              <w:jc w:val="left"/>
              <w:rPr>
                <w:rFonts w:ascii="Arial" w:hAnsi="Arial" w:cs="Arial"/>
                <w:color w:val="auto"/>
                <w:sz w:val="24"/>
                <w:szCs w:val="24"/>
                <w:lang w:eastAsia="en-US"/>
              </w:rPr>
            </w:pPr>
            <w:r w:rsidRPr="00237760">
              <w:rPr>
                <w:rFonts w:ascii="Arial" w:hAnsi="Arial" w:cs="Arial"/>
                <w:color w:val="auto"/>
                <w:sz w:val="24"/>
                <w:szCs w:val="24"/>
                <w:lang w:eastAsia="en-US"/>
              </w:rPr>
              <w:t xml:space="preserve">Działania w ramach PSRT WP odpowiadają na </w:t>
            </w:r>
            <w:r w:rsidR="000A14E7" w:rsidRPr="00237760">
              <w:rPr>
                <w:rFonts w:ascii="Arial" w:hAnsi="Arial" w:cs="Arial"/>
                <w:color w:val="auto"/>
                <w:sz w:val="24"/>
                <w:szCs w:val="24"/>
                <w:lang w:eastAsia="en-US"/>
              </w:rPr>
              <w:t xml:space="preserve">założenia </w:t>
            </w:r>
            <w:bookmarkStart w:id="172" w:name="_Hlk97817870"/>
            <w:r w:rsidR="000A14E7" w:rsidRPr="00237760">
              <w:rPr>
                <w:rFonts w:ascii="Arial" w:hAnsi="Arial" w:cs="Arial"/>
                <w:color w:val="auto"/>
                <w:sz w:val="24"/>
                <w:szCs w:val="24"/>
                <w:lang w:eastAsia="en-US"/>
              </w:rPr>
              <w:t>Strategii zrównoważonego rozwoju transportu do 2030 r</w:t>
            </w:r>
            <w:bookmarkEnd w:id="172"/>
            <w:r w:rsidR="000A14E7" w:rsidRPr="00237760">
              <w:rPr>
                <w:rFonts w:ascii="Arial" w:hAnsi="Arial" w:cs="Arial"/>
                <w:color w:val="auto"/>
                <w:sz w:val="24"/>
                <w:szCs w:val="24"/>
                <w:lang w:eastAsia="en-US"/>
              </w:rPr>
              <w:t>.</w:t>
            </w:r>
            <w:r w:rsidR="00270033" w:rsidRPr="00237760">
              <w:rPr>
                <w:rFonts w:ascii="Arial" w:hAnsi="Arial" w:cs="Arial"/>
                <w:color w:val="auto"/>
                <w:sz w:val="24"/>
                <w:szCs w:val="24"/>
                <w:lang w:eastAsia="en-US"/>
              </w:rPr>
              <w:t xml:space="preserve"> (patrz rozdz. </w:t>
            </w:r>
            <w:r w:rsidR="00585877" w:rsidRPr="00237760">
              <w:rPr>
                <w:rFonts w:ascii="Arial" w:hAnsi="Arial" w:cs="Arial"/>
                <w:color w:val="auto"/>
                <w:sz w:val="24"/>
                <w:szCs w:val="24"/>
                <w:lang w:eastAsia="en-US"/>
              </w:rPr>
              <w:fldChar w:fldCharType="begin"/>
            </w:r>
            <w:r w:rsidR="00585877" w:rsidRPr="00237760">
              <w:rPr>
                <w:rFonts w:ascii="Arial" w:hAnsi="Arial" w:cs="Arial"/>
                <w:color w:val="auto"/>
                <w:sz w:val="24"/>
                <w:szCs w:val="24"/>
                <w:lang w:eastAsia="en-US"/>
              </w:rPr>
              <w:instrText xml:space="preserve"> REF _Ref100849328 \r \h </w:instrText>
            </w:r>
            <w:r w:rsidR="00A718D0" w:rsidRPr="00237760">
              <w:rPr>
                <w:rFonts w:ascii="Arial" w:hAnsi="Arial" w:cs="Arial"/>
                <w:color w:val="auto"/>
                <w:sz w:val="24"/>
                <w:szCs w:val="24"/>
                <w:lang w:eastAsia="en-US"/>
              </w:rPr>
              <w:instrText xml:space="preserve"> \* MERGEFORMAT </w:instrText>
            </w:r>
            <w:r w:rsidR="00585877" w:rsidRPr="00237760">
              <w:rPr>
                <w:rFonts w:ascii="Arial" w:hAnsi="Arial" w:cs="Arial"/>
                <w:color w:val="auto"/>
                <w:sz w:val="24"/>
                <w:szCs w:val="24"/>
                <w:lang w:eastAsia="en-US"/>
              </w:rPr>
            </w:r>
            <w:r w:rsidR="00585877" w:rsidRPr="00237760">
              <w:rPr>
                <w:rFonts w:ascii="Arial" w:hAnsi="Arial" w:cs="Arial"/>
                <w:color w:val="auto"/>
                <w:sz w:val="24"/>
                <w:szCs w:val="24"/>
                <w:lang w:eastAsia="en-US"/>
              </w:rPr>
              <w:fldChar w:fldCharType="separate"/>
            </w:r>
            <w:r w:rsidR="00E52C19" w:rsidRPr="00237760">
              <w:rPr>
                <w:rFonts w:ascii="Arial" w:hAnsi="Arial" w:cs="Arial"/>
                <w:color w:val="auto"/>
                <w:sz w:val="24"/>
                <w:szCs w:val="24"/>
                <w:lang w:eastAsia="en-US"/>
              </w:rPr>
              <w:t>5.2</w:t>
            </w:r>
            <w:r w:rsidR="00585877" w:rsidRPr="00237760">
              <w:rPr>
                <w:rFonts w:ascii="Arial" w:hAnsi="Arial" w:cs="Arial"/>
                <w:color w:val="auto"/>
                <w:sz w:val="24"/>
                <w:szCs w:val="24"/>
                <w:lang w:eastAsia="en-US"/>
              </w:rPr>
              <w:fldChar w:fldCharType="end"/>
            </w:r>
            <w:r w:rsidR="007B5A76" w:rsidRPr="00237760">
              <w:rPr>
                <w:rFonts w:ascii="Arial" w:hAnsi="Arial" w:cs="Arial"/>
                <w:color w:val="auto"/>
                <w:sz w:val="24"/>
                <w:szCs w:val="24"/>
                <w:lang w:eastAsia="en-US"/>
              </w:rPr>
              <w:t>)</w:t>
            </w:r>
            <w:r w:rsidR="009941C6" w:rsidRPr="00237760">
              <w:rPr>
                <w:rFonts w:ascii="Arial" w:hAnsi="Arial" w:cs="Arial"/>
                <w:color w:val="auto"/>
                <w:sz w:val="24"/>
                <w:szCs w:val="24"/>
                <w:lang w:eastAsia="en-US"/>
              </w:rPr>
              <w:t>;</w:t>
            </w:r>
          </w:p>
          <w:p w14:paraId="4100BA40" w14:textId="42D3CD84" w:rsidR="008E1891" w:rsidRPr="00237760" w:rsidRDefault="00797902" w:rsidP="009367B4">
            <w:pPr>
              <w:pStyle w:val="Akapitzlist"/>
              <w:numPr>
                <w:ilvl w:val="0"/>
                <w:numId w:val="39"/>
              </w:numPr>
              <w:spacing w:after="0"/>
              <w:ind w:left="254" w:hanging="144"/>
              <w:jc w:val="left"/>
              <w:rPr>
                <w:rFonts w:ascii="Arial" w:hAnsi="Arial" w:cs="Arial"/>
                <w:color w:val="auto"/>
                <w:sz w:val="24"/>
                <w:szCs w:val="24"/>
                <w:lang w:eastAsia="en-US"/>
              </w:rPr>
            </w:pPr>
            <w:r w:rsidRPr="00237760">
              <w:rPr>
                <w:rFonts w:ascii="Arial" w:hAnsi="Arial" w:cs="Arial"/>
                <w:color w:val="auto"/>
                <w:sz w:val="24"/>
                <w:szCs w:val="24"/>
                <w:lang w:eastAsia="en-US"/>
              </w:rPr>
              <w:t>Działania PSRT WP są spójne z założeniami transportowymi Krajowego planu na rzecz energii i klimatu na lata 2021-2030”</w:t>
            </w:r>
          </w:p>
          <w:p w14:paraId="606A675D" w14:textId="77777777" w:rsidR="00090F0C" w:rsidRPr="00237760" w:rsidRDefault="00615EF7" w:rsidP="009367B4">
            <w:pPr>
              <w:pStyle w:val="Akapitzlist"/>
              <w:numPr>
                <w:ilvl w:val="0"/>
                <w:numId w:val="52"/>
              </w:numPr>
              <w:spacing w:after="0"/>
              <w:ind w:left="537" w:hanging="144"/>
              <w:jc w:val="left"/>
              <w:rPr>
                <w:rFonts w:ascii="Arial" w:hAnsi="Arial" w:cs="Arial"/>
                <w:color w:val="auto"/>
                <w:sz w:val="24"/>
                <w:szCs w:val="24"/>
              </w:rPr>
            </w:pPr>
            <w:r w:rsidRPr="00237760">
              <w:rPr>
                <w:rFonts w:ascii="Arial" w:hAnsi="Arial" w:cs="Arial"/>
                <w:color w:val="auto"/>
                <w:sz w:val="24"/>
                <w:szCs w:val="24"/>
              </w:rPr>
              <w:t>Założenie</w:t>
            </w:r>
            <w:r w:rsidR="00456516" w:rsidRPr="00237760">
              <w:rPr>
                <w:rFonts w:ascii="Arial" w:hAnsi="Arial" w:cs="Arial"/>
                <w:color w:val="auto"/>
                <w:sz w:val="24"/>
                <w:szCs w:val="24"/>
              </w:rPr>
              <w:t xml:space="preserve"> „</w:t>
            </w:r>
            <w:r w:rsidRPr="00237760">
              <w:rPr>
                <w:rFonts w:ascii="Arial" w:hAnsi="Arial" w:cs="Arial"/>
                <w:color w:val="auto"/>
                <w:sz w:val="24"/>
                <w:szCs w:val="24"/>
              </w:rPr>
              <w:t xml:space="preserve">Rozwoju </w:t>
            </w:r>
            <w:r w:rsidR="00456516" w:rsidRPr="00237760">
              <w:rPr>
                <w:rFonts w:ascii="Arial" w:hAnsi="Arial" w:cs="Arial"/>
                <w:color w:val="auto"/>
                <w:sz w:val="24"/>
                <w:szCs w:val="24"/>
              </w:rPr>
              <w:t>elektromobilności i paliw alternatywnych w transporcie” realizuj</w:t>
            </w:r>
            <w:r w:rsidR="006064EA" w:rsidRPr="00237760">
              <w:rPr>
                <w:rFonts w:ascii="Arial" w:hAnsi="Arial" w:cs="Arial"/>
                <w:color w:val="auto"/>
                <w:sz w:val="24"/>
                <w:szCs w:val="24"/>
              </w:rPr>
              <w:t>e cel horyzontalny 1.</w:t>
            </w:r>
            <w:r w:rsidR="00911502" w:rsidRPr="00237760">
              <w:rPr>
                <w:rFonts w:ascii="Arial" w:hAnsi="Arial" w:cs="Arial"/>
                <w:color w:val="auto"/>
                <w:sz w:val="24"/>
                <w:szCs w:val="24"/>
              </w:rPr>
              <w:t xml:space="preserve"> </w:t>
            </w:r>
            <w:r w:rsidR="00251659" w:rsidRPr="00237760">
              <w:rPr>
                <w:rFonts w:ascii="Arial" w:hAnsi="Arial" w:cs="Arial"/>
                <w:color w:val="auto"/>
                <w:sz w:val="24"/>
                <w:szCs w:val="24"/>
              </w:rPr>
              <w:t>„</w:t>
            </w:r>
            <w:r w:rsidR="001E6A9F" w:rsidRPr="00237760">
              <w:rPr>
                <w:rFonts w:ascii="Arial" w:hAnsi="Arial" w:cs="Arial"/>
                <w:color w:val="auto"/>
                <w:sz w:val="24"/>
                <w:szCs w:val="24"/>
              </w:rPr>
              <w:t>O</w:t>
            </w:r>
            <w:r w:rsidR="00251659" w:rsidRPr="00237760">
              <w:rPr>
                <w:rFonts w:ascii="Arial" w:hAnsi="Arial" w:cs="Arial"/>
                <w:color w:val="auto"/>
                <w:sz w:val="24"/>
                <w:szCs w:val="24"/>
              </w:rPr>
              <w:t xml:space="preserve">graniczenie negatywnego oddziaływania sektora transportu na klimat oraz </w:t>
            </w:r>
            <w:r w:rsidR="00911502" w:rsidRPr="00237760">
              <w:rPr>
                <w:rFonts w:ascii="Arial" w:hAnsi="Arial" w:cs="Arial"/>
                <w:color w:val="auto"/>
                <w:sz w:val="24"/>
                <w:szCs w:val="24"/>
              </w:rPr>
              <w:t>na regionalne środowisko naturalne</w:t>
            </w:r>
            <w:r w:rsidR="00251659" w:rsidRPr="00237760">
              <w:rPr>
                <w:rFonts w:ascii="Arial" w:hAnsi="Arial" w:cs="Arial"/>
                <w:color w:val="auto"/>
                <w:sz w:val="24"/>
                <w:szCs w:val="24"/>
              </w:rPr>
              <w:t>”</w:t>
            </w:r>
            <w:r w:rsidR="00090F0C" w:rsidRPr="00237760">
              <w:rPr>
                <w:rFonts w:ascii="Arial" w:hAnsi="Arial" w:cs="Arial"/>
                <w:color w:val="auto"/>
                <w:sz w:val="24"/>
                <w:szCs w:val="24"/>
              </w:rPr>
              <w:t>;</w:t>
            </w:r>
          </w:p>
          <w:p w14:paraId="64CA2F4C" w14:textId="77777777" w:rsidR="00090F0C" w:rsidRPr="00237760" w:rsidRDefault="004F203E" w:rsidP="009367B4">
            <w:pPr>
              <w:pStyle w:val="Akapitzlist"/>
              <w:numPr>
                <w:ilvl w:val="0"/>
                <w:numId w:val="52"/>
              </w:numPr>
              <w:spacing w:after="0"/>
              <w:ind w:left="537" w:hanging="144"/>
              <w:jc w:val="left"/>
              <w:rPr>
                <w:rFonts w:ascii="Arial" w:hAnsi="Arial" w:cs="Arial"/>
                <w:color w:val="auto"/>
                <w:sz w:val="24"/>
                <w:szCs w:val="24"/>
              </w:rPr>
            </w:pPr>
            <w:r w:rsidRPr="00237760">
              <w:rPr>
                <w:rFonts w:ascii="Arial" w:hAnsi="Arial" w:cs="Arial"/>
                <w:color w:val="auto"/>
                <w:sz w:val="24"/>
                <w:szCs w:val="24"/>
              </w:rPr>
              <w:t>Realizacj</w:t>
            </w:r>
            <w:r w:rsidR="002D020E" w:rsidRPr="00237760">
              <w:rPr>
                <w:rFonts w:ascii="Arial" w:hAnsi="Arial" w:cs="Arial"/>
                <w:color w:val="auto"/>
                <w:sz w:val="24"/>
                <w:szCs w:val="24"/>
              </w:rPr>
              <w:t>ę</w:t>
            </w:r>
            <w:r w:rsidRPr="00237760">
              <w:rPr>
                <w:rFonts w:ascii="Arial" w:hAnsi="Arial" w:cs="Arial"/>
                <w:color w:val="auto"/>
                <w:sz w:val="24"/>
                <w:szCs w:val="24"/>
              </w:rPr>
              <w:t xml:space="preserve"> </w:t>
            </w:r>
            <w:r w:rsidR="002D020E" w:rsidRPr="00237760">
              <w:rPr>
                <w:rFonts w:ascii="Arial" w:hAnsi="Arial" w:cs="Arial"/>
                <w:color w:val="auto"/>
                <w:sz w:val="24"/>
                <w:szCs w:val="24"/>
              </w:rPr>
              <w:t>„</w:t>
            </w:r>
            <w:r w:rsidRPr="00237760">
              <w:rPr>
                <w:rFonts w:ascii="Arial" w:hAnsi="Arial" w:cs="Arial"/>
                <w:color w:val="auto"/>
                <w:sz w:val="24"/>
                <w:szCs w:val="24"/>
              </w:rPr>
              <w:t>Działań</w:t>
            </w:r>
            <w:r w:rsidR="002D020E" w:rsidRPr="00237760">
              <w:rPr>
                <w:rFonts w:ascii="Arial" w:hAnsi="Arial" w:cs="Arial"/>
                <w:color w:val="auto"/>
                <w:sz w:val="24"/>
                <w:szCs w:val="24"/>
              </w:rPr>
              <w:t xml:space="preserve"> na rzecz poprawy stanu jakości powietrza” zapewni</w:t>
            </w:r>
            <w:r w:rsidR="005D4DCB" w:rsidRPr="00237760">
              <w:rPr>
                <w:rFonts w:ascii="Arial" w:hAnsi="Arial" w:cs="Arial"/>
                <w:color w:val="auto"/>
                <w:sz w:val="24"/>
                <w:szCs w:val="24"/>
              </w:rPr>
              <w:t>a</w:t>
            </w:r>
            <w:r w:rsidR="002E7447" w:rsidRPr="00237760">
              <w:rPr>
                <w:rFonts w:ascii="Arial" w:hAnsi="Arial" w:cs="Arial"/>
                <w:color w:val="auto"/>
                <w:sz w:val="24"/>
                <w:szCs w:val="24"/>
              </w:rPr>
              <w:t>ją przede wszystkim inwestycje w transport niskoemisyjny</w:t>
            </w:r>
            <w:r w:rsidR="00DC1EBA" w:rsidRPr="00237760">
              <w:rPr>
                <w:rFonts w:ascii="Arial" w:hAnsi="Arial" w:cs="Arial"/>
                <w:color w:val="auto"/>
                <w:sz w:val="24"/>
                <w:szCs w:val="24"/>
              </w:rPr>
              <w:t xml:space="preserve">, </w:t>
            </w:r>
            <w:r w:rsidR="003D0A67" w:rsidRPr="00237760">
              <w:rPr>
                <w:rFonts w:ascii="Arial" w:hAnsi="Arial" w:cs="Arial"/>
                <w:color w:val="auto"/>
                <w:sz w:val="24"/>
                <w:szCs w:val="24"/>
              </w:rPr>
              <w:t>transport zbiorowy</w:t>
            </w:r>
            <w:r w:rsidR="009F2D49" w:rsidRPr="00237760">
              <w:rPr>
                <w:rFonts w:ascii="Arial" w:hAnsi="Arial" w:cs="Arial"/>
                <w:color w:val="auto"/>
                <w:sz w:val="24"/>
                <w:szCs w:val="24"/>
              </w:rPr>
              <w:t xml:space="preserve">, </w:t>
            </w:r>
            <w:r w:rsidR="003D0A67" w:rsidRPr="00237760">
              <w:rPr>
                <w:rFonts w:ascii="Arial" w:hAnsi="Arial" w:cs="Arial"/>
                <w:color w:val="auto"/>
                <w:sz w:val="24"/>
                <w:szCs w:val="24"/>
              </w:rPr>
              <w:t xml:space="preserve">transport multimodalny </w:t>
            </w:r>
            <w:r w:rsidR="00922089" w:rsidRPr="00237760">
              <w:rPr>
                <w:rFonts w:ascii="Arial" w:hAnsi="Arial" w:cs="Arial"/>
                <w:color w:val="auto"/>
                <w:sz w:val="24"/>
                <w:szCs w:val="24"/>
              </w:rPr>
              <w:t xml:space="preserve">oraz zmiany legislacyjne dotyczące </w:t>
            </w:r>
            <w:r w:rsidR="00926C40" w:rsidRPr="00237760">
              <w:rPr>
                <w:rFonts w:ascii="Arial" w:hAnsi="Arial" w:cs="Arial"/>
                <w:color w:val="auto"/>
                <w:sz w:val="24"/>
                <w:szCs w:val="24"/>
              </w:rPr>
              <w:t xml:space="preserve">strefowych </w:t>
            </w:r>
            <w:r w:rsidR="00922089" w:rsidRPr="00237760">
              <w:rPr>
                <w:rFonts w:ascii="Arial" w:hAnsi="Arial" w:cs="Arial"/>
                <w:color w:val="auto"/>
                <w:sz w:val="24"/>
                <w:szCs w:val="24"/>
              </w:rPr>
              <w:t xml:space="preserve">ograniczeń </w:t>
            </w:r>
            <w:r w:rsidR="00926C40" w:rsidRPr="00237760">
              <w:rPr>
                <w:rFonts w:ascii="Arial" w:hAnsi="Arial" w:cs="Arial"/>
                <w:color w:val="auto"/>
                <w:sz w:val="24"/>
                <w:szCs w:val="24"/>
              </w:rPr>
              <w:t>emisji transportowych</w:t>
            </w:r>
            <w:r w:rsidR="001F3818" w:rsidRPr="00237760">
              <w:rPr>
                <w:rFonts w:ascii="Arial" w:hAnsi="Arial" w:cs="Arial"/>
                <w:color w:val="auto"/>
                <w:sz w:val="24"/>
                <w:szCs w:val="24"/>
              </w:rPr>
              <w:t xml:space="preserve"> (</w:t>
            </w:r>
            <w:r w:rsidR="007C5478" w:rsidRPr="00237760">
              <w:rPr>
                <w:rFonts w:ascii="Arial" w:hAnsi="Arial" w:cs="Arial"/>
                <w:color w:val="auto"/>
                <w:sz w:val="24"/>
                <w:szCs w:val="24"/>
              </w:rPr>
              <w:t xml:space="preserve">realizowane głównie przez </w:t>
            </w:r>
            <w:r w:rsidR="001F3818" w:rsidRPr="00237760">
              <w:rPr>
                <w:rFonts w:ascii="Arial" w:hAnsi="Arial" w:cs="Arial"/>
                <w:color w:val="auto"/>
                <w:sz w:val="24"/>
                <w:szCs w:val="24"/>
              </w:rPr>
              <w:t>cel</w:t>
            </w:r>
            <w:r w:rsidR="00EE6F26" w:rsidRPr="00237760">
              <w:rPr>
                <w:rFonts w:ascii="Arial" w:hAnsi="Arial" w:cs="Arial"/>
                <w:color w:val="auto"/>
                <w:sz w:val="24"/>
                <w:szCs w:val="24"/>
              </w:rPr>
              <w:t>e</w:t>
            </w:r>
            <w:r w:rsidR="007C5478" w:rsidRPr="00237760">
              <w:rPr>
                <w:rFonts w:ascii="Arial" w:hAnsi="Arial" w:cs="Arial"/>
                <w:color w:val="auto"/>
                <w:sz w:val="24"/>
                <w:szCs w:val="24"/>
              </w:rPr>
              <w:t xml:space="preserve"> </w:t>
            </w:r>
            <w:r w:rsidR="00C361D7" w:rsidRPr="00237760">
              <w:rPr>
                <w:rFonts w:ascii="Arial" w:hAnsi="Arial" w:cs="Arial"/>
                <w:color w:val="auto"/>
                <w:sz w:val="24"/>
                <w:szCs w:val="24"/>
              </w:rPr>
              <w:t>horyzontaln</w:t>
            </w:r>
            <w:r w:rsidR="00EE6F26" w:rsidRPr="00237760">
              <w:rPr>
                <w:rFonts w:ascii="Arial" w:hAnsi="Arial" w:cs="Arial"/>
                <w:color w:val="auto"/>
                <w:sz w:val="24"/>
                <w:szCs w:val="24"/>
              </w:rPr>
              <w:t>e:</w:t>
            </w:r>
            <w:r w:rsidR="00C361D7" w:rsidRPr="00237760">
              <w:rPr>
                <w:rFonts w:ascii="Arial" w:hAnsi="Arial" w:cs="Arial"/>
                <w:color w:val="auto"/>
                <w:sz w:val="24"/>
                <w:szCs w:val="24"/>
              </w:rPr>
              <w:t xml:space="preserve"> 1.</w:t>
            </w:r>
            <w:r w:rsidR="00913C37" w:rsidRPr="00237760">
              <w:rPr>
                <w:rFonts w:ascii="Arial" w:hAnsi="Arial" w:cs="Arial"/>
                <w:color w:val="auto"/>
                <w:sz w:val="24"/>
                <w:szCs w:val="24"/>
              </w:rPr>
              <w:t>,</w:t>
            </w:r>
            <w:r w:rsidR="00EE6F26" w:rsidRPr="00237760">
              <w:rPr>
                <w:rFonts w:ascii="Arial" w:hAnsi="Arial" w:cs="Arial"/>
                <w:color w:val="auto"/>
                <w:sz w:val="24"/>
                <w:szCs w:val="24"/>
              </w:rPr>
              <w:t xml:space="preserve"> 2. </w:t>
            </w:r>
            <w:r w:rsidR="00701C4D" w:rsidRPr="00237760">
              <w:rPr>
                <w:rFonts w:ascii="Arial" w:hAnsi="Arial" w:cs="Arial"/>
                <w:color w:val="auto"/>
                <w:sz w:val="24"/>
                <w:szCs w:val="24"/>
              </w:rPr>
              <w:t xml:space="preserve">i </w:t>
            </w:r>
            <w:r w:rsidR="00EE6F26" w:rsidRPr="00237760">
              <w:rPr>
                <w:rFonts w:ascii="Arial" w:hAnsi="Arial" w:cs="Arial"/>
                <w:color w:val="auto"/>
                <w:sz w:val="24"/>
                <w:szCs w:val="24"/>
              </w:rPr>
              <w:t>3</w:t>
            </w:r>
            <w:r w:rsidR="00701C4D" w:rsidRPr="00237760">
              <w:rPr>
                <w:rFonts w:ascii="Arial" w:hAnsi="Arial" w:cs="Arial"/>
                <w:color w:val="auto"/>
                <w:sz w:val="24"/>
                <w:szCs w:val="24"/>
              </w:rPr>
              <w:t>.</w:t>
            </w:r>
            <w:r w:rsidR="00C361D7" w:rsidRPr="00237760">
              <w:rPr>
                <w:rFonts w:ascii="Arial" w:hAnsi="Arial" w:cs="Arial"/>
                <w:color w:val="auto"/>
                <w:sz w:val="24"/>
                <w:szCs w:val="24"/>
              </w:rPr>
              <w:t>)</w:t>
            </w:r>
            <w:r w:rsidR="00090F0C" w:rsidRPr="00237760">
              <w:rPr>
                <w:rFonts w:ascii="Arial" w:hAnsi="Arial" w:cs="Arial"/>
                <w:color w:val="auto"/>
                <w:sz w:val="24"/>
                <w:szCs w:val="24"/>
              </w:rPr>
              <w:t>;</w:t>
            </w:r>
          </w:p>
          <w:p w14:paraId="6A53FB2C" w14:textId="77777777" w:rsidR="00090F0C" w:rsidRPr="00237760" w:rsidRDefault="004D760E" w:rsidP="009367B4">
            <w:pPr>
              <w:pStyle w:val="Akapitzlist"/>
              <w:numPr>
                <w:ilvl w:val="0"/>
                <w:numId w:val="52"/>
              </w:numPr>
              <w:spacing w:after="0"/>
              <w:ind w:left="537" w:hanging="144"/>
              <w:jc w:val="left"/>
              <w:rPr>
                <w:rFonts w:ascii="Arial" w:hAnsi="Arial" w:cs="Arial"/>
                <w:color w:val="auto"/>
                <w:sz w:val="24"/>
                <w:szCs w:val="24"/>
              </w:rPr>
            </w:pPr>
            <w:r w:rsidRPr="00237760">
              <w:rPr>
                <w:rFonts w:ascii="Arial" w:hAnsi="Arial" w:cs="Arial"/>
                <w:color w:val="auto"/>
                <w:sz w:val="24"/>
                <w:szCs w:val="24"/>
              </w:rPr>
              <w:t>Realizację „Działań na rzecz rozwoju transportu w warunkach zmian klimatu” zapewnia</w:t>
            </w:r>
            <w:r w:rsidR="002B7297" w:rsidRPr="00237760">
              <w:rPr>
                <w:rFonts w:ascii="Arial" w:hAnsi="Arial" w:cs="Arial"/>
                <w:color w:val="auto"/>
                <w:sz w:val="24"/>
                <w:szCs w:val="24"/>
              </w:rPr>
              <w:t xml:space="preserve"> zało</w:t>
            </w:r>
            <w:r w:rsidR="00B877A1" w:rsidRPr="00237760">
              <w:rPr>
                <w:rFonts w:ascii="Arial" w:hAnsi="Arial" w:cs="Arial"/>
                <w:color w:val="auto"/>
                <w:sz w:val="24"/>
                <w:szCs w:val="24"/>
              </w:rPr>
              <w:t xml:space="preserve">żenie </w:t>
            </w:r>
            <w:r w:rsidR="00D7579A" w:rsidRPr="00237760">
              <w:rPr>
                <w:rFonts w:ascii="Arial" w:hAnsi="Arial" w:cs="Arial"/>
                <w:color w:val="auto"/>
                <w:sz w:val="24"/>
                <w:szCs w:val="24"/>
              </w:rPr>
              <w:t>realizacji usług odpornych</w:t>
            </w:r>
            <w:r w:rsidR="00E82294" w:rsidRPr="00237760">
              <w:rPr>
                <w:rFonts w:ascii="Arial" w:hAnsi="Arial" w:cs="Arial"/>
                <w:color w:val="auto"/>
                <w:sz w:val="24"/>
                <w:szCs w:val="24"/>
              </w:rPr>
              <w:t xml:space="preserve"> przez dostosowanie </w:t>
            </w:r>
            <w:r w:rsidR="00B877A1" w:rsidRPr="00237760">
              <w:rPr>
                <w:rFonts w:ascii="Arial" w:hAnsi="Arial" w:cs="Arial"/>
                <w:color w:val="auto"/>
                <w:sz w:val="24"/>
                <w:szCs w:val="24"/>
              </w:rPr>
              <w:t>„infrastruktury do specyfiki miejsc, aby w możliwie adekwatny sposób minimalizować, lub neutralizować skutki oddziaływania transportu na środowisko, ale też dopasowanie elementów systemu transportowego do zjawisk, które mogą być wywoływane lub potęgowane zmianami klimatycznymi”</w:t>
            </w:r>
            <w:r w:rsidR="00E82294" w:rsidRPr="00237760">
              <w:rPr>
                <w:rFonts w:ascii="Arial" w:hAnsi="Arial" w:cs="Arial"/>
                <w:color w:val="auto"/>
                <w:sz w:val="24"/>
                <w:szCs w:val="24"/>
              </w:rPr>
              <w:t>;</w:t>
            </w:r>
          </w:p>
          <w:p w14:paraId="4657CE3D" w14:textId="77777777" w:rsidR="00090F0C" w:rsidRPr="00237760" w:rsidRDefault="00911080" w:rsidP="009367B4">
            <w:pPr>
              <w:pStyle w:val="Akapitzlist"/>
              <w:numPr>
                <w:ilvl w:val="0"/>
                <w:numId w:val="52"/>
              </w:numPr>
              <w:spacing w:after="0"/>
              <w:ind w:left="537" w:hanging="144"/>
              <w:jc w:val="left"/>
              <w:rPr>
                <w:rFonts w:ascii="Arial" w:hAnsi="Arial" w:cs="Arial"/>
                <w:color w:val="auto"/>
                <w:sz w:val="24"/>
                <w:szCs w:val="24"/>
              </w:rPr>
            </w:pPr>
            <w:r w:rsidRPr="00237760">
              <w:rPr>
                <w:rFonts w:ascii="Arial" w:hAnsi="Arial" w:cs="Arial"/>
                <w:color w:val="auto"/>
                <w:sz w:val="24"/>
                <w:szCs w:val="24"/>
              </w:rPr>
              <w:t xml:space="preserve">„Rozwój efektywnego energetycznie i niskoemisyjnego transportu” </w:t>
            </w:r>
            <w:r w:rsidR="00444283" w:rsidRPr="00237760">
              <w:rPr>
                <w:rFonts w:ascii="Arial" w:hAnsi="Arial" w:cs="Arial"/>
                <w:color w:val="auto"/>
                <w:sz w:val="24"/>
                <w:szCs w:val="24"/>
              </w:rPr>
              <w:t>oraz „Poprawę efektywności energetycznej w sektorze transportu”</w:t>
            </w:r>
            <w:r w:rsidR="00457F6C" w:rsidRPr="00237760">
              <w:rPr>
                <w:rFonts w:ascii="Arial" w:hAnsi="Arial" w:cs="Arial"/>
                <w:color w:val="auto"/>
                <w:sz w:val="24"/>
                <w:szCs w:val="24"/>
              </w:rPr>
              <w:t xml:space="preserve"> </w:t>
            </w:r>
            <w:r w:rsidRPr="00237760">
              <w:rPr>
                <w:rFonts w:ascii="Arial" w:hAnsi="Arial" w:cs="Arial"/>
                <w:color w:val="auto"/>
                <w:sz w:val="24"/>
                <w:szCs w:val="24"/>
              </w:rPr>
              <w:t>zapewni</w:t>
            </w:r>
            <w:r w:rsidR="00B27079" w:rsidRPr="00237760">
              <w:rPr>
                <w:rFonts w:ascii="Arial" w:hAnsi="Arial" w:cs="Arial"/>
                <w:color w:val="auto"/>
                <w:sz w:val="24"/>
                <w:szCs w:val="24"/>
              </w:rPr>
              <w:t xml:space="preserve"> realizacja inwestycji w transport niskoemisyjny</w:t>
            </w:r>
            <w:r w:rsidR="00457F6C" w:rsidRPr="00237760">
              <w:rPr>
                <w:rFonts w:ascii="Arial" w:hAnsi="Arial" w:cs="Arial"/>
                <w:color w:val="auto"/>
                <w:sz w:val="24"/>
                <w:szCs w:val="24"/>
              </w:rPr>
              <w:t xml:space="preserve"> i zeroemisyjny,</w:t>
            </w:r>
            <w:r w:rsidR="00B27079" w:rsidRPr="00237760">
              <w:rPr>
                <w:rFonts w:ascii="Arial" w:hAnsi="Arial" w:cs="Arial"/>
                <w:color w:val="auto"/>
                <w:sz w:val="24"/>
                <w:szCs w:val="24"/>
              </w:rPr>
              <w:t xml:space="preserve"> transport zbiorowy</w:t>
            </w:r>
            <w:r w:rsidR="009F2D49" w:rsidRPr="00237760">
              <w:rPr>
                <w:rFonts w:ascii="Arial" w:hAnsi="Arial" w:cs="Arial"/>
                <w:color w:val="auto"/>
                <w:sz w:val="24"/>
                <w:szCs w:val="24"/>
              </w:rPr>
              <w:t>,</w:t>
            </w:r>
            <w:r w:rsidR="00B27079" w:rsidRPr="00237760">
              <w:rPr>
                <w:rFonts w:ascii="Arial" w:hAnsi="Arial" w:cs="Arial"/>
                <w:color w:val="auto"/>
                <w:sz w:val="24"/>
                <w:szCs w:val="24"/>
              </w:rPr>
              <w:t xml:space="preserve"> transport multimodalny oraz </w:t>
            </w:r>
            <w:r w:rsidR="00457F6C" w:rsidRPr="00237760">
              <w:rPr>
                <w:rFonts w:ascii="Arial" w:hAnsi="Arial" w:cs="Arial"/>
                <w:color w:val="auto"/>
                <w:sz w:val="24"/>
                <w:szCs w:val="24"/>
              </w:rPr>
              <w:t xml:space="preserve">wprowadzenie </w:t>
            </w:r>
            <w:r w:rsidR="00B27079" w:rsidRPr="00237760">
              <w:rPr>
                <w:rFonts w:ascii="Arial" w:hAnsi="Arial" w:cs="Arial"/>
                <w:color w:val="auto"/>
                <w:sz w:val="24"/>
                <w:szCs w:val="24"/>
              </w:rPr>
              <w:t>zmian</w:t>
            </w:r>
            <w:r w:rsidR="002C5092" w:rsidRPr="00237760">
              <w:rPr>
                <w:rFonts w:ascii="Arial" w:hAnsi="Arial" w:cs="Arial"/>
                <w:color w:val="auto"/>
                <w:sz w:val="24"/>
                <w:szCs w:val="24"/>
              </w:rPr>
              <w:t xml:space="preserve"> </w:t>
            </w:r>
            <w:r w:rsidR="00B27079" w:rsidRPr="00237760">
              <w:rPr>
                <w:rFonts w:ascii="Arial" w:hAnsi="Arial" w:cs="Arial"/>
                <w:color w:val="auto"/>
                <w:sz w:val="24"/>
                <w:szCs w:val="24"/>
              </w:rPr>
              <w:t>legislacyjn</w:t>
            </w:r>
            <w:r w:rsidR="002C5092" w:rsidRPr="00237760">
              <w:rPr>
                <w:rFonts w:ascii="Arial" w:hAnsi="Arial" w:cs="Arial"/>
                <w:color w:val="auto"/>
                <w:sz w:val="24"/>
                <w:szCs w:val="24"/>
              </w:rPr>
              <w:t xml:space="preserve">ych </w:t>
            </w:r>
            <w:r w:rsidR="007740F5" w:rsidRPr="00237760">
              <w:rPr>
                <w:rFonts w:ascii="Arial" w:hAnsi="Arial" w:cs="Arial"/>
                <w:color w:val="auto"/>
                <w:sz w:val="24"/>
                <w:szCs w:val="24"/>
              </w:rPr>
              <w:t xml:space="preserve">dotycząc </w:t>
            </w:r>
            <w:r w:rsidR="007740F5" w:rsidRPr="00237760">
              <w:rPr>
                <w:rFonts w:ascii="Arial" w:hAnsi="Arial" w:cs="Arial"/>
                <w:color w:val="auto"/>
                <w:sz w:val="24"/>
                <w:szCs w:val="24"/>
              </w:rPr>
              <w:lastRenderedPageBreak/>
              <w:t>strefowych</w:t>
            </w:r>
            <w:r w:rsidR="00B27079" w:rsidRPr="00237760">
              <w:rPr>
                <w:rFonts w:ascii="Arial" w:hAnsi="Arial" w:cs="Arial"/>
                <w:color w:val="auto"/>
                <w:sz w:val="24"/>
                <w:szCs w:val="24"/>
              </w:rPr>
              <w:t xml:space="preserve"> ograniczeń emisji transportowych (realizowane głównie przez cele horyzontalne: 1., 2. i 3.)</w:t>
            </w:r>
            <w:r w:rsidR="009F2D49" w:rsidRPr="00237760">
              <w:rPr>
                <w:rFonts w:ascii="Arial" w:hAnsi="Arial" w:cs="Arial"/>
                <w:color w:val="auto"/>
                <w:sz w:val="24"/>
                <w:szCs w:val="24"/>
              </w:rPr>
              <w:t>;</w:t>
            </w:r>
          </w:p>
          <w:p w14:paraId="2C615882" w14:textId="77777777" w:rsidR="00090F0C" w:rsidRPr="00237760" w:rsidRDefault="00C17634" w:rsidP="009367B4">
            <w:pPr>
              <w:pStyle w:val="Akapitzlist"/>
              <w:numPr>
                <w:ilvl w:val="0"/>
                <w:numId w:val="52"/>
              </w:numPr>
              <w:spacing w:after="0"/>
              <w:ind w:left="537" w:hanging="144"/>
              <w:jc w:val="left"/>
              <w:rPr>
                <w:rFonts w:ascii="Arial" w:hAnsi="Arial" w:cs="Arial"/>
                <w:color w:val="auto"/>
                <w:sz w:val="24"/>
                <w:szCs w:val="24"/>
              </w:rPr>
            </w:pPr>
            <w:r w:rsidRPr="00237760">
              <w:rPr>
                <w:rFonts w:ascii="Arial" w:hAnsi="Arial" w:cs="Arial"/>
                <w:color w:val="auto"/>
                <w:sz w:val="24"/>
                <w:szCs w:val="24"/>
              </w:rPr>
              <w:t>„Rozwój infrastruktury paliw alternatywnych, wzrost bezpieczeństwa eksploatacji, jak i rozw</w:t>
            </w:r>
            <w:r w:rsidR="00B4143F" w:rsidRPr="00237760">
              <w:rPr>
                <w:rFonts w:ascii="Arial" w:hAnsi="Arial" w:cs="Arial"/>
                <w:color w:val="auto"/>
                <w:sz w:val="24"/>
                <w:szCs w:val="24"/>
              </w:rPr>
              <w:t>ój</w:t>
            </w:r>
            <w:r w:rsidRPr="00237760">
              <w:rPr>
                <w:rFonts w:ascii="Arial" w:hAnsi="Arial" w:cs="Arial"/>
                <w:color w:val="auto"/>
                <w:sz w:val="24"/>
                <w:szCs w:val="24"/>
              </w:rPr>
              <w:t xml:space="preserve"> przemysłu elektromobilności oraz poprawy jakości powietrza i komfortu życia społeczeństwa” w zakresie </w:t>
            </w:r>
            <w:r w:rsidR="003C6E47" w:rsidRPr="00237760">
              <w:rPr>
                <w:rFonts w:ascii="Arial" w:hAnsi="Arial" w:cs="Arial"/>
                <w:color w:val="auto"/>
                <w:sz w:val="24"/>
                <w:szCs w:val="24"/>
              </w:rPr>
              <w:t xml:space="preserve">rozwoju transportu </w:t>
            </w:r>
            <w:r w:rsidR="0074673A" w:rsidRPr="00237760">
              <w:rPr>
                <w:rFonts w:ascii="Arial" w:hAnsi="Arial" w:cs="Arial"/>
                <w:color w:val="auto"/>
                <w:sz w:val="24"/>
                <w:szCs w:val="24"/>
              </w:rPr>
              <w:t xml:space="preserve">zapewni wdrożenie założeń </w:t>
            </w:r>
            <w:r w:rsidR="00AC6FB0" w:rsidRPr="00237760">
              <w:rPr>
                <w:rFonts w:ascii="Arial" w:hAnsi="Arial" w:cs="Arial"/>
                <w:color w:val="auto"/>
                <w:sz w:val="24"/>
                <w:szCs w:val="24"/>
              </w:rPr>
              <w:t>dotyczących rozwoju</w:t>
            </w:r>
            <w:r w:rsidR="009F542D" w:rsidRPr="00237760">
              <w:rPr>
                <w:rFonts w:ascii="Arial" w:hAnsi="Arial" w:cs="Arial"/>
                <w:color w:val="auto"/>
                <w:sz w:val="24"/>
                <w:szCs w:val="24"/>
              </w:rPr>
              <w:t>:</w:t>
            </w:r>
            <w:r w:rsidR="00AC6FB0" w:rsidRPr="00237760">
              <w:rPr>
                <w:rFonts w:ascii="Arial" w:hAnsi="Arial" w:cs="Arial"/>
                <w:color w:val="auto"/>
                <w:sz w:val="24"/>
                <w:szCs w:val="24"/>
              </w:rPr>
              <w:t xml:space="preserve"> </w:t>
            </w:r>
            <w:r w:rsidR="009F542D" w:rsidRPr="00237760">
              <w:rPr>
                <w:rFonts w:ascii="Arial" w:hAnsi="Arial" w:cs="Arial"/>
                <w:color w:val="auto"/>
                <w:sz w:val="24"/>
                <w:szCs w:val="24"/>
              </w:rPr>
              <w:t xml:space="preserve">transportu niskoemisyjnego i zeroemisyjnego oraz </w:t>
            </w:r>
            <w:r w:rsidR="00487B3A" w:rsidRPr="00237760">
              <w:rPr>
                <w:rFonts w:ascii="Arial" w:hAnsi="Arial" w:cs="Arial"/>
                <w:color w:val="auto"/>
                <w:sz w:val="24"/>
                <w:szCs w:val="24"/>
              </w:rPr>
              <w:t xml:space="preserve">elektromobilności </w:t>
            </w:r>
            <w:r w:rsidR="007717A5" w:rsidRPr="00237760">
              <w:rPr>
                <w:rFonts w:ascii="Arial" w:hAnsi="Arial" w:cs="Arial"/>
                <w:color w:val="auto"/>
                <w:sz w:val="24"/>
                <w:szCs w:val="24"/>
              </w:rPr>
              <w:t>(</w:t>
            </w:r>
            <w:r w:rsidR="00264866" w:rsidRPr="00237760">
              <w:rPr>
                <w:rFonts w:ascii="Arial" w:hAnsi="Arial" w:cs="Arial"/>
                <w:color w:val="auto"/>
                <w:sz w:val="24"/>
                <w:szCs w:val="24"/>
              </w:rPr>
              <w:t>dotyczy to przede wszystkim celu horyzontalnego 1.)</w:t>
            </w:r>
            <w:r w:rsidR="00B4143F" w:rsidRPr="00237760">
              <w:rPr>
                <w:rFonts w:ascii="Arial" w:hAnsi="Arial" w:cs="Arial"/>
                <w:color w:val="auto"/>
                <w:sz w:val="24"/>
                <w:szCs w:val="24"/>
              </w:rPr>
              <w:t>;</w:t>
            </w:r>
          </w:p>
          <w:p w14:paraId="71C5E2CA" w14:textId="77777777" w:rsidR="00090F0C" w:rsidRPr="00237760" w:rsidRDefault="003844EC" w:rsidP="009367B4">
            <w:pPr>
              <w:pStyle w:val="Akapitzlist"/>
              <w:numPr>
                <w:ilvl w:val="0"/>
                <w:numId w:val="52"/>
              </w:numPr>
              <w:spacing w:after="0"/>
              <w:ind w:left="537" w:hanging="144"/>
              <w:jc w:val="left"/>
              <w:rPr>
                <w:rFonts w:ascii="Arial" w:hAnsi="Arial" w:cs="Arial"/>
                <w:color w:val="auto"/>
                <w:sz w:val="24"/>
                <w:szCs w:val="24"/>
              </w:rPr>
            </w:pPr>
            <w:r w:rsidRPr="00237760">
              <w:rPr>
                <w:rFonts w:ascii="Arial" w:hAnsi="Arial" w:cs="Arial"/>
                <w:color w:val="auto"/>
                <w:sz w:val="24"/>
                <w:szCs w:val="24"/>
              </w:rPr>
              <w:t xml:space="preserve">Na </w:t>
            </w:r>
            <w:r w:rsidR="005F51DE" w:rsidRPr="00237760">
              <w:rPr>
                <w:rFonts w:ascii="Arial" w:hAnsi="Arial" w:cs="Arial"/>
                <w:color w:val="auto"/>
                <w:sz w:val="24"/>
                <w:szCs w:val="24"/>
              </w:rPr>
              <w:t>r</w:t>
            </w:r>
            <w:r w:rsidRPr="00237760">
              <w:rPr>
                <w:rFonts w:ascii="Arial" w:hAnsi="Arial" w:cs="Arial"/>
                <w:color w:val="auto"/>
                <w:sz w:val="24"/>
                <w:szCs w:val="24"/>
              </w:rPr>
              <w:t>ozw</w:t>
            </w:r>
            <w:r w:rsidR="005F51DE" w:rsidRPr="00237760">
              <w:rPr>
                <w:rFonts w:ascii="Arial" w:hAnsi="Arial" w:cs="Arial"/>
                <w:color w:val="auto"/>
                <w:sz w:val="24"/>
                <w:szCs w:val="24"/>
              </w:rPr>
              <w:t xml:space="preserve">oju </w:t>
            </w:r>
            <w:r w:rsidRPr="00237760">
              <w:rPr>
                <w:rFonts w:ascii="Arial" w:hAnsi="Arial" w:cs="Arial"/>
                <w:color w:val="auto"/>
                <w:sz w:val="24"/>
                <w:szCs w:val="24"/>
              </w:rPr>
              <w:t>transportu zbiorowego</w:t>
            </w:r>
            <w:r w:rsidR="005F51DE" w:rsidRPr="00237760">
              <w:rPr>
                <w:rFonts w:ascii="Arial" w:hAnsi="Arial" w:cs="Arial"/>
                <w:color w:val="auto"/>
                <w:sz w:val="24"/>
                <w:szCs w:val="24"/>
              </w:rPr>
              <w:t xml:space="preserve"> skupia się cel horyzontalny 3.</w:t>
            </w:r>
            <w:r w:rsidR="00C45DBD" w:rsidRPr="00237760">
              <w:rPr>
                <w:rFonts w:ascii="Arial" w:hAnsi="Arial" w:cs="Arial"/>
                <w:color w:val="auto"/>
                <w:sz w:val="24"/>
                <w:szCs w:val="24"/>
              </w:rPr>
              <w:t xml:space="preserve"> oraz cel podstawowy 3</w:t>
            </w:r>
            <w:r w:rsidR="00CE3A71" w:rsidRPr="00237760">
              <w:rPr>
                <w:rFonts w:ascii="Arial" w:hAnsi="Arial" w:cs="Arial"/>
                <w:color w:val="auto"/>
                <w:sz w:val="24"/>
                <w:szCs w:val="24"/>
              </w:rPr>
              <w:t>.</w:t>
            </w:r>
            <w:r w:rsidR="00B8666F" w:rsidRPr="00237760">
              <w:rPr>
                <w:rFonts w:ascii="Arial" w:hAnsi="Arial" w:cs="Arial"/>
                <w:color w:val="auto"/>
                <w:sz w:val="24"/>
                <w:szCs w:val="24"/>
              </w:rPr>
              <w:t>;</w:t>
            </w:r>
          </w:p>
          <w:p w14:paraId="069ECA12" w14:textId="6D690A88" w:rsidR="008849E8" w:rsidRPr="00237760" w:rsidRDefault="008849E8" w:rsidP="009367B4">
            <w:pPr>
              <w:pStyle w:val="Akapitzlist"/>
              <w:numPr>
                <w:ilvl w:val="0"/>
                <w:numId w:val="52"/>
              </w:numPr>
              <w:spacing w:after="0"/>
              <w:ind w:left="537" w:hanging="144"/>
              <w:jc w:val="left"/>
              <w:rPr>
                <w:rFonts w:ascii="Arial" w:hAnsi="Arial" w:cs="Arial"/>
                <w:color w:val="auto"/>
                <w:sz w:val="24"/>
                <w:szCs w:val="24"/>
              </w:rPr>
            </w:pPr>
            <w:r w:rsidRPr="00237760">
              <w:rPr>
                <w:rFonts w:ascii="Arial" w:hAnsi="Arial" w:cs="Arial"/>
                <w:color w:val="auto"/>
                <w:sz w:val="24"/>
                <w:szCs w:val="24"/>
              </w:rPr>
              <w:t>„Rozwój wykorzystania infrastruktury LNG w Polsce” wchodzi w zakres celu horyzontalnego 1.</w:t>
            </w:r>
          </w:p>
        </w:tc>
        <w:tc>
          <w:tcPr>
            <w:tcW w:w="1276" w:type="dxa"/>
            <w:tcBorders>
              <w:top w:val="single" w:sz="4" w:space="0" w:color="BDD6EE" w:themeColor="accent1" w:themeTint="66"/>
              <w:left w:val="nil"/>
              <w:bottom w:val="single" w:sz="4" w:space="0" w:color="BDD6EE" w:themeColor="accent1" w:themeTint="66"/>
              <w:right w:val="nil"/>
            </w:tcBorders>
            <w:vAlign w:val="center"/>
          </w:tcPr>
          <w:p w14:paraId="14BAC88B" w14:textId="77777777" w:rsidR="00240B01" w:rsidRPr="00237760" w:rsidRDefault="00240B01" w:rsidP="009367B4">
            <w:pPr>
              <w:spacing w:after="0" w:line="240" w:lineRule="auto"/>
              <w:contextualSpacing/>
              <w:jc w:val="left"/>
              <w:rPr>
                <w:rFonts w:ascii="Arial" w:hAnsi="Arial" w:cs="Arial"/>
                <w:color w:val="auto"/>
                <w:sz w:val="24"/>
                <w:szCs w:val="24"/>
              </w:rPr>
            </w:pPr>
          </w:p>
          <w:p w14:paraId="4C787519" w14:textId="22B1D50C" w:rsidR="00240B01" w:rsidRPr="00237760" w:rsidRDefault="00240B01" w:rsidP="009367B4">
            <w:pPr>
              <w:pStyle w:val="Akapitzlist"/>
              <w:numPr>
                <w:ilvl w:val="0"/>
                <w:numId w:val="0"/>
              </w:numPr>
              <w:spacing w:after="0" w:line="240" w:lineRule="auto"/>
              <w:ind w:left="311"/>
              <w:contextualSpacing/>
              <w:jc w:val="left"/>
              <w:rPr>
                <w:rFonts w:ascii="Arial" w:hAnsi="Arial" w:cs="Arial"/>
                <w:b/>
                <w:color w:val="auto"/>
                <w:sz w:val="24"/>
                <w:szCs w:val="24"/>
                <w:lang w:eastAsia="en-US"/>
              </w:rPr>
            </w:pPr>
            <w:r w:rsidRPr="00237760">
              <w:rPr>
                <w:rFonts w:ascii="Arial" w:hAnsi="Arial" w:cs="Arial"/>
                <w:b/>
                <w:color w:val="auto"/>
                <w:sz w:val="24"/>
                <w:szCs w:val="24"/>
                <w:lang w:eastAsia="en-US"/>
              </w:rPr>
              <w:t xml:space="preserve"> +</w:t>
            </w:r>
          </w:p>
        </w:tc>
      </w:tr>
      <w:tr w:rsidR="00237760" w:rsidRPr="00237760" w14:paraId="50BB6170" w14:textId="77777777" w:rsidTr="00B32A20">
        <w:trPr>
          <w:trHeight w:val="70"/>
        </w:trPr>
        <w:tc>
          <w:tcPr>
            <w:tcW w:w="1990" w:type="dxa"/>
            <w:tcBorders>
              <w:top w:val="single" w:sz="4" w:space="0" w:color="BDD6EE" w:themeColor="accent1" w:themeTint="66"/>
              <w:left w:val="nil"/>
              <w:bottom w:val="single" w:sz="4" w:space="0" w:color="BDD6EE" w:themeColor="accent1" w:themeTint="66"/>
              <w:right w:val="nil"/>
            </w:tcBorders>
            <w:vAlign w:val="center"/>
          </w:tcPr>
          <w:p w14:paraId="5D45B55D" w14:textId="77777777" w:rsidR="00240B01" w:rsidRPr="00237760" w:rsidRDefault="0034231F"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3. </w:t>
            </w:r>
            <w:r w:rsidR="00344944" w:rsidRPr="00237760">
              <w:rPr>
                <w:rFonts w:ascii="Arial" w:hAnsi="Arial" w:cs="Arial"/>
                <w:color w:val="auto"/>
                <w:sz w:val="24"/>
                <w:szCs w:val="24"/>
              </w:rPr>
              <w:t>Objęcie inwestycj</w:t>
            </w:r>
            <w:r w:rsidR="00564FBE" w:rsidRPr="00237760">
              <w:rPr>
                <w:rFonts w:ascii="Arial" w:hAnsi="Arial" w:cs="Arial"/>
                <w:color w:val="auto"/>
                <w:sz w:val="24"/>
                <w:szCs w:val="24"/>
              </w:rPr>
              <w:t xml:space="preserve">i </w:t>
            </w:r>
            <w:r w:rsidR="00344944" w:rsidRPr="00237760">
              <w:rPr>
                <w:rFonts w:ascii="Arial" w:hAnsi="Arial" w:cs="Arial"/>
                <w:color w:val="auto"/>
                <w:sz w:val="24"/>
                <w:szCs w:val="24"/>
              </w:rPr>
              <w:t>w korytarze sieci bazowej TEN-T</w:t>
            </w:r>
            <w:r w:rsidR="00564FBE" w:rsidRPr="00237760">
              <w:rPr>
                <w:rFonts w:ascii="Arial" w:hAnsi="Arial" w:cs="Arial"/>
                <w:color w:val="auto"/>
                <w:sz w:val="24"/>
                <w:szCs w:val="24"/>
              </w:rPr>
              <w:t xml:space="preserve"> (w zgodności z planami ich rozwoju)</w:t>
            </w:r>
          </w:p>
          <w:p w14:paraId="60ED84EE" w14:textId="77777777" w:rsidR="00B32A20" w:rsidRDefault="00B32A20" w:rsidP="009367B4">
            <w:pPr>
              <w:spacing w:after="0" w:line="240" w:lineRule="auto"/>
              <w:jc w:val="left"/>
              <w:rPr>
                <w:rFonts w:ascii="Arial" w:hAnsi="Arial" w:cs="Arial"/>
                <w:color w:val="auto"/>
                <w:sz w:val="24"/>
                <w:szCs w:val="24"/>
              </w:rPr>
            </w:pPr>
          </w:p>
          <w:p w14:paraId="43D6E8E6" w14:textId="1F281D01" w:rsidR="002731AA" w:rsidRPr="00237760" w:rsidRDefault="002731AA"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oraz</w:t>
            </w:r>
          </w:p>
          <w:p w14:paraId="72090221" w14:textId="77777777" w:rsidR="002731AA" w:rsidRPr="00237760" w:rsidRDefault="002731AA" w:rsidP="009367B4">
            <w:pPr>
              <w:spacing w:after="0" w:line="240" w:lineRule="auto"/>
              <w:jc w:val="left"/>
              <w:rPr>
                <w:rFonts w:ascii="Arial" w:hAnsi="Arial" w:cs="Arial"/>
                <w:color w:val="auto"/>
                <w:sz w:val="24"/>
                <w:szCs w:val="24"/>
              </w:rPr>
            </w:pPr>
          </w:p>
          <w:p w14:paraId="6C3911B7" w14:textId="5EA3921D" w:rsidR="002731AA" w:rsidRPr="00237760" w:rsidRDefault="002731AA"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4. Komplementarność z siecią TEN-T inwestycji innych niż w rozwój sieci bazowej (zapewnienie wystarczającego rozwoju połączeń sieci miejskich, regionów i lokalnych społeczności z siecią bazową </w:t>
            </w:r>
            <w:r w:rsidRPr="00237760">
              <w:rPr>
                <w:rFonts w:ascii="Arial" w:hAnsi="Arial" w:cs="Arial"/>
                <w:color w:val="auto"/>
                <w:sz w:val="24"/>
                <w:szCs w:val="24"/>
              </w:rPr>
              <w:lastRenderedPageBreak/>
              <w:t>TEN-T i jej węzłami)</w:t>
            </w:r>
          </w:p>
        </w:tc>
        <w:tc>
          <w:tcPr>
            <w:tcW w:w="5812" w:type="dxa"/>
            <w:tcBorders>
              <w:top w:val="single" w:sz="4" w:space="0" w:color="BDD6EE" w:themeColor="accent1" w:themeTint="66"/>
              <w:left w:val="nil"/>
              <w:bottom w:val="single" w:sz="4" w:space="0" w:color="BDD6EE" w:themeColor="accent1" w:themeTint="66"/>
              <w:right w:val="nil"/>
            </w:tcBorders>
          </w:tcPr>
          <w:p w14:paraId="60477C47" w14:textId="3E77022B" w:rsidR="00240B01" w:rsidRPr="00237760" w:rsidRDefault="00206706" w:rsidP="009367B4">
            <w:pPr>
              <w:pStyle w:val="Akapitzlist"/>
              <w:numPr>
                <w:ilvl w:val="0"/>
                <w:numId w:val="39"/>
              </w:numPr>
              <w:spacing w:after="0"/>
              <w:ind w:left="254" w:hanging="144"/>
              <w:jc w:val="left"/>
              <w:rPr>
                <w:rFonts w:ascii="Arial" w:hAnsi="Arial" w:cs="Arial"/>
                <w:color w:val="auto"/>
                <w:sz w:val="24"/>
                <w:szCs w:val="24"/>
                <w:lang w:eastAsia="en-US"/>
              </w:rPr>
            </w:pPr>
            <w:r w:rsidRPr="00237760">
              <w:rPr>
                <w:rFonts w:ascii="Arial" w:hAnsi="Arial" w:cs="Arial"/>
                <w:color w:val="auto"/>
                <w:sz w:val="24"/>
                <w:szCs w:val="24"/>
                <w:lang w:eastAsia="en-US"/>
              </w:rPr>
              <w:lastRenderedPageBreak/>
              <w:t>W ramach z</w:t>
            </w:r>
            <w:r w:rsidR="00475BA9" w:rsidRPr="00237760">
              <w:rPr>
                <w:rFonts w:ascii="Arial" w:hAnsi="Arial" w:cs="Arial"/>
                <w:color w:val="auto"/>
                <w:sz w:val="24"/>
                <w:szCs w:val="24"/>
                <w:lang w:eastAsia="en-US"/>
              </w:rPr>
              <w:t>identyfikowan</w:t>
            </w:r>
            <w:r w:rsidRPr="00237760">
              <w:rPr>
                <w:rFonts w:ascii="Arial" w:hAnsi="Arial" w:cs="Arial"/>
                <w:color w:val="auto"/>
                <w:sz w:val="24"/>
                <w:szCs w:val="24"/>
                <w:lang w:eastAsia="en-US"/>
              </w:rPr>
              <w:t>ego</w:t>
            </w:r>
            <w:r w:rsidR="00475BA9" w:rsidRPr="00237760">
              <w:rPr>
                <w:rFonts w:ascii="Arial" w:hAnsi="Arial" w:cs="Arial"/>
                <w:color w:val="auto"/>
                <w:sz w:val="24"/>
                <w:szCs w:val="24"/>
                <w:lang w:eastAsia="en-US"/>
              </w:rPr>
              <w:t xml:space="preserve"> problem</w:t>
            </w:r>
            <w:r w:rsidRPr="00237760">
              <w:rPr>
                <w:rFonts w:ascii="Arial" w:hAnsi="Arial" w:cs="Arial"/>
                <w:color w:val="auto"/>
                <w:sz w:val="24"/>
                <w:szCs w:val="24"/>
                <w:lang w:eastAsia="en-US"/>
              </w:rPr>
              <w:t>u</w:t>
            </w:r>
            <w:r w:rsidR="00475BA9" w:rsidRPr="00237760">
              <w:rPr>
                <w:rFonts w:ascii="Arial" w:hAnsi="Arial" w:cs="Arial"/>
                <w:color w:val="auto"/>
                <w:sz w:val="24"/>
                <w:szCs w:val="24"/>
                <w:lang w:eastAsia="en-US"/>
              </w:rPr>
              <w:t xml:space="preserve"> bazow</w:t>
            </w:r>
            <w:r w:rsidRPr="00237760">
              <w:rPr>
                <w:rFonts w:ascii="Arial" w:hAnsi="Arial" w:cs="Arial"/>
                <w:color w:val="auto"/>
                <w:sz w:val="24"/>
                <w:szCs w:val="24"/>
                <w:lang w:eastAsia="en-US"/>
              </w:rPr>
              <w:t>ego</w:t>
            </w:r>
            <w:r w:rsidR="00475BA9" w:rsidRPr="00237760">
              <w:rPr>
                <w:rFonts w:ascii="Arial" w:hAnsi="Arial" w:cs="Arial"/>
                <w:color w:val="auto"/>
                <w:sz w:val="24"/>
                <w:szCs w:val="24"/>
                <w:lang w:eastAsia="en-US"/>
              </w:rPr>
              <w:t xml:space="preserve"> A</w:t>
            </w:r>
            <w:r w:rsidR="000A10BC" w:rsidRPr="00237760">
              <w:rPr>
                <w:rFonts w:ascii="Arial" w:hAnsi="Arial" w:cs="Arial"/>
                <w:color w:val="auto"/>
                <w:sz w:val="24"/>
                <w:szCs w:val="24"/>
                <w:lang w:eastAsia="en-US"/>
              </w:rPr>
              <w:t xml:space="preserve"> (Utrzymanie i wzmocnienie podstaw transportowych dla rozwoju gospodarczego województwa, w tym integracja infrastrukturalna oraz organizacyjna systemu transportowego w układzie zewnętrznym i wewnętrznym)</w:t>
            </w:r>
            <w:r w:rsidR="0078522C" w:rsidRPr="00237760">
              <w:rPr>
                <w:rFonts w:ascii="Arial" w:hAnsi="Arial" w:cs="Arial"/>
                <w:color w:val="auto"/>
                <w:sz w:val="24"/>
                <w:szCs w:val="24"/>
                <w:lang w:eastAsia="en-US"/>
              </w:rPr>
              <w:t xml:space="preserve">, który jest jednym z </w:t>
            </w:r>
            <w:r w:rsidRPr="00237760">
              <w:rPr>
                <w:rFonts w:ascii="Arial" w:hAnsi="Arial" w:cs="Arial"/>
                <w:color w:val="auto"/>
                <w:sz w:val="24"/>
                <w:szCs w:val="24"/>
                <w:lang w:eastAsia="en-US"/>
              </w:rPr>
              <w:t xml:space="preserve">czterech </w:t>
            </w:r>
            <w:r w:rsidR="00FB2B9D" w:rsidRPr="00237760">
              <w:rPr>
                <w:rFonts w:ascii="Arial" w:hAnsi="Arial" w:cs="Arial"/>
                <w:color w:val="auto"/>
                <w:sz w:val="24"/>
                <w:szCs w:val="24"/>
                <w:lang w:eastAsia="en-US"/>
              </w:rPr>
              <w:t xml:space="preserve">wynikających z diagnozy </w:t>
            </w:r>
            <w:r w:rsidRPr="00237760">
              <w:rPr>
                <w:rFonts w:ascii="Arial" w:hAnsi="Arial" w:cs="Arial"/>
                <w:color w:val="auto"/>
                <w:sz w:val="24"/>
                <w:szCs w:val="24"/>
                <w:lang w:eastAsia="en-US"/>
              </w:rPr>
              <w:t>filarów cel</w:t>
            </w:r>
            <w:r w:rsidR="00FB2B9D" w:rsidRPr="00237760">
              <w:rPr>
                <w:rFonts w:ascii="Arial" w:hAnsi="Arial" w:cs="Arial"/>
                <w:color w:val="auto"/>
                <w:sz w:val="24"/>
                <w:szCs w:val="24"/>
                <w:lang w:eastAsia="en-US"/>
              </w:rPr>
              <w:t>ów</w:t>
            </w:r>
            <w:r w:rsidRPr="00237760">
              <w:rPr>
                <w:rFonts w:ascii="Arial" w:hAnsi="Arial" w:cs="Arial"/>
                <w:color w:val="auto"/>
                <w:sz w:val="24"/>
                <w:szCs w:val="24"/>
                <w:lang w:eastAsia="en-US"/>
              </w:rPr>
              <w:t xml:space="preserve"> wyra</w:t>
            </w:r>
            <w:r w:rsidR="00866328" w:rsidRPr="00237760">
              <w:rPr>
                <w:rFonts w:ascii="Arial" w:hAnsi="Arial" w:cs="Arial"/>
                <w:color w:val="auto"/>
                <w:sz w:val="24"/>
                <w:szCs w:val="24"/>
                <w:lang w:eastAsia="en-US"/>
              </w:rPr>
              <w:t>źnie podkreślo</w:t>
            </w:r>
            <w:r w:rsidR="00877EFB" w:rsidRPr="00237760">
              <w:rPr>
                <w:rFonts w:ascii="Arial" w:hAnsi="Arial" w:cs="Arial"/>
                <w:color w:val="auto"/>
                <w:sz w:val="24"/>
                <w:szCs w:val="24"/>
                <w:lang w:eastAsia="en-US"/>
              </w:rPr>
              <w:t>no</w:t>
            </w:r>
            <w:r w:rsidR="00866328" w:rsidRPr="00237760">
              <w:rPr>
                <w:rFonts w:ascii="Arial" w:hAnsi="Arial" w:cs="Arial"/>
                <w:color w:val="auto"/>
                <w:sz w:val="24"/>
                <w:szCs w:val="24"/>
                <w:lang w:eastAsia="en-US"/>
              </w:rPr>
              <w:t xml:space="preserve"> problem </w:t>
            </w:r>
            <w:r w:rsidR="00ED1D1A" w:rsidRPr="00237760">
              <w:rPr>
                <w:rFonts w:ascii="Arial" w:hAnsi="Arial" w:cs="Arial"/>
                <w:color w:val="auto"/>
                <w:sz w:val="24"/>
                <w:szCs w:val="24"/>
                <w:lang w:eastAsia="en-US"/>
              </w:rPr>
              <w:t>niewystarczającego stopnia zintegrowania transportowego z siecią TEN-T</w:t>
            </w:r>
            <w:r w:rsidR="00D95EA5" w:rsidRPr="00237760">
              <w:rPr>
                <w:rFonts w:ascii="Arial" w:hAnsi="Arial" w:cs="Arial"/>
                <w:color w:val="auto"/>
                <w:sz w:val="24"/>
                <w:szCs w:val="24"/>
                <w:lang w:eastAsia="en-US"/>
              </w:rPr>
              <w:t xml:space="preserve"> oraz</w:t>
            </w:r>
            <w:r w:rsidR="00DA3084" w:rsidRPr="00237760">
              <w:rPr>
                <w:rFonts w:ascii="Arial" w:hAnsi="Arial" w:cs="Arial"/>
                <w:color w:val="auto"/>
                <w:sz w:val="24"/>
                <w:szCs w:val="24"/>
                <w:lang w:eastAsia="en-US"/>
              </w:rPr>
              <w:t xml:space="preserve"> potrzebę „dowiązania miast regionu do sieci TEN-T”;</w:t>
            </w:r>
          </w:p>
          <w:p w14:paraId="5A2BDB0E" w14:textId="1C546587" w:rsidR="00F16ADE" w:rsidRPr="00237760" w:rsidRDefault="002C0B71" w:rsidP="009367B4">
            <w:pPr>
              <w:pStyle w:val="Akapitzlist"/>
              <w:numPr>
                <w:ilvl w:val="0"/>
                <w:numId w:val="39"/>
              </w:numPr>
              <w:spacing w:after="0"/>
              <w:ind w:left="254" w:hanging="144"/>
              <w:jc w:val="left"/>
              <w:rPr>
                <w:rFonts w:ascii="Arial" w:hAnsi="Arial" w:cs="Arial"/>
                <w:color w:val="auto"/>
                <w:sz w:val="24"/>
                <w:szCs w:val="24"/>
                <w:lang w:eastAsia="en-US"/>
              </w:rPr>
            </w:pPr>
            <w:r w:rsidRPr="00237760">
              <w:rPr>
                <w:rFonts w:ascii="Arial" w:hAnsi="Arial" w:cs="Arial"/>
                <w:color w:val="auto"/>
                <w:sz w:val="24"/>
                <w:szCs w:val="24"/>
                <w:lang w:eastAsia="en-US"/>
              </w:rPr>
              <w:t>Do</w:t>
            </w:r>
            <w:r w:rsidR="004449A4" w:rsidRPr="00237760">
              <w:rPr>
                <w:rFonts w:ascii="Arial" w:hAnsi="Arial" w:cs="Arial"/>
                <w:color w:val="auto"/>
                <w:sz w:val="24"/>
                <w:szCs w:val="24"/>
                <w:lang w:eastAsia="en-US"/>
              </w:rPr>
              <w:t xml:space="preserve"> kierunków działań c</w:t>
            </w:r>
            <w:r w:rsidR="00FA3F60" w:rsidRPr="00237760">
              <w:rPr>
                <w:rFonts w:ascii="Arial" w:hAnsi="Arial" w:cs="Arial"/>
                <w:color w:val="auto"/>
                <w:sz w:val="24"/>
                <w:szCs w:val="24"/>
                <w:lang w:eastAsia="en-US"/>
              </w:rPr>
              <w:t>el</w:t>
            </w:r>
            <w:r w:rsidR="004449A4" w:rsidRPr="00237760">
              <w:rPr>
                <w:rFonts w:ascii="Arial" w:hAnsi="Arial" w:cs="Arial"/>
                <w:color w:val="auto"/>
                <w:sz w:val="24"/>
                <w:szCs w:val="24"/>
                <w:lang w:eastAsia="en-US"/>
              </w:rPr>
              <w:t>u</w:t>
            </w:r>
            <w:r w:rsidR="00FA3F60" w:rsidRPr="00237760">
              <w:rPr>
                <w:rFonts w:ascii="Arial" w:hAnsi="Arial" w:cs="Arial"/>
                <w:color w:val="auto"/>
                <w:sz w:val="24"/>
                <w:szCs w:val="24"/>
                <w:lang w:eastAsia="en-US"/>
              </w:rPr>
              <w:t xml:space="preserve"> </w:t>
            </w:r>
            <w:r w:rsidR="004449A4" w:rsidRPr="00237760">
              <w:rPr>
                <w:rFonts w:ascii="Arial" w:hAnsi="Arial" w:cs="Arial"/>
                <w:color w:val="auto"/>
                <w:sz w:val="24"/>
                <w:szCs w:val="24"/>
                <w:lang w:eastAsia="en-US"/>
              </w:rPr>
              <w:t>podstawowego</w:t>
            </w:r>
            <w:r w:rsidR="00FA3F60" w:rsidRPr="00237760">
              <w:rPr>
                <w:rFonts w:ascii="Arial" w:hAnsi="Arial" w:cs="Arial"/>
                <w:color w:val="auto"/>
                <w:sz w:val="24"/>
                <w:szCs w:val="24"/>
                <w:lang w:eastAsia="en-US"/>
              </w:rPr>
              <w:t xml:space="preserve"> 1. Dostępność zewnętrzna </w:t>
            </w:r>
            <w:r w:rsidRPr="00237760">
              <w:rPr>
                <w:rFonts w:ascii="Arial" w:hAnsi="Arial" w:cs="Arial"/>
                <w:color w:val="auto"/>
                <w:sz w:val="24"/>
                <w:szCs w:val="24"/>
                <w:lang w:eastAsia="en-US"/>
              </w:rPr>
              <w:t>wliczają się:</w:t>
            </w:r>
            <w:r w:rsidR="004449A4" w:rsidRPr="00237760">
              <w:rPr>
                <w:rFonts w:ascii="Arial" w:hAnsi="Arial" w:cs="Arial"/>
                <w:color w:val="auto"/>
                <w:sz w:val="24"/>
                <w:szCs w:val="24"/>
                <w:lang w:eastAsia="en-US"/>
              </w:rPr>
              <w:t xml:space="preserve"> „</w:t>
            </w:r>
            <w:r w:rsidRPr="00237760">
              <w:rPr>
                <w:rFonts w:ascii="Arial" w:hAnsi="Arial" w:cs="Arial"/>
                <w:color w:val="auto"/>
                <w:sz w:val="24"/>
                <w:szCs w:val="24"/>
                <w:lang w:eastAsia="en-US"/>
              </w:rPr>
              <w:t>Rozwój drogowej sieci transportowej w wymiarze krajowym i międzynarodowym w ramach sieci TEN-T (autostrady i drogi ekspresowe)</w:t>
            </w:r>
            <w:r w:rsidR="004449A4" w:rsidRPr="00237760">
              <w:rPr>
                <w:rFonts w:ascii="Arial" w:hAnsi="Arial" w:cs="Arial"/>
                <w:color w:val="auto"/>
                <w:sz w:val="24"/>
                <w:szCs w:val="24"/>
                <w:lang w:eastAsia="en-US"/>
              </w:rPr>
              <w:t>”</w:t>
            </w:r>
            <w:r w:rsidRPr="00237760">
              <w:rPr>
                <w:rFonts w:ascii="Arial" w:hAnsi="Arial" w:cs="Arial"/>
                <w:color w:val="auto"/>
                <w:sz w:val="24"/>
                <w:szCs w:val="24"/>
                <w:lang w:eastAsia="en-US"/>
              </w:rPr>
              <w:t xml:space="preserve"> oraz „Rozwój drogowej sieci transportowej wzmacniającej dostępność zewnętrzną poprzez przebudowę istniejących dróg krajowych, w tym powiązanie z siecią TEN-T (również na styku województw)”</w:t>
            </w:r>
            <w:r w:rsidR="003C43F3" w:rsidRPr="00237760">
              <w:rPr>
                <w:rFonts w:ascii="Arial" w:hAnsi="Arial" w:cs="Arial"/>
                <w:color w:val="auto"/>
                <w:sz w:val="24"/>
                <w:szCs w:val="24"/>
                <w:lang w:eastAsia="en-US"/>
              </w:rPr>
              <w:t>;</w:t>
            </w:r>
          </w:p>
          <w:p w14:paraId="66F5115A" w14:textId="40A19227" w:rsidR="00652999" w:rsidRPr="00237760" w:rsidRDefault="004778EB" w:rsidP="009367B4">
            <w:pPr>
              <w:pStyle w:val="Akapitzlist"/>
              <w:numPr>
                <w:ilvl w:val="0"/>
                <w:numId w:val="39"/>
              </w:numPr>
              <w:spacing w:after="0"/>
              <w:ind w:left="254" w:hanging="144"/>
              <w:jc w:val="left"/>
              <w:rPr>
                <w:rFonts w:ascii="Arial" w:hAnsi="Arial" w:cs="Arial"/>
                <w:color w:val="auto"/>
                <w:sz w:val="24"/>
                <w:szCs w:val="24"/>
                <w:lang w:eastAsia="en-US"/>
              </w:rPr>
            </w:pPr>
            <w:r w:rsidRPr="00237760">
              <w:rPr>
                <w:rFonts w:ascii="Arial" w:hAnsi="Arial" w:cs="Arial"/>
                <w:color w:val="auto"/>
                <w:sz w:val="24"/>
                <w:szCs w:val="24"/>
                <w:lang w:eastAsia="en-US"/>
              </w:rPr>
              <w:lastRenderedPageBreak/>
              <w:t xml:space="preserve">Najważniejszym kryterium </w:t>
            </w:r>
            <w:r w:rsidR="005774B5" w:rsidRPr="00237760">
              <w:rPr>
                <w:rFonts w:ascii="Arial" w:hAnsi="Arial" w:cs="Arial"/>
                <w:color w:val="auto"/>
                <w:sz w:val="24"/>
                <w:szCs w:val="24"/>
                <w:lang w:eastAsia="en-US"/>
              </w:rPr>
              <w:t xml:space="preserve">priorytetyzacji </w:t>
            </w:r>
            <w:r w:rsidRPr="00237760">
              <w:rPr>
                <w:rFonts w:ascii="Arial" w:hAnsi="Arial" w:cs="Arial"/>
                <w:color w:val="auto"/>
                <w:sz w:val="24"/>
                <w:szCs w:val="24"/>
                <w:lang w:eastAsia="en-US"/>
              </w:rPr>
              <w:t>projektów dotyczących infrastruktury drogowej</w:t>
            </w:r>
            <w:r w:rsidR="00236903" w:rsidRPr="00237760">
              <w:rPr>
                <w:rFonts w:ascii="Arial" w:hAnsi="Arial" w:cs="Arial"/>
                <w:color w:val="auto"/>
                <w:sz w:val="24"/>
                <w:szCs w:val="24"/>
                <w:lang w:eastAsia="en-US"/>
              </w:rPr>
              <w:t xml:space="preserve"> jest bezpośredniość połączenia do sieci TEN-T</w:t>
            </w:r>
            <w:r w:rsidRPr="00237760">
              <w:rPr>
                <w:rFonts w:ascii="Arial" w:hAnsi="Arial" w:cs="Arial"/>
                <w:color w:val="auto"/>
                <w:sz w:val="24"/>
                <w:szCs w:val="24"/>
                <w:lang w:eastAsia="en-US"/>
              </w:rPr>
              <w:t xml:space="preserve">, </w:t>
            </w:r>
            <w:r w:rsidR="00236903" w:rsidRPr="00237760">
              <w:rPr>
                <w:rFonts w:ascii="Arial" w:hAnsi="Arial" w:cs="Arial"/>
                <w:color w:val="auto"/>
                <w:sz w:val="24"/>
                <w:szCs w:val="24"/>
                <w:lang w:eastAsia="en-US"/>
              </w:rPr>
              <w:t xml:space="preserve">którą zdefiniowano jako </w:t>
            </w:r>
            <w:r w:rsidRPr="00237760">
              <w:rPr>
                <w:rFonts w:ascii="Arial" w:hAnsi="Arial" w:cs="Arial"/>
                <w:color w:val="auto"/>
                <w:sz w:val="24"/>
                <w:szCs w:val="24"/>
                <w:lang w:eastAsia="en-US"/>
              </w:rPr>
              <w:t>prowad</w:t>
            </w:r>
            <w:r w:rsidR="00236903" w:rsidRPr="00237760">
              <w:rPr>
                <w:rFonts w:ascii="Arial" w:hAnsi="Arial" w:cs="Arial"/>
                <w:color w:val="auto"/>
                <w:sz w:val="24"/>
                <w:szCs w:val="24"/>
                <w:lang w:eastAsia="en-US"/>
              </w:rPr>
              <w:t>zącą</w:t>
            </w:r>
            <w:r w:rsidRPr="00237760">
              <w:rPr>
                <w:rFonts w:ascii="Arial" w:hAnsi="Arial" w:cs="Arial"/>
                <w:color w:val="auto"/>
                <w:sz w:val="24"/>
                <w:szCs w:val="24"/>
                <w:lang w:eastAsia="en-US"/>
              </w:rPr>
              <w:t xml:space="preserve"> </w:t>
            </w:r>
            <w:r w:rsidR="00236903" w:rsidRPr="00237760">
              <w:rPr>
                <w:rFonts w:ascii="Arial" w:hAnsi="Arial" w:cs="Arial"/>
                <w:color w:val="auto"/>
                <w:sz w:val="24"/>
                <w:szCs w:val="24"/>
                <w:lang w:eastAsia="en-US"/>
              </w:rPr>
              <w:t>„</w:t>
            </w:r>
            <w:r w:rsidRPr="00237760">
              <w:rPr>
                <w:rFonts w:ascii="Arial" w:hAnsi="Arial" w:cs="Arial"/>
                <w:color w:val="auto"/>
                <w:sz w:val="24"/>
                <w:szCs w:val="24"/>
                <w:lang w:eastAsia="en-US"/>
              </w:rPr>
              <w:t>ruch bezpośrednio do szlaków drogowych, kolejowych, portów lotniczych a także terminali drogowo-kolejowych wchodzących w skład sieci TEN-T szczegółowo wskazanych w Rozporządzeniu Parlamentu Europejskiego i Rady (UE) nr 1315/2013 z dnia 11 grudnia 2013 r. w sprawie unijnych wytycznych dotyczących rozwoju transeuropejskiej sieci transportowej</w:t>
            </w:r>
            <w:r w:rsidR="00236903" w:rsidRPr="00237760">
              <w:rPr>
                <w:rFonts w:ascii="Arial" w:hAnsi="Arial" w:cs="Arial"/>
                <w:color w:val="auto"/>
                <w:sz w:val="24"/>
                <w:szCs w:val="24"/>
                <w:lang w:eastAsia="en-US"/>
              </w:rPr>
              <w:t>”</w:t>
            </w:r>
            <w:r w:rsidR="00F75C3A" w:rsidRPr="00237760">
              <w:rPr>
                <w:rFonts w:ascii="Arial" w:hAnsi="Arial" w:cs="Arial"/>
                <w:color w:val="auto"/>
                <w:sz w:val="24"/>
                <w:szCs w:val="24"/>
                <w:lang w:eastAsia="en-US"/>
              </w:rPr>
              <w:t>.</w:t>
            </w:r>
          </w:p>
        </w:tc>
        <w:tc>
          <w:tcPr>
            <w:tcW w:w="1276" w:type="dxa"/>
            <w:tcBorders>
              <w:top w:val="single" w:sz="4" w:space="0" w:color="BDD6EE" w:themeColor="accent1" w:themeTint="66"/>
              <w:left w:val="nil"/>
              <w:bottom w:val="single" w:sz="4" w:space="0" w:color="BDD6EE" w:themeColor="accent1" w:themeTint="66"/>
              <w:right w:val="nil"/>
            </w:tcBorders>
            <w:vAlign w:val="center"/>
          </w:tcPr>
          <w:p w14:paraId="62A78C39" w14:textId="77777777" w:rsidR="00240B01" w:rsidRPr="00237760" w:rsidRDefault="00240B01" w:rsidP="009367B4">
            <w:pPr>
              <w:spacing w:after="0" w:line="240" w:lineRule="auto"/>
              <w:ind w:left="720" w:hanging="360"/>
              <w:contextualSpacing/>
              <w:jc w:val="left"/>
              <w:rPr>
                <w:rFonts w:ascii="Arial" w:hAnsi="Arial" w:cs="Arial"/>
                <w:b/>
                <w:color w:val="auto"/>
                <w:sz w:val="24"/>
                <w:szCs w:val="24"/>
              </w:rPr>
            </w:pPr>
            <w:r w:rsidRPr="00237760">
              <w:rPr>
                <w:rFonts w:ascii="Arial" w:hAnsi="Arial" w:cs="Arial"/>
                <w:b/>
                <w:color w:val="auto"/>
                <w:sz w:val="24"/>
                <w:szCs w:val="24"/>
              </w:rPr>
              <w:lastRenderedPageBreak/>
              <w:t>+</w:t>
            </w:r>
          </w:p>
        </w:tc>
      </w:tr>
      <w:tr w:rsidR="00237760" w:rsidRPr="00237760" w14:paraId="50269AEE" w14:textId="77777777" w:rsidTr="00B32A20">
        <w:trPr>
          <w:trHeight w:val="70"/>
        </w:trPr>
        <w:tc>
          <w:tcPr>
            <w:tcW w:w="1990" w:type="dxa"/>
            <w:tcBorders>
              <w:top w:val="single" w:sz="4" w:space="0" w:color="BDD6EE" w:themeColor="accent1" w:themeTint="66"/>
              <w:left w:val="nil"/>
              <w:bottom w:val="single" w:sz="4" w:space="0" w:color="BDD6EE" w:themeColor="accent1" w:themeTint="66"/>
              <w:right w:val="nil"/>
            </w:tcBorders>
            <w:vAlign w:val="center"/>
          </w:tcPr>
          <w:p w14:paraId="2F658656" w14:textId="3D54B10C" w:rsidR="00240B01" w:rsidRPr="00237760" w:rsidRDefault="0084358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5. Zapewnienie interoperacyjności sieci kolejowej oraz, w stosownych przypadkach, przedstawienie sprawozdani</w:t>
            </w:r>
            <w:r w:rsidR="001A6BDA" w:rsidRPr="00237760">
              <w:rPr>
                <w:rFonts w:ascii="Arial" w:hAnsi="Arial" w:cs="Arial"/>
                <w:color w:val="auto"/>
                <w:sz w:val="24"/>
                <w:szCs w:val="24"/>
              </w:rPr>
              <w:t>a</w:t>
            </w:r>
            <w:r w:rsidRPr="00237760">
              <w:rPr>
                <w:rFonts w:ascii="Arial" w:hAnsi="Arial" w:cs="Arial"/>
                <w:color w:val="auto"/>
                <w:sz w:val="24"/>
                <w:szCs w:val="24"/>
              </w:rPr>
              <w:t xml:space="preserve"> z wdrażania europejskiego systemu zarządzania ruchem kolejowym (ERTMS) zgodnie z rozporządzeniem wykonawczym Komisji (UE) 2017/61</w:t>
            </w:r>
            <w:r w:rsidR="00430FEC" w:rsidRPr="00237760">
              <w:rPr>
                <w:rStyle w:val="Odwoanieprzypisudolnego"/>
                <w:rFonts w:ascii="Arial" w:hAnsi="Arial" w:cs="Arial"/>
                <w:color w:val="auto"/>
                <w:sz w:val="24"/>
                <w:szCs w:val="24"/>
              </w:rPr>
              <w:footnoteReference w:id="42"/>
            </w:r>
          </w:p>
        </w:tc>
        <w:tc>
          <w:tcPr>
            <w:tcW w:w="5812" w:type="dxa"/>
            <w:tcBorders>
              <w:top w:val="single" w:sz="4" w:space="0" w:color="BDD6EE" w:themeColor="accent1" w:themeTint="66"/>
              <w:left w:val="nil"/>
              <w:bottom w:val="single" w:sz="4" w:space="0" w:color="BDD6EE" w:themeColor="accent1" w:themeTint="66"/>
              <w:right w:val="nil"/>
            </w:tcBorders>
          </w:tcPr>
          <w:p w14:paraId="4C543B4A" w14:textId="77777777" w:rsidR="00240B01" w:rsidRPr="00237760" w:rsidRDefault="00F2001D" w:rsidP="009367B4">
            <w:pPr>
              <w:pStyle w:val="Akapitzlist"/>
              <w:numPr>
                <w:ilvl w:val="0"/>
                <w:numId w:val="39"/>
              </w:numPr>
              <w:spacing w:after="0"/>
              <w:ind w:left="254" w:hanging="144"/>
              <w:jc w:val="left"/>
              <w:rPr>
                <w:rFonts w:ascii="Arial" w:hAnsi="Arial" w:cs="Arial"/>
                <w:color w:val="auto"/>
                <w:sz w:val="24"/>
                <w:szCs w:val="24"/>
                <w:lang w:eastAsia="en-US"/>
              </w:rPr>
            </w:pPr>
            <w:r w:rsidRPr="00237760">
              <w:rPr>
                <w:rFonts w:ascii="Arial" w:hAnsi="Arial" w:cs="Arial"/>
                <w:color w:val="auto"/>
                <w:sz w:val="24"/>
                <w:szCs w:val="24"/>
                <w:lang w:eastAsia="en-US"/>
              </w:rPr>
              <w:t xml:space="preserve">W opisie </w:t>
            </w:r>
            <w:r w:rsidR="0052740A" w:rsidRPr="00237760">
              <w:rPr>
                <w:rFonts w:ascii="Arial" w:hAnsi="Arial" w:cs="Arial"/>
                <w:color w:val="auto"/>
                <w:sz w:val="24"/>
                <w:szCs w:val="24"/>
                <w:lang w:eastAsia="en-US"/>
              </w:rPr>
              <w:t>planowanych inwestycji</w:t>
            </w:r>
            <w:r w:rsidRPr="00237760">
              <w:rPr>
                <w:rFonts w:ascii="Arial" w:hAnsi="Arial" w:cs="Arial"/>
                <w:color w:val="auto"/>
                <w:sz w:val="24"/>
                <w:szCs w:val="24"/>
                <w:lang w:eastAsia="en-US"/>
              </w:rPr>
              <w:t xml:space="preserve"> w ramach celów podstawowego 1.</w:t>
            </w:r>
            <w:r w:rsidR="0052740A" w:rsidRPr="00237760">
              <w:rPr>
                <w:rFonts w:ascii="Arial" w:hAnsi="Arial" w:cs="Arial"/>
                <w:color w:val="auto"/>
                <w:sz w:val="24"/>
                <w:szCs w:val="24"/>
                <w:lang w:eastAsia="en-US"/>
              </w:rPr>
              <w:t xml:space="preserve"> podkreśla się znaczenie wzmocnienia roli transportu kolejowego </w:t>
            </w:r>
            <w:r w:rsidR="00DD12D2" w:rsidRPr="00237760">
              <w:rPr>
                <w:rFonts w:ascii="Arial" w:hAnsi="Arial" w:cs="Arial"/>
                <w:color w:val="auto"/>
                <w:sz w:val="24"/>
                <w:szCs w:val="24"/>
                <w:lang w:eastAsia="en-US"/>
              </w:rPr>
              <w:t xml:space="preserve">w stosunku do innych rodzajów transportu </w:t>
            </w:r>
            <w:r w:rsidR="00EE4F83" w:rsidRPr="00237760">
              <w:rPr>
                <w:rFonts w:ascii="Arial" w:hAnsi="Arial" w:cs="Arial"/>
                <w:color w:val="auto"/>
                <w:sz w:val="24"/>
                <w:szCs w:val="24"/>
                <w:lang w:eastAsia="en-US"/>
              </w:rPr>
              <w:t>jako zapewnienie realizacji „procesu sukcesywnego zwiększania stopnia interoperacyjności regionalnego systemu transportu kolejowego w ramach systemu transportu kolejowego krajowego oraz w UE”;</w:t>
            </w:r>
          </w:p>
          <w:p w14:paraId="4746FF33" w14:textId="77777777" w:rsidR="00E45CC9" w:rsidRPr="00237760" w:rsidRDefault="005B42B7" w:rsidP="009367B4">
            <w:pPr>
              <w:pStyle w:val="Akapitzlist"/>
              <w:numPr>
                <w:ilvl w:val="0"/>
                <w:numId w:val="39"/>
              </w:numPr>
              <w:spacing w:after="0"/>
              <w:ind w:left="254" w:hanging="144"/>
              <w:jc w:val="left"/>
              <w:rPr>
                <w:rFonts w:ascii="Arial" w:hAnsi="Arial" w:cs="Arial"/>
                <w:color w:val="auto"/>
                <w:sz w:val="24"/>
                <w:szCs w:val="24"/>
                <w:lang w:eastAsia="en-US"/>
              </w:rPr>
            </w:pPr>
            <w:r w:rsidRPr="00237760">
              <w:rPr>
                <w:rFonts w:ascii="Arial" w:hAnsi="Arial" w:cs="Arial"/>
                <w:color w:val="auto"/>
                <w:sz w:val="24"/>
                <w:szCs w:val="24"/>
                <w:lang w:eastAsia="en-US"/>
              </w:rPr>
              <w:t xml:space="preserve">Działania dążące do zwiększenia konkurencyjności transportu kolejowego </w:t>
            </w:r>
            <w:r w:rsidR="001E4E99" w:rsidRPr="00237760">
              <w:rPr>
                <w:rFonts w:ascii="Arial" w:hAnsi="Arial" w:cs="Arial"/>
                <w:color w:val="auto"/>
                <w:sz w:val="24"/>
                <w:szCs w:val="24"/>
                <w:lang w:eastAsia="en-US"/>
              </w:rPr>
              <w:t>zawiera</w:t>
            </w:r>
            <w:r w:rsidR="001D0E2A" w:rsidRPr="00237760">
              <w:rPr>
                <w:rFonts w:ascii="Arial" w:hAnsi="Arial" w:cs="Arial"/>
                <w:color w:val="auto"/>
                <w:sz w:val="24"/>
                <w:szCs w:val="24"/>
                <w:lang w:eastAsia="en-US"/>
              </w:rPr>
              <w:t>ją</w:t>
            </w:r>
            <w:r w:rsidR="001E4E99" w:rsidRPr="00237760">
              <w:rPr>
                <w:rFonts w:ascii="Arial" w:hAnsi="Arial" w:cs="Arial"/>
                <w:color w:val="auto"/>
                <w:sz w:val="24"/>
                <w:szCs w:val="24"/>
                <w:lang w:eastAsia="en-US"/>
              </w:rPr>
              <w:t xml:space="preserve"> większość celów</w:t>
            </w:r>
            <w:r w:rsidR="0043286E" w:rsidRPr="00237760">
              <w:rPr>
                <w:rFonts w:ascii="Arial" w:hAnsi="Arial" w:cs="Arial"/>
                <w:color w:val="auto"/>
                <w:sz w:val="24"/>
                <w:szCs w:val="24"/>
                <w:lang w:eastAsia="en-US"/>
              </w:rPr>
              <w:t>:</w:t>
            </w:r>
            <w:r w:rsidRPr="00237760">
              <w:rPr>
                <w:rFonts w:ascii="Arial" w:hAnsi="Arial" w:cs="Arial"/>
                <w:color w:val="auto"/>
                <w:sz w:val="24"/>
                <w:szCs w:val="24"/>
                <w:lang w:eastAsia="en-US"/>
              </w:rPr>
              <w:t xml:space="preserve"> </w:t>
            </w:r>
          </w:p>
          <w:p w14:paraId="1F634433" w14:textId="77777777" w:rsidR="00090F0C" w:rsidRPr="00237760" w:rsidRDefault="005B42B7" w:rsidP="009367B4">
            <w:pPr>
              <w:pStyle w:val="Akapitzlist"/>
              <w:numPr>
                <w:ilvl w:val="0"/>
                <w:numId w:val="52"/>
              </w:numPr>
              <w:spacing w:after="0"/>
              <w:ind w:left="537" w:hanging="144"/>
              <w:jc w:val="left"/>
              <w:rPr>
                <w:rFonts w:ascii="Arial" w:hAnsi="Arial" w:cs="Arial"/>
                <w:color w:val="auto"/>
                <w:sz w:val="24"/>
                <w:szCs w:val="24"/>
              </w:rPr>
            </w:pPr>
            <w:r w:rsidRPr="00237760">
              <w:rPr>
                <w:rFonts w:ascii="Arial" w:hAnsi="Arial" w:cs="Arial"/>
                <w:color w:val="auto"/>
                <w:sz w:val="24"/>
                <w:szCs w:val="24"/>
              </w:rPr>
              <w:t>cel</w:t>
            </w:r>
            <w:r w:rsidR="0043286E" w:rsidRPr="00237760">
              <w:rPr>
                <w:rFonts w:ascii="Arial" w:hAnsi="Arial" w:cs="Arial"/>
                <w:color w:val="auto"/>
                <w:sz w:val="24"/>
                <w:szCs w:val="24"/>
              </w:rPr>
              <w:t xml:space="preserve"> podstawowy 1. </w:t>
            </w:r>
            <w:r w:rsidR="00594659" w:rsidRPr="00237760">
              <w:rPr>
                <w:rFonts w:ascii="Arial" w:hAnsi="Arial" w:cs="Arial"/>
                <w:color w:val="auto"/>
                <w:sz w:val="24"/>
                <w:szCs w:val="24"/>
              </w:rPr>
              <w:t xml:space="preserve">(np. </w:t>
            </w:r>
            <w:r w:rsidR="00B848D9" w:rsidRPr="00237760">
              <w:rPr>
                <w:rFonts w:ascii="Arial" w:hAnsi="Arial" w:cs="Arial"/>
                <w:color w:val="auto"/>
                <w:sz w:val="24"/>
                <w:szCs w:val="24"/>
              </w:rPr>
              <w:t xml:space="preserve">Skomunikowane drogowe z węzłami kolejowymi (w tym powstałe w ramach CPK), </w:t>
            </w:r>
            <w:r w:rsidR="00420644" w:rsidRPr="00237760">
              <w:rPr>
                <w:rFonts w:ascii="Arial" w:hAnsi="Arial" w:cs="Arial"/>
                <w:color w:val="auto"/>
                <w:sz w:val="24"/>
                <w:szCs w:val="24"/>
              </w:rPr>
              <w:t xml:space="preserve">Poprawa dostępności do kolei w układzie Rzeszów – granica państwa z Ukrainą, i.in.), </w:t>
            </w:r>
          </w:p>
          <w:p w14:paraId="488800AA" w14:textId="77777777" w:rsidR="00090F0C" w:rsidRPr="00237760" w:rsidRDefault="00420644" w:rsidP="009367B4">
            <w:pPr>
              <w:pStyle w:val="Akapitzlist"/>
              <w:numPr>
                <w:ilvl w:val="0"/>
                <w:numId w:val="52"/>
              </w:numPr>
              <w:spacing w:after="0"/>
              <w:ind w:left="537" w:hanging="144"/>
              <w:jc w:val="left"/>
              <w:rPr>
                <w:rFonts w:ascii="Arial" w:hAnsi="Arial" w:cs="Arial"/>
                <w:color w:val="auto"/>
                <w:sz w:val="24"/>
                <w:szCs w:val="24"/>
              </w:rPr>
            </w:pPr>
            <w:r w:rsidRPr="00237760">
              <w:rPr>
                <w:rFonts w:ascii="Arial" w:hAnsi="Arial" w:cs="Arial"/>
                <w:color w:val="auto"/>
                <w:sz w:val="24"/>
                <w:szCs w:val="24"/>
              </w:rPr>
              <w:t xml:space="preserve">cel podstawowy 2. (np. </w:t>
            </w:r>
            <w:r w:rsidR="00901329" w:rsidRPr="00237760">
              <w:rPr>
                <w:rFonts w:ascii="Arial" w:hAnsi="Arial" w:cs="Arial"/>
                <w:color w:val="auto"/>
                <w:sz w:val="24"/>
                <w:szCs w:val="24"/>
              </w:rPr>
              <w:t xml:space="preserve">Skrócenie czasu dojazdu do Rzeszowa z miast powiatowych </w:t>
            </w:r>
            <w:r w:rsidR="00901329" w:rsidRPr="00237760">
              <w:rPr>
                <w:rFonts w:ascii="Arial" w:hAnsi="Arial" w:cs="Arial"/>
                <w:color w:val="auto"/>
                <w:sz w:val="24"/>
                <w:szCs w:val="24"/>
              </w:rPr>
              <w:lastRenderedPageBreak/>
              <w:t xml:space="preserve">dzięki inwestycjom w infrastrukturę kolejową oraz na skutek zmian organizacyjnych (np. częstotliwość połączeń kolejowych), </w:t>
            </w:r>
            <w:r w:rsidR="00D661B8" w:rsidRPr="00237760">
              <w:rPr>
                <w:rFonts w:ascii="Arial" w:hAnsi="Arial" w:cs="Arial"/>
                <w:color w:val="auto"/>
                <w:sz w:val="24"/>
                <w:szCs w:val="24"/>
              </w:rPr>
              <w:t>Poprawa dostępności komunikacyjnej obszarów poza MOF (obszarów peryferyjnych) w wymiarze lokalnym, regionalnym, krajowym i transgranicznym, w tym w relacji do najbliższego regionalnego bieguna wzrostu, i.in.)</w:t>
            </w:r>
            <w:r w:rsidR="009E3193" w:rsidRPr="00237760">
              <w:rPr>
                <w:rFonts w:ascii="Arial" w:hAnsi="Arial" w:cs="Arial"/>
                <w:color w:val="auto"/>
                <w:sz w:val="24"/>
                <w:szCs w:val="24"/>
              </w:rPr>
              <w:t xml:space="preserve">, </w:t>
            </w:r>
          </w:p>
          <w:p w14:paraId="116F1489" w14:textId="77777777" w:rsidR="00090F0C" w:rsidRPr="00237760" w:rsidRDefault="009E3193" w:rsidP="009367B4">
            <w:pPr>
              <w:pStyle w:val="Akapitzlist"/>
              <w:numPr>
                <w:ilvl w:val="0"/>
                <w:numId w:val="52"/>
              </w:numPr>
              <w:spacing w:after="0"/>
              <w:ind w:left="537" w:hanging="144"/>
              <w:jc w:val="left"/>
              <w:rPr>
                <w:rFonts w:ascii="Arial" w:hAnsi="Arial" w:cs="Arial"/>
                <w:color w:val="auto"/>
                <w:sz w:val="24"/>
                <w:szCs w:val="24"/>
              </w:rPr>
            </w:pPr>
            <w:r w:rsidRPr="00237760">
              <w:rPr>
                <w:rFonts w:ascii="Arial" w:hAnsi="Arial" w:cs="Arial"/>
                <w:color w:val="auto"/>
                <w:sz w:val="24"/>
                <w:szCs w:val="24"/>
              </w:rPr>
              <w:t>cel podstawowy 3. (np.</w:t>
            </w:r>
            <w:r w:rsidR="00543545" w:rsidRPr="00237760">
              <w:rPr>
                <w:rFonts w:ascii="Arial" w:hAnsi="Arial" w:cs="Arial"/>
                <w:color w:val="auto"/>
                <w:sz w:val="24"/>
                <w:szCs w:val="24"/>
              </w:rPr>
              <w:t xml:space="preserve"> Rozwój i integracja połączeń kolejowych w ramach Czwórmiasta, powiązanie z siecią CPK.</w:t>
            </w:r>
            <w:r w:rsidR="00BE012A" w:rsidRPr="00237760">
              <w:rPr>
                <w:rFonts w:ascii="Arial" w:hAnsi="Arial" w:cs="Arial"/>
                <w:color w:val="auto"/>
                <w:sz w:val="24"/>
                <w:szCs w:val="24"/>
              </w:rPr>
              <w:t xml:space="preserve"> oraz Rozwój szybkiej kolei miejskiej – Podmiejskiej Kolei Aglomeracyjnej, obsługującej ROF wraz z budową linii kolejowej do Portu Lotniczego „Rzeszów-Jasionka”</w:t>
            </w:r>
            <w:r w:rsidR="0083165A" w:rsidRPr="00237760">
              <w:rPr>
                <w:rFonts w:ascii="Arial" w:hAnsi="Arial" w:cs="Arial"/>
                <w:color w:val="auto"/>
                <w:sz w:val="24"/>
                <w:szCs w:val="24"/>
              </w:rPr>
              <w:t>, i. in.)</w:t>
            </w:r>
            <w:r w:rsidR="00C26791" w:rsidRPr="00237760">
              <w:rPr>
                <w:rFonts w:ascii="Arial" w:hAnsi="Arial" w:cs="Arial"/>
                <w:color w:val="auto"/>
                <w:sz w:val="24"/>
                <w:szCs w:val="24"/>
              </w:rPr>
              <w:t>,</w:t>
            </w:r>
          </w:p>
          <w:p w14:paraId="4A7D85B2" w14:textId="77777777" w:rsidR="00090F0C" w:rsidRPr="00237760" w:rsidRDefault="001D0E2A" w:rsidP="009367B4">
            <w:pPr>
              <w:pStyle w:val="Akapitzlist"/>
              <w:numPr>
                <w:ilvl w:val="0"/>
                <w:numId w:val="52"/>
              </w:numPr>
              <w:spacing w:after="0"/>
              <w:ind w:left="537" w:hanging="144"/>
              <w:jc w:val="left"/>
              <w:rPr>
                <w:rFonts w:ascii="Arial" w:hAnsi="Arial" w:cs="Arial"/>
                <w:color w:val="auto"/>
                <w:sz w:val="24"/>
                <w:szCs w:val="24"/>
                <w:lang w:eastAsia="en-US"/>
              </w:rPr>
            </w:pPr>
            <w:r w:rsidRPr="00237760">
              <w:rPr>
                <w:rFonts w:ascii="Arial" w:hAnsi="Arial" w:cs="Arial"/>
                <w:color w:val="auto"/>
                <w:sz w:val="24"/>
                <w:szCs w:val="24"/>
                <w:lang w:eastAsia="en-US"/>
              </w:rPr>
              <w:t>cel horyzontalny 2. (np. Zwiększenie funkcjonalności kolei poprzez modernizacje oraz zakup nowoczesnego taboru kolejowego oraz Budowa zintegrowanych węzłów przesiadkowych (pasażerskich) pomiędzy transportem lotniczym, kolejowym i drogowym (autobusowym, komunikacją miejską oraz transportem indywidualnym) oraz budowa i rozbudowa infrastruktury typu P&amp;R, B&amp;R oraz K&amp;R</w:t>
            </w:r>
            <w:r w:rsidR="00FE79A9" w:rsidRPr="00237760">
              <w:rPr>
                <w:rFonts w:ascii="Arial" w:hAnsi="Arial" w:cs="Arial"/>
                <w:color w:val="auto"/>
                <w:sz w:val="24"/>
                <w:szCs w:val="24"/>
                <w:lang w:eastAsia="en-US"/>
              </w:rPr>
              <w:t xml:space="preserve">, i.in.), </w:t>
            </w:r>
          </w:p>
          <w:p w14:paraId="64516EF7" w14:textId="77777777" w:rsidR="00090F0C" w:rsidRPr="00237760" w:rsidRDefault="00A5723A" w:rsidP="009367B4">
            <w:pPr>
              <w:pStyle w:val="Akapitzlist"/>
              <w:numPr>
                <w:ilvl w:val="0"/>
                <w:numId w:val="52"/>
              </w:numPr>
              <w:spacing w:after="0"/>
              <w:ind w:left="537" w:hanging="144"/>
              <w:jc w:val="left"/>
              <w:rPr>
                <w:rFonts w:ascii="Arial" w:hAnsi="Arial" w:cs="Arial"/>
                <w:color w:val="auto"/>
                <w:sz w:val="24"/>
                <w:szCs w:val="24"/>
                <w:lang w:eastAsia="en-US"/>
              </w:rPr>
            </w:pPr>
            <w:r w:rsidRPr="00237760">
              <w:rPr>
                <w:rFonts w:ascii="Arial" w:hAnsi="Arial" w:cs="Arial"/>
                <w:color w:val="auto"/>
                <w:sz w:val="24"/>
                <w:szCs w:val="24"/>
                <w:lang w:eastAsia="en-US"/>
              </w:rPr>
              <w:t xml:space="preserve">cel horyzontalny </w:t>
            </w:r>
            <w:r w:rsidR="00FD6DC9" w:rsidRPr="00237760">
              <w:rPr>
                <w:rFonts w:ascii="Arial" w:hAnsi="Arial" w:cs="Arial"/>
                <w:color w:val="auto"/>
                <w:sz w:val="24"/>
                <w:szCs w:val="24"/>
                <w:lang w:eastAsia="en-US"/>
              </w:rPr>
              <w:t>3. (Rozwój połączeń autobusowych i kolejowych zapewniających transport obszarom dotkniętym wykluczeniem transportowym</w:t>
            </w:r>
            <w:r w:rsidR="00C73B82" w:rsidRPr="00237760">
              <w:rPr>
                <w:rFonts w:ascii="Arial" w:hAnsi="Arial" w:cs="Arial"/>
                <w:color w:val="auto"/>
                <w:sz w:val="24"/>
                <w:szCs w:val="24"/>
                <w:lang w:eastAsia="en-US"/>
              </w:rPr>
              <w:t xml:space="preserve"> oraz Zwiększenie funkcjonalności </w:t>
            </w:r>
            <w:r w:rsidR="00C73B82" w:rsidRPr="00237760">
              <w:rPr>
                <w:rFonts w:ascii="Arial" w:hAnsi="Arial" w:cs="Arial"/>
                <w:color w:val="auto"/>
                <w:sz w:val="24"/>
                <w:szCs w:val="24"/>
                <w:lang w:eastAsia="en-US"/>
              </w:rPr>
              <w:lastRenderedPageBreak/>
              <w:t xml:space="preserve">kolei poprzez modernizacje oraz zakup nowoczesnego taboru kolejowego), </w:t>
            </w:r>
          </w:p>
          <w:p w14:paraId="5A348374" w14:textId="61B127D1" w:rsidR="00EE4F83" w:rsidRPr="00237760" w:rsidRDefault="00C73B82" w:rsidP="009367B4">
            <w:pPr>
              <w:pStyle w:val="Akapitzlist"/>
              <w:numPr>
                <w:ilvl w:val="0"/>
                <w:numId w:val="52"/>
              </w:numPr>
              <w:spacing w:after="0"/>
              <w:ind w:left="537" w:hanging="144"/>
              <w:jc w:val="left"/>
              <w:rPr>
                <w:rFonts w:ascii="Arial" w:hAnsi="Arial" w:cs="Arial"/>
                <w:color w:val="auto"/>
                <w:sz w:val="24"/>
                <w:szCs w:val="24"/>
                <w:lang w:eastAsia="en-US"/>
              </w:rPr>
            </w:pPr>
            <w:r w:rsidRPr="00237760">
              <w:rPr>
                <w:rFonts w:ascii="Arial" w:hAnsi="Arial" w:cs="Arial"/>
                <w:color w:val="auto"/>
                <w:sz w:val="24"/>
                <w:szCs w:val="24"/>
                <w:lang w:eastAsia="en-US"/>
              </w:rPr>
              <w:t>cel horyzontalny 4</w:t>
            </w:r>
            <w:r w:rsidR="007E17AF" w:rsidRPr="00237760">
              <w:rPr>
                <w:rFonts w:ascii="Arial" w:hAnsi="Arial" w:cs="Arial"/>
                <w:color w:val="auto"/>
                <w:sz w:val="24"/>
                <w:szCs w:val="24"/>
                <w:lang w:eastAsia="en-US"/>
              </w:rPr>
              <w:t>.</w:t>
            </w:r>
            <w:r w:rsidR="000A4992" w:rsidRPr="00237760">
              <w:rPr>
                <w:rFonts w:ascii="Arial" w:hAnsi="Arial" w:cs="Arial"/>
                <w:color w:val="auto"/>
                <w:sz w:val="24"/>
                <w:szCs w:val="24"/>
                <w:lang w:eastAsia="en-US"/>
              </w:rPr>
              <w:t xml:space="preserve"> (np. Tworzenie infrastruktury technicznej (kolejowej i drogowej) celem zapewnienia bezpieczeństwa szlaków komunikacyjnych oraz Poprawa bezpieczeństwa uczestników ruchu oraz przewożonych towarów (m.in. poprzez budowę bezkolizyjnych przejazdów drogowo-kolejowych</w:t>
            </w:r>
            <w:r w:rsidR="00C70439" w:rsidRPr="00237760">
              <w:rPr>
                <w:rFonts w:ascii="Arial" w:hAnsi="Arial" w:cs="Arial"/>
                <w:color w:val="auto"/>
                <w:sz w:val="24"/>
                <w:szCs w:val="24"/>
                <w:lang w:eastAsia="en-US"/>
              </w:rPr>
              <w:t>, i.in.);</w:t>
            </w:r>
          </w:p>
          <w:p w14:paraId="10A8AACB" w14:textId="25483964" w:rsidR="00746E2B" w:rsidRPr="00237760" w:rsidRDefault="00746E2B" w:rsidP="009367B4">
            <w:pPr>
              <w:pStyle w:val="Akapitzlist"/>
              <w:numPr>
                <w:ilvl w:val="0"/>
                <w:numId w:val="39"/>
              </w:numPr>
              <w:spacing w:after="0"/>
              <w:ind w:left="254" w:hanging="144"/>
              <w:jc w:val="left"/>
              <w:rPr>
                <w:rFonts w:ascii="Arial" w:hAnsi="Arial" w:cs="Arial"/>
                <w:color w:val="auto"/>
                <w:sz w:val="24"/>
                <w:szCs w:val="24"/>
                <w:lang w:eastAsia="en-US"/>
              </w:rPr>
            </w:pPr>
            <w:r w:rsidRPr="00237760">
              <w:rPr>
                <w:rFonts w:ascii="Arial" w:hAnsi="Arial" w:cs="Arial"/>
                <w:color w:val="auto"/>
                <w:sz w:val="24"/>
                <w:szCs w:val="24"/>
                <w:lang w:eastAsia="en-US"/>
              </w:rPr>
              <w:t xml:space="preserve">Wśród planowanych inwestycji </w:t>
            </w:r>
            <w:r w:rsidR="00E14F8E" w:rsidRPr="00237760">
              <w:rPr>
                <w:rFonts w:ascii="Arial" w:hAnsi="Arial" w:cs="Arial"/>
                <w:color w:val="auto"/>
                <w:sz w:val="24"/>
                <w:szCs w:val="24"/>
                <w:lang w:eastAsia="en-US"/>
              </w:rPr>
              <w:t>znalazły się: Zabudowa ERTMS-ETCS na liniach sieci bazowej TEN-T. Zakres (linia kolejowa nr): 91 oraz Bezemisyjny tabor kolejowy wyposażony w odpowiednie urządzenia ERTMS - wykorzystywany w przewozach pasażerskich lub intermodalnych o charakterze regionalnym (elektryczny lub wodorowy), w tym miejskich, podmiejskich oraz aglomeracyjnych (z możliwością obsługi połączeń wychodzących poza obszar województwa).</w:t>
            </w:r>
          </w:p>
        </w:tc>
        <w:tc>
          <w:tcPr>
            <w:tcW w:w="1276" w:type="dxa"/>
            <w:tcBorders>
              <w:top w:val="single" w:sz="4" w:space="0" w:color="BDD6EE" w:themeColor="accent1" w:themeTint="66"/>
              <w:left w:val="nil"/>
              <w:bottom w:val="single" w:sz="4" w:space="0" w:color="BDD6EE" w:themeColor="accent1" w:themeTint="66"/>
              <w:right w:val="nil"/>
            </w:tcBorders>
            <w:vAlign w:val="center"/>
          </w:tcPr>
          <w:p w14:paraId="31ACE053" w14:textId="77777777" w:rsidR="00240B01" w:rsidRPr="00237760" w:rsidRDefault="00240B01" w:rsidP="009367B4">
            <w:pPr>
              <w:spacing w:after="0" w:line="240" w:lineRule="auto"/>
              <w:ind w:left="720" w:hanging="360"/>
              <w:contextualSpacing/>
              <w:jc w:val="left"/>
              <w:rPr>
                <w:rFonts w:ascii="Arial" w:hAnsi="Arial" w:cs="Arial"/>
                <w:b/>
                <w:color w:val="auto"/>
                <w:sz w:val="24"/>
                <w:szCs w:val="24"/>
              </w:rPr>
            </w:pPr>
            <w:r w:rsidRPr="00237760">
              <w:rPr>
                <w:rFonts w:ascii="Arial" w:hAnsi="Arial" w:cs="Arial"/>
                <w:b/>
                <w:color w:val="auto"/>
                <w:sz w:val="24"/>
                <w:szCs w:val="24"/>
              </w:rPr>
              <w:lastRenderedPageBreak/>
              <w:t>+</w:t>
            </w:r>
          </w:p>
        </w:tc>
      </w:tr>
      <w:tr w:rsidR="00237760" w:rsidRPr="00237760" w14:paraId="78C12FE5" w14:textId="77777777" w:rsidTr="00B32A20">
        <w:trPr>
          <w:trHeight w:val="70"/>
        </w:trPr>
        <w:tc>
          <w:tcPr>
            <w:tcW w:w="1990" w:type="dxa"/>
            <w:tcBorders>
              <w:top w:val="single" w:sz="4" w:space="0" w:color="BDD6EE" w:themeColor="accent1" w:themeTint="66"/>
              <w:left w:val="nil"/>
              <w:bottom w:val="single" w:sz="4" w:space="0" w:color="BDD6EE" w:themeColor="accent1" w:themeTint="66"/>
              <w:right w:val="nil"/>
            </w:tcBorders>
            <w:vAlign w:val="center"/>
          </w:tcPr>
          <w:p w14:paraId="741280F0" w14:textId="765B8560" w:rsidR="00240B01" w:rsidRPr="00237760" w:rsidRDefault="00FA092F"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lastRenderedPageBreak/>
              <w:t>6. Wspieranie multimodalności, określanie potrzeb w zakresie transportu multimodalnego lub przeładunkowego oraz terminali pasażerskich</w:t>
            </w:r>
          </w:p>
        </w:tc>
        <w:tc>
          <w:tcPr>
            <w:tcW w:w="5812" w:type="dxa"/>
            <w:tcBorders>
              <w:top w:val="single" w:sz="4" w:space="0" w:color="BDD6EE" w:themeColor="accent1" w:themeTint="66"/>
              <w:left w:val="nil"/>
              <w:bottom w:val="single" w:sz="4" w:space="0" w:color="BDD6EE" w:themeColor="accent1" w:themeTint="66"/>
              <w:right w:val="nil"/>
            </w:tcBorders>
            <w:vAlign w:val="center"/>
          </w:tcPr>
          <w:p w14:paraId="04E96749" w14:textId="7378B74F" w:rsidR="00240B01" w:rsidRPr="00237760" w:rsidRDefault="009309FA" w:rsidP="009367B4">
            <w:pPr>
              <w:pStyle w:val="Akapitzlist"/>
              <w:numPr>
                <w:ilvl w:val="0"/>
                <w:numId w:val="39"/>
              </w:numPr>
              <w:spacing w:after="0"/>
              <w:ind w:left="254" w:hanging="144"/>
              <w:jc w:val="left"/>
              <w:rPr>
                <w:rFonts w:ascii="Arial" w:hAnsi="Arial" w:cs="Arial"/>
                <w:color w:val="auto"/>
                <w:sz w:val="24"/>
                <w:szCs w:val="24"/>
                <w:lang w:eastAsia="en-US"/>
              </w:rPr>
            </w:pPr>
            <w:r w:rsidRPr="00237760">
              <w:rPr>
                <w:rFonts w:ascii="Arial" w:hAnsi="Arial" w:cs="Arial"/>
                <w:color w:val="auto"/>
                <w:sz w:val="24"/>
                <w:szCs w:val="24"/>
                <w:lang w:eastAsia="en-US"/>
              </w:rPr>
              <w:t xml:space="preserve">Temu </w:t>
            </w:r>
            <w:r w:rsidR="0029469B" w:rsidRPr="00237760">
              <w:rPr>
                <w:rFonts w:ascii="Arial" w:hAnsi="Arial" w:cs="Arial"/>
                <w:color w:val="auto"/>
                <w:sz w:val="24"/>
                <w:szCs w:val="24"/>
                <w:lang w:eastAsia="en-US"/>
              </w:rPr>
              <w:t>kryteriu</w:t>
            </w:r>
            <w:r w:rsidR="00A7424E" w:rsidRPr="00237760">
              <w:rPr>
                <w:rFonts w:ascii="Arial" w:hAnsi="Arial" w:cs="Arial"/>
                <w:color w:val="auto"/>
                <w:sz w:val="24"/>
                <w:szCs w:val="24"/>
                <w:lang w:eastAsia="en-US"/>
              </w:rPr>
              <w:t>m podporządkowany jest cel</w:t>
            </w:r>
            <w:r w:rsidR="00C45EFD" w:rsidRPr="00237760">
              <w:rPr>
                <w:rFonts w:ascii="Arial" w:hAnsi="Arial" w:cs="Arial"/>
                <w:color w:val="auto"/>
                <w:sz w:val="24"/>
                <w:szCs w:val="24"/>
                <w:lang w:eastAsia="en-US"/>
              </w:rPr>
              <w:t xml:space="preserve"> horyzontalny 2. Wzmocnienie rozwiązań multimodalnych</w:t>
            </w:r>
            <w:r w:rsidR="007C7A50" w:rsidRPr="00237760">
              <w:rPr>
                <w:rFonts w:ascii="Arial" w:hAnsi="Arial" w:cs="Arial"/>
                <w:color w:val="auto"/>
                <w:sz w:val="24"/>
                <w:szCs w:val="24"/>
                <w:lang w:eastAsia="en-US"/>
              </w:rPr>
              <w:t xml:space="preserve"> w ramach którego określono 13 kierunków działań będących przejawem</w:t>
            </w:r>
            <w:r w:rsidR="00B6019C" w:rsidRPr="00237760">
              <w:rPr>
                <w:rFonts w:ascii="Arial" w:hAnsi="Arial" w:cs="Arial"/>
                <w:color w:val="auto"/>
                <w:sz w:val="24"/>
                <w:szCs w:val="24"/>
                <w:lang w:eastAsia="en-US"/>
              </w:rPr>
              <w:t xml:space="preserve"> realizacji</w:t>
            </w:r>
            <w:r w:rsidR="007C7A50" w:rsidRPr="00237760">
              <w:rPr>
                <w:rFonts w:ascii="Arial" w:hAnsi="Arial" w:cs="Arial"/>
                <w:color w:val="auto"/>
                <w:sz w:val="24"/>
                <w:szCs w:val="24"/>
                <w:lang w:eastAsia="en-US"/>
              </w:rPr>
              <w:t xml:space="preserve"> potrzeb w zakresie rozwoju transportu multimodalnego, przeładunkowego oraz terminali pasażerskich</w:t>
            </w:r>
            <w:r w:rsidR="00B6019C" w:rsidRPr="00237760">
              <w:rPr>
                <w:rFonts w:ascii="Arial" w:hAnsi="Arial" w:cs="Arial"/>
                <w:color w:val="auto"/>
                <w:sz w:val="24"/>
                <w:szCs w:val="24"/>
                <w:lang w:eastAsia="en-US"/>
              </w:rPr>
              <w:t>.</w:t>
            </w:r>
          </w:p>
        </w:tc>
        <w:tc>
          <w:tcPr>
            <w:tcW w:w="1276" w:type="dxa"/>
            <w:tcBorders>
              <w:top w:val="single" w:sz="4" w:space="0" w:color="BDD6EE" w:themeColor="accent1" w:themeTint="66"/>
              <w:left w:val="nil"/>
              <w:bottom w:val="single" w:sz="4" w:space="0" w:color="BDD6EE" w:themeColor="accent1" w:themeTint="66"/>
              <w:right w:val="nil"/>
            </w:tcBorders>
            <w:vAlign w:val="center"/>
          </w:tcPr>
          <w:p w14:paraId="092C04CF" w14:textId="77777777" w:rsidR="00240B01" w:rsidRPr="00237760" w:rsidRDefault="00240B01" w:rsidP="009367B4">
            <w:pPr>
              <w:spacing w:after="0" w:line="240" w:lineRule="auto"/>
              <w:ind w:left="720" w:hanging="360"/>
              <w:contextualSpacing/>
              <w:jc w:val="left"/>
              <w:rPr>
                <w:rFonts w:ascii="Arial" w:hAnsi="Arial" w:cs="Arial"/>
                <w:b/>
                <w:color w:val="auto"/>
                <w:sz w:val="24"/>
                <w:szCs w:val="24"/>
              </w:rPr>
            </w:pPr>
            <w:r w:rsidRPr="00237760">
              <w:rPr>
                <w:rFonts w:ascii="Arial" w:hAnsi="Arial" w:cs="Arial"/>
                <w:b/>
                <w:color w:val="auto"/>
                <w:sz w:val="24"/>
                <w:szCs w:val="24"/>
              </w:rPr>
              <w:t>+</w:t>
            </w:r>
          </w:p>
        </w:tc>
      </w:tr>
      <w:tr w:rsidR="00237760" w:rsidRPr="00237760" w14:paraId="1E6DF9B2" w14:textId="77777777" w:rsidTr="00B32A20">
        <w:trPr>
          <w:trHeight w:val="70"/>
        </w:trPr>
        <w:tc>
          <w:tcPr>
            <w:tcW w:w="1990" w:type="dxa"/>
            <w:tcBorders>
              <w:top w:val="single" w:sz="4" w:space="0" w:color="BDD6EE" w:themeColor="accent1" w:themeTint="66"/>
              <w:left w:val="nil"/>
              <w:bottom w:val="single" w:sz="4" w:space="0" w:color="BDD6EE" w:themeColor="accent1" w:themeTint="66"/>
              <w:right w:val="nil"/>
            </w:tcBorders>
            <w:vAlign w:val="center"/>
          </w:tcPr>
          <w:p w14:paraId="265754F6" w14:textId="6D42DCCF" w:rsidR="00395B26" w:rsidRPr="00237760" w:rsidRDefault="00237AA8"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7</w:t>
            </w:r>
            <w:r w:rsidR="00DF08DE" w:rsidRPr="00237760">
              <w:rPr>
                <w:rFonts w:ascii="Arial" w:hAnsi="Arial" w:cs="Arial"/>
                <w:color w:val="auto"/>
                <w:sz w:val="24"/>
                <w:szCs w:val="24"/>
              </w:rPr>
              <w:t xml:space="preserve">. Objęcie </w:t>
            </w:r>
            <w:r w:rsidRPr="00237760">
              <w:rPr>
                <w:rFonts w:ascii="Arial" w:hAnsi="Arial" w:cs="Arial"/>
                <w:color w:val="auto"/>
                <w:sz w:val="24"/>
                <w:szCs w:val="24"/>
              </w:rPr>
              <w:t xml:space="preserve">środków mających na celu promowanie paliw alternatywnych </w:t>
            </w:r>
            <w:r w:rsidR="006E0AFF" w:rsidRPr="00237760">
              <w:rPr>
                <w:rFonts w:ascii="Arial" w:hAnsi="Arial" w:cs="Arial"/>
                <w:color w:val="auto"/>
                <w:sz w:val="24"/>
                <w:szCs w:val="24"/>
              </w:rPr>
              <w:t xml:space="preserve">(w kontekście planowania infrastruktury) </w:t>
            </w:r>
            <w:r w:rsidRPr="00237760">
              <w:rPr>
                <w:rFonts w:ascii="Arial" w:hAnsi="Arial" w:cs="Arial"/>
                <w:color w:val="auto"/>
                <w:sz w:val="24"/>
                <w:szCs w:val="24"/>
              </w:rPr>
              <w:t xml:space="preserve">zgodnie z odpowiednimi </w:t>
            </w:r>
            <w:r w:rsidRPr="00237760">
              <w:rPr>
                <w:rFonts w:ascii="Arial" w:hAnsi="Arial" w:cs="Arial"/>
                <w:color w:val="auto"/>
                <w:sz w:val="24"/>
                <w:szCs w:val="24"/>
              </w:rPr>
              <w:lastRenderedPageBreak/>
              <w:t>krajowymi ramami polityki</w:t>
            </w:r>
          </w:p>
        </w:tc>
        <w:tc>
          <w:tcPr>
            <w:tcW w:w="5812" w:type="dxa"/>
            <w:tcBorders>
              <w:top w:val="single" w:sz="4" w:space="0" w:color="BDD6EE" w:themeColor="accent1" w:themeTint="66"/>
              <w:left w:val="nil"/>
              <w:bottom w:val="single" w:sz="4" w:space="0" w:color="BDD6EE" w:themeColor="accent1" w:themeTint="66"/>
              <w:right w:val="nil"/>
            </w:tcBorders>
          </w:tcPr>
          <w:p w14:paraId="11D426EC" w14:textId="77777777" w:rsidR="00240B01" w:rsidRPr="00237760" w:rsidRDefault="00DF6D66" w:rsidP="009367B4">
            <w:pPr>
              <w:pStyle w:val="Akapitzlist"/>
              <w:numPr>
                <w:ilvl w:val="0"/>
                <w:numId w:val="39"/>
              </w:numPr>
              <w:spacing w:after="0"/>
              <w:ind w:left="254" w:hanging="144"/>
              <w:jc w:val="left"/>
              <w:rPr>
                <w:rFonts w:ascii="Arial" w:hAnsi="Arial" w:cs="Arial"/>
                <w:color w:val="auto"/>
                <w:sz w:val="24"/>
                <w:szCs w:val="24"/>
                <w:lang w:eastAsia="en-US"/>
              </w:rPr>
            </w:pPr>
            <w:r w:rsidRPr="00237760">
              <w:rPr>
                <w:rFonts w:ascii="Arial" w:hAnsi="Arial" w:cs="Arial"/>
                <w:color w:val="auto"/>
                <w:sz w:val="24"/>
                <w:szCs w:val="24"/>
                <w:lang w:eastAsia="en-US"/>
              </w:rPr>
              <w:lastRenderedPageBreak/>
              <w:t>PSRT</w:t>
            </w:r>
            <w:r w:rsidR="00662039" w:rsidRPr="00237760">
              <w:rPr>
                <w:rFonts w:ascii="Arial" w:hAnsi="Arial" w:cs="Arial"/>
                <w:color w:val="auto"/>
                <w:sz w:val="24"/>
                <w:szCs w:val="24"/>
                <w:lang w:eastAsia="en-US"/>
              </w:rPr>
              <w:t xml:space="preserve"> WP zakłada wzrost </w:t>
            </w:r>
            <w:r w:rsidR="006B7DA6" w:rsidRPr="00237760">
              <w:rPr>
                <w:rFonts w:ascii="Arial" w:hAnsi="Arial" w:cs="Arial"/>
                <w:color w:val="auto"/>
                <w:sz w:val="24"/>
                <w:szCs w:val="24"/>
                <w:lang w:eastAsia="en-US"/>
              </w:rPr>
              <w:t>wykorzystania energii elektrycznej, wodoru, LNG, CNG i innych paliw alternatywnych w transporcie;</w:t>
            </w:r>
          </w:p>
          <w:p w14:paraId="755C57EA" w14:textId="2D1017B1" w:rsidR="00CA2F92" w:rsidRPr="00237760" w:rsidRDefault="00F01809" w:rsidP="009367B4">
            <w:pPr>
              <w:pStyle w:val="Akapitzlist"/>
              <w:numPr>
                <w:ilvl w:val="0"/>
                <w:numId w:val="39"/>
              </w:numPr>
              <w:spacing w:after="0"/>
              <w:ind w:left="254" w:hanging="144"/>
              <w:jc w:val="left"/>
              <w:rPr>
                <w:rFonts w:ascii="Arial" w:hAnsi="Arial" w:cs="Arial"/>
                <w:color w:val="auto"/>
                <w:sz w:val="24"/>
                <w:szCs w:val="24"/>
                <w:lang w:eastAsia="en-US"/>
              </w:rPr>
            </w:pPr>
            <w:r w:rsidRPr="00237760">
              <w:rPr>
                <w:rFonts w:ascii="Arial" w:hAnsi="Arial" w:cs="Arial"/>
                <w:color w:val="auto"/>
                <w:sz w:val="24"/>
                <w:szCs w:val="24"/>
                <w:lang w:eastAsia="en-US"/>
              </w:rPr>
              <w:t>Cel</w:t>
            </w:r>
            <w:r w:rsidR="002307CC" w:rsidRPr="00237760">
              <w:rPr>
                <w:rFonts w:ascii="Arial" w:hAnsi="Arial" w:cs="Arial"/>
                <w:color w:val="auto"/>
                <w:sz w:val="24"/>
                <w:szCs w:val="24"/>
                <w:lang w:eastAsia="en-US"/>
              </w:rPr>
              <w:t>e</w:t>
            </w:r>
            <w:r w:rsidRPr="00237760">
              <w:rPr>
                <w:rFonts w:ascii="Arial" w:hAnsi="Arial" w:cs="Arial"/>
                <w:color w:val="auto"/>
                <w:sz w:val="24"/>
                <w:szCs w:val="24"/>
                <w:lang w:eastAsia="en-US"/>
              </w:rPr>
              <w:t xml:space="preserve"> podstawow</w:t>
            </w:r>
            <w:r w:rsidR="002307CC" w:rsidRPr="00237760">
              <w:rPr>
                <w:rFonts w:ascii="Arial" w:hAnsi="Arial" w:cs="Arial"/>
                <w:color w:val="auto"/>
                <w:sz w:val="24"/>
                <w:szCs w:val="24"/>
                <w:lang w:eastAsia="en-US"/>
              </w:rPr>
              <w:t xml:space="preserve">e </w:t>
            </w:r>
            <w:r w:rsidRPr="00237760">
              <w:rPr>
                <w:rFonts w:ascii="Arial" w:hAnsi="Arial" w:cs="Arial"/>
                <w:color w:val="auto"/>
                <w:sz w:val="24"/>
                <w:szCs w:val="24"/>
                <w:lang w:eastAsia="en-US"/>
              </w:rPr>
              <w:t xml:space="preserve">1. </w:t>
            </w:r>
            <w:r w:rsidR="00284990" w:rsidRPr="00237760">
              <w:rPr>
                <w:rFonts w:ascii="Arial" w:hAnsi="Arial" w:cs="Arial"/>
                <w:color w:val="auto"/>
                <w:sz w:val="24"/>
                <w:szCs w:val="24"/>
                <w:lang w:eastAsia="en-US"/>
              </w:rPr>
              <w:t xml:space="preserve">i 2. </w:t>
            </w:r>
            <w:r w:rsidRPr="00237760">
              <w:rPr>
                <w:rFonts w:ascii="Arial" w:hAnsi="Arial" w:cs="Arial"/>
                <w:color w:val="auto"/>
                <w:sz w:val="24"/>
                <w:szCs w:val="24"/>
                <w:lang w:eastAsia="en-US"/>
              </w:rPr>
              <w:t>zakłada</w:t>
            </w:r>
            <w:r w:rsidR="00284990" w:rsidRPr="00237760">
              <w:rPr>
                <w:rFonts w:ascii="Arial" w:hAnsi="Arial" w:cs="Arial"/>
                <w:color w:val="auto"/>
                <w:sz w:val="24"/>
                <w:szCs w:val="24"/>
                <w:lang w:eastAsia="en-US"/>
              </w:rPr>
              <w:t>ją</w:t>
            </w:r>
            <w:r w:rsidRPr="00237760">
              <w:rPr>
                <w:rFonts w:ascii="Arial" w:hAnsi="Arial" w:cs="Arial"/>
                <w:color w:val="auto"/>
                <w:sz w:val="24"/>
                <w:szCs w:val="24"/>
                <w:lang w:eastAsia="en-US"/>
              </w:rPr>
              <w:t xml:space="preserve"> elektryfikację kolei</w:t>
            </w:r>
            <w:r w:rsidR="00FA6340" w:rsidRPr="00237760">
              <w:rPr>
                <w:rFonts w:ascii="Arial" w:hAnsi="Arial" w:cs="Arial"/>
                <w:color w:val="auto"/>
                <w:sz w:val="24"/>
                <w:szCs w:val="24"/>
                <w:lang w:eastAsia="en-US"/>
              </w:rPr>
              <w:t>;</w:t>
            </w:r>
          </w:p>
          <w:p w14:paraId="09EC4612" w14:textId="28558CAB" w:rsidR="00B56568" w:rsidRPr="00237760" w:rsidRDefault="00B56568" w:rsidP="009367B4">
            <w:pPr>
              <w:pStyle w:val="Akapitzlist"/>
              <w:numPr>
                <w:ilvl w:val="0"/>
                <w:numId w:val="39"/>
              </w:numPr>
              <w:spacing w:after="0"/>
              <w:ind w:left="254" w:hanging="144"/>
              <w:jc w:val="left"/>
              <w:rPr>
                <w:rFonts w:ascii="Arial" w:hAnsi="Arial" w:cs="Arial"/>
                <w:color w:val="auto"/>
                <w:sz w:val="24"/>
                <w:szCs w:val="24"/>
                <w:lang w:eastAsia="en-US"/>
              </w:rPr>
            </w:pPr>
            <w:r w:rsidRPr="00237760">
              <w:rPr>
                <w:rFonts w:ascii="Arial" w:hAnsi="Arial" w:cs="Arial"/>
                <w:color w:val="auto"/>
                <w:sz w:val="24"/>
                <w:szCs w:val="24"/>
                <w:lang w:eastAsia="en-US"/>
              </w:rPr>
              <w:t xml:space="preserve">W ramach celu podstawowego 2. </w:t>
            </w:r>
            <w:r w:rsidR="00F762B5" w:rsidRPr="00237760">
              <w:rPr>
                <w:rFonts w:ascii="Arial" w:hAnsi="Arial" w:cs="Arial"/>
                <w:color w:val="auto"/>
                <w:sz w:val="24"/>
                <w:szCs w:val="24"/>
                <w:lang w:eastAsia="en-US"/>
              </w:rPr>
              <w:t>planuje się inwestycję w wodorowy lub elektryczny tabor kolejowy</w:t>
            </w:r>
            <w:r w:rsidR="00613948" w:rsidRPr="00237760">
              <w:rPr>
                <w:rFonts w:ascii="Arial" w:hAnsi="Arial" w:cs="Arial"/>
                <w:color w:val="auto"/>
                <w:sz w:val="24"/>
                <w:szCs w:val="24"/>
                <w:lang w:eastAsia="en-US"/>
              </w:rPr>
              <w:t>;</w:t>
            </w:r>
          </w:p>
          <w:p w14:paraId="606E0278" w14:textId="6219914E" w:rsidR="00F01809" w:rsidRPr="00237760" w:rsidRDefault="00CA2F92" w:rsidP="009367B4">
            <w:pPr>
              <w:pStyle w:val="Akapitzlist"/>
              <w:numPr>
                <w:ilvl w:val="0"/>
                <w:numId w:val="39"/>
              </w:numPr>
              <w:spacing w:after="0"/>
              <w:ind w:left="254" w:hanging="144"/>
              <w:jc w:val="left"/>
              <w:rPr>
                <w:rFonts w:ascii="Arial" w:hAnsi="Arial" w:cs="Arial"/>
                <w:color w:val="auto"/>
                <w:sz w:val="24"/>
                <w:szCs w:val="24"/>
                <w:lang w:eastAsia="en-US"/>
              </w:rPr>
            </w:pPr>
            <w:r w:rsidRPr="00237760">
              <w:rPr>
                <w:rFonts w:ascii="Arial" w:hAnsi="Arial" w:cs="Arial"/>
                <w:color w:val="auto"/>
                <w:sz w:val="24"/>
                <w:szCs w:val="24"/>
                <w:lang w:eastAsia="en-US"/>
              </w:rPr>
              <w:t>C</w:t>
            </w:r>
            <w:r w:rsidR="00284990" w:rsidRPr="00237760">
              <w:rPr>
                <w:rFonts w:ascii="Arial" w:hAnsi="Arial" w:cs="Arial"/>
                <w:color w:val="auto"/>
                <w:sz w:val="24"/>
                <w:szCs w:val="24"/>
                <w:lang w:eastAsia="en-US"/>
              </w:rPr>
              <w:t>e</w:t>
            </w:r>
            <w:r w:rsidRPr="00237760">
              <w:rPr>
                <w:rFonts w:ascii="Arial" w:hAnsi="Arial" w:cs="Arial"/>
                <w:color w:val="auto"/>
                <w:sz w:val="24"/>
                <w:szCs w:val="24"/>
                <w:lang w:eastAsia="en-US"/>
              </w:rPr>
              <w:t xml:space="preserve">l horyzontalny 1. </w:t>
            </w:r>
            <w:r w:rsidR="00FA6340" w:rsidRPr="00237760">
              <w:rPr>
                <w:rFonts w:ascii="Arial" w:hAnsi="Arial" w:cs="Arial"/>
                <w:color w:val="auto"/>
                <w:sz w:val="24"/>
                <w:szCs w:val="24"/>
                <w:lang w:eastAsia="en-US"/>
              </w:rPr>
              <w:t>zakłada tworzenie warunków do rozwoju elektromobilności;</w:t>
            </w:r>
          </w:p>
          <w:p w14:paraId="7F632313" w14:textId="77691208" w:rsidR="006B7DA6" w:rsidRPr="00237760" w:rsidRDefault="00DD27D8" w:rsidP="009367B4">
            <w:pPr>
              <w:pStyle w:val="Akapitzlist"/>
              <w:numPr>
                <w:ilvl w:val="0"/>
                <w:numId w:val="39"/>
              </w:numPr>
              <w:spacing w:after="0"/>
              <w:ind w:left="254" w:hanging="144"/>
              <w:jc w:val="left"/>
              <w:rPr>
                <w:rFonts w:ascii="Arial" w:hAnsi="Arial" w:cs="Arial"/>
                <w:color w:val="auto"/>
                <w:sz w:val="24"/>
                <w:szCs w:val="24"/>
                <w:lang w:eastAsia="en-US"/>
              </w:rPr>
            </w:pPr>
            <w:r w:rsidRPr="00237760">
              <w:rPr>
                <w:rFonts w:ascii="Arial" w:hAnsi="Arial" w:cs="Arial"/>
                <w:color w:val="auto"/>
                <w:sz w:val="24"/>
                <w:szCs w:val="24"/>
                <w:lang w:eastAsia="en-US"/>
              </w:rPr>
              <w:lastRenderedPageBreak/>
              <w:t xml:space="preserve">W ramach celu </w:t>
            </w:r>
            <w:r w:rsidR="0019576E" w:rsidRPr="00237760">
              <w:rPr>
                <w:rFonts w:ascii="Arial" w:hAnsi="Arial" w:cs="Arial"/>
                <w:color w:val="auto"/>
                <w:sz w:val="24"/>
                <w:szCs w:val="24"/>
                <w:lang w:eastAsia="en-US"/>
              </w:rPr>
              <w:t>horyzontalnego 3. zakłada się inwestycj</w:t>
            </w:r>
            <w:r w:rsidR="00D3194F" w:rsidRPr="00237760">
              <w:rPr>
                <w:rFonts w:ascii="Arial" w:hAnsi="Arial" w:cs="Arial"/>
                <w:color w:val="auto"/>
                <w:sz w:val="24"/>
                <w:szCs w:val="24"/>
                <w:lang w:eastAsia="en-US"/>
              </w:rPr>
              <w:t>e:</w:t>
            </w:r>
            <w:r w:rsidR="0019576E" w:rsidRPr="00237760">
              <w:rPr>
                <w:rFonts w:ascii="Arial" w:hAnsi="Arial" w:cs="Arial"/>
                <w:color w:val="auto"/>
                <w:sz w:val="24"/>
                <w:szCs w:val="24"/>
                <w:lang w:eastAsia="en-US"/>
              </w:rPr>
              <w:t xml:space="preserve"> w tabor autobusowy spełniający wymogi dla „ekologicznie czystych pojazdów” w rozumieniu dyrektywy 2009/33/WE (napędzany</w:t>
            </w:r>
            <w:r w:rsidR="00E45CC9" w:rsidRPr="00237760">
              <w:rPr>
                <w:rFonts w:ascii="Arial" w:hAnsi="Arial" w:cs="Arial"/>
                <w:color w:val="auto"/>
                <w:sz w:val="24"/>
                <w:szCs w:val="24"/>
                <w:lang w:eastAsia="en-US"/>
              </w:rPr>
              <w:t xml:space="preserve"> energią elektryczną, wodorem, LNG, CNG</w:t>
            </w:r>
            <w:r w:rsidR="00415F39" w:rsidRPr="00237760">
              <w:rPr>
                <w:rFonts w:ascii="Arial" w:hAnsi="Arial" w:cs="Arial"/>
                <w:color w:val="auto"/>
                <w:sz w:val="24"/>
                <w:szCs w:val="24"/>
                <w:lang w:eastAsia="en-US"/>
              </w:rPr>
              <w:t>, BEV, FCV, PHEV, HEV</w:t>
            </w:r>
            <w:r w:rsidR="00E45CC9" w:rsidRPr="00237760">
              <w:rPr>
                <w:rFonts w:ascii="Arial" w:hAnsi="Arial" w:cs="Arial"/>
                <w:color w:val="auto"/>
                <w:sz w:val="24"/>
                <w:szCs w:val="24"/>
                <w:lang w:eastAsia="en-US"/>
              </w:rPr>
              <w:t>)</w:t>
            </w:r>
            <w:r w:rsidR="00D3194F" w:rsidRPr="00237760">
              <w:rPr>
                <w:rFonts w:ascii="Arial" w:hAnsi="Arial" w:cs="Arial"/>
                <w:color w:val="auto"/>
                <w:sz w:val="24"/>
                <w:szCs w:val="24"/>
                <w:lang w:eastAsia="en-US"/>
              </w:rPr>
              <w:t xml:space="preserve"> oraz w infrastrukturę paliw alternatywnych</w:t>
            </w:r>
            <w:r w:rsidR="00613948" w:rsidRPr="00237760">
              <w:rPr>
                <w:rFonts w:ascii="Arial" w:hAnsi="Arial" w:cs="Arial"/>
                <w:color w:val="auto"/>
                <w:sz w:val="24"/>
                <w:szCs w:val="24"/>
                <w:lang w:eastAsia="en-US"/>
              </w:rPr>
              <w:t>.</w:t>
            </w:r>
          </w:p>
        </w:tc>
        <w:tc>
          <w:tcPr>
            <w:tcW w:w="1276" w:type="dxa"/>
            <w:tcBorders>
              <w:top w:val="single" w:sz="4" w:space="0" w:color="BDD6EE" w:themeColor="accent1" w:themeTint="66"/>
              <w:left w:val="nil"/>
              <w:bottom w:val="single" w:sz="4" w:space="0" w:color="BDD6EE" w:themeColor="accent1" w:themeTint="66"/>
              <w:right w:val="nil"/>
            </w:tcBorders>
            <w:vAlign w:val="center"/>
          </w:tcPr>
          <w:p w14:paraId="19459B92" w14:textId="77777777" w:rsidR="00240B01" w:rsidRPr="00237760" w:rsidRDefault="00240B01" w:rsidP="009367B4">
            <w:pPr>
              <w:spacing w:after="0" w:line="240" w:lineRule="auto"/>
              <w:ind w:left="720" w:hanging="360"/>
              <w:contextualSpacing/>
              <w:jc w:val="left"/>
              <w:rPr>
                <w:rFonts w:ascii="Arial" w:hAnsi="Arial" w:cs="Arial"/>
                <w:b/>
                <w:color w:val="auto"/>
                <w:sz w:val="24"/>
                <w:szCs w:val="24"/>
              </w:rPr>
            </w:pPr>
            <w:r w:rsidRPr="00237760">
              <w:rPr>
                <w:rFonts w:ascii="Arial" w:hAnsi="Arial" w:cs="Arial"/>
                <w:b/>
                <w:color w:val="auto"/>
                <w:sz w:val="24"/>
                <w:szCs w:val="24"/>
              </w:rPr>
              <w:lastRenderedPageBreak/>
              <w:t>+</w:t>
            </w:r>
          </w:p>
        </w:tc>
      </w:tr>
      <w:tr w:rsidR="00237760" w:rsidRPr="00237760" w14:paraId="0C08F64E" w14:textId="77777777" w:rsidTr="00B32A20">
        <w:trPr>
          <w:trHeight w:val="70"/>
        </w:trPr>
        <w:tc>
          <w:tcPr>
            <w:tcW w:w="1990" w:type="dxa"/>
            <w:tcBorders>
              <w:top w:val="single" w:sz="4" w:space="0" w:color="BDD6EE" w:themeColor="accent1" w:themeTint="66"/>
              <w:left w:val="nil"/>
              <w:bottom w:val="single" w:sz="4" w:space="0" w:color="BDD6EE" w:themeColor="accent1" w:themeTint="66"/>
              <w:right w:val="nil"/>
            </w:tcBorders>
            <w:vAlign w:val="center"/>
          </w:tcPr>
          <w:p w14:paraId="27AD2533" w14:textId="391DDA8D" w:rsidR="00395B26" w:rsidRPr="00237760" w:rsidRDefault="00395B26"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8. Przeprowadzenie oceny ryzyk dla bezpieczeństwa ruchu drogowego zgodnie z istniejącymi krajowymi strategiami bezpieczeństwa ruchu drogowego, wraz z mapowaniem dróg i odcinków narażonych na takie ryzyka oraz ustaleniem związanych z tym priorytetów inwestycyjnych</w:t>
            </w:r>
          </w:p>
        </w:tc>
        <w:tc>
          <w:tcPr>
            <w:tcW w:w="5812" w:type="dxa"/>
            <w:tcBorders>
              <w:top w:val="single" w:sz="4" w:space="0" w:color="BDD6EE" w:themeColor="accent1" w:themeTint="66"/>
              <w:left w:val="nil"/>
              <w:bottom w:val="single" w:sz="4" w:space="0" w:color="BDD6EE" w:themeColor="accent1" w:themeTint="66"/>
              <w:right w:val="nil"/>
            </w:tcBorders>
          </w:tcPr>
          <w:p w14:paraId="49BE26AD" w14:textId="1D5B8579" w:rsidR="006658D2" w:rsidRPr="00237760" w:rsidRDefault="00664D56" w:rsidP="009367B4">
            <w:pPr>
              <w:pStyle w:val="Akapitzlist"/>
              <w:numPr>
                <w:ilvl w:val="0"/>
                <w:numId w:val="39"/>
              </w:numPr>
              <w:spacing w:after="0"/>
              <w:ind w:left="254" w:hanging="144"/>
              <w:jc w:val="left"/>
              <w:rPr>
                <w:rFonts w:ascii="Arial" w:hAnsi="Arial" w:cs="Arial"/>
                <w:color w:val="auto"/>
                <w:sz w:val="24"/>
                <w:szCs w:val="24"/>
                <w:lang w:eastAsia="en-US"/>
              </w:rPr>
            </w:pPr>
            <w:r w:rsidRPr="00237760">
              <w:rPr>
                <w:rFonts w:ascii="Arial" w:hAnsi="Arial" w:cs="Arial"/>
                <w:color w:val="auto"/>
                <w:sz w:val="24"/>
                <w:szCs w:val="24"/>
                <w:lang w:eastAsia="en-US"/>
              </w:rPr>
              <w:t>Analizę bezpieczeństwa ruchu drogowego przedstawia rozdz. 1.7. Wpływ transportu na bezpieczeństwo i środowisko</w:t>
            </w:r>
            <w:r w:rsidR="005D0361" w:rsidRPr="00237760">
              <w:rPr>
                <w:rFonts w:ascii="Arial" w:hAnsi="Arial" w:cs="Arial"/>
                <w:color w:val="auto"/>
                <w:sz w:val="24"/>
                <w:szCs w:val="24"/>
                <w:lang w:eastAsia="en-US"/>
              </w:rPr>
              <w:t xml:space="preserve">, przedstawiono w nim </w:t>
            </w:r>
            <w:r w:rsidR="00E44CE5" w:rsidRPr="00237760">
              <w:rPr>
                <w:rFonts w:ascii="Arial" w:hAnsi="Arial" w:cs="Arial"/>
                <w:color w:val="auto"/>
                <w:sz w:val="24"/>
                <w:szCs w:val="24"/>
                <w:lang w:eastAsia="en-US"/>
              </w:rPr>
              <w:t xml:space="preserve">statystyki dotyczące </w:t>
            </w:r>
            <w:r w:rsidR="00FA7EE2" w:rsidRPr="00237760">
              <w:rPr>
                <w:rFonts w:ascii="Arial" w:hAnsi="Arial" w:cs="Arial"/>
                <w:color w:val="auto"/>
                <w:sz w:val="24"/>
                <w:szCs w:val="24"/>
                <w:lang w:eastAsia="en-US"/>
              </w:rPr>
              <w:t>zdarzeń</w:t>
            </w:r>
            <w:r w:rsidR="00E44CE5" w:rsidRPr="00237760">
              <w:rPr>
                <w:rFonts w:ascii="Arial" w:hAnsi="Arial" w:cs="Arial"/>
                <w:color w:val="auto"/>
                <w:sz w:val="24"/>
                <w:szCs w:val="24"/>
                <w:lang w:eastAsia="en-US"/>
              </w:rPr>
              <w:t xml:space="preserve"> drogowych</w:t>
            </w:r>
            <w:r w:rsidR="003E0520" w:rsidRPr="00237760">
              <w:rPr>
                <w:rFonts w:ascii="Arial" w:hAnsi="Arial" w:cs="Arial"/>
                <w:color w:val="auto"/>
                <w:sz w:val="24"/>
                <w:szCs w:val="24"/>
                <w:lang w:eastAsia="en-US"/>
              </w:rPr>
              <w:t xml:space="preserve"> (</w:t>
            </w:r>
            <w:r w:rsidR="00FA7EE2" w:rsidRPr="00237760">
              <w:rPr>
                <w:rFonts w:ascii="Arial" w:hAnsi="Arial" w:cs="Arial"/>
                <w:color w:val="auto"/>
                <w:sz w:val="24"/>
                <w:szCs w:val="24"/>
                <w:lang w:eastAsia="en-US"/>
              </w:rPr>
              <w:t xml:space="preserve">również w </w:t>
            </w:r>
            <w:r w:rsidR="003E0520" w:rsidRPr="00237760">
              <w:rPr>
                <w:rFonts w:ascii="Arial" w:hAnsi="Arial" w:cs="Arial"/>
                <w:color w:val="auto"/>
                <w:sz w:val="24"/>
                <w:szCs w:val="24"/>
                <w:lang w:eastAsia="en-US"/>
              </w:rPr>
              <w:t>podzia</w:t>
            </w:r>
            <w:r w:rsidR="00FA7EE2" w:rsidRPr="00237760">
              <w:rPr>
                <w:rFonts w:ascii="Arial" w:hAnsi="Arial" w:cs="Arial"/>
                <w:color w:val="auto"/>
                <w:sz w:val="24"/>
                <w:szCs w:val="24"/>
                <w:lang w:eastAsia="en-US"/>
              </w:rPr>
              <w:t xml:space="preserve">le </w:t>
            </w:r>
            <w:r w:rsidR="003E0520" w:rsidRPr="00237760">
              <w:rPr>
                <w:rFonts w:ascii="Arial" w:hAnsi="Arial" w:cs="Arial"/>
                <w:color w:val="auto"/>
                <w:sz w:val="24"/>
                <w:szCs w:val="24"/>
                <w:lang w:eastAsia="en-US"/>
              </w:rPr>
              <w:t xml:space="preserve">na </w:t>
            </w:r>
            <w:r w:rsidR="00FA7EE2" w:rsidRPr="00237760">
              <w:rPr>
                <w:rFonts w:ascii="Arial" w:hAnsi="Arial" w:cs="Arial"/>
                <w:color w:val="auto"/>
                <w:sz w:val="24"/>
                <w:szCs w:val="24"/>
                <w:lang w:eastAsia="en-US"/>
              </w:rPr>
              <w:t>gminy)</w:t>
            </w:r>
            <w:r w:rsidR="00E44CE5" w:rsidRPr="00237760">
              <w:rPr>
                <w:rFonts w:ascii="Arial" w:hAnsi="Arial" w:cs="Arial"/>
                <w:color w:val="auto"/>
                <w:sz w:val="24"/>
                <w:szCs w:val="24"/>
                <w:lang w:eastAsia="en-US"/>
              </w:rPr>
              <w:t xml:space="preserve"> </w:t>
            </w:r>
            <w:r w:rsidR="001E72AD" w:rsidRPr="00237760">
              <w:rPr>
                <w:rFonts w:ascii="Arial" w:hAnsi="Arial" w:cs="Arial"/>
                <w:color w:val="auto"/>
                <w:sz w:val="24"/>
                <w:szCs w:val="24"/>
                <w:lang w:eastAsia="en-US"/>
              </w:rPr>
              <w:t>oraz zlokalizowano odcinki niebezpieczne</w:t>
            </w:r>
            <w:r w:rsidR="00E15652" w:rsidRPr="00237760">
              <w:rPr>
                <w:rFonts w:ascii="Arial" w:hAnsi="Arial" w:cs="Arial"/>
                <w:color w:val="auto"/>
                <w:sz w:val="24"/>
                <w:szCs w:val="24"/>
                <w:lang w:eastAsia="en-US"/>
              </w:rPr>
              <w:t xml:space="preserve"> (na drogach wojewódzkich) i miejsca niebezpieczne dla rowerzystów</w:t>
            </w:r>
            <w:r w:rsidR="00FF196E" w:rsidRPr="00237760">
              <w:rPr>
                <w:rFonts w:ascii="Arial" w:hAnsi="Arial" w:cs="Arial"/>
                <w:color w:val="auto"/>
                <w:sz w:val="24"/>
                <w:szCs w:val="24"/>
                <w:lang w:eastAsia="en-US"/>
              </w:rPr>
              <w:t xml:space="preserve"> – wyniki zaprezentowano na mapach</w:t>
            </w:r>
            <w:r w:rsidR="006658D2" w:rsidRPr="00237760">
              <w:rPr>
                <w:rFonts w:ascii="Arial" w:hAnsi="Arial" w:cs="Arial"/>
                <w:color w:val="auto"/>
                <w:sz w:val="24"/>
                <w:szCs w:val="24"/>
                <w:lang w:eastAsia="en-US"/>
              </w:rPr>
              <w:t>;</w:t>
            </w:r>
          </w:p>
          <w:p w14:paraId="1250B9C7" w14:textId="77777777" w:rsidR="001C5D1D" w:rsidRPr="00237760" w:rsidRDefault="001C5D1D" w:rsidP="009367B4">
            <w:pPr>
              <w:pStyle w:val="Akapitzlist"/>
              <w:numPr>
                <w:ilvl w:val="0"/>
                <w:numId w:val="39"/>
              </w:numPr>
              <w:spacing w:after="0"/>
              <w:ind w:left="254" w:hanging="144"/>
              <w:jc w:val="left"/>
              <w:rPr>
                <w:rFonts w:ascii="Arial" w:hAnsi="Arial" w:cs="Arial"/>
                <w:color w:val="auto"/>
                <w:sz w:val="24"/>
                <w:szCs w:val="24"/>
                <w:lang w:eastAsia="en-US"/>
              </w:rPr>
            </w:pPr>
            <w:r w:rsidRPr="00237760">
              <w:rPr>
                <w:rFonts w:ascii="Arial" w:hAnsi="Arial" w:cs="Arial"/>
                <w:color w:val="auto"/>
                <w:sz w:val="24"/>
                <w:szCs w:val="24"/>
                <w:lang w:eastAsia="en-US"/>
              </w:rPr>
              <w:t xml:space="preserve">Rozszerzoną analizę zawiera </w:t>
            </w:r>
            <w:r w:rsidR="003B1F67" w:rsidRPr="00237760">
              <w:rPr>
                <w:rFonts w:ascii="Arial" w:hAnsi="Arial" w:cs="Arial"/>
                <w:color w:val="auto"/>
                <w:sz w:val="24"/>
                <w:szCs w:val="24"/>
                <w:lang w:eastAsia="en-US"/>
              </w:rPr>
              <w:t xml:space="preserve">stworzona na potrzeby PSRT WP </w:t>
            </w:r>
            <w:r w:rsidRPr="00237760">
              <w:rPr>
                <w:rFonts w:ascii="Arial" w:hAnsi="Arial" w:cs="Arial"/>
                <w:color w:val="auto"/>
                <w:sz w:val="24"/>
                <w:szCs w:val="24"/>
                <w:lang w:eastAsia="en-US"/>
              </w:rPr>
              <w:t>Diagnoza Stanu Systemu Transportowego w Województwie Podkarpackim</w:t>
            </w:r>
            <w:r w:rsidR="00D21A55" w:rsidRPr="00237760">
              <w:rPr>
                <w:rFonts w:ascii="Arial" w:hAnsi="Arial" w:cs="Arial"/>
                <w:color w:val="auto"/>
                <w:sz w:val="24"/>
                <w:szCs w:val="24"/>
                <w:lang w:eastAsia="en-US"/>
              </w:rPr>
              <w:t xml:space="preserve"> oraz raport Rozwój transportu w województwie podkarpackim w perspektywie do 2030 roku</w:t>
            </w:r>
            <w:r w:rsidR="0015382E" w:rsidRPr="00237760">
              <w:rPr>
                <w:rFonts w:ascii="Arial" w:hAnsi="Arial" w:cs="Arial"/>
                <w:color w:val="auto"/>
                <w:sz w:val="24"/>
                <w:szCs w:val="24"/>
                <w:lang w:eastAsia="en-US"/>
              </w:rPr>
              <w:t>;</w:t>
            </w:r>
          </w:p>
          <w:p w14:paraId="506831FB" w14:textId="0D90BCBE" w:rsidR="0015382E" w:rsidRPr="00237760" w:rsidRDefault="008A2496" w:rsidP="009367B4">
            <w:pPr>
              <w:pStyle w:val="Akapitzlist"/>
              <w:numPr>
                <w:ilvl w:val="0"/>
                <w:numId w:val="39"/>
              </w:numPr>
              <w:spacing w:after="0"/>
              <w:ind w:left="254" w:hanging="144"/>
              <w:jc w:val="left"/>
              <w:rPr>
                <w:rFonts w:ascii="Arial" w:hAnsi="Arial" w:cs="Arial"/>
                <w:color w:val="auto"/>
                <w:sz w:val="24"/>
                <w:szCs w:val="24"/>
                <w:lang w:eastAsia="en-US"/>
              </w:rPr>
            </w:pPr>
            <w:r w:rsidRPr="00237760">
              <w:rPr>
                <w:rFonts w:ascii="Arial" w:hAnsi="Arial" w:cs="Arial"/>
                <w:color w:val="auto"/>
                <w:sz w:val="24"/>
                <w:szCs w:val="24"/>
                <w:lang w:eastAsia="en-US"/>
              </w:rPr>
              <w:t>Jednym z</w:t>
            </w:r>
            <w:r w:rsidR="004F477B" w:rsidRPr="00237760">
              <w:rPr>
                <w:rFonts w:ascii="Arial" w:hAnsi="Arial" w:cs="Arial"/>
                <w:color w:val="auto"/>
                <w:sz w:val="24"/>
                <w:szCs w:val="24"/>
                <w:lang w:eastAsia="en-US"/>
              </w:rPr>
              <w:t>e zidentyfikowanych problemów bazowych jest „podniesienie poziomu bezpieczeństwa w transporcie”</w:t>
            </w:r>
            <w:r w:rsidR="008F72B1" w:rsidRPr="00237760">
              <w:rPr>
                <w:rFonts w:ascii="Arial" w:hAnsi="Arial" w:cs="Arial"/>
                <w:color w:val="auto"/>
                <w:sz w:val="24"/>
                <w:szCs w:val="24"/>
                <w:lang w:eastAsia="en-US"/>
              </w:rPr>
              <w:t xml:space="preserve"> w opisie problemu wskazano jego wynikające z diagnozy przyczyny i możliwe rozwiązania, </w:t>
            </w:r>
            <w:r w:rsidR="00D155A7" w:rsidRPr="00237760">
              <w:rPr>
                <w:rFonts w:ascii="Arial" w:hAnsi="Arial" w:cs="Arial"/>
                <w:color w:val="auto"/>
                <w:sz w:val="24"/>
                <w:szCs w:val="24"/>
                <w:lang w:eastAsia="en-US"/>
              </w:rPr>
              <w:t>problemy bazowe są podstawą sformułowanych celów</w:t>
            </w:r>
            <w:r w:rsidR="00587529" w:rsidRPr="00237760">
              <w:rPr>
                <w:rFonts w:ascii="Arial" w:hAnsi="Arial" w:cs="Arial"/>
                <w:color w:val="auto"/>
                <w:sz w:val="24"/>
                <w:szCs w:val="24"/>
                <w:lang w:eastAsia="en-US"/>
              </w:rPr>
              <w:t>;</w:t>
            </w:r>
          </w:p>
          <w:p w14:paraId="3878ED92" w14:textId="314926BA" w:rsidR="0015382E" w:rsidRPr="00237760" w:rsidRDefault="008520C3" w:rsidP="009367B4">
            <w:pPr>
              <w:pStyle w:val="Akapitzlist"/>
              <w:numPr>
                <w:ilvl w:val="0"/>
                <w:numId w:val="39"/>
              </w:numPr>
              <w:spacing w:after="0"/>
              <w:ind w:left="254" w:hanging="144"/>
              <w:jc w:val="left"/>
              <w:rPr>
                <w:rFonts w:ascii="Arial" w:hAnsi="Arial" w:cs="Arial"/>
                <w:color w:val="auto"/>
                <w:sz w:val="24"/>
                <w:szCs w:val="24"/>
                <w:lang w:eastAsia="en-US"/>
              </w:rPr>
            </w:pPr>
            <w:r w:rsidRPr="00237760">
              <w:rPr>
                <w:rFonts w:ascii="Arial" w:hAnsi="Arial" w:cs="Arial"/>
                <w:color w:val="auto"/>
                <w:sz w:val="24"/>
                <w:szCs w:val="24"/>
                <w:lang w:eastAsia="en-US"/>
              </w:rPr>
              <w:t xml:space="preserve">Jednym z celów horyzontalnych jest </w:t>
            </w:r>
            <w:r w:rsidR="00587529" w:rsidRPr="00237760">
              <w:rPr>
                <w:rFonts w:ascii="Arial" w:hAnsi="Arial" w:cs="Arial"/>
                <w:color w:val="auto"/>
                <w:sz w:val="24"/>
                <w:szCs w:val="24"/>
                <w:lang w:eastAsia="en-US"/>
              </w:rPr>
              <w:t>Poprawa bezpieczeństwa w transporcie (CH4).</w:t>
            </w:r>
          </w:p>
        </w:tc>
        <w:tc>
          <w:tcPr>
            <w:tcW w:w="1276" w:type="dxa"/>
            <w:tcBorders>
              <w:top w:val="single" w:sz="4" w:space="0" w:color="BDD6EE" w:themeColor="accent1" w:themeTint="66"/>
              <w:left w:val="nil"/>
              <w:bottom w:val="single" w:sz="4" w:space="0" w:color="BDD6EE" w:themeColor="accent1" w:themeTint="66"/>
              <w:right w:val="nil"/>
            </w:tcBorders>
            <w:vAlign w:val="center"/>
          </w:tcPr>
          <w:p w14:paraId="123EBDED" w14:textId="10C2F663" w:rsidR="00395B26" w:rsidRPr="00237760" w:rsidRDefault="006E131A" w:rsidP="009367B4">
            <w:pPr>
              <w:spacing w:after="0" w:line="240" w:lineRule="auto"/>
              <w:ind w:left="720" w:hanging="360"/>
              <w:contextualSpacing/>
              <w:jc w:val="left"/>
              <w:rPr>
                <w:rFonts w:ascii="Arial" w:hAnsi="Arial" w:cs="Arial"/>
                <w:b/>
                <w:color w:val="auto"/>
                <w:sz w:val="24"/>
                <w:szCs w:val="24"/>
              </w:rPr>
            </w:pPr>
            <w:r w:rsidRPr="00237760">
              <w:rPr>
                <w:rFonts w:ascii="Arial" w:hAnsi="Arial" w:cs="Arial"/>
                <w:b/>
                <w:color w:val="auto"/>
                <w:sz w:val="24"/>
                <w:szCs w:val="24"/>
              </w:rPr>
              <w:t>+</w:t>
            </w:r>
          </w:p>
        </w:tc>
      </w:tr>
      <w:tr w:rsidR="00237760" w:rsidRPr="00237760" w14:paraId="44311988" w14:textId="77777777" w:rsidTr="00B32A20">
        <w:trPr>
          <w:trHeight w:val="70"/>
        </w:trPr>
        <w:tc>
          <w:tcPr>
            <w:tcW w:w="1990" w:type="dxa"/>
            <w:tcBorders>
              <w:top w:val="single" w:sz="4" w:space="0" w:color="BDD6EE" w:themeColor="accent1" w:themeTint="66"/>
              <w:left w:val="nil"/>
              <w:bottom w:val="single" w:sz="12" w:space="0" w:color="002060"/>
              <w:right w:val="nil"/>
            </w:tcBorders>
            <w:vAlign w:val="center"/>
          </w:tcPr>
          <w:p w14:paraId="2E350BE3" w14:textId="4829AACC" w:rsidR="00395B26" w:rsidRPr="00237760" w:rsidRDefault="00395B26"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9. Informowanie o zasobach finansowania planowany</w:t>
            </w:r>
            <w:r w:rsidR="00F77C34" w:rsidRPr="00237760">
              <w:rPr>
                <w:rFonts w:ascii="Arial" w:hAnsi="Arial" w:cs="Arial"/>
                <w:color w:val="auto"/>
                <w:sz w:val="24"/>
                <w:szCs w:val="24"/>
              </w:rPr>
              <w:t xml:space="preserve">ch </w:t>
            </w:r>
            <w:r w:rsidRPr="00237760">
              <w:rPr>
                <w:rFonts w:ascii="Arial" w:hAnsi="Arial" w:cs="Arial"/>
                <w:color w:val="auto"/>
                <w:sz w:val="24"/>
                <w:szCs w:val="24"/>
              </w:rPr>
              <w:t>inwestycj</w:t>
            </w:r>
            <w:r w:rsidR="00F77C34" w:rsidRPr="00237760">
              <w:rPr>
                <w:rFonts w:ascii="Arial" w:hAnsi="Arial" w:cs="Arial"/>
                <w:color w:val="auto"/>
                <w:sz w:val="24"/>
                <w:szCs w:val="24"/>
              </w:rPr>
              <w:t>i</w:t>
            </w:r>
            <w:r w:rsidRPr="00237760">
              <w:rPr>
                <w:rFonts w:ascii="Arial" w:hAnsi="Arial" w:cs="Arial"/>
                <w:color w:val="auto"/>
                <w:sz w:val="24"/>
                <w:szCs w:val="24"/>
              </w:rPr>
              <w:t xml:space="preserve">, koniecznych do pokrycia kosztów operacyjnych i kosztów utrzymania istniejącej i </w:t>
            </w:r>
            <w:r w:rsidRPr="00237760">
              <w:rPr>
                <w:rFonts w:ascii="Arial" w:hAnsi="Arial" w:cs="Arial"/>
                <w:color w:val="auto"/>
                <w:sz w:val="24"/>
                <w:szCs w:val="24"/>
              </w:rPr>
              <w:lastRenderedPageBreak/>
              <w:t>planowanej infrastruktury</w:t>
            </w:r>
          </w:p>
        </w:tc>
        <w:tc>
          <w:tcPr>
            <w:tcW w:w="5812" w:type="dxa"/>
            <w:tcBorders>
              <w:top w:val="single" w:sz="4" w:space="0" w:color="BDD6EE" w:themeColor="accent1" w:themeTint="66"/>
              <w:left w:val="nil"/>
              <w:bottom w:val="single" w:sz="12" w:space="0" w:color="002060"/>
              <w:right w:val="nil"/>
            </w:tcBorders>
            <w:vAlign w:val="center"/>
          </w:tcPr>
          <w:p w14:paraId="5EC26E4C" w14:textId="223AD4B1" w:rsidR="00395B26" w:rsidRPr="00237760" w:rsidRDefault="004F7889" w:rsidP="009367B4">
            <w:pPr>
              <w:pStyle w:val="Akapitzlist"/>
              <w:numPr>
                <w:ilvl w:val="0"/>
                <w:numId w:val="39"/>
              </w:numPr>
              <w:spacing w:after="0"/>
              <w:ind w:left="254" w:hanging="144"/>
              <w:jc w:val="left"/>
              <w:rPr>
                <w:rFonts w:ascii="Arial" w:hAnsi="Arial" w:cs="Arial"/>
                <w:color w:val="auto"/>
                <w:sz w:val="24"/>
                <w:szCs w:val="24"/>
                <w:lang w:eastAsia="en-US"/>
              </w:rPr>
            </w:pPr>
            <w:r w:rsidRPr="00237760">
              <w:rPr>
                <w:rFonts w:ascii="Arial" w:hAnsi="Arial" w:cs="Arial"/>
                <w:color w:val="auto"/>
                <w:sz w:val="24"/>
                <w:szCs w:val="24"/>
                <w:lang w:eastAsia="en-US"/>
              </w:rPr>
              <w:lastRenderedPageBreak/>
              <w:t>Informacje</w:t>
            </w:r>
            <w:r w:rsidR="009408FF" w:rsidRPr="00237760">
              <w:rPr>
                <w:rFonts w:ascii="Arial" w:hAnsi="Arial" w:cs="Arial"/>
                <w:color w:val="auto"/>
                <w:sz w:val="24"/>
                <w:szCs w:val="24"/>
                <w:lang w:eastAsia="en-US"/>
              </w:rPr>
              <w:t xml:space="preserve"> dotyczące zasad finansowania </w:t>
            </w:r>
            <w:r w:rsidRPr="00237760">
              <w:rPr>
                <w:rFonts w:ascii="Arial" w:hAnsi="Arial" w:cs="Arial"/>
                <w:color w:val="auto"/>
                <w:sz w:val="24"/>
                <w:szCs w:val="24"/>
                <w:lang w:eastAsia="en-US"/>
              </w:rPr>
              <w:t>programu zawiera ro</w:t>
            </w:r>
            <w:r w:rsidR="0007734B" w:rsidRPr="00237760">
              <w:rPr>
                <w:rFonts w:ascii="Arial" w:hAnsi="Arial" w:cs="Arial"/>
                <w:color w:val="auto"/>
                <w:sz w:val="24"/>
                <w:szCs w:val="24"/>
                <w:lang w:eastAsia="en-US"/>
              </w:rPr>
              <w:t>z</w:t>
            </w:r>
            <w:r w:rsidRPr="00237760">
              <w:rPr>
                <w:rFonts w:ascii="Arial" w:hAnsi="Arial" w:cs="Arial"/>
                <w:color w:val="auto"/>
                <w:sz w:val="24"/>
                <w:szCs w:val="24"/>
                <w:lang w:eastAsia="en-US"/>
              </w:rPr>
              <w:t>dz. System wdrażania i realizacji;</w:t>
            </w:r>
          </w:p>
          <w:p w14:paraId="57E23DA5" w14:textId="77777777" w:rsidR="004F7889" w:rsidRPr="00237760" w:rsidRDefault="007F2515" w:rsidP="009367B4">
            <w:pPr>
              <w:pStyle w:val="Akapitzlist"/>
              <w:numPr>
                <w:ilvl w:val="0"/>
                <w:numId w:val="39"/>
              </w:numPr>
              <w:spacing w:after="0"/>
              <w:ind w:left="254" w:hanging="144"/>
              <w:jc w:val="left"/>
              <w:rPr>
                <w:rFonts w:ascii="Arial" w:hAnsi="Arial" w:cs="Arial"/>
                <w:color w:val="auto"/>
                <w:sz w:val="24"/>
                <w:szCs w:val="24"/>
                <w:lang w:eastAsia="en-US"/>
              </w:rPr>
            </w:pPr>
            <w:r w:rsidRPr="00237760">
              <w:rPr>
                <w:rFonts w:ascii="Arial" w:hAnsi="Arial" w:cs="Arial"/>
                <w:color w:val="auto"/>
                <w:sz w:val="24"/>
                <w:szCs w:val="24"/>
                <w:lang w:eastAsia="en-US"/>
              </w:rPr>
              <w:t xml:space="preserve">Głównymi źródłami finansowania inwestycji transportowych </w:t>
            </w:r>
            <w:r w:rsidR="00F01D70" w:rsidRPr="00237760">
              <w:rPr>
                <w:rFonts w:ascii="Arial" w:hAnsi="Arial" w:cs="Arial"/>
                <w:color w:val="auto"/>
                <w:sz w:val="24"/>
                <w:szCs w:val="24"/>
                <w:lang w:eastAsia="en-US"/>
              </w:rPr>
              <w:t>mają być środki UE (perspektyw: 2014-2020 i 2021-2027)</w:t>
            </w:r>
            <w:r w:rsidR="00894C20" w:rsidRPr="00237760">
              <w:rPr>
                <w:rFonts w:ascii="Arial" w:hAnsi="Arial" w:cs="Arial"/>
                <w:color w:val="auto"/>
                <w:sz w:val="24"/>
                <w:szCs w:val="24"/>
                <w:lang w:eastAsia="en-US"/>
              </w:rPr>
              <w:t xml:space="preserve"> uzupełnione o krajowe środki publiczne na inwestycje transportowe drogowe</w:t>
            </w:r>
            <w:r w:rsidR="00BB337B" w:rsidRPr="00237760">
              <w:rPr>
                <w:rFonts w:ascii="Arial" w:hAnsi="Arial" w:cs="Arial"/>
                <w:color w:val="auto"/>
                <w:sz w:val="24"/>
                <w:szCs w:val="24"/>
                <w:lang w:eastAsia="en-US"/>
              </w:rPr>
              <w:t xml:space="preserve"> (na poziomie krajowym, wojewódzkim i lokalnym)</w:t>
            </w:r>
            <w:r w:rsidR="00C07BBE" w:rsidRPr="00237760">
              <w:rPr>
                <w:rFonts w:ascii="Arial" w:hAnsi="Arial" w:cs="Arial"/>
                <w:color w:val="auto"/>
                <w:sz w:val="24"/>
                <w:szCs w:val="24"/>
                <w:lang w:eastAsia="en-US"/>
              </w:rPr>
              <w:t xml:space="preserve"> oraz inne źródła finansowania (m.in. </w:t>
            </w:r>
            <w:r w:rsidR="006E02E8" w:rsidRPr="00237760">
              <w:rPr>
                <w:rFonts w:ascii="Arial" w:hAnsi="Arial" w:cs="Arial"/>
                <w:color w:val="auto"/>
                <w:sz w:val="24"/>
                <w:szCs w:val="24"/>
                <w:lang w:eastAsia="en-US"/>
              </w:rPr>
              <w:t xml:space="preserve">środki prywatne inwestorów, kredyty komercyjne i </w:t>
            </w:r>
            <w:r w:rsidR="006E02E8" w:rsidRPr="00237760">
              <w:rPr>
                <w:rFonts w:ascii="Arial" w:hAnsi="Arial" w:cs="Arial"/>
                <w:color w:val="auto"/>
                <w:sz w:val="24"/>
                <w:szCs w:val="24"/>
                <w:lang w:eastAsia="en-US"/>
              </w:rPr>
              <w:lastRenderedPageBreak/>
              <w:t>pożyczki, środki uzyskiwane dzięki wdrażaniu zasad: „zanieczyszczający płaci” oraz „użytkownik płaci”)</w:t>
            </w:r>
            <w:r w:rsidR="00DE4513" w:rsidRPr="00237760">
              <w:rPr>
                <w:rFonts w:ascii="Arial" w:hAnsi="Arial" w:cs="Arial"/>
                <w:color w:val="auto"/>
                <w:sz w:val="24"/>
                <w:szCs w:val="24"/>
                <w:lang w:eastAsia="en-US"/>
              </w:rPr>
              <w:t>;</w:t>
            </w:r>
          </w:p>
          <w:p w14:paraId="283C1FAF" w14:textId="77777777" w:rsidR="00DE4513" w:rsidRPr="00237760" w:rsidRDefault="00E63321" w:rsidP="009367B4">
            <w:pPr>
              <w:pStyle w:val="Akapitzlist"/>
              <w:numPr>
                <w:ilvl w:val="0"/>
                <w:numId w:val="39"/>
              </w:numPr>
              <w:spacing w:after="0"/>
              <w:ind w:left="254" w:hanging="144"/>
              <w:jc w:val="left"/>
              <w:rPr>
                <w:rFonts w:ascii="Arial" w:hAnsi="Arial" w:cs="Arial"/>
                <w:color w:val="auto"/>
                <w:sz w:val="24"/>
                <w:szCs w:val="24"/>
                <w:lang w:eastAsia="en-US"/>
              </w:rPr>
            </w:pPr>
            <w:r w:rsidRPr="00237760">
              <w:rPr>
                <w:rFonts w:ascii="Arial" w:hAnsi="Arial" w:cs="Arial"/>
                <w:color w:val="auto"/>
                <w:sz w:val="24"/>
                <w:szCs w:val="24"/>
                <w:lang w:eastAsia="en-US"/>
              </w:rPr>
              <w:t>W PSRT WP wskazano najważniejsze podmioty odpowiedzialne za utrzymanie infrastruktury transportowej na terenie województwa podkarpackiego</w:t>
            </w:r>
            <w:r w:rsidR="00D11235" w:rsidRPr="00237760">
              <w:rPr>
                <w:rFonts w:ascii="Arial" w:hAnsi="Arial" w:cs="Arial"/>
                <w:color w:val="auto"/>
                <w:sz w:val="24"/>
                <w:szCs w:val="24"/>
                <w:lang w:eastAsia="en-US"/>
              </w:rPr>
              <w:t>;</w:t>
            </w:r>
          </w:p>
          <w:p w14:paraId="6732615C" w14:textId="385FA5C6" w:rsidR="00D11235" w:rsidRPr="00237760" w:rsidRDefault="00A74D2C" w:rsidP="009367B4">
            <w:pPr>
              <w:pStyle w:val="Akapitzlist"/>
              <w:numPr>
                <w:ilvl w:val="0"/>
                <w:numId w:val="39"/>
              </w:numPr>
              <w:spacing w:after="0"/>
              <w:ind w:left="254" w:hanging="144"/>
              <w:jc w:val="left"/>
              <w:rPr>
                <w:rFonts w:ascii="Arial" w:hAnsi="Arial" w:cs="Arial"/>
                <w:color w:val="auto"/>
                <w:sz w:val="24"/>
                <w:szCs w:val="24"/>
                <w:lang w:eastAsia="en-US"/>
              </w:rPr>
            </w:pPr>
            <w:r w:rsidRPr="00237760">
              <w:rPr>
                <w:rFonts w:ascii="Arial" w:hAnsi="Arial" w:cs="Arial"/>
                <w:color w:val="auto"/>
                <w:sz w:val="24"/>
                <w:szCs w:val="24"/>
                <w:lang w:eastAsia="en-US"/>
              </w:rPr>
              <w:t>Przedstawiono</w:t>
            </w:r>
            <w:r w:rsidR="00D11235" w:rsidRPr="00237760">
              <w:rPr>
                <w:rFonts w:ascii="Arial" w:hAnsi="Arial" w:cs="Arial"/>
                <w:color w:val="auto"/>
                <w:sz w:val="24"/>
                <w:szCs w:val="24"/>
                <w:lang w:eastAsia="en-US"/>
              </w:rPr>
              <w:t xml:space="preserve"> też zestawienie szacunkowych ilości</w:t>
            </w:r>
            <w:r w:rsidR="00350EB8" w:rsidRPr="00237760">
              <w:rPr>
                <w:rFonts w:ascii="Arial" w:hAnsi="Arial" w:cs="Arial"/>
                <w:color w:val="auto"/>
                <w:sz w:val="24"/>
                <w:szCs w:val="24"/>
                <w:lang w:eastAsia="en-US"/>
              </w:rPr>
              <w:t xml:space="preserve"> oraz prognozowaną dynamikę wzrostu</w:t>
            </w:r>
            <w:r w:rsidR="00D11235" w:rsidRPr="00237760">
              <w:rPr>
                <w:rFonts w:ascii="Arial" w:hAnsi="Arial" w:cs="Arial"/>
                <w:color w:val="auto"/>
                <w:sz w:val="24"/>
                <w:szCs w:val="24"/>
                <w:lang w:eastAsia="en-US"/>
              </w:rPr>
              <w:t xml:space="preserve"> krajowych środków publicznych</w:t>
            </w:r>
            <w:r w:rsidRPr="00237760">
              <w:rPr>
                <w:rFonts w:ascii="Arial" w:hAnsi="Arial" w:cs="Arial"/>
                <w:color w:val="auto"/>
                <w:sz w:val="24"/>
                <w:szCs w:val="24"/>
                <w:lang w:eastAsia="en-US"/>
              </w:rPr>
              <w:t xml:space="preserve"> (na poziomie krajowym, wojewódzkim i lokalnym) </w:t>
            </w:r>
            <w:r w:rsidR="00D11235" w:rsidRPr="00237760">
              <w:rPr>
                <w:rFonts w:ascii="Arial" w:hAnsi="Arial" w:cs="Arial"/>
                <w:color w:val="auto"/>
                <w:sz w:val="24"/>
                <w:szCs w:val="24"/>
                <w:lang w:eastAsia="en-US"/>
              </w:rPr>
              <w:t>przeznaczonych na wydatki bieżące</w:t>
            </w:r>
            <w:r w:rsidR="00D35B70" w:rsidRPr="00237760">
              <w:rPr>
                <w:rFonts w:ascii="Arial" w:hAnsi="Arial" w:cs="Arial"/>
                <w:color w:val="auto"/>
                <w:sz w:val="24"/>
                <w:szCs w:val="24"/>
                <w:lang w:eastAsia="en-US"/>
              </w:rPr>
              <w:t xml:space="preserve"> (koszty utrzymania)</w:t>
            </w:r>
            <w:r w:rsidR="00D11235" w:rsidRPr="00237760">
              <w:rPr>
                <w:rFonts w:ascii="Arial" w:hAnsi="Arial" w:cs="Arial"/>
                <w:color w:val="auto"/>
                <w:sz w:val="24"/>
                <w:szCs w:val="24"/>
                <w:lang w:eastAsia="en-US"/>
              </w:rPr>
              <w:t xml:space="preserve"> w sferze transportu </w:t>
            </w:r>
            <w:r w:rsidR="00320A44" w:rsidRPr="00237760">
              <w:rPr>
                <w:rFonts w:ascii="Arial" w:hAnsi="Arial" w:cs="Arial"/>
                <w:color w:val="auto"/>
                <w:sz w:val="24"/>
                <w:szCs w:val="24"/>
                <w:lang w:eastAsia="en-US"/>
              </w:rPr>
              <w:t xml:space="preserve">na lata </w:t>
            </w:r>
            <w:r w:rsidR="00D11235" w:rsidRPr="00237760">
              <w:rPr>
                <w:rFonts w:ascii="Arial" w:hAnsi="Arial" w:cs="Arial"/>
                <w:color w:val="auto"/>
                <w:sz w:val="24"/>
                <w:szCs w:val="24"/>
                <w:lang w:eastAsia="en-US"/>
              </w:rPr>
              <w:t>2021 – 2030</w:t>
            </w:r>
            <w:r w:rsidR="0079269C" w:rsidRPr="00237760">
              <w:rPr>
                <w:rFonts w:ascii="Arial" w:hAnsi="Arial" w:cs="Arial"/>
                <w:color w:val="auto"/>
                <w:sz w:val="24"/>
                <w:szCs w:val="24"/>
                <w:lang w:eastAsia="en-US"/>
              </w:rPr>
              <w:t>;</w:t>
            </w:r>
          </w:p>
          <w:p w14:paraId="4415CDF2" w14:textId="2B678D67" w:rsidR="00E37C8D" w:rsidRPr="00237760" w:rsidRDefault="00E37C8D" w:rsidP="009367B4">
            <w:pPr>
              <w:pStyle w:val="Akapitzlist"/>
              <w:numPr>
                <w:ilvl w:val="0"/>
                <w:numId w:val="39"/>
              </w:numPr>
              <w:spacing w:after="0"/>
              <w:ind w:left="254" w:hanging="144"/>
              <w:jc w:val="left"/>
              <w:rPr>
                <w:rFonts w:ascii="Arial" w:hAnsi="Arial" w:cs="Arial"/>
                <w:color w:val="auto"/>
                <w:sz w:val="24"/>
                <w:szCs w:val="24"/>
                <w:lang w:eastAsia="en-US"/>
              </w:rPr>
            </w:pPr>
            <w:r w:rsidRPr="00237760">
              <w:rPr>
                <w:rFonts w:ascii="Arial" w:hAnsi="Arial" w:cs="Arial"/>
                <w:color w:val="auto"/>
                <w:sz w:val="24"/>
                <w:szCs w:val="24"/>
                <w:lang w:eastAsia="en-US"/>
              </w:rPr>
              <w:t>Przedstawione dane są dokładne</w:t>
            </w:r>
            <w:r w:rsidR="00C15135" w:rsidRPr="00237760">
              <w:rPr>
                <w:rFonts w:ascii="Arial" w:hAnsi="Arial" w:cs="Arial"/>
                <w:color w:val="auto"/>
                <w:sz w:val="24"/>
                <w:szCs w:val="24"/>
                <w:lang w:eastAsia="en-US"/>
              </w:rPr>
              <w:t xml:space="preserve"> w taki stopniu w jakim jest to możliwe na o</w:t>
            </w:r>
            <w:r w:rsidR="0016386E" w:rsidRPr="00237760">
              <w:rPr>
                <w:rFonts w:ascii="Arial" w:hAnsi="Arial" w:cs="Arial"/>
                <w:color w:val="auto"/>
                <w:sz w:val="24"/>
                <w:szCs w:val="24"/>
                <w:lang w:eastAsia="en-US"/>
              </w:rPr>
              <w:t>becną chwilę, jak zapisano w PSTR WP</w:t>
            </w:r>
            <w:r w:rsidR="00901B3E" w:rsidRPr="00237760">
              <w:rPr>
                <w:rFonts w:ascii="Arial" w:hAnsi="Arial" w:cs="Arial"/>
                <w:color w:val="auto"/>
                <w:sz w:val="24"/>
                <w:szCs w:val="24"/>
                <w:lang w:eastAsia="en-US"/>
              </w:rPr>
              <w:t>:</w:t>
            </w:r>
            <w:r w:rsidR="0016386E" w:rsidRPr="00237760">
              <w:rPr>
                <w:rFonts w:ascii="Arial" w:hAnsi="Arial" w:cs="Arial"/>
                <w:color w:val="auto"/>
                <w:sz w:val="24"/>
                <w:szCs w:val="24"/>
                <w:lang w:eastAsia="en-US"/>
              </w:rPr>
              <w:t xml:space="preserve"> „</w:t>
            </w:r>
            <w:r w:rsidR="00901B3E" w:rsidRPr="00237760">
              <w:rPr>
                <w:rFonts w:ascii="Arial" w:hAnsi="Arial" w:cs="Arial"/>
                <w:color w:val="auto"/>
                <w:sz w:val="24"/>
                <w:szCs w:val="24"/>
                <w:lang w:eastAsia="en-US"/>
              </w:rPr>
              <w:t>T</w:t>
            </w:r>
            <w:r w:rsidR="0016386E" w:rsidRPr="00237760">
              <w:rPr>
                <w:rFonts w:ascii="Arial" w:hAnsi="Arial" w:cs="Arial"/>
                <w:color w:val="auto"/>
                <w:sz w:val="24"/>
                <w:szCs w:val="24"/>
                <w:lang w:eastAsia="en-US"/>
              </w:rPr>
              <w:t xml:space="preserve">rudności polegały przede wszystkim na braku możliwości pozyskania informacji, co do kompletnych kwot pozwalających na przewidywanie ilości środków dostępnych z danych źródeł na realizację planowanych w PSRT </w:t>
            </w:r>
            <w:r w:rsidR="00715AB5" w:rsidRPr="00237760">
              <w:rPr>
                <w:rFonts w:ascii="Arial" w:hAnsi="Arial" w:cs="Arial"/>
                <w:color w:val="auto"/>
                <w:sz w:val="24"/>
                <w:szCs w:val="24"/>
                <w:lang w:eastAsia="en-US"/>
              </w:rPr>
              <w:t xml:space="preserve">WP </w:t>
            </w:r>
            <w:r w:rsidR="0016386E" w:rsidRPr="00237760">
              <w:rPr>
                <w:rFonts w:ascii="Arial" w:hAnsi="Arial" w:cs="Arial"/>
                <w:color w:val="auto"/>
                <w:sz w:val="24"/>
                <w:szCs w:val="24"/>
                <w:lang w:eastAsia="en-US"/>
              </w:rPr>
              <w:t>zadań z dziedziny transportu</w:t>
            </w:r>
            <w:r w:rsidR="00096B3A" w:rsidRPr="00237760">
              <w:rPr>
                <w:rFonts w:ascii="Arial" w:hAnsi="Arial" w:cs="Arial"/>
                <w:color w:val="auto"/>
                <w:sz w:val="24"/>
                <w:szCs w:val="24"/>
                <w:lang w:eastAsia="en-US"/>
              </w:rPr>
              <w:t>”.</w:t>
            </w:r>
          </w:p>
        </w:tc>
        <w:tc>
          <w:tcPr>
            <w:tcW w:w="1276" w:type="dxa"/>
            <w:tcBorders>
              <w:top w:val="single" w:sz="4" w:space="0" w:color="BDD6EE" w:themeColor="accent1" w:themeTint="66"/>
              <w:left w:val="nil"/>
              <w:bottom w:val="single" w:sz="12" w:space="0" w:color="002060"/>
              <w:right w:val="nil"/>
            </w:tcBorders>
            <w:vAlign w:val="center"/>
          </w:tcPr>
          <w:p w14:paraId="138A8586" w14:textId="2272E366" w:rsidR="00395B26" w:rsidRPr="00237760" w:rsidRDefault="006E131A" w:rsidP="009367B4">
            <w:pPr>
              <w:spacing w:after="0" w:line="240" w:lineRule="auto"/>
              <w:ind w:left="720" w:hanging="360"/>
              <w:contextualSpacing/>
              <w:jc w:val="left"/>
              <w:rPr>
                <w:rFonts w:ascii="Arial" w:hAnsi="Arial" w:cs="Arial"/>
                <w:b/>
                <w:color w:val="auto"/>
                <w:sz w:val="24"/>
                <w:szCs w:val="24"/>
              </w:rPr>
            </w:pPr>
            <w:r w:rsidRPr="00237760">
              <w:rPr>
                <w:rFonts w:ascii="Arial" w:hAnsi="Arial" w:cs="Arial"/>
                <w:b/>
                <w:color w:val="auto"/>
                <w:sz w:val="24"/>
                <w:szCs w:val="24"/>
              </w:rPr>
              <w:lastRenderedPageBreak/>
              <w:t>+</w:t>
            </w:r>
          </w:p>
        </w:tc>
      </w:tr>
    </w:tbl>
    <w:p w14:paraId="06F81AD1" w14:textId="098A8F09" w:rsidR="00A4388C" w:rsidRPr="00237760" w:rsidRDefault="00CA5007"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Źródło: opracowanie własne na podstawie</w:t>
      </w:r>
      <w:r w:rsidR="00107A0B" w:rsidRPr="00237760">
        <w:rPr>
          <w:rFonts w:ascii="Arial" w:hAnsi="Arial" w:cs="Arial"/>
          <w:color w:val="auto"/>
          <w:sz w:val="24"/>
          <w:szCs w:val="24"/>
        </w:rPr>
        <w:t>:</w:t>
      </w:r>
      <w:r w:rsidRPr="00237760">
        <w:rPr>
          <w:rFonts w:ascii="Arial" w:hAnsi="Arial" w:cs="Arial"/>
          <w:color w:val="auto"/>
          <w:sz w:val="24"/>
          <w:szCs w:val="24"/>
        </w:rPr>
        <w:t xml:space="preserve"> PSRT WP</w:t>
      </w:r>
      <w:r w:rsidR="00496E9F" w:rsidRPr="00237760">
        <w:rPr>
          <w:rFonts w:ascii="Arial" w:hAnsi="Arial" w:cs="Arial"/>
          <w:color w:val="auto"/>
          <w:sz w:val="24"/>
          <w:szCs w:val="24"/>
        </w:rPr>
        <w:t>;</w:t>
      </w:r>
      <w:r w:rsidR="00B07CAA" w:rsidRPr="00237760">
        <w:rPr>
          <w:rFonts w:ascii="Arial" w:hAnsi="Arial" w:cs="Arial"/>
          <w:color w:val="auto"/>
          <w:sz w:val="24"/>
          <w:szCs w:val="24"/>
        </w:rPr>
        <w:t xml:space="preserve"> </w:t>
      </w:r>
      <w:r w:rsidRPr="00237760">
        <w:rPr>
          <w:rFonts w:ascii="Arial" w:hAnsi="Arial" w:cs="Arial"/>
          <w:color w:val="auto"/>
          <w:sz w:val="24"/>
          <w:szCs w:val="24"/>
        </w:rPr>
        <w:t>załącznika IV</w:t>
      </w:r>
      <w:r w:rsidR="0055219D" w:rsidRPr="00237760">
        <w:rPr>
          <w:rFonts w:ascii="Arial" w:hAnsi="Arial" w:cs="Arial"/>
          <w:color w:val="auto"/>
          <w:sz w:val="24"/>
          <w:szCs w:val="24"/>
        </w:rPr>
        <w:t xml:space="preserve"> Rozporządzenia Parlamentu Europejskiego i Rady </w:t>
      </w:r>
      <w:r w:rsidR="00B17EC8" w:rsidRPr="00237760">
        <w:rPr>
          <w:rFonts w:ascii="Arial" w:hAnsi="Arial" w:cs="Arial"/>
          <w:color w:val="auto"/>
          <w:sz w:val="24"/>
          <w:szCs w:val="24"/>
        </w:rPr>
        <w:t>(UE) 2021/1060 z dnia 24 czerwca 2021 r.</w:t>
      </w:r>
      <w:r w:rsidR="0055219D" w:rsidRPr="00237760">
        <w:rPr>
          <w:rFonts w:ascii="Arial" w:hAnsi="Arial" w:cs="Arial"/>
          <w:color w:val="auto"/>
          <w:sz w:val="24"/>
          <w:szCs w:val="24"/>
        </w:rPr>
        <w:t xml:space="preserve"> ustanawiające wspólne przepisy dotyczące Europejskiego Funduszu Rozwoju Regionalnego, Europejskiego Funduszu Społecznego Plus, Funduszu Spójności, Funduszu na rzecz sprawiedliwej transformacji i Europejskiego Funduszu Morskiego, Rybackiego i Akwakultur</w:t>
      </w:r>
      <w:r w:rsidR="00B07CAA" w:rsidRPr="00237760">
        <w:rPr>
          <w:rFonts w:ascii="Arial" w:hAnsi="Arial" w:cs="Arial"/>
          <w:color w:val="auto"/>
          <w:sz w:val="24"/>
          <w:szCs w:val="24"/>
        </w:rPr>
        <w:t>y</w:t>
      </w:r>
      <w:r w:rsidR="00C500BD" w:rsidRPr="00237760">
        <w:rPr>
          <w:rFonts w:ascii="Arial" w:hAnsi="Arial" w:cs="Arial"/>
          <w:color w:val="auto"/>
          <w:sz w:val="24"/>
          <w:szCs w:val="24"/>
        </w:rPr>
        <w:t>…</w:t>
      </w:r>
      <w:r w:rsidR="002E2AF5" w:rsidRPr="00237760">
        <w:rPr>
          <w:rFonts w:ascii="Arial" w:hAnsi="Arial" w:cs="Arial"/>
          <w:color w:val="auto"/>
          <w:sz w:val="24"/>
          <w:szCs w:val="24"/>
        </w:rPr>
        <w:t>;</w:t>
      </w:r>
      <w:r w:rsidR="0083524A" w:rsidRPr="00237760">
        <w:rPr>
          <w:rFonts w:ascii="Arial" w:hAnsi="Arial" w:cs="Arial"/>
          <w:color w:val="auto"/>
          <w:sz w:val="24"/>
          <w:szCs w:val="24"/>
        </w:rPr>
        <w:t xml:space="preserve"> </w:t>
      </w:r>
      <w:bookmarkStart w:id="173" w:name="_Hlk96615075"/>
      <w:r w:rsidR="0083524A" w:rsidRPr="00237760">
        <w:rPr>
          <w:rFonts w:ascii="Arial" w:hAnsi="Arial" w:cs="Arial"/>
          <w:color w:val="auto"/>
          <w:sz w:val="24"/>
          <w:szCs w:val="24"/>
        </w:rPr>
        <w:t>Rozporządzeni</w:t>
      </w:r>
      <w:r w:rsidR="00C63F1A" w:rsidRPr="00237760">
        <w:rPr>
          <w:rFonts w:ascii="Arial" w:hAnsi="Arial" w:cs="Arial"/>
          <w:color w:val="auto"/>
          <w:sz w:val="24"/>
          <w:szCs w:val="24"/>
        </w:rPr>
        <w:t>a</w:t>
      </w:r>
      <w:r w:rsidR="0083524A" w:rsidRPr="00237760">
        <w:rPr>
          <w:rFonts w:ascii="Arial" w:hAnsi="Arial" w:cs="Arial"/>
          <w:color w:val="auto"/>
          <w:sz w:val="24"/>
          <w:szCs w:val="24"/>
        </w:rPr>
        <w:t xml:space="preserve"> Parlamentu Europejskiego i Rady (UE) nr 1315/2013 z dnia 11 grudnia 2013 r. w sprawie unijnych wytycznych dotyczących rozwoju transeuropejskiej sieci transportowej i uchylające decyzję nr 661/2010/UE</w:t>
      </w:r>
      <w:r w:rsidR="00496E9F" w:rsidRPr="00237760">
        <w:rPr>
          <w:rFonts w:ascii="Arial" w:hAnsi="Arial" w:cs="Arial"/>
          <w:color w:val="auto"/>
          <w:sz w:val="24"/>
          <w:szCs w:val="24"/>
        </w:rPr>
        <w:t>;</w:t>
      </w:r>
      <w:r w:rsidR="00C63F1A" w:rsidRPr="00237760">
        <w:rPr>
          <w:rFonts w:ascii="Arial" w:hAnsi="Arial" w:cs="Arial"/>
          <w:color w:val="auto"/>
          <w:sz w:val="24"/>
          <w:szCs w:val="24"/>
        </w:rPr>
        <w:t xml:space="preserve"> Rozporządzenia Wykonawczego Komisji (UE) 2017/6 z dnia 5 stycznia 2017 r. w sprawie europejskiego planu wdrożenia europejskiego systemu zarządzania ruchem kolejowym</w:t>
      </w:r>
      <w:bookmarkEnd w:id="173"/>
      <w:r w:rsidR="00496E9F" w:rsidRPr="00237760">
        <w:rPr>
          <w:rFonts w:ascii="Arial" w:hAnsi="Arial" w:cs="Arial"/>
          <w:color w:val="auto"/>
          <w:sz w:val="24"/>
          <w:szCs w:val="24"/>
        </w:rPr>
        <w:t>;</w:t>
      </w:r>
      <w:r w:rsidR="00B42477" w:rsidRPr="00237760">
        <w:rPr>
          <w:rFonts w:ascii="Arial" w:hAnsi="Arial" w:cs="Arial"/>
          <w:color w:val="auto"/>
          <w:sz w:val="24"/>
          <w:szCs w:val="24"/>
        </w:rPr>
        <w:t xml:space="preserve"> Diagnoz</w:t>
      </w:r>
      <w:r w:rsidR="001C5D1D" w:rsidRPr="00237760">
        <w:rPr>
          <w:rFonts w:ascii="Arial" w:hAnsi="Arial" w:cs="Arial"/>
          <w:color w:val="auto"/>
          <w:sz w:val="24"/>
          <w:szCs w:val="24"/>
        </w:rPr>
        <w:t>y</w:t>
      </w:r>
      <w:r w:rsidR="00B42477" w:rsidRPr="00237760">
        <w:rPr>
          <w:rFonts w:ascii="Arial" w:hAnsi="Arial" w:cs="Arial"/>
          <w:color w:val="auto"/>
          <w:sz w:val="24"/>
          <w:szCs w:val="24"/>
        </w:rPr>
        <w:t xml:space="preserve"> Stanu Systemu Transportowego w Województwie Podkarpackim</w:t>
      </w:r>
      <w:r w:rsidR="00496E9F" w:rsidRPr="00237760">
        <w:rPr>
          <w:rFonts w:ascii="Arial" w:hAnsi="Arial" w:cs="Arial"/>
          <w:color w:val="auto"/>
          <w:sz w:val="24"/>
          <w:szCs w:val="24"/>
        </w:rPr>
        <w:t>;</w:t>
      </w:r>
      <w:r w:rsidR="00D21A55" w:rsidRPr="00237760">
        <w:rPr>
          <w:rFonts w:ascii="Arial" w:hAnsi="Arial" w:cs="Arial"/>
          <w:color w:val="auto"/>
          <w:sz w:val="24"/>
          <w:szCs w:val="24"/>
        </w:rPr>
        <w:t xml:space="preserve"> raportu Rozwój transportu w województwie podkarpackim w perspektywie do 2030 roku</w:t>
      </w:r>
      <w:r w:rsidR="009328AD" w:rsidRPr="00237760">
        <w:rPr>
          <w:rFonts w:ascii="Arial" w:hAnsi="Arial" w:cs="Arial"/>
          <w:color w:val="auto"/>
          <w:sz w:val="24"/>
          <w:szCs w:val="24"/>
        </w:rPr>
        <w:t xml:space="preserve">; </w:t>
      </w:r>
      <w:r w:rsidR="00305E0C" w:rsidRPr="00237760">
        <w:rPr>
          <w:rFonts w:ascii="Arial" w:hAnsi="Arial" w:cs="Arial"/>
          <w:color w:val="auto"/>
          <w:sz w:val="24"/>
          <w:szCs w:val="24"/>
        </w:rPr>
        <w:t>Strategii zrównoważonego rozwoju transportu do 2030 r.</w:t>
      </w:r>
      <w:r w:rsidR="00B42477" w:rsidRPr="00237760">
        <w:rPr>
          <w:rFonts w:ascii="Arial" w:hAnsi="Arial" w:cs="Arial"/>
          <w:color w:val="auto"/>
          <w:sz w:val="24"/>
          <w:szCs w:val="24"/>
        </w:rPr>
        <w:t xml:space="preserve"> </w:t>
      </w:r>
      <w:r w:rsidR="00C63F1A" w:rsidRPr="00237760">
        <w:rPr>
          <w:rFonts w:ascii="Arial" w:hAnsi="Arial" w:cs="Arial"/>
          <w:color w:val="auto"/>
          <w:sz w:val="24"/>
          <w:szCs w:val="24"/>
        </w:rPr>
        <w:t>oraz</w:t>
      </w:r>
      <w:r w:rsidR="00B07CAA" w:rsidRPr="00237760">
        <w:rPr>
          <w:rFonts w:ascii="Arial" w:hAnsi="Arial" w:cs="Arial"/>
          <w:color w:val="auto"/>
          <w:sz w:val="24"/>
          <w:szCs w:val="24"/>
        </w:rPr>
        <w:t xml:space="preserve"> </w:t>
      </w:r>
      <w:r w:rsidR="003026DE" w:rsidRPr="00237760">
        <w:rPr>
          <w:rFonts w:ascii="Arial" w:hAnsi="Arial" w:cs="Arial"/>
          <w:color w:val="auto"/>
          <w:sz w:val="24"/>
          <w:szCs w:val="24"/>
        </w:rPr>
        <w:t>Informacji o spełnieniu warunku podstawowego Celu Polityki 3 na poziomie regionalnym w zakresie opracowania Programu Strategicznego Rozwoju Transportu Województwa Podkarpackiego do roku 2030</w:t>
      </w:r>
      <w:r w:rsidR="0040093A" w:rsidRPr="00237760">
        <w:rPr>
          <w:rFonts w:ascii="Arial" w:hAnsi="Arial" w:cs="Arial"/>
          <w:color w:val="auto"/>
          <w:sz w:val="24"/>
          <w:szCs w:val="24"/>
        </w:rPr>
        <w:t>.</w:t>
      </w:r>
    </w:p>
    <w:p w14:paraId="7C16FB25" w14:textId="27F1D83A" w:rsidR="00A04DED" w:rsidRPr="00237760" w:rsidRDefault="00A04DED" w:rsidP="009367B4">
      <w:pPr>
        <w:jc w:val="left"/>
        <w:rPr>
          <w:rFonts w:ascii="Arial" w:hAnsi="Arial" w:cs="Arial"/>
          <w:color w:val="auto"/>
          <w:sz w:val="24"/>
          <w:szCs w:val="24"/>
        </w:rPr>
      </w:pPr>
      <w:r w:rsidRPr="00237760">
        <w:rPr>
          <w:rFonts w:ascii="Arial" w:hAnsi="Arial" w:cs="Arial"/>
          <w:color w:val="auto"/>
          <w:sz w:val="24"/>
          <w:szCs w:val="24"/>
          <w:lang w:eastAsia="pl-PL"/>
        </w:rPr>
        <w:t xml:space="preserve">Dokument PSRT WP </w:t>
      </w:r>
      <w:r w:rsidR="00220A11" w:rsidRPr="00237760">
        <w:rPr>
          <w:rFonts w:ascii="Arial" w:hAnsi="Arial" w:cs="Arial"/>
          <w:color w:val="auto"/>
          <w:sz w:val="24"/>
          <w:szCs w:val="24"/>
          <w:lang w:eastAsia="pl-PL"/>
        </w:rPr>
        <w:t xml:space="preserve">bez zastrzeżeń </w:t>
      </w:r>
      <w:r w:rsidRPr="00237760">
        <w:rPr>
          <w:rFonts w:ascii="Arial" w:hAnsi="Arial" w:cs="Arial"/>
          <w:color w:val="auto"/>
          <w:sz w:val="24"/>
          <w:szCs w:val="24"/>
          <w:lang w:eastAsia="pl-PL"/>
        </w:rPr>
        <w:t xml:space="preserve">spełnia kryteria warunku </w:t>
      </w:r>
      <w:r w:rsidR="00862EAA" w:rsidRPr="00237760">
        <w:rPr>
          <w:rFonts w:ascii="Arial" w:hAnsi="Arial" w:cs="Arial"/>
          <w:color w:val="auto"/>
          <w:sz w:val="24"/>
          <w:szCs w:val="24"/>
          <w:lang w:eastAsia="pl-PL"/>
        </w:rPr>
        <w:t>podstawowego</w:t>
      </w:r>
      <w:r w:rsidR="00883097" w:rsidRPr="00237760">
        <w:rPr>
          <w:rFonts w:ascii="Arial" w:hAnsi="Arial" w:cs="Arial"/>
          <w:color w:val="auto"/>
          <w:sz w:val="24"/>
          <w:szCs w:val="24"/>
          <w:lang w:eastAsia="pl-PL"/>
        </w:rPr>
        <w:t xml:space="preserve"> </w:t>
      </w:r>
      <w:r w:rsidRPr="00237760">
        <w:rPr>
          <w:rFonts w:ascii="Arial" w:hAnsi="Arial" w:cs="Arial"/>
          <w:color w:val="auto"/>
          <w:sz w:val="24"/>
          <w:szCs w:val="24"/>
          <w:lang w:eastAsia="pl-PL"/>
        </w:rPr>
        <w:t>pn.</w:t>
      </w:r>
      <w:r w:rsidR="00220A11" w:rsidRPr="00237760">
        <w:rPr>
          <w:rFonts w:ascii="Arial" w:hAnsi="Arial" w:cs="Arial"/>
          <w:color w:val="auto"/>
          <w:sz w:val="24"/>
          <w:szCs w:val="24"/>
          <w:lang w:eastAsia="pl-PL"/>
        </w:rPr>
        <w:t xml:space="preserve"> </w:t>
      </w:r>
      <w:r w:rsidR="00862EAA" w:rsidRPr="00237760">
        <w:rPr>
          <w:rFonts w:ascii="Arial" w:hAnsi="Arial" w:cs="Arial"/>
          <w:color w:val="auto"/>
          <w:sz w:val="24"/>
          <w:szCs w:val="24"/>
          <w:lang w:eastAsia="pl-PL"/>
        </w:rPr>
        <w:t>„k</w:t>
      </w:r>
      <w:r w:rsidR="00220A11" w:rsidRPr="00237760">
        <w:rPr>
          <w:rFonts w:ascii="Arial" w:hAnsi="Arial" w:cs="Arial"/>
          <w:color w:val="auto"/>
          <w:sz w:val="24"/>
          <w:szCs w:val="24"/>
          <w:lang w:eastAsia="pl-PL"/>
        </w:rPr>
        <w:t>ompleksowe planowanie transportu na odpowiednim poziomie</w:t>
      </w:r>
      <w:r w:rsidR="00862EAA" w:rsidRPr="00237760">
        <w:rPr>
          <w:rFonts w:ascii="Arial" w:hAnsi="Arial" w:cs="Arial"/>
          <w:color w:val="auto"/>
          <w:sz w:val="24"/>
          <w:szCs w:val="24"/>
          <w:lang w:eastAsia="pl-PL"/>
        </w:rPr>
        <w:t>”</w:t>
      </w:r>
      <w:r w:rsidR="00883097" w:rsidRPr="00237760">
        <w:rPr>
          <w:rFonts w:ascii="Arial" w:hAnsi="Arial" w:cs="Arial"/>
          <w:color w:val="auto"/>
          <w:sz w:val="24"/>
          <w:szCs w:val="24"/>
          <w:lang w:eastAsia="pl-PL"/>
        </w:rPr>
        <w:t xml:space="preserve"> </w:t>
      </w:r>
      <w:r w:rsidRPr="00237760">
        <w:rPr>
          <w:rFonts w:ascii="Arial" w:hAnsi="Arial" w:cs="Arial"/>
          <w:color w:val="auto"/>
          <w:sz w:val="24"/>
          <w:szCs w:val="24"/>
          <w:lang w:eastAsia="pl-PL"/>
        </w:rPr>
        <w:t xml:space="preserve">dla </w:t>
      </w:r>
      <w:r w:rsidRPr="00237760">
        <w:rPr>
          <w:rFonts w:ascii="Arial" w:hAnsi="Arial" w:cs="Arial"/>
          <w:color w:val="auto"/>
          <w:sz w:val="24"/>
          <w:szCs w:val="24"/>
        </w:rPr>
        <w:t>Celu Polityki 3 – „Lepiej połączona Europa”</w:t>
      </w:r>
      <w:r w:rsidR="00862EAA" w:rsidRPr="00237760">
        <w:rPr>
          <w:rFonts w:ascii="Arial" w:hAnsi="Arial" w:cs="Arial"/>
          <w:color w:val="auto"/>
          <w:sz w:val="24"/>
          <w:szCs w:val="24"/>
        </w:rPr>
        <w:t>.</w:t>
      </w:r>
    </w:p>
    <w:p w14:paraId="70A8760E" w14:textId="7C08C0C6" w:rsidR="00F421F4" w:rsidRPr="00237760" w:rsidRDefault="00F421F4" w:rsidP="009367B4">
      <w:pPr>
        <w:pStyle w:val="Nagwek3"/>
        <w:rPr>
          <w:rFonts w:ascii="Arial" w:hAnsi="Arial" w:cs="Arial"/>
          <w:color w:val="auto"/>
          <w:sz w:val="24"/>
          <w:szCs w:val="24"/>
        </w:rPr>
      </w:pPr>
      <w:bookmarkStart w:id="174" w:name="_Toc101904138"/>
      <w:r w:rsidRPr="00237760">
        <w:rPr>
          <w:rFonts w:ascii="Arial" w:hAnsi="Arial" w:cs="Arial"/>
          <w:color w:val="auto"/>
          <w:sz w:val="24"/>
          <w:szCs w:val="24"/>
        </w:rPr>
        <w:lastRenderedPageBreak/>
        <w:t>Zgodność z dokumentami prawymi</w:t>
      </w:r>
      <w:r w:rsidR="00B256BF" w:rsidRPr="00237760">
        <w:rPr>
          <w:rFonts w:ascii="Arial" w:hAnsi="Arial" w:cs="Arial"/>
          <w:color w:val="auto"/>
          <w:sz w:val="24"/>
          <w:szCs w:val="24"/>
        </w:rPr>
        <w:t xml:space="preserve"> regulującymi kwestie </w:t>
      </w:r>
      <w:bookmarkStart w:id="175" w:name="_Hlk100878628"/>
      <w:r w:rsidR="00B256BF" w:rsidRPr="00237760">
        <w:rPr>
          <w:rFonts w:ascii="Arial" w:hAnsi="Arial" w:cs="Arial"/>
          <w:color w:val="auto"/>
          <w:sz w:val="24"/>
          <w:szCs w:val="24"/>
        </w:rPr>
        <w:t>zarządzania infrastrukturą transportową oraz przewozem osób i towarów</w:t>
      </w:r>
      <w:bookmarkEnd w:id="174"/>
      <w:bookmarkEnd w:id="175"/>
    </w:p>
    <w:p w14:paraId="64B5DCEC" w14:textId="086B3E8E" w:rsidR="00E94FD0" w:rsidRPr="00237760" w:rsidRDefault="0028674E"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Kompetencje samorządu wojewó</w:t>
      </w:r>
      <w:r w:rsidR="008E5546" w:rsidRPr="00237760">
        <w:rPr>
          <w:rFonts w:ascii="Arial" w:hAnsi="Arial" w:cs="Arial"/>
          <w:color w:val="auto"/>
          <w:sz w:val="24"/>
          <w:szCs w:val="24"/>
          <w:lang w:eastAsia="pl-PL"/>
        </w:rPr>
        <w:t xml:space="preserve">dztwa w zakresie zarządzania infrastrukturą transportową oraz przewozem osób i towarów są ograniczone. </w:t>
      </w:r>
      <w:r w:rsidR="008F3AF3" w:rsidRPr="00237760">
        <w:rPr>
          <w:rFonts w:ascii="Arial" w:hAnsi="Arial" w:cs="Arial"/>
          <w:color w:val="auto"/>
          <w:sz w:val="24"/>
          <w:szCs w:val="24"/>
          <w:lang w:eastAsia="pl-PL"/>
        </w:rPr>
        <w:t xml:space="preserve">Jedynie część </w:t>
      </w:r>
      <w:r w:rsidR="00792401" w:rsidRPr="00237760">
        <w:rPr>
          <w:rFonts w:ascii="Arial" w:hAnsi="Arial" w:cs="Arial"/>
          <w:color w:val="auto"/>
          <w:sz w:val="24"/>
          <w:szCs w:val="24"/>
          <w:lang w:eastAsia="pl-PL"/>
        </w:rPr>
        <w:t xml:space="preserve">zadań </w:t>
      </w:r>
      <w:r w:rsidR="00013453" w:rsidRPr="00237760">
        <w:rPr>
          <w:rFonts w:ascii="Arial" w:hAnsi="Arial" w:cs="Arial"/>
          <w:color w:val="auto"/>
          <w:sz w:val="24"/>
          <w:szCs w:val="24"/>
          <w:lang w:eastAsia="pl-PL"/>
        </w:rPr>
        <w:t>wskazywanych przez</w:t>
      </w:r>
      <w:r w:rsidR="00952B7A" w:rsidRPr="00237760">
        <w:rPr>
          <w:rFonts w:ascii="Arial" w:hAnsi="Arial" w:cs="Arial"/>
          <w:color w:val="auto"/>
          <w:sz w:val="24"/>
          <w:szCs w:val="24"/>
          <w:lang w:eastAsia="pl-PL"/>
        </w:rPr>
        <w:t>:</w:t>
      </w:r>
    </w:p>
    <w:p w14:paraId="46366D81" w14:textId="6CFA6ECF" w:rsidR="00D801CD" w:rsidRPr="00237760" w:rsidRDefault="00D801CD" w:rsidP="009367B4">
      <w:pPr>
        <w:pStyle w:val="Akapitzlist"/>
        <w:numPr>
          <w:ilvl w:val="0"/>
          <w:numId w:val="40"/>
        </w:numPr>
        <w:ind w:left="714" w:hanging="357"/>
        <w:contextualSpacing/>
        <w:jc w:val="left"/>
        <w:rPr>
          <w:rFonts w:ascii="Arial" w:hAnsi="Arial" w:cs="Arial"/>
          <w:i/>
          <w:color w:val="auto"/>
          <w:sz w:val="24"/>
          <w:szCs w:val="24"/>
        </w:rPr>
      </w:pPr>
      <w:bookmarkStart w:id="176" w:name="_Hlk100859679"/>
      <w:r w:rsidRPr="00237760">
        <w:rPr>
          <w:rFonts w:ascii="Arial" w:hAnsi="Arial" w:cs="Arial"/>
          <w:i/>
          <w:color w:val="auto"/>
          <w:sz w:val="24"/>
          <w:szCs w:val="24"/>
        </w:rPr>
        <w:t>Ustawę z dnia 6 września 2001 r. o transporcie drogowym,</w:t>
      </w:r>
    </w:p>
    <w:p w14:paraId="18879C80" w14:textId="765788B9" w:rsidR="00AE4C02" w:rsidRPr="00237760" w:rsidRDefault="00AE4C02" w:rsidP="009367B4">
      <w:pPr>
        <w:pStyle w:val="Akapitzlist"/>
        <w:numPr>
          <w:ilvl w:val="0"/>
          <w:numId w:val="40"/>
        </w:numPr>
        <w:ind w:left="714" w:hanging="357"/>
        <w:contextualSpacing/>
        <w:jc w:val="left"/>
        <w:rPr>
          <w:rFonts w:ascii="Arial" w:hAnsi="Arial" w:cs="Arial"/>
          <w:i/>
          <w:color w:val="auto"/>
          <w:sz w:val="24"/>
          <w:szCs w:val="24"/>
        </w:rPr>
      </w:pPr>
      <w:r w:rsidRPr="00237760">
        <w:rPr>
          <w:rFonts w:ascii="Arial" w:hAnsi="Arial" w:cs="Arial"/>
          <w:i/>
          <w:color w:val="auto"/>
          <w:sz w:val="24"/>
          <w:szCs w:val="24"/>
        </w:rPr>
        <w:t>Ustawę z dnia 16 grudnia 2010 r. o publicznym transporcie zbiorowym,</w:t>
      </w:r>
    </w:p>
    <w:p w14:paraId="440CA3D3" w14:textId="2244D3A6" w:rsidR="005F4AC9" w:rsidRPr="00237760" w:rsidRDefault="005F4AC9" w:rsidP="009367B4">
      <w:pPr>
        <w:pStyle w:val="Akapitzlist"/>
        <w:numPr>
          <w:ilvl w:val="0"/>
          <w:numId w:val="40"/>
        </w:numPr>
        <w:ind w:left="714" w:hanging="357"/>
        <w:contextualSpacing/>
        <w:jc w:val="left"/>
        <w:rPr>
          <w:rFonts w:ascii="Arial" w:hAnsi="Arial" w:cs="Arial"/>
          <w:i/>
          <w:color w:val="auto"/>
          <w:sz w:val="24"/>
          <w:szCs w:val="24"/>
        </w:rPr>
      </w:pPr>
      <w:r w:rsidRPr="00237760">
        <w:rPr>
          <w:rFonts w:ascii="Arial" w:hAnsi="Arial" w:cs="Arial"/>
          <w:i/>
          <w:color w:val="auto"/>
          <w:sz w:val="24"/>
          <w:szCs w:val="24"/>
        </w:rPr>
        <w:t>Ustawę z dnia 16 grudnia 2005 r. o finansowaniu infrastruktury transportu lądowego,</w:t>
      </w:r>
    </w:p>
    <w:p w14:paraId="3273D0CD" w14:textId="2C6A85DB" w:rsidR="00511D85" w:rsidRPr="00237760" w:rsidRDefault="003212F6" w:rsidP="009367B4">
      <w:pPr>
        <w:pStyle w:val="Akapitzlist"/>
        <w:numPr>
          <w:ilvl w:val="0"/>
          <w:numId w:val="40"/>
        </w:numPr>
        <w:ind w:left="714" w:hanging="357"/>
        <w:contextualSpacing/>
        <w:jc w:val="left"/>
        <w:rPr>
          <w:rFonts w:ascii="Arial" w:hAnsi="Arial" w:cs="Arial"/>
          <w:i/>
          <w:color w:val="auto"/>
          <w:sz w:val="24"/>
          <w:szCs w:val="24"/>
        </w:rPr>
      </w:pPr>
      <w:r w:rsidRPr="00237760">
        <w:rPr>
          <w:rFonts w:ascii="Arial" w:hAnsi="Arial" w:cs="Arial"/>
          <w:i/>
          <w:color w:val="auto"/>
          <w:sz w:val="24"/>
          <w:szCs w:val="24"/>
        </w:rPr>
        <w:t>Ustaw</w:t>
      </w:r>
      <w:r w:rsidR="00312521" w:rsidRPr="00237760">
        <w:rPr>
          <w:rFonts w:ascii="Arial" w:hAnsi="Arial" w:cs="Arial"/>
          <w:i/>
          <w:color w:val="auto"/>
          <w:sz w:val="24"/>
          <w:szCs w:val="24"/>
        </w:rPr>
        <w:t>ę</w:t>
      </w:r>
      <w:r w:rsidRPr="00237760">
        <w:rPr>
          <w:rFonts w:ascii="Arial" w:hAnsi="Arial" w:cs="Arial"/>
          <w:i/>
          <w:color w:val="auto"/>
          <w:sz w:val="24"/>
          <w:szCs w:val="24"/>
        </w:rPr>
        <w:t xml:space="preserve"> </w:t>
      </w:r>
      <w:r w:rsidR="00511D85" w:rsidRPr="00237760">
        <w:rPr>
          <w:rFonts w:ascii="Arial" w:hAnsi="Arial" w:cs="Arial"/>
          <w:i/>
          <w:color w:val="auto"/>
          <w:sz w:val="24"/>
          <w:szCs w:val="24"/>
        </w:rPr>
        <w:t>z dnia 15 listopada 1984 r.</w:t>
      </w:r>
      <w:r w:rsidRPr="00237760">
        <w:rPr>
          <w:rFonts w:ascii="Arial" w:hAnsi="Arial" w:cs="Arial"/>
          <w:i/>
          <w:color w:val="auto"/>
          <w:sz w:val="24"/>
          <w:szCs w:val="24"/>
        </w:rPr>
        <w:t xml:space="preserve"> </w:t>
      </w:r>
      <w:r w:rsidR="00511D85" w:rsidRPr="00237760">
        <w:rPr>
          <w:rFonts w:ascii="Arial" w:hAnsi="Arial" w:cs="Arial"/>
          <w:i/>
          <w:color w:val="auto"/>
          <w:sz w:val="24"/>
          <w:szCs w:val="24"/>
        </w:rPr>
        <w:t>Prawo przewozowe</w:t>
      </w:r>
      <w:r w:rsidRPr="00237760">
        <w:rPr>
          <w:rFonts w:ascii="Arial" w:hAnsi="Arial" w:cs="Arial"/>
          <w:i/>
          <w:color w:val="auto"/>
          <w:sz w:val="24"/>
          <w:szCs w:val="24"/>
        </w:rPr>
        <w:t>,</w:t>
      </w:r>
    </w:p>
    <w:p w14:paraId="2BA08F1D" w14:textId="7E95ACFF" w:rsidR="00395684" w:rsidRPr="00237760" w:rsidRDefault="00395684" w:rsidP="009367B4">
      <w:pPr>
        <w:pStyle w:val="Akapitzlist"/>
        <w:numPr>
          <w:ilvl w:val="0"/>
          <w:numId w:val="40"/>
        </w:numPr>
        <w:ind w:left="714" w:hanging="357"/>
        <w:contextualSpacing/>
        <w:jc w:val="left"/>
        <w:rPr>
          <w:rFonts w:ascii="Arial" w:hAnsi="Arial" w:cs="Arial"/>
          <w:i/>
          <w:color w:val="auto"/>
          <w:sz w:val="24"/>
          <w:szCs w:val="24"/>
        </w:rPr>
      </w:pPr>
      <w:r w:rsidRPr="00237760">
        <w:rPr>
          <w:rFonts w:ascii="Arial" w:hAnsi="Arial" w:cs="Arial"/>
          <w:i/>
          <w:color w:val="auto"/>
          <w:sz w:val="24"/>
          <w:szCs w:val="24"/>
        </w:rPr>
        <w:t>Ustaw</w:t>
      </w:r>
      <w:r w:rsidR="00312521" w:rsidRPr="00237760">
        <w:rPr>
          <w:rFonts w:ascii="Arial" w:hAnsi="Arial" w:cs="Arial"/>
          <w:i/>
          <w:color w:val="auto"/>
          <w:sz w:val="24"/>
          <w:szCs w:val="24"/>
        </w:rPr>
        <w:t>ę</w:t>
      </w:r>
      <w:r w:rsidRPr="00237760">
        <w:rPr>
          <w:rFonts w:ascii="Arial" w:hAnsi="Arial" w:cs="Arial"/>
          <w:i/>
          <w:color w:val="auto"/>
          <w:sz w:val="24"/>
          <w:szCs w:val="24"/>
        </w:rPr>
        <w:t xml:space="preserve"> z dnia 3 lipca 2002 r. Prawo lotnicze,</w:t>
      </w:r>
    </w:p>
    <w:p w14:paraId="4ECC8AE3" w14:textId="4F354667" w:rsidR="006B77AD" w:rsidRPr="00237760" w:rsidRDefault="00011E57" w:rsidP="009367B4">
      <w:pPr>
        <w:pStyle w:val="Akapitzlist"/>
        <w:numPr>
          <w:ilvl w:val="0"/>
          <w:numId w:val="40"/>
        </w:numPr>
        <w:ind w:left="714" w:hanging="357"/>
        <w:contextualSpacing/>
        <w:jc w:val="left"/>
        <w:rPr>
          <w:rFonts w:ascii="Arial" w:hAnsi="Arial" w:cs="Arial"/>
          <w:i/>
          <w:color w:val="auto"/>
          <w:sz w:val="24"/>
          <w:szCs w:val="24"/>
        </w:rPr>
      </w:pPr>
      <w:r w:rsidRPr="00237760">
        <w:rPr>
          <w:rFonts w:ascii="Arial" w:hAnsi="Arial" w:cs="Arial"/>
          <w:i/>
          <w:color w:val="auto"/>
          <w:sz w:val="24"/>
          <w:szCs w:val="24"/>
        </w:rPr>
        <w:t>Ustaw</w:t>
      </w:r>
      <w:r w:rsidR="00312521" w:rsidRPr="00237760">
        <w:rPr>
          <w:rFonts w:ascii="Arial" w:hAnsi="Arial" w:cs="Arial"/>
          <w:i/>
          <w:color w:val="auto"/>
          <w:sz w:val="24"/>
          <w:szCs w:val="24"/>
        </w:rPr>
        <w:t>ę</w:t>
      </w:r>
      <w:r w:rsidRPr="00237760">
        <w:rPr>
          <w:rFonts w:ascii="Arial" w:hAnsi="Arial" w:cs="Arial"/>
          <w:i/>
          <w:color w:val="auto"/>
          <w:sz w:val="24"/>
          <w:szCs w:val="24"/>
        </w:rPr>
        <w:t xml:space="preserve"> z dnia 19 sierpnia 2011 r. o przewozie towarów niebezpiecznych</w:t>
      </w:r>
    </w:p>
    <w:bookmarkEnd w:id="176"/>
    <w:p w14:paraId="2943C25C" w14:textId="29C61DA6" w:rsidR="001F0B8A" w:rsidRPr="00237760" w:rsidRDefault="000B58FA" w:rsidP="009367B4">
      <w:pPr>
        <w:jc w:val="left"/>
        <w:rPr>
          <w:rFonts w:ascii="Arial" w:hAnsi="Arial" w:cs="Arial"/>
          <w:color w:val="auto"/>
          <w:sz w:val="24"/>
          <w:szCs w:val="24"/>
        </w:rPr>
      </w:pPr>
      <w:r w:rsidRPr="00237760">
        <w:rPr>
          <w:rFonts w:ascii="Arial" w:hAnsi="Arial" w:cs="Arial"/>
          <w:color w:val="auto"/>
          <w:sz w:val="24"/>
          <w:szCs w:val="24"/>
        </w:rPr>
        <w:t>n</w:t>
      </w:r>
      <w:r w:rsidR="00953740" w:rsidRPr="00237760">
        <w:rPr>
          <w:rFonts w:ascii="Arial" w:hAnsi="Arial" w:cs="Arial"/>
          <w:color w:val="auto"/>
          <w:sz w:val="24"/>
          <w:szCs w:val="24"/>
        </w:rPr>
        <w:t>ależy do obowiązk</w:t>
      </w:r>
      <w:r w:rsidRPr="00237760">
        <w:rPr>
          <w:rFonts w:ascii="Arial" w:hAnsi="Arial" w:cs="Arial"/>
          <w:color w:val="auto"/>
          <w:sz w:val="24"/>
          <w:szCs w:val="24"/>
        </w:rPr>
        <w:t>ów organów samorządu wojewódzkiego</w:t>
      </w:r>
      <w:r w:rsidR="008E019E" w:rsidRPr="00237760">
        <w:rPr>
          <w:rFonts w:ascii="Arial" w:hAnsi="Arial" w:cs="Arial"/>
          <w:color w:val="auto"/>
          <w:sz w:val="24"/>
          <w:szCs w:val="24"/>
        </w:rPr>
        <w:t xml:space="preserve"> </w:t>
      </w:r>
      <w:r w:rsidR="009754C6" w:rsidRPr="00237760">
        <w:rPr>
          <w:rFonts w:ascii="Arial" w:hAnsi="Arial" w:cs="Arial"/>
          <w:color w:val="auto"/>
          <w:sz w:val="24"/>
          <w:szCs w:val="24"/>
        </w:rPr>
        <w:t>(</w:t>
      </w:r>
      <w:r w:rsidR="009754C6" w:rsidRPr="00237760">
        <w:rPr>
          <w:rFonts w:ascii="Arial" w:hAnsi="Arial" w:cs="Arial"/>
          <w:color w:val="auto"/>
          <w:sz w:val="24"/>
          <w:szCs w:val="24"/>
        </w:rPr>
        <w:fldChar w:fldCharType="begin"/>
      </w:r>
      <w:r w:rsidR="009754C6" w:rsidRPr="00237760">
        <w:rPr>
          <w:rFonts w:ascii="Arial" w:hAnsi="Arial" w:cs="Arial"/>
          <w:color w:val="auto"/>
          <w:sz w:val="24"/>
          <w:szCs w:val="24"/>
        </w:rPr>
        <w:instrText xml:space="preserve"> REF _Ref100865665 \h  \* MERGEFORMAT </w:instrText>
      </w:r>
      <w:r w:rsidR="009754C6" w:rsidRPr="00237760">
        <w:rPr>
          <w:rFonts w:ascii="Arial" w:hAnsi="Arial" w:cs="Arial"/>
          <w:color w:val="auto"/>
          <w:sz w:val="24"/>
          <w:szCs w:val="24"/>
        </w:rPr>
      </w:r>
      <w:r w:rsidR="009754C6" w:rsidRPr="00237760">
        <w:rPr>
          <w:rFonts w:ascii="Arial" w:hAnsi="Arial" w:cs="Arial"/>
          <w:color w:val="auto"/>
          <w:sz w:val="24"/>
          <w:szCs w:val="24"/>
        </w:rPr>
        <w:fldChar w:fldCharType="separate"/>
      </w:r>
      <w:r w:rsidR="00E52C19" w:rsidRPr="00237760">
        <w:rPr>
          <w:rFonts w:ascii="Arial" w:hAnsi="Arial" w:cs="Arial"/>
          <w:color w:val="auto"/>
          <w:sz w:val="24"/>
          <w:szCs w:val="24"/>
        </w:rPr>
        <w:t>Tabela 21</w:t>
      </w:r>
      <w:r w:rsidR="009754C6" w:rsidRPr="00237760">
        <w:rPr>
          <w:rFonts w:ascii="Arial" w:hAnsi="Arial" w:cs="Arial"/>
          <w:color w:val="auto"/>
          <w:sz w:val="24"/>
          <w:szCs w:val="24"/>
        </w:rPr>
        <w:fldChar w:fldCharType="end"/>
      </w:r>
      <w:r w:rsidR="008E019E" w:rsidRPr="00237760">
        <w:rPr>
          <w:rFonts w:ascii="Arial" w:hAnsi="Arial" w:cs="Arial"/>
          <w:color w:val="auto"/>
          <w:sz w:val="24"/>
          <w:szCs w:val="24"/>
        </w:rPr>
        <w:t>)</w:t>
      </w:r>
      <w:r w:rsidRPr="00237760">
        <w:rPr>
          <w:rFonts w:ascii="Arial" w:hAnsi="Arial" w:cs="Arial"/>
          <w:color w:val="auto"/>
          <w:sz w:val="24"/>
          <w:szCs w:val="24"/>
        </w:rPr>
        <w:t>.</w:t>
      </w:r>
      <w:r w:rsidR="0076407C" w:rsidRPr="00237760">
        <w:rPr>
          <w:rFonts w:ascii="Arial" w:hAnsi="Arial" w:cs="Arial"/>
          <w:color w:val="auto"/>
          <w:sz w:val="24"/>
          <w:szCs w:val="24"/>
        </w:rPr>
        <w:t xml:space="preserve"> </w:t>
      </w:r>
      <w:r w:rsidR="002D23C3" w:rsidRPr="00237760">
        <w:rPr>
          <w:rFonts w:ascii="Arial" w:hAnsi="Arial" w:cs="Arial"/>
          <w:color w:val="auto"/>
          <w:sz w:val="24"/>
          <w:szCs w:val="24"/>
        </w:rPr>
        <w:t>Dlatego też</w:t>
      </w:r>
      <w:r w:rsidR="0076407C" w:rsidRPr="00237760">
        <w:rPr>
          <w:rFonts w:ascii="Arial" w:hAnsi="Arial" w:cs="Arial"/>
          <w:color w:val="auto"/>
          <w:sz w:val="24"/>
          <w:szCs w:val="24"/>
        </w:rPr>
        <w:t xml:space="preserve">, założenia PSRT WP mają zarówno charakter </w:t>
      </w:r>
      <w:r w:rsidR="000E0552" w:rsidRPr="00237760">
        <w:rPr>
          <w:rFonts w:ascii="Arial" w:hAnsi="Arial" w:cs="Arial"/>
          <w:color w:val="auto"/>
          <w:sz w:val="24"/>
          <w:szCs w:val="24"/>
        </w:rPr>
        <w:t xml:space="preserve">wskazań inwestycyjnych dla władz regionu, jak i </w:t>
      </w:r>
      <w:r w:rsidR="001F0B8A" w:rsidRPr="00237760">
        <w:rPr>
          <w:rFonts w:ascii="Arial" w:hAnsi="Arial" w:cs="Arial"/>
          <w:color w:val="auto"/>
          <w:sz w:val="24"/>
          <w:szCs w:val="24"/>
        </w:rPr>
        <w:t>wskazań lobbingowych.</w:t>
      </w:r>
      <w:r w:rsidR="00757023" w:rsidRPr="00237760">
        <w:rPr>
          <w:rFonts w:ascii="Arial" w:hAnsi="Arial" w:cs="Arial"/>
          <w:color w:val="auto"/>
          <w:sz w:val="24"/>
          <w:szCs w:val="24"/>
        </w:rPr>
        <w:t xml:space="preserve"> </w:t>
      </w:r>
    </w:p>
    <w:p w14:paraId="06418A9C" w14:textId="47409BA9" w:rsidR="000B58FA" w:rsidRPr="00237760" w:rsidRDefault="000B58FA" w:rsidP="009367B4">
      <w:pPr>
        <w:pStyle w:val="Legenda"/>
        <w:jc w:val="left"/>
        <w:rPr>
          <w:rFonts w:ascii="Arial" w:hAnsi="Arial" w:cs="Arial"/>
          <w:color w:val="auto"/>
          <w:sz w:val="24"/>
          <w:szCs w:val="24"/>
        </w:rPr>
      </w:pPr>
      <w:bookmarkStart w:id="177" w:name="_Ref100865665"/>
      <w:bookmarkStart w:id="178" w:name="_Toc101904262"/>
      <w:r w:rsidRPr="00237760">
        <w:rPr>
          <w:rFonts w:ascii="Arial" w:hAnsi="Arial" w:cs="Arial"/>
          <w:color w:val="auto"/>
          <w:sz w:val="24"/>
          <w:szCs w:val="24"/>
        </w:rPr>
        <w:t xml:space="preserve">Tabela </w:t>
      </w:r>
      <w:r w:rsidR="00F64FED" w:rsidRPr="00237760">
        <w:rPr>
          <w:rFonts w:ascii="Arial" w:hAnsi="Arial" w:cs="Arial"/>
          <w:noProof/>
          <w:color w:val="auto"/>
          <w:sz w:val="24"/>
          <w:szCs w:val="24"/>
        </w:rPr>
        <w:fldChar w:fldCharType="begin"/>
      </w:r>
      <w:r w:rsidR="00F64FED" w:rsidRPr="00237760">
        <w:rPr>
          <w:rFonts w:ascii="Arial" w:hAnsi="Arial" w:cs="Arial"/>
          <w:noProof/>
          <w:color w:val="auto"/>
          <w:sz w:val="24"/>
          <w:szCs w:val="24"/>
        </w:rPr>
        <w:instrText xml:space="preserve"> SEQ Tabela \* ARABIC </w:instrText>
      </w:r>
      <w:r w:rsidR="00F64FED" w:rsidRPr="00237760">
        <w:rPr>
          <w:rFonts w:ascii="Arial" w:hAnsi="Arial" w:cs="Arial"/>
          <w:noProof/>
          <w:color w:val="auto"/>
          <w:sz w:val="24"/>
          <w:szCs w:val="24"/>
        </w:rPr>
        <w:fldChar w:fldCharType="separate"/>
      </w:r>
      <w:r w:rsidR="00762B20" w:rsidRPr="00237760">
        <w:rPr>
          <w:rFonts w:ascii="Arial" w:hAnsi="Arial" w:cs="Arial"/>
          <w:noProof/>
          <w:color w:val="auto"/>
          <w:sz w:val="24"/>
          <w:szCs w:val="24"/>
        </w:rPr>
        <w:t>21</w:t>
      </w:r>
      <w:r w:rsidR="00F64FED" w:rsidRPr="00237760">
        <w:rPr>
          <w:rFonts w:ascii="Arial" w:hAnsi="Arial" w:cs="Arial"/>
          <w:noProof/>
          <w:color w:val="auto"/>
          <w:sz w:val="24"/>
          <w:szCs w:val="24"/>
        </w:rPr>
        <w:fldChar w:fldCharType="end"/>
      </w:r>
      <w:bookmarkEnd w:id="177"/>
      <w:r w:rsidRPr="00237760">
        <w:rPr>
          <w:rFonts w:ascii="Arial" w:hAnsi="Arial" w:cs="Arial"/>
          <w:color w:val="auto"/>
          <w:sz w:val="24"/>
          <w:szCs w:val="24"/>
        </w:rPr>
        <w:t>. Ocena zgodności PSRT WP z</w:t>
      </w:r>
      <w:r w:rsidR="00E12C7C" w:rsidRPr="00237760">
        <w:rPr>
          <w:rFonts w:ascii="Arial" w:hAnsi="Arial" w:cs="Arial"/>
          <w:color w:val="auto"/>
          <w:sz w:val="24"/>
          <w:szCs w:val="24"/>
        </w:rPr>
        <w:t xml:space="preserve"> dokumentami prawymi regulującymi kwestie zarządzania infrastrukturą transportową oraz przewozem osób i towarów</w:t>
      </w:r>
      <w:bookmarkEnd w:id="178"/>
    </w:p>
    <w:tbl>
      <w:tblPr>
        <w:tblStyle w:val="Tabela-Siatka"/>
        <w:tblW w:w="9229" w:type="dxa"/>
        <w:tblInd w:w="-5"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28" w:type="dxa"/>
          <w:right w:w="28" w:type="dxa"/>
        </w:tblCellMar>
        <w:tblLook w:val="04A0" w:firstRow="1" w:lastRow="0" w:firstColumn="1" w:lastColumn="0" w:noHBand="0" w:noVBand="1"/>
        <w:tblCaption w:val="Tabela 21. Ocena zgodności PSRT WP z dokumentami prawymi regulującymi kwestie zarządzania infrastrukturą transportową oraz przewozem osób i towarów"/>
        <w:tblDescription w:val="Tabela zawiera  Zadanie samorządu wojewódzkiego, Źródło, Znaczenie dla PSRT WP, Sposób realizacji w PSRT WP"/>
      </w:tblPr>
      <w:tblGrid>
        <w:gridCol w:w="4258"/>
        <w:gridCol w:w="1701"/>
        <w:gridCol w:w="1276"/>
        <w:gridCol w:w="1994"/>
      </w:tblGrid>
      <w:tr w:rsidR="00237760" w:rsidRPr="00237760" w14:paraId="5F92C4EC" w14:textId="77777777" w:rsidTr="002350B5">
        <w:trPr>
          <w:trHeight w:val="195"/>
          <w:tblHeader/>
        </w:trPr>
        <w:tc>
          <w:tcPr>
            <w:tcW w:w="4258" w:type="dxa"/>
            <w:tcBorders>
              <w:top w:val="single" w:sz="12" w:space="0" w:color="002060"/>
              <w:left w:val="nil"/>
              <w:bottom w:val="single" w:sz="4" w:space="0" w:color="BDD6EE" w:themeColor="accent1" w:themeTint="66"/>
              <w:right w:val="nil"/>
            </w:tcBorders>
            <w:shd w:val="clear" w:color="auto" w:fill="auto"/>
            <w:vAlign w:val="center"/>
            <w:hideMark/>
          </w:tcPr>
          <w:p w14:paraId="1B6F45E3" w14:textId="43B3CEF9" w:rsidR="001A6B0F" w:rsidRPr="00237760" w:rsidRDefault="00920C06" w:rsidP="009367B4">
            <w:pPr>
              <w:spacing w:after="0"/>
              <w:jc w:val="left"/>
              <w:rPr>
                <w:rFonts w:ascii="Arial" w:hAnsi="Arial" w:cs="Arial"/>
                <w:b/>
                <w:color w:val="auto"/>
                <w:sz w:val="24"/>
                <w:szCs w:val="24"/>
              </w:rPr>
            </w:pPr>
            <w:r w:rsidRPr="00237760">
              <w:rPr>
                <w:rFonts w:ascii="Arial" w:hAnsi="Arial" w:cs="Arial"/>
                <w:b/>
                <w:color w:val="auto"/>
                <w:sz w:val="24"/>
                <w:szCs w:val="24"/>
              </w:rPr>
              <w:t xml:space="preserve"> </w:t>
            </w:r>
            <w:r w:rsidR="001A6B0F" w:rsidRPr="00237760">
              <w:rPr>
                <w:rFonts w:ascii="Arial" w:hAnsi="Arial" w:cs="Arial"/>
                <w:b/>
                <w:color w:val="auto"/>
                <w:sz w:val="24"/>
                <w:szCs w:val="24"/>
              </w:rPr>
              <w:t>Zadani</w:t>
            </w:r>
            <w:r w:rsidR="003D21AE" w:rsidRPr="00237760">
              <w:rPr>
                <w:rFonts w:ascii="Arial" w:hAnsi="Arial" w:cs="Arial"/>
                <w:b/>
                <w:color w:val="auto"/>
                <w:sz w:val="24"/>
                <w:szCs w:val="24"/>
              </w:rPr>
              <w:t>e</w:t>
            </w:r>
            <w:r w:rsidR="001A6B0F" w:rsidRPr="00237760">
              <w:rPr>
                <w:rFonts w:ascii="Arial" w:hAnsi="Arial" w:cs="Arial"/>
                <w:b/>
                <w:color w:val="auto"/>
                <w:sz w:val="24"/>
                <w:szCs w:val="24"/>
              </w:rPr>
              <w:t xml:space="preserve"> samorządu wojewódzkiego</w:t>
            </w:r>
          </w:p>
        </w:tc>
        <w:tc>
          <w:tcPr>
            <w:tcW w:w="1701" w:type="dxa"/>
            <w:tcBorders>
              <w:top w:val="single" w:sz="12" w:space="0" w:color="002060"/>
              <w:left w:val="nil"/>
              <w:bottom w:val="single" w:sz="4" w:space="0" w:color="BDD6EE" w:themeColor="accent1" w:themeTint="66"/>
              <w:right w:val="nil"/>
            </w:tcBorders>
            <w:shd w:val="clear" w:color="auto" w:fill="auto"/>
            <w:vAlign w:val="center"/>
            <w:hideMark/>
          </w:tcPr>
          <w:p w14:paraId="16D8C652" w14:textId="1594BD48" w:rsidR="001A6B0F" w:rsidRPr="00237760" w:rsidRDefault="001A6B0F" w:rsidP="009367B4">
            <w:pPr>
              <w:spacing w:after="0"/>
              <w:jc w:val="left"/>
              <w:rPr>
                <w:rFonts w:ascii="Arial" w:hAnsi="Arial" w:cs="Arial"/>
                <w:b/>
                <w:color w:val="auto"/>
                <w:sz w:val="24"/>
                <w:szCs w:val="24"/>
              </w:rPr>
            </w:pPr>
            <w:r w:rsidRPr="00237760">
              <w:rPr>
                <w:rFonts w:ascii="Arial" w:hAnsi="Arial" w:cs="Arial"/>
                <w:b/>
                <w:color w:val="auto"/>
                <w:sz w:val="24"/>
                <w:szCs w:val="24"/>
              </w:rPr>
              <w:t>Źródło</w:t>
            </w:r>
          </w:p>
        </w:tc>
        <w:tc>
          <w:tcPr>
            <w:tcW w:w="1276" w:type="dxa"/>
            <w:tcBorders>
              <w:top w:val="single" w:sz="12" w:space="0" w:color="002060"/>
              <w:left w:val="nil"/>
              <w:bottom w:val="single" w:sz="4" w:space="0" w:color="BDD6EE" w:themeColor="accent1" w:themeTint="66"/>
              <w:right w:val="nil"/>
            </w:tcBorders>
            <w:shd w:val="clear" w:color="auto" w:fill="auto"/>
            <w:vAlign w:val="center"/>
          </w:tcPr>
          <w:p w14:paraId="1E72ED41" w14:textId="392886FB" w:rsidR="001A6B0F" w:rsidRPr="00237760" w:rsidRDefault="0015214A" w:rsidP="009367B4">
            <w:pPr>
              <w:spacing w:after="0"/>
              <w:jc w:val="left"/>
              <w:rPr>
                <w:rFonts w:ascii="Arial" w:hAnsi="Arial" w:cs="Arial"/>
                <w:b/>
                <w:color w:val="auto"/>
                <w:sz w:val="24"/>
                <w:szCs w:val="24"/>
              </w:rPr>
            </w:pPr>
            <w:r w:rsidRPr="00237760">
              <w:rPr>
                <w:rFonts w:ascii="Arial" w:hAnsi="Arial" w:cs="Arial"/>
                <w:b/>
                <w:color w:val="auto"/>
                <w:sz w:val="24"/>
                <w:szCs w:val="24"/>
              </w:rPr>
              <w:t>Znaczenie dla P</w:t>
            </w:r>
            <w:r w:rsidR="00666CB3" w:rsidRPr="00237760">
              <w:rPr>
                <w:rFonts w:ascii="Arial" w:hAnsi="Arial" w:cs="Arial"/>
                <w:b/>
                <w:color w:val="auto"/>
                <w:sz w:val="24"/>
                <w:szCs w:val="24"/>
              </w:rPr>
              <w:t>SRT WP</w:t>
            </w:r>
          </w:p>
        </w:tc>
        <w:tc>
          <w:tcPr>
            <w:tcW w:w="1994" w:type="dxa"/>
            <w:tcBorders>
              <w:top w:val="single" w:sz="12" w:space="0" w:color="002060"/>
              <w:left w:val="nil"/>
              <w:bottom w:val="single" w:sz="4" w:space="0" w:color="BDD6EE" w:themeColor="accent1" w:themeTint="66"/>
              <w:right w:val="nil"/>
            </w:tcBorders>
            <w:shd w:val="clear" w:color="auto" w:fill="auto"/>
            <w:vAlign w:val="center"/>
          </w:tcPr>
          <w:p w14:paraId="153CFBC1" w14:textId="68763050" w:rsidR="001A6B0F" w:rsidRPr="00237760" w:rsidRDefault="001A6B0F" w:rsidP="009367B4">
            <w:pPr>
              <w:spacing w:after="0"/>
              <w:jc w:val="left"/>
              <w:rPr>
                <w:rFonts w:ascii="Arial" w:hAnsi="Arial" w:cs="Arial"/>
                <w:b/>
                <w:color w:val="auto"/>
                <w:sz w:val="24"/>
                <w:szCs w:val="24"/>
              </w:rPr>
            </w:pPr>
            <w:r w:rsidRPr="00237760">
              <w:rPr>
                <w:rFonts w:ascii="Arial" w:hAnsi="Arial" w:cs="Arial"/>
                <w:b/>
                <w:color w:val="auto"/>
                <w:sz w:val="24"/>
                <w:szCs w:val="24"/>
              </w:rPr>
              <w:t>Sposób realizacji w PSRT WP</w:t>
            </w:r>
          </w:p>
        </w:tc>
      </w:tr>
      <w:tr w:rsidR="00237760" w:rsidRPr="00237760" w14:paraId="13BA8AC8" w14:textId="77777777" w:rsidTr="00B32A20">
        <w:trPr>
          <w:trHeight w:val="151"/>
        </w:trPr>
        <w:tc>
          <w:tcPr>
            <w:tcW w:w="4258" w:type="dxa"/>
            <w:tcBorders>
              <w:top w:val="single" w:sz="4" w:space="0" w:color="BDD6EE" w:themeColor="accent1" w:themeTint="66"/>
              <w:left w:val="nil"/>
              <w:bottom w:val="single" w:sz="4" w:space="0" w:color="BDD6EE" w:themeColor="accent1" w:themeTint="66"/>
              <w:right w:val="nil"/>
            </w:tcBorders>
            <w:vAlign w:val="center"/>
          </w:tcPr>
          <w:p w14:paraId="11527FBE" w14:textId="4D6427E5" w:rsidR="009B6DF6" w:rsidRPr="00237760" w:rsidRDefault="009B6DF6"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Organizowanie </w:t>
            </w:r>
            <w:r w:rsidR="00601947" w:rsidRPr="00237760">
              <w:rPr>
                <w:rFonts w:ascii="Arial" w:hAnsi="Arial" w:cs="Arial"/>
                <w:color w:val="auto"/>
                <w:sz w:val="24"/>
                <w:szCs w:val="24"/>
              </w:rPr>
              <w:t xml:space="preserve">publicznego transportu zbiorowego </w:t>
            </w:r>
            <w:r w:rsidRPr="00237760">
              <w:rPr>
                <w:rFonts w:ascii="Arial" w:hAnsi="Arial" w:cs="Arial"/>
                <w:color w:val="auto"/>
                <w:sz w:val="24"/>
                <w:szCs w:val="24"/>
              </w:rPr>
              <w:t>na linii komunikacyjnej albo sieci komunikacyjnej w wojewódzkich</w:t>
            </w:r>
            <w:r w:rsidR="00601947" w:rsidRPr="00237760">
              <w:rPr>
                <w:rFonts w:ascii="Arial" w:hAnsi="Arial" w:cs="Arial"/>
                <w:color w:val="auto"/>
                <w:sz w:val="24"/>
                <w:szCs w:val="24"/>
              </w:rPr>
              <w:t xml:space="preserve"> </w:t>
            </w:r>
            <w:r w:rsidRPr="00237760">
              <w:rPr>
                <w:rFonts w:ascii="Arial" w:hAnsi="Arial" w:cs="Arial"/>
                <w:color w:val="auto"/>
                <w:sz w:val="24"/>
                <w:szCs w:val="24"/>
              </w:rPr>
              <w:t xml:space="preserve">przewozach pasażerskich </w:t>
            </w:r>
            <w:r w:rsidR="007D6D9D" w:rsidRPr="00237760">
              <w:rPr>
                <w:rFonts w:ascii="Arial" w:hAnsi="Arial" w:cs="Arial"/>
                <w:color w:val="auto"/>
                <w:sz w:val="24"/>
                <w:szCs w:val="24"/>
              </w:rPr>
              <w:t>(</w:t>
            </w:r>
            <w:r w:rsidR="00A75479" w:rsidRPr="00237760">
              <w:rPr>
                <w:rFonts w:ascii="Arial" w:hAnsi="Arial" w:cs="Arial"/>
                <w:color w:val="auto"/>
                <w:sz w:val="24"/>
                <w:szCs w:val="24"/>
              </w:rPr>
              <w:t xml:space="preserve">własnych lub </w:t>
            </w:r>
            <w:r w:rsidR="003C1652" w:rsidRPr="00237760">
              <w:rPr>
                <w:rFonts w:ascii="Arial" w:hAnsi="Arial" w:cs="Arial"/>
                <w:color w:val="auto"/>
                <w:sz w:val="24"/>
                <w:szCs w:val="24"/>
              </w:rPr>
              <w:t>powierzonych w ramach porozumie</w:t>
            </w:r>
            <w:r w:rsidR="0023336E" w:rsidRPr="00237760">
              <w:rPr>
                <w:rFonts w:ascii="Arial" w:hAnsi="Arial" w:cs="Arial"/>
                <w:color w:val="auto"/>
                <w:sz w:val="24"/>
                <w:szCs w:val="24"/>
              </w:rPr>
              <w:t>ń</w:t>
            </w:r>
            <w:r w:rsidR="003C1652" w:rsidRPr="00237760">
              <w:rPr>
                <w:rFonts w:ascii="Arial" w:hAnsi="Arial" w:cs="Arial"/>
                <w:color w:val="auto"/>
                <w:sz w:val="24"/>
                <w:szCs w:val="24"/>
              </w:rPr>
              <w:t xml:space="preserve">) </w:t>
            </w:r>
            <w:r w:rsidRPr="00237760">
              <w:rPr>
                <w:rFonts w:ascii="Arial" w:hAnsi="Arial" w:cs="Arial"/>
                <w:color w:val="auto"/>
                <w:sz w:val="24"/>
                <w:szCs w:val="24"/>
              </w:rPr>
              <w:t>oraz w transporcie morskim</w:t>
            </w:r>
          </w:p>
        </w:tc>
        <w:tc>
          <w:tcPr>
            <w:tcW w:w="1701" w:type="dxa"/>
            <w:tcBorders>
              <w:top w:val="single" w:sz="4" w:space="0" w:color="BDD6EE" w:themeColor="accent1" w:themeTint="66"/>
              <w:left w:val="nil"/>
              <w:bottom w:val="single" w:sz="4" w:space="0" w:color="BDD6EE" w:themeColor="accent1" w:themeTint="66"/>
              <w:right w:val="nil"/>
            </w:tcBorders>
            <w:vAlign w:val="center"/>
          </w:tcPr>
          <w:p w14:paraId="24FB61DC" w14:textId="70BD2099" w:rsidR="009B6DF6" w:rsidRPr="00237760" w:rsidRDefault="00920C06" w:rsidP="009367B4">
            <w:pPr>
              <w:spacing w:after="0"/>
              <w:jc w:val="left"/>
              <w:rPr>
                <w:rFonts w:ascii="Arial" w:hAnsi="Arial" w:cs="Arial"/>
                <w:color w:val="auto"/>
                <w:sz w:val="24"/>
                <w:szCs w:val="24"/>
              </w:rPr>
            </w:pPr>
            <w:r w:rsidRPr="00237760">
              <w:rPr>
                <w:rFonts w:ascii="Arial" w:hAnsi="Arial" w:cs="Arial"/>
                <w:color w:val="auto"/>
                <w:sz w:val="24"/>
                <w:szCs w:val="24"/>
              </w:rPr>
              <w:t>Ustawa o publicznym transporcie zbiorowym</w:t>
            </w:r>
          </w:p>
        </w:tc>
        <w:tc>
          <w:tcPr>
            <w:tcW w:w="1276" w:type="dxa"/>
            <w:tcBorders>
              <w:top w:val="single" w:sz="4" w:space="0" w:color="BDD6EE" w:themeColor="accent1" w:themeTint="66"/>
              <w:left w:val="nil"/>
              <w:bottom w:val="single" w:sz="4" w:space="0" w:color="BDD6EE" w:themeColor="accent1" w:themeTint="66"/>
              <w:right w:val="nil"/>
            </w:tcBorders>
            <w:vAlign w:val="center"/>
          </w:tcPr>
          <w:p w14:paraId="5AE5F37C" w14:textId="26868D91" w:rsidR="009B6DF6" w:rsidRPr="00237760" w:rsidRDefault="009D3C42" w:rsidP="009367B4">
            <w:pPr>
              <w:spacing w:after="0"/>
              <w:jc w:val="left"/>
              <w:rPr>
                <w:rFonts w:ascii="Arial" w:hAnsi="Arial" w:cs="Arial"/>
                <w:b/>
                <w:color w:val="auto"/>
                <w:sz w:val="24"/>
                <w:szCs w:val="24"/>
              </w:rPr>
            </w:pPr>
            <w:r w:rsidRPr="00237760">
              <w:rPr>
                <w:rFonts w:ascii="Arial" w:hAnsi="Arial" w:cs="Arial"/>
                <w:b/>
                <w:color w:val="auto"/>
                <w:sz w:val="24"/>
                <w:szCs w:val="24"/>
              </w:rPr>
              <w:t>B. duże</w:t>
            </w:r>
          </w:p>
        </w:tc>
        <w:tc>
          <w:tcPr>
            <w:tcW w:w="1994" w:type="dxa"/>
            <w:tcBorders>
              <w:top w:val="single" w:sz="4" w:space="0" w:color="BDD6EE" w:themeColor="accent1" w:themeTint="66"/>
              <w:left w:val="nil"/>
              <w:bottom w:val="single" w:sz="4" w:space="0" w:color="BDD6EE" w:themeColor="accent1" w:themeTint="66"/>
              <w:right w:val="nil"/>
            </w:tcBorders>
            <w:vAlign w:val="center"/>
          </w:tcPr>
          <w:p w14:paraId="42BACF96" w14:textId="2251EE39" w:rsidR="009B6DF6" w:rsidRPr="00237760" w:rsidRDefault="000C3D13" w:rsidP="009367B4">
            <w:pPr>
              <w:spacing w:after="0"/>
              <w:jc w:val="left"/>
              <w:rPr>
                <w:rFonts w:ascii="Arial" w:hAnsi="Arial" w:cs="Arial"/>
                <w:bCs/>
                <w:color w:val="auto"/>
                <w:sz w:val="24"/>
                <w:szCs w:val="24"/>
              </w:rPr>
            </w:pPr>
            <w:r w:rsidRPr="00237760">
              <w:rPr>
                <w:rFonts w:ascii="Arial" w:hAnsi="Arial" w:cs="Arial"/>
                <w:bCs/>
                <w:color w:val="auto"/>
                <w:sz w:val="24"/>
                <w:szCs w:val="24"/>
              </w:rPr>
              <w:t>Wskazanie c</w:t>
            </w:r>
            <w:r w:rsidR="00707F8F" w:rsidRPr="00237760">
              <w:rPr>
                <w:rFonts w:ascii="Arial" w:hAnsi="Arial" w:cs="Arial"/>
                <w:bCs/>
                <w:color w:val="auto"/>
                <w:sz w:val="24"/>
                <w:szCs w:val="24"/>
              </w:rPr>
              <w:t>el</w:t>
            </w:r>
            <w:r w:rsidRPr="00237760">
              <w:rPr>
                <w:rFonts w:ascii="Arial" w:hAnsi="Arial" w:cs="Arial"/>
                <w:bCs/>
                <w:color w:val="auto"/>
                <w:sz w:val="24"/>
                <w:szCs w:val="24"/>
              </w:rPr>
              <w:t>u</w:t>
            </w:r>
            <w:r w:rsidR="00707F8F" w:rsidRPr="00237760">
              <w:rPr>
                <w:rFonts w:ascii="Arial" w:hAnsi="Arial" w:cs="Arial"/>
                <w:bCs/>
                <w:color w:val="auto"/>
                <w:sz w:val="24"/>
                <w:szCs w:val="24"/>
              </w:rPr>
              <w:t xml:space="preserve"> </w:t>
            </w:r>
            <w:r w:rsidR="00236F82" w:rsidRPr="00237760">
              <w:rPr>
                <w:rFonts w:ascii="Arial" w:hAnsi="Arial" w:cs="Arial"/>
                <w:bCs/>
                <w:color w:val="auto"/>
                <w:sz w:val="24"/>
                <w:szCs w:val="24"/>
              </w:rPr>
              <w:t>horyzontaln</w:t>
            </w:r>
            <w:r w:rsidRPr="00237760">
              <w:rPr>
                <w:rFonts w:ascii="Arial" w:hAnsi="Arial" w:cs="Arial"/>
                <w:bCs/>
                <w:color w:val="auto"/>
                <w:sz w:val="24"/>
                <w:szCs w:val="24"/>
              </w:rPr>
              <w:t xml:space="preserve">ego </w:t>
            </w:r>
            <w:r w:rsidR="00236F82" w:rsidRPr="00237760">
              <w:rPr>
                <w:rFonts w:ascii="Arial" w:hAnsi="Arial" w:cs="Arial"/>
                <w:bCs/>
                <w:color w:val="auto"/>
                <w:sz w:val="24"/>
                <w:szCs w:val="24"/>
              </w:rPr>
              <w:t xml:space="preserve">3. Transport </w:t>
            </w:r>
            <w:r w:rsidR="00055098" w:rsidRPr="00237760">
              <w:rPr>
                <w:rFonts w:ascii="Arial" w:hAnsi="Arial" w:cs="Arial"/>
                <w:bCs/>
                <w:color w:val="auto"/>
                <w:sz w:val="24"/>
                <w:szCs w:val="24"/>
              </w:rPr>
              <w:t>p</w:t>
            </w:r>
            <w:r w:rsidR="00236F82" w:rsidRPr="00237760">
              <w:rPr>
                <w:rFonts w:ascii="Arial" w:hAnsi="Arial" w:cs="Arial"/>
                <w:bCs/>
                <w:color w:val="auto"/>
                <w:sz w:val="24"/>
                <w:szCs w:val="24"/>
              </w:rPr>
              <w:t>ubliczny</w:t>
            </w:r>
          </w:p>
        </w:tc>
      </w:tr>
      <w:tr w:rsidR="00237760" w:rsidRPr="00237760" w14:paraId="65E316C0" w14:textId="77777777" w:rsidTr="00B32A20">
        <w:trPr>
          <w:trHeight w:val="151"/>
        </w:trPr>
        <w:tc>
          <w:tcPr>
            <w:tcW w:w="4258" w:type="dxa"/>
            <w:tcBorders>
              <w:top w:val="single" w:sz="4" w:space="0" w:color="BDD6EE" w:themeColor="accent1" w:themeTint="66"/>
              <w:left w:val="nil"/>
              <w:bottom w:val="single" w:sz="4" w:space="0" w:color="BDD6EE" w:themeColor="accent1" w:themeTint="66"/>
              <w:right w:val="nil"/>
            </w:tcBorders>
            <w:vAlign w:val="center"/>
          </w:tcPr>
          <w:p w14:paraId="0492A5A5" w14:textId="797971A9" w:rsidR="00882803" w:rsidRPr="00237760" w:rsidRDefault="0088280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Organizowanie międzywojewódzkich przewozów pasażerskich (w przypadku przypadania najdłuższego odcinka linii/sieci w danym województwie)</w:t>
            </w:r>
          </w:p>
        </w:tc>
        <w:tc>
          <w:tcPr>
            <w:tcW w:w="1701" w:type="dxa"/>
            <w:tcBorders>
              <w:top w:val="single" w:sz="4" w:space="0" w:color="BDD6EE" w:themeColor="accent1" w:themeTint="66"/>
              <w:left w:val="nil"/>
              <w:bottom w:val="single" w:sz="4" w:space="0" w:color="BDD6EE" w:themeColor="accent1" w:themeTint="66"/>
              <w:right w:val="nil"/>
            </w:tcBorders>
            <w:vAlign w:val="center"/>
          </w:tcPr>
          <w:p w14:paraId="08E96E4E" w14:textId="5E10169E" w:rsidR="00882803" w:rsidRPr="00237760" w:rsidRDefault="00882803" w:rsidP="009367B4">
            <w:pPr>
              <w:spacing w:after="0"/>
              <w:jc w:val="left"/>
              <w:rPr>
                <w:rFonts w:ascii="Arial" w:hAnsi="Arial" w:cs="Arial"/>
                <w:color w:val="auto"/>
                <w:sz w:val="24"/>
                <w:szCs w:val="24"/>
              </w:rPr>
            </w:pPr>
            <w:r w:rsidRPr="00237760">
              <w:rPr>
                <w:rFonts w:ascii="Arial" w:hAnsi="Arial" w:cs="Arial"/>
                <w:color w:val="auto"/>
                <w:sz w:val="24"/>
                <w:szCs w:val="24"/>
              </w:rPr>
              <w:t>Ustawa o publicznym transporcie zbiorowym</w:t>
            </w:r>
          </w:p>
        </w:tc>
        <w:tc>
          <w:tcPr>
            <w:tcW w:w="1276" w:type="dxa"/>
            <w:tcBorders>
              <w:top w:val="single" w:sz="4" w:space="0" w:color="BDD6EE" w:themeColor="accent1" w:themeTint="66"/>
              <w:left w:val="nil"/>
              <w:bottom w:val="single" w:sz="4" w:space="0" w:color="BDD6EE" w:themeColor="accent1" w:themeTint="66"/>
              <w:right w:val="nil"/>
            </w:tcBorders>
            <w:vAlign w:val="center"/>
          </w:tcPr>
          <w:p w14:paraId="7E39651F" w14:textId="274B3D72" w:rsidR="00882803" w:rsidRPr="00237760" w:rsidRDefault="00FE12F0" w:rsidP="009367B4">
            <w:pPr>
              <w:spacing w:after="0"/>
              <w:jc w:val="left"/>
              <w:rPr>
                <w:rFonts w:ascii="Arial" w:hAnsi="Arial" w:cs="Arial"/>
                <w:b/>
                <w:color w:val="auto"/>
                <w:sz w:val="24"/>
                <w:szCs w:val="24"/>
              </w:rPr>
            </w:pPr>
            <w:r w:rsidRPr="00237760">
              <w:rPr>
                <w:rFonts w:ascii="Arial" w:hAnsi="Arial" w:cs="Arial"/>
                <w:b/>
                <w:color w:val="auto"/>
                <w:sz w:val="24"/>
                <w:szCs w:val="24"/>
              </w:rPr>
              <w:t>Duże</w:t>
            </w:r>
          </w:p>
        </w:tc>
        <w:tc>
          <w:tcPr>
            <w:tcW w:w="1994" w:type="dxa"/>
            <w:tcBorders>
              <w:top w:val="single" w:sz="4" w:space="0" w:color="BDD6EE" w:themeColor="accent1" w:themeTint="66"/>
              <w:left w:val="nil"/>
              <w:bottom w:val="single" w:sz="4" w:space="0" w:color="BDD6EE" w:themeColor="accent1" w:themeTint="66"/>
              <w:right w:val="nil"/>
            </w:tcBorders>
            <w:vAlign w:val="center"/>
          </w:tcPr>
          <w:p w14:paraId="7AE95EB4" w14:textId="2914B035" w:rsidR="00882803" w:rsidRPr="00237760" w:rsidRDefault="000045E5" w:rsidP="009367B4">
            <w:pPr>
              <w:spacing w:after="0"/>
              <w:jc w:val="left"/>
              <w:rPr>
                <w:rFonts w:ascii="Arial" w:hAnsi="Arial" w:cs="Arial"/>
                <w:bCs/>
                <w:color w:val="auto"/>
                <w:sz w:val="24"/>
                <w:szCs w:val="24"/>
              </w:rPr>
            </w:pPr>
            <w:r w:rsidRPr="00237760">
              <w:rPr>
                <w:rFonts w:ascii="Arial" w:hAnsi="Arial" w:cs="Arial"/>
                <w:bCs/>
                <w:color w:val="auto"/>
                <w:sz w:val="24"/>
                <w:szCs w:val="24"/>
              </w:rPr>
              <w:t xml:space="preserve">Brak danych, potencjalnie </w:t>
            </w:r>
            <w:r w:rsidR="00797AE9" w:rsidRPr="00237760">
              <w:rPr>
                <w:rFonts w:ascii="Arial" w:hAnsi="Arial" w:cs="Arial"/>
                <w:bCs/>
                <w:color w:val="auto"/>
                <w:sz w:val="24"/>
                <w:szCs w:val="24"/>
              </w:rPr>
              <w:t>działania w ramach</w:t>
            </w:r>
            <w:r w:rsidR="000C3D13" w:rsidRPr="00237760">
              <w:rPr>
                <w:rFonts w:ascii="Arial" w:hAnsi="Arial" w:cs="Arial"/>
                <w:bCs/>
                <w:color w:val="auto"/>
                <w:sz w:val="24"/>
                <w:szCs w:val="24"/>
              </w:rPr>
              <w:t xml:space="preserve"> celu horyzontalnego 3. Transport </w:t>
            </w:r>
            <w:r w:rsidR="00055098" w:rsidRPr="00237760">
              <w:rPr>
                <w:rFonts w:ascii="Arial" w:hAnsi="Arial" w:cs="Arial"/>
                <w:bCs/>
                <w:color w:val="auto"/>
                <w:sz w:val="24"/>
                <w:szCs w:val="24"/>
              </w:rPr>
              <w:t>p</w:t>
            </w:r>
            <w:r w:rsidR="000C3D13" w:rsidRPr="00237760">
              <w:rPr>
                <w:rFonts w:ascii="Arial" w:hAnsi="Arial" w:cs="Arial"/>
                <w:bCs/>
                <w:color w:val="auto"/>
                <w:sz w:val="24"/>
                <w:szCs w:val="24"/>
              </w:rPr>
              <w:t>ubliczny</w:t>
            </w:r>
          </w:p>
        </w:tc>
      </w:tr>
      <w:tr w:rsidR="00237760" w:rsidRPr="00237760" w14:paraId="5EFABF38" w14:textId="77777777" w:rsidTr="00B32A20">
        <w:trPr>
          <w:trHeight w:val="151"/>
        </w:trPr>
        <w:tc>
          <w:tcPr>
            <w:tcW w:w="4258" w:type="dxa"/>
            <w:tcBorders>
              <w:top w:val="single" w:sz="4" w:space="0" w:color="BDD6EE" w:themeColor="accent1" w:themeTint="66"/>
              <w:left w:val="nil"/>
              <w:bottom w:val="single" w:sz="4" w:space="0" w:color="BDD6EE" w:themeColor="accent1" w:themeTint="66"/>
              <w:right w:val="nil"/>
            </w:tcBorders>
            <w:vAlign w:val="center"/>
          </w:tcPr>
          <w:p w14:paraId="5C60EFF0" w14:textId="6582F187" w:rsidR="00135AC8" w:rsidRPr="00237760" w:rsidRDefault="00135AC8"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Finansowanie zadań w zakresie budowy, przebudowy, remontu, utrzymania i ochrony dróg wojewódzkich</w:t>
            </w:r>
          </w:p>
        </w:tc>
        <w:tc>
          <w:tcPr>
            <w:tcW w:w="1701" w:type="dxa"/>
            <w:tcBorders>
              <w:top w:val="single" w:sz="4" w:space="0" w:color="BDD6EE" w:themeColor="accent1" w:themeTint="66"/>
              <w:left w:val="nil"/>
              <w:bottom w:val="single" w:sz="4" w:space="0" w:color="BDD6EE" w:themeColor="accent1" w:themeTint="66"/>
              <w:right w:val="nil"/>
            </w:tcBorders>
            <w:vAlign w:val="center"/>
          </w:tcPr>
          <w:p w14:paraId="0DE1A0E2" w14:textId="6B78C1A6" w:rsidR="00135AC8" w:rsidRPr="00237760" w:rsidRDefault="00135AC8" w:rsidP="009367B4">
            <w:pPr>
              <w:spacing w:after="0"/>
              <w:jc w:val="left"/>
              <w:rPr>
                <w:rFonts w:ascii="Arial" w:hAnsi="Arial" w:cs="Arial"/>
                <w:color w:val="auto"/>
                <w:sz w:val="24"/>
                <w:szCs w:val="24"/>
              </w:rPr>
            </w:pPr>
            <w:r w:rsidRPr="00237760">
              <w:rPr>
                <w:rFonts w:ascii="Arial" w:hAnsi="Arial" w:cs="Arial"/>
                <w:color w:val="auto"/>
                <w:sz w:val="24"/>
                <w:szCs w:val="24"/>
              </w:rPr>
              <w:t>Ustawa o finansowaniu infrastruktury transportu lądowego</w:t>
            </w:r>
          </w:p>
        </w:tc>
        <w:tc>
          <w:tcPr>
            <w:tcW w:w="1276" w:type="dxa"/>
            <w:tcBorders>
              <w:top w:val="single" w:sz="4" w:space="0" w:color="BDD6EE" w:themeColor="accent1" w:themeTint="66"/>
              <w:left w:val="nil"/>
              <w:bottom w:val="single" w:sz="4" w:space="0" w:color="BDD6EE" w:themeColor="accent1" w:themeTint="66"/>
              <w:right w:val="nil"/>
            </w:tcBorders>
            <w:vAlign w:val="center"/>
          </w:tcPr>
          <w:p w14:paraId="23E5B7A6" w14:textId="12A9F5F1" w:rsidR="00135AC8" w:rsidRPr="00237760" w:rsidRDefault="00135AC8" w:rsidP="009367B4">
            <w:pPr>
              <w:spacing w:after="0"/>
              <w:jc w:val="left"/>
              <w:rPr>
                <w:rFonts w:ascii="Arial" w:hAnsi="Arial" w:cs="Arial"/>
                <w:b/>
                <w:color w:val="auto"/>
                <w:sz w:val="24"/>
                <w:szCs w:val="24"/>
              </w:rPr>
            </w:pPr>
            <w:r w:rsidRPr="00237760">
              <w:rPr>
                <w:rFonts w:ascii="Arial" w:hAnsi="Arial" w:cs="Arial"/>
                <w:b/>
                <w:color w:val="auto"/>
                <w:sz w:val="24"/>
                <w:szCs w:val="24"/>
              </w:rPr>
              <w:t>B. duże</w:t>
            </w:r>
          </w:p>
        </w:tc>
        <w:tc>
          <w:tcPr>
            <w:tcW w:w="1994" w:type="dxa"/>
            <w:tcBorders>
              <w:top w:val="single" w:sz="4" w:space="0" w:color="BDD6EE" w:themeColor="accent1" w:themeTint="66"/>
              <w:left w:val="nil"/>
              <w:bottom w:val="single" w:sz="4" w:space="0" w:color="BDD6EE" w:themeColor="accent1" w:themeTint="66"/>
              <w:right w:val="nil"/>
            </w:tcBorders>
            <w:vAlign w:val="center"/>
          </w:tcPr>
          <w:p w14:paraId="3EC321F6" w14:textId="19B8A9CA" w:rsidR="00135AC8" w:rsidRPr="00237760" w:rsidRDefault="00135AC8" w:rsidP="009367B4">
            <w:pPr>
              <w:spacing w:after="0"/>
              <w:jc w:val="left"/>
              <w:rPr>
                <w:rFonts w:ascii="Arial" w:hAnsi="Arial" w:cs="Arial"/>
                <w:bCs/>
                <w:color w:val="auto"/>
                <w:sz w:val="24"/>
                <w:szCs w:val="24"/>
              </w:rPr>
            </w:pPr>
            <w:r w:rsidRPr="00237760">
              <w:rPr>
                <w:rFonts w:ascii="Arial" w:hAnsi="Arial" w:cs="Arial"/>
                <w:bCs/>
                <w:color w:val="auto"/>
                <w:sz w:val="24"/>
                <w:szCs w:val="24"/>
              </w:rPr>
              <w:t>Wskazanie celów podstawowych: 2. i 3.</w:t>
            </w:r>
          </w:p>
        </w:tc>
      </w:tr>
      <w:tr w:rsidR="00237760" w:rsidRPr="00237760" w14:paraId="0B0FA484" w14:textId="77777777" w:rsidTr="00B32A20">
        <w:trPr>
          <w:trHeight w:val="151"/>
        </w:trPr>
        <w:tc>
          <w:tcPr>
            <w:tcW w:w="4258" w:type="dxa"/>
            <w:tcBorders>
              <w:top w:val="single" w:sz="4" w:space="0" w:color="BDD6EE" w:themeColor="accent1" w:themeTint="66"/>
              <w:left w:val="nil"/>
              <w:bottom w:val="single" w:sz="4" w:space="0" w:color="BDD6EE" w:themeColor="accent1" w:themeTint="66"/>
              <w:right w:val="nil"/>
            </w:tcBorders>
            <w:vAlign w:val="center"/>
          </w:tcPr>
          <w:p w14:paraId="5B77F41F" w14:textId="1C2570D1" w:rsidR="00882803" w:rsidRPr="00237760" w:rsidRDefault="0088280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lastRenderedPageBreak/>
              <w:t xml:space="preserve"> </w:t>
            </w:r>
            <w:r w:rsidR="00643562" w:rsidRPr="00237760">
              <w:rPr>
                <w:rFonts w:ascii="Arial" w:hAnsi="Arial" w:cs="Arial"/>
                <w:color w:val="auto"/>
                <w:sz w:val="24"/>
                <w:szCs w:val="24"/>
              </w:rPr>
              <w:t xml:space="preserve">Przygotowanie regionalnego </w:t>
            </w:r>
            <w:r w:rsidR="00135AC8" w:rsidRPr="00237760">
              <w:rPr>
                <w:rFonts w:ascii="Arial" w:hAnsi="Arial" w:cs="Arial"/>
                <w:color w:val="auto"/>
                <w:sz w:val="24"/>
                <w:szCs w:val="24"/>
              </w:rPr>
              <w:t>plan</w:t>
            </w:r>
            <w:r w:rsidR="001A3EB5" w:rsidRPr="00237760">
              <w:rPr>
                <w:rFonts w:ascii="Arial" w:hAnsi="Arial" w:cs="Arial"/>
                <w:color w:val="auto"/>
                <w:sz w:val="24"/>
                <w:szCs w:val="24"/>
              </w:rPr>
              <w:t>u</w:t>
            </w:r>
            <w:r w:rsidR="00643562" w:rsidRPr="00237760">
              <w:rPr>
                <w:rFonts w:ascii="Arial" w:hAnsi="Arial" w:cs="Arial"/>
                <w:color w:val="auto"/>
                <w:sz w:val="24"/>
                <w:szCs w:val="24"/>
              </w:rPr>
              <w:t xml:space="preserve"> zrównoważonego rozwoju publicznego transportu zbiorowego</w:t>
            </w:r>
          </w:p>
        </w:tc>
        <w:tc>
          <w:tcPr>
            <w:tcW w:w="1701" w:type="dxa"/>
            <w:tcBorders>
              <w:top w:val="single" w:sz="4" w:space="0" w:color="BDD6EE" w:themeColor="accent1" w:themeTint="66"/>
              <w:left w:val="nil"/>
              <w:bottom w:val="single" w:sz="4" w:space="0" w:color="BDD6EE" w:themeColor="accent1" w:themeTint="66"/>
              <w:right w:val="nil"/>
            </w:tcBorders>
            <w:vAlign w:val="center"/>
          </w:tcPr>
          <w:p w14:paraId="23DD268D" w14:textId="2A4091E7" w:rsidR="00882803" w:rsidRPr="00237760" w:rsidRDefault="00882803" w:rsidP="009367B4">
            <w:pPr>
              <w:spacing w:after="0"/>
              <w:jc w:val="left"/>
              <w:rPr>
                <w:rFonts w:ascii="Arial" w:hAnsi="Arial" w:cs="Arial"/>
                <w:color w:val="auto"/>
                <w:sz w:val="24"/>
                <w:szCs w:val="24"/>
              </w:rPr>
            </w:pPr>
            <w:r w:rsidRPr="00237760">
              <w:rPr>
                <w:rFonts w:ascii="Arial" w:hAnsi="Arial" w:cs="Arial"/>
                <w:color w:val="auto"/>
                <w:sz w:val="24"/>
                <w:szCs w:val="24"/>
              </w:rPr>
              <w:t>Ustawa o publicznym transporcie zbiorowym</w:t>
            </w:r>
          </w:p>
        </w:tc>
        <w:tc>
          <w:tcPr>
            <w:tcW w:w="1276" w:type="dxa"/>
            <w:tcBorders>
              <w:top w:val="single" w:sz="4" w:space="0" w:color="BDD6EE" w:themeColor="accent1" w:themeTint="66"/>
              <w:left w:val="nil"/>
              <w:bottom w:val="single" w:sz="4" w:space="0" w:color="BDD6EE" w:themeColor="accent1" w:themeTint="66"/>
              <w:right w:val="nil"/>
            </w:tcBorders>
            <w:vAlign w:val="center"/>
          </w:tcPr>
          <w:p w14:paraId="761CA82A" w14:textId="4332CC99" w:rsidR="00882803" w:rsidRPr="00237760" w:rsidRDefault="004077B4" w:rsidP="009367B4">
            <w:pPr>
              <w:spacing w:after="0"/>
              <w:jc w:val="left"/>
              <w:rPr>
                <w:rFonts w:ascii="Arial" w:hAnsi="Arial" w:cs="Arial"/>
                <w:b/>
                <w:color w:val="auto"/>
                <w:sz w:val="24"/>
                <w:szCs w:val="24"/>
              </w:rPr>
            </w:pPr>
            <w:r w:rsidRPr="00237760">
              <w:rPr>
                <w:rFonts w:ascii="Arial" w:hAnsi="Arial" w:cs="Arial"/>
                <w:b/>
                <w:color w:val="auto"/>
                <w:sz w:val="24"/>
                <w:szCs w:val="24"/>
              </w:rPr>
              <w:t>Średnie</w:t>
            </w:r>
          </w:p>
        </w:tc>
        <w:tc>
          <w:tcPr>
            <w:tcW w:w="1994" w:type="dxa"/>
            <w:tcBorders>
              <w:top w:val="single" w:sz="4" w:space="0" w:color="BDD6EE" w:themeColor="accent1" w:themeTint="66"/>
              <w:left w:val="nil"/>
              <w:bottom w:val="single" w:sz="4" w:space="0" w:color="BDD6EE" w:themeColor="accent1" w:themeTint="66"/>
              <w:right w:val="nil"/>
            </w:tcBorders>
            <w:vAlign w:val="center"/>
          </w:tcPr>
          <w:p w14:paraId="446C5542" w14:textId="0099BFB3" w:rsidR="00882803" w:rsidRPr="00237760" w:rsidRDefault="00135AC8" w:rsidP="009367B4">
            <w:pPr>
              <w:spacing w:after="0"/>
              <w:jc w:val="left"/>
              <w:rPr>
                <w:rFonts w:ascii="Arial" w:hAnsi="Arial" w:cs="Arial"/>
                <w:bCs/>
                <w:color w:val="auto"/>
                <w:sz w:val="24"/>
                <w:szCs w:val="24"/>
              </w:rPr>
            </w:pPr>
            <w:r w:rsidRPr="00237760">
              <w:rPr>
                <w:rFonts w:ascii="Arial" w:hAnsi="Arial" w:cs="Arial"/>
                <w:bCs/>
                <w:color w:val="auto"/>
                <w:sz w:val="24"/>
                <w:szCs w:val="24"/>
              </w:rPr>
              <w:t>Nie dotyczy</w:t>
            </w:r>
            <w:r w:rsidR="002739C4" w:rsidRPr="00237760">
              <w:rPr>
                <w:rFonts w:ascii="Arial" w:hAnsi="Arial" w:cs="Arial"/>
                <w:bCs/>
                <w:color w:val="auto"/>
                <w:sz w:val="24"/>
                <w:szCs w:val="24"/>
              </w:rPr>
              <w:t xml:space="preserve"> (ale dokument wykorzystany w diagnozie)</w:t>
            </w:r>
          </w:p>
        </w:tc>
      </w:tr>
      <w:tr w:rsidR="00237760" w:rsidRPr="00237760" w14:paraId="3A58C03A" w14:textId="77777777" w:rsidTr="00B32A20">
        <w:trPr>
          <w:trHeight w:val="151"/>
        </w:trPr>
        <w:tc>
          <w:tcPr>
            <w:tcW w:w="4258" w:type="dxa"/>
            <w:tcBorders>
              <w:top w:val="single" w:sz="4" w:space="0" w:color="BDD6EE" w:themeColor="accent1" w:themeTint="66"/>
              <w:left w:val="nil"/>
              <w:bottom w:val="single" w:sz="4" w:space="0" w:color="BDD6EE" w:themeColor="accent1" w:themeTint="66"/>
              <w:right w:val="nil"/>
            </w:tcBorders>
            <w:vAlign w:val="center"/>
          </w:tcPr>
          <w:p w14:paraId="255911EE" w14:textId="0682D588" w:rsidR="00A36C6D" w:rsidRPr="00237760" w:rsidRDefault="00F07A57"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Przygotowanie przez </w:t>
            </w:r>
            <w:r w:rsidR="00711B28" w:rsidRPr="00237760">
              <w:rPr>
                <w:rFonts w:ascii="Arial" w:hAnsi="Arial" w:cs="Arial"/>
                <w:color w:val="auto"/>
                <w:sz w:val="24"/>
                <w:szCs w:val="24"/>
              </w:rPr>
              <w:t>Marszałka Województwa</w:t>
            </w:r>
            <w:r w:rsidRPr="00237760">
              <w:rPr>
                <w:rFonts w:ascii="Arial" w:hAnsi="Arial" w:cs="Arial"/>
                <w:color w:val="auto"/>
                <w:sz w:val="24"/>
                <w:szCs w:val="24"/>
              </w:rPr>
              <w:t xml:space="preserve"> </w:t>
            </w:r>
            <w:r w:rsidR="005B4177" w:rsidRPr="00237760">
              <w:rPr>
                <w:rFonts w:ascii="Arial" w:hAnsi="Arial" w:cs="Arial"/>
                <w:color w:val="auto"/>
                <w:sz w:val="24"/>
                <w:szCs w:val="24"/>
              </w:rPr>
              <w:t xml:space="preserve">(MW) </w:t>
            </w:r>
            <w:r w:rsidRPr="00237760">
              <w:rPr>
                <w:rFonts w:ascii="Arial" w:hAnsi="Arial" w:cs="Arial"/>
                <w:color w:val="auto"/>
                <w:sz w:val="24"/>
                <w:szCs w:val="24"/>
              </w:rPr>
              <w:t>zbiorczej informacji dotyczącej publicznego transportu zbiorowego na całym obszarze objętym swoją właściwością, z podziałem na transport autobusowy i kolejowy</w:t>
            </w:r>
          </w:p>
        </w:tc>
        <w:tc>
          <w:tcPr>
            <w:tcW w:w="1701" w:type="dxa"/>
            <w:tcBorders>
              <w:top w:val="single" w:sz="4" w:space="0" w:color="BDD6EE" w:themeColor="accent1" w:themeTint="66"/>
              <w:left w:val="nil"/>
              <w:bottom w:val="single" w:sz="4" w:space="0" w:color="BDD6EE" w:themeColor="accent1" w:themeTint="66"/>
              <w:right w:val="nil"/>
            </w:tcBorders>
            <w:vAlign w:val="center"/>
          </w:tcPr>
          <w:p w14:paraId="6511A7B5" w14:textId="178853FD" w:rsidR="00A36C6D" w:rsidRPr="00237760" w:rsidRDefault="00F07A57" w:rsidP="009367B4">
            <w:pPr>
              <w:spacing w:after="0"/>
              <w:jc w:val="left"/>
              <w:rPr>
                <w:rFonts w:ascii="Arial" w:hAnsi="Arial" w:cs="Arial"/>
                <w:color w:val="auto"/>
                <w:sz w:val="24"/>
                <w:szCs w:val="24"/>
              </w:rPr>
            </w:pPr>
            <w:r w:rsidRPr="00237760">
              <w:rPr>
                <w:rFonts w:ascii="Arial" w:hAnsi="Arial" w:cs="Arial"/>
                <w:color w:val="auto"/>
                <w:sz w:val="24"/>
                <w:szCs w:val="24"/>
              </w:rPr>
              <w:t>Ustawa o publicznym transporcie zbiorowym</w:t>
            </w:r>
          </w:p>
        </w:tc>
        <w:tc>
          <w:tcPr>
            <w:tcW w:w="1276" w:type="dxa"/>
            <w:tcBorders>
              <w:top w:val="single" w:sz="4" w:space="0" w:color="BDD6EE" w:themeColor="accent1" w:themeTint="66"/>
              <w:left w:val="nil"/>
              <w:bottom w:val="single" w:sz="4" w:space="0" w:color="BDD6EE" w:themeColor="accent1" w:themeTint="66"/>
              <w:right w:val="nil"/>
            </w:tcBorders>
            <w:vAlign w:val="center"/>
          </w:tcPr>
          <w:p w14:paraId="715BB932" w14:textId="7BC10963" w:rsidR="00A36C6D" w:rsidRPr="00237760" w:rsidRDefault="0011022E" w:rsidP="009367B4">
            <w:pPr>
              <w:spacing w:after="0"/>
              <w:jc w:val="left"/>
              <w:rPr>
                <w:rFonts w:ascii="Arial" w:hAnsi="Arial" w:cs="Arial"/>
                <w:b/>
                <w:color w:val="auto"/>
                <w:sz w:val="24"/>
                <w:szCs w:val="24"/>
              </w:rPr>
            </w:pPr>
            <w:r w:rsidRPr="00237760">
              <w:rPr>
                <w:rFonts w:ascii="Arial" w:hAnsi="Arial" w:cs="Arial"/>
                <w:b/>
                <w:color w:val="auto"/>
                <w:sz w:val="24"/>
                <w:szCs w:val="24"/>
              </w:rPr>
              <w:t>Niskie</w:t>
            </w:r>
          </w:p>
        </w:tc>
        <w:tc>
          <w:tcPr>
            <w:tcW w:w="1994" w:type="dxa"/>
            <w:tcBorders>
              <w:top w:val="single" w:sz="4" w:space="0" w:color="BDD6EE" w:themeColor="accent1" w:themeTint="66"/>
              <w:left w:val="nil"/>
              <w:bottom w:val="single" w:sz="4" w:space="0" w:color="BDD6EE" w:themeColor="accent1" w:themeTint="66"/>
              <w:right w:val="nil"/>
            </w:tcBorders>
            <w:vAlign w:val="center"/>
          </w:tcPr>
          <w:p w14:paraId="66DCA953" w14:textId="4B89F154" w:rsidR="00A36C6D" w:rsidRPr="00237760" w:rsidRDefault="0011022E" w:rsidP="009367B4">
            <w:pPr>
              <w:spacing w:after="0"/>
              <w:jc w:val="left"/>
              <w:rPr>
                <w:rFonts w:ascii="Arial" w:hAnsi="Arial" w:cs="Arial"/>
                <w:bCs/>
                <w:color w:val="auto"/>
                <w:sz w:val="24"/>
                <w:szCs w:val="24"/>
              </w:rPr>
            </w:pPr>
            <w:r w:rsidRPr="00237760">
              <w:rPr>
                <w:rFonts w:ascii="Arial" w:hAnsi="Arial" w:cs="Arial"/>
                <w:bCs/>
                <w:color w:val="auto"/>
                <w:sz w:val="24"/>
                <w:szCs w:val="24"/>
              </w:rPr>
              <w:t>Nie dotyczy</w:t>
            </w:r>
          </w:p>
        </w:tc>
      </w:tr>
      <w:tr w:rsidR="00237760" w:rsidRPr="00237760" w14:paraId="75F722BF" w14:textId="77777777" w:rsidTr="00B32A20">
        <w:trPr>
          <w:trHeight w:val="151"/>
        </w:trPr>
        <w:tc>
          <w:tcPr>
            <w:tcW w:w="4258" w:type="dxa"/>
            <w:tcBorders>
              <w:top w:val="single" w:sz="4" w:space="0" w:color="BDD6EE" w:themeColor="accent1" w:themeTint="66"/>
              <w:left w:val="nil"/>
              <w:bottom w:val="single" w:sz="4" w:space="0" w:color="BDD6EE" w:themeColor="accent1" w:themeTint="66"/>
              <w:right w:val="nil"/>
            </w:tcBorders>
            <w:vAlign w:val="center"/>
          </w:tcPr>
          <w:p w14:paraId="684F5D3D" w14:textId="4AB5FE3A" w:rsidR="00A36C6D" w:rsidRPr="00237760" w:rsidRDefault="00C04E4C"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Możliwość wskazywania zapotrzebowania na połączenia lotnicze w ramach procedury nakładania obowiązku użyteczności publicznej na regularne połączenia między wskazanymi portami lotniczymi</w:t>
            </w:r>
            <w:r w:rsidRPr="00237760">
              <w:rPr>
                <w:rStyle w:val="Odwoanieprzypisudolnego"/>
                <w:rFonts w:ascii="Arial" w:hAnsi="Arial" w:cs="Arial"/>
                <w:color w:val="auto"/>
                <w:sz w:val="24"/>
                <w:szCs w:val="24"/>
              </w:rPr>
              <w:footnoteReference w:id="43"/>
            </w:r>
          </w:p>
        </w:tc>
        <w:tc>
          <w:tcPr>
            <w:tcW w:w="1701" w:type="dxa"/>
            <w:tcBorders>
              <w:top w:val="single" w:sz="4" w:space="0" w:color="BDD6EE" w:themeColor="accent1" w:themeTint="66"/>
              <w:left w:val="nil"/>
              <w:bottom w:val="single" w:sz="4" w:space="0" w:color="BDD6EE" w:themeColor="accent1" w:themeTint="66"/>
              <w:right w:val="nil"/>
            </w:tcBorders>
            <w:vAlign w:val="center"/>
          </w:tcPr>
          <w:p w14:paraId="47B8E618" w14:textId="2B4B336E" w:rsidR="00A36C6D" w:rsidRPr="00237760" w:rsidRDefault="00C04E4C" w:rsidP="009367B4">
            <w:pPr>
              <w:spacing w:after="0"/>
              <w:jc w:val="left"/>
              <w:rPr>
                <w:rFonts w:ascii="Arial" w:hAnsi="Arial" w:cs="Arial"/>
                <w:color w:val="auto"/>
                <w:sz w:val="24"/>
                <w:szCs w:val="24"/>
              </w:rPr>
            </w:pPr>
            <w:r w:rsidRPr="00237760">
              <w:rPr>
                <w:rFonts w:ascii="Arial" w:hAnsi="Arial" w:cs="Arial"/>
                <w:color w:val="auto"/>
                <w:sz w:val="24"/>
                <w:szCs w:val="24"/>
              </w:rPr>
              <w:t>Prawo lotnicze</w:t>
            </w:r>
          </w:p>
        </w:tc>
        <w:tc>
          <w:tcPr>
            <w:tcW w:w="1276" w:type="dxa"/>
            <w:tcBorders>
              <w:top w:val="single" w:sz="4" w:space="0" w:color="BDD6EE" w:themeColor="accent1" w:themeTint="66"/>
              <w:left w:val="nil"/>
              <w:bottom w:val="single" w:sz="4" w:space="0" w:color="BDD6EE" w:themeColor="accent1" w:themeTint="66"/>
              <w:right w:val="nil"/>
            </w:tcBorders>
            <w:vAlign w:val="center"/>
          </w:tcPr>
          <w:p w14:paraId="1B600701" w14:textId="7F00D8D3" w:rsidR="00A36C6D" w:rsidRPr="00237760" w:rsidRDefault="00C04E4C" w:rsidP="009367B4">
            <w:pPr>
              <w:spacing w:after="0"/>
              <w:jc w:val="left"/>
              <w:rPr>
                <w:rFonts w:ascii="Arial" w:hAnsi="Arial" w:cs="Arial"/>
                <w:b/>
                <w:color w:val="auto"/>
                <w:sz w:val="24"/>
                <w:szCs w:val="24"/>
              </w:rPr>
            </w:pPr>
            <w:r w:rsidRPr="00237760">
              <w:rPr>
                <w:rFonts w:ascii="Arial" w:hAnsi="Arial" w:cs="Arial"/>
                <w:b/>
                <w:color w:val="auto"/>
                <w:sz w:val="24"/>
                <w:szCs w:val="24"/>
              </w:rPr>
              <w:t>Niskie</w:t>
            </w:r>
          </w:p>
        </w:tc>
        <w:tc>
          <w:tcPr>
            <w:tcW w:w="1994" w:type="dxa"/>
            <w:tcBorders>
              <w:top w:val="single" w:sz="4" w:space="0" w:color="BDD6EE" w:themeColor="accent1" w:themeTint="66"/>
              <w:left w:val="nil"/>
              <w:bottom w:val="single" w:sz="4" w:space="0" w:color="BDD6EE" w:themeColor="accent1" w:themeTint="66"/>
              <w:right w:val="nil"/>
            </w:tcBorders>
            <w:vAlign w:val="center"/>
          </w:tcPr>
          <w:p w14:paraId="4DF97480" w14:textId="5E8B1CFF" w:rsidR="00A36C6D" w:rsidRPr="00237760" w:rsidRDefault="00C04E4C" w:rsidP="009367B4">
            <w:pPr>
              <w:spacing w:after="0"/>
              <w:jc w:val="left"/>
              <w:rPr>
                <w:rFonts w:ascii="Arial" w:hAnsi="Arial" w:cs="Arial"/>
                <w:bCs/>
                <w:color w:val="auto"/>
                <w:sz w:val="24"/>
                <w:szCs w:val="24"/>
              </w:rPr>
            </w:pPr>
            <w:r w:rsidRPr="00237760">
              <w:rPr>
                <w:rFonts w:ascii="Arial" w:hAnsi="Arial" w:cs="Arial"/>
                <w:bCs/>
                <w:color w:val="auto"/>
                <w:sz w:val="24"/>
                <w:szCs w:val="24"/>
              </w:rPr>
              <w:t>Nie dotyczy</w:t>
            </w:r>
          </w:p>
        </w:tc>
      </w:tr>
      <w:tr w:rsidR="00237760" w:rsidRPr="00237760" w14:paraId="2AB042E9" w14:textId="77777777" w:rsidTr="00B32A20">
        <w:trPr>
          <w:trHeight w:val="151"/>
        </w:trPr>
        <w:tc>
          <w:tcPr>
            <w:tcW w:w="4258" w:type="dxa"/>
            <w:tcBorders>
              <w:top w:val="single" w:sz="4" w:space="0" w:color="BDD6EE" w:themeColor="accent1" w:themeTint="66"/>
              <w:left w:val="nil"/>
              <w:bottom w:val="single" w:sz="4" w:space="0" w:color="BDD6EE" w:themeColor="accent1" w:themeTint="66"/>
              <w:right w:val="nil"/>
            </w:tcBorders>
            <w:vAlign w:val="center"/>
          </w:tcPr>
          <w:p w14:paraId="1C32F889" w14:textId="355EDDCF" w:rsidR="00F874DB" w:rsidRPr="00237760" w:rsidRDefault="00F874DB"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Wydawanie przez MW pozwoleń na wykonywanie regularnych, regularnych specjalnych</w:t>
            </w:r>
            <w:r w:rsidRPr="00237760">
              <w:rPr>
                <w:rStyle w:val="Odwoanieprzypisudolnego"/>
                <w:rFonts w:ascii="Arial" w:hAnsi="Arial" w:cs="Arial"/>
                <w:color w:val="auto"/>
                <w:sz w:val="24"/>
                <w:szCs w:val="24"/>
              </w:rPr>
              <w:footnoteReference w:id="44"/>
            </w:r>
            <w:r w:rsidRPr="00237760">
              <w:rPr>
                <w:rFonts w:ascii="Arial" w:hAnsi="Arial" w:cs="Arial"/>
                <w:color w:val="auto"/>
                <w:sz w:val="24"/>
                <w:szCs w:val="24"/>
              </w:rPr>
              <w:t>, wahadłowych i okazjonalnych przewozów w okolicznościach opisanych w ustawie</w:t>
            </w:r>
          </w:p>
        </w:tc>
        <w:tc>
          <w:tcPr>
            <w:tcW w:w="1701" w:type="dxa"/>
            <w:tcBorders>
              <w:top w:val="single" w:sz="4" w:space="0" w:color="BDD6EE" w:themeColor="accent1" w:themeTint="66"/>
              <w:left w:val="nil"/>
              <w:bottom w:val="single" w:sz="4" w:space="0" w:color="BDD6EE" w:themeColor="accent1" w:themeTint="66"/>
              <w:right w:val="nil"/>
            </w:tcBorders>
            <w:vAlign w:val="center"/>
          </w:tcPr>
          <w:p w14:paraId="6A757077" w14:textId="4F66DFB2" w:rsidR="00F874DB" w:rsidRPr="00237760" w:rsidRDefault="00F874DB" w:rsidP="009367B4">
            <w:pPr>
              <w:spacing w:after="0"/>
              <w:jc w:val="left"/>
              <w:rPr>
                <w:rFonts w:ascii="Arial" w:hAnsi="Arial" w:cs="Arial"/>
                <w:color w:val="auto"/>
                <w:sz w:val="24"/>
                <w:szCs w:val="24"/>
              </w:rPr>
            </w:pPr>
            <w:r w:rsidRPr="00237760">
              <w:rPr>
                <w:rFonts w:ascii="Arial" w:hAnsi="Arial" w:cs="Arial"/>
                <w:color w:val="auto"/>
                <w:sz w:val="24"/>
                <w:szCs w:val="24"/>
              </w:rPr>
              <w:t>Ustawa o transporcie drogowym</w:t>
            </w:r>
          </w:p>
        </w:tc>
        <w:tc>
          <w:tcPr>
            <w:tcW w:w="1276" w:type="dxa"/>
            <w:tcBorders>
              <w:top w:val="single" w:sz="4" w:space="0" w:color="BDD6EE" w:themeColor="accent1" w:themeTint="66"/>
              <w:left w:val="nil"/>
              <w:bottom w:val="single" w:sz="4" w:space="0" w:color="BDD6EE" w:themeColor="accent1" w:themeTint="66"/>
              <w:right w:val="nil"/>
            </w:tcBorders>
            <w:vAlign w:val="center"/>
          </w:tcPr>
          <w:p w14:paraId="3668771F" w14:textId="38A09E09" w:rsidR="00F874DB" w:rsidRPr="00237760" w:rsidRDefault="00F874DB" w:rsidP="009367B4">
            <w:pPr>
              <w:spacing w:after="0"/>
              <w:jc w:val="left"/>
              <w:rPr>
                <w:rFonts w:ascii="Arial" w:hAnsi="Arial" w:cs="Arial"/>
                <w:b/>
                <w:color w:val="auto"/>
                <w:sz w:val="24"/>
                <w:szCs w:val="24"/>
              </w:rPr>
            </w:pPr>
            <w:r w:rsidRPr="00237760">
              <w:rPr>
                <w:rFonts w:ascii="Arial" w:hAnsi="Arial" w:cs="Arial"/>
                <w:b/>
                <w:color w:val="auto"/>
                <w:sz w:val="24"/>
                <w:szCs w:val="24"/>
              </w:rPr>
              <w:t>Niskie</w:t>
            </w:r>
          </w:p>
        </w:tc>
        <w:tc>
          <w:tcPr>
            <w:tcW w:w="1994" w:type="dxa"/>
            <w:tcBorders>
              <w:top w:val="single" w:sz="4" w:space="0" w:color="BDD6EE" w:themeColor="accent1" w:themeTint="66"/>
              <w:left w:val="nil"/>
              <w:bottom w:val="single" w:sz="4" w:space="0" w:color="BDD6EE" w:themeColor="accent1" w:themeTint="66"/>
              <w:right w:val="nil"/>
            </w:tcBorders>
            <w:vAlign w:val="center"/>
          </w:tcPr>
          <w:p w14:paraId="60AEBDB2" w14:textId="04DB881B" w:rsidR="00F874DB" w:rsidRPr="00237760" w:rsidRDefault="00F874DB" w:rsidP="009367B4">
            <w:pPr>
              <w:spacing w:after="0"/>
              <w:jc w:val="left"/>
              <w:rPr>
                <w:rFonts w:ascii="Arial" w:hAnsi="Arial" w:cs="Arial"/>
                <w:bCs/>
                <w:color w:val="auto"/>
                <w:sz w:val="24"/>
                <w:szCs w:val="24"/>
              </w:rPr>
            </w:pPr>
            <w:r w:rsidRPr="00237760">
              <w:rPr>
                <w:rFonts w:ascii="Arial" w:hAnsi="Arial" w:cs="Arial"/>
                <w:bCs/>
                <w:color w:val="auto"/>
                <w:sz w:val="24"/>
                <w:szCs w:val="24"/>
              </w:rPr>
              <w:t>Nie dotyczy</w:t>
            </w:r>
          </w:p>
        </w:tc>
      </w:tr>
      <w:tr w:rsidR="00237760" w:rsidRPr="00237760" w14:paraId="5F08FFAB" w14:textId="77777777" w:rsidTr="00B32A20">
        <w:trPr>
          <w:trHeight w:val="151"/>
        </w:trPr>
        <w:tc>
          <w:tcPr>
            <w:tcW w:w="4258" w:type="dxa"/>
            <w:tcBorders>
              <w:top w:val="single" w:sz="4" w:space="0" w:color="BDD6EE" w:themeColor="accent1" w:themeTint="66"/>
              <w:left w:val="nil"/>
              <w:bottom w:val="single" w:sz="4" w:space="0" w:color="BDD6EE" w:themeColor="accent1" w:themeTint="66"/>
              <w:right w:val="nil"/>
            </w:tcBorders>
            <w:vAlign w:val="center"/>
          </w:tcPr>
          <w:p w14:paraId="5D5AE354" w14:textId="689639D3" w:rsidR="00A36C6D" w:rsidRPr="00237760" w:rsidRDefault="00C04E4C"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Rozpatrywanie skarg na niewłaściwe wykonywanie obowiązków przez podmiot zarządzający dworcem</w:t>
            </w:r>
          </w:p>
        </w:tc>
        <w:tc>
          <w:tcPr>
            <w:tcW w:w="1701" w:type="dxa"/>
            <w:tcBorders>
              <w:top w:val="single" w:sz="4" w:space="0" w:color="BDD6EE" w:themeColor="accent1" w:themeTint="66"/>
              <w:left w:val="nil"/>
              <w:bottom w:val="single" w:sz="4" w:space="0" w:color="BDD6EE" w:themeColor="accent1" w:themeTint="66"/>
              <w:right w:val="nil"/>
            </w:tcBorders>
            <w:vAlign w:val="center"/>
          </w:tcPr>
          <w:p w14:paraId="02D00508" w14:textId="66353F9F" w:rsidR="00A36C6D" w:rsidRPr="00237760" w:rsidRDefault="00C04E4C" w:rsidP="009367B4">
            <w:pPr>
              <w:spacing w:after="0"/>
              <w:jc w:val="left"/>
              <w:rPr>
                <w:rFonts w:ascii="Arial" w:hAnsi="Arial" w:cs="Arial"/>
                <w:color w:val="auto"/>
                <w:sz w:val="24"/>
                <w:szCs w:val="24"/>
              </w:rPr>
            </w:pPr>
            <w:r w:rsidRPr="00237760">
              <w:rPr>
                <w:rFonts w:ascii="Arial" w:hAnsi="Arial" w:cs="Arial"/>
                <w:color w:val="auto"/>
                <w:sz w:val="24"/>
                <w:szCs w:val="24"/>
              </w:rPr>
              <w:t>Ustawa o transporcie drogowym</w:t>
            </w:r>
          </w:p>
        </w:tc>
        <w:tc>
          <w:tcPr>
            <w:tcW w:w="1276" w:type="dxa"/>
            <w:tcBorders>
              <w:top w:val="single" w:sz="4" w:space="0" w:color="BDD6EE" w:themeColor="accent1" w:themeTint="66"/>
              <w:left w:val="nil"/>
              <w:bottom w:val="single" w:sz="4" w:space="0" w:color="BDD6EE" w:themeColor="accent1" w:themeTint="66"/>
              <w:right w:val="nil"/>
            </w:tcBorders>
            <w:vAlign w:val="center"/>
          </w:tcPr>
          <w:p w14:paraId="015DAC86" w14:textId="23D6AD27" w:rsidR="00A36C6D" w:rsidRPr="00237760" w:rsidRDefault="00C04E4C" w:rsidP="009367B4">
            <w:pPr>
              <w:spacing w:after="0"/>
              <w:jc w:val="left"/>
              <w:rPr>
                <w:rFonts w:ascii="Arial" w:hAnsi="Arial" w:cs="Arial"/>
                <w:b/>
                <w:color w:val="auto"/>
                <w:sz w:val="24"/>
                <w:szCs w:val="24"/>
              </w:rPr>
            </w:pPr>
            <w:r w:rsidRPr="00237760">
              <w:rPr>
                <w:rFonts w:ascii="Arial" w:hAnsi="Arial" w:cs="Arial"/>
                <w:b/>
                <w:color w:val="auto"/>
                <w:sz w:val="24"/>
                <w:szCs w:val="24"/>
              </w:rPr>
              <w:t>Brak / niskie</w:t>
            </w:r>
          </w:p>
        </w:tc>
        <w:tc>
          <w:tcPr>
            <w:tcW w:w="1994" w:type="dxa"/>
            <w:tcBorders>
              <w:top w:val="single" w:sz="4" w:space="0" w:color="BDD6EE" w:themeColor="accent1" w:themeTint="66"/>
              <w:left w:val="nil"/>
              <w:bottom w:val="single" w:sz="4" w:space="0" w:color="BDD6EE" w:themeColor="accent1" w:themeTint="66"/>
              <w:right w:val="nil"/>
            </w:tcBorders>
            <w:vAlign w:val="center"/>
          </w:tcPr>
          <w:p w14:paraId="01B02F08" w14:textId="7DBD6457" w:rsidR="00A36C6D" w:rsidRPr="00237760" w:rsidRDefault="00C04E4C" w:rsidP="009367B4">
            <w:pPr>
              <w:spacing w:after="0"/>
              <w:jc w:val="left"/>
              <w:rPr>
                <w:rFonts w:ascii="Arial" w:hAnsi="Arial" w:cs="Arial"/>
                <w:bCs/>
                <w:color w:val="auto"/>
                <w:sz w:val="24"/>
                <w:szCs w:val="24"/>
              </w:rPr>
            </w:pPr>
            <w:r w:rsidRPr="00237760">
              <w:rPr>
                <w:rFonts w:ascii="Arial" w:hAnsi="Arial" w:cs="Arial"/>
                <w:bCs/>
                <w:color w:val="auto"/>
                <w:sz w:val="24"/>
                <w:szCs w:val="24"/>
              </w:rPr>
              <w:t>Nie dotyczy</w:t>
            </w:r>
          </w:p>
        </w:tc>
      </w:tr>
      <w:tr w:rsidR="00237760" w:rsidRPr="00237760" w14:paraId="4672F702" w14:textId="77777777" w:rsidTr="00B32A20">
        <w:trPr>
          <w:trHeight w:val="151"/>
        </w:trPr>
        <w:tc>
          <w:tcPr>
            <w:tcW w:w="4258" w:type="dxa"/>
            <w:tcBorders>
              <w:top w:val="single" w:sz="4" w:space="0" w:color="BDD6EE" w:themeColor="accent1" w:themeTint="66"/>
              <w:left w:val="nil"/>
              <w:bottom w:val="single" w:sz="4" w:space="0" w:color="BDD6EE" w:themeColor="accent1" w:themeTint="66"/>
              <w:right w:val="nil"/>
            </w:tcBorders>
            <w:vAlign w:val="center"/>
          </w:tcPr>
          <w:p w14:paraId="34F71415" w14:textId="79D4AB28" w:rsidR="00797AE9" w:rsidRPr="00237760" w:rsidRDefault="00797AE9"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Decydowanie o </w:t>
            </w:r>
            <w:r w:rsidR="00E16991" w:rsidRPr="00237760">
              <w:rPr>
                <w:rFonts w:ascii="Arial" w:hAnsi="Arial" w:cs="Arial"/>
                <w:color w:val="auto"/>
                <w:sz w:val="24"/>
                <w:szCs w:val="24"/>
              </w:rPr>
              <w:t>wnioskowane przez przewoźnika</w:t>
            </w:r>
            <w:r w:rsidRPr="00237760">
              <w:rPr>
                <w:rFonts w:ascii="Arial" w:hAnsi="Arial" w:cs="Arial"/>
                <w:color w:val="auto"/>
                <w:sz w:val="24"/>
                <w:szCs w:val="24"/>
              </w:rPr>
              <w:t xml:space="preserve"> ograniczeni</w:t>
            </w:r>
            <w:r w:rsidR="00E16991" w:rsidRPr="00237760">
              <w:rPr>
                <w:rFonts w:ascii="Arial" w:hAnsi="Arial" w:cs="Arial"/>
                <w:color w:val="auto"/>
                <w:sz w:val="24"/>
                <w:szCs w:val="24"/>
              </w:rPr>
              <w:t>e</w:t>
            </w:r>
            <w:r w:rsidRPr="00237760">
              <w:rPr>
                <w:rFonts w:ascii="Arial" w:hAnsi="Arial" w:cs="Arial"/>
                <w:color w:val="auto"/>
                <w:sz w:val="24"/>
                <w:szCs w:val="24"/>
              </w:rPr>
              <w:t xml:space="preserve"> obowiązku przewozów</w:t>
            </w:r>
            <w:r w:rsidR="00E16991" w:rsidRPr="00237760">
              <w:rPr>
                <w:rFonts w:ascii="Arial" w:hAnsi="Arial" w:cs="Arial"/>
                <w:color w:val="auto"/>
                <w:sz w:val="24"/>
                <w:szCs w:val="24"/>
              </w:rPr>
              <w:t>,</w:t>
            </w:r>
            <w:r w:rsidRPr="00237760">
              <w:rPr>
                <w:rFonts w:ascii="Arial" w:hAnsi="Arial" w:cs="Arial"/>
                <w:color w:val="auto"/>
                <w:sz w:val="24"/>
                <w:szCs w:val="24"/>
              </w:rPr>
              <w:t xml:space="preserve"> w odniesieniu do przewoźników, wobec których zarząd województwa wykonuje uprawnienia z akcji lub udziałów.</w:t>
            </w:r>
          </w:p>
        </w:tc>
        <w:tc>
          <w:tcPr>
            <w:tcW w:w="1701" w:type="dxa"/>
            <w:tcBorders>
              <w:top w:val="single" w:sz="4" w:space="0" w:color="BDD6EE" w:themeColor="accent1" w:themeTint="66"/>
              <w:left w:val="nil"/>
              <w:bottom w:val="single" w:sz="4" w:space="0" w:color="BDD6EE" w:themeColor="accent1" w:themeTint="66"/>
              <w:right w:val="nil"/>
            </w:tcBorders>
            <w:vAlign w:val="center"/>
          </w:tcPr>
          <w:p w14:paraId="05CA2F8A" w14:textId="69B1E82F" w:rsidR="00797AE9" w:rsidRPr="00237760" w:rsidRDefault="00797AE9" w:rsidP="009367B4">
            <w:pPr>
              <w:spacing w:after="0"/>
              <w:jc w:val="left"/>
              <w:rPr>
                <w:rFonts w:ascii="Arial" w:hAnsi="Arial" w:cs="Arial"/>
                <w:color w:val="auto"/>
                <w:sz w:val="24"/>
                <w:szCs w:val="24"/>
              </w:rPr>
            </w:pPr>
            <w:r w:rsidRPr="00237760">
              <w:rPr>
                <w:rFonts w:ascii="Arial" w:hAnsi="Arial" w:cs="Arial"/>
                <w:color w:val="auto"/>
                <w:sz w:val="24"/>
                <w:szCs w:val="24"/>
              </w:rPr>
              <w:t>Prawo przewozowe</w:t>
            </w:r>
          </w:p>
        </w:tc>
        <w:tc>
          <w:tcPr>
            <w:tcW w:w="1276" w:type="dxa"/>
            <w:tcBorders>
              <w:top w:val="single" w:sz="4" w:space="0" w:color="BDD6EE" w:themeColor="accent1" w:themeTint="66"/>
              <w:left w:val="nil"/>
              <w:bottom w:val="single" w:sz="4" w:space="0" w:color="BDD6EE" w:themeColor="accent1" w:themeTint="66"/>
              <w:right w:val="nil"/>
            </w:tcBorders>
            <w:vAlign w:val="center"/>
          </w:tcPr>
          <w:p w14:paraId="388E86AB" w14:textId="604B14AC" w:rsidR="00797AE9" w:rsidRPr="00237760" w:rsidRDefault="00797AE9" w:rsidP="009367B4">
            <w:pPr>
              <w:spacing w:after="0"/>
              <w:jc w:val="left"/>
              <w:rPr>
                <w:rFonts w:ascii="Arial" w:hAnsi="Arial" w:cs="Arial"/>
                <w:b/>
                <w:color w:val="auto"/>
                <w:sz w:val="24"/>
                <w:szCs w:val="24"/>
              </w:rPr>
            </w:pPr>
            <w:r w:rsidRPr="00237760">
              <w:rPr>
                <w:rFonts w:ascii="Arial" w:hAnsi="Arial" w:cs="Arial"/>
                <w:b/>
                <w:color w:val="auto"/>
                <w:sz w:val="24"/>
                <w:szCs w:val="24"/>
              </w:rPr>
              <w:t>Brak/ niskie</w:t>
            </w:r>
          </w:p>
        </w:tc>
        <w:tc>
          <w:tcPr>
            <w:tcW w:w="1994" w:type="dxa"/>
            <w:tcBorders>
              <w:top w:val="single" w:sz="4" w:space="0" w:color="BDD6EE" w:themeColor="accent1" w:themeTint="66"/>
              <w:left w:val="nil"/>
              <w:bottom w:val="single" w:sz="4" w:space="0" w:color="BDD6EE" w:themeColor="accent1" w:themeTint="66"/>
              <w:right w:val="nil"/>
            </w:tcBorders>
            <w:vAlign w:val="center"/>
          </w:tcPr>
          <w:p w14:paraId="4ED1172D" w14:textId="30DA0922" w:rsidR="00797AE9" w:rsidRPr="00237760" w:rsidRDefault="00797AE9" w:rsidP="009367B4">
            <w:pPr>
              <w:spacing w:after="0"/>
              <w:jc w:val="left"/>
              <w:rPr>
                <w:rFonts w:ascii="Arial" w:hAnsi="Arial" w:cs="Arial"/>
                <w:bCs/>
                <w:color w:val="auto"/>
                <w:sz w:val="24"/>
                <w:szCs w:val="24"/>
              </w:rPr>
            </w:pPr>
            <w:r w:rsidRPr="00237760">
              <w:rPr>
                <w:rFonts w:ascii="Arial" w:hAnsi="Arial" w:cs="Arial"/>
                <w:bCs/>
                <w:color w:val="auto"/>
                <w:sz w:val="24"/>
                <w:szCs w:val="24"/>
              </w:rPr>
              <w:t>Nie dotyczy</w:t>
            </w:r>
          </w:p>
        </w:tc>
      </w:tr>
      <w:tr w:rsidR="00237760" w:rsidRPr="00237760" w14:paraId="61A2C531" w14:textId="77777777" w:rsidTr="00B32A20">
        <w:trPr>
          <w:trHeight w:val="14"/>
        </w:trPr>
        <w:tc>
          <w:tcPr>
            <w:tcW w:w="4258" w:type="dxa"/>
            <w:tcBorders>
              <w:top w:val="single" w:sz="4" w:space="0" w:color="BDD6EE" w:themeColor="accent1" w:themeTint="66"/>
              <w:left w:val="nil"/>
              <w:bottom w:val="single" w:sz="4" w:space="0" w:color="BDD6EE" w:themeColor="accent1" w:themeTint="66"/>
              <w:right w:val="nil"/>
            </w:tcBorders>
            <w:vAlign w:val="center"/>
          </w:tcPr>
          <w:p w14:paraId="3201EBDF" w14:textId="645CBBD2" w:rsidR="001A6B0F" w:rsidRPr="00237760" w:rsidRDefault="00117731"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Określenie przez sejmik przepisów porządkowych w odniesieniu do wojewódzkiego regularnego przewozu osób</w:t>
            </w:r>
          </w:p>
        </w:tc>
        <w:tc>
          <w:tcPr>
            <w:tcW w:w="1701" w:type="dxa"/>
            <w:tcBorders>
              <w:top w:val="single" w:sz="4" w:space="0" w:color="BDD6EE" w:themeColor="accent1" w:themeTint="66"/>
              <w:left w:val="nil"/>
              <w:bottom w:val="single" w:sz="4" w:space="0" w:color="BDD6EE" w:themeColor="accent1" w:themeTint="66"/>
              <w:right w:val="nil"/>
            </w:tcBorders>
            <w:vAlign w:val="center"/>
          </w:tcPr>
          <w:p w14:paraId="6271902B" w14:textId="36EA9BF4" w:rsidR="001A6B0F" w:rsidRPr="00237760" w:rsidRDefault="00117731" w:rsidP="009367B4">
            <w:pPr>
              <w:spacing w:after="0"/>
              <w:jc w:val="left"/>
              <w:rPr>
                <w:rFonts w:ascii="Arial" w:hAnsi="Arial" w:cs="Arial"/>
                <w:color w:val="auto"/>
                <w:sz w:val="24"/>
                <w:szCs w:val="24"/>
              </w:rPr>
            </w:pPr>
            <w:r w:rsidRPr="00237760">
              <w:rPr>
                <w:rFonts w:ascii="Arial" w:hAnsi="Arial" w:cs="Arial"/>
                <w:color w:val="auto"/>
                <w:sz w:val="24"/>
                <w:szCs w:val="24"/>
              </w:rPr>
              <w:t>Prawo przewozowe</w:t>
            </w:r>
          </w:p>
        </w:tc>
        <w:tc>
          <w:tcPr>
            <w:tcW w:w="1276" w:type="dxa"/>
            <w:tcBorders>
              <w:top w:val="single" w:sz="4" w:space="0" w:color="BDD6EE" w:themeColor="accent1" w:themeTint="66"/>
              <w:left w:val="nil"/>
              <w:bottom w:val="single" w:sz="4" w:space="0" w:color="BDD6EE" w:themeColor="accent1" w:themeTint="66"/>
              <w:right w:val="nil"/>
            </w:tcBorders>
            <w:vAlign w:val="center"/>
          </w:tcPr>
          <w:p w14:paraId="61D1DE05" w14:textId="616DB116" w:rsidR="001A6B0F" w:rsidRPr="00237760" w:rsidRDefault="00117731" w:rsidP="009367B4">
            <w:pPr>
              <w:spacing w:after="0" w:line="240" w:lineRule="auto"/>
              <w:contextualSpacing/>
              <w:jc w:val="left"/>
              <w:rPr>
                <w:rFonts w:ascii="Arial" w:hAnsi="Arial" w:cs="Arial"/>
                <w:b/>
                <w:color w:val="auto"/>
                <w:sz w:val="24"/>
                <w:szCs w:val="24"/>
              </w:rPr>
            </w:pPr>
            <w:r w:rsidRPr="00237760">
              <w:rPr>
                <w:rFonts w:ascii="Arial" w:hAnsi="Arial" w:cs="Arial"/>
                <w:b/>
                <w:color w:val="auto"/>
                <w:sz w:val="24"/>
                <w:szCs w:val="24"/>
              </w:rPr>
              <w:t>Brak</w:t>
            </w:r>
          </w:p>
        </w:tc>
        <w:tc>
          <w:tcPr>
            <w:tcW w:w="1994" w:type="dxa"/>
            <w:tcBorders>
              <w:top w:val="single" w:sz="4" w:space="0" w:color="BDD6EE" w:themeColor="accent1" w:themeTint="66"/>
              <w:left w:val="nil"/>
              <w:bottom w:val="single" w:sz="4" w:space="0" w:color="BDD6EE" w:themeColor="accent1" w:themeTint="66"/>
              <w:right w:val="nil"/>
            </w:tcBorders>
            <w:vAlign w:val="center"/>
          </w:tcPr>
          <w:p w14:paraId="39B4A175" w14:textId="482F83D7" w:rsidR="001A6B0F" w:rsidRPr="00237760" w:rsidRDefault="00117731" w:rsidP="009367B4">
            <w:pPr>
              <w:spacing w:after="0" w:line="240" w:lineRule="auto"/>
              <w:contextualSpacing/>
              <w:jc w:val="left"/>
              <w:rPr>
                <w:rFonts w:ascii="Arial" w:hAnsi="Arial" w:cs="Arial"/>
                <w:color w:val="auto"/>
                <w:sz w:val="24"/>
                <w:szCs w:val="24"/>
              </w:rPr>
            </w:pPr>
            <w:r w:rsidRPr="00237760">
              <w:rPr>
                <w:rFonts w:ascii="Arial" w:hAnsi="Arial" w:cs="Arial"/>
                <w:bCs/>
                <w:color w:val="auto"/>
                <w:sz w:val="24"/>
                <w:szCs w:val="24"/>
              </w:rPr>
              <w:t>Nie dotyczy</w:t>
            </w:r>
          </w:p>
        </w:tc>
      </w:tr>
      <w:tr w:rsidR="00237760" w:rsidRPr="00237760" w14:paraId="5F63E0BA" w14:textId="77777777" w:rsidTr="00B32A20">
        <w:trPr>
          <w:trHeight w:val="14"/>
        </w:trPr>
        <w:tc>
          <w:tcPr>
            <w:tcW w:w="4258" w:type="dxa"/>
            <w:tcBorders>
              <w:top w:val="single" w:sz="4" w:space="0" w:color="BDD6EE" w:themeColor="accent1" w:themeTint="66"/>
              <w:left w:val="nil"/>
              <w:bottom w:val="single" w:sz="4" w:space="0" w:color="BDD6EE" w:themeColor="accent1" w:themeTint="66"/>
              <w:right w:val="nil"/>
            </w:tcBorders>
            <w:vAlign w:val="center"/>
          </w:tcPr>
          <w:p w14:paraId="3C73D1C7" w14:textId="4429671D" w:rsidR="001A6B0F" w:rsidRPr="00237760" w:rsidRDefault="00B37CA2"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Określanie sposobu naliczania opłat dodatkowych w odniesieniu do wojewódzkiego regularnego przewozu osób</w:t>
            </w:r>
          </w:p>
        </w:tc>
        <w:tc>
          <w:tcPr>
            <w:tcW w:w="1701" w:type="dxa"/>
            <w:tcBorders>
              <w:top w:val="single" w:sz="4" w:space="0" w:color="BDD6EE" w:themeColor="accent1" w:themeTint="66"/>
              <w:left w:val="nil"/>
              <w:bottom w:val="single" w:sz="4" w:space="0" w:color="BDD6EE" w:themeColor="accent1" w:themeTint="66"/>
              <w:right w:val="nil"/>
            </w:tcBorders>
            <w:vAlign w:val="center"/>
          </w:tcPr>
          <w:p w14:paraId="0ED9E977" w14:textId="259BE2C6" w:rsidR="001A6B0F" w:rsidRPr="00237760" w:rsidRDefault="00B37CA2" w:rsidP="009367B4">
            <w:pPr>
              <w:numPr>
                <w:ilvl w:val="1"/>
                <w:numId w:val="0"/>
              </w:numPr>
              <w:spacing w:after="0"/>
              <w:jc w:val="left"/>
              <w:rPr>
                <w:rFonts w:ascii="Arial" w:hAnsi="Arial" w:cs="Arial"/>
                <w:color w:val="auto"/>
                <w:sz w:val="24"/>
                <w:szCs w:val="24"/>
              </w:rPr>
            </w:pPr>
            <w:r w:rsidRPr="00237760">
              <w:rPr>
                <w:rFonts w:ascii="Arial" w:hAnsi="Arial" w:cs="Arial"/>
                <w:color w:val="auto"/>
                <w:sz w:val="24"/>
                <w:szCs w:val="24"/>
              </w:rPr>
              <w:t>Prawo przewozowe</w:t>
            </w:r>
          </w:p>
        </w:tc>
        <w:tc>
          <w:tcPr>
            <w:tcW w:w="1276" w:type="dxa"/>
            <w:tcBorders>
              <w:top w:val="single" w:sz="4" w:space="0" w:color="BDD6EE" w:themeColor="accent1" w:themeTint="66"/>
              <w:left w:val="nil"/>
              <w:bottom w:val="single" w:sz="4" w:space="0" w:color="BDD6EE" w:themeColor="accent1" w:themeTint="66"/>
              <w:right w:val="nil"/>
            </w:tcBorders>
            <w:vAlign w:val="center"/>
          </w:tcPr>
          <w:p w14:paraId="4F1C8AF2" w14:textId="72034645" w:rsidR="001A6B0F" w:rsidRPr="00237760" w:rsidRDefault="00B37CA2" w:rsidP="009367B4">
            <w:pPr>
              <w:spacing w:after="0" w:line="240" w:lineRule="auto"/>
              <w:contextualSpacing/>
              <w:jc w:val="left"/>
              <w:rPr>
                <w:rFonts w:ascii="Arial" w:hAnsi="Arial" w:cs="Arial"/>
                <w:b/>
                <w:color w:val="auto"/>
                <w:sz w:val="24"/>
                <w:szCs w:val="24"/>
              </w:rPr>
            </w:pPr>
            <w:r w:rsidRPr="00237760">
              <w:rPr>
                <w:rFonts w:ascii="Arial" w:hAnsi="Arial" w:cs="Arial"/>
                <w:b/>
                <w:color w:val="auto"/>
                <w:sz w:val="24"/>
                <w:szCs w:val="24"/>
              </w:rPr>
              <w:t>Brak</w:t>
            </w:r>
          </w:p>
        </w:tc>
        <w:tc>
          <w:tcPr>
            <w:tcW w:w="1994" w:type="dxa"/>
            <w:tcBorders>
              <w:top w:val="single" w:sz="4" w:space="0" w:color="BDD6EE" w:themeColor="accent1" w:themeTint="66"/>
              <w:left w:val="nil"/>
              <w:bottom w:val="single" w:sz="4" w:space="0" w:color="BDD6EE" w:themeColor="accent1" w:themeTint="66"/>
              <w:right w:val="nil"/>
            </w:tcBorders>
            <w:vAlign w:val="center"/>
          </w:tcPr>
          <w:p w14:paraId="58DE3353" w14:textId="565BFDC3" w:rsidR="001A6B0F" w:rsidRPr="00237760" w:rsidRDefault="00B37CA2" w:rsidP="009367B4">
            <w:pPr>
              <w:spacing w:after="0" w:line="240" w:lineRule="auto"/>
              <w:contextualSpacing/>
              <w:jc w:val="left"/>
              <w:rPr>
                <w:rFonts w:ascii="Arial" w:hAnsi="Arial" w:cs="Arial"/>
                <w:color w:val="auto"/>
                <w:sz w:val="24"/>
                <w:szCs w:val="24"/>
              </w:rPr>
            </w:pPr>
            <w:r w:rsidRPr="00237760">
              <w:rPr>
                <w:rFonts w:ascii="Arial" w:hAnsi="Arial" w:cs="Arial"/>
                <w:bCs/>
                <w:color w:val="auto"/>
                <w:sz w:val="24"/>
                <w:szCs w:val="24"/>
              </w:rPr>
              <w:t>Nie dotyczy</w:t>
            </w:r>
          </w:p>
        </w:tc>
      </w:tr>
      <w:tr w:rsidR="00237760" w:rsidRPr="00237760" w14:paraId="68C5DA81" w14:textId="77777777" w:rsidTr="00B32A20">
        <w:trPr>
          <w:trHeight w:val="14"/>
        </w:trPr>
        <w:tc>
          <w:tcPr>
            <w:tcW w:w="4258" w:type="dxa"/>
            <w:tcBorders>
              <w:top w:val="single" w:sz="4" w:space="0" w:color="BDD6EE" w:themeColor="accent1" w:themeTint="66"/>
              <w:left w:val="nil"/>
              <w:bottom w:val="single" w:sz="4" w:space="0" w:color="BDD6EE" w:themeColor="accent1" w:themeTint="66"/>
              <w:right w:val="nil"/>
            </w:tcBorders>
            <w:vAlign w:val="center"/>
          </w:tcPr>
          <w:p w14:paraId="15B116CA" w14:textId="3D54EBE0" w:rsidR="001A6B0F" w:rsidRPr="00237760" w:rsidRDefault="003573AC"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lastRenderedPageBreak/>
              <w:t>Organizowanie</w:t>
            </w:r>
            <w:r w:rsidR="00D47B9B" w:rsidRPr="00237760">
              <w:rPr>
                <w:rFonts w:ascii="Arial" w:hAnsi="Arial" w:cs="Arial"/>
                <w:color w:val="auto"/>
                <w:sz w:val="24"/>
                <w:szCs w:val="24"/>
              </w:rPr>
              <w:t xml:space="preserve"> </w:t>
            </w:r>
            <w:r w:rsidR="00341ED5" w:rsidRPr="00237760">
              <w:rPr>
                <w:rFonts w:ascii="Arial" w:hAnsi="Arial" w:cs="Arial"/>
                <w:color w:val="auto"/>
                <w:sz w:val="24"/>
                <w:szCs w:val="24"/>
              </w:rPr>
              <w:t xml:space="preserve">przez MW </w:t>
            </w:r>
            <w:r w:rsidR="00D47B9B" w:rsidRPr="00237760">
              <w:rPr>
                <w:rFonts w:ascii="Arial" w:hAnsi="Arial" w:cs="Arial"/>
                <w:color w:val="auto"/>
                <w:sz w:val="24"/>
                <w:szCs w:val="24"/>
              </w:rPr>
              <w:t>proces</w:t>
            </w:r>
            <w:r w:rsidRPr="00237760">
              <w:rPr>
                <w:rFonts w:ascii="Arial" w:hAnsi="Arial" w:cs="Arial"/>
                <w:color w:val="auto"/>
                <w:sz w:val="24"/>
                <w:szCs w:val="24"/>
              </w:rPr>
              <w:t>u</w:t>
            </w:r>
            <w:r w:rsidR="00D47B9B" w:rsidRPr="00237760">
              <w:rPr>
                <w:rFonts w:ascii="Arial" w:hAnsi="Arial" w:cs="Arial"/>
                <w:color w:val="auto"/>
                <w:sz w:val="24"/>
                <w:szCs w:val="24"/>
              </w:rPr>
              <w:t xml:space="preserve"> egzaminowania z zakresu uprawnień ADR</w:t>
            </w:r>
            <w:r w:rsidRPr="00237760">
              <w:rPr>
                <w:rFonts w:ascii="Arial" w:hAnsi="Arial" w:cs="Arial"/>
                <w:color w:val="auto"/>
                <w:sz w:val="24"/>
                <w:szCs w:val="24"/>
              </w:rPr>
              <w:t>, wydawani</w:t>
            </w:r>
            <w:r w:rsidR="00560D22" w:rsidRPr="00237760">
              <w:rPr>
                <w:rFonts w:ascii="Arial" w:hAnsi="Arial" w:cs="Arial"/>
                <w:color w:val="auto"/>
                <w:sz w:val="24"/>
                <w:szCs w:val="24"/>
              </w:rPr>
              <w:t>e</w:t>
            </w:r>
            <w:r w:rsidRPr="00237760">
              <w:rPr>
                <w:rFonts w:ascii="Arial" w:hAnsi="Arial" w:cs="Arial"/>
                <w:color w:val="auto"/>
                <w:sz w:val="24"/>
                <w:szCs w:val="24"/>
              </w:rPr>
              <w:t xml:space="preserve"> zaświadczeń ADR i</w:t>
            </w:r>
            <w:r w:rsidR="00560D22" w:rsidRPr="00237760">
              <w:rPr>
                <w:rFonts w:ascii="Arial" w:hAnsi="Arial" w:cs="Arial"/>
                <w:color w:val="auto"/>
                <w:sz w:val="24"/>
                <w:szCs w:val="24"/>
              </w:rPr>
              <w:t xml:space="preserve"> prowadzenie ewidencji wydanych zaświadczeń</w:t>
            </w:r>
          </w:p>
        </w:tc>
        <w:tc>
          <w:tcPr>
            <w:tcW w:w="1701" w:type="dxa"/>
            <w:tcBorders>
              <w:top w:val="single" w:sz="4" w:space="0" w:color="BDD6EE" w:themeColor="accent1" w:themeTint="66"/>
              <w:left w:val="nil"/>
              <w:bottom w:val="single" w:sz="4" w:space="0" w:color="BDD6EE" w:themeColor="accent1" w:themeTint="66"/>
              <w:right w:val="nil"/>
            </w:tcBorders>
            <w:vAlign w:val="center"/>
          </w:tcPr>
          <w:p w14:paraId="0C5A8B25" w14:textId="0AA141DF" w:rsidR="001A6B0F" w:rsidRPr="00237760" w:rsidRDefault="00D47B9B" w:rsidP="009367B4">
            <w:pPr>
              <w:pStyle w:val="Akapitzlist"/>
              <w:numPr>
                <w:ilvl w:val="0"/>
                <w:numId w:val="0"/>
              </w:numPr>
              <w:spacing w:after="0"/>
              <w:ind w:left="77"/>
              <w:jc w:val="left"/>
              <w:rPr>
                <w:rFonts w:ascii="Arial" w:hAnsi="Arial" w:cs="Arial"/>
                <w:color w:val="auto"/>
                <w:sz w:val="24"/>
                <w:szCs w:val="24"/>
                <w:lang w:eastAsia="en-US"/>
              </w:rPr>
            </w:pPr>
            <w:r w:rsidRPr="00237760">
              <w:rPr>
                <w:rFonts w:ascii="Arial" w:hAnsi="Arial" w:cs="Arial"/>
                <w:color w:val="auto"/>
                <w:sz w:val="24"/>
                <w:szCs w:val="24"/>
                <w:lang w:eastAsia="en-US"/>
              </w:rPr>
              <w:t>Ustawa o przewozie towarów niebezpiecznych</w:t>
            </w:r>
          </w:p>
        </w:tc>
        <w:tc>
          <w:tcPr>
            <w:tcW w:w="1276" w:type="dxa"/>
            <w:tcBorders>
              <w:top w:val="single" w:sz="4" w:space="0" w:color="BDD6EE" w:themeColor="accent1" w:themeTint="66"/>
              <w:left w:val="nil"/>
              <w:bottom w:val="single" w:sz="4" w:space="0" w:color="BDD6EE" w:themeColor="accent1" w:themeTint="66"/>
              <w:right w:val="nil"/>
            </w:tcBorders>
            <w:vAlign w:val="center"/>
          </w:tcPr>
          <w:p w14:paraId="50430B76" w14:textId="754B2B08" w:rsidR="001A6B0F" w:rsidRPr="00237760" w:rsidRDefault="00D47B9B" w:rsidP="009367B4">
            <w:pPr>
              <w:spacing w:after="0" w:line="240" w:lineRule="auto"/>
              <w:contextualSpacing/>
              <w:jc w:val="left"/>
              <w:rPr>
                <w:rFonts w:ascii="Arial" w:hAnsi="Arial" w:cs="Arial"/>
                <w:b/>
                <w:color w:val="auto"/>
                <w:sz w:val="24"/>
                <w:szCs w:val="24"/>
              </w:rPr>
            </w:pPr>
            <w:r w:rsidRPr="00237760">
              <w:rPr>
                <w:rFonts w:ascii="Arial" w:hAnsi="Arial" w:cs="Arial"/>
                <w:b/>
                <w:color w:val="auto"/>
                <w:sz w:val="24"/>
                <w:szCs w:val="24"/>
              </w:rPr>
              <w:t>Brak</w:t>
            </w:r>
          </w:p>
        </w:tc>
        <w:tc>
          <w:tcPr>
            <w:tcW w:w="1994" w:type="dxa"/>
            <w:tcBorders>
              <w:top w:val="single" w:sz="4" w:space="0" w:color="BDD6EE" w:themeColor="accent1" w:themeTint="66"/>
              <w:left w:val="nil"/>
              <w:bottom w:val="single" w:sz="4" w:space="0" w:color="BDD6EE" w:themeColor="accent1" w:themeTint="66"/>
              <w:right w:val="nil"/>
            </w:tcBorders>
            <w:vAlign w:val="center"/>
          </w:tcPr>
          <w:p w14:paraId="0898CB8F" w14:textId="7D3CA501" w:rsidR="001A6B0F" w:rsidRPr="00237760" w:rsidRDefault="00D47B9B" w:rsidP="009367B4">
            <w:pPr>
              <w:spacing w:after="0" w:line="240" w:lineRule="auto"/>
              <w:contextualSpacing/>
              <w:jc w:val="left"/>
              <w:rPr>
                <w:rFonts w:ascii="Arial" w:hAnsi="Arial" w:cs="Arial"/>
                <w:color w:val="auto"/>
                <w:sz w:val="24"/>
                <w:szCs w:val="24"/>
              </w:rPr>
            </w:pPr>
            <w:r w:rsidRPr="00237760">
              <w:rPr>
                <w:rFonts w:ascii="Arial" w:hAnsi="Arial" w:cs="Arial"/>
                <w:bCs/>
                <w:color w:val="auto"/>
                <w:sz w:val="24"/>
                <w:szCs w:val="24"/>
              </w:rPr>
              <w:t>Nie dotyczy</w:t>
            </w:r>
          </w:p>
        </w:tc>
      </w:tr>
      <w:tr w:rsidR="00237760" w:rsidRPr="00237760" w14:paraId="7C12F6F1" w14:textId="77777777" w:rsidTr="00B32A20">
        <w:trPr>
          <w:trHeight w:val="14"/>
        </w:trPr>
        <w:tc>
          <w:tcPr>
            <w:tcW w:w="4258" w:type="dxa"/>
            <w:tcBorders>
              <w:top w:val="single" w:sz="4" w:space="0" w:color="BDD6EE" w:themeColor="accent1" w:themeTint="66"/>
              <w:left w:val="nil"/>
              <w:bottom w:val="single" w:sz="12" w:space="0" w:color="002060"/>
              <w:right w:val="nil"/>
            </w:tcBorders>
            <w:vAlign w:val="center"/>
          </w:tcPr>
          <w:p w14:paraId="095C717D" w14:textId="3F27647B" w:rsidR="001A6B0F" w:rsidRPr="00237760" w:rsidRDefault="008E0211"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Prowadzenie rejestru podmiotów prowadzących kursy: ADR, na ekspertów ADN, dla doradców</w:t>
            </w:r>
            <w:r w:rsidR="00787252" w:rsidRPr="00237760">
              <w:rPr>
                <w:rFonts w:ascii="Arial" w:hAnsi="Arial" w:cs="Arial"/>
                <w:color w:val="auto"/>
                <w:sz w:val="24"/>
                <w:szCs w:val="24"/>
              </w:rPr>
              <w:t xml:space="preserve"> oraz dokonywanie kontroli w zakresie</w:t>
            </w:r>
            <w:r w:rsidR="0091686B" w:rsidRPr="00237760">
              <w:rPr>
                <w:rFonts w:ascii="Arial" w:hAnsi="Arial" w:cs="Arial"/>
                <w:color w:val="auto"/>
                <w:sz w:val="24"/>
                <w:szCs w:val="24"/>
              </w:rPr>
              <w:t xml:space="preserve"> prowadzenia tych kursów</w:t>
            </w:r>
            <w:r w:rsidR="000A72E3" w:rsidRPr="00237760">
              <w:rPr>
                <w:rFonts w:ascii="Arial" w:hAnsi="Arial" w:cs="Arial"/>
                <w:color w:val="auto"/>
                <w:sz w:val="24"/>
                <w:szCs w:val="24"/>
              </w:rPr>
              <w:t xml:space="preserve"> </w:t>
            </w:r>
            <w:r w:rsidR="008D674B" w:rsidRPr="00237760">
              <w:rPr>
                <w:rFonts w:ascii="Arial" w:hAnsi="Arial" w:cs="Arial"/>
                <w:color w:val="auto"/>
                <w:sz w:val="24"/>
                <w:szCs w:val="24"/>
              </w:rPr>
              <w:t xml:space="preserve">(możliwość </w:t>
            </w:r>
            <w:r w:rsidR="00125CDA" w:rsidRPr="00237760">
              <w:rPr>
                <w:rFonts w:ascii="Arial" w:hAnsi="Arial" w:cs="Arial"/>
                <w:color w:val="auto"/>
                <w:sz w:val="24"/>
                <w:szCs w:val="24"/>
              </w:rPr>
              <w:t xml:space="preserve">nakładania kar pieniężnych i </w:t>
            </w:r>
            <w:r w:rsidR="008D674B" w:rsidRPr="00237760">
              <w:rPr>
                <w:rFonts w:ascii="Arial" w:hAnsi="Arial" w:cs="Arial"/>
                <w:color w:val="auto"/>
                <w:sz w:val="24"/>
                <w:szCs w:val="24"/>
              </w:rPr>
              <w:t>zakazania działalności)</w:t>
            </w:r>
          </w:p>
        </w:tc>
        <w:tc>
          <w:tcPr>
            <w:tcW w:w="1701" w:type="dxa"/>
            <w:tcBorders>
              <w:top w:val="single" w:sz="4" w:space="0" w:color="BDD6EE" w:themeColor="accent1" w:themeTint="66"/>
              <w:left w:val="nil"/>
              <w:bottom w:val="single" w:sz="12" w:space="0" w:color="002060"/>
              <w:right w:val="nil"/>
            </w:tcBorders>
            <w:vAlign w:val="center"/>
          </w:tcPr>
          <w:p w14:paraId="26B836B1" w14:textId="524A2BE7" w:rsidR="001A6B0F" w:rsidRPr="00237760" w:rsidRDefault="00EB3C2F" w:rsidP="009367B4">
            <w:pPr>
              <w:pStyle w:val="Akapitzlist"/>
              <w:numPr>
                <w:ilvl w:val="0"/>
                <w:numId w:val="0"/>
              </w:numPr>
              <w:spacing w:after="0"/>
              <w:ind w:left="77"/>
              <w:jc w:val="left"/>
              <w:rPr>
                <w:rFonts w:ascii="Arial" w:hAnsi="Arial" w:cs="Arial"/>
                <w:color w:val="auto"/>
                <w:sz w:val="24"/>
                <w:szCs w:val="24"/>
                <w:lang w:eastAsia="en-US"/>
              </w:rPr>
            </w:pPr>
            <w:r w:rsidRPr="00237760">
              <w:rPr>
                <w:rFonts w:ascii="Arial" w:hAnsi="Arial" w:cs="Arial"/>
                <w:color w:val="auto"/>
                <w:sz w:val="24"/>
                <w:szCs w:val="24"/>
                <w:lang w:eastAsia="en-US"/>
              </w:rPr>
              <w:t>Ustawa o przewozie towarów niebezpiecznych</w:t>
            </w:r>
          </w:p>
        </w:tc>
        <w:tc>
          <w:tcPr>
            <w:tcW w:w="1276" w:type="dxa"/>
            <w:tcBorders>
              <w:top w:val="single" w:sz="4" w:space="0" w:color="BDD6EE" w:themeColor="accent1" w:themeTint="66"/>
              <w:left w:val="nil"/>
              <w:bottom w:val="single" w:sz="12" w:space="0" w:color="002060"/>
              <w:right w:val="nil"/>
            </w:tcBorders>
            <w:vAlign w:val="center"/>
          </w:tcPr>
          <w:p w14:paraId="4A948DCB" w14:textId="566E5EFC" w:rsidR="001A6B0F" w:rsidRPr="00237760" w:rsidRDefault="00EB3C2F" w:rsidP="009367B4">
            <w:pPr>
              <w:spacing w:after="0" w:line="240" w:lineRule="auto"/>
              <w:contextualSpacing/>
              <w:jc w:val="left"/>
              <w:rPr>
                <w:rFonts w:ascii="Arial" w:hAnsi="Arial" w:cs="Arial"/>
                <w:b/>
                <w:color w:val="auto"/>
                <w:sz w:val="24"/>
                <w:szCs w:val="24"/>
              </w:rPr>
            </w:pPr>
            <w:r w:rsidRPr="00237760">
              <w:rPr>
                <w:rFonts w:ascii="Arial" w:hAnsi="Arial" w:cs="Arial"/>
                <w:b/>
                <w:color w:val="auto"/>
                <w:sz w:val="24"/>
                <w:szCs w:val="24"/>
              </w:rPr>
              <w:t>Brak</w:t>
            </w:r>
          </w:p>
        </w:tc>
        <w:tc>
          <w:tcPr>
            <w:tcW w:w="1994" w:type="dxa"/>
            <w:tcBorders>
              <w:top w:val="single" w:sz="4" w:space="0" w:color="BDD6EE" w:themeColor="accent1" w:themeTint="66"/>
              <w:left w:val="nil"/>
              <w:bottom w:val="single" w:sz="12" w:space="0" w:color="002060"/>
              <w:right w:val="nil"/>
            </w:tcBorders>
            <w:vAlign w:val="center"/>
          </w:tcPr>
          <w:p w14:paraId="0416DC6D" w14:textId="633ED72A" w:rsidR="001A6B0F" w:rsidRPr="00237760" w:rsidRDefault="00EB3C2F" w:rsidP="009367B4">
            <w:pPr>
              <w:spacing w:after="0" w:line="240" w:lineRule="auto"/>
              <w:contextualSpacing/>
              <w:jc w:val="left"/>
              <w:rPr>
                <w:rFonts w:ascii="Arial" w:hAnsi="Arial" w:cs="Arial"/>
                <w:color w:val="auto"/>
                <w:sz w:val="24"/>
                <w:szCs w:val="24"/>
              </w:rPr>
            </w:pPr>
            <w:r w:rsidRPr="00237760">
              <w:rPr>
                <w:rFonts w:ascii="Arial" w:hAnsi="Arial" w:cs="Arial"/>
                <w:bCs/>
                <w:color w:val="auto"/>
                <w:sz w:val="24"/>
                <w:szCs w:val="24"/>
              </w:rPr>
              <w:t>Nie dotyczy</w:t>
            </w:r>
          </w:p>
        </w:tc>
      </w:tr>
    </w:tbl>
    <w:p w14:paraId="1232569C" w14:textId="228359A3" w:rsidR="000B58FA" w:rsidRPr="00237760" w:rsidRDefault="000B58FA"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 xml:space="preserve">Źródło: opracowanie własne na podstawie PSRT WP oraz </w:t>
      </w:r>
      <w:r w:rsidR="00E12C7C" w:rsidRPr="00237760">
        <w:rPr>
          <w:rFonts w:ascii="Arial" w:hAnsi="Arial" w:cs="Arial"/>
          <w:color w:val="auto"/>
          <w:sz w:val="24"/>
          <w:szCs w:val="24"/>
          <w:lang w:eastAsia="pl-PL"/>
        </w:rPr>
        <w:t>stosownych ustaw.</w:t>
      </w:r>
    </w:p>
    <w:p w14:paraId="4F8D995E" w14:textId="147B59DA" w:rsidR="000B58FA" w:rsidRPr="00237760" w:rsidRDefault="00757023" w:rsidP="009367B4">
      <w:pPr>
        <w:jc w:val="left"/>
        <w:rPr>
          <w:rFonts w:ascii="Arial" w:hAnsi="Arial" w:cs="Arial"/>
          <w:color w:val="auto"/>
          <w:sz w:val="24"/>
          <w:szCs w:val="24"/>
        </w:rPr>
      </w:pPr>
      <w:r w:rsidRPr="00237760">
        <w:rPr>
          <w:rFonts w:ascii="Arial" w:hAnsi="Arial" w:cs="Arial"/>
          <w:color w:val="auto"/>
          <w:sz w:val="24"/>
          <w:szCs w:val="24"/>
        </w:rPr>
        <w:t>W przypadku tej analizy oceniano spójność z elementami nieobligatoryjnymi</w:t>
      </w:r>
      <w:r w:rsidR="009A4002" w:rsidRPr="00237760">
        <w:rPr>
          <w:rFonts w:ascii="Arial" w:hAnsi="Arial" w:cs="Arial"/>
          <w:color w:val="auto"/>
          <w:sz w:val="24"/>
          <w:szCs w:val="24"/>
        </w:rPr>
        <w:t xml:space="preserve"> (z prawnego punktu widzenia)</w:t>
      </w:r>
      <w:r w:rsidRPr="00237760">
        <w:rPr>
          <w:rFonts w:ascii="Arial" w:hAnsi="Arial" w:cs="Arial"/>
          <w:color w:val="auto"/>
          <w:sz w:val="24"/>
          <w:szCs w:val="24"/>
        </w:rPr>
        <w:t xml:space="preserve">, natomiast w </w:t>
      </w:r>
      <w:r w:rsidR="00FB3CF6" w:rsidRPr="00237760">
        <w:rPr>
          <w:rFonts w:ascii="Arial" w:hAnsi="Arial" w:cs="Arial"/>
          <w:color w:val="auto"/>
          <w:sz w:val="24"/>
          <w:szCs w:val="24"/>
        </w:rPr>
        <w:t>niektórych</w:t>
      </w:r>
      <w:r w:rsidRPr="00237760">
        <w:rPr>
          <w:rFonts w:ascii="Arial" w:hAnsi="Arial" w:cs="Arial"/>
          <w:color w:val="auto"/>
          <w:sz w:val="24"/>
          <w:szCs w:val="24"/>
        </w:rPr>
        <w:t xml:space="preserve"> przypadkach koniecznymi</w:t>
      </w:r>
      <w:r w:rsidR="00D75436" w:rsidRPr="00237760">
        <w:rPr>
          <w:rFonts w:ascii="Arial" w:hAnsi="Arial" w:cs="Arial"/>
          <w:color w:val="auto"/>
          <w:sz w:val="24"/>
          <w:szCs w:val="24"/>
        </w:rPr>
        <w:t xml:space="preserve"> do wzięcia pod uwagę </w:t>
      </w:r>
      <w:r w:rsidR="008101E5" w:rsidRPr="00237760">
        <w:rPr>
          <w:rFonts w:ascii="Arial" w:hAnsi="Arial" w:cs="Arial"/>
          <w:color w:val="auto"/>
          <w:sz w:val="24"/>
          <w:szCs w:val="24"/>
        </w:rPr>
        <w:t>w celu</w:t>
      </w:r>
      <w:r w:rsidR="004D249C" w:rsidRPr="00237760">
        <w:rPr>
          <w:rFonts w:ascii="Arial" w:hAnsi="Arial" w:cs="Arial"/>
          <w:color w:val="auto"/>
          <w:sz w:val="24"/>
          <w:szCs w:val="24"/>
        </w:rPr>
        <w:t xml:space="preserve"> przedstawienia i </w:t>
      </w:r>
      <w:r w:rsidR="00004F22" w:rsidRPr="00237760">
        <w:rPr>
          <w:rFonts w:ascii="Arial" w:hAnsi="Arial" w:cs="Arial"/>
          <w:color w:val="auto"/>
          <w:sz w:val="24"/>
          <w:szCs w:val="24"/>
        </w:rPr>
        <w:t xml:space="preserve">wdrażania </w:t>
      </w:r>
      <w:r w:rsidR="00D374C6" w:rsidRPr="00237760">
        <w:rPr>
          <w:rFonts w:ascii="Arial" w:hAnsi="Arial" w:cs="Arial"/>
          <w:color w:val="auto"/>
          <w:sz w:val="24"/>
          <w:szCs w:val="24"/>
        </w:rPr>
        <w:t>wizji funkcjonowania systemu transportowego w regionie.</w:t>
      </w:r>
      <w:r w:rsidR="002E653A" w:rsidRPr="00237760">
        <w:rPr>
          <w:rFonts w:ascii="Arial" w:hAnsi="Arial" w:cs="Arial"/>
          <w:color w:val="auto"/>
          <w:sz w:val="24"/>
          <w:szCs w:val="24"/>
        </w:rPr>
        <w:t xml:space="preserve"> </w:t>
      </w:r>
      <w:r w:rsidR="00F166F4" w:rsidRPr="00237760">
        <w:rPr>
          <w:rFonts w:ascii="Arial" w:hAnsi="Arial" w:cs="Arial"/>
          <w:color w:val="auto"/>
          <w:sz w:val="24"/>
          <w:szCs w:val="24"/>
        </w:rPr>
        <w:t xml:space="preserve">Większość </w:t>
      </w:r>
      <w:r w:rsidR="009A4002" w:rsidRPr="00237760">
        <w:rPr>
          <w:rFonts w:ascii="Arial" w:hAnsi="Arial" w:cs="Arial"/>
          <w:color w:val="auto"/>
          <w:sz w:val="24"/>
          <w:szCs w:val="24"/>
        </w:rPr>
        <w:t>przedstawionych</w:t>
      </w:r>
      <w:r w:rsidR="00F166F4" w:rsidRPr="00237760">
        <w:rPr>
          <w:rFonts w:ascii="Arial" w:hAnsi="Arial" w:cs="Arial"/>
          <w:color w:val="auto"/>
          <w:sz w:val="24"/>
          <w:szCs w:val="24"/>
        </w:rPr>
        <w:t xml:space="preserve"> zadań z zakresu tr</w:t>
      </w:r>
      <w:r w:rsidR="00A05D00" w:rsidRPr="00237760">
        <w:rPr>
          <w:rFonts w:ascii="Arial" w:hAnsi="Arial" w:cs="Arial"/>
          <w:color w:val="auto"/>
          <w:sz w:val="24"/>
          <w:szCs w:val="24"/>
        </w:rPr>
        <w:t>ansportu osób i towarów ma co najwyżej znikome znaczenie</w:t>
      </w:r>
      <w:r w:rsidR="0095205F" w:rsidRPr="00237760">
        <w:rPr>
          <w:rFonts w:ascii="Arial" w:hAnsi="Arial" w:cs="Arial"/>
          <w:color w:val="auto"/>
          <w:sz w:val="24"/>
          <w:szCs w:val="24"/>
        </w:rPr>
        <w:t xml:space="preserve"> w omawianym aspekcie</w:t>
      </w:r>
      <w:r w:rsidR="00A05D00" w:rsidRPr="00237760">
        <w:rPr>
          <w:rFonts w:ascii="Arial" w:hAnsi="Arial" w:cs="Arial"/>
          <w:color w:val="auto"/>
          <w:sz w:val="24"/>
          <w:szCs w:val="24"/>
        </w:rPr>
        <w:t xml:space="preserve">. </w:t>
      </w:r>
      <w:r w:rsidR="0015214A" w:rsidRPr="00237760">
        <w:rPr>
          <w:rFonts w:ascii="Arial" w:hAnsi="Arial" w:cs="Arial"/>
          <w:color w:val="auto"/>
          <w:sz w:val="24"/>
          <w:szCs w:val="24"/>
        </w:rPr>
        <w:t>Zadaniami o pierwsz</w:t>
      </w:r>
      <w:r w:rsidR="00311B9B" w:rsidRPr="00237760">
        <w:rPr>
          <w:rFonts w:ascii="Arial" w:hAnsi="Arial" w:cs="Arial"/>
          <w:color w:val="auto"/>
          <w:sz w:val="24"/>
          <w:szCs w:val="24"/>
        </w:rPr>
        <w:t>orzędn</w:t>
      </w:r>
      <w:r w:rsidR="00C720E8" w:rsidRPr="00237760">
        <w:rPr>
          <w:rFonts w:ascii="Arial" w:hAnsi="Arial" w:cs="Arial"/>
          <w:color w:val="auto"/>
          <w:sz w:val="24"/>
          <w:szCs w:val="24"/>
        </w:rPr>
        <w:t>ej</w:t>
      </w:r>
      <w:r w:rsidR="00D6124B" w:rsidRPr="00237760">
        <w:rPr>
          <w:rFonts w:ascii="Arial" w:hAnsi="Arial" w:cs="Arial"/>
          <w:color w:val="auto"/>
          <w:sz w:val="24"/>
          <w:szCs w:val="24"/>
        </w:rPr>
        <w:t xml:space="preserve"> </w:t>
      </w:r>
      <w:r w:rsidR="00DE5CBE" w:rsidRPr="00237760">
        <w:rPr>
          <w:rFonts w:ascii="Arial" w:hAnsi="Arial" w:cs="Arial"/>
          <w:color w:val="auto"/>
          <w:sz w:val="24"/>
          <w:szCs w:val="24"/>
        </w:rPr>
        <w:t>roli</w:t>
      </w:r>
      <w:r w:rsidR="00202F3E" w:rsidRPr="00237760">
        <w:rPr>
          <w:rFonts w:ascii="Arial" w:hAnsi="Arial" w:cs="Arial"/>
          <w:color w:val="auto"/>
          <w:sz w:val="24"/>
          <w:szCs w:val="24"/>
        </w:rPr>
        <w:t xml:space="preserve"> w </w:t>
      </w:r>
      <w:r w:rsidR="00DE5CBE" w:rsidRPr="00237760">
        <w:rPr>
          <w:rFonts w:ascii="Arial" w:hAnsi="Arial" w:cs="Arial"/>
          <w:color w:val="auto"/>
          <w:sz w:val="24"/>
          <w:szCs w:val="24"/>
        </w:rPr>
        <w:t>kontekście</w:t>
      </w:r>
      <w:r w:rsidR="00C55213" w:rsidRPr="00237760">
        <w:rPr>
          <w:rFonts w:ascii="Arial" w:hAnsi="Arial" w:cs="Arial"/>
          <w:color w:val="auto"/>
          <w:sz w:val="24"/>
          <w:szCs w:val="24"/>
        </w:rPr>
        <w:t xml:space="preserve"> </w:t>
      </w:r>
      <w:r w:rsidR="008F30E6" w:rsidRPr="00237760">
        <w:rPr>
          <w:rFonts w:ascii="Arial" w:hAnsi="Arial" w:cs="Arial"/>
          <w:color w:val="auto"/>
          <w:sz w:val="24"/>
          <w:szCs w:val="24"/>
        </w:rPr>
        <w:t xml:space="preserve">tworzenia </w:t>
      </w:r>
      <w:r w:rsidR="009A4002" w:rsidRPr="00237760">
        <w:rPr>
          <w:rFonts w:ascii="Arial" w:hAnsi="Arial" w:cs="Arial"/>
          <w:color w:val="auto"/>
          <w:sz w:val="24"/>
          <w:szCs w:val="24"/>
        </w:rPr>
        <w:t>i realizacji</w:t>
      </w:r>
      <w:r w:rsidR="008F30E6" w:rsidRPr="00237760">
        <w:rPr>
          <w:rFonts w:ascii="Arial" w:hAnsi="Arial" w:cs="Arial"/>
          <w:color w:val="auto"/>
          <w:sz w:val="24"/>
          <w:szCs w:val="24"/>
        </w:rPr>
        <w:t xml:space="preserve"> </w:t>
      </w:r>
      <w:r w:rsidR="0082003C" w:rsidRPr="00237760">
        <w:rPr>
          <w:rFonts w:ascii="Arial" w:hAnsi="Arial" w:cs="Arial"/>
          <w:color w:val="auto"/>
          <w:sz w:val="24"/>
          <w:szCs w:val="24"/>
        </w:rPr>
        <w:t>wojewódzki</w:t>
      </w:r>
      <w:r w:rsidR="008F30E6" w:rsidRPr="00237760">
        <w:rPr>
          <w:rFonts w:ascii="Arial" w:hAnsi="Arial" w:cs="Arial"/>
          <w:color w:val="auto"/>
          <w:sz w:val="24"/>
          <w:szCs w:val="24"/>
        </w:rPr>
        <w:t xml:space="preserve">ego </w:t>
      </w:r>
      <w:r w:rsidR="00605E11" w:rsidRPr="00237760">
        <w:rPr>
          <w:rFonts w:ascii="Arial" w:hAnsi="Arial" w:cs="Arial"/>
          <w:color w:val="auto"/>
          <w:sz w:val="24"/>
          <w:szCs w:val="24"/>
        </w:rPr>
        <w:t>program</w:t>
      </w:r>
      <w:r w:rsidR="008F30E6" w:rsidRPr="00237760">
        <w:rPr>
          <w:rFonts w:ascii="Arial" w:hAnsi="Arial" w:cs="Arial"/>
          <w:color w:val="auto"/>
          <w:sz w:val="24"/>
          <w:szCs w:val="24"/>
        </w:rPr>
        <w:t>u</w:t>
      </w:r>
      <w:r w:rsidR="00122DA9" w:rsidRPr="00237760">
        <w:rPr>
          <w:rFonts w:ascii="Arial" w:hAnsi="Arial" w:cs="Arial"/>
          <w:color w:val="auto"/>
          <w:sz w:val="24"/>
          <w:szCs w:val="24"/>
        </w:rPr>
        <w:t xml:space="preserve"> rozwoju </w:t>
      </w:r>
      <w:r w:rsidR="0082003C" w:rsidRPr="00237760">
        <w:rPr>
          <w:rFonts w:ascii="Arial" w:hAnsi="Arial" w:cs="Arial"/>
          <w:color w:val="auto"/>
          <w:sz w:val="24"/>
          <w:szCs w:val="24"/>
        </w:rPr>
        <w:t>transportu</w:t>
      </w:r>
      <w:r w:rsidR="00D6124B" w:rsidRPr="00237760">
        <w:rPr>
          <w:rFonts w:ascii="Arial" w:hAnsi="Arial" w:cs="Arial"/>
          <w:color w:val="auto"/>
          <w:sz w:val="24"/>
          <w:szCs w:val="24"/>
        </w:rPr>
        <w:t xml:space="preserve"> </w:t>
      </w:r>
      <w:r w:rsidR="0082003C" w:rsidRPr="00237760">
        <w:rPr>
          <w:rFonts w:ascii="Arial" w:hAnsi="Arial" w:cs="Arial"/>
          <w:color w:val="auto"/>
          <w:sz w:val="24"/>
          <w:szCs w:val="24"/>
        </w:rPr>
        <w:t xml:space="preserve">są te wskazane </w:t>
      </w:r>
      <w:r w:rsidR="00202F3E" w:rsidRPr="00237760">
        <w:rPr>
          <w:rFonts w:ascii="Arial" w:hAnsi="Arial" w:cs="Arial"/>
          <w:color w:val="auto"/>
          <w:sz w:val="24"/>
          <w:szCs w:val="24"/>
        </w:rPr>
        <w:t>w</w:t>
      </w:r>
      <w:r w:rsidR="0082003C" w:rsidRPr="00237760">
        <w:rPr>
          <w:rFonts w:ascii="Arial" w:hAnsi="Arial" w:cs="Arial"/>
          <w:color w:val="auto"/>
          <w:sz w:val="24"/>
          <w:szCs w:val="24"/>
        </w:rPr>
        <w:t xml:space="preserve"> </w:t>
      </w:r>
      <w:r w:rsidR="00202F3E" w:rsidRPr="00237760">
        <w:rPr>
          <w:rFonts w:ascii="Arial" w:hAnsi="Arial" w:cs="Arial"/>
          <w:color w:val="auto"/>
          <w:sz w:val="24"/>
          <w:szCs w:val="24"/>
        </w:rPr>
        <w:t>Ustaw</w:t>
      </w:r>
      <w:r w:rsidR="0082003C" w:rsidRPr="00237760">
        <w:rPr>
          <w:rFonts w:ascii="Arial" w:hAnsi="Arial" w:cs="Arial"/>
          <w:color w:val="auto"/>
          <w:sz w:val="24"/>
          <w:szCs w:val="24"/>
        </w:rPr>
        <w:t xml:space="preserve">ie </w:t>
      </w:r>
      <w:r w:rsidR="00202F3E" w:rsidRPr="00237760">
        <w:rPr>
          <w:rFonts w:ascii="Arial" w:hAnsi="Arial" w:cs="Arial"/>
          <w:color w:val="auto"/>
          <w:sz w:val="24"/>
          <w:szCs w:val="24"/>
        </w:rPr>
        <w:t>o finansowaniu infrastruktury transportu lądowego</w:t>
      </w:r>
      <w:r w:rsidR="00F166F4" w:rsidRPr="00237760">
        <w:rPr>
          <w:rFonts w:ascii="Arial" w:hAnsi="Arial" w:cs="Arial"/>
          <w:color w:val="auto"/>
          <w:sz w:val="24"/>
          <w:szCs w:val="24"/>
        </w:rPr>
        <w:t xml:space="preserve"> i Ustawie o publicznym transporcie zbiorowym</w:t>
      </w:r>
      <w:r w:rsidR="000521CE" w:rsidRPr="00237760">
        <w:rPr>
          <w:rFonts w:ascii="Arial" w:hAnsi="Arial" w:cs="Arial"/>
          <w:color w:val="auto"/>
          <w:sz w:val="24"/>
          <w:szCs w:val="24"/>
        </w:rPr>
        <w:t>, czyli związane z rozwojem</w:t>
      </w:r>
      <w:r w:rsidR="00E63DD3" w:rsidRPr="00237760">
        <w:rPr>
          <w:rFonts w:ascii="Arial" w:hAnsi="Arial" w:cs="Arial"/>
          <w:color w:val="auto"/>
          <w:sz w:val="24"/>
          <w:szCs w:val="24"/>
        </w:rPr>
        <w:t>:</w:t>
      </w:r>
      <w:r w:rsidR="000521CE" w:rsidRPr="00237760">
        <w:rPr>
          <w:rFonts w:ascii="Arial" w:hAnsi="Arial" w:cs="Arial"/>
          <w:color w:val="auto"/>
          <w:sz w:val="24"/>
          <w:szCs w:val="24"/>
        </w:rPr>
        <w:t xml:space="preserve"> dróg wojewódzkich </w:t>
      </w:r>
      <w:r w:rsidR="0095205F" w:rsidRPr="00237760">
        <w:rPr>
          <w:rFonts w:ascii="Arial" w:hAnsi="Arial" w:cs="Arial"/>
          <w:color w:val="auto"/>
          <w:sz w:val="24"/>
          <w:szCs w:val="24"/>
        </w:rPr>
        <w:t>oraz</w:t>
      </w:r>
      <w:r w:rsidR="000521CE" w:rsidRPr="00237760">
        <w:rPr>
          <w:rFonts w:ascii="Arial" w:hAnsi="Arial" w:cs="Arial"/>
          <w:color w:val="auto"/>
          <w:sz w:val="24"/>
          <w:szCs w:val="24"/>
        </w:rPr>
        <w:t xml:space="preserve"> regionalnych (i w mniejszym stopniu międzyregionalnych) przewozów pasażerskich</w:t>
      </w:r>
      <w:r w:rsidR="00C720E8" w:rsidRPr="00237760">
        <w:rPr>
          <w:rFonts w:ascii="Arial" w:hAnsi="Arial" w:cs="Arial"/>
          <w:color w:val="auto"/>
          <w:sz w:val="24"/>
          <w:szCs w:val="24"/>
        </w:rPr>
        <w:t>,</w:t>
      </w:r>
      <w:r w:rsidR="00F367FE" w:rsidRPr="00237760">
        <w:rPr>
          <w:rFonts w:ascii="Arial" w:hAnsi="Arial" w:cs="Arial"/>
          <w:color w:val="auto"/>
          <w:sz w:val="24"/>
          <w:szCs w:val="24"/>
        </w:rPr>
        <w:t xml:space="preserve"> </w:t>
      </w:r>
      <w:r w:rsidR="00C720E8" w:rsidRPr="00237760">
        <w:rPr>
          <w:rFonts w:ascii="Arial" w:hAnsi="Arial" w:cs="Arial"/>
          <w:color w:val="auto"/>
          <w:sz w:val="24"/>
          <w:szCs w:val="24"/>
        </w:rPr>
        <w:t xml:space="preserve">które </w:t>
      </w:r>
      <w:r w:rsidR="00F367FE" w:rsidRPr="00237760">
        <w:rPr>
          <w:rFonts w:ascii="Arial" w:hAnsi="Arial" w:cs="Arial"/>
          <w:color w:val="auto"/>
          <w:sz w:val="24"/>
          <w:szCs w:val="24"/>
        </w:rPr>
        <w:t>ograniczają się w praktyce do transportu kolejowego.</w:t>
      </w:r>
    </w:p>
    <w:p w14:paraId="40A356D9" w14:textId="65A66145" w:rsidR="002D23C3" w:rsidRPr="00237760" w:rsidRDefault="002D23C3" w:rsidP="009367B4">
      <w:pPr>
        <w:jc w:val="left"/>
        <w:rPr>
          <w:rFonts w:ascii="Arial" w:hAnsi="Arial" w:cs="Arial"/>
          <w:color w:val="auto"/>
          <w:sz w:val="24"/>
          <w:szCs w:val="24"/>
        </w:rPr>
      </w:pPr>
      <w:r w:rsidRPr="00237760">
        <w:rPr>
          <w:rFonts w:ascii="Arial" w:hAnsi="Arial" w:cs="Arial"/>
          <w:color w:val="auto"/>
          <w:sz w:val="24"/>
          <w:szCs w:val="24"/>
        </w:rPr>
        <w:t xml:space="preserve">Kompleksowe, bo wykraczające poza własne kompetencje, podejście autorów PSRT WP uznać należy </w:t>
      </w:r>
      <w:r w:rsidR="006219D4" w:rsidRPr="00237760">
        <w:rPr>
          <w:rFonts w:ascii="Arial" w:hAnsi="Arial" w:cs="Arial"/>
          <w:color w:val="auto"/>
          <w:sz w:val="24"/>
          <w:szCs w:val="24"/>
        </w:rPr>
        <w:t>za</w:t>
      </w:r>
      <w:r w:rsidRPr="00237760">
        <w:rPr>
          <w:rFonts w:ascii="Arial" w:hAnsi="Arial" w:cs="Arial"/>
          <w:color w:val="auto"/>
          <w:sz w:val="24"/>
          <w:szCs w:val="24"/>
        </w:rPr>
        <w:t xml:space="preserve"> przejaw</w:t>
      </w:r>
      <w:r w:rsidR="003D21AE" w:rsidRPr="00237760">
        <w:rPr>
          <w:rFonts w:ascii="Arial" w:hAnsi="Arial" w:cs="Arial"/>
          <w:color w:val="auto"/>
          <w:sz w:val="24"/>
          <w:szCs w:val="24"/>
        </w:rPr>
        <w:t xml:space="preserve"> rozsądnego, całościowego</w:t>
      </w:r>
      <w:r w:rsidRPr="00237760">
        <w:rPr>
          <w:rFonts w:ascii="Arial" w:hAnsi="Arial" w:cs="Arial"/>
          <w:color w:val="auto"/>
          <w:sz w:val="24"/>
          <w:szCs w:val="24"/>
        </w:rPr>
        <w:t xml:space="preserve"> </w:t>
      </w:r>
      <w:r w:rsidR="006219D4" w:rsidRPr="00237760">
        <w:rPr>
          <w:rFonts w:ascii="Arial" w:hAnsi="Arial" w:cs="Arial"/>
          <w:color w:val="auto"/>
          <w:sz w:val="24"/>
          <w:szCs w:val="24"/>
        </w:rPr>
        <w:t>spojrzenia na system transportowy</w:t>
      </w:r>
      <w:r w:rsidR="003D21AE" w:rsidRPr="00237760">
        <w:rPr>
          <w:rFonts w:ascii="Arial" w:hAnsi="Arial" w:cs="Arial"/>
          <w:color w:val="auto"/>
          <w:sz w:val="24"/>
          <w:szCs w:val="24"/>
        </w:rPr>
        <w:t xml:space="preserve">. </w:t>
      </w:r>
    </w:p>
    <w:p w14:paraId="70BABF53" w14:textId="4CCD0793" w:rsidR="0038257B" w:rsidRPr="00237760" w:rsidRDefault="0038257B" w:rsidP="009367B4">
      <w:pPr>
        <w:pStyle w:val="Nagwek3"/>
        <w:rPr>
          <w:rFonts w:ascii="Arial" w:hAnsi="Arial" w:cs="Arial"/>
          <w:color w:val="auto"/>
          <w:sz w:val="24"/>
          <w:szCs w:val="24"/>
        </w:rPr>
      </w:pPr>
      <w:bookmarkStart w:id="179" w:name="_Toc101904139"/>
      <w:r w:rsidRPr="00237760">
        <w:rPr>
          <w:rFonts w:ascii="Arial" w:hAnsi="Arial" w:cs="Arial"/>
          <w:color w:val="auto"/>
          <w:sz w:val="24"/>
          <w:szCs w:val="24"/>
        </w:rPr>
        <w:t xml:space="preserve">Zgodność z wytycznymi JASPERS </w:t>
      </w:r>
      <w:r w:rsidR="006875F0" w:rsidRPr="00237760">
        <w:rPr>
          <w:rFonts w:ascii="Arial" w:hAnsi="Arial" w:cs="Arial"/>
          <w:color w:val="auto"/>
          <w:sz w:val="24"/>
          <w:szCs w:val="24"/>
        </w:rPr>
        <w:t xml:space="preserve">dla </w:t>
      </w:r>
      <w:r w:rsidR="00935C6B" w:rsidRPr="00237760">
        <w:rPr>
          <w:rFonts w:ascii="Arial" w:hAnsi="Arial" w:cs="Arial"/>
          <w:color w:val="auto"/>
          <w:sz w:val="24"/>
          <w:szCs w:val="24"/>
        </w:rPr>
        <w:t xml:space="preserve">metodyki </w:t>
      </w:r>
      <w:r w:rsidRPr="00237760">
        <w:rPr>
          <w:rFonts w:ascii="Arial" w:hAnsi="Arial" w:cs="Arial"/>
          <w:color w:val="auto"/>
          <w:sz w:val="24"/>
          <w:szCs w:val="24"/>
        </w:rPr>
        <w:t>opracowania regionalnych planów transportowych</w:t>
      </w:r>
      <w:bookmarkEnd w:id="179"/>
    </w:p>
    <w:p w14:paraId="73D46D7B" w14:textId="382885F0" w:rsidR="00D624E4" w:rsidRPr="00237760" w:rsidRDefault="00D624E4"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 xml:space="preserve">W celu </w:t>
      </w:r>
      <w:r w:rsidR="00FE389B" w:rsidRPr="00237760">
        <w:rPr>
          <w:rFonts w:ascii="Arial" w:hAnsi="Arial" w:cs="Arial"/>
          <w:color w:val="auto"/>
          <w:sz w:val="24"/>
          <w:szCs w:val="24"/>
          <w:lang w:eastAsia="pl-PL"/>
        </w:rPr>
        <w:t xml:space="preserve">ujednolicenia metodycznego oraz </w:t>
      </w:r>
      <w:r w:rsidR="00B06200" w:rsidRPr="00237760">
        <w:rPr>
          <w:rFonts w:ascii="Arial" w:hAnsi="Arial" w:cs="Arial"/>
          <w:color w:val="auto"/>
          <w:sz w:val="24"/>
          <w:szCs w:val="24"/>
          <w:lang w:eastAsia="pl-PL"/>
        </w:rPr>
        <w:t xml:space="preserve">zapewnienia wysokiej jakości </w:t>
      </w:r>
      <w:r w:rsidR="00AC5811" w:rsidRPr="00237760">
        <w:rPr>
          <w:rFonts w:ascii="Arial" w:hAnsi="Arial" w:cs="Arial"/>
          <w:color w:val="auto"/>
          <w:sz w:val="24"/>
          <w:szCs w:val="24"/>
          <w:lang w:eastAsia="pl-PL"/>
        </w:rPr>
        <w:t xml:space="preserve">regionalnych planów transportowych JASPERS przygotowało </w:t>
      </w:r>
      <w:r w:rsidR="00F45F61" w:rsidRPr="00237760">
        <w:rPr>
          <w:rFonts w:ascii="Arial" w:hAnsi="Arial" w:cs="Arial"/>
          <w:color w:val="auto"/>
          <w:sz w:val="24"/>
          <w:szCs w:val="24"/>
          <w:lang w:eastAsia="pl-PL"/>
        </w:rPr>
        <w:t>wytyczne wskazujące najlepsze praktyki</w:t>
      </w:r>
      <w:r w:rsidR="00EF69AB" w:rsidRPr="00237760">
        <w:rPr>
          <w:rFonts w:ascii="Arial" w:hAnsi="Arial" w:cs="Arial"/>
          <w:color w:val="auto"/>
          <w:sz w:val="24"/>
          <w:szCs w:val="24"/>
          <w:lang w:eastAsia="pl-PL"/>
        </w:rPr>
        <w:t xml:space="preserve"> w zakresie ich opracowywania</w:t>
      </w:r>
      <w:r w:rsidR="00D70FAB" w:rsidRPr="00237760">
        <w:rPr>
          <w:rFonts w:ascii="Arial" w:hAnsi="Arial" w:cs="Arial"/>
          <w:color w:val="auto"/>
          <w:sz w:val="24"/>
          <w:szCs w:val="24"/>
          <w:lang w:eastAsia="pl-PL"/>
        </w:rPr>
        <w:t xml:space="preserve"> (</w:t>
      </w:r>
      <w:r w:rsidR="00D70FAB" w:rsidRPr="00237760">
        <w:rPr>
          <w:rFonts w:ascii="Arial" w:hAnsi="Arial" w:cs="Arial"/>
          <w:color w:val="auto"/>
          <w:sz w:val="24"/>
          <w:szCs w:val="24"/>
          <w:lang w:eastAsia="pl-PL"/>
        </w:rPr>
        <w:fldChar w:fldCharType="begin"/>
      </w:r>
      <w:r w:rsidR="00D70FAB" w:rsidRPr="00237760">
        <w:rPr>
          <w:rFonts w:ascii="Arial" w:hAnsi="Arial" w:cs="Arial"/>
          <w:color w:val="auto"/>
          <w:sz w:val="24"/>
          <w:szCs w:val="24"/>
          <w:lang w:eastAsia="pl-PL"/>
        </w:rPr>
        <w:instrText xml:space="preserve"> REF _Ref100081377 \h  \* MERGEFORMAT </w:instrText>
      </w:r>
      <w:r w:rsidR="00D70FAB" w:rsidRPr="00237760">
        <w:rPr>
          <w:rFonts w:ascii="Arial" w:hAnsi="Arial" w:cs="Arial"/>
          <w:color w:val="auto"/>
          <w:sz w:val="24"/>
          <w:szCs w:val="24"/>
          <w:lang w:eastAsia="pl-PL"/>
        </w:rPr>
      </w:r>
      <w:r w:rsidR="00D70FAB" w:rsidRPr="00237760">
        <w:rPr>
          <w:rFonts w:ascii="Arial" w:hAnsi="Arial" w:cs="Arial"/>
          <w:color w:val="auto"/>
          <w:sz w:val="24"/>
          <w:szCs w:val="24"/>
          <w:lang w:eastAsia="pl-PL"/>
        </w:rPr>
        <w:fldChar w:fldCharType="separate"/>
      </w:r>
      <w:r w:rsidR="00E52C19" w:rsidRPr="00237760">
        <w:rPr>
          <w:rFonts w:ascii="Arial" w:hAnsi="Arial" w:cs="Arial"/>
          <w:bCs/>
          <w:color w:val="auto"/>
          <w:sz w:val="24"/>
          <w:szCs w:val="24"/>
          <w:lang w:eastAsia="pl-PL"/>
        </w:rPr>
        <w:t xml:space="preserve">Tabela </w:t>
      </w:r>
      <w:r w:rsidR="00E52C19" w:rsidRPr="00237760">
        <w:rPr>
          <w:rFonts w:ascii="Arial" w:hAnsi="Arial" w:cs="Arial"/>
          <w:bCs/>
          <w:noProof/>
          <w:color w:val="auto"/>
          <w:sz w:val="24"/>
          <w:szCs w:val="24"/>
          <w:lang w:eastAsia="pl-PL"/>
        </w:rPr>
        <w:t>22</w:t>
      </w:r>
      <w:r w:rsidR="00D70FAB" w:rsidRPr="00237760">
        <w:rPr>
          <w:rFonts w:ascii="Arial" w:hAnsi="Arial" w:cs="Arial"/>
          <w:color w:val="auto"/>
          <w:sz w:val="24"/>
          <w:szCs w:val="24"/>
          <w:lang w:eastAsia="pl-PL"/>
        </w:rPr>
        <w:fldChar w:fldCharType="end"/>
      </w:r>
      <w:r w:rsidR="00D70FAB" w:rsidRPr="00237760">
        <w:rPr>
          <w:rFonts w:ascii="Arial" w:hAnsi="Arial" w:cs="Arial"/>
          <w:color w:val="auto"/>
          <w:sz w:val="24"/>
          <w:szCs w:val="24"/>
          <w:lang w:eastAsia="pl-PL"/>
        </w:rPr>
        <w:t>).</w:t>
      </w:r>
    </w:p>
    <w:p w14:paraId="4E4533AE" w14:textId="252EAF3B" w:rsidR="00FD6B84" w:rsidRPr="00237760" w:rsidRDefault="00FD6B84" w:rsidP="009367B4">
      <w:pPr>
        <w:pStyle w:val="Legenda"/>
        <w:jc w:val="left"/>
        <w:rPr>
          <w:rFonts w:ascii="Arial" w:hAnsi="Arial" w:cs="Arial"/>
          <w:color w:val="auto"/>
          <w:sz w:val="24"/>
          <w:szCs w:val="24"/>
        </w:rPr>
      </w:pPr>
      <w:bookmarkStart w:id="180" w:name="_Ref100081377"/>
      <w:bookmarkStart w:id="181" w:name="_Toc101904263"/>
      <w:r w:rsidRPr="00237760">
        <w:rPr>
          <w:rFonts w:ascii="Arial" w:hAnsi="Arial" w:cs="Arial"/>
          <w:color w:val="auto"/>
          <w:sz w:val="24"/>
          <w:szCs w:val="24"/>
        </w:rPr>
        <w:t xml:space="preserve">Tabela </w:t>
      </w:r>
      <w:r w:rsidR="00F64FED" w:rsidRPr="00237760">
        <w:rPr>
          <w:rFonts w:ascii="Arial" w:hAnsi="Arial" w:cs="Arial"/>
          <w:noProof/>
          <w:color w:val="auto"/>
          <w:sz w:val="24"/>
          <w:szCs w:val="24"/>
        </w:rPr>
        <w:fldChar w:fldCharType="begin"/>
      </w:r>
      <w:r w:rsidR="00F64FED" w:rsidRPr="00237760">
        <w:rPr>
          <w:rFonts w:ascii="Arial" w:hAnsi="Arial" w:cs="Arial"/>
          <w:noProof/>
          <w:color w:val="auto"/>
          <w:sz w:val="24"/>
          <w:szCs w:val="24"/>
        </w:rPr>
        <w:instrText xml:space="preserve"> SEQ Tabela \* ARABIC </w:instrText>
      </w:r>
      <w:r w:rsidR="00F64FED" w:rsidRPr="00237760">
        <w:rPr>
          <w:rFonts w:ascii="Arial" w:hAnsi="Arial" w:cs="Arial"/>
          <w:noProof/>
          <w:color w:val="auto"/>
          <w:sz w:val="24"/>
          <w:szCs w:val="24"/>
        </w:rPr>
        <w:fldChar w:fldCharType="separate"/>
      </w:r>
      <w:r w:rsidR="00762B20" w:rsidRPr="00237760">
        <w:rPr>
          <w:rFonts w:ascii="Arial" w:hAnsi="Arial" w:cs="Arial"/>
          <w:noProof/>
          <w:color w:val="auto"/>
          <w:sz w:val="24"/>
          <w:szCs w:val="24"/>
        </w:rPr>
        <w:t>22</w:t>
      </w:r>
      <w:r w:rsidR="00F64FED" w:rsidRPr="00237760">
        <w:rPr>
          <w:rFonts w:ascii="Arial" w:hAnsi="Arial" w:cs="Arial"/>
          <w:noProof/>
          <w:color w:val="auto"/>
          <w:sz w:val="24"/>
          <w:szCs w:val="24"/>
        </w:rPr>
        <w:fldChar w:fldCharType="end"/>
      </w:r>
      <w:bookmarkEnd w:id="180"/>
      <w:r w:rsidRPr="00237760">
        <w:rPr>
          <w:rFonts w:ascii="Arial" w:hAnsi="Arial" w:cs="Arial"/>
          <w:color w:val="auto"/>
          <w:sz w:val="24"/>
          <w:szCs w:val="24"/>
        </w:rPr>
        <w:t>. Ocena zgodności PSRT WP z wytycznymi</w:t>
      </w:r>
      <w:r w:rsidR="00D624E4" w:rsidRPr="00237760">
        <w:rPr>
          <w:rFonts w:ascii="Arial" w:hAnsi="Arial" w:cs="Arial"/>
          <w:color w:val="auto"/>
          <w:sz w:val="24"/>
          <w:szCs w:val="24"/>
        </w:rPr>
        <w:t xml:space="preserve"> dotyczącymi najlepszych praktyk w zakresie </w:t>
      </w:r>
      <w:r w:rsidR="004B3BB3" w:rsidRPr="00237760">
        <w:rPr>
          <w:rFonts w:ascii="Arial" w:hAnsi="Arial" w:cs="Arial"/>
          <w:color w:val="auto"/>
          <w:sz w:val="24"/>
          <w:szCs w:val="24"/>
        </w:rPr>
        <w:t xml:space="preserve">metodyki opracowywania </w:t>
      </w:r>
      <w:r w:rsidR="00D624E4" w:rsidRPr="00237760">
        <w:rPr>
          <w:rFonts w:ascii="Arial" w:hAnsi="Arial" w:cs="Arial"/>
          <w:color w:val="auto"/>
          <w:sz w:val="24"/>
          <w:szCs w:val="24"/>
        </w:rPr>
        <w:t>regionalnych planów transportowych</w:t>
      </w:r>
      <w:bookmarkEnd w:id="181"/>
    </w:p>
    <w:tbl>
      <w:tblPr>
        <w:tblStyle w:val="Tabela-Siatka"/>
        <w:tblW w:w="8936" w:type="dxa"/>
        <w:tblInd w:w="-5"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28" w:type="dxa"/>
          <w:right w:w="28" w:type="dxa"/>
        </w:tblCellMar>
        <w:tblLook w:val="04A0" w:firstRow="1" w:lastRow="0" w:firstColumn="1" w:lastColumn="0" w:noHBand="0" w:noVBand="1"/>
        <w:tblCaption w:val="Tabela 22. Ocena zgodności PSRT WP z wytycznymi dotyczącymi najlepszych praktyk w zakresie metodyki opracowywania regionalnych planów transportowych"/>
        <w:tblDescription w:val="Tabela zawiera Wytyczne JASPERS, Komentarz (realizacja wytycznych przez PSRT WP), Zgodność"/>
      </w:tblPr>
      <w:tblGrid>
        <w:gridCol w:w="1706"/>
        <w:gridCol w:w="5812"/>
        <w:gridCol w:w="1418"/>
      </w:tblGrid>
      <w:tr w:rsidR="00237760" w:rsidRPr="00237760" w14:paraId="51BEDEEE" w14:textId="77777777" w:rsidTr="002350B5">
        <w:trPr>
          <w:trHeight w:val="195"/>
          <w:tblHeader/>
        </w:trPr>
        <w:tc>
          <w:tcPr>
            <w:tcW w:w="1706" w:type="dxa"/>
            <w:tcBorders>
              <w:top w:val="single" w:sz="12" w:space="0" w:color="002060"/>
              <w:left w:val="nil"/>
              <w:bottom w:val="single" w:sz="4" w:space="0" w:color="BDD6EE" w:themeColor="accent1" w:themeTint="66"/>
              <w:right w:val="nil"/>
            </w:tcBorders>
            <w:shd w:val="clear" w:color="auto" w:fill="auto"/>
            <w:vAlign w:val="center"/>
            <w:hideMark/>
          </w:tcPr>
          <w:p w14:paraId="4FDC70C1" w14:textId="45975A4B" w:rsidR="00FD6B84" w:rsidRPr="00237760" w:rsidRDefault="00C74610" w:rsidP="009367B4">
            <w:pPr>
              <w:spacing w:after="0"/>
              <w:jc w:val="left"/>
              <w:rPr>
                <w:rFonts w:ascii="Arial" w:hAnsi="Arial" w:cs="Arial"/>
                <w:b/>
                <w:color w:val="auto"/>
                <w:sz w:val="24"/>
                <w:szCs w:val="24"/>
              </w:rPr>
            </w:pPr>
            <w:r w:rsidRPr="00237760">
              <w:rPr>
                <w:rFonts w:ascii="Arial" w:hAnsi="Arial" w:cs="Arial"/>
                <w:b/>
                <w:color w:val="auto"/>
                <w:sz w:val="24"/>
                <w:szCs w:val="24"/>
              </w:rPr>
              <w:lastRenderedPageBreak/>
              <w:t>Wytyczne</w:t>
            </w:r>
            <w:r w:rsidR="00FD6B84" w:rsidRPr="00237760">
              <w:rPr>
                <w:rFonts w:ascii="Arial" w:hAnsi="Arial" w:cs="Arial"/>
                <w:b/>
                <w:color w:val="auto"/>
                <w:sz w:val="24"/>
                <w:szCs w:val="24"/>
              </w:rPr>
              <w:t xml:space="preserve"> </w:t>
            </w:r>
            <w:r w:rsidRPr="00237760">
              <w:rPr>
                <w:rFonts w:ascii="Arial" w:hAnsi="Arial" w:cs="Arial"/>
                <w:b/>
                <w:color w:val="auto"/>
                <w:sz w:val="24"/>
                <w:szCs w:val="24"/>
              </w:rPr>
              <w:t>JASPERS</w:t>
            </w:r>
          </w:p>
        </w:tc>
        <w:tc>
          <w:tcPr>
            <w:tcW w:w="5812" w:type="dxa"/>
            <w:tcBorders>
              <w:top w:val="single" w:sz="12" w:space="0" w:color="002060"/>
              <w:left w:val="nil"/>
              <w:bottom w:val="single" w:sz="4" w:space="0" w:color="BDD6EE" w:themeColor="accent1" w:themeTint="66"/>
              <w:right w:val="nil"/>
            </w:tcBorders>
            <w:shd w:val="clear" w:color="auto" w:fill="auto"/>
            <w:vAlign w:val="center"/>
            <w:hideMark/>
          </w:tcPr>
          <w:p w14:paraId="56DE6E15" w14:textId="69D7D641" w:rsidR="00FD6B84" w:rsidRPr="00237760" w:rsidRDefault="00FD6B84" w:rsidP="009367B4">
            <w:pPr>
              <w:spacing w:after="0"/>
              <w:jc w:val="left"/>
              <w:rPr>
                <w:rFonts w:ascii="Arial" w:hAnsi="Arial" w:cs="Arial"/>
                <w:b/>
                <w:color w:val="auto"/>
                <w:sz w:val="24"/>
                <w:szCs w:val="24"/>
              </w:rPr>
            </w:pPr>
            <w:r w:rsidRPr="00237760">
              <w:rPr>
                <w:rFonts w:ascii="Arial" w:hAnsi="Arial" w:cs="Arial"/>
                <w:b/>
                <w:color w:val="auto"/>
                <w:sz w:val="24"/>
                <w:szCs w:val="24"/>
              </w:rPr>
              <w:t>Komentarz (</w:t>
            </w:r>
            <w:r w:rsidR="0047175C" w:rsidRPr="00237760">
              <w:rPr>
                <w:rFonts w:ascii="Arial" w:hAnsi="Arial" w:cs="Arial"/>
                <w:b/>
                <w:color w:val="auto"/>
                <w:sz w:val="24"/>
                <w:szCs w:val="24"/>
              </w:rPr>
              <w:t>realiz</w:t>
            </w:r>
            <w:r w:rsidR="006D54D2" w:rsidRPr="00237760">
              <w:rPr>
                <w:rFonts w:ascii="Arial" w:hAnsi="Arial" w:cs="Arial"/>
                <w:b/>
                <w:color w:val="auto"/>
                <w:sz w:val="24"/>
                <w:szCs w:val="24"/>
              </w:rPr>
              <w:t>acja wytycznych przez</w:t>
            </w:r>
            <w:r w:rsidRPr="00237760">
              <w:rPr>
                <w:rFonts w:ascii="Arial" w:hAnsi="Arial" w:cs="Arial"/>
                <w:b/>
                <w:color w:val="auto"/>
                <w:sz w:val="24"/>
                <w:szCs w:val="24"/>
              </w:rPr>
              <w:t xml:space="preserve"> PSRT WP)</w:t>
            </w:r>
          </w:p>
        </w:tc>
        <w:tc>
          <w:tcPr>
            <w:tcW w:w="1418" w:type="dxa"/>
            <w:tcBorders>
              <w:top w:val="single" w:sz="12" w:space="0" w:color="002060"/>
              <w:left w:val="nil"/>
              <w:bottom w:val="single" w:sz="4" w:space="0" w:color="BDD6EE" w:themeColor="accent1" w:themeTint="66"/>
              <w:right w:val="nil"/>
            </w:tcBorders>
            <w:shd w:val="clear" w:color="auto" w:fill="auto"/>
            <w:vAlign w:val="center"/>
          </w:tcPr>
          <w:p w14:paraId="2E3210E5" w14:textId="77777777" w:rsidR="00FD6B84" w:rsidRPr="00237760" w:rsidRDefault="00FD6B84" w:rsidP="009367B4">
            <w:pPr>
              <w:spacing w:after="0"/>
              <w:jc w:val="left"/>
              <w:rPr>
                <w:rFonts w:ascii="Arial" w:hAnsi="Arial" w:cs="Arial"/>
                <w:b/>
                <w:color w:val="auto"/>
                <w:sz w:val="24"/>
                <w:szCs w:val="24"/>
              </w:rPr>
            </w:pPr>
            <w:r w:rsidRPr="00237760">
              <w:rPr>
                <w:rFonts w:ascii="Arial" w:hAnsi="Arial" w:cs="Arial"/>
                <w:b/>
                <w:color w:val="auto"/>
                <w:sz w:val="24"/>
                <w:szCs w:val="24"/>
              </w:rPr>
              <w:t>Zgodność</w:t>
            </w:r>
          </w:p>
        </w:tc>
      </w:tr>
      <w:tr w:rsidR="00237760" w:rsidRPr="00237760" w14:paraId="6B78F584" w14:textId="77777777" w:rsidTr="005067E3">
        <w:trPr>
          <w:trHeight w:val="105"/>
        </w:trPr>
        <w:tc>
          <w:tcPr>
            <w:tcW w:w="8936" w:type="dxa"/>
            <w:gridSpan w:val="3"/>
            <w:tcBorders>
              <w:top w:val="nil"/>
              <w:left w:val="nil"/>
              <w:bottom w:val="single" w:sz="4" w:space="0" w:color="BDD6EE" w:themeColor="accent1" w:themeTint="66"/>
              <w:right w:val="nil"/>
            </w:tcBorders>
            <w:shd w:val="clear" w:color="auto" w:fill="auto"/>
            <w:vAlign w:val="center"/>
          </w:tcPr>
          <w:p w14:paraId="69793F29" w14:textId="75CD3933" w:rsidR="00C37C72" w:rsidRPr="00237760" w:rsidRDefault="008E3A04" w:rsidP="009367B4">
            <w:pPr>
              <w:spacing w:after="0"/>
              <w:jc w:val="left"/>
              <w:rPr>
                <w:rFonts w:ascii="Arial" w:hAnsi="Arial" w:cs="Arial"/>
                <w:b/>
                <w:color w:val="auto"/>
                <w:sz w:val="24"/>
                <w:szCs w:val="24"/>
              </w:rPr>
            </w:pPr>
            <w:r w:rsidRPr="00237760">
              <w:rPr>
                <w:rFonts w:ascii="Arial" w:hAnsi="Arial" w:cs="Arial"/>
                <w:b/>
                <w:color w:val="auto"/>
                <w:sz w:val="24"/>
                <w:szCs w:val="24"/>
              </w:rPr>
              <w:t>Zasady skutecznego planowania transportu na poziomie regionalnym:</w:t>
            </w:r>
          </w:p>
        </w:tc>
      </w:tr>
      <w:tr w:rsidR="00237760" w:rsidRPr="00237760" w14:paraId="59683F1A" w14:textId="77777777" w:rsidTr="00B32A20">
        <w:trPr>
          <w:trHeight w:val="151"/>
        </w:trPr>
        <w:tc>
          <w:tcPr>
            <w:tcW w:w="1706" w:type="dxa"/>
            <w:tcBorders>
              <w:top w:val="single" w:sz="4" w:space="0" w:color="BDD6EE" w:themeColor="accent1" w:themeTint="66"/>
              <w:left w:val="nil"/>
              <w:bottom w:val="single" w:sz="4" w:space="0" w:color="BDD6EE" w:themeColor="accent1" w:themeTint="66"/>
              <w:right w:val="nil"/>
            </w:tcBorders>
            <w:vAlign w:val="center"/>
          </w:tcPr>
          <w:p w14:paraId="227B4414" w14:textId="3C94CD17" w:rsidR="00FD6B84" w:rsidRPr="00237760" w:rsidRDefault="00317B68"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Kompleksowe podejście do pla</w:t>
            </w:r>
            <w:r w:rsidR="0070514C" w:rsidRPr="00237760">
              <w:rPr>
                <w:rFonts w:ascii="Arial" w:hAnsi="Arial" w:cs="Arial"/>
                <w:color w:val="auto"/>
                <w:sz w:val="24"/>
                <w:szCs w:val="24"/>
              </w:rPr>
              <w:t>nu</w:t>
            </w:r>
          </w:p>
        </w:tc>
        <w:tc>
          <w:tcPr>
            <w:tcW w:w="5812" w:type="dxa"/>
            <w:tcBorders>
              <w:top w:val="single" w:sz="4" w:space="0" w:color="BDD6EE" w:themeColor="accent1" w:themeTint="66"/>
              <w:left w:val="nil"/>
              <w:bottom w:val="single" w:sz="4" w:space="0" w:color="BDD6EE" w:themeColor="accent1" w:themeTint="66"/>
              <w:right w:val="nil"/>
            </w:tcBorders>
            <w:hideMark/>
          </w:tcPr>
          <w:p w14:paraId="2AF9046D" w14:textId="77777777" w:rsidR="00FD6B84" w:rsidRPr="00237760" w:rsidRDefault="00364480" w:rsidP="009367B4">
            <w:pPr>
              <w:pStyle w:val="Akapitzlist"/>
              <w:numPr>
                <w:ilvl w:val="0"/>
                <w:numId w:val="39"/>
              </w:numPr>
              <w:spacing w:after="0"/>
              <w:ind w:left="255" w:hanging="142"/>
              <w:jc w:val="left"/>
              <w:rPr>
                <w:rFonts w:ascii="Arial" w:hAnsi="Arial" w:cs="Arial"/>
                <w:color w:val="auto"/>
                <w:sz w:val="24"/>
                <w:szCs w:val="24"/>
                <w:lang w:eastAsia="en-US"/>
              </w:rPr>
            </w:pPr>
            <w:r w:rsidRPr="00237760">
              <w:rPr>
                <w:rFonts w:ascii="Arial" w:hAnsi="Arial" w:cs="Arial"/>
                <w:color w:val="auto"/>
                <w:sz w:val="24"/>
                <w:szCs w:val="24"/>
                <w:lang w:eastAsia="en-US"/>
              </w:rPr>
              <w:t xml:space="preserve">Sam rozwój </w:t>
            </w:r>
            <w:r w:rsidR="00D3421E" w:rsidRPr="00237760">
              <w:rPr>
                <w:rFonts w:ascii="Arial" w:hAnsi="Arial" w:cs="Arial"/>
                <w:color w:val="auto"/>
                <w:sz w:val="24"/>
                <w:szCs w:val="24"/>
                <w:lang w:eastAsia="en-US"/>
              </w:rPr>
              <w:t xml:space="preserve">transportu nie jest </w:t>
            </w:r>
            <w:r w:rsidR="007908F6" w:rsidRPr="00237760">
              <w:rPr>
                <w:rFonts w:ascii="Arial" w:hAnsi="Arial" w:cs="Arial"/>
                <w:color w:val="auto"/>
                <w:sz w:val="24"/>
                <w:szCs w:val="24"/>
                <w:lang w:eastAsia="en-US"/>
              </w:rPr>
              <w:t>założeniem nadrzędnym</w:t>
            </w:r>
            <w:r w:rsidR="00941B5E" w:rsidRPr="00237760">
              <w:rPr>
                <w:rFonts w:ascii="Arial" w:hAnsi="Arial" w:cs="Arial"/>
                <w:color w:val="auto"/>
                <w:sz w:val="24"/>
                <w:szCs w:val="24"/>
                <w:lang w:eastAsia="en-US"/>
              </w:rPr>
              <w:t>,</w:t>
            </w:r>
            <w:r w:rsidR="000D6921" w:rsidRPr="00237760">
              <w:rPr>
                <w:rFonts w:ascii="Arial" w:hAnsi="Arial" w:cs="Arial"/>
                <w:color w:val="auto"/>
                <w:sz w:val="24"/>
                <w:szCs w:val="24"/>
                <w:lang w:eastAsia="en-US"/>
              </w:rPr>
              <w:t xml:space="preserve"> </w:t>
            </w:r>
            <w:r w:rsidR="00DD0B2F" w:rsidRPr="00237760">
              <w:rPr>
                <w:rFonts w:ascii="Arial" w:hAnsi="Arial" w:cs="Arial"/>
                <w:color w:val="auto"/>
                <w:sz w:val="24"/>
                <w:szCs w:val="24"/>
                <w:lang w:eastAsia="en-US"/>
              </w:rPr>
              <w:t>dążenie do niego wynika z potrzeb</w:t>
            </w:r>
            <w:r w:rsidR="007F0383" w:rsidRPr="00237760">
              <w:rPr>
                <w:rFonts w:ascii="Arial" w:hAnsi="Arial" w:cs="Arial"/>
                <w:color w:val="auto"/>
                <w:sz w:val="24"/>
                <w:szCs w:val="24"/>
                <w:lang w:eastAsia="en-US"/>
              </w:rPr>
              <w:t xml:space="preserve">y zapewnienia </w:t>
            </w:r>
            <w:r w:rsidR="005F4A8A" w:rsidRPr="00237760">
              <w:rPr>
                <w:rFonts w:ascii="Arial" w:hAnsi="Arial" w:cs="Arial"/>
                <w:color w:val="auto"/>
                <w:sz w:val="24"/>
                <w:szCs w:val="24"/>
                <w:lang w:eastAsia="en-US"/>
              </w:rPr>
              <w:t xml:space="preserve">warunków do </w:t>
            </w:r>
            <w:r w:rsidR="007F0383" w:rsidRPr="00237760">
              <w:rPr>
                <w:rFonts w:ascii="Arial" w:hAnsi="Arial" w:cs="Arial"/>
                <w:color w:val="auto"/>
                <w:sz w:val="24"/>
                <w:szCs w:val="24"/>
                <w:lang w:eastAsia="en-US"/>
              </w:rPr>
              <w:t>rozwoju</w:t>
            </w:r>
            <w:r w:rsidR="00DD0B2F" w:rsidRPr="00237760">
              <w:rPr>
                <w:rFonts w:ascii="Arial" w:hAnsi="Arial" w:cs="Arial"/>
                <w:color w:val="auto"/>
                <w:sz w:val="24"/>
                <w:szCs w:val="24"/>
                <w:lang w:eastAsia="en-US"/>
              </w:rPr>
              <w:t xml:space="preserve"> społeczno-</w:t>
            </w:r>
            <w:r w:rsidR="007F0383" w:rsidRPr="00237760">
              <w:rPr>
                <w:rFonts w:ascii="Arial" w:hAnsi="Arial" w:cs="Arial"/>
                <w:color w:val="auto"/>
                <w:sz w:val="24"/>
                <w:szCs w:val="24"/>
                <w:lang w:eastAsia="en-US"/>
              </w:rPr>
              <w:t>ekonomicznego</w:t>
            </w:r>
            <w:r w:rsidR="00AE2C3F" w:rsidRPr="00237760">
              <w:rPr>
                <w:rFonts w:ascii="Arial" w:hAnsi="Arial" w:cs="Arial"/>
                <w:color w:val="auto"/>
                <w:sz w:val="24"/>
                <w:szCs w:val="24"/>
                <w:lang w:eastAsia="en-US"/>
              </w:rPr>
              <w:t xml:space="preserve"> o czym świad</w:t>
            </w:r>
            <w:r w:rsidR="001B00B5" w:rsidRPr="00237760">
              <w:rPr>
                <w:rFonts w:ascii="Arial" w:hAnsi="Arial" w:cs="Arial"/>
                <w:color w:val="auto"/>
                <w:sz w:val="24"/>
                <w:szCs w:val="24"/>
                <w:lang w:eastAsia="en-US"/>
              </w:rPr>
              <w:t>czą przede wszystkim: tematycznie szeroki zakres diagnozy oraz charakter zdefiniowanych celów</w:t>
            </w:r>
            <w:r w:rsidR="0081095B" w:rsidRPr="00237760">
              <w:rPr>
                <w:rFonts w:ascii="Arial" w:hAnsi="Arial" w:cs="Arial"/>
                <w:color w:val="auto"/>
                <w:sz w:val="24"/>
                <w:szCs w:val="24"/>
                <w:lang w:eastAsia="en-US"/>
              </w:rPr>
              <w:t>;</w:t>
            </w:r>
          </w:p>
          <w:p w14:paraId="0D758B8F" w14:textId="47167706" w:rsidR="0081095B" w:rsidRPr="00237760" w:rsidRDefault="00C578B8" w:rsidP="009367B4">
            <w:pPr>
              <w:pStyle w:val="Akapitzlist"/>
              <w:numPr>
                <w:ilvl w:val="0"/>
                <w:numId w:val="39"/>
              </w:numPr>
              <w:spacing w:after="0"/>
              <w:ind w:left="255" w:hanging="142"/>
              <w:jc w:val="left"/>
              <w:rPr>
                <w:rFonts w:ascii="Arial" w:hAnsi="Arial" w:cs="Arial"/>
                <w:color w:val="auto"/>
                <w:sz w:val="24"/>
                <w:szCs w:val="24"/>
                <w:lang w:eastAsia="en-US"/>
              </w:rPr>
            </w:pPr>
            <w:r w:rsidRPr="00237760">
              <w:rPr>
                <w:rFonts w:ascii="Arial" w:hAnsi="Arial" w:cs="Arial"/>
                <w:color w:val="auto"/>
                <w:sz w:val="24"/>
                <w:szCs w:val="24"/>
                <w:lang w:eastAsia="en-US"/>
              </w:rPr>
              <w:t>Na potrzeb</w:t>
            </w:r>
            <w:r w:rsidR="00FB1C66" w:rsidRPr="00237760">
              <w:rPr>
                <w:rFonts w:ascii="Arial" w:hAnsi="Arial" w:cs="Arial"/>
                <w:color w:val="auto"/>
                <w:sz w:val="24"/>
                <w:szCs w:val="24"/>
                <w:lang w:eastAsia="en-US"/>
              </w:rPr>
              <w:t>y tworzenia PSRT WP przeprowadzono</w:t>
            </w:r>
            <w:r w:rsidRPr="00237760">
              <w:rPr>
                <w:rFonts w:ascii="Arial" w:hAnsi="Arial" w:cs="Arial"/>
                <w:color w:val="auto"/>
                <w:sz w:val="24"/>
                <w:szCs w:val="24"/>
                <w:lang w:eastAsia="en-US"/>
              </w:rPr>
              <w:t xml:space="preserve"> </w:t>
            </w:r>
            <w:r w:rsidR="003F3961" w:rsidRPr="00237760">
              <w:rPr>
                <w:rFonts w:ascii="Arial" w:hAnsi="Arial" w:cs="Arial"/>
                <w:color w:val="auto"/>
                <w:sz w:val="24"/>
                <w:szCs w:val="24"/>
                <w:lang w:eastAsia="en-US"/>
              </w:rPr>
              <w:t xml:space="preserve">rozbudowaną </w:t>
            </w:r>
            <w:r w:rsidRPr="00237760">
              <w:rPr>
                <w:rFonts w:ascii="Arial" w:hAnsi="Arial" w:cs="Arial"/>
                <w:color w:val="auto"/>
                <w:sz w:val="24"/>
                <w:szCs w:val="24"/>
                <w:lang w:eastAsia="en-US"/>
              </w:rPr>
              <w:t>analizę popytową uzupełnioną o wykorzystanie elementów istniejących modeli krajowych</w:t>
            </w:r>
            <w:r w:rsidR="00F632C4" w:rsidRPr="00237760">
              <w:rPr>
                <w:rFonts w:ascii="Arial" w:hAnsi="Arial" w:cs="Arial"/>
                <w:color w:val="auto"/>
                <w:sz w:val="24"/>
                <w:szCs w:val="24"/>
                <w:lang w:eastAsia="en-US"/>
              </w:rPr>
              <w:t>, m.in. Krajowego Modelu Ruchu 2007, modelu PKP PLK, modelu CUPT, modeli naukowych Komar i HGV-Monit</w:t>
            </w:r>
            <w:r w:rsidR="00CD4ECD" w:rsidRPr="00237760">
              <w:rPr>
                <w:rFonts w:ascii="Arial" w:hAnsi="Arial" w:cs="Arial"/>
                <w:color w:val="auto"/>
                <w:sz w:val="24"/>
                <w:szCs w:val="24"/>
                <w:lang w:eastAsia="en-US"/>
              </w:rPr>
              <w:t>, w analizach nie ograniczano się do granic regionu</w:t>
            </w:r>
            <w:r w:rsidR="004042B9" w:rsidRPr="00237760">
              <w:rPr>
                <w:rFonts w:ascii="Arial" w:hAnsi="Arial" w:cs="Arial"/>
                <w:color w:val="auto"/>
                <w:sz w:val="24"/>
                <w:szCs w:val="24"/>
                <w:lang w:eastAsia="en-US"/>
              </w:rPr>
              <w:t>;</w:t>
            </w:r>
          </w:p>
          <w:p w14:paraId="23A3FCEF" w14:textId="3DEA3826" w:rsidR="00FD6B84" w:rsidRPr="00237760" w:rsidRDefault="00371B48" w:rsidP="009367B4">
            <w:pPr>
              <w:pStyle w:val="Akapitzlist"/>
              <w:numPr>
                <w:ilvl w:val="0"/>
                <w:numId w:val="39"/>
              </w:numPr>
              <w:spacing w:after="0"/>
              <w:ind w:left="255" w:hanging="142"/>
              <w:jc w:val="left"/>
              <w:rPr>
                <w:rFonts w:ascii="Arial" w:hAnsi="Arial" w:cs="Arial"/>
                <w:color w:val="auto"/>
                <w:sz w:val="24"/>
                <w:szCs w:val="24"/>
                <w:lang w:eastAsia="en-US"/>
              </w:rPr>
            </w:pPr>
            <w:r w:rsidRPr="00237760">
              <w:rPr>
                <w:rFonts w:ascii="Arial" w:hAnsi="Arial" w:cs="Arial"/>
                <w:color w:val="auto"/>
                <w:sz w:val="24"/>
                <w:szCs w:val="24"/>
                <w:lang w:eastAsia="en-US"/>
              </w:rPr>
              <w:t>Analizy popytowe powstały z udziałem ekspertów zewnętrznych</w:t>
            </w:r>
            <w:r w:rsidR="00AC5B95" w:rsidRPr="00237760">
              <w:rPr>
                <w:rFonts w:ascii="Arial" w:hAnsi="Arial" w:cs="Arial"/>
                <w:color w:val="auto"/>
                <w:sz w:val="24"/>
                <w:szCs w:val="24"/>
                <w:lang w:eastAsia="en-US"/>
              </w:rPr>
              <w:t xml:space="preserve"> (z IGiPZ PAN)</w:t>
            </w:r>
            <w:r w:rsidRPr="00237760">
              <w:rPr>
                <w:rFonts w:ascii="Arial" w:hAnsi="Arial" w:cs="Arial"/>
                <w:color w:val="auto"/>
                <w:sz w:val="24"/>
                <w:szCs w:val="24"/>
                <w:lang w:eastAsia="en-US"/>
              </w:rPr>
              <w:t>, specjalistów w dziedzinie transportu.</w:t>
            </w:r>
          </w:p>
        </w:tc>
        <w:tc>
          <w:tcPr>
            <w:tcW w:w="1418" w:type="dxa"/>
            <w:tcBorders>
              <w:top w:val="single" w:sz="4" w:space="0" w:color="BDD6EE" w:themeColor="accent1" w:themeTint="66"/>
              <w:left w:val="nil"/>
              <w:bottom w:val="single" w:sz="4" w:space="0" w:color="BDD6EE" w:themeColor="accent1" w:themeTint="66"/>
              <w:right w:val="nil"/>
            </w:tcBorders>
            <w:vAlign w:val="center"/>
          </w:tcPr>
          <w:p w14:paraId="652B195D" w14:textId="77777777" w:rsidR="00FD6B84" w:rsidRPr="00237760" w:rsidRDefault="00FD6B84" w:rsidP="009367B4">
            <w:pPr>
              <w:spacing w:after="0" w:line="240" w:lineRule="auto"/>
              <w:ind w:left="76"/>
              <w:contextualSpacing/>
              <w:jc w:val="left"/>
              <w:rPr>
                <w:rFonts w:ascii="Arial" w:hAnsi="Arial" w:cs="Arial"/>
                <w:b/>
                <w:color w:val="auto"/>
                <w:sz w:val="24"/>
                <w:szCs w:val="24"/>
              </w:rPr>
            </w:pPr>
          </w:p>
          <w:p w14:paraId="4178FBFF" w14:textId="77777777" w:rsidR="00FD6B84" w:rsidRPr="00237760" w:rsidRDefault="00FD6B84" w:rsidP="009367B4">
            <w:pPr>
              <w:spacing w:after="0"/>
              <w:jc w:val="left"/>
              <w:rPr>
                <w:rFonts w:ascii="Arial" w:hAnsi="Arial" w:cs="Arial"/>
                <w:b/>
                <w:color w:val="auto"/>
                <w:sz w:val="24"/>
                <w:szCs w:val="24"/>
              </w:rPr>
            </w:pPr>
            <w:r w:rsidRPr="00237760">
              <w:rPr>
                <w:rFonts w:ascii="Arial" w:hAnsi="Arial" w:cs="Arial"/>
                <w:b/>
                <w:color w:val="auto"/>
                <w:sz w:val="24"/>
                <w:szCs w:val="24"/>
              </w:rPr>
              <w:t>+</w:t>
            </w:r>
          </w:p>
        </w:tc>
      </w:tr>
      <w:tr w:rsidR="00237760" w:rsidRPr="00237760" w14:paraId="6F36D65A" w14:textId="77777777" w:rsidTr="00B32A20">
        <w:trPr>
          <w:trHeight w:val="14"/>
        </w:trPr>
        <w:tc>
          <w:tcPr>
            <w:tcW w:w="1706" w:type="dxa"/>
            <w:tcBorders>
              <w:top w:val="single" w:sz="4" w:space="0" w:color="BDD6EE" w:themeColor="accent1" w:themeTint="66"/>
              <w:left w:val="nil"/>
              <w:bottom w:val="single" w:sz="4" w:space="0" w:color="BDD6EE" w:themeColor="accent1" w:themeTint="66"/>
              <w:right w:val="nil"/>
            </w:tcBorders>
            <w:vAlign w:val="center"/>
          </w:tcPr>
          <w:p w14:paraId="0F499DA4" w14:textId="1B050809" w:rsidR="00FD6B84" w:rsidRPr="00237760" w:rsidRDefault="003C43F3"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Podejście holistyczn</w:t>
            </w:r>
            <w:r w:rsidR="00CB5EF3" w:rsidRPr="00237760">
              <w:rPr>
                <w:rFonts w:ascii="Arial" w:hAnsi="Arial" w:cs="Arial"/>
                <w:color w:val="auto"/>
                <w:sz w:val="24"/>
                <w:szCs w:val="24"/>
              </w:rPr>
              <w:t>e</w:t>
            </w:r>
          </w:p>
        </w:tc>
        <w:tc>
          <w:tcPr>
            <w:tcW w:w="5812" w:type="dxa"/>
            <w:tcBorders>
              <w:top w:val="single" w:sz="4" w:space="0" w:color="BDD6EE" w:themeColor="accent1" w:themeTint="66"/>
              <w:left w:val="nil"/>
              <w:bottom w:val="single" w:sz="4" w:space="0" w:color="BDD6EE" w:themeColor="accent1" w:themeTint="66"/>
              <w:right w:val="nil"/>
            </w:tcBorders>
          </w:tcPr>
          <w:p w14:paraId="02935FC3" w14:textId="22F26134" w:rsidR="00FD6B84" w:rsidRPr="00237760" w:rsidRDefault="00255003" w:rsidP="009367B4">
            <w:pPr>
              <w:pStyle w:val="Akapitzlist"/>
              <w:numPr>
                <w:ilvl w:val="0"/>
                <w:numId w:val="39"/>
              </w:numPr>
              <w:spacing w:after="0"/>
              <w:ind w:left="255" w:hanging="142"/>
              <w:jc w:val="left"/>
              <w:rPr>
                <w:rFonts w:ascii="Arial" w:hAnsi="Arial" w:cs="Arial"/>
                <w:color w:val="auto"/>
                <w:sz w:val="24"/>
                <w:szCs w:val="24"/>
                <w:lang w:eastAsia="en-US"/>
              </w:rPr>
            </w:pPr>
            <w:r w:rsidRPr="00237760">
              <w:rPr>
                <w:rFonts w:ascii="Arial" w:hAnsi="Arial" w:cs="Arial"/>
                <w:color w:val="auto"/>
                <w:sz w:val="24"/>
                <w:szCs w:val="24"/>
                <w:lang w:eastAsia="en-US"/>
              </w:rPr>
              <w:t xml:space="preserve">Przedstawione </w:t>
            </w:r>
            <w:r w:rsidR="007A0809" w:rsidRPr="00237760">
              <w:rPr>
                <w:rFonts w:ascii="Arial" w:hAnsi="Arial" w:cs="Arial"/>
                <w:color w:val="auto"/>
                <w:sz w:val="24"/>
                <w:szCs w:val="24"/>
                <w:lang w:eastAsia="en-US"/>
              </w:rPr>
              <w:t>cele</w:t>
            </w:r>
            <w:r w:rsidRPr="00237760">
              <w:rPr>
                <w:rFonts w:ascii="Arial" w:hAnsi="Arial" w:cs="Arial"/>
                <w:color w:val="auto"/>
                <w:sz w:val="24"/>
                <w:szCs w:val="24"/>
                <w:lang w:eastAsia="en-US"/>
              </w:rPr>
              <w:t xml:space="preserve"> </w:t>
            </w:r>
            <w:r w:rsidR="00337AA8" w:rsidRPr="00237760">
              <w:rPr>
                <w:rFonts w:ascii="Arial" w:hAnsi="Arial" w:cs="Arial"/>
                <w:color w:val="auto"/>
                <w:sz w:val="24"/>
                <w:szCs w:val="24"/>
                <w:lang w:eastAsia="en-US"/>
              </w:rPr>
              <w:t>wynikają ze specyfiki regionu</w:t>
            </w:r>
            <w:r w:rsidR="00F24615" w:rsidRPr="00237760">
              <w:rPr>
                <w:rFonts w:ascii="Arial" w:hAnsi="Arial" w:cs="Arial"/>
                <w:color w:val="auto"/>
                <w:sz w:val="24"/>
                <w:szCs w:val="24"/>
                <w:lang w:eastAsia="en-US"/>
              </w:rPr>
              <w:t xml:space="preserve"> – zostały </w:t>
            </w:r>
            <w:r w:rsidR="00381250" w:rsidRPr="00237760">
              <w:rPr>
                <w:rFonts w:ascii="Arial" w:hAnsi="Arial" w:cs="Arial"/>
                <w:color w:val="auto"/>
                <w:sz w:val="24"/>
                <w:szCs w:val="24"/>
                <w:lang w:eastAsia="en-US"/>
              </w:rPr>
              <w:t>zdefiniowane</w:t>
            </w:r>
            <w:r w:rsidR="00F24615" w:rsidRPr="00237760">
              <w:rPr>
                <w:rFonts w:ascii="Arial" w:hAnsi="Arial" w:cs="Arial"/>
                <w:color w:val="auto"/>
                <w:sz w:val="24"/>
                <w:szCs w:val="24"/>
                <w:lang w:eastAsia="en-US"/>
              </w:rPr>
              <w:t xml:space="preserve"> na podstawie</w:t>
            </w:r>
            <w:r w:rsidR="00644DBE" w:rsidRPr="00237760">
              <w:rPr>
                <w:rFonts w:ascii="Arial" w:hAnsi="Arial" w:cs="Arial"/>
                <w:color w:val="auto"/>
                <w:sz w:val="24"/>
                <w:szCs w:val="24"/>
                <w:lang w:eastAsia="en-US"/>
              </w:rPr>
              <w:t xml:space="preserve"> </w:t>
            </w:r>
            <w:r w:rsidR="00381250" w:rsidRPr="00237760">
              <w:rPr>
                <w:rFonts w:ascii="Arial" w:hAnsi="Arial" w:cs="Arial"/>
                <w:color w:val="auto"/>
                <w:sz w:val="24"/>
                <w:szCs w:val="24"/>
                <w:lang w:eastAsia="en-US"/>
              </w:rPr>
              <w:t>zidentyfikowanych</w:t>
            </w:r>
            <w:r w:rsidR="008F023E" w:rsidRPr="00237760">
              <w:rPr>
                <w:rFonts w:ascii="Arial" w:hAnsi="Arial" w:cs="Arial"/>
                <w:color w:val="auto"/>
                <w:sz w:val="24"/>
                <w:szCs w:val="24"/>
                <w:lang w:eastAsia="en-US"/>
              </w:rPr>
              <w:t xml:space="preserve"> kluczowych</w:t>
            </w:r>
            <w:r w:rsidR="00381250" w:rsidRPr="00237760">
              <w:rPr>
                <w:rFonts w:ascii="Arial" w:hAnsi="Arial" w:cs="Arial"/>
                <w:color w:val="auto"/>
                <w:sz w:val="24"/>
                <w:szCs w:val="24"/>
                <w:lang w:eastAsia="en-US"/>
              </w:rPr>
              <w:t xml:space="preserve"> problemów </w:t>
            </w:r>
            <w:r w:rsidR="008B178D" w:rsidRPr="00237760">
              <w:rPr>
                <w:rFonts w:ascii="Arial" w:hAnsi="Arial" w:cs="Arial"/>
                <w:color w:val="auto"/>
                <w:sz w:val="24"/>
                <w:szCs w:val="24"/>
                <w:lang w:eastAsia="en-US"/>
              </w:rPr>
              <w:t>/ wyzwań</w:t>
            </w:r>
            <w:r w:rsidR="00381250" w:rsidRPr="00237760">
              <w:rPr>
                <w:rFonts w:ascii="Arial" w:hAnsi="Arial" w:cs="Arial"/>
                <w:color w:val="auto"/>
                <w:sz w:val="24"/>
                <w:szCs w:val="24"/>
                <w:lang w:eastAsia="en-US"/>
              </w:rPr>
              <w:t xml:space="preserve"> </w:t>
            </w:r>
            <w:r w:rsidR="008F023E" w:rsidRPr="00237760">
              <w:rPr>
                <w:rFonts w:ascii="Arial" w:hAnsi="Arial" w:cs="Arial"/>
                <w:color w:val="auto"/>
                <w:sz w:val="24"/>
                <w:szCs w:val="24"/>
                <w:lang w:eastAsia="en-US"/>
              </w:rPr>
              <w:t>systemu transportowego;</w:t>
            </w:r>
          </w:p>
          <w:p w14:paraId="4F703757" w14:textId="136F5DCE" w:rsidR="00CB5CB5" w:rsidRPr="00237760" w:rsidRDefault="005F0848" w:rsidP="009367B4">
            <w:pPr>
              <w:pStyle w:val="Akapitzlist"/>
              <w:numPr>
                <w:ilvl w:val="0"/>
                <w:numId w:val="39"/>
              </w:numPr>
              <w:spacing w:after="0"/>
              <w:ind w:left="255" w:hanging="142"/>
              <w:jc w:val="left"/>
              <w:rPr>
                <w:rFonts w:ascii="Arial" w:hAnsi="Arial" w:cs="Arial"/>
                <w:color w:val="auto"/>
                <w:sz w:val="24"/>
                <w:szCs w:val="24"/>
                <w:lang w:eastAsia="en-US"/>
              </w:rPr>
            </w:pPr>
            <w:r w:rsidRPr="00237760">
              <w:rPr>
                <w:rFonts w:ascii="Arial" w:hAnsi="Arial" w:cs="Arial"/>
                <w:color w:val="auto"/>
                <w:sz w:val="24"/>
                <w:szCs w:val="24"/>
                <w:lang w:eastAsia="en-US"/>
              </w:rPr>
              <w:t>Zarówno diagnoza, jaki i wskazane k</w:t>
            </w:r>
            <w:r w:rsidR="008F023E" w:rsidRPr="00237760">
              <w:rPr>
                <w:rFonts w:ascii="Arial" w:hAnsi="Arial" w:cs="Arial"/>
                <w:color w:val="auto"/>
                <w:sz w:val="24"/>
                <w:szCs w:val="24"/>
                <w:lang w:eastAsia="en-US"/>
              </w:rPr>
              <w:t>ierunki działań</w:t>
            </w:r>
            <w:r w:rsidR="00B17AA6" w:rsidRPr="00237760">
              <w:rPr>
                <w:rFonts w:ascii="Arial" w:hAnsi="Arial" w:cs="Arial"/>
                <w:color w:val="auto"/>
                <w:sz w:val="24"/>
                <w:szCs w:val="24"/>
                <w:lang w:eastAsia="en-US"/>
              </w:rPr>
              <w:t xml:space="preserve"> dotyczą</w:t>
            </w:r>
            <w:r w:rsidR="00DE5E14" w:rsidRPr="00237760">
              <w:rPr>
                <w:rFonts w:ascii="Arial" w:hAnsi="Arial" w:cs="Arial"/>
                <w:color w:val="auto"/>
                <w:sz w:val="24"/>
                <w:szCs w:val="24"/>
                <w:lang w:eastAsia="en-US"/>
              </w:rPr>
              <w:t xml:space="preserve"> transportu towarowego</w:t>
            </w:r>
            <w:r w:rsidR="00B17AA6" w:rsidRPr="00237760">
              <w:rPr>
                <w:rFonts w:ascii="Arial" w:hAnsi="Arial" w:cs="Arial"/>
                <w:color w:val="auto"/>
                <w:sz w:val="24"/>
                <w:szCs w:val="24"/>
                <w:lang w:eastAsia="en-US"/>
              </w:rPr>
              <w:t>,</w:t>
            </w:r>
            <w:r w:rsidR="00DE5E14" w:rsidRPr="00237760">
              <w:rPr>
                <w:rFonts w:ascii="Arial" w:hAnsi="Arial" w:cs="Arial"/>
                <w:color w:val="auto"/>
                <w:sz w:val="24"/>
                <w:szCs w:val="24"/>
                <w:lang w:eastAsia="en-US"/>
              </w:rPr>
              <w:t xml:space="preserve"> </w:t>
            </w:r>
            <w:r w:rsidR="00CB5CB5" w:rsidRPr="00237760">
              <w:rPr>
                <w:rFonts w:ascii="Arial" w:hAnsi="Arial" w:cs="Arial"/>
                <w:color w:val="auto"/>
                <w:sz w:val="24"/>
                <w:szCs w:val="24"/>
                <w:lang w:eastAsia="en-US"/>
              </w:rPr>
              <w:t>pasażerskiego oraz</w:t>
            </w:r>
            <w:r w:rsidR="00B17AA6" w:rsidRPr="00237760">
              <w:rPr>
                <w:rFonts w:ascii="Arial" w:hAnsi="Arial" w:cs="Arial"/>
                <w:color w:val="auto"/>
                <w:sz w:val="24"/>
                <w:szCs w:val="24"/>
                <w:lang w:eastAsia="en-US"/>
              </w:rPr>
              <w:t xml:space="preserve"> ich gałęzi (przede wszystkim</w:t>
            </w:r>
            <w:r w:rsidR="00BB30AA" w:rsidRPr="00237760">
              <w:rPr>
                <w:rFonts w:ascii="Arial" w:hAnsi="Arial" w:cs="Arial"/>
                <w:color w:val="auto"/>
                <w:sz w:val="24"/>
                <w:szCs w:val="24"/>
                <w:lang w:eastAsia="en-US"/>
              </w:rPr>
              <w:t xml:space="preserve"> transportu: </w:t>
            </w:r>
            <w:r w:rsidR="001155E1" w:rsidRPr="00237760">
              <w:rPr>
                <w:rFonts w:ascii="Arial" w:hAnsi="Arial" w:cs="Arial"/>
                <w:color w:val="auto"/>
                <w:sz w:val="24"/>
                <w:szCs w:val="24"/>
                <w:lang w:eastAsia="en-US"/>
              </w:rPr>
              <w:t>drogow</w:t>
            </w:r>
            <w:r w:rsidR="00BB30AA" w:rsidRPr="00237760">
              <w:rPr>
                <w:rFonts w:ascii="Arial" w:hAnsi="Arial" w:cs="Arial"/>
                <w:color w:val="auto"/>
                <w:sz w:val="24"/>
                <w:szCs w:val="24"/>
                <w:lang w:eastAsia="en-US"/>
              </w:rPr>
              <w:t>ego</w:t>
            </w:r>
            <w:r w:rsidR="001155E1" w:rsidRPr="00237760">
              <w:rPr>
                <w:rFonts w:ascii="Arial" w:hAnsi="Arial" w:cs="Arial"/>
                <w:color w:val="auto"/>
                <w:sz w:val="24"/>
                <w:szCs w:val="24"/>
                <w:lang w:eastAsia="en-US"/>
              </w:rPr>
              <w:t>, lotnicz</w:t>
            </w:r>
            <w:r w:rsidR="00BB30AA" w:rsidRPr="00237760">
              <w:rPr>
                <w:rFonts w:ascii="Arial" w:hAnsi="Arial" w:cs="Arial"/>
                <w:color w:val="auto"/>
                <w:sz w:val="24"/>
                <w:szCs w:val="24"/>
                <w:lang w:eastAsia="en-US"/>
              </w:rPr>
              <w:t xml:space="preserve">ego </w:t>
            </w:r>
            <w:r w:rsidR="001155E1" w:rsidRPr="00237760">
              <w:rPr>
                <w:rFonts w:ascii="Arial" w:hAnsi="Arial" w:cs="Arial"/>
                <w:color w:val="auto"/>
                <w:sz w:val="24"/>
                <w:szCs w:val="24"/>
                <w:lang w:eastAsia="en-US"/>
              </w:rPr>
              <w:t>i kolejow</w:t>
            </w:r>
            <w:r w:rsidR="00BB30AA" w:rsidRPr="00237760">
              <w:rPr>
                <w:rFonts w:ascii="Arial" w:hAnsi="Arial" w:cs="Arial"/>
                <w:color w:val="auto"/>
                <w:sz w:val="24"/>
                <w:szCs w:val="24"/>
                <w:lang w:eastAsia="en-US"/>
              </w:rPr>
              <w:t>ego</w:t>
            </w:r>
            <w:r w:rsidR="001155E1" w:rsidRPr="00237760">
              <w:rPr>
                <w:rFonts w:ascii="Arial" w:hAnsi="Arial" w:cs="Arial"/>
                <w:color w:val="auto"/>
                <w:sz w:val="24"/>
                <w:szCs w:val="24"/>
                <w:lang w:eastAsia="en-US"/>
              </w:rPr>
              <w:t>)</w:t>
            </w:r>
            <w:r w:rsidR="00BB30AA" w:rsidRPr="00237760">
              <w:rPr>
                <w:rFonts w:ascii="Arial" w:hAnsi="Arial" w:cs="Arial"/>
                <w:color w:val="auto"/>
                <w:sz w:val="24"/>
                <w:szCs w:val="24"/>
                <w:lang w:eastAsia="en-US"/>
              </w:rPr>
              <w:t>;</w:t>
            </w:r>
          </w:p>
          <w:p w14:paraId="479ED7DB" w14:textId="77777777" w:rsidR="003C43F3" w:rsidRPr="00237760" w:rsidRDefault="00A25CAC" w:rsidP="009367B4">
            <w:pPr>
              <w:pStyle w:val="Akapitzlist"/>
              <w:numPr>
                <w:ilvl w:val="0"/>
                <w:numId w:val="39"/>
              </w:numPr>
              <w:spacing w:after="0"/>
              <w:ind w:left="255" w:hanging="142"/>
              <w:jc w:val="left"/>
              <w:rPr>
                <w:rFonts w:ascii="Arial" w:hAnsi="Arial" w:cs="Arial"/>
                <w:color w:val="auto"/>
                <w:sz w:val="24"/>
                <w:szCs w:val="24"/>
                <w:lang w:eastAsia="en-US"/>
              </w:rPr>
            </w:pPr>
            <w:r w:rsidRPr="00237760">
              <w:rPr>
                <w:rFonts w:ascii="Arial" w:hAnsi="Arial" w:cs="Arial"/>
                <w:color w:val="auto"/>
                <w:sz w:val="24"/>
                <w:szCs w:val="24"/>
                <w:lang w:eastAsia="en-US"/>
              </w:rPr>
              <w:t xml:space="preserve">W procesie diagnozy i na etapie </w:t>
            </w:r>
            <w:r w:rsidR="00B04A70" w:rsidRPr="00237760">
              <w:rPr>
                <w:rFonts w:ascii="Arial" w:hAnsi="Arial" w:cs="Arial"/>
                <w:color w:val="auto"/>
                <w:sz w:val="24"/>
                <w:szCs w:val="24"/>
                <w:lang w:eastAsia="en-US"/>
              </w:rPr>
              <w:t>realizacji założeń</w:t>
            </w:r>
            <w:r w:rsidRPr="00237760">
              <w:rPr>
                <w:rFonts w:ascii="Arial" w:hAnsi="Arial" w:cs="Arial"/>
                <w:color w:val="auto"/>
                <w:sz w:val="24"/>
                <w:szCs w:val="24"/>
                <w:lang w:eastAsia="en-US"/>
              </w:rPr>
              <w:t xml:space="preserve"> </w:t>
            </w:r>
            <w:r w:rsidR="000E01FB" w:rsidRPr="00237760">
              <w:rPr>
                <w:rFonts w:ascii="Arial" w:hAnsi="Arial" w:cs="Arial"/>
                <w:color w:val="auto"/>
                <w:sz w:val="24"/>
                <w:szCs w:val="24"/>
                <w:lang w:eastAsia="en-US"/>
              </w:rPr>
              <w:t>brano pod uwagę aspekty organizacyjne, operacyjne i infrastrukturalne</w:t>
            </w:r>
            <w:r w:rsidR="009860B0" w:rsidRPr="00237760">
              <w:rPr>
                <w:rFonts w:ascii="Arial" w:hAnsi="Arial" w:cs="Arial"/>
                <w:color w:val="auto"/>
                <w:sz w:val="24"/>
                <w:szCs w:val="24"/>
                <w:lang w:eastAsia="en-US"/>
              </w:rPr>
              <w:t>,</w:t>
            </w:r>
            <w:r w:rsidR="003C43F3" w:rsidRPr="00237760">
              <w:rPr>
                <w:rFonts w:ascii="Arial" w:hAnsi="Arial" w:cs="Arial"/>
                <w:color w:val="auto"/>
                <w:sz w:val="24"/>
                <w:szCs w:val="24"/>
                <w:lang w:eastAsia="en-US"/>
              </w:rPr>
              <w:t xml:space="preserve"> </w:t>
            </w:r>
          </w:p>
          <w:p w14:paraId="2DEC8A5A" w14:textId="6C489B1B" w:rsidR="00C04291" w:rsidRPr="00237760" w:rsidRDefault="003C43F3" w:rsidP="009367B4">
            <w:pPr>
              <w:pStyle w:val="Akapitzlist"/>
              <w:numPr>
                <w:ilvl w:val="0"/>
                <w:numId w:val="39"/>
              </w:numPr>
              <w:spacing w:after="0"/>
              <w:ind w:left="255" w:hanging="142"/>
              <w:jc w:val="left"/>
              <w:rPr>
                <w:rFonts w:ascii="Arial" w:hAnsi="Arial" w:cs="Arial"/>
                <w:color w:val="auto"/>
                <w:sz w:val="24"/>
                <w:szCs w:val="24"/>
                <w:lang w:eastAsia="en-US"/>
              </w:rPr>
            </w:pPr>
            <w:r w:rsidRPr="00237760">
              <w:rPr>
                <w:rFonts w:ascii="Arial" w:hAnsi="Arial" w:cs="Arial"/>
                <w:color w:val="auto"/>
                <w:sz w:val="24"/>
                <w:szCs w:val="24"/>
                <w:lang w:eastAsia="en-US"/>
              </w:rPr>
              <w:t>W</w:t>
            </w:r>
            <w:r w:rsidR="009860B0" w:rsidRPr="00237760">
              <w:rPr>
                <w:rFonts w:ascii="Arial" w:hAnsi="Arial" w:cs="Arial"/>
                <w:color w:val="auto"/>
                <w:sz w:val="24"/>
                <w:szCs w:val="24"/>
                <w:lang w:eastAsia="en-US"/>
              </w:rPr>
              <w:t xml:space="preserve"> zakresie diagnozy</w:t>
            </w:r>
            <w:r w:rsidR="000653F3" w:rsidRPr="00237760">
              <w:rPr>
                <w:rFonts w:ascii="Arial" w:hAnsi="Arial" w:cs="Arial"/>
                <w:color w:val="auto"/>
                <w:sz w:val="24"/>
                <w:szCs w:val="24"/>
                <w:lang w:eastAsia="en-US"/>
              </w:rPr>
              <w:t xml:space="preserve"> (rozdz. I.1.-</w:t>
            </w:r>
            <w:r w:rsidR="003241BC" w:rsidRPr="00237760">
              <w:rPr>
                <w:rFonts w:ascii="Arial" w:hAnsi="Arial" w:cs="Arial"/>
                <w:color w:val="auto"/>
                <w:sz w:val="24"/>
                <w:szCs w:val="24"/>
                <w:lang w:eastAsia="en-US"/>
              </w:rPr>
              <w:t>I</w:t>
            </w:r>
            <w:r w:rsidR="000653F3" w:rsidRPr="00237760">
              <w:rPr>
                <w:rFonts w:ascii="Arial" w:hAnsi="Arial" w:cs="Arial"/>
                <w:color w:val="auto"/>
                <w:sz w:val="24"/>
                <w:szCs w:val="24"/>
                <w:lang w:eastAsia="en-US"/>
              </w:rPr>
              <w:t>.3.)</w:t>
            </w:r>
            <w:r w:rsidR="009860B0" w:rsidRPr="00237760">
              <w:rPr>
                <w:rFonts w:ascii="Arial" w:hAnsi="Arial" w:cs="Arial"/>
                <w:color w:val="auto"/>
                <w:sz w:val="24"/>
                <w:szCs w:val="24"/>
                <w:lang w:eastAsia="en-US"/>
              </w:rPr>
              <w:t>:</w:t>
            </w:r>
          </w:p>
          <w:p w14:paraId="662AFC5A" w14:textId="2ADDAA8D" w:rsidR="00090F0C" w:rsidRPr="00237760" w:rsidRDefault="00DE5345" w:rsidP="009367B4">
            <w:pPr>
              <w:pStyle w:val="Akapitzlist"/>
              <w:numPr>
                <w:ilvl w:val="0"/>
                <w:numId w:val="52"/>
              </w:numPr>
              <w:spacing w:after="0"/>
              <w:ind w:left="538" w:hanging="147"/>
              <w:jc w:val="left"/>
              <w:rPr>
                <w:rFonts w:ascii="Arial" w:hAnsi="Arial" w:cs="Arial"/>
                <w:color w:val="auto"/>
                <w:sz w:val="24"/>
                <w:szCs w:val="24"/>
                <w:lang w:eastAsia="en-US"/>
              </w:rPr>
            </w:pPr>
            <w:r w:rsidRPr="00237760">
              <w:rPr>
                <w:rFonts w:ascii="Arial" w:hAnsi="Arial" w:cs="Arial"/>
                <w:color w:val="auto"/>
                <w:sz w:val="24"/>
                <w:szCs w:val="24"/>
                <w:lang w:eastAsia="en-US"/>
              </w:rPr>
              <w:t xml:space="preserve">przeprowadzono analizy dotyczące </w:t>
            </w:r>
            <w:r w:rsidR="009B38CD" w:rsidRPr="00237760">
              <w:rPr>
                <w:rFonts w:ascii="Arial" w:hAnsi="Arial" w:cs="Arial"/>
                <w:color w:val="auto"/>
                <w:sz w:val="24"/>
                <w:szCs w:val="24"/>
                <w:lang w:eastAsia="en-US"/>
              </w:rPr>
              <w:t>szeroko rozumianego społeczno-ekonomicznego aspektu</w:t>
            </w:r>
            <w:r w:rsidR="00FE3740" w:rsidRPr="00237760">
              <w:rPr>
                <w:rFonts w:ascii="Arial" w:hAnsi="Arial" w:cs="Arial"/>
                <w:color w:val="auto"/>
                <w:sz w:val="24"/>
                <w:szCs w:val="24"/>
                <w:lang w:eastAsia="en-US"/>
              </w:rPr>
              <w:t xml:space="preserve"> </w:t>
            </w:r>
            <w:r w:rsidR="00A27043" w:rsidRPr="00237760">
              <w:rPr>
                <w:rFonts w:ascii="Arial" w:hAnsi="Arial" w:cs="Arial"/>
                <w:color w:val="auto"/>
                <w:sz w:val="24"/>
                <w:szCs w:val="24"/>
                <w:lang w:eastAsia="en-US"/>
              </w:rPr>
              <w:t xml:space="preserve">rozwoju transportu (w tym m.in. badając motywacje, sposób przemieszczania się, jak i przestrzenną charakterystykę potoków ruchu oraz </w:t>
            </w:r>
            <w:r w:rsidR="00C52078" w:rsidRPr="00237760">
              <w:rPr>
                <w:rFonts w:ascii="Arial" w:hAnsi="Arial" w:cs="Arial"/>
                <w:color w:val="auto"/>
                <w:sz w:val="24"/>
                <w:szCs w:val="24"/>
                <w:lang w:eastAsia="en-US"/>
              </w:rPr>
              <w:t>rozbudowaną analizę popytową</w:t>
            </w:r>
            <w:r w:rsidR="00EF7EFA" w:rsidRPr="00237760">
              <w:rPr>
                <w:rFonts w:ascii="Arial" w:hAnsi="Arial" w:cs="Arial"/>
                <w:color w:val="auto"/>
                <w:sz w:val="24"/>
                <w:szCs w:val="24"/>
                <w:lang w:eastAsia="en-US"/>
              </w:rPr>
              <w:t>,</w:t>
            </w:r>
          </w:p>
          <w:p w14:paraId="3379B84B" w14:textId="77777777" w:rsidR="00090F0C" w:rsidRPr="00237760" w:rsidRDefault="00686710" w:rsidP="009367B4">
            <w:pPr>
              <w:pStyle w:val="Akapitzlist"/>
              <w:numPr>
                <w:ilvl w:val="0"/>
                <w:numId w:val="52"/>
              </w:numPr>
              <w:spacing w:after="0"/>
              <w:ind w:left="538" w:hanging="147"/>
              <w:jc w:val="left"/>
              <w:rPr>
                <w:rFonts w:ascii="Arial" w:hAnsi="Arial" w:cs="Arial"/>
                <w:color w:val="auto"/>
                <w:sz w:val="24"/>
                <w:szCs w:val="24"/>
                <w:lang w:eastAsia="en-US"/>
              </w:rPr>
            </w:pPr>
            <w:r w:rsidRPr="00237760">
              <w:rPr>
                <w:rFonts w:ascii="Arial" w:hAnsi="Arial" w:cs="Arial"/>
                <w:color w:val="auto"/>
                <w:sz w:val="24"/>
                <w:szCs w:val="24"/>
                <w:lang w:eastAsia="en-US"/>
              </w:rPr>
              <w:t xml:space="preserve">diagnozowano aspekt organizacyjny </w:t>
            </w:r>
            <w:r w:rsidR="00CC248B" w:rsidRPr="00237760">
              <w:rPr>
                <w:rFonts w:ascii="Arial" w:hAnsi="Arial" w:cs="Arial"/>
                <w:color w:val="auto"/>
                <w:sz w:val="24"/>
                <w:szCs w:val="24"/>
                <w:lang w:eastAsia="en-US"/>
              </w:rPr>
              <w:t>(</w:t>
            </w:r>
            <w:r w:rsidR="002B7A3B" w:rsidRPr="00237760">
              <w:rPr>
                <w:rFonts w:ascii="Arial" w:hAnsi="Arial" w:cs="Arial"/>
                <w:color w:val="auto"/>
                <w:sz w:val="24"/>
                <w:szCs w:val="24"/>
                <w:lang w:eastAsia="en-US"/>
              </w:rPr>
              <w:t xml:space="preserve">przedstawiono problemy administracyjne, </w:t>
            </w:r>
            <w:r w:rsidR="009B177B" w:rsidRPr="00237760">
              <w:rPr>
                <w:rFonts w:ascii="Arial" w:hAnsi="Arial" w:cs="Arial"/>
                <w:color w:val="auto"/>
                <w:sz w:val="24"/>
                <w:szCs w:val="24"/>
                <w:lang w:eastAsia="en-US"/>
              </w:rPr>
              <w:t xml:space="preserve">przedstawiono </w:t>
            </w:r>
            <w:r w:rsidR="00E76FD2" w:rsidRPr="00237760">
              <w:rPr>
                <w:rFonts w:ascii="Arial" w:hAnsi="Arial" w:cs="Arial"/>
                <w:color w:val="auto"/>
                <w:sz w:val="24"/>
                <w:szCs w:val="24"/>
                <w:lang w:eastAsia="en-US"/>
              </w:rPr>
              <w:t>charakterystykę</w:t>
            </w:r>
            <w:r w:rsidR="005555E2" w:rsidRPr="00237760">
              <w:rPr>
                <w:rFonts w:ascii="Arial" w:hAnsi="Arial" w:cs="Arial"/>
                <w:color w:val="auto"/>
                <w:sz w:val="24"/>
                <w:szCs w:val="24"/>
                <w:lang w:eastAsia="en-US"/>
              </w:rPr>
              <w:t xml:space="preserve"> </w:t>
            </w:r>
            <w:r w:rsidR="00E76FD2" w:rsidRPr="00237760">
              <w:rPr>
                <w:rFonts w:ascii="Arial" w:hAnsi="Arial" w:cs="Arial"/>
                <w:color w:val="auto"/>
                <w:sz w:val="24"/>
                <w:szCs w:val="24"/>
                <w:lang w:eastAsia="en-US"/>
              </w:rPr>
              <w:t xml:space="preserve">systemu transportowego </w:t>
            </w:r>
            <w:r w:rsidR="005555E2" w:rsidRPr="00237760">
              <w:rPr>
                <w:rFonts w:ascii="Arial" w:hAnsi="Arial" w:cs="Arial"/>
                <w:color w:val="auto"/>
                <w:sz w:val="24"/>
                <w:szCs w:val="24"/>
                <w:lang w:eastAsia="en-US"/>
              </w:rPr>
              <w:t xml:space="preserve">w zakresie </w:t>
            </w:r>
            <w:r w:rsidR="00B04A70" w:rsidRPr="00237760">
              <w:rPr>
                <w:rFonts w:ascii="Arial" w:hAnsi="Arial" w:cs="Arial"/>
                <w:color w:val="auto"/>
                <w:sz w:val="24"/>
                <w:szCs w:val="24"/>
                <w:lang w:eastAsia="en-US"/>
              </w:rPr>
              <w:t xml:space="preserve">organizacji (podziału </w:t>
            </w:r>
            <w:r w:rsidR="005555E2" w:rsidRPr="00237760">
              <w:rPr>
                <w:rFonts w:ascii="Arial" w:hAnsi="Arial" w:cs="Arial"/>
                <w:color w:val="auto"/>
                <w:sz w:val="24"/>
                <w:szCs w:val="24"/>
                <w:lang w:eastAsia="en-US"/>
              </w:rPr>
              <w:lastRenderedPageBreak/>
              <w:t>zadań dotyczących</w:t>
            </w:r>
            <w:r w:rsidR="00B04A70" w:rsidRPr="00237760">
              <w:rPr>
                <w:rFonts w:ascii="Arial" w:hAnsi="Arial" w:cs="Arial"/>
                <w:color w:val="auto"/>
                <w:sz w:val="24"/>
                <w:szCs w:val="24"/>
                <w:lang w:eastAsia="en-US"/>
              </w:rPr>
              <w:t>)</w:t>
            </w:r>
            <w:r w:rsidR="005555E2" w:rsidRPr="00237760">
              <w:rPr>
                <w:rFonts w:ascii="Arial" w:hAnsi="Arial" w:cs="Arial"/>
                <w:color w:val="auto"/>
                <w:sz w:val="24"/>
                <w:szCs w:val="24"/>
                <w:lang w:eastAsia="en-US"/>
              </w:rPr>
              <w:t xml:space="preserve"> </w:t>
            </w:r>
            <w:r w:rsidR="002D04B6" w:rsidRPr="00237760">
              <w:rPr>
                <w:rFonts w:ascii="Arial" w:hAnsi="Arial" w:cs="Arial"/>
                <w:color w:val="auto"/>
                <w:sz w:val="24"/>
                <w:szCs w:val="24"/>
                <w:lang w:eastAsia="en-US"/>
              </w:rPr>
              <w:t>r</w:t>
            </w:r>
            <w:r w:rsidR="005555E2" w:rsidRPr="00237760">
              <w:rPr>
                <w:rFonts w:ascii="Arial" w:hAnsi="Arial" w:cs="Arial"/>
                <w:color w:val="auto"/>
                <w:sz w:val="24"/>
                <w:szCs w:val="24"/>
                <w:lang w:eastAsia="en-US"/>
              </w:rPr>
              <w:t xml:space="preserve">óżnych </w:t>
            </w:r>
            <w:r w:rsidR="002D04B6" w:rsidRPr="00237760">
              <w:rPr>
                <w:rFonts w:ascii="Arial" w:hAnsi="Arial" w:cs="Arial"/>
                <w:color w:val="auto"/>
                <w:sz w:val="24"/>
                <w:szCs w:val="24"/>
                <w:lang w:eastAsia="en-US"/>
              </w:rPr>
              <w:t>gałęzi</w:t>
            </w:r>
            <w:r w:rsidR="00A40708" w:rsidRPr="00237760">
              <w:rPr>
                <w:rFonts w:ascii="Arial" w:hAnsi="Arial" w:cs="Arial"/>
                <w:color w:val="auto"/>
                <w:sz w:val="24"/>
                <w:szCs w:val="24"/>
                <w:lang w:eastAsia="en-US"/>
              </w:rPr>
              <w:t>/</w:t>
            </w:r>
            <w:r w:rsidR="002D04B6" w:rsidRPr="00237760">
              <w:rPr>
                <w:rFonts w:ascii="Arial" w:hAnsi="Arial" w:cs="Arial"/>
                <w:color w:val="auto"/>
                <w:sz w:val="24"/>
                <w:szCs w:val="24"/>
                <w:lang w:eastAsia="en-US"/>
              </w:rPr>
              <w:t>sektorów</w:t>
            </w:r>
            <w:r w:rsidR="00C2097B" w:rsidRPr="00237760">
              <w:rPr>
                <w:rFonts w:ascii="Arial" w:hAnsi="Arial" w:cs="Arial"/>
                <w:color w:val="auto"/>
                <w:sz w:val="24"/>
                <w:szCs w:val="24"/>
                <w:lang w:eastAsia="en-US"/>
              </w:rPr>
              <w:t>/typów</w:t>
            </w:r>
            <w:r w:rsidR="002D04B6" w:rsidRPr="00237760">
              <w:rPr>
                <w:rFonts w:ascii="Arial" w:hAnsi="Arial" w:cs="Arial"/>
                <w:color w:val="auto"/>
                <w:sz w:val="24"/>
                <w:szCs w:val="24"/>
                <w:lang w:eastAsia="en-US"/>
              </w:rPr>
              <w:t xml:space="preserve"> transportu w regionie)</w:t>
            </w:r>
            <w:r w:rsidR="00090F0C" w:rsidRPr="00237760">
              <w:rPr>
                <w:rFonts w:ascii="Arial" w:hAnsi="Arial" w:cs="Arial"/>
                <w:color w:val="auto"/>
                <w:sz w:val="24"/>
                <w:szCs w:val="24"/>
                <w:lang w:eastAsia="en-US"/>
              </w:rPr>
              <w:t>,</w:t>
            </w:r>
          </w:p>
          <w:p w14:paraId="20F41F0C" w14:textId="77777777" w:rsidR="003C43F3" w:rsidRPr="00237760" w:rsidRDefault="00A63488" w:rsidP="009367B4">
            <w:pPr>
              <w:pStyle w:val="Akapitzlist"/>
              <w:numPr>
                <w:ilvl w:val="0"/>
                <w:numId w:val="52"/>
              </w:numPr>
              <w:spacing w:after="0"/>
              <w:ind w:left="538" w:hanging="147"/>
              <w:jc w:val="left"/>
              <w:rPr>
                <w:rFonts w:ascii="Arial" w:hAnsi="Arial" w:cs="Arial"/>
                <w:color w:val="auto"/>
                <w:sz w:val="24"/>
                <w:szCs w:val="24"/>
                <w:lang w:eastAsia="en-US"/>
              </w:rPr>
            </w:pPr>
            <w:r w:rsidRPr="00237760">
              <w:rPr>
                <w:rFonts w:ascii="Arial" w:hAnsi="Arial" w:cs="Arial"/>
                <w:color w:val="auto"/>
                <w:sz w:val="24"/>
                <w:szCs w:val="24"/>
                <w:lang w:eastAsia="en-US"/>
              </w:rPr>
              <w:t xml:space="preserve">analizowano </w:t>
            </w:r>
            <w:r w:rsidR="00D0779E" w:rsidRPr="00237760">
              <w:rPr>
                <w:rFonts w:ascii="Arial" w:hAnsi="Arial" w:cs="Arial"/>
                <w:color w:val="auto"/>
                <w:sz w:val="24"/>
                <w:szCs w:val="24"/>
                <w:lang w:eastAsia="en-US"/>
              </w:rPr>
              <w:t xml:space="preserve">stan infrastruktury oraz </w:t>
            </w:r>
            <w:r w:rsidR="00A0142D" w:rsidRPr="00237760">
              <w:rPr>
                <w:rFonts w:ascii="Arial" w:hAnsi="Arial" w:cs="Arial"/>
                <w:color w:val="auto"/>
                <w:sz w:val="24"/>
                <w:szCs w:val="24"/>
                <w:lang w:eastAsia="en-US"/>
              </w:rPr>
              <w:t>związane z nią koszty:</w:t>
            </w:r>
            <w:r w:rsidR="00D0779E" w:rsidRPr="00237760">
              <w:rPr>
                <w:rFonts w:ascii="Arial" w:hAnsi="Arial" w:cs="Arial"/>
                <w:color w:val="auto"/>
                <w:sz w:val="24"/>
                <w:szCs w:val="24"/>
                <w:lang w:eastAsia="en-US"/>
              </w:rPr>
              <w:t xml:space="preserve"> ekonomiczne</w:t>
            </w:r>
            <w:r w:rsidR="00A0142D" w:rsidRPr="00237760">
              <w:rPr>
                <w:rFonts w:ascii="Arial" w:hAnsi="Arial" w:cs="Arial"/>
                <w:color w:val="auto"/>
                <w:sz w:val="24"/>
                <w:szCs w:val="24"/>
                <w:lang w:eastAsia="en-US"/>
              </w:rPr>
              <w:t>, społeczne (w zakresie bezpieczeństwa)</w:t>
            </w:r>
            <w:r w:rsidR="00D0779E" w:rsidRPr="00237760">
              <w:rPr>
                <w:rFonts w:ascii="Arial" w:hAnsi="Arial" w:cs="Arial"/>
                <w:color w:val="auto"/>
                <w:sz w:val="24"/>
                <w:szCs w:val="24"/>
                <w:lang w:eastAsia="en-US"/>
              </w:rPr>
              <w:t xml:space="preserve"> i ekologiczne</w:t>
            </w:r>
            <w:r w:rsidR="00A0142D" w:rsidRPr="00237760">
              <w:rPr>
                <w:rFonts w:ascii="Arial" w:hAnsi="Arial" w:cs="Arial"/>
                <w:color w:val="auto"/>
                <w:sz w:val="24"/>
                <w:szCs w:val="24"/>
                <w:lang w:eastAsia="en-US"/>
              </w:rPr>
              <w:t xml:space="preserve"> (oddziaływanie na środowisko)</w:t>
            </w:r>
            <w:r w:rsidR="00F3432C" w:rsidRPr="00237760">
              <w:rPr>
                <w:rFonts w:ascii="Arial" w:hAnsi="Arial" w:cs="Arial"/>
                <w:color w:val="auto"/>
                <w:sz w:val="24"/>
                <w:szCs w:val="24"/>
                <w:lang w:eastAsia="en-US"/>
              </w:rPr>
              <w:t>;</w:t>
            </w:r>
          </w:p>
          <w:p w14:paraId="4581D602" w14:textId="5057D711" w:rsidR="00223991" w:rsidRPr="00237760" w:rsidRDefault="00B04A70" w:rsidP="009367B4">
            <w:pPr>
              <w:pStyle w:val="Akapitzlist"/>
              <w:numPr>
                <w:ilvl w:val="0"/>
                <w:numId w:val="52"/>
              </w:numPr>
              <w:spacing w:after="0"/>
              <w:ind w:left="538" w:hanging="147"/>
              <w:jc w:val="left"/>
              <w:rPr>
                <w:rFonts w:ascii="Arial" w:hAnsi="Arial" w:cs="Arial"/>
                <w:color w:val="auto"/>
                <w:sz w:val="24"/>
                <w:szCs w:val="24"/>
                <w:lang w:eastAsia="en-US"/>
              </w:rPr>
            </w:pPr>
            <w:r w:rsidRPr="00237760">
              <w:rPr>
                <w:rFonts w:ascii="Arial" w:hAnsi="Arial" w:cs="Arial"/>
                <w:color w:val="auto"/>
                <w:sz w:val="24"/>
                <w:szCs w:val="24"/>
                <w:lang w:eastAsia="en-US"/>
              </w:rPr>
              <w:t>w zakresie etapu realizacyjnego:</w:t>
            </w:r>
          </w:p>
          <w:p w14:paraId="74EF688E" w14:textId="77777777" w:rsidR="00090F0C" w:rsidRPr="00237760" w:rsidRDefault="00B04A70" w:rsidP="009367B4">
            <w:pPr>
              <w:pStyle w:val="Akapitzlist"/>
              <w:numPr>
                <w:ilvl w:val="0"/>
                <w:numId w:val="53"/>
              </w:numPr>
              <w:spacing w:after="0"/>
              <w:ind w:left="1105"/>
              <w:jc w:val="left"/>
              <w:rPr>
                <w:rFonts w:ascii="Arial" w:hAnsi="Arial" w:cs="Arial"/>
                <w:color w:val="auto"/>
                <w:sz w:val="24"/>
                <w:szCs w:val="24"/>
              </w:rPr>
            </w:pPr>
            <w:r w:rsidRPr="00237760">
              <w:rPr>
                <w:rFonts w:ascii="Arial" w:hAnsi="Arial" w:cs="Arial"/>
                <w:color w:val="auto"/>
                <w:sz w:val="24"/>
                <w:szCs w:val="24"/>
              </w:rPr>
              <w:t>cele</w:t>
            </w:r>
            <w:r w:rsidR="00FB24C0" w:rsidRPr="00237760">
              <w:rPr>
                <w:rFonts w:ascii="Arial" w:hAnsi="Arial" w:cs="Arial"/>
                <w:color w:val="auto"/>
                <w:sz w:val="24"/>
                <w:szCs w:val="24"/>
              </w:rPr>
              <w:t xml:space="preserve"> są bezpośrednim przełożeniem zdefiniowanych w diagnozie problemów</w:t>
            </w:r>
            <w:r w:rsidR="005B0C93" w:rsidRPr="00237760">
              <w:rPr>
                <w:rFonts w:ascii="Arial" w:hAnsi="Arial" w:cs="Arial"/>
                <w:color w:val="auto"/>
                <w:sz w:val="24"/>
                <w:szCs w:val="24"/>
              </w:rPr>
              <w:t xml:space="preserve"> i dotyczą m.in. zadań w zakresie rozwoju infrastruktury czy </w:t>
            </w:r>
            <w:r w:rsidR="00AF55C0" w:rsidRPr="00237760">
              <w:rPr>
                <w:rFonts w:ascii="Arial" w:hAnsi="Arial" w:cs="Arial"/>
                <w:color w:val="auto"/>
                <w:sz w:val="24"/>
                <w:szCs w:val="24"/>
              </w:rPr>
              <w:t>zmian legislacyjno-organizacyjnych,</w:t>
            </w:r>
          </w:p>
          <w:p w14:paraId="156A739C" w14:textId="3020C9ED" w:rsidR="006369BF" w:rsidRPr="00237760" w:rsidRDefault="00B93731" w:rsidP="009367B4">
            <w:pPr>
              <w:pStyle w:val="Akapitzlist"/>
              <w:numPr>
                <w:ilvl w:val="0"/>
                <w:numId w:val="53"/>
              </w:numPr>
              <w:spacing w:after="0"/>
              <w:ind w:left="1105"/>
              <w:jc w:val="left"/>
              <w:rPr>
                <w:rFonts w:ascii="Arial" w:hAnsi="Arial" w:cs="Arial"/>
                <w:color w:val="auto"/>
                <w:sz w:val="24"/>
                <w:szCs w:val="24"/>
              </w:rPr>
            </w:pPr>
            <w:r w:rsidRPr="00237760">
              <w:rPr>
                <w:rFonts w:ascii="Arial" w:hAnsi="Arial" w:cs="Arial"/>
                <w:color w:val="auto"/>
                <w:sz w:val="24"/>
                <w:szCs w:val="24"/>
              </w:rPr>
              <w:t xml:space="preserve">w rozdz. IV. </w:t>
            </w:r>
            <w:r w:rsidR="00F43AA1" w:rsidRPr="00237760">
              <w:rPr>
                <w:rFonts w:ascii="Arial" w:hAnsi="Arial" w:cs="Arial"/>
                <w:color w:val="auto"/>
                <w:sz w:val="24"/>
                <w:szCs w:val="24"/>
              </w:rPr>
              <w:t xml:space="preserve">przedstawiono </w:t>
            </w:r>
            <w:r w:rsidR="007759BA" w:rsidRPr="00237760">
              <w:rPr>
                <w:rFonts w:ascii="Arial" w:hAnsi="Arial" w:cs="Arial"/>
                <w:color w:val="auto"/>
                <w:sz w:val="24"/>
                <w:szCs w:val="24"/>
              </w:rPr>
              <w:t>organizacyjne założenia dotyczące realizacji dokumentu (</w:t>
            </w:r>
            <w:r w:rsidR="00F3432C" w:rsidRPr="00237760">
              <w:rPr>
                <w:rFonts w:ascii="Arial" w:hAnsi="Arial" w:cs="Arial"/>
                <w:color w:val="auto"/>
                <w:sz w:val="24"/>
                <w:szCs w:val="24"/>
              </w:rPr>
              <w:t xml:space="preserve">wskazano </w:t>
            </w:r>
            <w:r w:rsidR="007759BA" w:rsidRPr="00237760">
              <w:rPr>
                <w:rFonts w:ascii="Arial" w:hAnsi="Arial" w:cs="Arial"/>
                <w:color w:val="auto"/>
                <w:sz w:val="24"/>
                <w:szCs w:val="24"/>
              </w:rPr>
              <w:t>podmioty koordynujące realizację oraz zaangażowane w nią)</w:t>
            </w:r>
            <w:r w:rsidR="00F3432C" w:rsidRPr="00237760">
              <w:rPr>
                <w:rFonts w:ascii="Arial" w:hAnsi="Arial" w:cs="Arial"/>
                <w:color w:val="auto"/>
                <w:sz w:val="24"/>
                <w:szCs w:val="24"/>
              </w:rPr>
              <w:t>.</w:t>
            </w:r>
          </w:p>
        </w:tc>
        <w:tc>
          <w:tcPr>
            <w:tcW w:w="1418" w:type="dxa"/>
            <w:tcBorders>
              <w:top w:val="single" w:sz="4" w:space="0" w:color="BDD6EE" w:themeColor="accent1" w:themeTint="66"/>
              <w:left w:val="nil"/>
              <w:bottom w:val="single" w:sz="4" w:space="0" w:color="BDD6EE" w:themeColor="accent1" w:themeTint="66"/>
              <w:right w:val="nil"/>
            </w:tcBorders>
            <w:vAlign w:val="center"/>
          </w:tcPr>
          <w:p w14:paraId="0A4409C1" w14:textId="65ADB115" w:rsidR="00FD6B84" w:rsidRPr="00237760" w:rsidRDefault="00FD6B84" w:rsidP="009367B4">
            <w:pPr>
              <w:spacing w:after="0" w:line="240" w:lineRule="auto"/>
              <w:contextualSpacing/>
              <w:jc w:val="left"/>
              <w:rPr>
                <w:rFonts w:ascii="Arial" w:hAnsi="Arial" w:cs="Arial"/>
                <w:b/>
                <w:color w:val="auto"/>
                <w:sz w:val="24"/>
                <w:szCs w:val="24"/>
              </w:rPr>
            </w:pPr>
            <w:r w:rsidRPr="00237760">
              <w:rPr>
                <w:rFonts w:ascii="Arial" w:hAnsi="Arial" w:cs="Arial"/>
                <w:b/>
                <w:color w:val="auto"/>
                <w:sz w:val="24"/>
                <w:szCs w:val="24"/>
              </w:rPr>
              <w:lastRenderedPageBreak/>
              <w:t>+</w:t>
            </w:r>
          </w:p>
        </w:tc>
      </w:tr>
      <w:tr w:rsidR="00237760" w:rsidRPr="00237760" w14:paraId="22A4FBCB" w14:textId="77777777" w:rsidTr="00B32A20">
        <w:trPr>
          <w:trHeight w:val="14"/>
        </w:trPr>
        <w:tc>
          <w:tcPr>
            <w:tcW w:w="1706" w:type="dxa"/>
            <w:tcBorders>
              <w:top w:val="single" w:sz="4" w:space="0" w:color="BDD6EE" w:themeColor="accent1" w:themeTint="66"/>
              <w:left w:val="nil"/>
              <w:bottom w:val="single" w:sz="4" w:space="0" w:color="BDD6EE" w:themeColor="accent1" w:themeTint="66"/>
              <w:right w:val="nil"/>
            </w:tcBorders>
            <w:vAlign w:val="center"/>
          </w:tcPr>
          <w:p w14:paraId="2EE1CD7F" w14:textId="132E0D2D" w:rsidR="0070514C" w:rsidRPr="00237760" w:rsidRDefault="0070514C"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Podejście operacyjne</w:t>
            </w:r>
            <w:r w:rsidR="0017272D" w:rsidRPr="00237760">
              <w:rPr>
                <w:rFonts w:ascii="Arial" w:hAnsi="Arial" w:cs="Arial"/>
                <w:color w:val="auto"/>
                <w:sz w:val="24"/>
                <w:szCs w:val="24"/>
              </w:rPr>
              <w:t xml:space="preserve"> </w:t>
            </w:r>
            <w:r w:rsidRPr="00237760">
              <w:rPr>
                <w:rFonts w:ascii="Arial" w:hAnsi="Arial" w:cs="Arial"/>
                <w:color w:val="auto"/>
                <w:sz w:val="24"/>
                <w:szCs w:val="24"/>
              </w:rPr>
              <w:t>/</w:t>
            </w:r>
            <w:r w:rsidR="0017272D" w:rsidRPr="00237760">
              <w:rPr>
                <w:rFonts w:ascii="Arial" w:hAnsi="Arial" w:cs="Arial"/>
                <w:color w:val="auto"/>
                <w:sz w:val="24"/>
                <w:szCs w:val="24"/>
              </w:rPr>
              <w:t xml:space="preserve"> </w:t>
            </w:r>
            <w:r w:rsidRPr="00237760">
              <w:rPr>
                <w:rFonts w:ascii="Arial" w:hAnsi="Arial" w:cs="Arial"/>
                <w:color w:val="auto"/>
                <w:sz w:val="24"/>
                <w:szCs w:val="24"/>
              </w:rPr>
              <w:t>systemowe</w:t>
            </w:r>
          </w:p>
        </w:tc>
        <w:tc>
          <w:tcPr>
            <w:tcW w:w="5812" w:type="dxa"/>
            <w:tcBorders>
              <w:top w:val="single" w:sz="4" w:space="0" w:color="BDD6EE" w:themeColor="accent1" w:themeTint="66"/>
              <w:left w:val="nil"/>
              <w:bottom w:val="single" w:sz="4" w:space="0" w:color="BDD6EE" w:themeColor="accent1" w:themeTint="66"/>
              <w:right w:val="nil"/>
            </w:tcBorders>
          </w:tcPr>
          <w:p w14:paraId="6333483C" w14:textId="13437C92" w:rsidR="0070514C" w:rsidRPr="00237760" w:rsidRDefault="00581A26" w:rsidP="009367B4">
            <w:pPr>
              <w:pStyle w:val="Akapitzlist"/>
              <w:numPr>
                <w:ilvl w:val="0"/>
                <w:numId w:val="39"/>
              </w:numPr>
              <w:spacing w:after="0"/>
              <w:ind w:left="255" w:hanging="142"/>
              <w:jc w:val="left"/>
              <w:rPr>
                <w:rFonts w:ascii="Arial" w:hAnsi="Arial" w:cs="Arial"/>
                <w:color w:val="auto"/>
                <w:sz w:val="24"/>
                <w:szCs w:val="24"/>
                <w:lang w:eastAsia="en-US"/>
              </w:rPr>
            </w:pPr>
            <w:r w:rsidRPr="00237760">
              <w:rPr>
                <w:rFonts w:ascii="Arial" w:hAnsi="Arial" w:cs="Arial"/>
                <w:color w:val="auto"/>
                <w:sz w:val="24"/>
                <w:szCs w:val="24"/>
                <w:lang w:eastAsia="en-US"/>
              </w:rPr>
              <w:t xml:space="preserve">Wskazane cele zoperacjonalizowano kierunkami </w:t>
            </w:r>
            <w:r w:rsidR="00E445B1" w:rsidRPr="00237760">
              <w:rPr>
                <w:rFonts w:ascii="Arial" w:hAnsi="Arial" w:cs="Arial"/>
                <w:color w:val="auto"/>
                <w:sz w:val="24"/>
                <w:szCs w:val="24"/>
                <w:lang w:eastAsia="en-US"/>
              </w:rPr>
              <w:t>rozwoju</w:t>
            </w:r>
            <w:r w:rsidR="00E10B8E" w:rsidRPr="00237760">
              <w:rPr>
                <w:rFonts w:ascii="Arial" w:hAnsi="Arial" w:cs="Arial"/>
                <w:color w:val="auto"/>
                <w:sz w:val="24"/>
                <w:szCs w:val="24"/>
                <w:lang w:eastAsia="en-US"/>
              </w:rPr>
              <w:t>, które stanowią ramy dla przyszłych inwestycji</w:t>
            </w:r>
            <w:r w:rsidR="00E057F4" w:rsidRPr="00237760">
              <w:rPr>
                <w:rFonts w:ascii="Arial" w:hAnsi="Arial" w:cs="Arial"/>
                <w:color w:val="auto"/>
                <w:sz w:val="24"/>
                <w:szCs w:val="24"/>
                <w:lang w:eastAsia="en-US"/>
              </w:rPr>
              <w:t>;</w:t>
            </w:r>
          </w:p>
          <w:p w14:paraId="1D1217B7" w14:textId="77777777" w:rsidR="00E057F4" w:rsidRPr="00237760" w:rsidRDefault="00E057F4" w:rsidP="009367B4">
            <w:pPr>
              <w:pStyle w:val="Akapitzlist"/>
              <w:numPr>
                <w:ilvl w:val="0"/>
                <w:numId w:val="39"/>
              </w:numPr>
              <w:spacing w:after="0"/>
              <w:ind w:left="255" w:hanging="142"/>
              <w:jc w:val="left"/>
              <w:rPr>
                <w:rFonts w:ascii="Arial" w:hAnsi="Arial" w:cs="Arial"/>
                <w:color w:val="auto"/>
                <w:sz w:val="24"/>
                <w:szCs w:val="24"/>
                <w:lang w:eastAsia="en-US"/>
              </w:rPr>
            </w:pPr>
            <w:r w:rsidRPr="00237760">
              <w:rPr>
                <w:rFonts w:ascii="Arial" w:hAnsi="Arial" w:cs="Arial"/>
                <w:color w:val="auto"/>
                <w:sz w:val="24"/>
                <w:szCs w:val="24"/>
                <w:lang w:eastAsia="en-US"/>
              </w:rPr>
              <w:t>W zamyśle autorów</w:t>
            </w:r>
            <w:r w:rsidR="00FA7BE5" w:rsidRPr="00237760">
              <w:rPr>
                <w:rFonts w:ascii="Arial" w:hAnsi="Arial" w:cs="Arial"/>
                <w:color w:val="auto"/>
                <w:sz w:val="24"/>
                <w:szCs w:val="24"/>
                <w:lang w:eastAsia="en-US"/>
              </w:rPr>
              <w:t xml:space="preserve"> cele i kierunki miały mieć charakter komplementarny</w:t>
            </w:r>
            <w:r w:rsidR="007406A2" w:rsidRPr="00237760">
              <w:rPr>
                <w:rFonts w:ascii="Arial" w:hAnsi="Arial" w:cs="Arial"/>
                <w:color w:val="auto"/>
                <w:sz w:val="24"/>
                <w:szCs w:val="24"/>
                <w:lang w:eastAsia="en-US"/>
              </w:rPr>
              <w:t>, a ich realizacja ma dążyć do „zmian systemowych”</w:t>
            </w:r>
            <w:r w:rsidR="008970AA" w:rsidRPr="00237760">
              <w:rPr>
                <w:rFonts w:ascii="Arial" w:hAnsi="Arial" w:cs="Arial"/>
                <w:color w:val="auto"/>
                <w:sz w:val="24"/>
                <w:szCs w:val="24"/>
                <w:lang w:eastAsia="en-US"/>
              </w:rPr>
              <w:t xml:space="preserve"> i rzeczywiście </w:t>
            </w:r>
            <w:r w:rsidR="005B4A72" w:rsidRPr="00237760">
              <w:rPr>
                <w:rFonts w:ascii="Arial" w:hAnsi="Arial" w:cs="Arial"/>
                <w:color w:val="auto"/>
                <w:sz w:val="24"/>
                <w:szCs w:val="24"/>
                <w:lang w:eastAsia="en-US"/>
              </w:rPr>
              <w:t>zgodnie z założeniami</w:t>
            </w:r>
            <w:r w:rsidR="00D01330" w:rsidRPr="00237760">
              <w:rPr>
                <w:rFonts w:ascii="Arial" w:hAnsi="Arial" w:cs="Arial"/>
                <w:color w:val="auto"/>
                <w:sz w:val="24"/>
                <w:szCs w:val="24"/>
                <w:lang w:eastAsia="en-US"/>
              </w:rPr>
              <w:t xml:space="preserve"> </w:t>
            </w:r>
            <w:r w:rsidR="005F5B38" w:rsidRPr="00237760">
              <w:rPr>
                <w:rFonts w:ascii="Arial" w:hAnsi="Arial" w:cs="Arial"/>
                <w:color w:val="auto"/>
                <w:sz w:val="24"/>
                <w:szCs w:val="24"/>
                <w:lang w:eastAsia="en-US"/>
              </w:rPr>
              <w:t xml:space="preserve">cele horyzontalne i podstawowe </w:t>
            </w:r>
            <w:r w:rsidR="00D01330" w:rsidRPr="00237760">
              <w:rPr>
                <w:rFonts w:ascii="Arial" w:hAnsi="Arial" w:cs="Arial"/>
                <w:color w:val="auto"/>
                <w:sz w:val="24"/>
                <w:szCs w:val="24"/>
                <w:lang w:eastAsia="en-US"/>
              </w:rPr>
              <w:t xml:space="preserve">(wraz z kierunkami) </w:t>
            </w:r>
            <w:r w:rsidR="005F5B38" w:rsidRPr="00237760">
              <w:rPr>
                <w:rFonts w:ascii="Arial" w:hAnsi="Arial" w:cs="Arial"/>
                <w:color w:val="auto"/>
                <w:sz w:val="24"/>
                <w:szCs w:val="24"/>
                <w:lang w:eastAsia="en-US"/>
              </w:rPr>
              <w:t>w</w:t>
            </w:r>
            <w:r w:rsidR="005B4A72" w:rsidRPr="00237760">
              <w:rPr>
                <w:rFonts w:ascii="Arial" w:hAnsi="Arial" w:cs="Arial"/>
                <w:color w:val="auto"/>
                <w:sz w:val="24"/>
                <w:szCs w:val="24"/>
                <w:lang w:eastAsia="en-US"/>
              </w:rPr>
              <w:t>zajemnie się przenikają</w:t>
            </w:r>
            <w:r w:rsidR="001B223D" w:rsidRPr="00237760">
              <w:rPr>
                <w:rFonts w:ascii="Arial" w:hAnsi="Arial" w:cs="Arial"/>
                <w:color w:val="auto"/>
                <w:sz w:val="24"/>
                <w:szCs w:val="24"/>
                <w:lang w:eastAsia="en-US"/>
              </w:rPr>
              <w:t xml:space="preserve"> i tak np. </w:t>
            </w:r>
            <w:r w:rsidR="00106879" w:rsidRPr="00237760">
              <w:rPr>
                <w:rFonts w:ascii="Arial" w:hAnsi="Arial" w:cs="Arial"/>
                <w:color w:val="auto"/>
                <w:sz w:val="24"/>
                <w:szCs w:val="24"/>
                <w:lang w:eastAsia="en-US"/>
              </w:rPr>
              <w:t xml:space="preserve">kierunki dotyczące rozwój transportu kolejowego </w:t>
            </w:r>
            <w:r w:rsidR="00812ECC" w:rsidRPr="00237760">
              <w:rPr>
                <w:rFonts w:ascii="Arial" w:hAnsi="Arial" w:cs="Arial"/>
                <w:color w:val="auto"/>
                <w:sz w:val="24"/>
                <w:szCs w:val="24"/>
                <w:lang w:eastAsia="en-US"/>
              </w:rPr>
              <w:t xml:space="preserve">wskazano w </w:t>
            </w:r>
            <w:r w:rsidR="00E44064" w:rsidRPr="00237760">
              <w:rPr>
                <w:rFonts w:ascii="Arial" w:hAnsi="Arial" w:cs="Arial"/>
                <w:color w:val="auto"/>
                <w:sz w:val="24"/>
                <w:szCs w:val="24"/>
                <w:lang w:eastAsia="en-US"/>
              </w:rPr>
              <w:t>celach podstawowych 1.-3. oraz w celach horyzontalnych 2.-3.</w:t>
            </w:r>
            <w:r w:rsidR="00520541" w:rsidRPr="00237760">
              <w:rPr>
                <w:rFonts w:ascii="Arial" w:hAnsi="Arial" w:cs="Arial"/>
                <w:color w:val="auto"/>
                <w:sz w:val="24"/>
                <w:szCs w:val="24"/>
                <w:lang w:eastAsia="en-US"/>
              </w:rPr>
              <w:t>;</w:t>
            </w:r>
          </w:p>
          <w:p w14:paraId="1E8381BE" w14:textId="3486181F" w:rsidR="007F5EDF" w:rsidRPr="00237760" w:rsidRDefault="00780DB5" w:rsidP="009367B4">
            <w:pPr>
              <w:pStyle w:val="Akapitzlist"/>
              <w:numPr>
                <w:ilvl w:val="0"/>
                <w:numId w:val="39"/>
              </w:numPr>
              <w:spacing w:after="0"/>
              <w:ind w:left="255" w:hanging="142"/>
              <w:jc w:val="left"/>
              <w:rPr>
                <w:rFonts w:ascii="Arial" w:hAnsi="Arial" w:cs="Arial"/>
                <w:color w:val="auto"/>
                <w:sz w:val="24"/>
                <w:szCs w:val="24"/>
                <w:lang w:eastAsia="en-US"/>
              </w:rPr>
            </w:pPr>
            <w:r w:rsidRPr="00237760">
              <w:rPr>
                <w:rFonts w:ascii="Arial" w:hAnsi="Arial" w:cs="Arial"/>
                <w:color w:val="auto"/>
                <w:sz w:val="24"/>
                <w:szCs w:val="24"/>
                <w:lang w:eastAsia="en-US"/>
              </w:rPr>
              <w:t xml:space="preserve">Zaprezentowano </w:t>
            </w:r>
            <w:r w:rsidR="00F311FF" w:rsidRPr="00237760">
              <w:rPr>
                <w:rFonts w:ascii="Arial" w:hAnsi="Arial" w:cs="Arial"/>
                <w:color w:val="auto"/>
                <w:sz w:val="24"/>
                <w:szCs w:val="24"/>
                <w:lang w:eastAsia="en-US"/>
              </w:rPr>
              <w:t xml:space="preserve">analizowane różne warianty </w:t>
            </w:r>
            <w:r w:rsidRPr="00237760">
              <w:rPr>
                <w:rFonts w:ascii="Arial" w:hAnsi="Arial" w:cs="Arial"/>
                <w:color w:val="auto"/>
                <w:sz w:val="24"/>
                <w:szCs w:val="24"/>
                <w:lang w:eastAsia="en-US"/>
              </w:rPr>
              <w:t>oraz wybrany wariant planistyczny (</w:t>
            </w:r>
            <w:r w:rsidR="00556B57" w:rsidRPr="00237760">
              <w:rPr>
                <w:rFonts w:ascii="Arial" w:hAnsi="Arial" w:cs="Arial"/>
                <w:color w:val="auto"/>
                <w:sz w:val="24"/>
                <w:szCs w:val="24"/>
                <w:lang w:eastAsia="en-US"/>
              </w:rPr>
              <w:t>Wariant 4. Równomiernego rozwoju multimodalnego</w:t>
            </w:r>
            <w:r w:rsidRPr="00237760">
              <w:rPr>
                <w:rFonts w:ascii="Arial" w:hAnsi="Arial" w:cs="Arial"/>
                <w:color w:val="auto"/>
                <w:sz w:val="24"/>
                <w:szCs w:val="24"/>
                <w:lang w:eastAsia="en-US"/>
              </w:rPr>
              <w:t>)</w:t>
            </w:r>
            <w:r w:rsidR="00355E2D" w:rsidRPr="00237760">
              <w:rPr>
                <w:rFonts w:ascii="Arial" w:hAnsi="Arial" w:cs="Arial"/>
                <w:color w:val="auto"/>
                <w:sz w:val="24"/>
                <w:szCs w:val="24"/>
                <w:lang w:eastAsia="en-US"/>
              </w:rPr>
              <w:t xml:space="preserve">, </w:t>
            </w:r>
            <w:r w:rsidR="007F5EDF" w:rsidRPr="00237760">
              <w:rPr>
                <w:rFonts w:ascii="Arial" w:hAnsi="Arial" w:cs="Arial"/>
                <w:color w:val="auto"/>
                <w:sz w:val="24"/>
                <w:szCs w:val="24"/>
                <w:lang w:eastAsia="en-US"/>
              </w:rPr>
              <w:t xml:space="preserve">którego założenia są </w:t>
            </w:r>
            <w:r w:rsidR="00B24198" w:rsidRPr="00237760">
              <w:rPr>
                <w:rFonts w:ascii="Arial" w:hAnsi="Arial" w:cs="Arial"/>
                <w:color w:val="auto"/>
                <w:sz w:val="24"/>
                <w:szCs w:val="24"/>
                <w:lang w:eastAsia="en-US"/>
              </w:rPr>
              <w:t>wyraźnie przełożone na cele i kierunki</w:t>
            </w:r>
            <w:r w:rsidR="005D5B5E" w:rsidRPr="00237760">
              <w:rPr>
                <w:rFonts w:ascii="Arial" w:hAnsi="Arial" w:cs="Arial"/>
                <w:color w:val="auto"/>
                <w:sz w:val="24"/>
                <w:szCs w:val="24"/>
                <w:lang w:eastAsia="en-US"/>
              </w:rPr>
              <w:t xml:space="preserve"> (</w:t>
            </w:r>
            <w:r w:rsidR="00355E2D" w:rsidRPr="00237760">
              <w:rPr>
                <w:rFonts w:ascii="Arial" w:hAnsi="Arial" w:cs="Arial"/>
                <w:color w:val="auto"/>
                <w:sz w:val="24"/>
                <w:szCs w:val="24"/>
                <w:lang w:eastAsia="en-US"/>
              </w:rPr>
              <w:t xml:space="preserve">miarami realizacji </w:t>
            </w:r>
            <w:r w:rsidR="005D5B5E" w:rsidRPr="00237760">
              <w:rPr>
                <w:rFonts w:ascii="Arial" w:hAnsi="Arial" w:cs="Arial"/>
                <w:color w:val="auto"/>
                <w:sz w:val="24"/>
                <w:szCs w:val="24"/>
                <w:lang w:eastAsia="en-US"/>
              </w:rPr>
              <w:t xml:space="preserve">wariantu </w:t>
            </w:r>
            <w:r w:rsidR="00355E2D" w:rsidRPr="00237760">
              <w:rPr>
                <w:rFonts w:ascii="Arial" w:hAnsi="Arial" w:cs="Arial"/>
                <w:color w:val="auto"/>
                <w:sz w:val="24"/>
                <w:szCs w:val="24"/>
                <w:lang w:eastAsia="en-US"/>
              </w:rPr>
              <w:t>mają być m.in.: długość nowych i/lub zmodernizowanych dróg i linii kolejowych</w:t>
            </w:r>
            <w:r w:rsidR="00B9648A" w:rsidRPr="00237760">
              <w:rPr>
                <w:rFonts w:ascii="Arial" w:hAnsi="Arial" w:cs="Arial"/>
                <w:color w:val="auto"/>
                <w:sz w:val="24"/>
                <w:szCs w:val="24"/>
                <w:lang w:eastAsia="en-US"/>
              </w:rPr>
              <w:t>,</w:t>
            </w:r>
            <w:r w:rsidR="00355E2D" w:rsidRPr="00237760">
              <w:rPr>
                <w:rFonts w:ascii="Arial" w:hAnsi="Arial" w:cs="Arial"/>
                <w:color w:val="auto"/>
                <w:sz w:val="24"/>
                <w:szCs w:val="24"/>
                <w:lang w:eastAsia="en-US"/>
              </w:rPr>
              <w:t xml:space="preserve"> które bezpośrednio łączą MOF w regionie, liczba węzłów przesiadkowych multimodalnych, czas dojazdu do Rzeszowa oraz innych MOF z miast powiatowych, czas dojazdu między MOF (transport indywidualny i zbiorowy), </w:t>
            </w:r>
            <w:r w:rsidR="00355E2D" w:rsidRPr="00237760">
              <w:rPr>
                <w:rFonts w:ascii="Arial" w:hAnsi="Arial" w:cs="Arial"/>
                <w:color w:val="auto"/>
                <w:sz w:val="24"/>
                <w:szCs w:val="24"/>
                <w:lang w:eastAsia="en-US"/>
              </w:rPr>
              <w:lastRenderedPageBreak/>
              <w:t>poziom emisji CO2 (w wybranych miastach) oraz liczba dni ze smogiem w wybranych MOF</w:t>
            </w:r>
            <w:r w:rsidR="005D5B5E" w:rsidRPr="00237760">
              <w:rPr>
                <w:rFonts w:ascii="Arial" w:hAnsi="Arial" w:cs="Arial"/>
                <w:color w:val="auto"/>
                <w:sz w:val="24"/>
                <w:szCs w:val="24"/>
                <w:lang w:eastAsia="en-US"/>
              </w:rPr>
              <w:t>)</w:t>
            </w:r>
            <w:r w:rsidR="0084540C" w:rsidRPr="00237760">
              <w:rPr>
                <w:rFonts w:ascii="Arial" w:hAnsi="Arial" w:cs="Arial"/>
                <w:color w:val="auto"/>
                <w:sz w:val="24"/>
                <w:szCs w:val="24"/>
                <w:lang w:eastAsia="en-US"/>
              </w:rPr>
              <w:t>;</w:t>
            </w:r>
          </w:p>
          <w:p w14:paraId="1A766D10" w14:textId="1D6B10AD" w:rsidR="00520541" w:rsidRPr="00237760" w:rsidRDefault="00E03C32" w:rsidP="009367B4">
            <w:pPr>
              <w:pStyle w:val="Akapitzlist"/>
              <w:numPr>
                <w:ilvl w:val="0"/>
                <w:numId w:val="39"/>
              </w:numPr>
              <w:spacing w:after="0"/>
              <w:ind w:left="255" w:hanging="142"/>
              <w:jc w:val="left"/>
              <w:rPr>
                <w:rFonts w:ascii="Arial" w:hAnsi="Arial" w:cs="Arial"/>
                <w:color w:val="auto"/>
                <w:sz w:val="24"/>
                <w:szCs w:val="24"/>
                <w:lang w:eastAsia="en-US"/>
              </w:rPr>
            </w:pPr>
            <w:r w:rsidRPr="00237760">
              <w:rPr>
                <w:rFonts w:ascii="Arial" w:hAnsi="Arial" w:cs="Arial"/>
                <w:color w:val="auto"/>
                <w:sz w:val="24"/>
                <w:szCs w:val="24"/>
                <w:lang w:eastAsia="en-US"/>
              </w:rPr>
              <w:t xml:space="preserve">Cele reprezentują kierunki </w:t>
            </w:r>
            <w:r w:rsidR="00A066D1" w:rsidRPr="00237760">
              <w:rPr>
                <w:rFonts w:ascii="Arial" w:hAnsi="Arial" w:cs="Arial"/>
                <w:color w:val="auto"/>
                <w:sz w:val="24"/>
                <w:szCs w:val="24"/>
                <w:lang w:eastAsia="en-US"/>
              </w:rPr>
              <w:t>mające charakter organizacyjny (prawny, instytucjonalny), operacyjn</w:t>
            </w:r>
            <w:r w:rsidR="00957B4C" w:rsidRPr="00237760">
              <w:rPr>
                <w:rFonts w:ascii="Arial" w:hAnsi="Arial" w:cs="Arial"/>
                <w:color w:val="auto"/>
                <w:sz w:val="24"/>
                <w:szCs w:val="24"/>
                <w:lang w:eastAsia="en-US"/>
              </w:rPr>
              <w:t>y</w:t>
            </w:r>
            <w:r w:rsidR="00A066D1" w:rsidRPr="00237760">
              <w:rPr>
                <w:rFonts w:ascii="Arial" w:hAnsi="Arial" w:cs="Arial"/>
                <w:color w:val="auto"/>
                <w:sz w:val="24"/>
                <w:szCs w:val="24"/>
                <w:lang w:eastAsia="en-US"/>
              </w:rPr>
              <w:t xml:space="preserve"> i infrastrukturaln</w:t>
            </w:r>
            <w:r w:rsidR="00957B4C" w:rsidRPr="00237760">
              <w:rPr>
                <w:rFonts w:ascii="Arial" w:hAnsi="Arial" w:cs="Arial"/>
                <w:color w:val="auto"/>
                <w:sz w:val="24"/>
                <w:szCs w:val="24"/>
                <w:lang w:eastAsia="en-US"/>
              </w:rPr>
              <w:t>y:</w:t>
            </w:r>
          </w:p>
          <w:p w14:paraId="41256290" w14:textId="77777777" w:rsidR="00090F0C" w:rsidRPr="00237760" w:rsidRDefault="00957B4C" w:rsidP="009367B4">
            <w:pPr>
              <w:pStyle w:val="Akapitzlist"/>
              <w:numPr>
                <w:ilvl w:val="0"/>
                <w:numId w:val="52"/>
              </w:numPr>
              <w:spacing w:after="0"/>
              <w:ind w:left="538" w:hanging="147"/>
              <w:jc w:val="left"/>
              <w:rPr>
                <w:rFonts w:ascii="Arial" w:hAnsi="Arial" w:cs="Arial"/>
                <w:color w:val="auto"/>
                <w:sz w:val="24"/>
                <w:szCs w:val="24"/>
                <w:lang w:eastAsia="en-US"/>
              </w:rPr>
            </w:pPr>
            <w:r w:rsidRPr="00237760">
              <w:rPr>
                <w:rFonts w:ascii="Arial" w:hAnsi="Arial" w:cs="Arial"/>
                <w:color w:val="auto"/>
                <w:sz w:val="24"/>
                <w:szCs w:val="24"/>
                <w:lang w:eastAsia="en-US"/>
              </w:rPr>
              <w:t>kierunki w ramach celów podstawowych mają przede wszystkim charakter infrastrukturalny,</w:t>
            </w:r>
          </w:p>
          <w:p w14:paraId="279541E0" w14:textId="6ABBC946" w:rsidR="00A438D8" w:rsidRPr="00237760" w:rsidRDefault="00957B4C" w:rsidP="009367B4">
            <w:pPr>
              <w:pStyle w:val="Akapitzlist"/>
              <w:numPr>
                <w:ilvl w:val="0"/>
                <w:numId w:val="52"/>
              </w:numPr>
              <w:spacing w:after="0"/>
              <w:ind w:left="538" w:hanging="147"/>
              <w:jc w:val="left"/>
              <w:rPr>
                <w:rFonts w:ascii="Arial" w:hAnsi="Arial" w:cs="Arial"/>
                <w:color w:val="auto"/>
                <w:sz w:val="24"/>
                <w:szCs w:val="24"/>
                <w:lang w:eastAsia="en-US"/>
              </w:rPr>
            </w:pPr>
            <w:r w:rsidRPr="00237760">
              <w:rPr>
                <w:rFonts w:ascii="Arial" w:hAnsi="Arial" w:cs="Arial"/>
                <w:color w:val="auto"/>
                <w:sz w:val="24"/>
                <w:szCs w:val="24"/>
                <w:lang w:eastAsia="en-US"/>
              </w:rPr>
              <w:t xml:space="preserve">kierunki w ramach celów </w:t>
            </w:r>
            <w:r w:rsidR="001A23D8" w:rsidRPr="00237760">
              <w:rPr>
                <w:rFonts w:ascii="Arial" w:hAnsi="Arial" w:cs="Arial"/>
                <w:color w:val="auto"/>
                <w:sz w:val="24"/>
                <w:szCs w:val="24"/>
                <w:lang w:eastAsia="en-US"/>
              </w:rPr>
              <w:t xml:space="preserve">horyzontalnych charakteryzuje znaczne zróżnicowanie – oprócz </w:t>
            </w:r>
            <w:r w:rsidR="00C604BD" w:rsidRPr="00237760">
              <w:rPr>
                <w:rFonts w:ascii="Arial" w:hAnsi="Arial" w:cs="Arial"/>
                <w:color w:val="auto"/>
                <w:sz w:val="24"/>
                <w:szCs w:val="24"/>
                <w:lang w:eastAsia="en-US"/>
              </w:rPr>
              <w:t xml:space="preserve">działań infrastrukturalnych zdefiniowano też </w:t>
            </w:r>
            <w:r w:rsidR="00F76174" w:rsidRPr="00237760">
              <w:rPr>
                <w:rFonts w:ascii="Arial" w:hAnsi="Arial" w:cs="Arial"/>
                <w:color w:val="auto"/>
                <w:sz w:val="24"/>
                <w:szCs w:val="24"/>
                <w:lang w:eastAsia="en-US"/>
              </w:rPr>
              <w:t xml:space="preserve">organizacyjne i operacyjne </w:t>
            </w:r>
            <w:r w:rsidR="00D57C9A" w:rsidRPr="00237760">
              <w:rPr>
                <w:rFonts w:ascii="Arial" w:hAnsi="Arial" w:cs="Arial"/>
                <w:color w:val="auto"/>
                <w:sz w:val="24"/>
                <w:szCs w:val="24"/>
                <w:lang w:eastAsia="en-US"/>
              </w:rPr>
              <w:t>(np. Wprowadzenie zintegrowanego systemu transportu publicznego uwzględniającego działania wielu przewoźników polegające na opracowaniu wspólnego biletu, czy Wzrost bezpieczeństwa pieszych i rowerzystów, poprzez promocję zmiany zachowań transportowych)</w:t>
            </w:r>
            <w:r w:rsidR="00E81E63" w:rsidRPr="00237760">
              <w:rPr>
                <w:rFonts w:ascii="Arial" w:hAnsi="Arial" w:cs="Arial"/>
                <w:color w:val="auto"/>
                <w:sz w:val="24"/>
                <w:szCs w:val="24"/>
                <w:lang w:eastAsia="en-US"/>
              </w:rPr>
              <w:t>.</w:t>
            </w:r>
          </w:p>
        </w:tc>
        <w:tc>
          <w:tcPr>
            <w:tcW w:w="1418" w:type="dxa"/>
            <w:tcBorders>
              <w:top w:val="single" w:sz="4" w:space="0" w:color="BDD6EE" w:themeColor="accent1" w:themeTint="66"/>
              <w:left w:val="nil"/>
              <w:bottom w:val="single" w:sz="4" w:space="0" w:color="BDD6EE" w:themeColor="accent1" w:themeTint="66"/>
              <w:right w:val="nil"/>
            </w:tcBorders>
            <w:vAlign w:val="center"/>
          </w:tcPr>
          <w:p w14:paraId="240D05D1" w14:textId="2A47F477" w:rsidR="0070514C" w:rsidRPr="00237760" w:rsidRDefault="001675C0" w:rsidP="009367B4">
            <w:pPr>
              <w:spacing w:after="0" w:line="240" w:lineRule="auto"/>
              <w:contextualSpacing/>
              <w:jc w:val="left"/>
              <w:rPr>
                <w:rFonts w:ascii="Arial" w:hAnsi="Arial" w:cs="Arial"/>
                <w:b/>
                <w:color w:val="auto"/>
                <w:sz w:val="24"/>
                <w:szCs w:val="24"/>
              </w:rPr>
            </w:pPr>
            <w:r w:rsidRPr="00237760">
              <w:rPr>
                <w:rFonts w:ascii="Arial" w:hAnsi="Arial" w:cs="Arial"/>
                <w:b/>
                <w:bCs/>
                <w:color w:val="auto"/>
                <w:sz w:val="24"/>
                <w:szCs w:val="24"/>
              </w:rPr>
              <w:lastRenderedPageBreak/>
              <w:t>+</w:t>
            </w:r>
          </w:p>
        </w:tc>
      </w:tr>
      <w:tr w:rsidR="00237760" w:rsidRPr="00237760" w14:paraId="5B2724D6" w14:textId="77777777" w:rsidTr="00B32A20">
        <w:trPr>
          <w:trHeight w:val="14"/>
        </w:trPr>
        <w:tc>
          <w:tcPr>
            <w:tcW w:w="1706" w:type="dxa"/>
            <w:tcBorders>
              <w:top w:val="single" w:sz="4" w:space="0" w:color="BDD6EE" w:themeColor="accent1" w:themeTint="66"/>
              <w:left w:val="nil"/>
              <w:bottom w:val="single" w:sz="4" w:space="0" w:color="BDD6EE" w:themeColor="accent1" w:themeTint="66"/>
              <w:right w:val="nil"/>
            </w:tcBorders>
            <w:vAlign w:val="center"/>
          </w:tcPr>
          <w:p w14:paraId="59E13D0F" w14:textId="2EA2945C" w:rsidR="0070514C" w:rsidRPr="00237760" w:rsidRDefault="0028271C"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Zaangażowanie mieszkańców i interesariuszy</w:t>
            </w:r>
          </w:p>
        </w:tc>
        <w:tc>
          <w:tcPr>
            <w:tcW w:w="5812" w:type="dxa"/>
            <w:tcBorders>
              <w:top w:val="single" w:sz="4" w:space="0" w:color="BDD6EE" w:themeColor="accent1" w:themeTint="66"/>
              <w:left w:val="nil"/>
              <w:bottom w:val="single" w:sz="4" w:space="0" w:color="BDD6EE" w:themeColor="accent1" w:themeTint="66"/>
              <w:right w:val="nil"/>
            </w:tcBorders>
          </w:tcPr>
          <w:p w14:paraId="57EDC99E" w14:textId="77777777" w:rsidR="00090F0C" w:rsidRPr="00237760" w:rsidRDefault="00342EAB" w:rsidP="009367B4">
            <w:pPr>
              <w:pStyle w:val="Akapitzlist"/>
              <w:numPr>
                <w:ilvl w:val="0"/>
                <w:numId w:val="39"/>
              </w:numPr>
              <w:spacing w:after="0"/>
              <w:ind w:left="255" w:hanging="142"/>
              <w:jc w:val="left"/>
              <w:rPr>
                <w:rFonts w:ascii="Arial" w:hAnsi="Arial" w:cs="Arial"/>
                <w:color w:val="auto"/>
                <w:sz w:val="24"/>
                <w:szCs w:val="24"/>
                <w:lang w:eastAsia="en-US"/>
              </w:rPr>
            </w:pPr>
            <w:r w:rsidRPr="00237760">
              <w:rPr>
                <w:rFonts w:ascii="Arial" w:hAnsi="Arial" w:cs="Arial"/>
                <w:color w:val="auto"/>
                <w:sz w:val="24"/>
                <w:szCs w:val="24"/>
                <w:lang w:eastAsia="en-US"/>
              </w:rPr>
              <w:t>Prace nad dokumentem miały</w:t>
            </w:r>
            <w:r w:rsidR="007B2620" w:rsidRPr="00237760">
              <w:rPr>
                <w:rFonts w:ascii="Arial" w:hAnsi="Arial" w:cs="Arial"/>
                <w:color w:val="auto"/>
                <w:sz w:val="24"/>
                <w:szCs w:val="24"/>
                <w:lang w:eastAsia="en-US"/>
              </w:rPr>
              <w:t xml:space="preserve"> charakter uspołeczniony</w:t>
            </w:r>
            <w:r w:rsidR="00FE45B5" w:rsidRPr="00237760">
              <w:rPr>
                <w:rFonts w:ascii="Arial" w:hAnsi="Arial" w:cs="Arial"/>
                <w:color w:val="auto"/>
                <w:sz w:val="24"/>
                <w:szCs w:val="24"/>
                <w:lang w:eastAsia="en-US"/>
              </w:rPr>
              <w:t xml:space="preserve">, świadczy o tym chociażby następujący cytat: </w:t>
            </w:r>
            <w:r w:rsidR="000E4917" w:rsidRPr="00237760">
              <w:rPr>
                <w:rFonts w:ascii="Arial" w:hAnsi="Arial" w:cs="Arial"/>
                <w:color w:val="auto"/>
                <w:sz w:val="24"/>
                <w:szCs w:val="24"/>
                <w:lang w:eastAsia="en-US"/>
              </w:rPr>
              <w:t>„Na wstępnym etapie przygotowania dokumentu stworzono platformę wymiany informacji dla wszystkich interesariuszy w zakresie transportu – zarówno publicznych jak i prywatnych. Umożliwiono im wskazanie swoich możliwości oraz ograniczeń. Wysłuchano potrzeb w zakresie realizacji podstawowych zadań, a także zgromadzono dane”</w:t>
            </w:r>
            <w:r w:rsidR="00F85761" w:rsidRPr="00237760">
              <w:rPr>
                <w:rFonts w:ascii="Arial" w:hAnsi="Arial" w:cs="Arial"/>
                <w:color w:val="auto"/>
                <w:sz w:val="24"/>
                <w:szCs w:val="24"/>
                <w:lang w:eastAsia="en-US"/>
              </w:rPr>
              <w:t>;</w:t>
            </w:r>
          </w:p>
          <w:p w14:paraId="30F04A9B" w14:textId="738186F0" w:rsidR="00816FB0" w:rsidRPr="00237760" w:rsidRDefault="00DD2308" w:rsidP="009367B4">
            <w:pPr>
              <w:pStyle w:val="Akapitzlist"/>
              <w:numPr>
                <w:ilvl w:val="0"/>
                <w:numId w:val="39"/>
              </w:numPr>
              <w:spacing w:after="0"/>
              <w:ind w:left="255" w:hanging="142"/>
              <w:jc w:val="left"/>
              <w:rPr>
                <w:rFonts w:ascii="Arial" w:hAnsi="Arial" w:cs="Arial"/>
                <w:color w:val="auto"/>
                <w:sz w:val="24"/>
                <w:szCs w:val="24"/>
                <w:lang w:eastAsia="en-US"/>
              </w:rPr>
            </w:pPr>
            <w:r w:rsidRPr="00237760">
              <w:rPr>
                <w:rFonts w:ascii="Arial" w:hAnsi="Arial" w:cs="Arial"/>
                <w:color w:val="auto"/>
                <w:sz w:val="24"/>
                <w:szCs w:val="24"/>
                <w:lang w:eastAsia="en-US"/>
              </w:rPr>
              <w:t xml:space="preserve">Poza </w:t>
            </w:r>
            <w:r w:rsidR="001215A2" w:rsidRPr="00237760">
              <w:rPr>
                <w:rFonts w:ascii="Arial" w:hAnsi="Arial" w:cs="Arial"/>
                <w:color w:val="auto"/>
                <w:sz w:val="24"/>
                <w:szCs w:val="24"/>
                <w:lang w:eastAsia="en-US"/>
              </w:rPr>
              <w:t>zaangażowani</w:t>
            </w:r>
            <w:r w:rsidR="00F85761" w:rsidRPr="00237760">
              <w:rPr>
                <w:rFonts w:ascii="Arial" w:hAnsi="Arial" w:cs="Arial"/>
                <w:color w:val="auto"/>
                <w:sz w:val="24"/>
                <w:szCs w:val="24"/>
                <w:lang w:eastAsia="en-US"/>
              </w:rPr>
              <w:t>em</w:t>
            </w:r>
            <w:r w:rsidR="001215A2" w:rsidRPr="00237760">
              <w:rPr>
                <w:rFonts w:ascii="Arial" w:hAnsi="Arial" w:cs="Arial"/>
                <w:color w:val="auto"/>
                <w:sz w:val="24"/>
                <w:szCs w:val="24"/>
                <w:lang w:eastAsia="en-US"/>
              </w:rPr>
              <w:t xml:space="preserve"> społeczeństwa w </w:t>
            </w:r>
            <w:r w:rsidR="009655A2" w:rsidRPr="00237760">
              <w:rPr>
                <w:rFonts w:ascii="Arial" w:hAnsi="Arial" w:cs="Arial"/>
                <w:color w:val="auto"/>
                <w:sz w:val="24"/>
                <w:szCs w:val="24"/>
                <w:lang w:eastAsia="en-US"/>
              </w:rPr>
              <w:t xml:space="preserve">bieżące </w:t>
            </w:r>
            <w:r w:rsidR="001215A2" w:rsidRPr="00237760">
              <w:rPr>
                <w:rFonts w:ascii="Arial" w:hAnsi="Arial" w:cs="Arial"/>
                <w:color w:val="auto"/>
                <w:sz w:val="24"/>
                <w:szCs w:val="24"/>
                <w:lang w:eastAsia="en-US"/>
              </w:rPr>
              <w:t>prac</w:t>
            </w:r>
            <w:r w:rsidR="009655A2" w:rsidRPr="00237760">
              <w:rPr>
                <w:rFonts w:ascii="Arial" w:hAnsi="Arial" w:cs="Arial"/>
                <w:color w:val="auto"/>
                <w:sz w:val="24"/>
                <w:szCs w:val="24"/>
                <w:lang w:eastAsia="en-US"/>
              </w:rPr>
              <w:t>e</w:t>
            </w:r>
            <w:r w:rsidR="001215A2" w:rsidRPr="00237760">
              <w:rPr>
                <w:rFonts w:ascii="Arial" w:hAnsi="Arial" w:cs="Arial"/>
                <w:color w:val="auto"/>
                <w:sz w:val="24"/>
                <w:szCs w:val="24"/>
                <w:lang w:eastAsia="en-US"/>
              </w:rPr>
              <w:t xml:space="preserve"> nad PSRT, przeprowadzono też konsultacje projektu</w:t>
            </w:r>
            <w:r w:rsidR="00B75612" w:rsidRPr="00237760">
              <w:rPr>
                <w:rFonts w:ascii="Arial" w:hAnsi="Arial" w:cs="Arial"/>
                <w:color w:val="auto"/>
                <w:sz w:val="24"/>
                <w:szCs w:val="24"/>
                <w:lang w:eastAsia="en-US"/>
              </w:rPr>
              <w:t xml:space="preserve"> (</w:t>
            </w:r>
            <w:r w:rsidR="00DE37EE" w:rsidRPr="00237760">
              <w:rPr>
                <w:rFonts w:ascii="Arial" w:hAnsi="Arial" w:cs="Arial"/>
                <w:color w:val="auto"/>
                <w:sz w:val="24"/>
                <w:szCs w:val="24"/>
                <w:lang w:eastAsia="en-US"/>
              </w:rPr>
              <w:t>spotkania w formie hybrydowej w następujących miastach: Rzeszów, Przemyśl, Stalowa Wola, Dębica, Sanok, Tarnobrzeg, Krosno oraz w Ustrzykach Dolnych – w formie tradycyjnej</w:t>
            </w:r>
            <w:r w:rsidR="00EA047F" w:rsidRPr="00237760">
              <w:rPr>
                <w:rFonts w:ascii="Arial" w:hAnsi="Arial" w:cs="Arial"/>
                <w:color w:val="auto"/>
                <w:sz w:val="24"/>
                <w:szCs w:val="24"/>
                <w:lang w:eastAsia="en-US"/>
              </w:rPr>
              <w:t xml:space="preserve"> oraz udostępnienie formularzy </w:t>
            </w:r>
            <w:r w:rsidR="009B4A22" w:rsidRPr="00237760">
              <w:rPr>
                <w:rFonts w:ascii="Arial" w:hAnsi="Arial" w:cs="Arial"/>
                <w:color w:val="auto"/>
                <w:sz w:val="24"/>
                <w:szCs w:val="24"/>
                <w:lang w:eastAsia="en-US"/>
              </w:rPr>
              <w:t>konsultacyjnych wraz z zapewnieniem</w:t>
            </w:r>
            <w:r w:rsidR="00EA047F" w:rsidRPr="00237760">
              <w:rPr>
                <w:rFonts w:ascii="Arial" w:hAnsi="Arial" w:cs="Arial"/>
                <w:color w:val="auto"/>
                <w:sz w:val="24"/>
                <w:szCs w:val="24"/>
                <w:lang w:eastAsia="en-US"/>
              </w:rPr>
              <w:t xml:space="preserve"> możliwo</w:t>
            </w:r>
            <w:r w:rsidR="009B4A22" w:rsidRPr="00237760">
              <w:rPr>
                <w:rFonts w:ascii="Arial" w:hAnsi="Arial" w:cs="Arial"/>
                <w:color w:val="auto"/>
                <w:sz w:val="24"/>
                <w:szCs w:val="24"/>
                <w:lang w:eastAsia="en-US"/>
              </w:rPr>
              <w:t>ści</w:t>
            </w:r>
            <w:r w:rsidR="00EA047F" w:rsidRPr="00237760">
              <w:rPr>
                <w:rFonts w:ascii="Arial" w:hAnsi="Arial" w:cs="Arial"/>
                <w:color w:val="auto"/>
                <w:sz w:val="24"/>
                <w:szCs w:val="24"/>
                <w:lang w:eastAsia="en-US"/>
              </w:rPr>
              <w:t xml:space="preserve"> ustnego zgłaszania uwag w Urzędzie Marszałkowskim</w:t>
            </w:r>
            <w:r w:rsidR="00495891" w:rsidRPr="00237760">
              <w:rPr>
                <w:rFonts w:ascii="Arial" w:hAnsi="Arial" w:cs="Arial"/>
                <w:color w:val="auto"/>
                <w:sz w:val="24"/>
                <w:szCs w:val="24"/>
                <w:lang w:eastAsia="en-US"/>
              </w:rPr>
              <w:t xml:space="preserve"> i podczas spotkań konsultacyjnych</w:t>
            </w:r>
            <w:r w:rsidR="00EA047F" w:rsidRPr="00237760">
              <w:rPr>
                <w:rFonts w:ascii="Arial" w:hAnsi="Arial" w:cs="Arial"/>
                <w:color w:val="auto"/>
                <w:sz w:val="24"/>
                <w:szCs w:val="24"/>
                <w:lang w:eastAsia="en-US"/>
              </w:rPr>
              <w:t>)</w:t>
            </w:r>
            <w:r w:rsidR="00EA047F" w:rsidRPr="00237760">
              <w:rPr>
                <w:rFonts w:ascii="Arial" w:hAnsi="Arial" w:cs="Arial"/>
                <w:color w:val="auto"/>
                <w:sz w:val="24"/>
                <w:szCs w:val="24"/>
                <w:vertAlign w:val="superscript"/>
                <w:lang w:eastAsia="en-US"/>
              </w:rPr>
              <w:footnoteReference w:id="45"/>
            </w:r>
            <w:r w:rsidR="00EA047F" w:rsidRPr="00237760">
              <w:rPr>
                <w:rFonts w:ascii="Arial" w:hAnsi="Arial" w:cs="Arial"/>
                <w:color w:val="auto"/>
                <w:sz w:val="24"/>
                <w:szCs w:val="24"/>
                <w:lang w:eastAsia="en-US"/>
              </w:rPr>
              <w:t>.</w:t>
            </w:r>
          </w:p>
        </w:tc>
        <w:tc>
          <w:tcPr>
            <w:tcW w:w="1418" w:type="dxa"/>
            <w:tcBorders>
              <w:top w:val="single" w:sz="4" w:space="0" w:color="BDD6EE" w:themeColor="accent1" w:themeTint="66"/>
              <w:left w:val="nil"/>
              <w:bottom w:val="single" w:sz="4" w:space="0" w:color="BDD6EE" w:themeColor="accent1" w:themeTint="66"/>
              <w:right w:val="nil"/>
            </w:tcBorders>
            <w:vAlign w:val="center"/>
          </w:tcPr>
          <w:p w14:paraId="0D6AF434" w14:textId="2A897710" w:rsidR="0070514C" w:rsidRPr="00237760" w:rsidRDefault="001675C0" w:rsidP="009367B4">
            <w:pPr>
              <w:spacing w:after="0" w:line="240" w:lineRule="auto"/>
              <w:contextualSpacing/>
              <w:jc w:val="left"/>
              <w:rPr>
                <w:rFonts w:ascii="Arial" w:hAnsi="Arial" w:cs="Arial"/>
                <w:b/>
                <w:color w:val="auto"/>
                <w:sz w:val="24"/>
                <w:szCs w:val="24"/>
              </w:rPr>
            </w:pPr>
            <w:r w:rsidRPr="00237760">
              <w:rPr>
                <w:rFonts w:ascii="Arial" w:hAnsi="Arial" w:cs="Arial"/>
                <w:b/>
                <w:bCs/>
                <w:color w:val="auto"/>
                <w:sz w:val="24"/>
                <w:szCs w:val="24"/>
              </w:rPr>
              <w:t>+</w:t>
            </w:r>
          </w:p>
        </w:tc>
      </w:tr>
      <w:tr w:rsidR="00237760" w:rsidRPr="00237760" w14:paraId="49A4B044" w14:textId="77777777" w:rsidTr="00B32A20">
        <w:trPr>
          <w:trHeight w:val="14"/>
        </w:trPr>
        <w:tc>
          <w:tcPr>
            <w:tcW w:w="1706" w:type="dxa"/>
            <w:tcBorders>
              <w:top w:val="single" w:sz="4" w:space="0" w:color="BDD6EE" w:themeColor="accent1" w:themeTint="66"/>
              <w:left w:val="nil"/>
              <w:bottom w:val="single" w:sz="4" w:space="0" w:color="BDD6EE" w:themeColor="accent1" w:themeTint="66"/>
              <w:right w:val="nil"/>
            </w:tcBorders>
            <w:vAlign w:val="center"/>
          </w:tcPr>
          <w:p w14:paraId="4E9BE18F" w14:textId="124F859A" w:rsidR="0070514C" w:rsidRPr="00237760" w:rsidRDefault="00E833DA"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lastRenderedPageBreak/>
              <w:t>Elastyczność i integracja</w:t>
            </w:r>
          </w:p>
        </w:tc>
        <w:tc>
          <w:tcPr>
            <w:tcW w:w="5812" w:type="dxa"/>
            <w:tcBorders>
              <w:top w:val="single" w:sz="4" w:space="0" w:color="BDD6EE" w:themeColor="accent1" w:themeTint="66"/>
              <w:left w:val="nil"/>
              <w:bottom w:val="single" w:sz="4" w:space="0" w:color="BDD6EE" w:themeColor="accent1" w:themeTint="66"/>
              <w:right w:val="nil"/>
            </w:tcBorders>
          </w:tcPr>
          <w:p w14:paraId="14FF63B9" w14:textId="77777777" w:rsidR="00090F0C" w:rsidRPr="00237760" w:rsidRDefault="006E235F" w:rsidP="009367B4">
            <w:pPr>
              <w:pStyle w:val="Akapitzlist"/>
              <w:numPr>
                <w:ilvl w:val="0"/>
                <w:numId w:val="39"/>
              </w:numPr>
              <w:spacing w:after="0"/>
              <w:ind w:left="255" w:hanging="142"/>
              <w:jc w:val="left"/>
              <w:rPr>
                <w:rFonts w:ascii="Arial" w:hAnsi="Arial" w:cs="Arial"/>
                <w:color w:val="auto"/>
                <w:sz w:val="24"/>
                <w:szCs w:val="24"/>
                <w:lang w:eastAsia="en-US"/>
              </w:rPr>
            </w:pPr>
            <w:r w:rsidRPr="00237760">
              <w:rPr>
                <w:rFonts w:ascii="Arial" w:hAnsi="Arial" w:cs="Arial"/>
                <w:color w:val="auto"/>
                <w:sz w:val="24"/>
                <w:szCs w:val="24"/>
                <w:lang w:eastAsia="en-US"/>
              </w:rPr>
              <w:t xml:space="preserve">Głównym dokumentem strategicznym do którego odnosi się PSRT WP jest </w:t>
            </w:r>
            <w:r w:rsidR="009E46A7" w:rsidRPr="00237760">
              <w:rPr>
                <w:rFonts w:ascii="Arial" w:hAnsi="Arial" w:cs="Arial"/>
                <w:color w:val="auto"/>
                <w:sz w:val="24"/>
                <w:szCs w:val="24"/>
                <w:lang w:eastAsia="en-US"/>
              </w:rPr>
              <w:t>„</w:t>
            </w:r>
            <w:r w:rsidRPr="00237760">
              <w:rPr>
                <w:rFonts w:ascii="Arial" w:hAnsi="Arial" w:cs="Arial"/>
                <w:color w:val="auto"/>
                <w:sz w:val="24"/>
                <w:szCs w:val="24"/>
                <w:lang w:eastAsia="en-US"/>
              </w:rPr>
              <w:t>Strategia Rozwoju Województwa – Podkarpackie 2030</w:t>
            </w:r>
            <w:r w:rsidR="009E46A7" w:rsidRPr="00237760">
              <w:rPr>
                <w:rFonts w:ascii="Arial" w:hAnsi="Arial" w:cs="Arial"/>
                <w:color w:val="auto"/>
                <w:sz w:val="24"/>
                <w:szCs w:val="24"/>
                <w:lang w:eastAsia="en-US"/>
              </w:rPr>
              <w:t>”</w:t>
            </w:r>
            <w:r w:rsidRPr="00237760">
              <w:rPr>
                <w:rFonts w:ascii="Arial" w:hAnsi="Arial" w:cs="Arial"/>
                <w:color w:val="auto"/>
                <w:sz w:val="24"/>
                <w:szCs w:val="24"/>
                <w:lang w:eastAsia="en-US"/>
              </w:rPr>
              <w:t xml:space="preserve"> (PSRT WP jest programem realizującym założenia SRW w zakresie rozwoju transportu)</w:t>
            </w:r>
            <w:r w:rsidR="00F8715A" w:rsidRPr="00237760">
              <w:rPr>
                <w:rFonts w:ascii="Arial" w:hAnsi="Arial" w:cs="Arial"/>
                <w:color w:val="auto"/>
                <w:sz w:val="24"/>
                <w:szCs w:val="24"/>
                <w:lang w:eastAsia="en-US"/>
              </w:rPr>
              <w:t>, na poziomie regionalnym</w:t>
            </w:r>
            <w:r w:rsidR="00DA3E39" w:rsidRPr="00237760">
              <w:rPr>
                <w:rFonts w:ascii="Arial" w:hAnsi="Arial" w:cs="Arial"/>
                <w:color w:val="auto"/>
                <w:sz w:val="24"/>
                <w:szCs w:val="24"/>
                <w:lang w:eastAsia="en-US"/>
              </w:rPr>
              <w:t xml:space="preserve"> widoczne są też</w:t>
            </w:r>
            <w:r w:rsidR="00F8715A" w:rsidRPr="00237760">
              <w:rPr>
                <w:rFonts w:ascii="Arial" w:hAnsi="Arial" w:cs="Arial"/>
                <w:color w:val="auto"/>
                <w:sz w:val="24"/>
                <w:szCs w:val="24"/>
                <w:lang w:eastAsia="en-US"/>
              </w:rPr>
              <w:t xml:space="preserve"> </w:t>
            </w:r>
            <w:r w:rsidR="00DA3E39" w:rsidRPr="00237760">
              <w:rPr>
                <w:rFonts w:ascii="Arial" w:hAnsi="Arial" w:cs="Arial"/>
                <w:color w:val="auto"/>
                <w:sz w:val="24"/>
                <w:szCs w:val="24"/>
                <w:lang w:eastAsia="en-US"/>
              </w:rPr>
              <w:t>wyraźne bezpośrednie odniesienia do FE</w:t>
            </w:r>
            <w:r w:rsidR="00F02FC7" w:rsidRPr="00237760">
              <w:rPr>
                <w:rFonts w:ascii="Arial" w:hAnsi="Arial" w:cs="Arial"/>
                <w:color w:val="auto"/>
                <w:sz w:val="24"/>
                <w:szCs w:val="24"/>
                <w:lang w:eastAsia="en-US"/>
              </w:rPr>
              <w:t>P;</w:t>
            </w:r>
          </w:p>
          <w:p w14:paraId="542AA45D" w14:textId="77777777" w:rsidR="00090F0C" w:rsidRPr="00237760" w:rsidRDefault="00F02FC7" w:rsidP="009367B4">
            <w:pPr>
              <w:pStyle w:val="Akapitzlist"/>
              <w:numPr>
                <w:ilvl w:val="0"/>
                <w:numId w:val="39"/>
              </w:numPr>
              <w:spacing w:after="0"/>
              <w:ind w:left="255" w:hanging="142"/>
              <w:jc w:val="left"/>
              <w:rPr>
                <w:rFonts w:ascii="Arial" w:hAnsi="Arial" w:cs="Arial"/>
                <w:color w:val="auto"/>
                <w:sz w:val="24"/>
                <w:szCs w:val="24"/>
                <w:lang w:eastAsia="en-US"/>
              </w:rPr>
            </w:pPr>
            <w:r w:rsidRPr="00237760">
              <w:rPr>
                <w:rFonts w:ascii="Arial" w:hAnsi="Arial" w:cs="Arial"/>
                <w:color w:val="auto"/>
                <w:sz w:val="24"/>
                <w:szCs w:val="24"/>
                <w:lang w:eastAsia="en-US"/>
              </w:rPr>
              <w:t xml:space="preserve">PSRT WP odnosi się do najważniejszych ogólnych i sektorowych dokumentów europejskich i krajowych, w tym do: </w:t>
            </w:r>
            <w:r w:rsidR="00915577" w:rsidRPr="00237760">
              <w:rPr>
                <w:rFonts w:ascii="Arial" w:hAnsi="Arial" w:cs="Arial"/>
                <w:color w:val="auto"/>
                <w:sz w:val="24"/>
                <w:szCs w:val="24"/>
                <w:lang w:eastAsia="en-US"/>
              </w:rPr>
              <w:t xml:space="preserve">Europejskiego Zielonego Ładu, </w:t>
            </w:r>
            <w:r w:rsidRPr="00237760">
              <w:rPr>
                <w:rFonts w:ascii="Arial" w:hAnsi="Arial" w:cs="Arial"/>
                <w:color w:val="auto"/>
                <w:sz w:val="24"/>
                <w:szCs w:val="24"/>
                <w:lang w:eastAsia="en-US"/>
              </w:rPr>
              <w:t xml:space="preserve">UP, </w:t>
            </w:r>
            <w:r w:rsidR="00432BBB" w:rsidRPr="00237760">
              <w:rPr>
                <w:rFonts w:ascii="Arial" w:hAnsi="Arial" w:cs="Arial"/>
                <w:color w:val="auto"/>
                <w:sz w:val="24"/>
                <w:szCs w:val="24"/>
                <w:lang w:eastAsia="en-US"/>
              </w:rPr>
              <w:t>Strategii na rzecz Odpowiedzialnego Rozwoju do roku 2020 (z perspektywą do 2030 r.)</w:t>
            </w:r>
            <w:r w:rsidR="002B3F6E" w:rsidRPr="00237760">
              <w:rPr>
                <w:rFonts w:ascii="Arial" w:hAnsi="Arial" w:cs="Arial"/>
                <w:color w:val="auto"/>
                <w:sz w:val="24"/>
                <w:szCs w:val="24"/>
                <w:lang w:eastAsia="en-US"/>
              </w:rPr>
              <w:t xml:space="preserve">, Krajowej Strategii Rozwoju Regionalnego 2030, </w:t>
            </w:r>
            <w:r w:rsidR="00C97CB8" w:rsidRPr="00237760">
              <w:rPr>
                <w:rFonts w:ascii="Arial" w:hAnsi="Arial" w:cs="Arial"/>
                <w:color w:val="auto"/>
                <w:sz w:val="24"/>
                <w:szCs w:val="24"/>
                <w:lang w:eastAsia="en-US"/>
              </w:rPr>
              <w:t>Strategii Zrównoważonego Rozwoju Transportu do 2030 r</w:t>
            </w:r>
            <w:r w:rsidR="00B53BC4" w:rsidRPr="00237760">
              <w:rPr>
                <w:rFonts w:ascii="Arial" w:hAnsi="Arial" w:cs="Arial"/>
                <w:color w:val="auto"/>
                <w:sz w:val="24"/>
                <w:szCs w:val="24"/>
                <w:lang w:eastAsia="en-US"/>
              </w:rPr>
              <w:t>. i in.;</w:t>
            </w:r>
          </w:p>
          <w:p w14:paraId="0DF80C53" w14:textId="77777777" w:rsidR="00090F0C" w:rsidRPr="00237760" w:rsidRDefault="00B53BC4" w:rsidP="009367B4">
            <w:pPr>
              <w:pStyle w:val="Akapitzlist"/>
              <w:numPr>
                <w:ilvl w:val="0"/>
                <w:numId w:val="39"/>
              </w:numPr>
              <w:spacing w:after="0"/>
              <w:ind w:left="255" w:hanging="142"/>
              <w:jc w:val="left"/>
              <w:rPr>
                <w:rFonts w:ascii="Arial" w:hAnsi="Arial" w:cs="Arial"/>
                <w:color w:val="auto"/>
                <w:sz w:val="24"/>
                <w:szCs w:val="24"/>
                <w:lang w:eastAsia="en-US"/>
              </w:rPr>
            </w:pPr>
            <w:r w:rsidRPr="00237760">
              <w:rPr>
                <w:rFonts w:ascii="Arial" w:hAnsi="Arial" w:cs="Arial"/>
                <w:color w:val="auto"/>
                <w:sz w:val="24"/>
                <w:szCs w:val="24"/>
                <w:lang w:eastAsia="en-US"/>
              </w:rPr>
              <w:t xml:space="preserve">W </w:t>
            </w:r>
            <w:r w:rsidR="00BE1BBB" w:rsidRPr="00237760">
              <w:rPr>
                <w:rFonts w:ascii="Arial" w:hAnsi="Arial" w:cs="Arial"/>
                <w:color w:val="auto"/>
                <w:sz w:val="24"/>
                <w:szCs w:val="24"/>
                <w:lang w:eastAsia="en-US"/>
              </w:rPr>
              <w:t>dokumen</w:t>
            </w:r>
            <w:r w:rsidR="00747BA6" w:rsidRPr="00237760">
              <w:rPr>
                <w:rFonts w:ascii="Arial" w:hAnsi="Arial" w:cs="Arial"/>
                <w:color w:val="auto"/>
                <w:sz w:val="24"/>
                <w:szCs w:val="24"/>
                <w:lang w:eastAsia="en-US"/>
              </w:rPr>
              <w:t xml:space="preserve">tach: </w:t>
            </w:r>
            <w:r w:rsidR="009E46A7" w:rsidRPr="00237760">
              <w:rPr>
                <w:rFonts w:ascii="Arial" w:hAnsi="Arial" w:cs="Arial"/>
                <w:color w:val="auto"/>
                <w:sz w:val="24"/>
                <w:szCs w:val="24"/>
                <w:lang w:eastAsia="en-US"/>
              </w:rPr>
              <w:t>„</w:t>
            </w:r>
            <w:r w:rsidR="00BE1BBB" w:rsidRPr="00237760">
              <w:rPr>
                <w:rFonts w:ascii="Arial" w:hAnsi="Arial" w:cs="Arial"/>
                <w:color w:val="auto"/>
                <w:sz w:val="24"/>
                <w:szCs w:val="24"/>
                <w:lang w:eastAsia="en-US"/>
              </w:rPr>
              <w:t>Rozwój transportu w województwie podkarpackim w perspektywie do 2030 roku. Raport końcowy</w:t>
            </w:r>
            <w:r w:rsidR="007914D0" w:rsidRPr="00237760">
              <w:rPr>
                <w:rFonts w:ascii="Arial" w:hAnsi="Arial" w:cs="Arial"/>
                <w:color w:val="auto"/>
                <w:sz w:val="24"/>
                <w:szCs w:val="24"/>
                <w:lang w:eastAsia="en-US"/>
              </w:rPr>
              <w:t>”</w:t>
            </w:r>
            <w:r w:rsidR="00747BA6" w:rsidRPr="00237760">
              <w:rPr>
                <w:rFonts w:ascii="Arial" w:hAnsi="Arial" w:cs="Arial"/>
                <w:color w:val="auto"/>
                <w:sz w:val="24"/>
                <w:szCs w:val="24"/>
                <w:lang w:eastAsia="en-US"/>
              </w:rPr>
              <w:t xml:space="preserve"> i </w:t>
            </w:r>
            <w:r w:rsidR="007914D0" w:rsidRPr="00237760">
              <w:rPr>
                <w:rFonts w:ascii="Arial" w:hAnsi="Arial" w:cs="Arial"/>
                <w:color w:val="auto"/>
                <w:sz w:val="24"/>
                <w:szCs w:val="24"/>
                <w:lang w:eastAsia="en-US"/>
              </w:rPr>
              <w:t>„</w:t>
            </w:r>
            <w:r w:rsidR="00747BA6" w:rsidRPr="00237760">
              <w:rPr>
                <w:rFonts w:ascii="Arial" w:hAnsi="Arial" w:cs="Arial"/>
                <w:color w:val="auto"/>
                <w:sz w:val="24"/>
                <w:szCs w:val="24"/>
                <w:lang w:eastAsia="en-US"/>
              </w:rPr>
              <w:t>Diagnoza Stanu Systemu Transportowego w Województwie Podkarpackim</w:t>
            </w:r>
            <w:r w:rsidR="009E46A7" w:rsidRPr="00237760">
              <w:rPr>
                <w:rFonts w:ascii="Arial" w:hAnsi="Arial" w:cs="Arial"/>
                <w:color w:val="auto"/>
                <w:sz w:val="24"/>
                <w:szCs w:val="24"/>
                <w:lang w:eastAsia="en-US"/>
              </w:rPr>
              <w:t>”</w:t>
            </w:r>
            <w:r w:rsidR="00BE1BBB" w:rsidRPr="00237760">
              <w:rPr>
                <w:rFonts w:ascii="Arial" w:hAnsi="Arial" w:cs="Arial"/>
                <w:color w:val="auto"/>
                <w:sz w:val="24"/>
                <w:szCs w:val="24"/>
                <w:lang w:eastAsia="en-US"/>
              </w:rPr>
              <w:t xml:space="preserve"> przedstawiono analizy potencjalnych zmian systemu transportowego WP </w:t>
            </w:r>
            <w:r w:rsidR="00E65388" w:rsidRPr="00237760">
              <w:rPr>
                <w:rFonts w:ascii="Arial" w:hAnsi="Arial" w:cs="Arial"/>
                <w:color w:val="auto"/>
                <w:sz w:val="24"/>
                <w:szCs w:val="24"/>
                <w:lang w:eastAsia="en-US"/>
              </w:rPr>
              <w:t xml:space="preserve">w kontekście realizacji </w:t>
            </w:r>
            <w:r w:rsidR="00747BA6" w:rsidRPr="00237760">
              <w:rPr>
                <w:rFonts w:ascii="Arial" w:hAnsi="Arial" w:cs="Arial"/>
                <w:color w:val="auto"/>
                <w:sz w:val="24"/>
                <w:szCs w:val="24"/>
                <w:lang w:eastAsia="en-US"/>
              </w:rPr>
              <w:t>nadrzędnych dokumentów strategicznych</w:t>
            </w:r>
            <w:r w:rsidR="004932F3" w:rsidRPr="00237760">
              <w:rPr>
                <w:rFonts w:ascii="Arial" w:hAnsi="Arial" w:cs="Arial"/>
                <w:color w:val="auto"/>
                <w:sz w:val="24"/>
                <w:szCs w:val="24"/>
                <w:lang w:eastAsia="en-US"/>
              </w:rPr>
              <w:t>;</w:t>
            </w:r>
          </w:p>
          <w:p w14:paraId="7B020FF9" w14:textId="77777777" w:rsidR="00090F0C" w:rsidRPr="00237760" w:rsidRDefault="00220FED" w:rsidP="009367B4">
            <w:pPr>
              <w:pStyle w:val="Akapitzlist"/>
              <w:numPr>
                <w:ilvl w:val="0"/>
                <w:numId w:val="39"/>
              </w:numPr>
              <w:spacing w:after="0"/>
              <w:ind w:left="255" w:hanging="142"/>
              <w:jc w:val="left"/>
              <w:rPr>
                <w:rFonts w:ascii="Arial" w:hAnsi="Arial" w:cs="Arial"/>
                <w:color w:val="auto"/>
                <w:sz w:val="24"/>
                <w:szCs w:val="24"/>
                <w:lang w:eastAsia="en-US"/>
              </w:rPr>
            </w:pPr>
            <w:r w:rsidRPr="00237760">
              <w:rPr>
                <w:rFonts w:ascii="Arial" w:hAnsi="Arial" w:cs="Arial"/>
                <w:color w:val="auto"/>
                <w:sz w:val="24"/>
                <w:szCs w:val="24"/>
                <w:lang w:eastAsia="en-US"/>
              </w:rPr>
              <w:t>W zakresie analiz, do poziomu gminnego PSRT WP odnosi się przede wszystkim w strukturach MOF</w:t>
            </w:r>
            <w:r w:rsidR="00190199" w:rsidRPr="00237760">
              <w:rPr>
                <w:rFonts w:ascii="Arial" w:hAnsi="Arial" w:cs="Arial"/>
                <w:color w:val="auto"/>
                <w:sz w:val="24"/>
                <w:szCs w:val="24"/>
                <w:lang w:eastAsia="en-US"/>
              </w:rPr>
              <w:t xml:space="preserve">, których systemy transportowe zostały </w:t>
            </w:r>
            <w:r w:rsidR="0087164D" w:rsidRPr="00237760">
              <w:rPr>
                <w:rFonts w:ascii="Arial" w:hAnsi="Arial" w:cs="Arial"/>
                <w:color w:val="auto"/>
                <w:sz w:val="24"/>
                <w:szCs w:val="24"/>
                <w:lang w:eastAsia="en-US"/>
              </w:rPr>
              <w:t xml:space="preserve">scharakteryzowane w </w:t>
            </w:r>
            <w:r w:rsidR="00BE6535" w:rsidRPr="00237760">
              <w:rPr>
                <w:rFonts w:ascii="Arial" w:hAnsi="Arial" w:cs="Arial"/>
                <w:color w:val="auto"/>
                <w:sz w:val="24"/>
                <w:szCs w:val="24"/>
                <w:lang w:eastAsia="en-US"/>
              </w:rPr>
              <w:t xml:space="preserve">rozdz. I.1.4. </w:t>
            </w:r>
            <w:r w:rsidR="00886F03" w:rsidRPr="00237760">
              <w:rPr>
                <w:rFonts w:ascii="Arial" w:hAnsi="Arial" w:cs="Arial"/>
                <w:color w:val="auto"/>
                <w:sz w:val="24"/>
                <w:szCs w:val="24"/>
                <w:lang w:eastAsia="en-US"/>
              </w:rPr>
              <w:t>oraz w rodz. 5.1. dokumentu Diagnoza Stanu Systemu Transportowego w Województwie Podkarpackim;</w:t>
            </w:r>
          </w:p>
          <w:p w14:paraId="4D291353" w14:textId="6ADB52BD" w:rsidR="00886F03" w:rsidRPr="00237760" w:rsidRDefault="00A9361D" w:rsidP="009367B4">
            <w:pPr>
              <w:pStyle w:val="Akapitzlist"/>
              <w:numPr>
                <w:ilvl w:val="0"/>
                <w:numId w:val="39"/>
              </w:numPr>
              <w:spacing w:after="0"/>
              <w:ind w:left="255" w:hanging="142"/>
              <w:jc w:val="left"/>
              <w:rPr>
                <w:rFonts w:ascii="Arial" w:hAnsi="Arial" w:cs="Arial"/>
                <w:color w:val="auto"/>
                <w:sz w:val="24"/>
                <w:szCs w:val="24"/>
                <w:lang w:eastAsia="en-US"/>
              </w:rPr>
            </w:pPr>
            <w:r w:rsidRPr="00237760">
              <w:rPr>
                <w:rFonts w:ascii="Arial" w:hAnsi="Arial" w:cs="Arial"/>
                <w:color w:val="auto"/>
                <w:sz w:val="24"/>
                <w:szCs w:val="24"/>
                <w:lang w:eastAsia="en-US"/>
              </w:rPr>
              <w:t>Narzędzie</w:t>
            </w:r>
            <w:r w:rsidR="009B4A22" w:rsidRPr="00237760">
              <w:rPr>
                <w:rFonts w:ascii="Arial" w:hAnsi="Arial" w:cs="Arial"/>
                <w:color w:val="auto"/>
                <w:sz w:val="24"/>
                <w:szCs w:val="24"/>
                <w:lang w:eastAsia="en-US"/>
              </w:rPr>
              <w:t>m</w:t>
            </w:r>
            <w:r w:rsidRPr="00237760">
              <w:rPr>
                <w:rFonts w:ascii="Arial" w:hAnsi="Arial" w:cs="Arial"/>
                <w:color w:val="auto"/>
                <w:sz w:val="24"/>
                <w:szCs w:val="24"/>
                <w:lang w:eastAsia="en-US"/>
              </w:rPr>
              <w:t xml:space="preserve"> weryfikującym celowość rozbudowy infrastruktury transportowej jest analiza popytowa (rozdz. I.2.</w:t>
            </w:r>
            <w:r w:rsidR="00DC014E" w:rsidRPr="00237760">
              <w:rPr>
                <w:rFonts w:ascii="Arial" w:hAnsi="Arial" w:cs="Arial"/>
                <w:color w:val="auto"/>
                <w:sz w:val="24"/>
                <w:szCs w:val="24"/>
                <w:lang w:eastAsia="en-US"/>
              </w:rPr>
              <w:t xml:space="preserve"> PSRT WP).</w:t>
            </w:r>
          </w:p>
        </w:tc>
        <w:tc>
          <w:tcPr>
            <w:tcW w:w="1418" w:type="dxa"/>
            <w:tcBorders>
              <w:top w:val="single" w:sz="4" w:space="0" w:color="BDD6EE" w:themeColor="accent1" w:themeTint="66"/>
              <w:left w:val="nil"/>
              <w:bottom w:val="single" w:sz="4" w:space="0" w:color="BDD6EE" w:themeColor="accent1" w:themeTint="66"/>
              <w:right w:val="nil"/>
            </w:tcBorders>
            <w:vAlign w:val="center"/>
          </w:tcPr>
          <w:p w14:paraId="3BD731F7" w14:textId="1F44E9BE" w:rsidR="0070514C" w:rsidRPr="00237760" w:rsidRDefault="001675C0" w:rsidP="009367B4">
            <w:pPr>
              <w:spacing w:after="0" w:line="240" w:lineRule="auto"/>
              <w:contextualSpacing/>
              <w:jc w:val="left"/>
              <w:rPr>
                <w:rFonts w:ascii="Arial" w:hAnsi="Arial" w:cs="Arial"/>
                <w:b/>
                <w:color w:val="auto"/>
                <w:sz w:val="24"/>
                <w:szCs w:val="24"/>
              </w:rPr>
            </w:pPr>
            <w:r w:rsidRPr="00237760">
              <w:rPr>
                <w:rFonts w:ascii="Arial" w:hAnsi="Arial" w:cs="Arial"/>
                <w:b/>
                <w:bCs/>
                <w:color w:val="auto"/>
                <w:sz w:val="24"/>
                <w:szCs w:val="24"/>
              </w:rPr>
              <w:t>+</w:t>
            </w:r>
          </w:p>
        </w:tc>
      </w:tr>
      <w:tr w:rsidR="00237760" w:rsidRPr="00237760" w14:paraId="14A57ADD" w14:textId="77777777" w:rsidTr="005067E3">
        <w:trPr>
          <w:trHeight w:val="292"/>
        </w:trPr>
        <w:tc>
          <w:tcPr>
            <w:tcW w:w="8936" w:type="dxa"/>
            <w:gridSpan w:val="3"/>
            <w:tcBorders>
              <w:top w:val="single" w:sz="4" w:space="0" w:color="BDD6EE" w:themeColor="accent1" w:themeTint="66"/>
              <w:left w:val="nil"/>
              <w:bottom w:val="single" w:sz="4" w:space="0" w:color="BDD6EE" w:themeColor="accent1" w:themeTint="66"/>
              <w:right w:val="nil"/>
            </w:tcBorders>
            <w:shd w:val="clear" w:color="auto" w:fill="auto"/>
            <w:vAlign w:val="center"/>
          </w:tcPr>
          <w:p w14:paraId="4A5AB383" w14:textId="1BF0D324" w:rsidR="00963B58" w:rsidRPr="00237760" w:rsidRDefault="00884120" w:rsidP="009367B4">
            <w:pPr>
              <w:spacing w:after="0" w:line="240" w:lineRule="auto"/>
              <w:contextualSpacing/>
              <w:jc w:val="left"/>
              <w:rPr>
                <w:rFonts w:ascii="Arial" w:hAnsi="Arial" w:cs="Arial"/>
                <w:b/>
                <w:bCs/>
                <w:color w:val="auto"/>
                <w:sz w:val="24"/>
                <w:szCs w:val="24"/>
              </w:rPr>
            </w:pPr>
            <w:r w:rsidRPr="00237760">
              <w:rPr>
                <w:rFonts w:ascii="Arial" w:hAnsi="Arial" w:cs="Arial"/>
                <w:b/>
                <w:bCs/>
                <w:color w:val="auto"/>
                <w:sz w:val="24"/>
                <w:szCs w:val="24"/>
              </w:rPr>
              <w:t>Główne kroki tworzenia planów transportowych</w:t>
            </w:r>
          </w:p>
        </w:tc>
      </w:tr>
      <w:tr w:rsidR="00237760" w:rsidRPr="00237760" w14:paraId="56546803" w14:textId="77777777" w:rsidTr="00B32A20">
        <w:trPr>
          <w:trHeight w:val="14"/>
        </w:trPr>
        <w:tc>
          <w:tcPr>
            <w:tcW w:w="1706" w:type="dxa"/>
            <w:tcBorders>
              <w:top w:val="single" w:sz="4" w:space="0" w:color="BDD6EE" w:themeColor="accent1" w:themeTint="66"/>
              <w:left w:val="nil"/>
              <w:bottom w:val="single" w:sz="4" w:space="0" w:color="BDD6EE" w:themeColor="accent1" w:themeTint="66"/>
              <w:right w:val="nil"/>
            </w:tcBorders>
            <w:vAlign w:val="center"/>
          </w:tcPr>
          <w:p w14:paraId="54DC8195" w14:textId="305D6C74" w:rsidR="00963B58" w:rsidRPr="00237760" w:rsidRDefault="00963B58"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Identyfikacja i analiza bieżących i potencjalnych zagadnień (problemów i szans)</w:t>
            </w:r>
          </w:p>
        </w:tc>
        <w:tc>
          <w:tcPr>
            <w:tcW w:w="5812" w:type="dxa"/>
            <w:tcBorders>
              <w:top w:val="single" w:sz="4" w:space="0" w:color="BDD6EE" w:themeColor="accent1" w:themeTint="66"/>
              <w:left w:val="nil"/>
              <w:bottom w:val="single" w:sz="4" w:space="0" w:color="BDD6EE" w:themeColor="accent1" w:themeTint="66"/>
              <w:right w:val="nil"/>
            </w:tcBorders>
          </w:tcPr>
          <w:p w14:paraId="1CDB0A1B" w14:textId="77777777" w:rsidR="00090F0C" w:rsidRPr="00237760" w:rsidRDefault="00485261" w:rsidP="009367B4">
            <w:pPr>
              <w:pStyle w:val="Akapitzlist"/>
              <w:numPr>
                <w:ilvl w:val="0"/>
                <w:numId w:val="39"/>
              </w:numPr>
              <w:spacing w:after="0"/>
              <w:ind w:left="255" w:hanging="142"/>
              <w:jc w:val="left"/>
              <w:rPr>
                <w:rFonts w:ascii="Arial" w:hAnsi="Arial" w:cs="Arial"/>
                <w:color w:val="auto"/>
                <w:sz w:val="24"/>
                <w:szCs w:val="24"/>
                <w:lang w:eastAsia="en-US"/>
              </w:rPr>
            </w:pPr>
            <w:r w:rsidRPr="00237760">
              <w:rPr>
                <w:rFonts w:ascii="Arial" w:hAnsi="Arial" w:cs="Arial"/>
                <w:color w:val="auto"/>
                <w:sz w:val="24"/>
                <w:szCs w:val="24"/>
                <w:lang w:eastAsia="en-US"/>
              </w:rPr>
              <w:t>W PSRT WP o</w:t>
            </w:r>
            <w:r w:rsidR="009D7D72" w:rsidRPr="00237760">
              <w:rPr>
                <w:rFonts w:ascii="Arial" w:hAnsi="Arial" w:cs="Arial"/>
                <w:color w:val="auto"/>
                <w:sz w:val="24"/>
                <w:szCs w:val="24"/>
                <w:lang w:eastAsia="en-US"/>
              </w:rPr>
              <w:t>ceniono kontekst strategiczny w postaci polityk/planów wyższego i równego szczebla</w:t>
            </w:r>
            <w:r w:rsidR="00BC3347" w:rsidRPr="00237760">
              <w:rPr>
                <w:rFonts w:ascii="Arial" w:hAnsi="Arial" w:cs="Arial"/>
                <w:color w:val="auto"/>
                <w:sz w:val="24"/>
                <w:szCs w:val="24"/>
                <w:lang w:eastAsia="en-US"/>
              </w:rPr>
              <w:t xml:space="preserve"> (</w:t>
            </w:r>
            <w:r w:rsidR="00B56032" w:rsidRPr="00237760">
              <w:rPr>
                <w:rFonts w:ascii="Arial" w:hAnsi="Arial" w:cs="Arial"/>
                <w:color w:val="auto"/>
                <w:sz w:val="24"/>
                <w:szCs w:val="24"/>
                <w:lang w:eastAsia="en-US"/>
              </w:rPr>
              <w:t>PSRT stanowi realizację strategii rozwoju województwa</w:t>
            </w:r>
            <w:r w:rsidR="002C2A14" w:rsidRPr="00237760">
              <w:rPr>
                <w:rFonts w:ascii="Arial" w:hAnsi="Arial" w:cs="Arial"/>
                <w:color w:val="auto"/>
                <w:sz w:val="24"/>
                <w:szCs w:val="24"/>
                <w:lang w:eastAsia="en-US"/>
              </w:rPr>
              <w:t>, jest też zintegrowany z założeniami programu Fundusze Europejskie dla Podkarpacia 2021-2027</w:t>
            </w:r>
            <w:r w:rsidR="00BC3347" w:rsidRPr="00237760">
              <w:rPr>
                <w:rFonts w:ascii="Arial" w:hAnsi="Arial" w:cs="Arial"/>
                <w:color w:val="auto"/>
                <w:sz w:val="24"/>
                <w:szCs w:val="24"/>
                <w:lang w:eastAsia="en-US"/>
              </w:rPr>
              <w:t xml:space="preserve">, te zaś są spójne z </w:t>
            </w:r>
            <w:r w:rsidR="006236E8" w:rsidRPr="00237760">
              <w:rPr>
                <w:rFonts w:ascii="Arial" w:hAnsi="Arial" w:cs="Arial"/>
                <w:color w:val="auto"/>
                <w:sz w:val="24"/>
                <w:szCs w:val="24"/>
                <w:lang w:eastAsia="en-US"/>
              </w:rPr>
              <w:t xml:space="preserve">założeniami </w:t>
            </w:r>
            <w:r w:rsidR="00BC3347" w:rsidRPr="00237760">
              <w:rPr>
                <w:rFonts w:ascii="Arial" w:hAnsi="Arial" w:cs="Arial"/>
                <w:color w:val="auto"/>
                <w:sz w:val="24"/>
                <w:szCs w:val="24"/>
                <w:lang w:eastAsia="en-US"/>
              </w:rPr>
              <w:t>najważniejsz</w:t>
            </w:r>
            <w:r w:rsidR="006236E8" w:rsidRPr="00237760">
              <w:rPr>
                <w:rFonts w:ascii="Arial" w:hAnsi="Arial" w:cs="Arial"/>
                <w:color w:val="auto"/>
                <w:sz w:val="24"/>
                <w:szCs w:val="24"/>
                <w:lang w:eastAsia="en-US"/>
              </w:rPr>
              <w:t xml:space="preserve">ych </w:t>
            </w:r>
            <w:r w:rsidR="00BC3347" w:rsidRPr="00237760">
              <w:rPr>
                <w:rFonts w:ascii="Arial" w:hAnsi="Arial" w:cs="Arial"/>
                <w:color w:val="auto"/>
                <w:sz w:val="24"/>
                <w:szCs w:val="24"/>
                <w:lang w:eastAsia="en-US"/>
              </w:rPr>
              <w:t>dokument</w:t>
            </w:r>
            <w:r w:rsidR="006236E8" w:rsidRPr="00237760">
              <w:rPr>
                <w:rFonts w:ascii="Arial" w:hAnsi="Arial" w:cs="Arial"/>
                <w:color w:val="auto"/>
                <w:sz w:val="24"/>
                <w:szCs w:val="24"/>
                <w:lang w:eastAsia="en-US"/>
              </w:rPr>
              <w:t xml:space="preserve">ów </w:t>
            </w:r>
            <w:r w:rsidR="00BC3347" w:rsidRPr="00237760">
              <w:rPr>
                <w:rFonts w:ascii="Arial" w:hAnsi="Arial" w:cs="Arial"/>
                <w:color w:val="auto"/>
                <w:sz w:val="24"/>
                <w:szCs w:val="24"/>
                <w:lang w:eastAsia="en-US"/>
              </w:rPr>
              <w:t>strategiczn</w:t>
            </w:r>
            <w:r w:rsidR="006236E8" w:rsidRPr="00237760">
              <w:rPr>
                <w:rFonts w:ascii="Arial" w:hAnsi="Arial" w:cs="Arial"/>
                <w:color w:val="auto"/>
                <w:sz w:val="24"/>
                <w:szCs w:val="24"/>
                <w:lang w:eastAsia="en-US"/>
              </w:rPr>
              <w:t xml:space="preserve">ych </w:t>
            </w:r>
            <w:r w:rsidR="00BC3347" w:rsidRPr="00237760">
              <w:rPr>
                <w:rFonts w:ascii="Arial" w:hAnsi="Arial" w:cs="Arial"/>
                <w:color w:val="auto"/>
                <w:sz w:val="24"/>
                <w:szCs w:val="24"/>
                <w:lang w:eastAsia="en-US"/>
              </w:rPr>
              <w:lastRenderedPageBreak/>
              <w:t>poziomu europejskiego i krajowego</w:t>
            </w:r>
            <w:r w:rsidR="004E21B0" w:rsidRPr="00237760">
              <w:rPr>
                <w:rFonts w:ascii="Arial" w:hAnsi="Arial" w:cs="Arial"/>
                <w:color w:val="auto"/>
                <w:sz w:val="24"/>
                <w:szCs w:val="24"/>
                <w:lang w:eastAsia="en-US"/>
              </w:rPr>
              <w:t>, dodatkowo, zgodnie z zapisami PSRT WP</w:t>
            </w:r>
            <w:r w:rsidR="00E11ACF" w:rsidRPr="00237760">
              <w:rPr>
                <w:rFonts w:ascii="Arial" w:hAnsi="Arial" w:cs="Arial"/>
                <w:color w:val="auto"/>
                <w:sz w:val="24"/>
                <w:szCs w:val="24"/>
                <w:lang w:eastAsia="en-US"/>
              </w:rPr>
              <w:t xml:space="preserve">, założenia tego programu </w:t>
            </w:r>
            <w:r w:rsidR="00000317" w:rsidRPr="00237760">
              <w:rPr>
                <w:rFonts w:ascii="Arial" w:hAnsi="Arial" w:cs="Arial"/>
                <w:color w:val="auto"/>
                <w:sz w:val="24"/>
                <w:szCs w:val="24"/>
                <w:lang w:eastAsia="en-US"/>
              </w:rPr>
              <w:t>„wypełniają cele” Strategii Zrównoważonego Rozwoju Transportu do 2030 r</w:t>
            </w:r>
            <w:r w:rsidR="00797902" w:rsidRPr="00237760">
              <w:rPr>
                <w:rFonts w:ascii="Arial" w:hAnsi="Arial" w:cs="Arial"/>
                <w:color w:val="auto"/>
                <w:sz w:val="24"/>
                <w:szCs w:val="24"/>
                <w:lang w:eastAsia="en-US"/>
              </w:rPr>
              <w:t>;</w:t>
            </w:r>
          </w:p>
          <w:p w14:paraId="60C97FDB" w14:textId="77777777" w:rsidR="00090F0C" w:rsidRPr="00237760" w:rsidRDefault="00A1776F" w:rsidP="009367B4">
            <w:pPr>
              <w:pStyle w:val="Akapitzlist"/>
              <w:numPr>
                <w:ilvl w:val="0"/>
                <w:numId w:val="39"/>
              </w:numPr>
              <w:spacing w:after="0"/>
              <w:ind w:left="255" w:hanging="142"/>
              <w:jc w:val="left"/>
              <w:rPr>
                <w:rFonts w:ascii="Arial" w:hAnsi="Arial" w:cs="Arial"/>
                <w:color w:val="auto"/>
                <w:sz w:val="24"/>
                <w:szCs w:val="24"/>
                <w:lang w:eastAsia="en-US"/>
              </w:rPr>
            </w:pPr>
            <w:r w:rsidRPr="00237760">
              <w:rPr>
                <w:rFonts w:ascii="Arial" w:hAnsi="Arial" w:cs="Arial"/>
                <w:color w:val="auto"/>
                <w:sz w:val="24"/>
                <w:szCs w:val="24"/>
                <w:lang w:eastAsia="en-US"/>
              </w:rPr>
              <w:t>Zebrano dostępne informacje przydat</w:t>
            </w:r>
            <w:r w:rsidR="006C38CC" w:rsidRPr="00237760">
              <w:rPr>
                <w:rFonts w:ascii="Arial" w:hAnsi="Arial" w:cs="Arial"/>
                <w:color w:val="auto"/>
                <w:sz w:val="24"/>
                <w:szCs w:val="24"/>
                <w:lang w:eastAsia="en-US"/>
              </w:rPr>
              <w:t>ne</w:t>
            </w:r>
            <w:r w:rsidRPr="00237760">
              <w:rPr>
                <w:rFonts w:ascii="Arial" w:hAnsi="Arial" w:cs="Arial"/>
                <w:color w:val="auto"/>
                <w:sz w:val="24"/>
                <w:szCs w:val="24"/>
                <w:lang w:eastAsia="en-US"/>
              </w:rPr>
              <w:t xml:space="preserve"> jako wkład do planu oraz</w:t>
            </w:r>
            <w:r w:rsidR="00500337" w:rsidRPr="00237760">
              <w:rPr>
                <w:rFonts w:ascii="Arial" w:hAnsi="Arial" w:cs="Arial"/>
                <w:color w:val="auto"/>
                <w:sz w:val="24"/>
                <w:szCs w:val="24"/>
                <w:lang w:eastAsia="en-US"/>
              </w:rPr>
              <w:t xml:space="preserve"> przeprowadzono badania </w:t>
            </w:r>
            <w:r w:rsidR="00D54284" w:rsidRPr="00237760">
              <w:rPr>
                <w:rFonts w:ascii="Arial" w:hAnsi="Arial" w:cs="Arial"/>
                <w:color w:val="auto"/>
                <w:sz w:val="24"/>
                <w:szCs w:val="24"/>
                <w:lang w:eastAsia="en-US"/>
              </w:rPr>
              <w:t xml:space="preserve">w obszarach </w:t>
            </w:r>
            <w:r w:rsidR="009A6770" w:rsidRPr="00237760">
              <w:rPr>
                <w:rFonts w:ascii="Arial" w:hAnsi="Arial" w:cs="Arial"/>
                <w:color w:val="auto"/>
                <w:sz w:val="24"/>
                <w:szCs w:val="24"/>
                <w:lang w:eastAsia="en-US"/>
              </w:rPr>
              <w:t>mających charakter luk informacyjnych</w:t>
            </w:r>
            <w:r w:rsidR="009F2582" w:rsidRPr="00237760">
              <w:rPr>
                <w:rFonts w:ascii="Arial" w:hAnsi="Arial" w:cs="Arial"/>
                <w:color w:val="auto"/>
                <w:sz w:val="24"/>
                <w:szCs w:val="24"/>
                <w:lang w:eastAsia="en-US"/>
              </w:rPr>
              <w:t xml:space="preserve"> i w celu uzyskania dodatkowych </w:t>
            </w:r>
            <w:r w:rsidR="00103D41" w:rsidRPr="00237760">
              <w:rPr>
                <w:rFonts w:ascii="Arial" w:hAnsi="Arial" w:cs="Arial"/>
                <w:color w:val="auto"/>
                <w:sz w:val="24"/>
                <w:szCs w:val="24"/>
                <w:lang w:eastAsia="en-US"/>
              </w:rPr>
              <w:t>danych</w:t>
            </w:r>
            <w:r w:rsidR="009A6770" w:rsidRPr="00237760">
              <w:rPr>
                <w:rFonts w:ascii="Arial" w:hAnsi="Arial" w:cs="Arial"/>
                <w:color w:val="auto"/>
                <w:sz w:val="24"/>
                <w:szCs w:val="24"/>
                <w:lang w:eastAsia="en-US"/>
              </w:rPr>
              <w:t xml:space="preserve"> (</w:t>
            </w:r>
            <w:r w:rsidR="000969B2" w:rsidRPr="00237760">
              <w:rPr>
                <w:rFonts w:ascii="Arial" w:hAnsi="Arial" w:cs="Arial"/>
                <w:color w:val="auto"/>
                <w:sz w:val="24"/>
                <w:szCs w:val="24"/>
                <w:lang w:eastAsia="en-US"/>
              </w:rPr>
              <w:t xml:space="preserve">poprzez przygotowanie dokumentów: </w:t>
            </w:r>
            <w:r w:rsidR="006C38CC" w:rsidRPr="00237760">
              <w:rPr>
                <w:rFonts w:ascii="Arial" w:hAnsi="Arial" w:cs="Arial"/>
                <w:color w:val="auto"/>
                <w:sz w:val="24"/>
                <w:szCs w:val="24"/>
                <w:lang w:eastAsia="en-US"/>
              </w:rPr>
              <w:t>Diagnoza Stanu Systemu</w:t>
            </w:r>
            <w:r w:rsidR="00103D41" w:rsidRPr="00237760">
              <w:rPr>
                <w:rFonts w:ascii="Arial" w:hAnsi="Arial" w:cs="Arial"/>
                <w:color w:val="auto"/>
                <w:sz w:val="24"/>
                <w:szCs w:val="24"/>
                <w:lang w:eastAsia="en-US"/>
              </w:rPr>
              <w:t xml:space="preserve"> </w:t>
            </w:r>
            <w:r w:rsidR="006C38CC" w:rsidRPr="00237760">
              <w:rPr>
                <w:rFonts w:ascii="Arial" w:hAnsi="Arial" w:cs="Arial"/>
                <w:color w:val="auto"/>
                <w:sz w:val="24"/>
                <w:szCs w:val="24"/>
                <w:lang w:eastAsia="en-US"/>
              </w:rPr>
              <w:t>Transportowego w Województwie Podkarpackim i Rozwój transportu w województwie podkarpackim w perspektywie do 2030 roku – Raport końcowy</w:t>
            </w:r>
            <w:r w:rsidR="0017272D" w:rsidRPr="00237760">
              <w:rPr>
                <w:rFonts w:ascii="Arial" w:hAnsi="Arial" w:cs="Arial"/>
                <w:color w:val="auto"/>
                <w:sz w:val="24"/>
                <w:szCs w:val="24"/>
                <w:lang w:eastAsia="en-US"/>
              </w:rPr>
              <w:t>;</w:t>
            </w:r>
          </w:p>
          <w:p w14:paraId="72FD0E5A" w14:textId="19DA24FB" w:rsidR="006C38CC" w:rsidRPr="00237760" w:rsidRDefault="00CE3691" w:rsidP="009367B4">
            <w:pPr>
              <w:pStyle w:val="Akapitzlist"/>
              <w:numPr>
                <w:ilvl w:val="0"/>
                <w:numId w:val="39"/>
              </w:numPr>
              <w:spacing w:after="0"/>
              <w:ind w:left="255" w:hanging="142"/>
              <w:jc w:val="left"/>
              <w:rPr>
                <w:rFonts w:ascii="Arial" w:hAnsi="Arial" w:cs="Arial"/>
                <w:color w:val="auto"/>
                <w:sz w:val="24"/>
                <w:szCs w:val="24"/>
                <w:lang w:eastAsia="en-US"/>
              </w:rPr>
            </w:pPr>
            <w:r w:rsidRPr="00237760">
              <w:rPr>
                <w:rFonts w:ascii="Arial" w:hAnsi="Arial" w:cs="Arial"/>
                <w:color w:val="auto"/>
                <w:sz w:val="24"/>
                <w:szCs w:val="24"/>
                <w:lang w:eastAsia="en-US"/>
              </w:rPr>
              <w:t>Zaangażowano mieszkańców</w:t>
            </w:r>
            <w:r w:rsidR="006D543A" w:rsidRPr="00237760">
              <w:rPr>
                <w:rFonts w:ascii="Arial" w:hAnsi="Arial" w:cs="Arial"/>
                <w:color w:val="auto"/>
                <w:sz w:val="24"/>
                <w:szCs w:val="24"/>
                <w:lang w:eastAsia="en-US"/>
              </w:rPr>
              <w:t xml:space="preserve"> i innych interesariuszy</w:t>
            </w:r>
            <w:r w:rsidRPr="00237760">
              <w:rPr>
                <w:rFonts w:ascii="Arial" w:hAnsi="Arial" w:cs="Arial"/>
                <w:color w:val="auto"/>
                <w:sz w:val="24"/>
                <w:szCs w:val="24"/>
                <w:lang w:eastAsia="en-US"/>
              </w:rPr>
              <w:t xml:space="preserve"> (patrz: kryterium „zaangażowanie mieszkańców i interesariuszy” w niniejszej tabeli)</w:t>
            </w:r>
            <w:r w:rsidR="00103D41" w:rsidRPr="00237760">
              <w:rPr>
                <w:rFonts w:ascii="Arial" w:hAnsi="Arial" w:cs="Arial"/>
                <w:color w:val="auto"/>
                <w:sz w:val="24"/>
                <w:szCs w:val="24"/>
                <w:lang w:eastAsia="en-US"/>
              </w:rPr>
              <w:t>:</w:t>
            </w:r>
          </w:p>
          <w:p w14:paraId="0A31DF69" w14:textId="1650A2FE" w:rsidR="007136E8" w:rsidRPr="00237760" w:rsidRDefault="00CB3EED" w:rsidP="009367B4">
            <w:pPr>
              <w:pStyle w:val="Akapitzlist"/>
              <w:numPr>
                <w:ilvl w:val="0"/>
                <w:numId w:val="52"/>
              </w:numPr>
              <w:spacing w:after="0"/>
              <w:ind w:left="538" w:hanging="147"/>
              <w:jc w:val="left"/>
              <w:rPr>
                <w:rFonts w:ascii="Arial" w:hAnsi="Arial" w:cs="Arial"/>
                <w:color w:val="auto"/>
                <w:sz w:val="24"/>
                <w:szCs w:val="24"/>
                <w:lang w:eastAsia="en-US"/>
              </w:rPr>
            </w:pPr>
            <w:r w:rsidRPr="00237760">
              <w:rPr>
                <w:rFonts w:ascii="Arial" w:hAnsi="Arial" w:cs="Arial"/>
                <w:color w:val="auto"/>
                <w:sz w:val="24"/>
                <w:szCs w:val="24"/>
                <w:lang w:eastAsia="en-US"/>
              </w:rPr>
              <w:t>w skład Zespołu ds. przygotowania PSRT WP zostali włączeni:</w:t>
            </w:r>
            <w:r w:rsidR="009B4736" w:rsidRPr="00237760">
              <w:rPr>
                <w:rFonts w:ascii="Arial" w:eastAsia="MS Gothic" w:hAnsi="Arial" w:cs="Arial"/>
                <w:color w:val="auto"/>
                <w:sz w:val="24"/>
                <w:szCs w:val="24"/>
                <w:lang w:eastAsia="en-US"/>
              </w:rPr>
              <w:t xml:space="preserve"> </w:t>
            </w:r>
            <w:r w:rsidR="009B4736" w:rsidRPr="00237760">
              <w:rPr>
                <w:rFonts w:ascii="Arial" w:hAnsi="Arial" w:cs="Arial"/>
                <w:color w:val="auto"/>
                <w:sz w:val="24"/>
                <w:szCs w:val="24"/>
                <w:lang w:eastAsia="en-US"/>
              </w:rPr>
              <w:t>Wojewoda Podkarpacki, Urząd Miasta Rzeszowa</w:t>
            </w:r>
            <w:r w:rsidR="007136E8" w:rsidRPr="00237760">
              <w:rPr>
                <w:rFonts w:ascii="Arial" w:hAnsi="Arial" w:cs="Arial"/>
                <w:color w:val="auto"/>
                <w:sz w:val="24"/>
                <w:szCs w:val="24"/>
                <w:lang w:eastAsia="en-US"/>
              </w:rPr>
              <w:t>,</w:t>
            </w:r>
            <w:r w:rsidR="009B4736" w:rsidRPr="00237760">
              <w:rPr>
                <w:rFonts w:ascii="Arial" w:hAnsi="Arial" w:cs="Arial"/>
                <w:color w:val="auto"/>
                <w:sz w:val="24"/>
                <w:szCs w:val="24"/>
                <w:lang w:eastAsia="en-US"/>
              </w:rPr>
              <w:t xml:space="preserve"> Podkarpacki</w:t>
            </w:r>
            <w:r w:rsidR="007136E8" w:rsidRPr="00237760">
              <w:rPr>
                <w:rFonts w:ascii="Arial" w:hAnsi="Arial" w:cs="Arial"/>
                <w:color w:val="auto"/>
                <w:sz w:val="24"/>
                <w:szCs w:val="24"/>
                <w:lang w:eastAsia="en-US"/>
              </w:rPr>
              <w:t xml:space="preserve"> </w:t>
            </w:r>
            <w:r w:rsidR="009B4736" w:rsidRPr="00237760">
              <w:rPr>
                <w:rFonts w:ascii="Arial" w:hAnsi="Arial" w:cs="Arial"/>
                <w:color w:val="auto"/>
                <w:sz w:val="24"/>
                <w:szCs w:val="24"/>
                <w:lang w:eastAsia="en-US"/>
              </w:rPr>
              <w:t>Zarządu Dróg Wojewódzkich w Rzeszowie</w:t>
            </w:r>
            <w:r w:rsidR="007136E8" w:rsidRPr="00237760">
              <w:rPr>
                <w:rFonts w:ascii="Arial" w:hAnsi="Arial" w:cs="Arial"/>
                <w:color w:val="auto"/>
                <w:sz w:val="24"/>
                <w:szCs w:val="24"/>
                <w:lang w:eastAsia="en-US"/>
              </w:rPr>
              <w:t xml:space="preserve">, </w:t>
            </w:r>
            <w:r w:rsidR="009B4736" w:rsidRPr="00237760">
              <w:rPr>
                <w:rFonts w:ascii="Arial" w:hAnsi="Arial" w:cs="Arial"/>
                <w:color w:val="auto"/>
                <w:sz w:val="24"/>
                <w:szCs w:val="24"/>
                <w:lang w:eastAsia="en-US"/>
              </w:rPr>
              <w:t>Miejski</w:t>
            </w:r>
            <w:r w:rsidR="007136E8" w:rsidRPr="00237760">
              <w:rPr>
                <w:rFonts w:ascii="Arial" w:hAnsi="Arial" w:cs="Arial"/>
                <w:color w:val="auto"/>
                <w:sz w:val="24"/>
                <w:szCs w:val="24"/>
                <w:lang w:eastAsia="en-US"/>
              </w:rPr>
              <w:t xml:space="preserve"> </w:t>
            </w:r>
            <w:r w:rsidR="009B4736" w:rsidRPr="00237760">
              <w:rPr>
                <w:rFonts w:ascii="Arial" w:hAnsi="Arial" w:cs="Arial"/>
                <w:color w:val="auto"/>
                <w:sz w:val="24"/>
                <w:szCs w:val="24"/>
                <w:lang w:eastAsia="en-US"/>
              </w:rPr>
              <w:t>Zarząd</w:t>
            </w:r>
            <w:r w:rsidR="007136E8" w:rsidRPr="00237760">
              <w:rPr>
                <w:rFonts w:ascii="Arial" w:hAnsi="Arial" w:cs="Arial"/>
                <w:color w:val="auto"/>
                <w:sz w:val="24"/>
                <w:szCs w:val="24"/>
                <w:lang w:eastAsia="en-US"/>
              </w:rPr>
              <w:t xml:space="preserve"> </w:t>
            </w:r>
            <w:r w:rsidR="009B4736" w:rsidRPr="00237760">
              <w:rPr>
                <w:rFonts w:ascii="Arial" w:hAnsi="Arial" w:cs="Arial"/>
                <w:color w:val="auto"/>
                <w:sz w:val="24"/>
                <w:szCs w:val="24"/>
                <w:lang w:eastAsia="en-US"/>
              </w:rPr>
              <w:t>Dróg w Rzeszowie</w:t>
            </w:r>
            <w:r w:rsidR="007136E8" w:rsidRPr="00237760">
              <w:rPr>
                <w:rFonts w:ascii="Arial" w:hAnsi="Arial" w:cs="Arial"/>
                <w:color w:val="auto"/>
                <w:sz w:val="24"/>
                <w:szCs w:val="24"/>
                <w:lang w:eastAsia="en-US"/>
              </w:rPr>
              <w:t xml:space="preserve">, </w:t>
            </w:r>
            <w:r w:rsidR="009B4736" w:rsidRPr="00237760">
              <w:rPr>
                <w:rFonts w:ascii="Arial" w:hAnsi="Arial" w:cs="Arial"/>
                <w:color w:val="auto"/>
                <w:sz w:val="24"/>
                <w:szCs w:val="24"/>
                <w:lang w:eastAsia="en-US"/>
              </w:rPr>
              <w:t>Generaln</w:t>
            </w:r>
            <w:r w:rsidR="007136E8" w:rsidRPr="00237760">
              <w:rPr>
                <w:rFonts w:ascii="Arial" w:hAnsi="Arial" w:cs="Arial"/>
                <w:color w:val="auto"/>
                <w:sz w:val="24"/>
                <w:szCs w:val="24"/>
                <w:lang w:eastAsia="en-US"/>
              </w:rPr>
              <w:t xml:space="preserve">a </w:t>
            </w:r>
            <w:r w:rsidR="009B4736" w:rsidRPr="00237760">
              <w:rPr>
                <w:rFonts w:ascii="Arial" w:hAnsi="Arial" w:cs="Arial"/>
                <w:color w:val="auto"/>
                <w:sz w:val="24"/>
                <w:szCs w:val="24"/>
                <w:lang w:eastAsia="en-US"/>
              </w:rPr>
              <w:t>Dyrekcj</w:t>
            </w:r>
            <w:r w:rsidR="007136E8" w:rsidRPr="00237760">
              <w:rPr>
                <w:rFonts w:ascii="Arial" w:hAnsi="Arial" w:cs="Arial"/>
                <w:color w:val="auto"/>
                <w:sz w:val="24"/>
                <w:szCs w:val="24"/>
                <w:lang w:eastAsia="en-US"/>
              </w:rPr>
              <w:t xml:space="preserve">a </w:t>
            </w:r>
            <w:r w:rsidR="009B4736" w:rsidRPr="00237760">
              <w:rPr>
                <w:rFonts w:ascii="Arial" w:hAnsi="Arial" w:cs="Arial"/>
                <w:color w:val="auto"/>
                <w:sz w:val="24"/>
                <w:szCs w:val="24"/>
                <w:lang w:eastAsia="en-US"/>
              </w:rPr>
              <w:t>Dróg Krajowych i Autostrad Oddział w Rzeszowie</w:t>
            </w:r>
            <w:r w:rsidR="007136E8" w:rsidRPr="00237760">
              <w:rPr>
                <w:rFonts w:ascii="Arial" w:hAnsi="Arial" w:cs="Arial"/>
                <w:color w:val="auto"/>
                <w:sz w:val="24"/>
                <w:szCs w:val="24"/>
                <w:lang w:eastAsia="en-US"/>
              </w:rPr>
              <w:t xml:space="preserve">, </w:t>
            </w:r>
            <w:r w:rsidR="009B4736" w:rsidRPr="00237760">
              <w:rPr>
                <w:rFonts w:ascii="Arial" w:hAnsi="Arial" w:cs="Arial"/>
                <w:color w:val="auto"/>
                <w:sz w:val="24"/>
                <w:szCs w:val="24"/>
                <w:lang w:eastAsia="en-US"/>
              </w:rPr>
              <w:t>PKP PLK S.A.</w:t>
            </w:r>
            <w:r w:rsidR="007136E8" w:rsidRPr="00237760">
              <w:rPr>
                <w:rFonts w:ascii="Arial" w:hAnsi="Arial" w:cs="Arial"/>
                <w:color w:val="auto"/>
                <w:sz w:val="24"/>
                <w:szCs w:val="24"/>
                <w:lang w:eastAsia="en-US"/>
              </w:rPr>
              <w:t xml:space="preserve">, </w:t>
            </w:r>
            <w:r w:rsidR="009B4736" w:rsidRPr="00237760">
              <w:rPr>
                <w:rFonts w:ascii="Arial" w:hAnsi="Arial" w:cs="Arial"/>
                <w:color w:val="auto"/>
                <w:sz w:val="24"/>
                <w:szCs w:val="24"/>
                <w:lang w:eastAsia="en-US"/>
              </w:rPr>
              <w:t>Port</w:t>
            </w:r>
            <w:r w:rsidR="007136E8" w:rsidRPr="00237760">
              <w:rPr>
                <w:rFonts w:ascii="Arial" w:hAnsi="Arial" w:cs="Arial"/>
                <w:color w:val="auto"/>
                <w:sz w:val="24"/>
                <w:szCs w:val="24"/>
                <w:lang w:eastAsia="en-US"/>
              </w:rPr>
              <w:t xml:space="preserve"> </w:t>
            </w:r>
            <w:r w:rsidR="009B4736" w:rsidRPr="00237760">
              <w:rPr>
                <w:rFonts w:ascii="Arial" w:hAnsi="Arial" w:cs="Arial"/>
                <w:color w:val="auto"/>
                <w:sz w:val="24"/>
                <w:szCs w:val="24"/>
                <w:lang w:eastAsia="en-US"/>
              </w:rPr>
              <w:t>Lotnicz</w:t>
            </w:r>
            <w:r w:rsidR="007136E8" w:rsidRPr="00237760">
              <w:rPr>
                <w:rFonts w:ascii="Arial" w:hAnsi="Arial" w:cs="Arial"/>
                <w:color w:val="auto"/>
                <w:sz w:val="24"/>
                <w:szCs w:val="24"/>
                <w:lang w:eastAsia="en-US"/>
              </w:rPr>
              <w:t>y</w:t>
            </w:r>
            <w:r w:rsidR="009B4736" w:rsidRPr="00237760">
              <w:rPr>
                <w:rFonts w:ascii="Arial" w:hAnsi="Arial" w:cs="Arial"/>
                <w:color w:val="auto"/>
                <w:sz w:val="24"/>
                <w:szCs w:val="24"/>
                <w:lang w:eastAsia="en-US"/>
              </w:rPr>
              <w:t xml:space="preserve"> „Rzeszów-Jasionka” Sp. z o.o.</w:t>
            </w:r>
            <w:r w:rsidR="007136E8" w:rsidRPr="00237760">
              <w:rPr>
                <w:rFonts w:ascii="Arial" w:hAnsi="Arial" w:cs="Arial"/>
                <w:color w:val="auto"/>
                <w:sz w:val="24"/>
                <w:szCs w:val="24"/>
                <w:lang w:eastAsia="en-US"/>
              </w:rPr>
              <w:t xml:space="preserve">, </w:t>
            </w:r>
            <w:r w:rsidR="009B4736" w:rsidRPr="00237760">
              <w:rPr>
                <w:rFonts w:ascii="Arial" w:hAnsi="Arial" w:cs="Arial"/>
                <w:color w:val="auto"/>
                <w:sz w:val="24"/>
                <w:szCs w:val="24"/>
                <w:lang w:eastAsia="en-US"/>
              </w:rPr>
              <w:t>Centrum Unijnych Projektów Transportowych</w:t>
            </w:r>
            <w:r w:rsidR="0017272D" w:rsidRPr="00237760">
              <w:rPr>
                <w:rFonts w:ascii="Arial" w:hAnsi="Arial" w:cs="Arial"/>
                <w:color w:val="auto"/>
                <w:sz w:val="24"/>
                <w:szCs w:val="24"/>
                <w:lang w:eastAsia="en-US"/>
              </w:rPr>
              <w:t>;</w:t>
            </w:r>
          </w:p>
          <w:p w14:paraId="2324D7C5" w14:textId="24BF58C0" w:rsidR="003464D4" w:rsidRPr="00237760" w:rsidRDefault="00E32236" w:rsidP="009367B4">
            <w:pPr>
              <w:pStyle w:val="Akapitzlist"/>
              <w:numPr>
                <w:ilvl w:val="0"/>
                <w:numId w:val="39"/>
              </w:numPr>
              <w:spacing w:after="0"/>
              <w:ind w:left="255" w:hanging="142"/>
              <w:jc w:val="left"/>
              <w:rPr>
                <w:rFonts w:ascii="Arial" w:hAnsi="Arial" w:cs="Arial"/>
                <w:color w:val="auto"/>
                <w:sz w:val="24"/>
                <w:szCs w:val="24"/>
                <w:lang w:eastAsia="en-US"/>
              </w:rPr>
            </w:pPr>
            <w:r w:rsidRPr="00237760">
              <w:rPr>
                <w:rFonts w:ascii="Arial" w:hAnsi="Arial" w:cs="Arial"/>
                <w:color w:val="auto"/>
                <w:sz w:val="24"/>
                <w:szCs w:val="24"/>
                <w:lang w:eastAsia="en-US"/>
              </w:rPr>
              <w:t xml:space="preserve">Przeprowadzono </w:t>
            </w:r>
            <w:r w:rsidR="008470E7" w:rsidRPr="00237760">
              <w:rPr>
                <w:rFonts w:ascii="Arial" w:hAnsi="Arial" w:cs="Arial"/>
                <w:color w:val="auto"/>
                <w:sz w:val="24"/>
                <w:szCs w:val="24"/>
                <w:lang w:eastAsia="en-US"/>
              </w:rPr>
              <w:t>analizy</w:t>
            </w:r>
            <w:r w:rsidR="00C54A78" w:rsidRPr="00237760">
              <w:rPr>
                <w:rFonts w:ascii="Arial" w:hAnsi="Arial" w:cs="Arial"/>
                <w:color w:val="auto"/>
                <w:sz w:val="24"/>
                <w:szCs w:val="24"/>
                <w:lang w:eastAsia="en-US"/>
              </w:rPr>
              <w:t>, z których wnioski przedstawiono w rozdz.</w:t>
            </w:r>
            <w:r w:rsidR="000909A4" w:rsidRPr="00237760">
              <w:rPr>
                <w:rFonts w:ascii="Arial" w:hAnsi="Arial" w:cs="Arial"/>
                <w:color w:val="auto"/>
                <w:sz w:val="24"/>
                <w:szCs w:val="24"/>
                <w:lang w:eastAsia="en-US"/>
              </w:rPr>
              <w:t xml:space="preserve"> I. Diagnoza stanu systemu transportowego w województwie podkarpackim PSRT WP:</w:t>
            </w:r>
          </w:p>
          <w:p w14:paraId="04231557" w14:textId="77777777" w:rsidR="00090F0C" w:rsidRPr="00237760" w:rsidRDefault="00706574" w:rsidP="009367B4">
            <w:pPr>
              <w:pStyle w:val="Akapitzlist"/>
              <w:numPr>
                <w:ilvl w:val="0"/>
                <w:numId w:val="52"/>
              </w:numPr>
              <w:spacing w:after="0"/>
              <w:ind w:left="538" w:hanging="147"/>
              <w:jc w:val="left"/>
              <w:rPr>
                <w:rFonts w:ascii="Arial" w:hAnsi="Arial" w:cs="Arial"/>
                <w:color w:val="auto"/>
                <w:sz w:val="24"/>
                <w:szCs w:val="24"/>
                <w:lang w:eastAsia="en-US"/>
              </w:rPr>
            </w:pPr>
            <w:r w:rsidRPr="00237760">
              <w:rPr>
                <w:rFonts w:ascii="Arial" w:eastAsia="MS Gothic" w:hAnsi="Arial" w:cs="Arial"/>
                <w:color w:val="auto"/>
                <w:sz w:val="24"/>
                <w:szCs w:val="24"/>
              </w:rPr>
              <w:t xml:space="preserve">wnioski mają charakter kompleksowy i przedstawiają uwarunkowania rozwoju </w:t>
            </w:r>
            <w:r w:rsidR="00B95878" w:rsidRPr="00237760">
              <w:rPr>
                <w:rFonts w:ascii="Arial" w:eastAsia="MS Gothic" w:hAnsi="Arial" w:cs="Arial"/>
                <w:color w:val="auto"/>
                <w:sz w:val="24"/>
                <w:szCs w:val="24"/>
              </w:rPr>
              <w:t xml:space="preserve">systemu </w:t>
            </w:r>
            <w:r w:rsidRPr="00237760">
              <w:rPr>
                <w:rFonts w:ascii="Arial" w:eastAsia="MS Gothic" w:hAnsi="Arial" w:cs="Arial"/>
                <w:color w:val="auto"/>
                <w:sz w:val="24"/>
                <w:szCs w:val="24"/>
              </w:rPr>
              <w:t>transport</w:t>
            </w:r>
            <w:r w:rsidR="00B95878" w:rsidRPr="00237760">
              <w:rPr>
                <w:rFonts w:ascii="Arial" w:eastAsia="MS Gothic" w:hAnsi="Arial" w:cs="Arial"/>
                <w:color w:val="auto"/>
                <w:sz w:val="24"/>
                <w:szCs w:val="24"/>
              </w:rPr>
              <w:t xml:space="preserve">owego </w:t>
            </w:r>
            <w:r w:rsidRPr="00237760">
              <w:rPr>
                <w:rFonts w:ascii="Arial" w:eastAsia="MS Gothic" w:hAnsi="Arial" w:cs="Arial"/>
                <w:color w:val="auto"/>
                <w:sz w:val="24"/>
                <w:szCs w:val="24"/>
              </w:rPr>
              <w:t>w ujęciu społecznym</w:t>
            </w:r>
            <w:r w:rsidR="007A7807" w:rsidRPr="00237760">
              <w:rPr>
                <w:rFonts w:ascii="Arial" w:eastAsia="MS Gothic" w:hAnsi="Arial" w:cs="Arial"/>
                <w:color w:val="auto"/>
                <w:sz w:val="24"/>
                <w:szCs w:val="24"/>
              </w:rPr>
              <w:t xml:space="preserve"> (w tym bezpieczeństwa)</w:t>
            </w:r>
            <w:r w:rsidRPr="00237760">
              <w:rPr>
                <w:rFonts w:ascii="Arial" w:eastAsia="MS Gothic" w:hAnsi="Arial" w:cs="Arial"/>
                <w:color w:val="auto"/>
                <w:sz w:val="24"/>
                <w:szCs w:val="24"/>
              </w:rPr>
              <w:t xml:space="preserve">, gospodarczym, </w:t>
            </w:r>
            <w:r w:rsidR="007F5375" w:rsidRPr="00237760">
              <w:rPr>
                <w:rFonts w:ascii="Arial" w:eastAsia="MS Gothic" w:hAnsi="Arial" w:cs="Arial"/>
                <w:color w:val="auto"/>
                <w:sz w:val="24"/>
                <w:szCs w:val="24"/>
              </w:rPr>
              <w:t xml:space="preserve">przyrodniczym (w tym zmian klimatu), </w:t>
            </w:r>
            <w:r w:rsidRPr="00237760">
              <w:rPr>
                <w:rFonts w:ascii="Arial" w:eastAsia="MS Gothic" w:hAnsi="Arial" w:cs="Arial"/>
                <w:color w:val="auto"/>
                <w:sz w:val="24"/>
                <w:szCs w:val="24"/>
              </w:rPr>
              <w:t>technicznym</w:t>
            </w:r>
            <w:r w:rsidR="002A4047" w:rsidRPr="00237760">
              <w:rPr>
                <w:rFonts w:ascii="Arial" w:eastAsia="MS Gothic" w:hAnsi="Arial" w:cs="Arial"/>
                <w:color w:val="auto"/>
                <w:sz w:val="24"/>
                <w:szCs w:val="24"/>
              </w:rPr>
              <w:t>, organizacyjnym</w:t>
            </w:r>
            <w:r w:rsidRPr="00237760">
              <w:rPr>
                <w:rFonts w:ascii="Arial" w:eastAsia="MS Gothic" w:hAnsi="Arial" w:cs="Arial"/>
                <w:color w:val="auto"/>
                <w:sz w:val="24"/>
                <w:szCs w:val="24"/>
              </w:rPr>
              <w:t xml:space="preserve"> i przestrzennym</w:t>
            </w:r>
            <w:r w:rsidR="001B5F11" w:rsidRPr="00237760">
              <w:rPr>
                <w:rFonts w:ascii="Arial" w:eastAsia="MS Gothic" w:hAnsi="Arial" w:cs="Arial"/>
                <w:color w:val="auto"/>
                <w:sz w:val="24"/>
                <w:szCs w:val="24"/>
              </w:rPr>
              <w:t>,</w:t>
            </w:r>
          </w:p>
          <w:p w14:paraId="2D8A2403" w14:textId="27BB0B5E" w:rsidR="00090F0C" w:rsidRPr="00237760" w:rsidRDefault="00B95878" w:rsidP="009367B4">
            <w:pPr>
              <w:pStyle w:val="Akapitzlist"/>
              <w:numPr>
                <w:ilvl w:val="0"/>
                <w:numId w:val="52"/>
              </w:numPr>
              <w:spacing w:after="0"/>
              <w:ind w:left="538" w:hanging="147"/>
              <w:jc w:val="left"/>
              <w:rPr>
                <w:rFonts w:ascii="Arial" w:hAnsi="Arial" w:cs="Arial"/>
                <w:color w:val="auto"/>
                <w:sz w:val="24"/>
                <w:szCs w:val="24"/>
                <w:lang w:eastAsia="en-US"/>
              </w:rPr>
            </w:pPr>
            <w:r w:rsidRPr="00237760">
              <w:rPr>
                <w:rFonts w:ascii="Arial" w:hAnsi="Arial" w:cs="Arial"/>
                <w:color w:val="auto"/>
                <w:sz w:val="24"/>
                <w:szCs w:val="24"/>
                <w:lang w:eastAsia="en-US"/>
              </w:rPr>
              <w:t>część analiz ma charakter subregionalny (</w:t>
            </w:r>
            <w:r w:rsidR="00861270" w:rsidRPr="00237760">
              <w:rPr>
                <w:rFonts w:ascii="Arial" w:hAnsi="Arial" w:cs="Arial"/>
                <w:color w:val="auto"/>
                <w:sz w:val="24"/>
                <w:szCs w:val="24"/>
                <w:lang w:eastAsia="en-US"/>
              </w:rPr>
              <w:t>przeprowadzone dla miejskich obszarów funkcjonalnych w rozdz. rozdz. I. 1.4.1.1. – I. 1.4.2.11)</w:t>
            </w:r>
            <w:r w:rsidR="00090F0C" w:rsidRPr="00237760">
              <w:rPr>
                <w:rFonts w:ascii="Arial" w:hAnsi="Arial" w:cs="Arial"/>
                <w:color w:val="auto"/>
                <w:sz w:val="24"/>
                <w:szCs w:val="24"/>
                <w:lang w:eastAsia="en-US"/>
              </w:rPr>
              <w:t>,</w:t>
            </w:r>
          </w:p>
          <w:p w14:paraId="01E9AD63" w14:textId="3537822F" w:rsidR="00083D24" w:rsidRPr="00237760" w:rsidRDefault="005D0B43" w:rsidP="009367B4">
            <w:pPr>
              <w:pStyle w:val="Akapitzlist"/>
              <w:numPr>
                <w:ilvl w:val="0"/>
                <w:numId w:val="52"/>
              </w:numPr>
              <w:spacing w:after="0"/>
              <w:ind w:left="538" w:hanging="147"/>
              <w:jc w:val="left"/>
              <w:rPr>
                <w:rFonts w:ascii="Arial" w:hAnsi="Arial" w:cs="Arial"/>
                <w:color w:val="auto"/>
                <w:sz w:val="24"/>
                <w:szCs w:val="24"/>
                <w:lang w:eastAsia="en-US"/>
              </w:rPr>
            </w:pPr>
            <w:r w:rsidRPr="00237760">
              <w:rPr>
                <w:rFonts w:ascii="Arial" w:hAnsi="Arial" w:cs="Arial"/>
                <w:color w:val="auto"/>
                <w:sz w:val="24"/>
                <w:szCs w:val="24"/>
                <w:lang w:eastAsia="en-US"/>
              </w:rPr>
              <w:lastRenderedPageBreak/>
              <w:t>funkcję konsolidacyjną i potwierdzającą kluczowe zidentyfikowane zagadnienia i ich przyczyn</w:t>
            </w:r>
            <w:r w:rsidR="00C821CF" w:rsidRPr="00237760">
              <w:rPr>
                <w:rFonts w:ascii="Arial" w:hAnsi="Arial" w:cs="Arial"/>
                <w:color w:val="auto"/>
                <w:sz w:val="24"/>
                <w:szCs w:val="24"/>
                <w:lang w:eastAsia="en-US"/>
              </w:rPr>
              <w:t>y</w:t>
            </w:r>
            <w:r w:rsidRPr="00237760">
              <w:rPr>
                <w:rFonts w:ascii="Arial" w:hAnsi="Arial" w:cs="Arial"/>
                <w:color w:val="auto"/>
                <w:sz w:val="24"/>
                <w:szCs w:val="24"/>
                <w:lang w:eastAsia="en-US"/>
              </w:rPr>
              <w:t xml:space="preserve"> stanowi </w:t>
            </w:r>
            <w:r w:rsidR="009F7B3E" w:rsidRPr="00237760">
              <w:rPr>
                <w:rFonts w:ascii="Arial" w:hAnsi="Arial" w:cs="Arial"/>
                <w:color w:val="auto"/>
                <w:sz w:val="24"/>
                <w:szCs w:val="24"/>
                <w:lang w:eastAsia="en-US"/>
              </w:rPr>
              <w:t>analiza SWOT</w:t>
            </w:r>
            <w:r w:rsidR="00C821CF" w:rsidRPr="00237760">
              <w:rPr>
                <w:rFonts w:ascii="Arial" w:hAnsi="Arial" w:cs="Arial"/>
                <w:color w:val="auto"/>
                <w:sz w:val="24"/>
                <w:szCs w:val="24"/>
                <w:lang w:eastAsia="en-US"/>
              </w:rPr>
              <w:t>;</w:t>
            </w:r>
          </w:p>
          <w:p w14:paraId="2A640533" w14:textId="291C461F" w:rsidR="006E235F" w:rsidRPr="00237760" w:rsidRDefault="00083D24" w:rsidP="009367B4">
            <w:pPr>
              <w:pStyle w:val="Akapitzlist"/>
              <w:numPr>
                <w:ilvl w:val="0"/>
                <w:numId w:val="39"/>
              </w:numPr>
              <w:spacing w:after="0"/>
              <w:ind w:left="255" w:hanging="142"/>
              <w:jc w:val="left"/>
              <w:rPr>
                <w:rFonts w:ascii="Arial" w:hAnsi="Arial" w:cs="Arial"/>
                <w:color w:val="auto"/>
                <w:sz w:val="24"/>
                <w:szCs w:val="24"/>
                <w:lang w:eastAsia="en-US"/>
              </w:rPr>
            </w:pPr>
            <w:r w:rsidRPr="00237760">
              <w:rPr>
                <w:rFonts w:ascii="Arial" w:hAnsi="Arial" w:cs="Arial"/>
                <w:color w:val="auto"/>
                <w:sz w:val="24"/>
                <w:szCs w:val="24"/>
                <w:lang w:eastAsia="en-US"/>
              </w:rPr>
              <w:t>Przeprowadzon</w:t>
            </w:r>
            <w:r w:rsidR="00DE556D" w:rsidRPr="00237760">
              <w:rPr>
                <w:rFonts w:ascii="Arial" w:hAnsi="Arial" w:cs="Arial"/>
                <w:color w:val="auto"/>
                <w:sz w:val="24"/>
                <w:szCs w:val="24"/>
                <w:lang w:eastAsia="en-US"/>
              </w:rPr>
              <w:t>e</w:t>
            </w:r>
            <w:r w:rsidRPr="00237760">
              <w:rPr>
                <w:rFonts w:ascii="Arial" w:hAnsi="Arial" w:cs="Arial"/>
                <w:color w:val="auto"/>
                <w:sz w:val="24"/>
                <w:szCs w:val="24"/>
                <w:lang w:eastAsia="en-US"/>
              </w:rPr>
              <w:t xml:space="preserve"> analizy</w:t>
            </w:r>
            <w:r w:rsidR="00BE4D08" w:rsidRPr="00237760">
              <w:rPr>
                <w:rFonts w:ascii="Arial" w:hAnsi="Arial" w:cs="Arial"/>
                <w:color w:val="auto"/>
                <w:sz w:val="24"/>
                <w:szCs w:val="24"/>
                <w:lang w:eastAsia="en-US"/>
              </w:rPr>
              <w:t xml:space="preserve"> oraz SWOT stanowiły podstawę dla wskazania kluczowych wyzwań transportowych</w:t>
            </w:r>
            <w:r w:rsidR="002C2988" w:rsidRPr="00237760">
              <w:rPr>
                <w:rFonts w:ascii="Arial" w:hAnsi="Arial" w:cs="Arial"/>
                <w:color w:val="auto"/>
                <w:sz w:val="24"/>
                <w:szCs w:val="24"/>
                <w:lang w:eastAsia="en-US"/>
              </w:rPr>
              <w:t xml:space="preserve"> (rozdz. II</w:t>
            </w:r>
            <w:r w:rsidR="009E64E8" w:rsidRPr="00237760">
              <w:rPr>
                <w:rFonts w:ascii="Arial" w:hAnsi="Arial" w:cs="Arial"/>
                <w:color w:val="auto"/>
                <w:sz w:val="24"/>
                <w:szCs w:val="24"/>
                <w:lang w:eastAsia="en-US"/>
              </w:rPr>
              <w:t>.</w:t>
            </w:r>
            <w:r w:rsidR="002C2988" w:rsidRPr="00237760">
              <w:rPr>
                <w:rFonts w:ascii="Arial" w:hAnsi="Arial" w:cs="Arial"/>
                <w:color w:val="auto"/>
                <w:sz w:val="24"/>
                <w:szCs w:val="24"/>
                <w:lang w:eastAsia="en-US"/>
              </w:rPr>
              <w:t xml:space="preserve"> Identyfikacja głównych problemów (wyzwań) związanych z rozwojem transportu i możliwości ich rozwiązania)</w:t>
            </w:r>
            <w:r w:rsidR="00EF7AF5" w:rsidRPr="00237760">
              <w:rPr>
                <w:rFonts w:ascii="Arial" w:hAnsi="Arial" w:cs="Arial"/>
                <w:color w:val="auto"/>
                <w:sz w:val="24"/>
                <w:szCs w:val="24"/>
                <w:lang w:eastAsia="en-US"/>
              </w:rPr>
              <w:t>.</w:t>
            </w:r>
          </w:p>
        </w:tc>
        <w:tc>
          <w:tcPr>
            <w:tcW w:w="1418" w:type="dxa"/>
            <w:tcBorders>
              <w:top w:val="single" w:sz="4" w:space="0" w:color="BDD6EE" w:themeColor="accent1" w:themeTint="66"/>
              <w:left w:val="nil"/>
              <w:bottom w:val="single" w:sz="4" w:space="0" w:color="BDD6EE" w:themeColor="accent1" w:themeTint="66"/>
              <w:right w:val="nil"/>
            </w:tcBorders>
            <w:vAlign w:val="center"/>
          </w:tcPr>
          <w:p w14:paraId="5A2847B9" w14:textId="48A195EF" w:rsidR="00963B58" w:rsidRPr="00237760" w:rsidRDefault="00A43EA8" w:rsidP="009367B4">
            <w:pPr>
              <w:spacing w:after="0" w:line="240" w:lineRule="auto"/>
              <w:contextualSpacing/>
              <w:jc w:val="left"/>
              <w:rPr>
                <w:rFonts w:ascii="Arial" w:hAnsi="Arial" w:cs="Arial"/>
                <w:b/>
                <w:color w:val="auto"/>
                <w:sz w:val="24"/>
                <w:szCs w:val="24"/>
              </w:rPr>
            </w:pPr>
            <w:r w:rsidRPr="00237760">
              <w:rPr>
                <w:rFonts w:ascii="Arial" w:hAnsi="Arial" w:cs="Arial"/>
                <w:b/>
                <w:bCs/>
                <w:color w:val="auto"/>
                <w:sz w:val="24"/>
                <w:szCs w:val="24"/>
              </w:rPr>
              <w:lastRenderedPageBreak/>
              <w:t>+</w:t>
            </w:r>
          </w:p>
        </w:tc>
      </w:tr>
      <w:tr w:rsidR="00237760" w:rsidRPr="00237760" w14:paraId="6707F262" w14:textId="77777777" w:rsidTr="00B32A20">
        <w:trPr>
          <w:trHeight w:val="14"/>
        </w:trPr>
        <w:tc>
          <w:tcPr>
            <w:tcW w:w="1706" w:type="dxa"/>
            <w:tcBorders>
              <w:top w:val="single" w:sz="4" w:space="0" w:color="BDD6EE" w:themeColor="accent1" w:themeTint="66"/>
              <w:left w:val="nil"/>
              <w:bottom w:val="single" w:sz="4" w:space="0" w:color="BDD6EE" w:themeColor="accent1" w:themeTint="66"/>
              <w:right w:val="nil"/>
            </w:tcBorders>
            <w:vAlign w:val="center"/>
          </w:tcPr>
          <w:p w14:paraId="324B0AD2" w14:textId="301BBC93" w:rsidR="00963B58" w:rsidRPr="00237760" w:rsidRDefault="00963B58"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lastRenderedPageBreak/>
              <w:t>Sformułowanie celów RPT obejmując</w:t>
            </w:r>
            <w:r w:rsidR="00932091" w:rsidRPr="00237760">
              <w:rPr>
                <w:rFonts w:ascii="Arial" w:hAnsi="Arial" w:cs="Arial"/>
                <w:color w:val="auto"/>
                <w:sz w:val="24"/>
                <w:szCs w:val="24"/>
              </w:rPr>
              <w:t>ych</w:t>
            </w:r>
            <w:r w:rsidRPr="00237760">
              <w:rPr>
                <w:rFonts w:ascii="Arial" w:hAnsi="Arial" w:cs="Arial"/>
                <w:color w:val="auto"/>
                <w:sz w:val="24"/>
                <w:szCs w:val="24"/>
              </w:rPr>
              <w:t xml:space="preserve"> cele: strategiczne (odnoszące się bezpośrednio do polityk nadrzędnych) i szczegółowe (bezpośrednio związane z wynikami analizy)</w:t>
            </w:r>
          </w:p>
          <w:p w14:paraId="646E4CA5" w14:textId="77777777" w:rsidR="00F328BD" w:rsidRPr="00237760" w:rsidRDefault="00F328BD" w:rsidP="009367B4">
            <w:pPr>
              <w:spacing w:after="0" w:line="240" w:lineRule="auto"/>
              <w:jc w:val="left"/>
              <w:rPr>
                <w:rFonts w:ascii="Arial" w:hAnsi="Arial" w:cs="Arial"/>
                <w:color w:val="auto"/>
                <w:sz w:val="24"/>
                <w:szCs w:val="24"/>
              </w:rPr>
            </w:pPr>
          </w:p>
          <w:p w14:paraId="3221D396" w14:textId="7C2E103B" w:rsidR="00F328BD" w:rsidRPr="00237760" w:rsidRDefault="00F328BD"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oraz</w:t>
            </w:r>
          </w:p>
          <w:p w14:paraId="16C2A7E1" w14:textId="77777777" w:rsidR="00F328BD" w:rsidRPr="00237760" w:rsidRDefault="00F328BD" w:rsidP="009367B4">
            <w:pPr>
              <w:spacing w:after="0" w:line="240" w:lineRule="auto"/>
              <w:jc w:val="left"/>
              <w:rPr>
                <w:rFonts w:ascii="Arial" w:hAnsi="Arial" w:cs="Arial"/>
                <w:color w:val="auto"/>
                <w:sz w:val="24"/>
                <w:szCs w:val="24"/>
              </w:rPr>
            </w:pPr>
          </w:p>
          <w:p w14:paraId="3457BC23" w14:textId="44AF0FD8" w:rsidR="00963B58" w:rsidRPr="00237760" w:rsidRDefault="00F328BD"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Sformułowanie i ocena wariantów planistycznych (scenariusze, alternatywy operacyjne)</w:t>
            </w:r>
          </w:p>
        </w:tc>
        <w:tc>
          <w:tcPr>
            <w:tcW w:w="5812" w:type="dxa"/>
            <w:tcBorders>
              <w:top w:val="single" w:sz="4" w:space="0" w:color="BDD6EE" w:themeColor="accent1" w:themeTint="66"/>
              <w:left w:val="nil"/>
              <w:bottom w:val="single" w:sz="4" w:space="0" w:color="BDD6EE" w:themeColor="accent1" w:themeTint="66"/>
              <w:right w:val="nil"/>
            </w:tcBorders>
          </w:tcPr>
          <w:p w14:paraId="1E1AEC71" w14:textId="77777777" w:rsidR="00090F0C" w:rsidRPr="00237760" w:rsidRDefault="00963B58" w:rsidP="009367B4">
            <w:pPr>
              <w:pStyle w:val="Akapitzlist"/>
              <w:numPr>
                <w:ilvl w:val="0"/>
                <w:numId w:val="39"/>
              </w:numPr>
              <w:spacing w:after="0"/>
              <w:ind w:left="255" w:hanging="142"/>
              <w:jc w:val="left"/>
              <w:rPr>
                <w:rFonts w:ascii="Arial" w:hAnsi="Arial" w:cs="Arial"/>
                <w:color w:val="auto"/>
                <w:sz w:val="24"/>
                <w:szCs w:val="24"/>
                <w:lang w:eastAsia="en-US"/>
              </w:rPr>
            </w:pPr>
            <w:r w:rsidRPr="00237760">
              <w:rPr>
                <w:rFonts w:ascii="Arial" w:hAnsi="Arial" w:cs="Arial"/>
                <w:color w:val="auto"/>
                <w:sz w:val="24"/>
                <w:szCs w:val="24"/>
                <w:lang w:eastAsia="en-US"/>
              </w:rPr>
              <w:t xml:space="preserve">Na podstawie diagnozy zdefiniowano bloki tematyczne </w:t>
            </w:r>
            <w:r w:rsidR="006C20B7" w:rsidRPr="00237760">
              <w:rPr>
                <w:rFonts w:ascii="Arial" w:hAnsi="Arial" w:cs="Arial"/>
                <w:color w:val="auto"/>
                <w:sz w:val="24"/>
                <w:szCs w:val="24"/>
                <w:lang w:eastAsia="en-US"/>
              </w:rPr>
              <w:t>(</w:t>
            </w:r>
            <w:r w:rsidR="00652CA2" w:rsidRPr="00237760">
              <w:rPr>
                <w:rFonts w:ascii="Arial" w:hAnsi="Arial" w:cs="Arial"/>
                <w:color w:val="auto"/>
                <w:sz w:val="24"/>
                <w:szCs w:val="24"/>
                <w:lang w:eastAsia="en-US"/>
              </w:rPr>
              <w:t xml:space="preserve">w PSRT: </w:t>
            </w:r>
            <w:r w:rsidR="005B3DA0" w:rsidRPr="00237760">
              <w:rPr>
                <w:rFonts w:ascii="Arial" w:hAnsi="Arial" w:cs="Arial"/>
                <w:color w:val="auto"/>
                <w:sz w:val="24"/>
                <w:szCs w:val="24"/>
                <w:lang w:eastAsia="en-US"/>
              </w:rPr>
              <w:t>wyzwania / problemy bazowe</w:t>
            </w:r>
            <w:r w:rsidRPr="00237760">
              <w:rPr>
                <w:rFonts w:ascii="Arial" w:hAnsi="Arial" w:cs="Arial"/>
                <w:color w:val="auto"/>
                <w:sz w:val="24"/>
                <w:szCs w:val="24"/>
                <w:lang w:eastAsia="en-US"/>
              </w:rPr>
              <w:t>)</w:t>
            </w:r>
            <w:r w:rsidR="00333CF6" w:rsidRPr="00237760">
              <w:rPr>
                <w:rFonts w:ascii="Arial" w:hAnsi="Arial" w:cs="Arial"/>
                <w:color w:val="auto"/>
                <w:sz w:val="24"/>
                <w:szCs w:val="24"/>
                <w:lang w:eastAsia="en-US"/>
              </w:rPr>
              <w:t>,</w:t>
            </w:r>
            <w:r w:rsidRPr="00237760">
              <w:rPr>
                <w:rFonts w:ascii="Arial" w:hAnsi="Arial" w:cs="Arial"/>
                <w:color w:val="auto"/>
                <w:sz w:val="24"/>
                <w:szCs w:val="24"/>
                <w:lang w:eastAsia="en-US"/>
              </w:rPr>
              <w:t xml:space="preserve"> któr</w:t>
            </w:r>
            <w:r w:rsidR="00A47D23" w:rsidRPr="00237760">
              <w:rPr>
                <w:rFonts w:ascii="Arial" w:hAnsi="Arial" w:cs="Arial"/>
                <w:color w:val="auto"/>
                <w:sz w:val="24"/>
                <w:szCs w:val="24"/>
                <w:lang w:eastAsia="en-US"/>
              </w:rPr>
              <w:t>ych charakter</w:t>
            </w:r>
            <w:r w:rsidRPr="00237760">
              <w:rPr>
                <w:rFonts w:ascii="Arial" w:hAnsi="Arial" w:cs="Arial"/>
                <w:color w:val="auto"/>
                <w:sz w:val="24"/>
                <w:szCs w:val="24"/>
                <w:lang w:eastAsia="en-US"/>
              </w:rPr>
              <w:t xml:space="preserve"> odnos</w:t>
            </w:r>
            <w:r w:rsidR="00A47D23" w:rsidRPr="00237760">
              <w:rPr>
                <w:rFonts w:ascii="Arial" w:hAnsi="Arial" w:cs="Arial"/>
                <w:color w:val="auto"/>
                <w:sz w:val="24"/>
                <w:szCs w:val="24"/>
                <w:lang w:eastAsia="en-US"/>
              </w:rPr>
              <w:t>i</w:t>
            </w:r>
            <w:r w:rsidRPr="00237760">
              <w:rPr>
                <w:rFonts w:ascii="Arial" w:hAnsi="Arial" w:cs="Arial"/>
                <w:color w:val="auto"/>
                <w:sz w:val="24"/>
                <w:szCs w:val="24"/>
                <w:lang w:eastAsia="en-US"/>
              </w:rPr>
              <w:t xml:space="preserve"> się do </w:t>
            </w:r>
            <w:r w:rsidR="00A47D23" w:rsidRPr="00237760">
              <w:rPr>
                <w:rFonts w:ascii="Arial" w:hAnsi="Arial" w:cs="Arial"/>
                <w:color w:val="auto"/>
                <w:sz w:val="24"/>
                <w:szCs w:val="24"/>
                <w:lang w:eastAsia="en-US"/>
              </w:rPr>
              <w:t>założeń</w:t>
            </w:r>
            <w:r w:rsidRPr="00237760">
              <w:rPr>
                <w:rFonts w:ascii="Arial" w:hAnsi="Arial" w:cs="Arial"/>
                <w:color w:val="auto"/>
                <w:sz w:val="24"/>
                <w:szCs w:val="24"/>
                <w:lang w:eastAsia="en-US"/>
              </w:rPr>
              <w:t xml:space="preserve"> polityk europejskich, przede wszystkim do polityki spójności (</w:t>
            </w:r>
            <w:r w:rsidR="00C22239" w:rsidRPr="00237760">
              <w:rPr>
                <w:rFonts w:ascii="Arial" w:hAnsi="Arial" w:cs="Arial"/>
                <w:color w:val="auto"/>
                <w:sz w:val="24"/>
                <w:szCs w:val="24"/>
                <w:lang w:eastAsia="en-US"/>
              </w:rPr>
              <w:t xml:space="preserve">charakteryzuje je </w:t>
            </w:r>
            <w:r w:rsidRPr="00237760">
              <w:rPr>
                <w:rFonts w:ascii="Arial" w:hAnsi="Arial" w:cs="Arial"/>
                <w:color w:val="auto"/>
                <w:sz w:val="24"/>
                <w:szCs w:val="24"/>
                <w:lang w:eastAsia="en-US"/>
              </w:rPr>
              <w:t>zbieżność z celami UP)</w:t>
            </w:r>
            <w:r w:rsidR="002C4FE9" w:rsidRPr="00237760">
              <w:rPr>
                <w:rFonts w:ascii="Arial" w:hAnsi="Arial" w:cs="Arial"/>
                <w:color w:val="auto"/>
                <w:sz w:val="24"/>
                <w:szCs w:val="24"/>
                <w:lang w:eastAsia="en-US"/>
              </w:rPr>
              <w:t>;</w:t>
            </w:r>
          </w:p>
          <w:p w14:paraId="380D31FD" w14:textId="43A4A356" w:rsidR="00211ECC" w:rsidRPr="00237760" w:rsidRDefault="003028E5" w:rsidP="009367B4">
            <w:pPr>
              <w:pStyle w:val="Akapitzlist"/>
              <w:numPr>
                <w:ilvl w:val="0"/>
                <w:numId w:val="39"/>
              </w:numPr>
              <w:spacing w:after="0"/>
              <w:ind w:left="255" w:hanging="142"/>
              <w:jc w:val="left"/>
              <w:rPr>
                <w:rFonts w:ascii="Arial" w:hAnsi="Arial" w:cs="Arial"/>
                <w:color w:val="auto"/>
                <w:sz w:val="24"/>
                <w:szCs w:val="24"/>
                <w:lang w:eastAsia="en-US"/>
              </w:rPr>
            </w:pPr>
            <w:r w:rsidRPr="00237760">
              <w:rPr>
                <w:rFonts w:ascii="Arial" w:hAnsi="Arial" w:cs="Arial"/>
                <w:color w:val="auto"/>
                <w:sz w:val="24"/>
                <w:szCs w:val="24"/>
                <w:lang w:eastAsia="en-US"/>
              </w:rPr>
              <w:t xml:space="preserve">Przygotowano 4 </w:t>
            </w:r>
            <w:r w:rsidR="00496CFC" w:rsidRPr="00237760">
              <w:rPr>
                <w:rFonts w:ascii="Arial" w:hAnsi="Arial" w:cs="Arial"/>
                <w:color w:val="auto"/>
                <w:sz w:val="24"/>
                <w:szCs w:val="24"/>
                <w:lang w:eastAsia="en-US"/>
              </w:rPr>
              <w:t>(różniące się w znacznym stopniu rozwiązaniami</w:t>
            </w:r>
            <w:r w:rsidR="003D5710" w:rsidRPr="00237760">
              <w:rPr>
                <w:rFonts w:ascii="Arial" w:hAnsi="Arial" w:cs="Arial"/>
                <w:color w:val="auto"/>
                <w:sz w:val="24"/>
                <w:szCs w:val="24"/>
                <w:lang w:eastAsia="en-US"/>
              </w:rPr>
              <w:t xml:space="preserve">) </w:t>
            </w:r>
            <w:r w:rsidRPr="00237760">
              <w:rPr>
                <w:rFonts w:ascii="Arial" w:hAnsi="Arial" w:cs="Arial"/>
                <w:color w:val="auto"/>
                <w:sz w:val="24"/>
                <w:szCs w:val="24"/>
                <w:lang w:eastAsia="en-US"/>
              </w:rPr>
              <w:t>warianty planistyczne rozwoju systemu transportowego</w:t>
            </w:r>
            <w:r w:rsidR="002932B1" w:rsidRPr="00237760">
              <w:rPr>
                <w:rFonts w:ascii="Arial" w:hAnsi="Arial" w:cs="Arial"/>
                <w:color w:val="auto"/>
                <w:sz w:val="24"/>
                <w:szCs w:val="24"/>
                <w:lang w:eastAsia="en-US"/>
              </w:rPr>
              <w:t xml:space="preserve"> i oceniano je w kontekście </w:t>
            </w:r>
            <w:r w:rsidR="00652CA2" w:rsidRPr="00237760">
              <w:rPr>
                <w:rFonts w:ascii="Arial" w:hAnsi="Arial" w:cs="Arial"/>
                <w:color w:val="auto"/>
                <w:sz w:val="24"/>
                <w:szCs w:val="24"/>
                <w:lang w:eastAsia="en-US"/>
              </w:rPr>
              <w:t>skuteczności odpowiedzi na zdefiniowane bloki tematyczne (wyzwania / problemy bazowe)</w:t>
            </w:r>
            <w:r w:rsidR="00D06532" w:rsidRPr="00237760">
              <w:rPr>
                <w:rFonts w:ascii="Arial" w:hAnsi="Arial" w:cs="Arial"/>
                <w:color w:val="auto"/>
                <w:sz w:val="24"/>
                <w:szCs w:val="24"/>
                <w:lang w:eastAsia="en-US"/>
              </w:rPr>
              <w:t>,</w:t>
            </w:r>
            <w:r w:rsidR="00D96023" w:rsidRPr="00237760">
              <w:rPr>
                <w:rFonts w:ascii="Arial" w:hAnsi="Arial" w:cs="Arial"/>
                <w:color w:val="auto"/>
                <w:sz w:val="24"/>
                <w:szCs w:val="24"/>
                <w:lang w:eastAsia="en-US"/>
              </w:rPr>
              <w:t xml:space="preserve"> które dotyczą</w:t>
            </w:r>
            <w:r w:rsidR="00FA2CE5" w:rsidRPr="00237760">
              <w:rPr>
                <w:rFonts w:ascii="Arial" w:hAnsi="Arial" w:cs="Arial"/>
                <w:color w:val="auto"/>
                <w:sz w:val="24"/>
                <w:szCs w:val="24"/>
                <w:lang w:eastAsia="en-US"/>
              </w:rPr>
              <w:t>:</w:t>
            </w:r>
            <w:r w:rsidR="006847E2" w:rsidRPr="00237760">
              <w:rPr>
                <w:rFonts w:ascii="Arial" w:hAnsi="Arial" w:cs="Arial"/>
                <w:color w:val="auto"/>
                <w:sz w:val="24"/>
                <w:szCs w:val="24"/>
                <w:lang w:eastAsia="en-US"/>
              </w:rPr>
              <w:t xml:space="preserve"> 1) </w:t>
            </w:r>
            <w:r w:rsidR="00111557" w:rsidRPr="00237760">
              <w:rPr>
                <w:rFonts w:ascii="Arial" w:hAnsi="Arial" w:cs="Arial"/>
                <w:color w:val="auto"/>
                <w:sz w:val="24"/>
                <w:szCs w:val="24"/>
                <w:lang w:eastAsia="en-US"/>
              </w:rPr>
              <w:t>zmniejszenia negatywnego oddziaływania sektora transportu na środowisko (w kontekście zmian klimatycznych i ochrony cennych walorów przyrodniczych regionu)</w:t>
            </w:r>
            <w:r w:rsidR="006847E2" w:rsidRPr="00237760">
              <w:rPr>
                <w:rFonts w:ascii="Arial" w:hAnsi="Arial" w:cs="Arial"/>
                <w:color w:val="auto"/>
                <w:sz w:val="24"/>
                <w:szCs w:val="24"/>
                <w:lang w:eastAsia="en-US"/>
              </w:rPr>
              <w:t xml:space="preserve">, 2) </w:t>
            </w:r>
            <w:r w:rsidR="00A837F5" w:rsidRPr="00237760">
              <w:rPr>
                <w:rFonts w:ascii="Arial" w:hAnsi="Arial" w:cs="Arial"/>
                <w:color w:val="auto"/>
                <w:sz w:val="24"/>
                <w:szCs w:val="24"/>
                <w:lang w:eastAsia="en-US"/>
              </w:rPr>
              <w:t>podniesienie jakości życia mieszkańców województwa poprzez poprawę dostępności transportowej</w:t>
            </w:r>
            <w:r w:rsidR="009463B4" w:rsidRPr="00237760">
              <w:rPr>
                <w:rFonts w:ascii="Arial" w:hAnsi="Arial" w:cs="Arial"/>
                <w:color w:val="auto"/>
                <w:sz w:val="24"/>
                <w:szCs w:val="24"/>
                <w:lang w:eastAsia="en-US"/>
              </w:rPr>
              <w:t xml:space="preserve"> w różnych skalach przestrzennych (z uwzględnieniem zachodzących procesów demograficznych)</w:t>
            </w:r>
            <w:r w:rsidR="006847E2" w:rsidRPr="00237760">
              <w:rPr>
                <w:rFonts w:ascii="Arial" w:hAnsi="Arial" w:cs="Arial"/>
                <w:color w:val="auto"/>
                <w:sz w:val="24"/>
                <w:szCs w:val="24"/>
                <w:lang w:eastAsia="en-US"/>
              </w:rPr>
              <w:t xml:space="preserve">, 3) </w:t>
            </w:r>
            <w:r w:rsidR="00FB0504" w:rsidRPr="00237760">
              <w:rPr>
                <w:rFonts w:ascii="Arial" w:hAnsi="Arial" w:cs="Arial"/>
                <w:color w:val="auto"/>
                <w:sz w:val="24"/>
                <w:szCs w:val="24"/>
                <w:lang w:eastAsia="en-US"/>
              </w:rPr>
              <w:t>utrzymania i wzmocnienia podstaw transportowych dla rozwoju gospodarczego województwa,</w:t>
            </w:r>
            <w:r w:rsidR="006847E2" w:rsidRPr="00237760">
              <w:rPr>
                <w:rFonts w:ascii="Arial" w:hAnsi="Arial" w:cs="Arial"/>
                <w:color w:val="auto"/>
                <w:sz w:val="24"/>
                <w:szCs w:val="24"/>
                <w:lang w:eastAsia="en-US"/>
              </w:rPr>
              <w:t xml:space="preserve"> 4) </w:t>
            </w:r>
            <w:r w:rsidR="00C3615C" w:rsidRPr="00237760">
              <w:rPr>
                <w:rFonts w:ascii="Arial" w:hAnsi="Arial" w:cs="Arial"/>
                <w:color w:val="auto"/>
                <w:sz w:val="24"/>
                <w:szCs w:val="24"/>
                <w:lang w:eastAsia="en-US"/>
              </w:rPr>
              <w:t>podniesienia poziomu bezpieczeństwa</w:t>
            </w:r>
            <w:r w:rsidR="0062052C" w:rsidRPr="00237760">
              <w:rPr>
                <w:rFonts w:ascii="Arial" w:hAnsi="Arial" w:cs="Arial"/>
                <w:color w:val="auto"/>
                <w:sz w:val="24"/>
                <w:szCs w:val="24"/>
                <w:lang w:eastAsia="en-US"/>
              </w:rPr>
              <w:t>,</w:t>
            </w:r>
          </w:p>
          <w:p w14:paraId="74AE8E85" w14:textId="77777777" w:rsidR="00090F0C" w:rsidRPr="00237760" w:rsidRDefault="00E6343F" w:rsidP="009367B4">
            <w:pPr>
              <w:pStyle w:val="Akapitzlist"/>
              <w:numPr>
                <w:ilvl w:val="0"/>
                <w:numId w:val="52"/>
              </w:numPr>
              <w:spacing w:after="0"/>
              <w:ind w:left="538" w:hanging="147"/>
              <w:jc w:val="left"/>
              <w:rPr>
                <w:rFonts w:ascii="Arial" w:hAnsi="Arial" w:cs="Arial"/>
                <w:color w:val="auto"/>
                <w:sz w:val="24"/>
                <w:szCs w:val="24"/>
              </w:rPr>
            </w:pPr>
            <w:r w:rsidRPr="00237760">
              <w:rPr>
                <w:rFonts w:ascii="Arial" w:hAnsi="Arial" w:cs="Arial"/>
                <w:color w:val="auto"/>
                <w:sz w:val="24"/>
                <w:szCs w:val="24"/>
              </w:rPr>
              <w:t>Wybrano wariant, który wg przeprowadzonej oceny najbardziej kompleksowo i najefektywniej odpowiada na zdefiniowane wyzwania</w:t>
            </w:r>
            <w:r w:rsidR="0091622B" w:rsidRPr="00237760">
              <w:rPr>
                <w:rFonts w:ascii="Arial" w:hAnsi="Arial" w:cs="Arial"/>
                <w:color w:val="auto"/>
                <w:sz w:val="24"/>
                <w:szCs w:val="24"/>
              </w:rPr>
              <w:t>,</w:t>
            </w:r>
          </w:p>
          <w:p w14:paraId="70FF1075" w14:textId="5368C085" w:rsidR="00E6343F" w:rsidRPr="00237760" w:rsidRDefault="00E6343F" w:rsidP="009367B4">
            <w:pPr>
              <w:pStyle w:val="Akapitzlist"/>
              <w:numPr>
                <w:ilvl w:val="0"/>
                <w:numId w:val="52"/>
              </w:numPr>
              <w:spacing w:after="0"/>
              <w:ind w:left="538" w:hanging="147"/>
              <w:jc w:val="left"/>
              <w:rPr>
                <w:rFonts w:ascii="Arial" w:hAnsi="Arial" w:cs="Arial"/>
                <w:color w:val="auto"/>
                <w:sz w:val="24"/>
                <w:szCs w:val="24"/>
              </w:rPr>
            </w:pPr>
            <w:r w:rsidRPr="00237760">
              <w:rPr>
                <w:rFonts w:ascii="Arial" w:hAnsi="Arial" w:cs="Arial"/>
                <w:color w:val="auto"/>
                <w:sz w:val="24"/>
                <w:szCs w:val="24"/>
              </w:rPr>
              <w:t xml:space="preserve">Jedną z głównych zdefiniowanych przez autorów zalet wybranego wariantu </w:t>
            </w:r>
            <w:r w:rsidR="00492022" w:rsidRPr="00237760">
              <w:rPr>
                <w:rFonts w:ascii="Arial" w:hAnsi="Arial" w:cs="Arial"/>
                <w:color w:val="auto"/>
                <w:sz w:val="24"/>
                <w:szCs w:val="24"/>
              </w:rPr>
              <w:t>„</w:t>
            </w:r>
            <w:r w:rsidRPr="00237760">
              <w:rPr>
                <w:rFonts w:ascii="Arial" w:hAnsi="Arial" w:cs="Arial"/>
                <w:color w:val="auto"/>
                <w:sz w:val="24"/>
                <w:szCs w:val="24"/>
              </w:rPr>
              <w:t>Równomiernego rozwoju multimodalnego</w:t>
            </w:r>
            <w:r w:rsidR="00492022" w:rsidRPr="00237760">
              <w:rPr>
                <w:rFonts w:ascii="Arial" w:hAnsi="Arial" w:cs="Arial"/>
                <w:color w:val="auto"/>
                <w:sz w:val="24"/>
                <w:szCs w:val="24"/>
              </w:rPr>
              <w:t>”</w:t>
            </w:r>
            <w:r w:rsidRPr="00237760">
              <w:rPr>
                <w:rFonts w:ascii="Arial" w:hAnsi="Arial" w:cs="Arial"/>
                <w:color w:val="auto"/>
                <w:sz w:val="24"/>
                <w:szCs w:val="24"/>
              </w:rPr>
              <w:t xml:space="preserve"> jest </w:t>
            </w:r>
            <w:r w:rsidR="001F3975" w:rsidRPr="00237760">
              <w:rPr>
                <w:rFonts w:ascii="Arial" w:hAnsi="Arial" w:cs="Arial"/>
                <w:color w:val="auto"/>
                <w:sz w:val="24"/>
                <w:szCs w:val="24"/>
              </w:rPr>
              <w:t>k</w:t>
            </w:r>
            <w:r w:rsidRPr="00237760">
              <w:rPr>
                <w:rFonts w:ascii="Arial" w:hAnsi="Arial" w:cs="Arial"/>
                <w:color w:val="auto"/>
                <w:sz w:val="24"/>
                <w:szCs w:val="24"/>
              </w:rPr>
              <w:t xml:space="preserve">oncentracja działań ograniczających emisję w </w:t>
            </w:r>
            <w:r w:rsidR="00B445FF" w:rsidRPr="00237760">
              <w:rPr>
                <w:rFonts w:ascii="Arial" w:hAnsi="Arial" w:cs="Arial"/>
                <w:color w:val="auto"/>
                <w:sz w:val="24"/>
                <w:szCs w:val="24"/>
              </w:rPr>
              <w:t>miejscach,</w:t>
            </w:r>
            <w:r w:rsidRPr="00237760">
              <w:rPr>
                <w:rFonts w:ascii="Arial" w:hAnsi="Arial" w:cs="Arial"/>
                <w:color w:val="auto"/>
                <w:sz w:val="24"/>
                <w:szCs w:val="24"/>
              </w:rPr>
              <w:t xml:space="preserve"> gdzie są one najbardziej efektywne</w:t>
            </w:r>
            <w:r w:rsidR="001F3975" w:rsidRPr="00237760">
              <w:rPr>
                <w:rFonts w:ascii="Arial" w:hAnsi="Arial" w:cs="Arial"/>
                <w:color w:val="auto"/>
                <w:sz w:val="24"/>
                <w:szCs w:val="24"/>
              </w:rPr>
              <w:t xml:space="preserve">, co jest zbieżne </w:t>
            </w:r>
            <w:r w:rsidR="002C6AB9" w:rsidRPr="00237760">
              <w:rPr>
                <w:rFonts w:ascii="Arial" w:hAnsi="Arial" w:cs="Arial"/>
                <w:color w:val="auto"/>
                <w:sz w:val="24"/>
                <w:szCs w:val="24"/>
              </w:rPr>
              <w:t xml:space="preserve">z założeniami JASPERS („redukcja </w:t>
            </w:r>
            <w:r w:rsidR="002C6AB9" w:rsidRPr="00237760">
              <w:rPr>
                <w:rFonts w:ascii="Arial" w:hAnsi="Arial" w:cs="Arial"/>
                <w:color w:val="auto"/>
                <w:sz w:val="24"/>
                <w:szCs w:val="24"/>
              </w:rPr>
              <w:lastRenderedPageBreak/>
              <w:t>emisji CO</w:t>
            </w:r>
            <w:r w:rsidR="002C6AB9" w:rsidRPr="00237760">
              <w:rPr>
                <w:rFonts w:ascii="Arial" w:hAnsi="Arial" w:cs="Arial"/>
                <w:color w:val="auto"/>
                <w:sz w:val="24"/>
                <w:szCs w:val="24"/>
                <w:vertAlign w:val="subscript"/>
              </w:rPr>
              <w:t>2</w:t>
            </w:r>
            <w:r w:rsidR="002C6AB9" w:rsidRPr="00237760">
              <w:rPr>
                <w:rFonts w:ascii="Arial" w:hAnsi="Arial" w:cs="Arial"/>
                <w:color w:val="auto"/>
                <w:sz w:val="24"/>
                <w:szCs w:val="24"/>
              </w:rPr>
              <w:t xml:space="preserve"> ma być jednym z głównych celów każdej strategii transportowej”)</w:t>
            </w:r>
            <w:r w:rsidR="00492022" w:rsidRPr="00237760">
              <w:rPr>
                <w:rFonts w:ascii="Arial" w:hAnsi="Arial" w:cs="Arial"/>
                <w:color w:val="auto"/>
                <w:sz w:val="24"/>
                <w:szCs w:val="24"/>
              </w:rPr>
              <w:t>;</w:t>
            </w:r>
          </w:p>
          <w:p w14:paraId="24D94922" w14:textId="57B1C82C" w:rsidR="00963B58" w:rsidRPr="00237760" w:rsidRDefault="009327B1" w:rsidP="009367B4">
            <w:pPr>
              <w:pStyle w:val="Akapitzlist"/>
              <w:numPr>
                <w:ilvl w:val="0"/>
                <w:numId w:val="39"/>
              </w:numPr>
              <w:spacing w:after="0"/>
              <w:ind w:left="255" w:hanging="142"/>
              <w:jc w:val="left"/>
              <w:rPr>
                <w:rFonts w:ascii="Arial" w:hAnsi="Arial" w:cs="Arial"/>
                <w:color w:val="auto"/>
                <w:sz w:val="24"/>
                <w:szCs w:val="24"/>
                <w:lang w:eastAsia="en-US"/>
              </w:rPr>
            </w:pPr>
            <w:r w:rsidRPr="00237760">
              <w:rPr>
                <w:rFonts w:ascii="Arial" w:hAnsi="Arial" w:cs="Arial"/>
                <w:color w:val="auto"/>
                <w:sz w:val="24"/>
                <w:szCs w:val="24"/>
                <w:lang w:eastAsia="en-US"/>
              </w:rPr>
              <w:t>Blokom tematycznym (wyzwaniom / problemom bazowym) przyporządkowano cele</w:t>
            </w:r>
            <w:r w:rsidR="00F12D68" w:rsidRPr="00237760">
              <w:rPr>
                <w:rFonts w:ascii="Arial" w:hAnsi="Arial" w:cs="Arial"/>
                <w:color w:val="auto"/>
                <w:sz w:val="24"/>
                <w:szCs w:val="24"/>
                <w:lang w:eastAsia="en-US"/>
              </w:rPr>
              <w:t xml:space="preserve"> podstawowe i horyzontalne (patrz</w:t>
            </w:r>
            <w:r w:rsidR="00F32F43" w:rsidRPr="00237760">
              <w:rPr>
                <w:rFonts w:ascii="Arial" w:hAnsi="Arial" w:cs="Arial"/>
                <w:color w:val="auto"/>
                <w:sz w:val="24"/>
                <w:szCs w:val="24"/>
                <w:lang w:eastAsia="en-US"/>
              </w:rPr>
              <w:t xml:space="preserve">: </w:t>
            </w:r>
            <w:r w:rsidR="00F12D68" w:rsidRPr="00237760">
              <w:rPr>
                <w:rFonts w:ascii="Arial" w:hAnsi="Arial" w:cs="Arial"/>
                <w:color w:val="auto"/>
                <w:sz w:val="24"/>
                <w:szCs w:val="24"/>
                <w:lang w:eastAsia="en-US"/>
              </w:rPr>
              <w:t>Rysunek 48. Schemat obrazujący problemy wynikające z diagnozy oraz cele rozwoju regionalnego systemu transportowego), cele te wynikają z analiz przygotowanych na potrzeby diagnozy</w:t>
            </w:r>
            <w:r w:rsidR="00FF0E65" w:rsidRPr="00237760">
              <w:rPr>
                <w:rFonts w:ascii="Arial" w:hAnsi="Arial" w:cs="Arial"/>
                <w:color w:val="auto"/>
                <w:sz w:val="24"/>
                <w:szCs w:val="24"/>
                <w:lang w:eastAsia="en-US"/>
              </w:rPr>
              <w:t>.</w:t>
            </w:r>
          </w:p>
        </w:tc>
        <w:tc>
          <w:tcPr>
            <w:tcW w:w="1418" w:type="dxa"/>
            <w:tcBorders>
              <w:top w:val="single" w:sz="4" w:space="0" w:color="BDD6EE" w:themeColor="accent1" w:themeTint="66"/>
              <w:left w:val="nil"/>
              <w:bottom w:val="single" w:sz="4" w:space="0" w:color="BDD6EE" w:themeColor="accent1" w:themeTint="66"/>
              <w:right w:val="nil"/>
            </w:tcBorders>
            <w:vAlign w:val="center"/>
          </w:tcPr>
          <w:p w14:paraId="3ED75C97" w14:textId="5D108C03" w:rsidR="00963B58" w:rsidRPr="00237760" w:rsidRDefault="00963B58" w:rsidP="009367B4">
            <w:pPr>
              <w:spacing w:after="0" w:line="240" w:lineRule="auto"/>
              <w:contextualSpacing/>
              <w:jc w:val="left"/>
              <w:rPr>
                <w:rFonts w:ascii="Arial" w:hAnsi="Arial" w:cs="Arial"/>
                <w:b/>
                <w:color w:val="auto"/>
                <w:sz w:val="24"/>
                <w:szCs w:val="24"/>
              </w:rPr>
            </w:pPr>
            <w:r w:rsidRPr="00237760">
              <w:rPr>
                <w:rFonts w:ascii="Arial" w:hAnsi="Arial" w:cs="Arial"/>
                <w:b/>
                <w:bCs/>
                <w:color w:val="auto"/>
                <w:sz w:val="24"/>
                <w:szCs w:val="24"/>
              </w:rPr>
              <w:lastRenderedPageBreak/>
              <w:t>+</w:t>
            </w:r>
          </w:p>
        </w:tc>
      </w:tr>
      <w:tr w:rsidR="00237760" w:rsidRPr="00237760" w14:paraId="672B46BB" w14:textId="77777777" w:rsidTr="00B32A20">
        <w:trPr>
          <w:trHeight w:val="14"/>
        </w:trPr>
        <w:tc>
          <w:tcPr>
            <w:tcW w:w="1706" w:type="dxa"/>
            <w:tcBorders>
              <w:top w:val="single" w:sz="4" w:space="0" w:color="BDD6EE" w:themeColor="accent1" w:themeTint="66"/>
              <w:left w:val="nil"/>
              <w:bottom w:val="single" w:sz="4" w:space="0" w:color="BDD6EE" w:themeColor="accent1" w:themeTint="66"/>
              <w:right w:val="nil"/>
            </w:tcBorders>
            <w:vAlign w:val="center"/>
          </w:tcPr>
          <w:p w14:paraId="65D32D1A" w14:textId="183DBDD6" w:rsidR="00963B58" w:rsidRPr="00237760" w:rsidRDefault="00963B58"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Zaangażowanie mieszkańców i interesariuszy (prezentacja wniosków z analizy i proponowanych celem otrzymania informacji zwrotnej) </w:t>
            </w:r>
          </w:p>
        </w:tc>
        <w:tc>
          <w:tcPr>
            <w:tcW w:w="5812" w:type="dxa"/>
            <w:tcBorders>
              <w:top w:val="single" w:sz="4" w:space="0" w:color="BDD6EE" w:themeColor="accent1" w:themeTint="66"/>
              <w:left w:val="nil"/>
              <w:bottom w:val="single" w:sz="4" w:space="0" w:color="BDD6EE" w:themeColor="accent1" w:themeTint="66"/>
              <w:right w:val="nil"/>
            </w:tcBorders>
            <w:vAlign w:val="center"/>
          </w:tcPr>
          <w:p w14:paraId="717636DA" w14:textId="4BEAA211" w:rsidR="00963B58" w:rsidRPr="00237760" w:rsidRDefault="007914D0" w:rsidP="009367B4">
            <w:pPr>
              <w:pStyle w:val="Akapitzlist"/>
              <w:numPr>
                <w:ilvl w:val="0"/>
                <w:numId w:val="39"/>
              </w:numPr>
              <w:spacing w:after="0"/>
              <w:ind w:left="255" w:hanging="142"/>
              <w:jc w:val="left"/>
              <w:rPr>
                <w:rFonts w:ascii="Arial" w:hAnsi="Arial" w:cs="Arial"/>
                <w:color w:val="auto"/>
                <w:sz w:val="24"/>
                <w:szCs w:val="24"/>
                <w:lang w:eastAsia="en-US"/>
              </w:rPr>
            </w:pPr>
            <w:r w:rsidRPr="00237760">
              <w:rPr>
                <w:rFonts w:ascii="Arial" w:hAnsi="Arial" w:cs="Arial"/>
                <w:color w:val="auto"/>
                <w:sz w:val="24"/>
                <w:szCs w:val="24"/>
                <w:lang w:eastAsia="en-US"/>
              </w:rPr>
              <w:t>Przeprowadzono konsultacje stworzonego projektu (</w:t>
            </w:r>
            <w:r w:rsidR="00C37D55" w:rsidRPr="00237760">
              <w:rPr>
                <w:rFonts w:ascii="Arial" w:hAnsi="Arial" w:cs="Arial"/>
                <w:color w:val="auto"/>
                <w:sz w:val="24"/>
                <w:szCs w:val="24"/>
                <w:lang w:eastAsia="en-US"/>
              </w:rPr>
              <w:t>zob.</w:t>
            </w:r>
            <w:r w:rsidR="00FF0E65" w:rsidRPr="00237760">
              <w:rPr>
                <w:rFonts w:ascii="Arial" w:hAnsi="Arial" w:cs="Arial"/>
                <w:color w:val="auto"/>
                <w:sz w:val="24"/>
                <w:szCs w:val="24"/>
                <w:lang w:eastAsia="en-US"/>
              </w:rPr>
              <w:t xml:space="preserve"> </w:t>
            </w:r>
            <w:r w:rsidR="00C653AD" w:rsidRPr="00237760">
              <w:rPr>
                <w:rFonts w:ascii="Arial" w:hAnsi="Arial" w:cs="Arial"/>
                <w:color w:val="auto"/>
                <w:sz w:val="24"/>
                <w:szCs w:val="24"/>
                <w:lang w:eastAsia="en-US"/>
              </w:rPr>
              <w:t>punkt</w:t>
            </w:r>
            <w:r w:rsidR="00FF0E65" w:rsidRPr="00237760">
              <w:rPr>
                <w:rFonts w:ascii="Arial" w:hAnsi="Arial" w:cs="Arial"/>
                <w:color w:val="auto"/>
                <w:sz w:val="24"/>
                <w:szCs w:val="24"/>
                <w:lang w:eastAsia="en-US"/>
              </w:rPr>
              <w:t xml:space="preserve"> „zaangażowanie mieszkańców i interesariuszy” niniejszej tabeli).</w:t>
            </w:r>
          </w:p>
        </w:tc>
        <w:tc>
          <w:tcPr>
            <w:tcW w:w="1418" w:type="dxa"/>
            <w:tcBorders>
              <w:top w:val="single" w:sz="4" w:space="0" w:color="BDD6EE" w:themeColor="accent1" w:themeTint="66"/>
              <w:left w:val="nil"/>
              <w:bottom w:val="single" w:sz="4" w:space="0" w:color="BDD6EE" w:themeColor="accent1" w:themeTint="66"/>
              <w:right w:val="nil"/>
            </w:tcBorders>
            <w:vAlign w:val="center"/>
          </w:tcPr>
          <w:p w14:paraId="5F23456D" w14:textId="550A4EF9" w:rsidR="00963B58" w:rsidRPr="00237760" w:rsidRDefault="003D5710" w:rsidP="009367B4">
            <w:pPr>
              <w:spacing w:after="0" w:line="240" w:lineRule="auto"/>
              <w:contextualSpacing/>
              <w:jc w:val="left"/>
              <w:rPr>
                <w:rFonts w:ascii="Arial" w:hAnsi="Arial" w:cs="Arial"/>
                <w:b/>
                <w:color w:val="auto"/>
                <w:sz w:val="24"/>
                <w:szCs w:val="24"/>
              </w:rPr>
            </w:pPr>
            <w:r w:rsidRPr="00237760">
              <w:rPr>
                <w:rFonts w:ascii="Arial" w:hAnsi="Arial" w:cs="Arial"/>
                <w:b/>
                <w:bCs/>
                <w:color w:val="auto"/>
                <w:sz w:val="24"/>
                <w:szCs w:val="24"/>
              </w:rPr>
              <w:t>+</w:t>
            </w:r>
          </w:p>
        </w:tc>
      </w:tr>
      <w:tr w:rsidR="00237760" w:rsidRPr="00237760" w14:paraId="3124F2CA" w14:textId="77777777" w:rsidTr="00B32A20">
        <w:trPr>
          <w:trHeight w:val="14"/>
        </w:trPr>
        <w:tc>
          <w:tcPr>
            <w:tcW w:w="1706" w:type="dxa"/>
            <w:tcBorders>
              <w:top w:val="single" w:sz="4" w:space="0" w:color="BDD6EE" w:themeColor="accent1" w:themeTint="66"/>
              <w:left w:val="nil"/>
              <w:bottom w:val="single" w:sz="4" w:space="0" w:color="BDD6EE" w:themeColor="accent1" w:themeTint="66"/>
              <w:right w:val="nil"/>
            </w:tcBorders>
            <w:vAlign w:val="center"/>
          </w:tcPr>
          <w:p w14:paraId="0FBB9E61" w14:textId="040BEDA5" w:rsidR="00963B58" w:rsidRPr="00237760" w:rsidRDefault="00963B58"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Wskazanie konkretnych, mierzalnych, osiągalnych, odpowiednich do celu i określon</w:t>
            </w:r>
            <w:r w:rsidR="00B445FF" w:rsidRPr="00237760">
              <w:rPr>
                <w:rFonts w:ascii="Arial" w:hAnsi="Arial" w:cs="Arial"/>
                <w:color w:val="auto"/>
                <w:sz w:val="24"/>
                <w:szCs w:val="24"/>
              </w:rPr>
              <w:t>ych</w:t>
            </w:r>
            <w:r w:rsidRPr="00237760">
              <w:rPr>
                <w:rFonts w:ascii="Arial" w:hAnsi="Arial" w:cs="Arial"/>
                <w:color w:val="auto"/>
                <w:sz w:val="24"/>
                <w:szCs w:val="24"/>
              </w:rPr>
              <w:t xml:space="preserve"> w czasie wskaźników realizacji celów</w:t>
            </w:r>
            <w:r w:rsidR="00ED7DF2" w:rsidRPr="00237760">
              <w:rPr>
                <w:rFonts w:ascii="Arial" w:hAnsi="Arial" w:cs="Arial"/>
                <w:color w:val="auto"/>
                <w:sz w:val="24"/>
                <w:szCs w:val="24"/>
              </w:rPr>
              <w:t xml:space="preserve"> (oraz zawarcie</w:t>
            </w:r>
            <w:r w:rsidR="004049F4" w:rsidRPr="00237760">
              <w:rPr>
                <w:rFonts w:ascii="Arial" w:hAnsi="Arial" w:cs="Arial"/>
                <w:color w:val="auto"/>
                <w:sz w:val="24"/>
                <w:szCs w:val="24"/>
              </w:rPr>
              <w:t xml:space="preserve"> kwestii ograniczenia emisji)</w:t>
            </w:r>
          </w:p>
        </w:tc>
        <w:tc>
          <w:tcPr>
            <w:tcW w:w="5812" w:type="dxa"/>
            <w:tcBorders>
              <w:top w:val="single" w:sz="4" w:space="0" w:color="BDD6EE" w:themeColor="accent1" w:themeTint="66"/>
              <w:left w:val="nil"/>
              <w:bottom w:val="single" w:sz="4" w:space="0" w:color="BDD6EE" w:themeColor="accent1" w:themeTint="66"/>
              <w:right w:val="nil"/>
            </w:tcBorders>
          </w:tcPr>
          <w:p w14:paraId="538470B1" w14:textId="74254280" w:rsidR="00750A75" w:rsidRPr="00237760" w:rsidRDefault="003C187A" w:rsidP="009367B4">
            <w:pPr>
              <w:pStyle w:val="Akapitzlist"/>
              <w:numPr>
                <w:ilvl w:val="0"/>
                <w:numId w:val="39"/>
              </w:numPr>
              <w:spacing w:after="0"/>
              <w:ind w:left="255" w:hanging="142"/>
              <w:jc w:val="left"/>
              <w:rPr>
                <w:rFonts w:ascii="Arial" w:hAnsi="Arial" w:cs="Arial"/>
                <w:color w:val="auto"/>
                <w:sz w:val="24"/>
                <w:szCs w:val="24"/>
                <w:lang w:eastAsia="en-US"/>
              </w:rPr>
            </w:pPr>
            <w:r w:rsidRPr="00237760">
              <w:rPr>
                <w:rFonts w:ascii="Arial" w:hAnsi="Arial" w:cs="Arial"/>
                <w:color w:val="auto"/>
                <w:sz w:val="24"/>
                <w:szCs w:val="24"/>
                <w:lang w:eastAsia="en-US"/>
              </w:rPr>
              <w:t>System monitoringu i ewaluacji generalnie umożliwia skuteczną i efektywną</w:t>
            </w:r>
            <w:r w:rsidR="00090F0C" w:rsidRPr="00237760">
              <w:rPr>
                <w:rFonts w:ascii="Arial" w:hAnsi="Arial" w:cs="Arial"/>
                <w:color w:val="auto"/>
                <w:sz w:val="24"/>
                <w:szCs w:val="24"/>
                <w:lang w:eastAsia="en-US"/>
              </w:rPr>
              <w:t xml:space="preserve"> </w:t>
            </w:r>
            <w:r w:rsidRPr="00237760">
              <w:rPr>
                <w:rFonts w:ascii="Arial" w:hAnsi="Arial" w:cs="Arial"/>
                <w:color w:val="auto"/>
                <w:sz w:val="24"/>
                <w:szCs w:val="24"/>
                <w:lang w:eastAsia="en-US"/>
              </w:rPr>
              <w:t xml:space="preserve">rejestrację i ocenę efektów jego realizacji, jednak </w:t>
            </w:r>
            <w:r w:rsidR="00FD6001" w:rsidRPr="00237760">
              <w:rPr>
                <w:rFonts w:ascii="Arial" w:hAnsi="Arial" w:cs="Arial"/>
                <w:color w:val="auto"/>
                <w:sz w:val="24"/>
                <w:szCs w:val="24"/>
                <w:lang w:eastAsia="en-US"/>
              </w:rPr>
              <w:t xml:space="preserve">w wyniku jego oceny zdefiniowano pewne niedociągnięcia (zob. rozdz. </w:t>
            </w:r>
            <w:r w:rsidR="006E2E70" w:rsidRPr="00237760">
              <w:rPr>
                <w:rFonts w:ascii="Arial" w:hAnsi="Arial" w:cs="Arial"/>
                <w:color w:val="auto"/>
                <w:sz w:val="24"/>
                <w:szCs w:val="24"/>
                <w:lang w:eastAsia="en-US"/>
              </w:rPr>
              <w:fldChar w:fldCharType="begin"/>
            </w:r>
            <w:r w:rsidR="006E2E70" w:rsidRPr="00237760">
              <w:rPr>
                <w:rFonts w:ascii="Arial" w:hAnsi="Arial" w:cs="Arial"/>
                <w:color w:val="auto"/>
                <w:sz w:val="24"/>
                <w:szCs w:val="24"/>
                <w:lang w:eastAsia="en-US"/>
              </w:rPr>
              <w:instrText xml:space="preserve"> REF _Ref100926377 \r \h </w:instrText>
            </w:r>
            <w:r w:rsidR="003C43F3" w:rsidRPr="00237760">
              <w:rPr>
                <w:rFonts w:ascii="Arial" w:hAnsi="Arial" w:cs="Arial"/>
                <w:color w:val="auto"/>
                <w:sz w:val="24"/>
                <w:szCs w:val="24"/>
                <w:lang w:eastAsia="en-US"/>
              </w:rPr>
              <w:instrText xml:space="preserve"> \* MERGEFORMAT </w:instrText>
            </w:r>
            <w:r w:rsidR="006E2E70" w:rsidRPr="00237760">
              <w:rPr>
                <w:rFonts w:ascii="Arial" w:hAnsi="Arial" w:cs="Arial"/>
                <w:color w:val="auto"/>
                <w:sz w:val="24"/>
                <w:szCs w:val="24"/>
                <w:lang w:eastAsia="en-US"/>
              </w:rPr>
            </w:r>
            <w:r w:rsidR="006E2E70" w:rsidRPr="00237760">
              <w:rPr>
                <w:rFonts w:ascii="Arial" w:hAnsi="Arial" w:cs="Arial"/>
                <w:color w:val="auto"/>
                <w:sz w:val="24"/>
                <w:szCs w:val="24"/>
                <w:lang w:eastAsia="en-US"/>
              </w:rPr>
              <w:fldChar w:fldCharType="separate"/>
            </w:r>
            <w:r w:rsidR="00E52C19" w:rsidRPr="00237760">
              <w:rPr>
                <w:rFonts w:ascii="Arial" w:hAnsi="Arial" w:cs="Arial"/>
                <w:color w:val="auto"/>
                <w:sz w:val="24"/>
                <w:szCs w:val="24"/>
                <w:lang w:eastAsia="en-US"/>
              </w:rPr>
              <w:t>4.3</w:t>
            </w:r>
            <w:r w:rsidR="006E2E70" w:rsidRPr="00237760">
              <w:rPr>
                <w:rFonts w:ascii="Arial" w:hAnsi="Arial" w:cs="Arial"/>
                <w:color w:val="auto"/>
                <w:sz w:val="24"/>
                <w:szCs w:val="24"/>
                <w:lang w:eastAsia="en-US"/>
              </w:rPr>
              <w:fldChar w:fldCharType="end"/>
            </w:r>
            <w:r w:rsidR="00FD6001" w:rsidRPr="00237760">
              <w:rPr>
                <w:rFonts w:ascii="Arial" w:hAnsi="Arial" w:cs="Arial"/>
                <w:color w:val="auto"/>
                <w:sz w:val="24"/>
                <w:szCs w:val="24"/>
                <w:lang w:eastAsia="en-US"/>
              </w:rPr>
              <w:t xml:space="preserve"> niniejszej ewaluacji)</w:t>
            </w:r>
            <w:r w:rsidR="00184AB4" w:rsidRPr="00237760">
              <w:rPr>
                <w:rFonts w:ascii="Arial" w:hAnsi="Arial" w:cs="Arial"/>
                <w:color w:val="auto"/>
                <w:sz w:val="24"/>
                <w:szCs w:val="24"/>
                <w:lang w:eastAsia="en-US"/>
              </w:rPr>
              <w:t>;</w:t>
            </w:r>
          </w:p>
          <w:p w14:paraId="29380E92" w14:textId="337803F7" w:rsidR="004049F4" w:rsidRPr="00237760" w:rsidRDefault="00A435F6" w:rsidP="009367B4">
            <w:pPr>
              <w:pStyle w:val="Akapitzlist"/>
              <w:numPr>
                <w:ilvl w:val="0"/>
                <w:numId w:val="39"/>
              </w:numPr>
              <w:spacing w:after="0"/>
              <w:ind w:left="255" w:hanging="142"/>
              <w:jc w:val="left"/>
              <w:rPr>
                <w:rFonts w:ascii="Arial" w:hAnsi="Arial" w:cs="Arial"/>
                <w:color w:val="auto"/>
                <w:sz w:val="24"/>
                <w:szCs w:val="24"/>
                <w:lang w:eastAsia="en-US"/>
              </w:rPr>
            </w:pPr>
            <w:r w:rsidRPr="00237760">
              <w:rPr>
                <w:rFonts w:ascii="Arial" w:hAnsi="Arial" w:cs="Arial"/>
                <w:color w:val="auto"/>
                <w:sz w:val="24"/>
                <w:szCs w:val="24"/>
                <w:lang w:eastAsia="en-US"/>
              </w:rPr>
              <w:t>Zgodnie z zaleceniami JASPERS w PSRT</w:t>
            </w:r>
            <w:r w:rsidR="00FA11F7" w:rsidRPr="00237760">
              <w:rPr>
                <w:rFonts w:ascii="Arial" w:hAnsi="Arial" w:cs="Arial"/>
                <w:color w:val="auto"/>
                <w:sz w:val="24"/>
                <w:szCs w:val="24"/>
                <w:lang w:eastAsia="en-US"/>
              </w:rPr>
              <w:t xml:space="preserve"> WP</w:t>
            </w:r>
            <w:r w:rsidRPr="00237760">
              <w:rPr>
                <w:rFonts w:ascii="Arial" w:hAnsi="Arial" w:cs="Arial"/>
                <w:color w:val="auto"/>
                <w:sz w:val="24"/>
                <w:szCs w:val="24"/>
                <w:lang w:eastAsia="en-US"/>
              </w:rPr>
              <w:t xml:space="preserve"> zawarto wskaźnik dotyczący ograniczenia emisji gazów </w:t>
            </w:r>
            <w:r w:rsidR="00C95A62" w:rsidRPr="00237760">
              <w:rPr>
                <w:rFonts w:ascii="Arial" w:hAnsi="Arial" w:cs="Arial"/>
                <w:color w:val="auto"/>
                <w:sz w:val="24"/>
                <w:szCs w:val="24"/>
                <w:lang w:eastAsia="en-US"/>
              </w:rPr>
              <w:t>cieplarnianych (Wielkość emisji gazów cieplarnianych z transportu z rozbiciem na emisję: a) dwutlenku węgla, b) metanu, c) podtlenku azotu)</w:t>
            </w:r>
            <w:r w:rsidR="00184AB4" w:rsidRPr="00237760">
              <w:rPr>
                <w:rFonts w:ascii="Arial" w:hAnsi="Arial" w:cs="Arial"/>
                <w:color w:val="auto"/>
                <w:sz w:val="24"/>
                <w:szCs w:val="24"/>
                <w:lang w:eastAsia="en-US"/>
              </w:rPr>
              <w:t>,</w:t>
            </w:r>
          </w:p>
          <w:p w14:paraId="2BB7BA8B" w14:textId="5B3DFDB7" w:rsidR="00963B58" w:rsidRPr="00237760" w:rsidRDefault="00184AB4" w:rsidP="009367B4">
            <w:pPr>
              <w:pStyle w:val="Akapitzlist"/>
              <w:numPr>
                <w:ilvl w:val="0"/>
                <w:numId w:val="52"/>
              </w:numPr>
              <w:spacing w:after="0"/>
              <w:ind w:left="538" w:hanging="147"/>
              <w:jc w:val="left"/>
              <w:rPr>
                <w:rFonts w:ascii="Arial" w:hAnsi="Arial" w:cs="Arial"/>
                <w:color w:val="auto"/>
                <w:sz w:val="24"/>
                <w:szCs w:val="24"/>
              </w:rPr>
            </w:pPr>
            <w:r w:rsidRPr="00237760">
              <w:rPr>
                <w:rFonts w:ascii="Arial" w:hAnsi="Arial" w:cs="Arial"/>
                <w:color w:val="auto"/>
                <w:sz w:val="24"/>
                <w:szCs w:val="24"/>
              </w:rPr>
              <w:t>W diagnozie przygotowano dane wejściowe dotyczące wielkości emisji</w:t>
            </w:r>
            <w:r w:rsidR="00DA3EE3" w:rsidRPr="00237760">
              <w:rPr>
                <w:rFonts w:ascii="Arial" w:hAnsi="Arial" w:cs="Arial"/>
                <w:color w:val="auto"/>
                <w:sz w:val="24"/>
                <w:szCs w:val="24"/>
              </w:rPr>
              <w:t xml:space="preserve"> transportowej</w:t>
            </w:r>
            <w:r w:rsidRPr="00237760">
              <w:rPr>
                <w:rFonts w:ascii="Arial" w:hAnsi="Arial" w:cs="Arial"/>
                <w:color w:val="auto"/>
                <w:sz w:val="24"/>
                <w:szCs w:val="24"/>
              </w:rPr>
              <w:t xml:space="preserve"> </w:t>
            </w:r>
            <w:r w:rsidR="00DA3EE3" w:rsidRPr="00237760">
              <w:rPr>
                <w:rFonts w:ascii="Arial" w:hAnsi="Arial" w:cs="Arial"/>
                <w:color w:val="auto"/>
                <w:sz w:val="24"/>
                <w:szCs w:val="24"/>
              </w:rPr>
              <w:t>tych gazów w regionie, autorzy skorzystali z danych zastanych ze względu na znaczny stopień</w:t>
            </w:r>
            <w:r w:rsidR="0021244D" w:rsidRPr="00237760">
              <w:rPr>
                <w:rFonts w:ascii="Arial" w:hAnsi="Arial" w:cs="Arial"/>
                <w:color w:val="auto"/>
                <w:sz w:val="24"/>
                <w:szCs w:val="24"/>
              </w:rPr>
              <w:t xml:space="preserve"> skomplikowania</w:t>
            </w:r>
            <w:r w:rsidR="00EF7F94" w:rsidRPr="00237760">
              <w:rPr>
                <w:rFonts w:ascii="Arial" w:hAnsi="Arial" w:cs="Arial"/>
                <w:color w:val="auto"/>
                <w:sz w:val="24"/>
                <w:szCs w:val="24"/>
              </w:rPr>
              <w:t xml:space="preserve"> (trudności metodyczne w pozyskaniu rzetelnych </w:t>
            </w:r>
            <w:r w:rsidR="00E67463" w:rsidRPr="00237760">
              <w:rPr>
                <w:rFonts w:ascii="Arial" w:hAnsi="Arial" w:cs="Arial"/>
                <w:color w:val="auto"/>
                <w:sz w:val="24"/>
                <w:szCs w:val="24"/>
              </w:rPr>
              <w:t>danych</w:t>
            </w:r>
            <w:r w:rsidR="00D52259" w:rsidRPr="00237760">
              <w:rPr>
                <w:rFonts w:ascii="Arial" w:hAnsi="Arial" w:cs="Arial"/>
                <w:color w:val="auto"/>
                <w:sz w:val="24"/>
                <w:szCs w:val="24"/>
              </w:rPr>
              <w:t xml:space="preserve"> pierwotnych</w:t>
            </w:r>
            <w:r w:rsidR="00E67463" w:rsidRPr="00237760">
              <w:rPr>
                <w:rFonts w:ascii="Arial" w:hAnsi="Arial" w:cs="Arial"/>
                <w:color w:val="auto"/>
                <w:sz w:val="24"/>
                <w:szCs w:val="24"/>
              </w:rPr>
              <w:t>)</w:t>
            </w:r>
            <w:r w:rsidR="00ED32EF" w:rsidRPr="00237760">
              <w:rPr>
                <w:rFonts w:ascii="Arial" w:hAnsi="Arial" w:cs="Arial"/>
                <w:color w:val="auto"/>
                <w:sz w:val="24"/>
                <w:szCs w:val="24"/>
              </w:rPr>
              <w:t xml:space="preserve">, takie </w:t>
            </w:r>
            <w:r w:rsidR="0013630F" w:rsidRPr="00237760">
              <w:rPr>
                <w:rFonts w:ascii="Arial" w:hAnsi="Arial" w:cs="Arial"/>
                <w:color w:val="auto"/>
                <w:sz w:val="24"/>
                <w:szCs w:val="24"/>
              </w:rPr>
              <w:t>podejście</w:t>
            </w:r>
            <w:r w:rsidR="00ED32EF" w:rsidRPr="00237760">
              <w:rPr>
                <w:rFonts w:ascii="Arial" w:hAnsi="Arial" w:cs="Arial"/>
                <w:color w:val="auto"/>
                <w:sz w:val="24"/>
                <w:szCs w:val="24"/>
              </w:rPr>
              <w:t xml:space="preserve"> jest powszechnie stosowane w innych projektach regionalnych </w:t>
            </w:r>
            <w:r w:rsidR="0013630F" w:rsidRPr="00237760">
              <w:rPr>
                <w:rFonts w:ascii="Arial" w:hAnsi="Arial" w:cs="Arial"/>
                <w:color w:val="auto"/>
                <w:sz w:val="24"/>
                <w:szCs w:val="24"/>
              </w:rPr>
              <w:t xml:space="preserve">programów </w:t>
            </w:r>
            <w:r w:rsidR="0013630F" w:rsidRPr="00237760">
              <w:rPr>
                <w:rFonts w:ascii="Arial" w:hAnsi="Arial" w:cs="Arial"/>
                <w:color w:val="auto"/>
                <w:sz w:val="24"/>
                <w:szCs w:val="24"/>
              </w:rPr>
              <w:lastRenderedPageBreak/>
              <w:t>transportowych</w:t>
            </w:r>
            <w:r w:rsidR="001D142F" w:rsidRPr="00237760">
              <w:rPr>
                <w:rFonts w:ascii="Arial" w:hAnsi="Arial" w:cs="Arial"/>
                <w:color w:val="auto"/>
                <w:sz w:val="24"/>
                <w:szCs w:val="24"/>
              </w:rPr>
              <w:t xml:space="preserve"> dla nowej perspektywy finansowej</w:t>
            </w:r>
            <w:r w:rsidR="00D52259" w:rsidRPr="00237760">
              <w:rPr>
                <w:rStyle w:val="Odwoanieprzypisudolnego"/>
                <w:rFonts w:ascii="Arial" w:hAnsi="Arial" w:cs="Arial"/>
                <w:color w:val="auto"/>
                <w:sz w:val="24"/>
                <w:szCs w:val="24"/>
              </w:rPr>
              <w:footnoteReference w:id="46"/>
            </w:r>
            <w:r w:rsidR="00052ADB" w:rsidRPr="00237760">
              <w:rPr>
                <w:rFonts w:ascii="Arial" w:hAnsi="Arial" w:cs="Arial"/>
                <w:color w:val="auto"/>
                <w:sz w:val="24"/>
                <w:szCs w:val="24"/>
              </w:rPr>
              <w:t>.</w:t>
            </w:r>
          </w:p>
        </w:tc>
        <w:tc>
          <w:tcPr>
            <w:tcW w:w="1418" w:type="dxa"/>
            <w:tcBorders>
              <w:top w:val="single" w:sz="4" w:space="0" w:color="BDD6EE" w:themeColor="accent1" w:themeTint="66"/>
              <w:left w:val="nil"/>
              <w:bottom w:val="single" w:sz="4" w:space="0" w:color="BDD6EE" w:themeColor="accent1" w:themeTint="66"/>
              <w:right w:val="nil"/>
            </w:tcBorders>
            <w:vAlign w:val="center"/>
          </w:tcPr>
          <w:p w14:paraId="427C2F07" w14:textId="5E63DDE9" w:rsidR="00963B58" w:rsidRPr="00237760" w:rsidRDefault="00821805" w:rsidP="009367B4">
            <w:pPr>
              <w:spacing w:after="0" w:line="240" w:lineRule="auto"/>
              <w:contextualSpacing/>
              <w:jc w:val="left"/>
              <w:rPr>
                <w:rFonts w:ascii="Arial" w:hAnsi="Arial" w:cs="Arial"/>
                <w:b/>
                <w:color w:val="auto"/>
                <w:sz w:val="24"/>
                <w:szCs w:val="24"/>
              </w:rPr>
            </w:pPr>
            <w:r w:rsidRPr="00237760">
              <w:rPr>
                <w:rFonts w:ascii="Arial" w:hAnsi="Arial" w:cs="Arial"/>
                <w:b/>
                <w:bCs/>
                <w:color w:val="auto"/>
                <w:sz w:val="24"/>
                <w:szCs w:val="24"/>
              </w:rPr>
              <w:lastRenderedPageBreak/>
              <w:t>+/-</w:t>
            </w:r>
          </w:p>
        </w:tc>
      </w:tr>
      <w:tr w:rsidR="00237760" w:rsidRPr="00237760" w14:paraId="7E5B9271" w14:textId="77777777" w:rsidTr="00B32A20">
        <w:trPr>
          <w:trHeight w:val="14"/>
        </w:trPr>
        <w:tc>
          <w:tcPr>
            <w:tcW w:w="1706" w:type="dxa"/>
            <w:tcBorders>
              <w:top w:val="single" w:sz="4" w:space="0" w:color="BDD6EE" w:themeColor="accent1" w:themeTint="66"/>
              <w:left w:val="nil"/>
              <w:bottom w:val="single" w:sz="4" w:space="0" w:color="BDD6EE" w:themeColor="accent1" w:themeTint="66"/>
              <w:right w:val="nil"/>
            </w:tcBorders>
            <w:vAlign w:val="center"/>
          </w:tcPr>
          <w:p w14:paraId="592EC876" w14:textId="1199A446" w:rsidR="006749CA" w:rsidRPr="00237760" w:rsidRDefault="00963B58"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Określanie działań związanych z preferowanym wariantem planistycznym i </w:t>
            </w:r>
            <w:r w:rsidR="00C677CD" w:rsidRPr="00237760">
              <w:rPr>
                <w:rFonts w:ascii="Arial" w:hAnsi="Arial" w:cs="Arial"/>
                <w:color w:val="auto"/>
                <w:sz w:val="24"/>
                <w:szCs w:val="24"/>
              </w:rPr>
              <w:t xml:space="preserve">wskazanie </w:t>
            </w:r>
            <w:r w:rsidRPr="00237760">
              <w:rPr>
                <w:rFonts w:ascii="Arial" w:hAnsi="Arial" w:cs="Arial"/>
                <w:color w:val="auto"/>
                <w:sz w:val="24"/>
                <w:szCs w:val="24"/>
              </w:rPr>
              <w:t>działań niezbędnych</w:t>
            </w:r>
          </w:p>
          <w:p w14:paraId="19B8F08A" w14:textId="22F0DDAF" w:rsidR="006749CA" w:rsidRPr="00237760" w:rsidRDefault="004173AD"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o</w:t>
            </w:r>
            <w:r w:rsidR="006749CA" w:rsidRPr="00237760">
              <w:rPr>
                <w:rFonts w:ascii="Arial" w:hAnsi="Arial" w:cs="Arial"/>
                <w:color w:val="auto"/>
                <w:sz w:val="24"/>
                <w:szCs w:val="24"/>
              </w:rPr>
              <w:t xml:space="preserve">raz </w:t>
            </w:r>
          </w:p>
          <w:p w14:paraId="3A2DCFE2" w14:textId="77777777" w:rsidR="006749CA" w:rsidRPr="00237760" w:rsidRDefault="006749CA" w:rsidP="009367B4">
            <w:pPr>
              <w:spacing w:after="0" w:line="240" w:lineRule="auto"/>
              <w:jc w:val="left"/>
              <w:rPr>
                <w:rFonts w:ascii="Arial" w:hAnsi="Arial" w:cs="Arial"/>
                <w:color w:val="auto"/>
                <w:sz w:val="24"/>
                <w:szCs w:val="24"/>
              </w:rPr>
            </w:pPr>
          </w:p>
          <w:p w14:paraId="40D3F76C" w14:textId="5FBACFFE" w:rsidR="00963B58" w:rsidRPr="00237760" w:rsidRDefault="006749CA"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Określenie</w:t>
            </w:r>
            <w:r w:rsidR="009E61FF" w:rsidRPr="00237760">
              <w:rPr>
                <w:rFonts w:ascii="Arial" w:hAnsi="Arial" w:cs="Arial"/>
                <w:color w:val="auto"/>
                <w:sz w:val="24"/>
                <w:szCs w:val="24"/>
              </w:rPr>
              <w:t xml:space="preserve"> wkładu</w:t>
            </w:r>
            <w:r w:rsidRPr="00237760">
              <w:rPr>
                <w:rFonts w:ascii="Arial" w:hAnsi="Arial" w:cs="Arial"/>
                <w:color w:val="auto"/>
                <w:sz w:val="24"/>
                <w:szCs w:val="24"/>
              </w:rPr>
              <w:t xml:space="preserve"> </w:t>
            </w:r>
            <w:r w:rsidR="004173AD" w:rsidRPr="00237760">
              <w:rPr>
                <w:rFonts w:ascii="Arial" w:hAnsi="Arial" w:cs="Arial"/>
                <w:color w:val="auto"/>
                <w:sz w:val="24"/>
                <w:szCs w:val="24"/>
              </w:rPr>
              <w:t>w procesy oceny wykonalności projektu i programowania</w:t>
            </w:r>
          </w:p>
        </w:tc>
        <w:tc>
          <w:tcPr>
            <w:tcW w:w="5812" w:type="dxa"/>
            <w:tcBorders>
              <w:top w:val="single" w:sz="4" w:space="0" w:color="BDD6EE" w:themeColor="accent1" w:themeTint="66"/>
              <w:left w:val="nil"/>
              <w:bottom w:val="single" w:sz="4" w:space="0" w:color="BDD6EE" w:themeColor="accent1" w:themeTint="66"/>
              <w:right w:val="nil"/>
            </w:tcBorders>
          </w:tcPr>
          <w:p w14:paraId="2B99B183" w14:textId="77777777" w:rsidR="00090F0C" w:rsidRPr="00237760" w:rsidRDefault="0088459D" w:rsidP="009367B4">
            <w:pPr>
              <w:pStyle w:val="Akapitzlist"/>
              <w:numPr>
                <w:ilvl w:val="0"/>
                <w:numId w:val="39"/>
              </w:numPr>
              <w:spacing w:after="0"/>
              <w:ind w:left="255" w:hanging="142"/>
              <w:jc w:val="left"/>
              <w:rPr>
                <w:rFonts w:ascii="Arial" w:hAnsi="Arial" w:cs="Arial"/>
                <w:color w:val="auto"/>
                <w:sz w:val="24"/>
                <w:szCs w:val="24"/>
                <w:lang w:eastAsia="en-US"/>
              </w:rPr>
            </w:pPr>
            <w:r w:rsidRPr="00237760">
              <w:rPr>
                <w:rFonts w:ascii="Arial" w:hAnsi="Arial" w:cs="Arial"/>
                <w:color w:val="auto"/>
                <w:sz w:val="24"/>
                <w:szCs w:val="24"/>
                <w:lang w:eastAsia="en-US"/>
              </w:rPr>
              <w:t xml:space="preserve">Dla wybranego wariantu </w:t>
            </w:r>
            <w:r w:rsidR="0010412B" w:rsidRPr="00237760">
              <w:rPr>
                <w:rFonts w:ascii="Arial" w:hAnsi="Arial" w:cs="Arial"/>
                <w:color w:val="auto"/>
                <w:sz w:val="24"/>
                <w:szCs w:val="24"/>
                <w:lang w:eastAsia="en-US"/>
              </w:rPr>
              <w:t xml:space="preserve">zdefiniowano cele </w:t>
            </w:r>
            <w:r w:rsidR="00EB3AF4" w:rsidRPr="00237760">
              <w:rPr>
                <w:rFonts w:ascii="Arial" w:hAnsi="Arial" w:cs="Arial"/>
                <w:color w:val="auto"/>
                <w:sz w:val="24"/>
                <w:szCs w:val="24"/>
                <w:lang w:eastAsia="en-US"/>
              </w:rPr>
              <w:t>(</w:t>
            </w:r>
            <w:r w:rsidR="009127F1" w:rsidRPr="00237760">
              <w:rPr>
                <w:rFonts w:ascii="Arial" w:hAnsi="Arial" w:cs="Arial"/>
                <w:color w:val="auto"/>
                <w:sz w:val="24"/>
                <w:szCs w:val="24"/>
                <w:lang w:eastAsia="en-US"/>
              </w:rPr>
              <w:t xml:space="preserve">mają one charakter </w:t>
            </w:r>
            <w:r w:rsidR="007D4C67" w:rsidRPr="00237760">
              <w:rPr>
                <w:rFonts w:ascii="Arial" w:hAnsi="Arial" w:cs="Arial"/>
                <w:color w:val="auto"/>
                <w:sz w:val="24"/>
                <w:szCs w:val="24"/>
                <w:lang w:eastAsia="en-US"/>
              </w:rPr>
              <w:t>komplementarny</w:t>
            </w:r>
            <w:r w:rsidR="004B1D31" w:rsidRPr="00237760">
              <w:rPr>
                <w:rFonts w:ascii="Arial" w:hAnsi="Arial" w:cs="Arial"/>
                <w:color w:val="auto"/>
                <w:sz w:val="24"/>
                <w:szCs w:val="24"/>
                <w:lang w:eastAsia="en-US"/>
              </w:rPr>
              <w:t xml:space="preserve"> i systemowy</w:t>
            </w:r>
            <w:r w:rsidR="006838B7" w:rsidRPr="00237760">
              <w:rPr>
                <w:rFonts w:ascii="Arial" w:hAnsi="Arial" w:cs="Arial"/>
                <w:color w:val="auto"/>
                <w:sz w:val="24"/>
                <w:szCs w:val="24"/>
                <w:lang w:eastAsia="en-US"/>
              </w:rPr>
              <w:t xml:space="preserve">, co </w:t>
            </w:r>
            <w:r w:rsidR="006A2EEC" w:rsidRPr="00237760">
              <w:rPr>
                <w:rFonts w:ascii="Arial" w:hAnsi="Arial" w:cs="Arial"/>
                <w:color w:val="auto"/>
                <w:sz w:val="24"/>
                <w:szCs w:val="24"/>
                <w:lang w:eastAsia="en-US"/>
              </w:rPr>
              <w:t>znaczy,</w:t>
            </w:r>
            <w:r w:rsidR="006838B7" w:rsidRPr="00237760">
              <w:rPr>
                <w:rFonts w:ascii="Arial" w:hAnsi="Arial" w:cs="Arial"/>
                <w:color w:val="auto"/>
                <w:sz w:val="24"/>
                <w:szCs w:val="24"/>
                <w:lang w:eastAsia="en-US"/>
              </w:rPr>
              <w:t xml:space="preserve"> że </w:t>
            </w:r>
            <w:r w:rsidR="004B1D31" w:rsidRPr="00237760">
              <w:rPr>
                <w:rFonts w:ascii="Arial" w:hAnsi="Arial" w:cs="Arial"/>
                <w:color w:val="auto"/>
                <w:sz w:val="24"/>
                <w:szCs w:val="24"/>
                <w:lang w:eastAsia="en-US"/>
              </w:rPr>
              <w:t>nie mogą być realizowane w oderwaniu od innych</w:t>
            </w:r>
            <w:r w:rsidR="00112605" w:rsidRPr="00237760">
              <w:rPr>
                <w:rFonts w:ascii="Arial" w:hAnsi="Arial" w:cs="Arial"/>
                <w:color w:val="auto"/>
                <w:sz w:val="24"/>
                <w:szCs w:val="24"/>
                <w:lang w:eastAsia="en-US"/>
              </w:rPr>
              <w:t>, gdyż są współzależne</w:t>
            </w:r>
            <w:r w:rsidR="00EB3AF4" w:rsidRPr="00237760">
              <w:rPr>
                <w:rFonts w:ascii="Arial" w:hAnsi="Arial" w:cs="Arial"/>
                <w:color w:val="auto"/>
                <w:sz w:val="24"/>
                <w:szCs w:val="24"/>
                <w:lang w:eastAsia="en-US"/>
              </w:rPr>
              <w:t>)</w:t>
            </w:r>
            <w:r w:rsidR="006A2EEC" w:rsidRPr="00237760">
              <w:rPr>
                <w:rFonts w:ascii="Arial" w:hAnsi="Arial" w:cs="Arial"/>
                <w:color w:val="auto"/>
                <w:sz w:val="24"/>
                <w:szCs w:val="24"/>
                <w:lang w:eastAsia="en-US"/>
              </w:rPr>
              <w:t xml:space="preserve"> </w:t>
            </w:r>
            <w:r w:rsidR="0010412B" w:rsidRPr="00237760">
              <w:rPr>
                <w:rFonts w:ascii="Arial" w:hAnsi="Arial" w:cs="Arial"/>
                <w:color w:val="auto"/>
                <w:sz w:val="24"/>
                <w:szCs w:val="24"/>
                <w:lang w:eastAsia="en-US"/>
              </w:rPr>
              <w:t xml:space="preserve">oraz operacjonalizujące je kierunki </w:t>
            </w:r>
            <w:r w:rsidR="00A8484F" w:rsidRPr="00237760">
              <w:rPr>
                <w:rFonts w:ascii="Arial" w:hAnsi="Arial" w:cs="Arial"/>
                <w:color w:val="auto"/>
                <w:sz w:val="24"/>
                <w:szCs w:val="24"/>
                <w:lang w:eastAsia="en-US"/>
              </w:rPr>
              <w:t>rozwoju</w:t>
            </w:r>
            <w:r w:rsidR="00B46D3C" w:rsidRPr="00237760">
              <w:rPr>
                <w:rFonts w:ascii="Arial" w:hAnsi="Arial" w:cs="Arial"/>
                <w:color w:val="auto"/>
                <w:sz w:val="24"/>
                <w:szCs w:val="24"/>
                <w:lang w:eastAsia="en-US"/>
              </w:rPr>
              <w:t xml:space="preserve"> dotyczące rozwoju różnych gałęzi transportu (kolejowego, drogowego, lotniczego i alternatywnego);</w:t>
            </w:r>
          </w:p>
          <w:p w14:paraId="2AB7C4C5" w14:textId="77777777" w:rsidR="00090F0C" w:rsidRPr="00237760" w:rsidRDefault="00DB6530" w:rsidP="009367B4">
            <w:pPr>
              <w:pStyle w:val="Akapitzlist"/>
              <w:numPr>
                <w:ilvl w:val="0"/>
                <w:numId w:val="39"/>
              </w:numPr>
              <w:spacing w:after="0"/>
              <w:ind w:left="255" w:hanging="142"/>
              <w:jc w:val="left"/>
              <w:rPr>
                <w:rFonts w:ascii="Arial" w:hAnsi="Arial" w:cs="Arial"/>
                <w:color w:val="auto"/>
                <w:sz w:val="24"/>
                <w:szCs w:val="24"/>
                <w:lang w:eastAsia="en-US"/>
              </w:rPr>
            </w:pPr>
            <w:r w:rsidRPr="00237760">
              <w:rPr>
                <w:rFonts w:ascii="Arial" w:hAnsi="Arial" w:cs="Arial"/>
                <w:color w:val="auto"/>
                <w:sz w:val="24"/>
                <w:szCs w:val="24"/>
                <w:lang w:eastAsia="en-US"/>
              </w:rPr>
              <w:t>W ramach zdefiniowanych celów przedstawiono planowane inwestycje</w:t>
            </w:r>
            <w:r w:rsidR="00AF464B" w:rsidRPr="00237760">
              <w:rPr>
                <w:rFonts w:ascii="Arial" w:hAnsi="Arial" w:cs="Arial"/>
                <w:color w:val="auto"/>
                <w:sz w:val="24"/>
                <w:szCs w:val="24"/>
                <w:lang w:eastAsia="en-US"/>
              </w:rPr>
              <w:t xml:space="preserve">, które podzielono w dwustopniowej skali na priorytet A </w:t>
            </w:r>
            <w:r w:rsidR="00904141" w:rsidRPr="00237760">
              <w:rPr>
                <w:rFonts w:ascii="Arial" w:hAnsi="Arial" w:cs="Arial"/>
                <w:color w:val="auto"/>
                <w:sz w:val="24"/>
                <w:szCs w:val="24"/>
                <w:lang w:eastAsia="en-US"/>
              </w:rPr>
              <w:t xml:space="preserve">(inwestycje, które powinny być realizowane w pierwszej kolejności) </w:t>
            </w:r>
            <w:r w:rsidR="00AF464B" w:rsidRPr="00237760">
              <w:rPr>
                <w:rFonts w:ascii="Arial" w:hAnsi="Arial" w:cs="Arial"/>
                <w:color w:val="auto"/>
                <w:sz w:val="24"/>
                <w:szCs w:val="24"/>
                <w:lang w:eastAsia="en-US"/>
              </w:rPr>
              <w:t>oraz B</w:t>
            </w:r>
            <w:r w:rsidR="00FB6B59" w:rsidRPr="00237760">
              <w:rPr>
                <w:rFonts w:ascii="Arial" w:hAnsi="Arial" w:cs="Arial"/>
                <w:color w:val="auto"/>
                <w:sz w:val="24"/>
                <w:szCs w:val="24"/>
                <w:lang w:eastAsia="en-US"/>
              </w:rPr>
              <w:t xml:space="preserve"> (realizowane w drugim etapie)</w:t>
            </w:r>
            <w:r w:rsidR="004173AD" w:rsidRPr="00237760">
              <w:rPr>
                <w:rFonts w:ascii="Arial" w:hAnsi="Arial" w:cs="Arial"/>
                <w:color w:val="auto"/>
                <w:sz w:val="24"/>
                <w:szCs w:val="24"/>
                <w:lang w:eastAsia="en-US"/>
              </w:rPr>
              <w:t>;</w:t>
            </w:r>
          </w:p>
          <w:p w14:paraId="22915741" w14:textId="40341FE1" w:rsidR="009E61FF" w:rsidRPr="00237760" w:rsidRDefault="009E61FF" w:rsidP="009367B4">
            <w:pPr>
              <w:pStyle w:val="Akapitzlist"/>
              <w:numPr>
                <w:ilvl w:val="0"/>
                <w:numId w:val="39"/>
              </w:numPr>
              <w:spacing w:after="0"/>
              <w:ind w:left="255" w:hanging="142"/>
              <w:jc w:val="left"/>
              <w:rPr>
                <w:rFonts w:ascii="Arial" w:hAnsi="Arial" w:cs="Arial"/>
                <w:color w:val="auto"/>
                <w:sz w:val="24"/>
                <w:szCs w:val="24"/>
                <w:lang w:eastAsia="en-US"/>
              </w:rPr>
            </w:pPr>
            <w:r w:rsidRPr="00237760">
              <w:rPr>
                <w:rFonts w:ascii="Arial" w:hAnsi="Arial" w:cs="Arial"/>
                <w:color w:val="auto"/>
                <w:sz w:val="24"/>
                <w:szCs w:val="24"/>
                <w:lang w:eastAsia="en-US"/>
              </w:rPr>
              <w:t>W PSRT WP (rozdz. IV.3. Podmiot koordynujący realizację Programu) przedstawiono podział zadań i obowiązków w zakresie realizacji założeń programu i systemu oceny realizacji,</w:t>
            </w:r>
          </w:p>
          <w:p w14:paraId="1EC7BED5" w14:textId="6B5121FA" w:rsidR="00963B58" w:rsidRPr="00237760" w:rsidRDefault="009E61FF" w:rsidP="009367B4">
            <w:pPr>
              <w:pStyle w:val="Akapitzlist"/>
              <w:numPr>
                <w:ilvl w:val="0"/>
                <w:numId w:val="52"/>
              </w:numPr>
              <w:spacing w:after="0"/>
              <w:ind w:left="538" w:hanging="147"/>
              <w:jc w:val="left"/>
              <w:rPr>
                <w:rFonts w:ascii="Arial" w:hAnsi="Arial" w:cs="Arial"/>
                <w:color w:val="auto"/>
                <w:sz w:val="24"/>
                <w:szCs w:val="24"/>
                <w:lang w:eastAsia="en-US"/>
              </w:rPr>
            </w:pPr>
            <w:r w:rsidRPr="00237760">
              <w:rPr>
                <w:rFonts w:ascii="Arial" w:hAnsi="Arial" w:cs="Arial"/>
                <w:color w:val="auto"/>
                <w:sz w:val="24"/>
                <w:szCs w:val="24"/>
                <w:lang w:eastAsia="en-US"/>
              </w:rPr>
              <w:t>Funkcje związane z monitoringiem i sprawozdawczością dokumentu realizować ma Departament Dróg i Publicznego Transportu Zbiorowego UMWP, współdziałając z odpowiednimi departamentami, wojewódzkimi jednostkami organizacyjnymi oraz instytucjami zewnętrznym.</w:t>
            </w:r>
          </w:p>
        </w:tc>
        <w:tc>
          <w:tcPr>
            <w:tcW w:w="1418" w:type="dxa"/>
            <w:tcBorders>
              <w:top w:val="single" w:sz="4" w:space="0" w:color="BDD6EE" w:themeColor="accent1" w:themeTint="66"/>
              <w:left w:val="nil"/>
              <w:bottom w:val="single" w:sz="4" w:space="0" w:color="BDD6EE" w:themeColor="accent1" w:themeTint="66"/>
              <w:right w:val="nil"/>
            </w:tcBorders>
            <w:vAlign w:val="center"/>
          </w:tcPr>
          <w:p w14:paraId="6FF0A7A0" w14:textId="0A694BC0" w:rsidR="00963B58" w:rsidRPr="00237760" w:rsidRDefault="009E61FF" w:rsidP="009367B4">
            <w:pPr>
              <w:spacing w:after="0" w:line="240" w:lineRule="auto"/>
              <w:contextualSpacing/>
              <w:jc w:val="left"/>
              <w:rPr>
                <w:rFonts w:ascii="Arial" w:hAnsi="Arial" w:cs="Arial"/>
                <w:b/>
                <w:color w:val="auto"/>
                <w:sz w:val="24"/>
                <w:szCs w:val="24"/>
              </w:rPr>
            </w:pPr>
            <w:r w:rsidRPr="00237760">
              <w:rPr>
                <w:rFonts w:ascii="Arial" w:hAnsi="Arial" w:cs="Arial"/>
                <w:b/>
                <w:bCs/>
                <w:color w:val="auto"/>
                <w:sz w:val="24"/>
                <w:szCs w:val="24"/>
              </w:rPr>
              <w:t>+</w:t>
            </w:r>
          </w:p>
        </w:tc>
      </w:tr>
      <w:tr w:rsidR="00237760" w:rsidRPr="00237760" w14:paraId="2A12D66E" w14:textId="77777777" w:rsidTr="00B32A20">
        <w:trPr>
          <w:trHeight w:val="14"/>
        </w:trPr>
        <w:tc>
          <w:tcPr>
            <w:tcW w:w="1706" w:type="dxa"/>
            <w:tcBorders>
              <w:top w:val="single" w:sz="4" w:space="0" w:color="BDD6EE" w:themeColor="accent1" w:themeTint="66"/>
              <w:left w:val="nil"/>
              <w:bottom w:val="single" w:sz="12" w:space="0" w:color="002060"/>
              <w:right w:val="nil"/>
            </w:tcBorders>
            <w:vAlign w:val="center"/>
          </w:tcPr>
          <w:p w14:paraId="1DF8FEEC" w14:textId="3A07CFA9" w:rsidR="00963B58" w:rsidRPr="00237760" w:rsidRDefault="00963B58"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Przeprowadzenie oceny ryzyka</w:t>
            </w:r>
          </w:p>
        </w:tc>
        <w:tc>
          <w:tcPr>
            <w:tcW w:w="5812" w:type="dxa"/>
            <w:tcBorders>
              <w:top w:val="single" w:sz="4" w:space="0" w:color="BDD6EE" w:themeColor="accent1" w:themeTint="66"/>
              <w:left w:val="nil"/>
              <w:bottom w:val="single" w:sz="12" w:space="0" w:color="002060"/>
              <w:right w:val="nil"/>
            </w:tcBorders>
          </w:tcPr>
          <w:p w14:paraId="188DE572" w14:textId="77777777" w:rsidR="00882E47" w:rsidRPr="00237760" w:rsidRDefault="006A3E6C" w:rsidP="009367B4">
            <w:pPr>
              <w:pStyle w:val="Akapitzlist"/>
              <w:numPr>
                <w:ilvl w:val="0"/>
                <w:numId w:val="39"/>
              </w:numPr>
              <w:spacing w:after="0"/>
              <w:ind w:left="255" w:hanging="142"/>
              <w:jc w:val="left"/>
              <w:rPr>
                <w:rFonts w:ascii="Arial" w:hAnsi="Arial" w:cs="Arial"/>
                <w:color w:val="auto"/>
                <w:sz w:val="24"/>
                <w:szCs w:val="24"/>
                <w:lang w:eastAsia="en-US"/>
              </w:rPr>
            </w:pPr>
            <w:r w:rsidRPr="00237760">
              <w:rPr>
                <w:rFonts w:ascii="Arial" w:hAnsi="Arial" w:cs="Arial"/>
                <w:color w:val="auto"/>
                <w:sz w:val="24"/>
                <w:szCs w:val="24"/>
                <w:lang w:eastAsia="en-US"/>
              </w:rPr>
              <w:t>W ramach PSRT WP została przeprowadzona analiza ryzyka</w:t>
            </w:r>
            <w:r w:rsidR="000405FC" w:rsidRPr="00237760">
              <w:rPr>
                <w:rFonts w:ascii="Arial" w:hAnsi="Arial" w:cs="Arial"/>
                <w:color w:val="auto"/>
                <w:sz w:val="24"/>
                <w:szCs w:val="24"/>
                <w:lang w:eastAsia="en-US"/>
              </w:rPr>
              <w:t xml:space="preserve"> (</w:t>
            </w:r>
            <w:r w:rsidR="00A94AEE" w:rsidRPr="00237760">
              <w:rPr>
                <w:rFonts w:ascii="Arial" w:hAnsi="Arial" w:cs="Arial"/>
                <w:color w:val="auto"/>
                <w:sz w:val="24"/>
                <w:szCs w:val="24"/>
                <w:lang w:eastAsia="en-US"/>
              </w:rPr>
              <w:t>zob. rozdz. VII. Analiza ryzyka w PSRT WP)</w:t>
            </w:r>
            <w:r w:rsidR="00606198" w:rsidRPr="00237760">
              <w:rPr>
                <w:rFonts w:ascii="Arial" w:hAnsi="Arial" w:cs="Arial"/>
                <w:color w:val="auto"/>
                <w:sz w:val="24"/>
                <w:szCs w:val="24"/>
                <w:lang w:eastAsia="en-US"/>
              </w:rPr>
              <w:t>,</w:t>
            </w:r>
            <w:r w:rsidR="003D53E5" w:rsidRPr="00237760">
              <w:rPr>
                <w:rFonts w:ascii="Arial" w:hAnsi="Arial" w:cs="Arial"/>
                <w:color w:val="auto"/>
                <w:sz w:val="24"/>
                <w:szCs w:val="24"/>
                <w:lang w:eastAsia="en-US"/>
              </w:rPr>
              <w:t xml:space="preserve"> w ramach której </w:t>
            </w:r>
            <w:r w:rsidR="00400CCD" w:rsidRPr="00237760">
              <w:rPr>
                <w:rFonts w:ascii="Arial" w:hAnsi="Arial" w:cs="Arial"/>
                <w:color w:val="auto"/>
                <w:sz w:val="24"/>
                <w:szCs w:val="24"/>
                <w:lang w:eastAsia="en-US"/>
              </w:rPr>
              <w:t>brano pod uwagę</w:t>
            </w:r>
            <w:r w:rsidR="00606198" w:rsidRPr="00237760">
              <w:rPr>
                <w:rFonts w:ascii="Arial" w:hAnsi="Arial" w:cs="Arial"/>
                <w:color w:val="auto"/>
                <w:sz w:val="24"/>
                <w:szCs w:val="24"/>
                <w:lang w:eastAsia="en-US"/>
              </w:rPr>
              <w:t xml:space="preserve"> ryzyka</w:t>
            </w:r>
            <w:r w:rsidR="0041572C" w:rsidRPr="00237760">
              <w:rPr>
                <w:rFonts w:ascii="Arial" w:hAnsi="Arial" w:cs="Arial"/>
                <w:color w:val="auto"/>
                <w:sz w:val="24"/>
                <w:szCs w:val="24"/>
                <w:lang w:eastAsia="en-US"/>
              </w:rPr>
              <w:t xml:space="preserve">: polityczne i prawne, </w:t>
            </w:r>
            <w:r w:rsidR="003D53E5" w:rsidRPr="00237760">
              <w:rPr>
                <w:rFonts w:ascii="Arial" w:hAnsi="Arial" w:cs="Arial"/>
                <w:color w:val="auto"/>
                <w:sz w:val="24"/>
                <w:szCs w:val="24"/>
                <w:lang w:eastAsia="en-US"/>
              </w:rPr>
              <w:t>ekonomiczne, środowiskowe i kulturowe, organizacyjne i społeczne.</w:t>
            </w:r>
          </w:p>
          <w:p w14:paraId="745860CC" w14:textId="2E50EB95" w:rsidR="00963B58" w:rsidRPr="00237760" w:rsidRDefault="00632971" w:rsidP="009367B4">
            <w:pPr>
              <w:pStyle w:val="Akapitzlist"/>
              <w:numPr>
                <w:ilvl w:val="0"/>
                <w:numId w:val="39"/>
              </w:numPr>
              <w:spacing w:after="0"/>
              <w:ind w:left="255" w:hanging="142"/>
              <w:jc w:val="left"/>
              <w:rPr>
                <w:rFonts w:ascii="Arial" w:hAnsi="Arial" w:cs="Arial"/>
                <w:color w:val="auto"/>
                <w:sz w:val="24"/>
                <w:szCs w:val="24"/>
                <w:lang w:eastAsia="en-US"/>
              </w:rPr>
            </w:pPr>
            <w:r w:rsidRPr="00237760">
              <w:rPr>
                <w:rFonts w:ascii="Arial" w:hAnsi="Arial" w:cs="Arial"/>
                <w:color w:val="auto"/>
                <w:sz w:val="24"/>
                <w:szCs w:val="24"/>
                <w:lang w:eastAsia="en-US"/>
              </w:rPr>
              <w:t xml:space="preserve">Szczegółowa ocena analizy ryzyka znajduje się w rozdz. </w:t>
            </w:r>
            <w:r w:rsidR="005D40EF" w:rsidRPr="00237760">
              <w:rPr>
                <w:rFonts w:ascii="Arial" w:hAnsi="Arial" w:cs="Arial"/>
                <w:color w:val="auto"/>
                <w:sz w:val="24"/>
                <w:szCs w:val="24"/>
                <w:lang w:eastAsia="en-US"/>
              </w:rPr>
              <w:fldChar w:fldCharType="begin"/>
            </w:r>
            <w:r w:rsidR="005D40EF" w:rsidRPr="00237760">
              <w:rPr>
                <w:rFonts w:ascii="Arial" w:hAnsi="Arial" w:cs="Arial"/>
                <w:color w:val="auto"/>
                <w:sz w:val="24"/>
                <w:szCs w:val="24"/>
                <w:lang w:eastAsia="en-US"/>
              </w:rPr>
              <w:instrText xml:space="preserve"> REF _Ref100926559 \r \h </w:instrText>
            </w:r>
            <w:r w:rsidR="003C43F3" w:rsidRPr="00237760">
              <w:rPr>
                <w:rFonts w:ascii="Arial" w:hAnsi="Arial" w:cs="Arial"/>
                <w:color w:val="auto"/>
                <w:sz w:val="24"/>
                <w:szCs w:val="24"/>
                <w:lang w:eastAsia="en-US"/>
              </w:rPr>
              <w:instrText xml:space="preserve"> \* MERGEFORMAT </w:instrText>
            </w:r>
            <w:r w:rsidR="005D40EF" w:rsidRPr="00237760">
              <w:rPr>
                <w:rFonts w:ascii="Arial" w:hAnsi="Arial" w:cs="Arial"/>
                <w:color w:val="auto"/>
                <w:sz w:val="24"/>
                <w:szCs w:val="24"/>
                <w:lang w:eastAsia="en-US"/>
              </w:rPr>
            </w:r>
            <w:r w:rsidR="005D40EF" w:rsidRPr="00237760">
              <w:rPr>
                <w:rFonts w:ascii="Arial" w:hAnsi="Arial" w:cs="Arial"/>
                <w:color w:val="auto"/>
                <w:sz w:val="24"/>
                <w:szCs w:val="24"/>
                <w:lang w:eastAsia="en-US"/>
              </w:rPr>
              <w:fldChar w:fldCharType="separate"/>
            </w:r>
            <w:r w:rsidR="00E52C19" w:rsidRPr="00237760">
              <w:rPr>
                <w:rFonts w:ascii="Arial" w:hAnsi="Arial" w:cs="Arial"/>
                <w:color w:val="auto"/>
                <w:sz w:val="24"/>
                <w:szCs w:val="24"/>
                <w:lang w:eastAsia="en-US"/>
              </w:rPr>
              <w:t>3.4</w:t>
            </w:r>
            <w:r w:rsidR="005D40EF" w:rsidRPr="00237760">
              <w:rPr>
                <w:rFonts w:ascii="Arial" w:hAnsi="Arial" w:cs="Arial"/>
                <w:color w:val="auto"/>
                <w:sz w:val="24"/>
                <w:szCs w:val="24"/>
                <w:lang w:eastAsia="en-US"/>
              </w:rPr>
              <w:fldChar w:fldCharType="end"/>
            </w:r>
            <w:r w:rsidR="005D40EF" w:rsidRPr="00237760">
              <w:rPr>
                <w:rFonts w:ascii="Arial" w:hAnsi="Arial" w:cs="Arial"/>
                <w:color w:val="auto"/>
                <w:sz w:val="24"/>
                <w:szCs w:val="24"/>
                <w:lang w:eastAsia="en-US"/>
              </w:rPr>
              <w:t xml:space="preserve"> </w:t>
            </w:r>
            <w:r w:rsidR="00017C34" w:rsidRPr="00237760">
              <w:rPr>
                <w:rFonts w:ascii="Arial" w:hAnsi="Arial" w:cs="Arial"/>
                <w:color w:val="auto"/>
                <w:sz w:val="24"/>
                <w:szCs w:val="24"/>
                <w:lang w:eastAsia="en-US"/>
              </w:rPr>
              <w:t>tej ewaluacji.</w:t>
            </w:r>
          </w:p>
        </w:tc>
        <w:tc>
          <w:tcPr>
            <w:tcW w:w="1418" w:type="dxa"/>
            <w:tcBorders>
              <w:top w:val="single" w:sz="4" w:space="0" w:color="BDD6EE" w:themeColor="accent1" w:themeTint="66"/>
              <w:left w:val="nil"/>
              <w:bottom w:val="single" w:sz="12" w:space="0" w:color="002060"/>
              <w:right w:val="nil"/>
            </w:tcBorders>
            <w:vAlign w:val="center"/>
          </w:tcPr>
          <w:p w14:paraId="7D8673BB" w14:textId="048BB41C" w:rsidR="00963B58" w:rsidRPr="00237760" w:rsidRDefault="009E61FF" w:rsidP="009367B4">
            <w:pPr>
              <w:spacing w:after="0" w:line="240" w:lineRule="auto"/>
              <w:contextualSpacing/>
              <w:jc w:val="left"/>
              <w:rPr>
                <w:rFonts w:ascii="Arial" w:hAnsi="Arial" w:cs="Arial"/>
                <w:b/>
                <w:color w:val="auto"/>
                <w:sz w:val="24"/>
                <w:szCs w:val="24"/>
              </w:rPr>
            </w:pPr>
            <w:r w:rsidRPr="00237760">
              <w:rPr>
                <w:rFonts w:ascii="Arial" w:hAnsi="Arial" w:cs="Arial"/>
                <w:b/>
                <w:bCs/>
                <w:color w:val="auto"/>
                <w:sz w:val="24"/>
                <w:szCs w:val="24"/>
              </w:rPr>
              <w:t>+</w:t>
            </w:r>
          </w:p>
        </w:tc>
      </w:tr>
    </w:tbl>
    <w:p w14:paraId="594D7D02" w14:textId="4062CC26" w:rsidR="00EC0E54" w:rsidRPr="00237760" w:rsidRDefault="00EC0E54"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lastRenderedPageBreak/>
        <w:t>Źródło:</w:t>
      </w:r>
      <w:r w:rsidR="00EC0ABF" w:rsidRPr="00237760">
        <w:rPr>
          <w:rFonts w:ascii="Arial" w:hAnsi="Arial" w:cs="Arial"/>
          <w:color w:val="auto"/>
          <w:sz w:val="24"/>
          <w:szCs w:val="24"/>
          <w:lang w:eastAsia="pl-PL"/>
        </w:rPr>
        <w:t xml:space="preserve"> opracowanie własne na podstawie PSRT WP oraz dokumentu Najlepsze praktyki w zakresie regionalnych planów transportowych (Polska)</w:t>
      </w:r>
      <w:r w:rsidR="007A0CAE" w:rsidRPr="00237760">
        <w:rPr>
          <w:rFonts w:ascii="Arial" w:hAnsi="Arial" w:cs="Arial"/>
          <w:color w:val="auto"/>
          <w:sz w:val="24"/>
          <w:szCs w:val="24"/>
          <w:lang w:eastAsia="pl-PL"/>
        </w:rPr>
        <w:t xml:space="preserve"> – </w:t>
      </w:r>
      <w:r w:rsidR="00EC0ABF" w:rsidRPr="00237760">
        <w:rPr>
          <w:rFonts w:ascii="Arial" w:hAnsi="Arial" w:cs="Arial"/>
          <w:color w:val="auto"/>
          <w:sz w:val="24"/>
          <w:szCs w:val="24"/>
          <w:lang w:eastAsia="pl-PL"/>
        </w:rPr>
        <w:t>Wytyczne JASPERS z dnia 24 kwietnia 2020 r.</w:t>
      </w:r>
    </w:p>
    <w:p w14:paraId="64A84DEE" w14:textId="15767A11" w:rsidR="00CD790C" w:rsidRPr="00237760" w:rsidRDefault="00754E45" w:rsidP="009367B4">
      <w:pPr>
        <w:jc w:val="left"/>
        <w:rPr>
          <w:rFonts w:ascii="Arial" w:hAnsi="Arial" w:cs="Arial"/>
          <w:color w:val="auto"/>
          <w:sz w:val="24"/>
          <w:szCs w:val="24"/>
          <w:lang w:eastAsia="pl-PL"/>
        </w:rPr>
      </w:pPr>
      <w:bookmarkStart w:id="182" w:name="_Hlk101355497"/>
      <w:r w:rsidRPr="00237760">
        <w:rPr>
          <w:rFonts w:ascii="Arial" w:hAnsi="Arial" w:cs="Arial"/>
          <w:color w:val="auto"/>
          <w:sz w:val="24"/>
          <w:szCs w:val="24"/>
          <w:lang w:eastAsia="pl-PL"/>
        </w:rPr>
        <w:t xml:space="preserve">Autorzy PSRT WP </w:t>
      </w:r>
      <w:r w:rsidR="006420C3" w:rsidRPr="00237760">
        <w:rPr>
          <w:rFonts w:ascii="Arial" w:hAnsi="Arial" w:cs="Arial"/>
          <w:color w:val="auto"/>
          <w:sz w:val="24"/>
          <w:szCs w:val="24"/>
          <w:lang w:eastAsia="pl-PL"/>
        </w:rPr>
        <w:t xml:space="preserve">wyraźnie kierowali się wytycznymi JASPERS, poprzez stosowanie się do zaleceń </w:t>
      </w:r>
      <w:r w:rsidR="00C605B2" w:rsidRPr="00237760">
        <w:rPr>
          <w:rFonts w:ascii="Arial" w:hAnsi="Arial" w:cs="Arial"/>
          <w:color w:val="auto"/>
          <w:sz w:val="24"/>
          <w:szCs w:val="24"/>
          <w:lang w:eastAsia="pl-PL"/>
        </w:rPr>
        <w:br/>
      </w:r>
      <w:r w:rsidR="006420C3" w:rsidRPr="00237760">
        <w:rPr>
          <w:rFonts w:ascii="Arial" w:hAnsi="Arial" w:cs="Arial"/>
          <w:color w:val="auto"/>
          <w:sz w:val="24"/>
          <w:szCs w:val="24"/>
          <w:lang w:eastAsia="pl-PL"/>
        </w:rPr>
        <w:t xml:space="preserve">w zakresie dobrych praktyk </w:t>
      </w:r>
      <w:r w:rsidR="00B573FC" w:rsidRPr="00237760">
        <w:rPr>
          <w:rFonts w:ascii="Arial" w:hAnsi="Arial" w:cs="Arial"/>
          <w:color w:val="auto"/>
          <w:sz w:val="24"/>
          <w:szCs w:val="24"/>
          <w:lang w:eastAsia="pl-PL"/>
        </w:rPr>
        <w:t xml:space="preserve">metodycznych. </w:t>
      </w:r>
      <w:r w:rsidR="001A245E" w:rsidRPr="00237760">
        <w:rPr>
          <w:rFonts w:ascii="Arial" w:hAnsi="Arial" w:cs="Arial"/>
          <w:color w:val="auto"/>
          <w:sz w:val="24"/>
          <w:szCs w:val="24"/>
          <w:lang w:eastAsia="pl-PL"/>
        </w:rPr>
        <w:t>Uwzględnion</w:t>
      </w:r>
      <w:r w:rsidR="006338E3" w:rsidRPr="00237760">
        <w:rPr>
          <w:rFonts w:ascii="Arial" w:hAnsi="Arial" w:cs="Arial"/>
          <w:color w:val="auto"/>
          <w:sz w:val="24"/>
          <w:szCs w:val="24"/>
          <w:lang w:eastAsia="pl-PL"/>
        </w:rPr>
        <w:t>e</w:t>
      </w:r>
      <w:r w:rsidR="001A245E" w:rsidRPr="00237760">
        <w:rPr>
          <w:rFonts w:ascii="Arial" w:hAnsi="Arial" w:cs="Arial"/>
          <w:color w:val="auto"/>
          <w:sz w:val="24"/>
          <w:szCs w:val="24"/>
          <w:lang w:eastAsia="pl-PL"/>
        </w:rPr>
        <w:t xml:space="preserve"> zostały również</w:t>
      </w:r>
      <w:r w:rsidR="006338E3" w:rsidRPr="00237760">
        <w:rPr>
          <w:rFonts w:ascii="Arial" w:hAnsi="Arial" w:cs="Arial"/>
          <w:color w:val="auto"/>
          <w:sz w:val="24"/>
          <w:szCs w:val="24"/>
          <w:lang w:eastAsia="pl-PL"/>
        </w:rPr>
        <w:t>,</w:t>
      </w:r>
      <w:r w:rsidR="001A245E" w:rsidRPr="00237760">
        <w:rPr>
          <w:rFonts w:ascii="Arial" w:hAnsi="Arial" w:cs="Arial"/>
          <w:color w:val="auto"/>
          <w:sz w:val="24"/>
          <w:szCs w:val="24"/>
          <w:lang w:eastAsia="pl-PL"/>
        </w:rPr>
        <w:t xml:space="preserve"> szczególnie podkreślane przez JASPERS</w:t>
      </w:r>
      <w:r w:rsidR="006338E3" w:rsidRPr="00237760">
        <w:rPr>
          <w:rFonts w:ascii="Arial" w:hAnsi="Arial" w:cs="Arial"/>
          <w:color w:val="auto"/>
          <w:sz w:val="24"/>
          <w:szCs w:val="24"/>
          <w:lang w:eastAsia="pl-PL"/>
        </w:rPr>
        <w:t>,</w:t>
      </w:r>
      <w:r w:rsidR="001A245E" w:rsidRPr="00237760">
        <w:rPr>
          <w:rFonts w:ascii="Arial" w:hAnsi="Arial" w:cs="Arial"/>
          <w:color w:val="auto"/>
          <w:sz w:val="24"/>
          <w:szCs w:val="24"/>
          <w:lang w:eastAsia="pl-PL"/>
        </w:rPr>
        <w:t xml:space="preserve"> z</w:t>
      </w:r>
      <w:r w:rsidR="00A956DB" w:rsidRPr="00237760">
        <w:rPr>
          <w:rFonts w:ascii="Arial" w:hAnsi="Arial" w:cs="Arial"/>
          <w:color w:val="auto"/>
          <w:sz w:val="24"/>
          <w:szCs w:val="24"/>
          <w:lang w:eastAsia="pl-PL"/>
        </w:rPr>
        <w:t>agadnienia środowiskowe</w:t>
      </w:r>
      <w:r w:rsidR="00AD0D9C" w:rsidRPr="00237760">
        <w:rPr>
          <w:rFonts w:ascii="Arial" w:hAnsi="Arial" w:cs="Arial"/>
          <w:color w:val="auto"/>
          <w:sz w:val="24"/>
          <w:szCs w:val="24"/>
          <w:lang w:eastAsia="pl-PL"/>
        </w:rPr>
        <w:t xml:space="preserve">, które </w:t>
      </w:r>
      <w:r w:rsidR="00A956DB" w:rsidRPr="00237760">
        <w:rPr>
          <w:rFonts w:ascii="Arial" w:hAnsi="Arial" w:cs="Arial"/>
          <w:color w:val="auto"/>
          <w:sz w:val="24"/>
          <w:szCs w:val="24"/>
          <w:lang w:eastAsia="pl-PL"/>
        </w:rPr>
        <w:t>stanowi</w:t>
      </w:r>
      <w:r w:rsidR="00AD0D9C" w:rsidRPr="00237760">
        <w:rPr>
          <w:rFonts w:ascii="Arial" w:hAnsi="Arial" w:cs="Arial"/>
          <w:color w:val="auto"/>
          <w:sz w:val="24"/>
          <w:szCs w:val="24"/>
          <w:lang w:eastAsia="pl-PL"/>
        </w:rPr>
        <w:t>ą</w:t>
      </w:r>
      <w:r w:rsidR="00A956DB" w:rsidRPr="00237760">
        <w:rPr>
          <w:rFonts w:ascii="Arial" w:hAnsi="Arial" w:cs="Arial"/>
          <w:color w:val="auto"/>
          <w:sz w:val="24"/>
          <w:szCs w:val="24"/>
          <w:lang w:eastAsia="pl-PL"/>
        </w:rPr>
        <w:t xml:space="preserve"> integralny element </w:t>
      </w:r>
      <w:r w:rsidR="00AD0D9C" w:rsidRPr="00237760">
        <w:rPr>
          <w:rFonts w:ascii="Arial" w:hAnsi="Arial" w:cs="Arial"/>
          <w:color w:val="auto"/>
          <w:sz w:val="24"/>
          <w:szCs w:val="24"/>
          <w:lang w:eastAsia="pl-PL"/>
        </w:rPr>
        <w:t>dokumentu.</w:t>
      </w:r>
      <w:r w:rsidR="005619D1" w:rsidRPr="00237760">
        <w:rPr>
          <w:rFonts w:ascii="Arial" w:hAnsi="Arial" w:cs="Arial"/>
          <w:color w:val="auto"/>
          <w:sz w:val="24"/>
          <w:szCs w:val="24"/>
          <w:lang w:eastAsia="pl-PL"/>
        </w:rPr>
        <w:t xml:space="preserve"> Drobn</w:t>
      </w:r>
      <w:r w:rsidR="00C567D7" w:rsidRPr="00237760">
        <w:rPr>
          <w:rFonts w:ascii="Arial" w:hAnsi="Arial" w:cs="Arial"/>
          <w:color w:val="auto"/>
          <w:sz w:val="24"/>
          <w:szCs w:val="24"/>
          <w:lang w:eastAsia="pl-PL"/>
        </w:rPr>
        <w:t xml:space="preserve">ą uwagę można </w:t>
      </w:r>
      <w:r w:rsidR="00146DD6" w:rsidRPr="00237760">
        <w:rPr>
          <w:rFonts w:ascii="Arial" w:hAnsi="Arial" w:cs="Arial"/>
          <w:color w:val="auto"/>
          <w:sz w:val="24"/>
          <w:szCs w:val="24"/>
          <w:lang w:eastAsia="pl-PL"/>
        </w:rPr>
        <w:t xml:space="preserve">mieć jedynie do </w:t>
      </w:r>
      <w:r w:rsidR="00461A4E" w:rsidRPr="00237760">
        <w:rPr>
          <w:rFonts w:ascii="Arial" w:hAnsi="Arial" w:cs="Arial"/>
          <w:color w:val="auto"/>
          <w:sz w:val="24"/>
          <w:szCs w:val="24"/>
          <w:lang w:eastAsia="pl-PL"/>
        </w:rPr>
        <w:t xml:space="preserve">sposobu </w:t>
      </w:r>
      <w:r w:rsidR="008E3784" w:rsidRPr="00237760">
        <w:rPr>
          <w:rFonts w:ascii="Arial" w:hAnsi="Arial" w:cs="Arial"/>
          <w:color w:val="auto"/>
          <w:sz w:val="24"/>
          <w:szCs w:val="24"/>
          <w:lang w:eastAsia="pl-PL"/>
        </w:rPr>
        <w:t>pozyskiwania danych o skali emisji gazów cieplarnianych</w:t>
      </w:r>
      <w:r w:rsidR="004E2DD2" w:rsidRPr="00237760">
        <w:rPr>
          <w:rFonts w:ascii="Arial" w:hAnsi="Arial" w:cs="Arial"/>
          <w:color w:val="auto"/>
          <w:sz w:val="24"/>
          <w:szCs w:val="24"/>
          <w:lang w:eastAsia="pl-PL"/>
        </w:rPr>
        <w:t>. Autorzy zdecydowali się skorzystać ze statystyki publicznej</w:t>
      </w:r>
      <w:r w:rsidR="00202BD2" w:rsidRPr="00237760">
        <w:rPr>
          <w:rFonts w:ascii="Arial" w:hAnsi="Arial" w:cs="Arial"/>
          <w:color w:val="auto"/>
          <w:sz w:val="24"/>
          <w:szCs w:val="24"/>
          <w:lang w:eastAsia="pl-PL"/>
        </w:rPr>
        <w:t>, jednak usprawiedliwi</w:t>
      </w:r>
      <w:r w:rsidR="002C7E0F" w:rsidRPr="00237760">
        <w:rPr>
          <w:rFonts w:ascii="Arial" w:hAnsi="Arial" w:cs="Arial"/>
          <w:color w:val="auto"/>
          <w:sz w:val="24"/>
          <w:szCs w:val="24"/>
          <w:lang w:eastAsia="pl-PL"/>
        </w:rPr>
        <w:t>ają</w:t>
      </w:r>
      <w:r w:rsidR="00202BD2" w:rsidRPr="00237760">
        <w:rPr>
          <w:rFonts w:ascii="Arial" w:hAnsi="Arial" w:cs="Arial"/>
          <w:color w:val="auto"/>
          <w:sz w:val="24"/>
          <w:szCs w:val="24"/>
          <w:lang w:eastAsia="pl-PL"/>
        </w:rPr>
        <w:t xml:space="preserve"> ich </w:t>
      </w:r>
      <w:r w:rsidR="00674E00" w:rsidRPr="00237760">
        <w:rPr>
          <w:rFonts w:ascii="Arial" w:hAnsi="Arial" w:cs="Arial"/>
          <w:color w:val="auto"/>
          <w:sz w:val="24"/>
          <w:szCs w:val="24"/>
          <w:lang w:eastAsia="pl-PL"/>
        </w:rPr>
        <w:t xml:space="preserve">napotkane </w:t>
      </w:r>
      <w:r w:rsidR="004038AF" w:rsidRPr="00237760">
        <w:rPr>
          <w:rFonts w:ascii="Arial" w:hAnsi="Arial" w:cs="Arial"/>
          <w:color w:val="auto"/>
          <w:sz w:val="24"/>
          <w:szCs w:val="24"/>
          <w:lang w:eastAsia="pl-PL"/>
        </w:rPr>
        <w:t>trudności metodyczne w pozyskaniu rzetelnych danych pierwotnych</w:t>
      </w:r>
      <w:r w:rsidR="002C7E0F" w:rsidRPr="00237760">
        <w:rPr>
          <w:rFonts w:ascii="Arial" w:hAnsi="Arial" w:cs="Arial"/>
          <w:color w:val="auto"/>
          <w:sz w:val="24"/>
          <w:szCs w:val="24"/>
          <w:lang w:eastAsia="pl-PL"/>
        </w:rPr>
        <w:t>. Co więcej</w:t>
      </w:r>
      <w:r w:rsidR="004038AF" w:rsidRPr="00237760">
        <w:rPr>
          <w:rFonts w:ascii="Arial" w:hAnsi="Arial" w:cs="Arial"/>
          <w:color w:val="auto"/>
          <w:sz w:val="24"/>
          <w:szCs w:val="24"/>
          <w:lang w:eastAsia="pl-PL"/>
        </w:rPr>
        <w:t xml:space="preserve"> </w:t>
      </w:r>
      <w:r w:rsidR="002C7E0F" w:rsidRPr="00237760">
        <w:rPr>
          <w:rFonts w:ascii="Arial" w:hAnsi="Arial" w:cs="Arial"/>
          <w:color w:val="auto"/>
          <w:sz w:val="24"/>
          <w:szCs w:val="24"/>
          <w:lang w:eastAsia="pl-PL"/>
        </w:rPr>
        <w:t xml:space="preserve">analogiczne </w:t>
      </w:r>
      <w:r w:rsidR="004038AF" w:rsidRPr="00237760">
        <w:rPr>
          <w:rFonts w:ascii="Arial" w:hAnsi="Arial" w:cs="Arial"/>
          <w:color w:val="auto"/>
          <w:sz w:val="24"/>
          <w:szCs w:val="24"/>
          <w:lang w:eastAsia="pl-PL"/>
        </w:rPr>
        <w:t>podejście jest powszechnie stosowane w innych projektach regionalnych programów transportowych dla nowej perspektywy finansowej</w:t>
      </w:r>
      <w:r w:rsidR="002C7E0F" w:rsidRPr="00237760">
        <w:rPr>
          <w:rFonts w:ascii="Arial" w:hAnsi="Arial" w:cs="Arial"/>
          <w:color w:val="auto"/>
          <w:sz w:val="24"/>
          <w:szCs w:val="24"/>
          <w:lang w:eastAsia="pl-PL"/>
        </w:rPr>
        <w:t xml:space="preserve">, nie jest to </w:t>
      </w:r>
      <w:r w:rsidR="00674E00" w:rsidRPr="00237760">
        <w:rPr>
          <w:rFonts w:ascii="Arial" w:hAnsi="Arial" w:cs="Arial"/>
          <w:color w:val="auto"/>
          <w:sz w:val="24"/>
          <w:szCs w:val="24"/>
          <w:lang w:eastAsia="pl-PL"/>
        </w:rPr>
        <w:t>zatem przypadek odosobniony</w:t>
      </w:r>
      <w:r w:rsidR="00DE37EE" w:rsidRPr="00237760">
        <w:rPr>
          <w:rStyle w:val="Odwoanieprzypisudolnego"/>
          <w:rFonts w:ascii="Arial" w:hAnsi="Arial" w:cs="Arial"/>
          <w:color w:val="auto"/>
          <w:sz w:val="24"/>
          <w:szCs w:val="24"/>
          <w:lang w:eastAsia="pl-PL"/>
        </w:rPr>
        <w:footnoteReference w:id="47"/>
      </w:r>
      <w:r w:rsidR="00674E00" w:rsidRPr="00237760">
        <w:rPr>
          <w:rFonts w:ascii="Arial" w:hAnsi="Arial" w:cs="Arial"/>
          <w:color w:val="auto"/>
          <w:sz w:val="24"/>
          <w:szCs w:val="24"/>
          <w:lang w:eastAsia="pl-PL"/>
        </w:rPr>
        <w:t>.</w:t>
      </w:r>
    </w:p>
    <w:p w14:paraId="198FE614" w14:textId="3978C3FE" w:rsidR="00E8625A" w:rsidRPr="00237760" w:rsidRDefault="00E8625A" w:rsidP="009367B4">
      <w:pPr>
        <w:spacing w:after="160" w:line="259" w:lineRule="auto"/>
        <w:jc w:val="left"/>
        <w:rPr>
          <w:rFonts w:ascii="Arial" w:hAnsi="Arial" w:cs="Arial"/>
          <w:color w:val="auto"/>
          <w:sz w:val="24"/>
          <w:szCs w:val="24"/>
          <w:lang w:eastAsia="pl-PL"/>
        </w:rPr>
      </w:pPr>
      <w:r w:rsidRPr="00237760">
        <w:rPr>
          <w:rFonts w:ascii="Arial" w:hAnsi="Arial" w:cs="Arial"/>
          <w:color w:val="auto"/>
          <w:sz w:val="24"/>
          <w:szCs w:val="24"/>
          <w:lang w:eastAsia="pl-PL"/>
        </w:rPr>
        <w:br w:type="page"/>
      </w:r>
    </w:p>
    <w:p w14:paraId="24F617E1" w14:textId="7B18C8F0" w:rsidR="00710815" w:rsidRPr="00237760" w:rsidRDefault="00710815" w:rsidP="009367B4">
      <w:pPr>
        <w:pStyle w:val="Nagwek2"/>
        <w:rPr>
          <w:rFonts w:ascii="Arial" w:hAnsi="Arial" w:cs="Arial"/>
          <w:color w:val="auto"/>
          <w:sz w:val="24"/>
          <w:szCs w:val="24"/>
        </w:rPr>
      </w:pPr>
      <w:bookmarkStart w:id="183" w:name="_Ref100829779"/>
      <w:bookmarkStart w:id="184" w:name="_Ref100849328"/>
      <w:bookmarkStart w:id="185" w:name="_Toc101904140"/>
      <w:bookmarkEnd w:id="182"/>
      <w:r w:rsidRPr="00237760">
        <w:rPr>
          <w:rFonts w:ascii="Arial" w:hAnsi="Arial" w:cs="Arial"/>
          <w:color w:val="auto"/>
          <w:sz w:val="24"/>
          <w:szCs w:val="24"/>
        </w:rPr>
        <w:lastRenderedPageBreak/>
        <w:t>Ocena spójności z najważniejszymi politykami i strategiami na poziomie unijnym i krajowym</w:t>
      </w:r>
      <w:bookmarkEnd w:id="183"/>
      <w:bookmarkEnd w:id="184"/>
      <w:bookmarkEnd w:id="185"/>
    </w:p>
    <w:p w14:paraId="0FFEE3BD" w14:textId="77777777" w:rsidR="00710815" w:rsidRPr="00D352FD" w:rsidRDefault="00710815" w:rsidP="00D352FD">
      <w:pPr>
        <w:pStyle w:val="Nagwek3"/>
        <w:numPr>
          <w:ilvl w:val="0"/>
          <w:numId w:val="0"/>
        </w:numPr>
        <w:ind w:left="851" w:hanging="851"/>
        <w:rPr>
          <w:rFonts w:ascii="Arial" w:hAnsi="Arial" w:cs="Arial"/>
          <w:color w:val="auto"/>
          <w:sz w:val="24"/>
          <w:szCs w:val="24"/>
        </w:rPr>
      </w:pPr>
      <w:bookmarkStart w:id="186" w:name="_Toc101904141"/>
      <w:r w:rsidRPr="00D352FD">
        <w:rPr>
          <w:rFonts w:ascii="Arial" w:hAnsi="Arial" w:cs="Arial"/>
          <w:color w:val="auto"/>
          <w:sz w:val="24"/>
          <w:szCs w:val="24"/>
        </w:rPr>
        <w:t>Synteza</w:t>
      </w:r>
      <w:bookmarkEnd w:id="186"/>
    </w:p>
    <w:p w14:paraId="40738AB3" w14:textId="77777777" w:rsidR="00710815" w:rsidRPr="00237760" w:rsidRDefault="00710815" w:rsidP="009367B4">
      <w:pPr>
        <w:jc w:val="left"/>
        <w:rPr>
          <w:rFonts w:ascii="Arial" w:hAnsi="Arial" w:cs="Arial"/>
          <w:bCs/>
          <w:iCs/>
          <w:color w:val="auto"/>
          <w:sz w:val="24"/>
          <w:szCs w:val="24"/>
        </w:rPr>
      </w:pPr>
      <w:r w:rsidRPr="00237760">
        <w:rPr>
          <w:rFonts w:ascii="Arial" w:hAnsi="Arial" w:cs="Arial"/>
          <w:color w:val="auto"/>
          <w:sz w:val="24"/>
          <w:szCs w:val="24"/>
        </w:rPr>
        <w:t>Pytanie ewaluacyjne:</w:t>
      </w:r>
      <w:r w:rsidRPr="00237760">
        <w:rPr>
          <w:rFonts w:ascii="Arial" w:hAnsi="Arial" w:cs="Arial"/>
          <w:bCs/>
          <w:iCs/>
          <w:color w:val="auto"/>
          <w:sz w:val="24"/>
          <w:szCs w:val="24"/>
        </w:rPr>
        <w:t xml:space="preserve"> </w:t>
      </w:r>
    </w:p>
    <w:p w14:paraId="2B9CC1FB" w14:textId="7D359E89" w:rsidR="00710815" w:rsidRPr="00237760" w:rsidRDefault="00710815" w:rsidP="009367B4">
      <w:pPr>
        <w:jc w:val="left"/>
        <w:rPr>
          <w:rFonts w:ascii="Arial" w:hAnsi="Arial" w:cs="Arial"/>
          <w:color w:val="auto"/>
          <w:sz w:val="24"/>
          <w:szCs w:val="24"/>
        </w:rPr>
      </w:pPr>
      <w:r w:rsidRPr="00237760">
        <w:rPr>
          <w:rFonts w:ascii="Arial" w:hAnsi="Arial" w:cs="Arial"/>
          <w:b/>
          <w:i/>
          <w:color w:val="auto"/>
          <w:sz w:val="24"/>
          <w:szCs w:val="24"/>
        </w:rPr>
        <w:t xml:space="preserve">Czy cele i kierunki rozwoju przyjęte w projekcie Programu są zgodne z najważniejszymi politykami </w:t>
      </w:r>
      <w:r w:rsidR="00C605B2" w:rsidRPr="00237760">
        <w:rPr>
          <w:rFonts w:ascii="Arial" w:hAnsi="Arial" w:cs="Arial"/>
          <w:b/>
          <w:i/>
          <w:color w:val="auto"/>
          <w:sz w:val="24"/>
          <w:szCs w:val="24"/>
        </w:rPr>
        <w:br/>
      </w:r>
      <w:r w:rsidRPr="00237760">
        <w:rPr>
          <w:rFonts w:ascii="Arial" w:hAnsi="Arial" w:cs="Arial"/>
          <w:b/>
          <w:i/>
          <w:color w:val="auto"/>
          <w:sz w:val="24"/>
          <w:szCs w:val="24"/>
        </w:rPr>
        <w:t xml:space="preserve">i strategiami na poziomie unijnym i krajowym? </w:t>
      </w:r>
    </w:p>
    <w:p w14:paraId="37CA8291" w14:textId="77777777" w:rsidR="00710815" w:rsidRPr="00237760" w:rsidRDefault="00710815" w:rsidP="009367B4">
      <w:pPr>
        <w:jc w:val="left"/>
        <w:rPr>
          <w:rFonts w:ascii="Arial" w:hAnsi="Arial" w:cs="Arial"/>
          <w:color w:val="auto"/>
          <w:sz w:val="24"/>
          <w:szCs w:val="24"/>
        </w:rPr>
      </w:pPr>
      <w:r w:rsidRPr="00237760">
        <w:rPr>
          <w:rFonts w:ascii="Arial" w:hAnsi="Arial" w:cs="Arial"/>
          <w:color w:val="auto"/>
          <w:sz w:val="24"/>
          <w:szCs w:val="24"/>
        </w:rPr>
        <w:t>Syntetyczna odpowiedź:</w:t>
      </w:r>
    </w:p>
    <w:p w14:paraId="6EFFB9FB" w14:textId="0D0FEF19" w:rsidR="00710815" w:rsidRPr="00237760" w:rsidRDefault="00710815" w:rsidP="009367B4">
      <w:pPr>
        <w:jc w:val="left"/>
        <w:rPr>
          <w:rFonts w:ascii="Arial" w:hAnsi="Arial" w:cs="Arial"/>
          <w:b/>
          <w:i/>
          <w:color w:val="auto"/>
          <w:sz w:val="24"/>
          <w:szCs w:val="24"/>
        </w:rPr>
      </w:pPr>
      <w:r w:rsidRPr="00237760">
        <w:rPr>
          <w:rFonts w:ascii="Arial" w:hAnsi="Arial" w:cs="Arial"/>
          <w:b/>
          <w:i/>
          <w:color w:val="auto"/>
          <w:sz w:val="24"/>
          <w:szCs w:val="24"/>
        </w:rPr>
        <w:t xml:space="preserve">Tak, cele i kierunki rozwoju przyjęte w Programie są zgodne z najważniejszymi politykami </w:t>
      </w:r>
      <w:r w:rsidR="00C605B2" w:rsidRPr="00237760">
        <w:rPr>
          <w:rFonts w:ascii="Arial" w:hAnsi="Arial" w:cs="Arial"/>
          <w:b/>
          <w:i/>
          <w:color w:val="auto"/>
          <w:sz w:val="24"/>
          <w:szCs w:val="24"/>
        </w:rPr>
        <w:br/>
      </w:r>
      <w:r w:rsidRPr="00237760">
        <w:rPr>
          <w:rFonts w:ascii="Arial" w:hAnsi="Arial" w:cs="Arial"/>
          <w:b/>
          <w:i/>
          <w:color w:val="auto"/>
          <w:sz w:val="24"/>
          <w:szCs w:val="24"/>
        </w:rPr>
        <w:t>i strategiami na poziomie unijnym i krajowym. Założenia każdego z analizowanych dokumentów są widoczne na poziomie kierunków rozwoju PSRT WP.</w:t>
      </w:r>
    </w:p>
    <w:p w14:paraId="638ED30F" w14:textId="77777777" w:rsidR="00710815" w:rsidRPr="00237760" w:rsidRDefault="00710815" w:rsidP="009367B4">
      <w:pPr>
        <w:pStyle w:val="Nagwek4"/>
        <w:shd w:val="clear" w:color="auto" w:fill="auto"/>
        <w:rPr>
          <w:rFonts w:ascii="Arial" w:hAnsi="Arial" w:cs="Arial"/>
          <w:color w:val="auto"/>
        </w:rPr>
      </w:pPr>
      <w:r w:rsidRPr="00237760">
        <w:rPr>
          <w:rFonts w:ascii="Arial" w:hAnsi="Arial" w:cs="Arial"/>
          <w:color w:val="auto"/>
        </w:rPr>
        <w:t xml:space="preserve"> </w:t>
      </w:r>
      <w:bookmarkStart w:id="187" w:name="_Toc101904142"/>
      <w:r w:rsidRPr="00237760">
        <w:rPr>
          <w:rFonts w:ascii="Arial" w:hAnsi="Arial" w:cs="Arial"/>
          <w:color w:val="auto"/>
        </w:rPr>
        <w:t>Analiza</w:t>
      </w:r>
      <w:bookmarkEnd w:id="187"/>
    </w:p>
    <w:p w14:paraId="171DD362" w14:textId="56650E46" w:rsidR="006C1479" w:rsidRPr="00237760" w:rsidRDefault="006C1479"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 xml:space="preserve">Wśród najważniejszych dokumentów (polityk i strategii) na poziomie unijnym i krajowym, z którymi spójny powinien być </w:t>
      </w:r>
      <w:r w:rsidR="00F311FF" w:rsidRPr="00237760">
        <w:rPr>
          <w:rFonts w:ascii="Arial" w:hAnsi="Arial" w:cs="Arial"/>
          <w:color w:val="auto"/>
          <w:sz w:val="24"/>
          <w:szCs w:val="24"/>
          <w:lang w:eastAsia="pl-PL"/>
        </w:rPr>
        <w:t>PSRT WP</w:t>
      </w:r>
      <w:r w:rsidRPr="00237760">
        <w:rPr>
          <w:rFonts w:ascii="Arial" w:hAnsi="Arial" w:cs="Arial"/>
          <w:color w:val="auto"/>
          <w:sz w:val="24"/>
          <w:szCs w:val="24"/>
          <w:lang w:eastAsia="pl-PL"/>
        </w:rPr>
        <w:t>, znajdują się:</w:t>
      </w:r>
    </w:p>
    <w:p w14:paraId="6E4312FE" w14:textId="296681DE" w:rsidR="006C1479" w:rsidRPr="00237760" w:rsidRDefault="006C1479" w:rsidP="009367B4">
      <w:pPr>
        <w:pStyle w:val="Akapitzlist"/>
        <w:numPr>
          <w:ilvl w:val="0"/>
          <w:numId w:val="47"/>
        </w:numPr>
        <w:ind w:left="426" w:hanging="357"/>
        <w:contextualSpacing/>
        <w:jc w:val="left"/>
        <w:rPr>
          <w:rFonts w:ascii="Arial" w:hAnsi="Arial" w:cs="Arial"/>
          <w:i/>
          <w:iCs/>
          <w:color w:val="auto"/>
          <w:sz w:val="24"/>
          <w:szCs w:val="24"/>
        </w:rPr>
      </w:pPr>
      <w:r w:rsidRPr="00237760">
        <w:rPr>
          <w:rFonts w:ascii="Arial" w:hAnsi="Arial" w:cs="Arial"/>
          <w:i/>
          <w:iCs/>
          <w:color w:val="auto"/>
          <w:sz w:val="24"/>
          <w:szCs w:val="24"/>
        </w:rPr>
        <w:t>Europejski Zielony Ład</w:t>
      </w:r>
      <w:r w:rsidR="00F64FED" w:rsidRPr="00237760">
        <w:rPr>
          <w:rFonts w:ascii="Arial" w:hAnsi="Arial" w:cs="Arial"/>
          <w:i/>
          <w:iCs/>
          <w:color w:val="auto"/>
          <w:sz w:val="24"/>
          <w:szCs w:val="24"/>
        </w:rPr>
        <w:t xml:space="preserve"> (</w:t>
      </w:r>
      <w:r w:rsidR="00F64FED" w:rsidRPr="00237760">
        <w:rPr>
          <w:rFonts w:ascii="Arial" w:hAnsi="Arial" w:cs="Arial"/>
          <w:i/>
          <w:color w:val="auto"/>
          <w:sz w:val="24"/>
          <w:szCs w:val="24"/>
        </w:rPr>
        <w:t>Strategia na rzecz zrównoważonej i inteligentnej mobilności)</w:t>
      </w:r>
      <w:r w:rsidRPr="00237760">
        <w:rPr>
          <w:rFonts w:ascii="Arial" w:hAnsi="Arial" w:cs="Arial"/>
          <w:i/>
          <w:iCs/>
          <w:color w:val="auto"/>
          <w:sz w:val="24"/>
          <w:szCs w:val="24"/>
        </w:rPr>
        <w:t>;</w:t>
      </w:r>
    </w:p>
    <w:p w14:paraId="1E3C838D" w14:textId="77777777" w:rsidR="006C1479" w:rsidRPr="00237760" w:rsidRDefault="006C1479" w:rsidP="009367B4">
      <w:pPr>
        <w:pStyle w:val="Akapitzlist"/>
        <w:numPr>
          <w:ilvl w:val="0"/>
          <w:numId w:val="47"/>
        </w:numPr>
        <w:ind w:left="426" w:hanging="357"/>
        <w:contextualSpacing/>
        <w:jc w:val="left"/>
        <w:rPr>
          <w:rFonts w:ascii="Arial" w:hAnsi="Arial" w:cs="Arial"/>
          <w:i/>
          <w:color w:val="auto"/>
          <w:sz w:val="24"/>
          <w:szCs w:val="24"/>
        </w:rPr>
      </w:pPr>
      <w:r w:rsidRPr="00237760">
        <w:rPr>
          <w:rFonts w:ascii="Arial" w:hAnsi="Arial" w:cs="Arial"/>
          <w:i/>
          <w:color w:val="auto"/>
          <w:sz w:val="24"/>
          <w:szCs w:val="24"/>
        </w:rPr>
        <w:t>Rozporządzenie Parlamentu Europejskiego i Rady (UE) 2021/1060 z dnia 24 czerwca 2021 r.;</w:t>
      </w:r>
    </w:p>
    <w:p w14:paraId="128F73A5" w14:textId="77777777" w:rsidR="006C1479" w:rsidRPr="00237760" w:rsidRDefault="006C1479" w:rsidP="009367B4">
      <w:pPr>
        <w:pStyle w:val="Akapitzlist"/>
        <w:numPr>
          <w:ilvl w:val="0"/>
          <w:numId w:val="47"/>
        </w:numPr>
        <w:ind w:left="426" w:hanging="357"/>
        <w:contextualSpacing/>
        <w:jc w:val="left"/>
        <w:rPr>
          <w:rFonts w:ascii="Arial" w:hAnsi="Arial" w:cs="Arial"/>
          <w:i/>
          <w:color w:val="auto"/>
          <w:sz w:val="24"/>
          <w:szCs w:val="24"/>
        </w:rPr>
      </w:pPr>
      <w:r w:rsidRPr="00237760">
        <w:rPr>
          <w:rFonts w:ascii="Arial" w:hAnsi="Arial" w:cs="Arial"/>
          <w:i/>
          <w:color w:val="auto"/>
          <w:sz w:val="24"/>
          <w:szCs w:val="24"/>
        </w:rPr>
        <w:t>Europa 2020. Strategia na rzecz inteligentnego i zrównoważonego rozwoju sprzyjającego włączeniu społecznemu, 2010;</w:t>
      </w:r>
    </w:p>
    <w:p w14:paraId="245435FE" w14:textId="77777777" w:rsidR="006C1479" w:rsidRPr="00237760" w:rsidRDefault="006C1479" w:rsidP="009367B4">
      <w:pPr>
        <w:pStyle w:val="Akapitzlist"/>
        <w:numPr>
          <w:ilvl w:val="0"/>
          <w:numId w:val="47"/>
        </w:numPr>
        <w:ind w:left="426" w:hanging="357"/>
        <w:contextualSpacing/>
        <w:jc w:val="left"/>
        <w:rPr>
          <w:rFonts w:ascii="Arial" w:hAnsi="Arial" w:cs="Arial"/>
          <w:i/>
          <w:color w:val="auto"/>
          <w:sz w:val="24"/>
          <w:szCs w:val="24"/>
        </w:rPr>
      </w:pPr>
      <w:r w:rsidRPr="00237760">
        <w:rPr>
          <w:rFonts w:ascii="Arial" w:hAnsi="Arial" w:cs="Arial"/>
          <w:i/>
          <w:color w:val="auto"/>
          <w:sz w:val="24"/>
          <w:szCs w:val="24"/>
        </w:rPr>
        <w:t>Czysta energia dla transportu: europejska strategia w zakresie paliw alternatywnych, 2013;</w:t>
      </w:r>
    </w:p>
    <w:p w14:paraId="4DA81BD4" w14:textId="77777777" w:rsidR="006C1479" w:rsidRPr="00237760" w:rsidRDefault="006C1479" w:rsidP="009367B4">
      <w:pPr>
        <w:pStyle w:val="Akapitzlist"/>
        <w:numPr>
          <w:ilvl w:val="0"/>
          <w:numId w:val="47"/>
        </w:numPr>
        <w:ind w:left="426" w:hanging="357"/>
        <w:contextualSpacing/>
        <w:jc w:val="left"/>
        <w:rPr>
          <w:rFonts w:ascii="Arial" w:hAnsi="Arial" w:cs="Arial"/>
          <w:i/>
          <w:color w:val="auto"/>
          <w:sz w:val="24"/>
          <w:szCs w:val="24"/>
        </w:rPr>
      </w:pPr>
      <w:r w:rsidRPr="00237760">
        <w:rPr>
          <w:rFonts w:ascii="Arial" w:hAnsi="Arial" w:cs="Arial"/>
          <w:i/>
          <w:color w:val="auto"/>
          <w:sz w:val="24"/>
          <w:szCs w:val="24"/>
        </w:rPr>
        <w:t>Strategia na rzecz Odpowiedzialnego Rozwoju do roku 2020 (z perspektywą do 2030 r.);</w:t>
      </w:r>
    </w:p>
    <w:p w14:paraId="45406397" w14:textId="77777777" w:rsidR="006C1479" w:rsidRPr="00237760" w:rsidRDefault="006C1479" w:rsidP="009367B4">
      <w:pPr>
        <w:pStyle w:val="Akapitzlist"/>
        <w:numPr>
          <w:ilvl w:val="0"/>
          <w:numId w:val="47"/>
        </w:numPr>
        <w:ind w:left="426" w:hanging="357"/>
        <w:contextualSpacing/>
        <w:jc w:val="left"/>
        <w:rPr>
          <w:rFonts w:ascii="Arial" w:hAnsi="Arial" w:cs="Arial"/>
          <w:i/>
          <w:color w:val="auto"/>
          <w:sz w:val="24"/>
          <w:szCs w:val="24"/>
        </w:rPr>
      </w:pPr>
      <w:r w:rsidRPr="00237760">
        <w:rPr>
          <w:rFonts w:ascii="Arial" w:hAnsi="Arial" w:cs="Arial"/>
          <w:i/>
          <w:color w:val="auto"/>
          <w:sz w:val="24"/>
          <w:szCs w:val="24"/>
        </w:rPr>
        <w:t>Krajowy Plan Odbudowy i Zwiększania Odporności, 2021;</w:t>
      </w:r>
    </w:p>
    <w:p w14:paraId="52396DF3" w14:textId="77777777" w:rsidR="006C1479" w:rsidRPr="00237760" w:rsidRDefault="006C1479" w:rsidP="009367B4">
      <w:pPr>
        <w:pStyle w:val="Akapitzlist"/>
        <w:numPr>
          <w:ilvl w:val="0"/>
          <w:numId w:val="47"/>
        </w:numPr>
        <w:ind w:left="426" w:hanging="357"/>
        <w:contextualSpacing/>
        <w:jc w:val="left"/>
        <w:rPr>
          <w:rFonts w:ascii="Arial" w:hAnsi="Arial" w:cs="Arial"/>
          <w:color w:val="auto"/>
          <w:sz w:val="24"/>
          <w:szCs w:val="24"/>
        </w:rPr>
      </w:pPr>
      <w:r w:rsidRPr="00237760">
        <w:rPr>
          <w:rFonts w:ascii="Arial" w:hAnsi="Arial" w:cs="Arial"/>
          <w:i/>
          <w:color w:val="auto"/>
          <w:sz w:val="24"/>
          <w:szCs w:val="24"/>
        </w:rPr>
        <w:t>Krajowa Strategii Rozwoju Regionalnego 2030</w:t>
      </w:r>
      <w:r w:rsidRPr="00237760">
        <w:rPr>
          <w:rFonts w:ascii="Arial" w:hAnsi="Arial" w:cs="Arial"/>
          <w:color w:val="auto"/>
          <w:sz w:val="24"/>
          <w:szCs w:val="24"/>
        </w:rPr>
        <w:t>;</w:t>
      </w:r>
    </w:p>
    <w:p w14:paraId="067AA721" w14:textId="775B137E" w:rsidR="00F64FED" w:rsidRPr="00237760" w:rsidRDefault="00F64FED" w:rsidP="009367B4">
      <w:pPr>
        <w:pStyle w:val="Akapitzlist"/>
        <w:numPr>
          <w:ilvl w:val="0"/>
          <w:numId w:val="47"/>
        </w:numPr>
        <w:ind w:left="426" w:hanging="357"/>
        <w:contextualSpacing/>
        <w:jc w:val="left"/>
        <w:rPr>
          <w:rFonts w:ascii="Arial" w:hAnsi="Arial" w:cs="Arial"/>
          <w:color w:val="auto"/>
          <w:sz w:val="24"/>
          <w:szCs w:val="24"/>
        </w:rPr>
      </w:pPr>
      <w:r w:rsidRPr="00237760">
        <w:rPr>
          <w:rFonts w:ascii="Arial" w:hAnsi="Arial" w:cs="Arial"/>
          <w:color w:val="auto"/>
          <w:sz w:val="24"/>
          <w:szCs w:val="24"/>
        </w:rPr>
        <w:t>8 strategii sektorowych, czyli:</w:t>
      </w:r>
    </w:p>
    <w:p w14:paraId="2A6A52A3" w14:textId="07B606F6" w:rsidR="00F64FED" w:rsidRPr="00237760" w:rsidRDefault="00F64FED" w:rsidP="009367B4">
      <w:pPr>
        <w:pStyle w:val="Akapitzlist"/>
        <w:numPr>
          <w:ilvl w:val="0"/>
          <w:numId w:val="48"/>
        </w:numPr>
        <w:ind w:hanging="357"/>
        <w:contextualSpacing/>
        <w:jc w:val="left"/>
        <w:rPr>
          <w:rFonts w:ascii="Arial" w:hAnsi="Arial" w:cs="Arial"/>
          <w:i/>
          <w:color w:val="auto"/>
          <w:sz w:val="24"/>
          <w:szCs w:val="24"/>
        </w:rPr>
      </w:pPr>
      <w:r w:rsidRPr="00237760">
        <w:rPr>
          <w:rFonts w:ascii="Arial" w:hAnsi="Arial" w:cs="Arial"/>
          <w:i/>
          <w:color w:val="auto"/>
          <w:sz w:val="24"/>
          <w:szCs w:val="24"/>
        </w:rPr>
        <w:t>Polityka Energetyczna Polski do 2040 r.</w:t>
      </w:r>
      <w:r w:rsidR="00840648" w:rsidRPr="00237760">
        <w:rPr>
          <w:rFonts w:ascii="Arial" w:hAnsi="Arial" w:cs="Arial"/>
          <w:i/>
          <w:color w:val="auto"/>
          <w:sz w:val="24"/>
          <w:szCs w:val="24"/>
        </w:rPr>
        <w:t>,</w:t>
      </w:r>
    </w:p>
    <w:p w14:paraId="4BF11327" w14:textId="6D35B5ED" w:rsidR="00F64FED" w:rsidRPr="00237760" w:rsidRDefault="00F64FED" w:rsidP="009367B4">
      <w:pPr>
        <w:pStyle w:val="Akapitzlist"/>
        <w:numPr>
          <w:ilvl w:val="0"/>
          <w:numId w:val="48"/>
        </w:numPr>
        <w:ind w:hanging="357"/>
        <w:contextualSpacing/>
        <w:jc w:val="left"/>
        <w:rPr>
          <w:rFonts w:ascii="Arial" w:hAnsi="Arial" w:cs="Arial"/>
          <w:i/>
          <w:color w:val="auto"/>
          <w:sz w:val="24"/>
          <w:szCs w:val="24"/>
        </w:rPr>
      </w:pPr>
      <w:r w:rsidRPr="00237760">
        <w:rPr>
          <w:rFonts w:ascii="Arial" w:hAnsi="Arial" w:cs="Arial"/>
          <w:i/>
          <w:color w:val="auto"/>
          <w:sz w:val="24"/>
          <w:szCs w:val="24"/>
        </w:rPr>
        <w:t>Strategia Sprawne i Nowoczesne Państwo 2030</w:t>
      </w:r>
      <w:r w:rsidR="00840648" w:rsidRPr="00237760">
        <w:rPr>
          <w:rFonts w:ascii="Arial" w:hAnsi="Arial" w:cs="Arial"/>
          <w:i/>
          <w:color w:val="auto"/>
          <w:sz w:val="24"/>
          <w:szCs w:val="24"/>
        </w:rPr>
        <w:t>,</w:t>
      </w:r>
    </w:p>
    <w:p w14:paraId="7A789422" w14:textId="40912588" w:rsidR="00F64FED" w:rsidRPr="00237760" w:rsidRDefault="00F64FED" w:rsidP="009367B4">
      <w:pPr>
        <w:pStyle w:val="Akapitzlist"/>
        <w:numPr>
          <w:ilvl w:val="0"/>
          <w:numId w:val="48"/>
        </w:numPr>
        <w:ind w:hanging="357"/>
        <w:contextualSpacing/>
        <w:jc w:val="left"/>
        <w:rPr>
          <w:rFonts w:ascii="Arial" w:hAnsi="Arial" w:cs="Arial"/>
          <w:i/>
          <w:color w:val="auto"/>
          <w:sz w:val="24"/>
          <w:szCs w:val="24"/>
        </w:rPr>
      </w:pPr>
      <w:r w:rsidRPr="00237760">
        <w:rPr>
          <w:rFonts w:ascii="Arial" w:hAnsi="Arial" w:cs="Arial"/>
          <w:i/>
          <w:color w:val="auto"/>
          <w:sz w:val="24"/>
          <w:szCs w:val="24"/>
        </w:rPr>
        <w:t>Strategia Produktywności 2030</w:t>
      </w:r>
      <w:r w:rsidR="00840648" w:rsidRPr="00237760">
        <w:rPr>
          <w:rFonts w:ascii="Arial" w:hAnsi="Arial" w:cs="Arial"/>
          <w:i/>
          <w:color w:val="auto"/>
          <w:sz w:val="24"/>
          <w:szCs w:val="24"/>
        </w:rPr>
        <w:t>,</w:t>
      </w:r>
    </w:p>
    <w:p w14:paraId="7ED7DBCD" w14:textId="1B59A38E" w:rsidR="00F64FED" w:rsidRPr="00237760" w:rsidRDefault="00F64FED" w:rsidP="009367B4">
      <w:pPr>
        <w:pStyle w:val="Akapitzlist"/>
        <w:numPr>
          <w:ilvl w:val="0"/>
          <w:numId w:val="48"/>
        </w:numPr>
        <w:ind w:hanging="357"/>
        <w:contextualSpacing/>
        <w:jc w:val="left"/>
        <w:rPr>
          <w:rFonts w:ascii="Arial" w:hAnsi="Arial" w:cs="Arial"/>
          <w:i/>
          <w:color w:val="auto"/>
          <w:sz w:val="24"/>
          <w:szCs w:val="24"/>
        </w:rPr>
      </w:pPr>
      <w:r w:rsidRPr="00237760">
        <w:rPr>
          <w:rFonts w:ascii="Arial" w:hAnsi="Arial" w:cs="Arial"/>
          <w:i/>
          <w:color w:val="auto"/>
          <w:sz w:val="24"/>
          <w:szCs w:val="24"/>
        </w:rPr>
        <w:t>Strategia Rozwoju Kapitału Ludzkiego 2030</w:t>
      </w:r>
      <w:r w:rsidR="00840648" w:rsidRPr="00237760">
        <w:rPr>
          <w:rFonts w:ascii="Arial" w:hAnsi="Arial" w:cs="Arial"/>
          <w:i/>
          <w:color w:val="auto"/>
          <w:sz w:val="24"/>
          <w:szCs w:val="24"/>
        </w:rPr>
        <w:t>,</w:t>
      </w:r>
    </w:p>
    <w:p w14:paraId="3A1846A0" w14:textId="58E44D8F" w:rsidR="00F64FED" w:rsidRPr="00237760" w:rsidRDefault="00F64FED" w:rsidP="009367B4">
      <w:pPr>
        <w:pStyle w:val="Akapitzlist"/>
        <w:numPr>
          <w:ilvl w:val="0"/>
          <w:numId w:val="48"/>
        </w:numPr>
        <w:ind w:hanging="357"/>
        <w:contextualSpacing/>
        <w:jc w:val="left"/>
        <w:rPr>
          <w:rFonts w:ascii="Arial" w:hAnsi="Arial" w:cs="Arial"/>
          <w:i/>
          <w:color w:val="auto"/>
          <w:sz w:val="24"/>
          <w:szCs w:val="24"/>
        </w:rPr>
      </w:pPr>
      <w:r w:rsidRPr="00237760">
        <w:rPr>
          <w:rFonts w:ascii="Arial" w:hAnsi="Arial" w:cs="Arial"/>
          <w:i/>
          <w:color w:val="auto"/>
          <w:sz w:val="24"/>
          <w:szCs w:val="24"/>
        </w:rPr>
        <w:t>Strategia Bezpieczeństwa Narodowego Rzeczypospolitej Polskiej 2020</w:t>
      </w:r>
      <w:r w:rsidR="00840648" w:rsidRPr="00237760">
        <w:rPr>
          <w:rFonts w:ascii="Arial" w:hAnsi="Arial" w:cs="Arial"/>
          <w:i/>
          <w:color w:val="auto"/>
          <w:sz w:val="24"/>
          <w:szCs w:val="24"/>
        </w:rPr>
        <w:t>,</w:t>
      </w:r>
    </w:p>
    <w:p w14:paraId="505A4B68" w14:textId="49805206" w:rsidR="00F64FED" w:rsidRPr="00237760" w:rsidRDefault="00F64FED" w:rsidP="009367B4">
      <w:pPr>
        <w:pStyle w:val="Akapitzlist"/>
        <w:numPr>
          <w:ilvl w:val="0"/>
          <w:numId w:val="48"/>
        </w:numPr>
        <w:ind w:hanging="357"/>
        <w:contextualSpacing/>
        <w:jc w:val="left"/>
        <w:rPr>
          <w:rFonts w:ascii="Arial" w:hAnsi="Arial" w:cs="Arial"/>
          <w:i/>
          <w:color w:val="auto"/>
          <w:sz w:val="24"/>
          <w:szCs w:val="24"/>
        </w:rPr>
      </w:pPr>
      <w:r w:rsidRPr="00237760">
        <w:rPr>
          <w:rFonts w:ascii="Arial" w:hAnsi="Arial" w:cs="Arial"/>
          <w:i/>
          <w:color w:val="auto"/>
          <w:sz w:val="24"/>
          <w:szCs w:val="24"/>
        </w:rPr>
        <w:t>Strategia Rozwoju Kapitału Społecznego 2030</w:t>
      </w:r>
      <w:r w:rsidR="00840648" w:rsidRPr="00237760">
        <w:rPr>
          <w:rFonts w:ascii="Arial" w:hAnsi="Arial" w:cs="Arial"/>
          <w:i/>
          <w:color w:val="auto"/>
          <w:sz w:val="24"/>
          <w:szCs w:val="24"/>
        </w:rPr>
        <w:t>,</w:t>
      </w:r>
    </w:p>
    <w:p w14:paraId="330BA21C" w14:textId="5AD7794F" w:rsidR="00F64FED" w:rsidRPr="00237760" w:rsidRDefault="00F64FED" w:rsidP="009367B4">
      <w:pPr>
        <w:pStyle w:val="Akapitzlist"/>
        <w:numPr>
          <w:ilvl w:val="0"/>
          <w:numId w:val="48"/>
        </w:numPr>
        <w:ind w:hanging="357"/>
        <w:contextualSpacing/>
        <w:jc w:val="left"/>
        <w:rPr>
          <w:rFonts w:ascii="Arial" w:hAnsi="Arial" w:cs="Arial"/>
          <w:i/>
          <w:color w:val="auto"/>
          <w:sz w:val="24"/>
          <w:szCs w:val="24"/>
        </w:rPr>
      </w:pPr>
      <w:r w:rsidRPr="00237760">
        <w:rPr>
          <w:rFonts w:ascii="Arial" w:hAnsi="Arial" w:cs="Arial"/>
          <w:i/>
          <w:color w:val="auto"/>
          <w:sz w:val="24"/>
          <w:szCs w:val="24"/>
        </w:rPr>
        <w:t>Strategia Zrównoważonego Rozwoju Wsi, Rolnictwa i Rybactwa 2030</w:t>
      </w:r>
      <w:r w:rsidR="00840648" w:rsidRPr="00237760">
        <w:rPr>
          <w:rFonts w:ascii="Arial" w:hAnsi="Arial" w:cs="Arial"/>
          <w:i/>
          <w:color w:val="auto"/>
          <w:sz w:val="24"/>
          <w:szCs w:val="24"/>
        </w:rPr>
        <w:t>,</w:t>
      </w:r>
    </w:p>
    <w:p w14:paraId="6056D108" w14:textId="1755B055" w:rsidR="00F64FED" w:rsidRPr="00237760" w:rsidRDefault="00F64FED" w:rsidP="009367B4">
      <w:pPr>
        <w:pStyle w:val="Akapitzlist"/>
        <w:numPr>
          <w:ilvl w:val="0"/>
          <w:numId w:val="48"/>
        </w:numPr>
        <w:ind w:hanging="357"/>
        <w:contextualSpacing/>
        <w:jc w:val="left"/>
        <w:rPr>
          <w:rFonts w:ascii="Arial" w:hAnsi="Arial" w:cs="Arial"/>
          <w:color w:val="auto"/>
          <w:sz w:val="24"/>
          <w:szCs w:val="24"/>
        </w:rPr>
      </w:pPr>
      <w:r w:rsidRPr="00237760">
        <w:rPr>
          <w:rFonts w:ascii="Arial" w:hAnsi="Arial" w:cs="Arial"/>
          <w:i/>
          <w:color w:val="auto"/>
          <w:sz w:val="24"/>
          <w:szCs w:val="24"/>
        </w:rPr>
        <w:t>Polityki Ekologicznej Polski 2030</w:t>
      </w:r>
      <w:r w:rsidR="00840648" w:rsidRPr="00237760">
        <w:rPr>
          <w:rFonts w:ascii="Arial" w:hAnsi="Arial" w:cs="Arial"/>
          <w:color w:val="auto"/>
          <w:sz w:val="24"/>
          <w:szCs w:val="24"/>
        </w:rPr>
        <w:t>,</w:t>
      </w:r>
    </w:p>
    <w:p w14:paraId="003BD1CE" w14:textId="77777777" w:rsidR="006C1479" w:rsidRPr="00237760" w:rsidRDefault="006C1479" w:rsidP="009367B4">
      <w:pPr>
        <w:pStyle w:val="Akapitzlist"/>
        <w:numPr>
          <w:ilvl w:val="0"/>
          <w:numId w:val="47"/>
        </w:numPr>
        <w:ind w:left="426" w:hanging="357"/>
        <w:contextualSpacing/>
        <w:jc w:val="left"/>
        <w:rPr>
          <w:rFonts w:ascii="Arial" w:hAnsi="Arial" w:cs="Arial"/>
          <w:color w:val="auto"/>
          <w:sz w:val="24"/>
          <w:szCs w:val="24"/>
        </w:rPr>
      </w:pPr>
      <w:r w:rsidRPr="00237760">
        <w:rPr>
          <w:rFonts w:ascii="Arial" w:hAnsi="Arial" w:cs="Arial"/>
          <w:i/>
          <w:color w:val="auto"/>
          <w:sz w:val="24"/>
          <w:szCs w:val="24"/>
        </w:rPr>
        <w:lastRenderedPageBreak/>
        <w:t>Strategia Zrównoważonego Rozwoju Transportu do 2030</w:t>
      </w:r>
      <w:r w:rsidRPr="00237760">
        <w:rPr>
          <w:rFonts w:ascii="Arial" w:hAnsi="Arial" w:cs="Arial"/>
          <w:color w:val="auto"/>
          <w:sz w:val="24"/>
          <w:szCs w:val="24"/>
        </w:rPr>
        <w:t xml:space="preserve"> r.;</w:t>
      </w:r>
    </w:p>
    <w:p w14:paraId="11EC8D1A" w14:textId="1EDBF87C" w:rsidR="006C1479" w:rsidRPr="00237760" w:rsidRDefault="006C1479" w:rsidP="009367B4">
      <w:pPr>
        <w:pStyle w:val="Akapitzlist"/>
        <w:numPr>
          <w:ilvl w:val="0"/>
          <w:numId w:val="47"/>
        </w:numPr>
        <w:ind w:left="426" w:hanging="357"/>
        <w:contextualSpacing/>
        <w:jc w:val="left"/>
        <w:rPr>
          <w:rFonts w:ascii="Arial" w:hAnsi="Arial" w:cs="Arial"/>
          <w:color w:val="auto"/>
          <w:sz w:val="24"/>
          <w:szCs w:val="24"/>
        </w:rPr>
      </w:pPr>
      <w:r w:rsidRPr="00237760">
        <w:rPr>
          <w:rFonts w:ascii="Arial" w:hAnsi="Arial" w:cs="Arial"/>
          <w:i/>
          <w:color w:val="auto"/>
          <w:sz w:val="24"/>
          <w:szCs w:val="24"/>
        </w:rPr>
        <w:t>Dokument Implementacyjny do Strategii Rozwoju Transportu do 2020 r.</w:t>
      </w:r>
      <w:r w:rsidRPr="00237760">
        <w:rPr>
          <w:rFonts w:ascii="Arial" w:hAnsi="Arial" w:cs="Arial"/>
          <w:color w:val="auto"/>
          <w:sz w:val="24"/>
          <w:szCs w:val="24"/>
        </w:rPr>
        <w:t xml:space="preserve"> (z perspektywą do 2030</w:t>
      </w:r>
      <w:r w:rsidR="00840648" w:rsidRPr="00237760">
        <w:rPr>
          <w:rFonts w:ascii="Arial" w:hAnsi="Arial" w:cs="Arial"/>
          <w:color w:val="auto"/>
          <w:sz w:val="24"/>
          <w:szCs w:val="24"/>
        </w:rPr>
        <w:t> </w:t>
      </w:r>
      <w:r w:rsidRPr="00237760">
        <w:rPr>
          <w:rFonts w:ascii="Arial" w:hAnsi="Arial" w:cs="Arial"/>
          <w:color w:val="auto"/>
          <w:sz w:val="24"/>
          <w:szCs w:val="24"/>
        </w:rPr>
        <w:t>r.), 2014;</w:t>
      </w:r>
    </w:p>
    <w:p w14:paraId="3AEDD9F1" w14:textId="77777777" w:rsidR="006C1479" w:rsidRPr="00237760" w:rsidRDefault="006C1479" w:rsidP="009367B4">
      <w:pPr>
        <w:pStyle w:val="Akapitzlist"/>
        <w:numPr>
          <w:ilvl w:val="0"/>
          <w:numId w:val="47"/>
        </w:numPr>
        <w:ind w:left="426" w:hanging="357"/>
        <w:contextualSpacing/>
        <w:jc w:val="left"/>
        <w:rPr>
          <w:rFonts w:ascii="Arial" w:hAnsi="Arial" w:cs="Arial"/>
          <w:color w:val="auto"/>
          <w:sz w:val="24"/>
          <w:szCs w:val="24"/>
        </w:rPr>
      </w:pPr>
      <w:r w:rsidRPr="00237760">
        <w:rPr>
          <w:rFonts w:ascii="Arial" w:hAnsi="Arial" w:cs="Arial"/>
          <w:i/>
          <w:color w:val="auto"/>
          <w:sz w:val="24"/>
          <w:szCs w:val="24"/>
        </w:rPr>
        <w:t>Krajowy Program Kolejowy do 2023 roku</w:t>
      </w:r>
      <w:r w:rsidRPr="00237760">
        <w:rPr>
          <w:rFonts w:ascii="Arial" w:hAnsi="Arial" w:cs="Arial"/>
          <w:color w:val="auto"/>
          <w:sz w:val="24"/>
          <w:szCs w:val="24"/>
        </w:rPr>
        <w:t>, 2015;</w:t>
      </w:r>
    </w:p>
    <w:p w14:paraId="51CEBCEF" w14:textId="77777777" w:rsidR="006C1479" w:rsidRPr="00237760" w:rsidRDefault="006C1479" w:rsidP="009367B4">
      <w:pPr>
        <w:pStyle w:val="Akapitzlist"/>
        <w:numPr>
          <w:ilvl w:val="0"/>
          <w:numId w:val="47"/>
        </w:numPr>
        <w:ind w:left="426" w:hanging="357"/>
        <w:contextualSpacing/>
        <w:jc w:val="left"/>
        <w:rPr>
          <w:rFonts w:ascii="Arial" w:hAnsi="Arial" w:cs="Arial"/>
          <w:color w:val="auto"/>
          <w:sz w:val="24"/>
          <w:szCs w:val="24"/>
        </w:rPr>
      </w:pPr>
      <w:r w:rsidRPr="00237760">
        <w:rPr>
          <w:rFonts w:ascii="Arial" w:hAnsi="Arial" w:cs="Arial"/>
          <w:i/>
          <w:color w:val="auto"/>
          <w:sz w:val="24"/>
          <w:szCs w:val="24"/>
        </w:rPr>
        <w:t>Program Budowy Dróg Krajowych na lata 2014-2023 (z perspektywą do 2025 r.)</w:t>
      </w:r>
      <w:r w:rsidRPr="00237760">
        <w:rPr>
          <w:rFonts w:ascii="Arial" w:hAnsi="Arial" w:cs="Arial"/>
          <w:color w:val="auto"/>
          <w:sz w:val="24"/>
          <w:szCs w:val="24"/>
        </w:rPr>
        <w:t>;</w:t>
      </w:r>
    </w:p>
    <w:p w14:paraId="56F05FA7" w14:textId="7411F99C" w:rsidR="0019119B" w:rsidRPr="00237760" w:rsidRDefault="0019119B" w:rsidP="009367B4">
      <w:pPr>
        <w:pStyle w:val="Akapitzlist"/>
        <w:numPr>
          <w:ilvl w:val="0"/>
          <w:numId w:val="47"/>
        </w:numPr>
        <w:ind w:left="426" w:hanging="357"/>
        <w:contextualSpacing/>
        <w:jc w:val="left"/>
        <w:rPr>
          <w:rFonts w:ascii="Arial" w:hAnsi="Arial" w:cs="Arial"/>
          <w:color w:val="auto"/>
          <w:sz w:val="24"/>
          <w:szCs w:val="24"/>
        </w:rPr>
      </w:pPr>
      <w:r w:rsidRPr="00237760">
        <w:rPr>
          <w:rFonts w:ascii="Arial" w:hAnsi="Arial" w:cs="Arial"/>
          <w:i/>
          <w:color w:val="auto"/>
          <w:sz w:val="24"/>
          <w:szCs w:val="24"/>
        </w:rPr>
        <w:t>Program Budowy Dróg Krajowych do 2030 r</w:t>
      </w:r>
      <w:r w:rsidRPr="00237760">
        <w:rPr>
          <w:rFonts w:ascii="Arial" w:hAnsi="Arial" w:cs="Arial"/>
          <w:color w:val="auto"/>
          <w:sz w:val="24"/>
          <w:szCs w:val="24"/>
        </w:rPr>
        <w:t xml:space="preserve">. </w:t>
      </w:r>
      <w:r w:rsidRPr="00237760">
        <w:rPr>
          <w:rFonts w:ascii="Arial" w:hAnsi="Arial" w:cs="Arial"/>
          <w:i/>
          <w:color w:val="auto"/>
          <w:sz w:val="24"/>
          <w:szCs w:val="24"/>
        </w:rPr>
        <w:t>(z perspektywą do 2033 r.);</w:t>
      </w:r>
    </w:p>
    <w:p w14:paraId="03330CB2" w14:textId="77777777" w:rsidR="006C1479" w:rsidRPr="00237760" w:rsidRDefault="006C1479" w:rsidP="009367B4">
      <w:pPr>
        <w:pStyle w:val="Akapitzlist"/>
        <w:numPr>
          <w:ilvl w:val="0"/>
          <w:numId w:val="47"/>
        </w:numPr>
        <w:ind w:left="426" w:hanging="357"/>
        <w:contextualSpacing/>
        <w:jc w:val="left"/>
        <w:rPr>
          <w:rFonts w:ascii="Arial" w:hAnsi="Arial" w:cs="Arial"/>
          <w:i/>
          <w:color w:val="auto"/>
          <w:sz w:val="24"/>
          <w:szCs w:val="24"/>
        </w:rPr>
      </w:pPr>
      <w:r w:rsidRPr="00237760">
        <w:rPr>
          <w:rFonts w:ascii="Arial" w:hAnsi="Arial" w:cs="Arial"/>
          <w:i/>
          <w:color w:val="auto"/>
          <w:sz w:val="24"/>
          <w:szCs w:val="24"/>
        </w:rPr>
        <w:t xml:space="preserve">Narodowy Program Bezpieczeństwa Ruchu Drogowego 2021-2030; </w:t>
      </w:r>
    </w:p>
    <w:p w14:paraId="587AC368" w14:textId="77777777" w:rsidR="006C1479" w:rsidRPr="00237760" w:rsidRDefault="006C1479" w:rsidP="009367B4">
      <w:pPr>
        <w:pStyle w:val="Akapitzlist"/>
        <w:numPr>
          <w:ilvl w:val="0"/>
          <w:numId w:val="47"/>
        </w:numPr>
        <w:ind w:left="426" w:hanging="357"/>
        <w:contextualSpacing/>
        <w:jc w:val="left"/>
        <w:rPr>
          <w:rFonts w:ascii="Arial" w:hAnsi="Arial" w:cs="Arial"/>
          <w:color w:val="auto"/>
          <w:sz w:val="24"/>
          <w:szCs w:val="24"/>
        </w:rPr>
      </w:pPr>
      <w:r w:rsidRPr="00237760">
        <w:rPr>
          <w:rFonts w:ascii="Arial" w:hAnsi="Arial" w:cs="Arial"/>
          <w:i/>
          <w:color w:val="auto"/>
          <w:sz w:val="24"/>
          <w:szCs w:val="24"/>
        </w:rPr>
        <w:t>Krajowy plan na rzecz energii i klimatu na lata 2021-2030</w:t>
      </w:r>
      <w:r w:rsidRPr="00237760">
        <w:rPr>
          <w:rFonts w:ascii="Arial" w:hAnsi="Arial" w:cs="Arial"/>
          <w:color w:val="auto"/>
          <w:sz w:val="24"/>
          <w:szCs w:val="24"/>
        </w:rPr>
        <w:t>;</w:t>
      </w:r>
    </w:p>
    <w:p w14:paraId="78A75634" w14:textId="77777777" w:rsidR="006C1479" w:rsidRPr="00237760" w:rsidRDefault="006C1479" w:rsidP="009367B4">
      <w:pPr>
        <w:pStyle w:val="Akapitzlist"/>
        <w:numPr>
          <w:ilvl w:val="0"/>
          <w:numId w:val="47"/>
        </w:numPr>
        <w:ind w:left="426" w:hanging="357"/>
        <w:contextualSpacing/>
        <w:jc w:val="left"/>
        <w:rPr>
          <w:rFonts w:ascii="Arial" w:hAnsi="Arial" w:cs="Arial"/>
          <w:color w:val="auto"/>
          <w:sz w:val="24"/>
          <w:szCs w:val="24"/>
        </w:rPr>
      </w:pPr>
      <w:r w:rsidRPr="00237760">
        <w:rPr>
          <w:rFonts w:ascii="Arial" w:hAnsi="Arial" w:cs="Arial"/>
          <w:i/>
          <w:color w:val="auto"/>
          <w:sz w:val="24"/>
          <w:szCs w:val="24"/>
        </w:rPr>
        <w:t>Kontrakt Terytorialny dla Województwa Podkarpackiego</w:t>
      </w:r>
      <w:r w:rsidRPr="00237760">
        <w:rPr>
          <w:rFonts w:ascii="Arial" w:hAnsi="Arial" w:cs="Arial"/>
          <w:color w:val="auto"/>
          <w:sz w:val="24"/>
          <w:szCs w:val="24"/>
        </w:rPr>
        <w:t>, 2014;</w:t>
      </w:r>
    </w:p>
    <w:p w14:paraId="0F3E48F7" w14:textId="4B0D43D7" w:rsidR="0019119B" w:rsidRPr="00237760" w:rsidRDefault="0019119B" w:rsidP="009367B4">
      <w:pPr>
        <w:pStyle w:val="Akapitzlist"/>
        <w:numPr>
          <w:ilvl w:val="0"/>
          <w:numId w:val="47"/>
        </w:numPr>
        <w:ind w:left="426" w:hanging="357"/>
        <w:contextualSpacing/>
        <w:jc w:val="left"/>
        <w:rPr>
          <w:rFonts w:ascii="Arial" w:hAnsi="Arial" w:cs="Arial"/>
          <w:color w:val="auto"/>
          <w:sz w:val="24"/>
          <w:szCs w:val="24"/>
        </w:rPr>
      </w:pPr>
      <w:r w:rsidRPr="00237760">
        <w:rPr>
          <w:rFonts w:ascii="Arial" w:hAnsi="Arial" w:cs="Arial"/>
          <w:i/>
          <w:color w:val="auto"/>
          <w:sz w:val="24"/>
          <w:szCs w:val="24"/>
        </w:rPr>
        <w:t xml:space="preserve">Kontrakt Programowy dla Województwa Podkarpackiego, </w:t>
      </w:r>
      <w:r w:rsidRPr="00237760">
        <w:rPr>
          <w:rFonts w:ascii="Arial" w:hAnsi="Arial" w:cs="Arial"/>
          <w:color w:val="auto"/>
          <w:sz w:val="24"/>
          <w:szCs w:val="24"/>
        </w:rPr>
        <w:t>2022;</w:t>
      </w:r>
    </w:p>
    <w:p w14:paraId="73C1DEFB" w14:textId="77777777" w:rsidR="006C1479" w:rsidRPr="00237760" w:rsidRDefault="006C1479" w:rsidP="009367B4">
      <w:pPr>
        <w:pStyle w:val="Akapitzlist"/>
        <w:numPr>
          <w:ilvl w:val="0"/>
          <w:numId w:val="47"/>
        </w:numPr>
        <w:ind w:left="426" w:hanging="357"/>
        <w:contextualSpacing/>
        <w:jc w:val="left"/>
        <w:rPr>
          <w:rFonts w:ascii="Arial" w:hAnsi="Arial" w:cs="Arial"/>
          <w:color w:val="auto"/>
          <w:sz w:val="24"/>
          <w:szCs w:val="24"/>
        </w:rPr>
      </w:pPr>
      <w:r w:rsidRPr="00237760">
        <w:rPr>
          <w:rFonts w:ascii="Arial" w:hAnsi="Arial" w:cs="Arial"/>
          <w:color w:val="auto"/>
          <w:sz w:val="24"/>
          <w:szCs w:val="24"/>
        </w:rPr>
        <w:t>oraz 6 programów operacyjnych na lata 2021-2027 dla Polski:</w:t>
      </w:r>
    </w:p>
    <w:p w14:paraId="6F9440FC" w14:textId="77D8647E" w:rsidR="006C1479" w:rsidRPr="00237760" w:rsidRDefault="006C1479" w:rsidP="009367B4">
      <w:pPr>
        <w:pStyle w:val="Akapitzlist"/>
        <w:numPr>
          <w:ilvl w:val="0"/>
          <w:numId w:val="49"/>
        </w:numPr>
        <w:ind w:hanging="357"/>
        <w:contextualSpacing/>
        <w:jc w:val="left"/>
        <w:rPr>
          <w:rFonts w:ascii="Arial" w:hAnsi="Arial" w:cs="Arial"/>
          <w:i/>
          <w:color w:val="auto"/>
          <w:sz w:val="24"/>
          <w:szCs w:val="24"/>
        </w:rPr>
      </w:pPr>
      <w:r w:rsidRPr="00237760">
        <w:rPr>
          <w:rFonts w:ascii="Arial" w:hAnsi="Arial" w:cs="Arial"/>
          <w:i/>
          <w:color w:val="auto"/>
          <w:sz w:val="24"/>
          <w:szCs w:val="24"/>
        </w:rPr>
        <w:t>Fundusze Europejskie na Rozwój Cyfrowy</w:t>
      </w:r>
      <w:r w:rsidR="00840648" w:rsidRPr="00237760">
        <w:rPr>
          <w:rFonts w:ascii="Arial" w:hAnsi="Arial" w:cs="Arial"/>
          <w:i/>
          <w:color w:val="auto"/>
          <w:sz w:val="24"/>
          <w:szCs w:val="24"/>
        </w:rPr>
        <w:t>,</w:t>
      </w:r>
    </w:p>
    <w:p w14:paraId="258E02DA" w14:textId="43941F7F" w:rsidR="006C1479" w:rsidRPr="00237760" w:rsidRDefault="006C1479" w:rsidP="009367B4">
      <w:pPr>
        <w:pStyle w:val="Akapitzlist"/>
        <w:numPr>
          <w:ilvl w:val="0"/>
          <w:numId w:val="49"/>
        </w:numPr>
        <w:ind w:hanging="357"/>
        <w:contextualSpacing/>
        <w:jc w:val="left"/>
        <w:rPr>
          <w:rFonts w:ascii="Arial" w:hAnsi="Arial" w:cs="Arial"/>
          <w:i/>
          <w:color w:val="auto"/>
          <w:sz w:val="24"/>
          <w:szCs w:val="24"/>
        </w:rPr>
      </w:pPr>
      <w:r w:rsidRPr="00237760">
        <w:rPr>
          <w:rFonts w:ascii="Arial" w:hAnsi="Arial" w:cs="Arial"/>
          <w:i/>
          <w:color w:val="auto"/>
          <w:sz w:val="24"/>
          <w:szCs w:val="24"/>
        </w:rPr>
        <w:t>Fundusze Europejskie dla Rozwoju Społecznego</w:t>
      </w:r>
      <w:r w:rsidR="00840648" w:rsidRPr="00237760">
        <w:rPr>
          <w:rFonts w:ascii="Arial" w:hAnsi="Arial" w:cs="Arial"/>
          <w:i/>
          <w:color w:val="auto"/>
          <w:sz w:val="24"/>
          <w:szCs w:val="24"/>
        </w:rPr>
        <w:t>,</w:t>
      </w:r>
    </w:p>
    <w:p w14:paraId="5410300C" w14:textId="2489305E" w:rsidR="006C1479" w:rsidRPr="00237760" w:rsidRDefault="006C1479" w:rsidP="009367B4">
      <w:pPr>
        <w:pStyle w:val="Akapitzlist"/>
        <w:numPr>
          <w:ilvl w:val="0"/>
          <w:numId w:val="49"/>
        </w:numPr>
        <w:ind w:hanging="357"/>
        <w:contextualSpacing/>
        <w:jc w:val="left"/>
        <w:rPr>
          <w:rFonts w:ascii="Arial" w:hAnsi="Arial" w:cs="Arial"/>
          <w:i/>
          <w:color w:val="auto"/>
          <w:sz w:val="24"/>
          <w:szCs w:val="24"/>
        </w:rPr>
      </w:pPr>
      <w:r w:rsidRPr="00237760">
        <w:rPr>
          <w:rFonts w:ascii="Arial" w:hAnsi="Arial" w:cs="Arial"/>
          <w:i/>
          <w:color w:val="auto"/>
          <w:sz w:val="24"/>
          <w:szCs w:val="24"/>
        </w:rPr>
        <w:t>Fundusze Europejskie na Infrastrukturę, Klimat, Środowisko</w:t>
      </w:r>
      <w:r w:rsidR="00840648" w:rsidRPr="00237760">
        <w:rPr>
          <w:rFonts w:ascii="Arial" w:hAnsi="Arial" w:cs="Arial"/>
          <w:i/>
          <w:color w:val="auto"/>
          <w:sz w:val="24"/>
          <w:szCs w:val="24"/>
        </w:rPr>
        <w:t>,</w:t>
      </w:r>
    </w:p>
    <w:p w14:paraId="0C1027CF" w14:textId="3E1148D6" w:rsidR="006C1479" w:rsidRPr="00237760" w:rsidRDefault="006C1479" w:rsidP="009367B4">
      <w:pPr>
        <w:pStyle w:val="Akapitzlist"/>
        <w:numPr>
          <w:ilvl w:val="0"/>
          <w:numId w:val="49"/>
        </w:numPr>
        <w:ind w:hanging="357"/>
        <w:contextualSpacing/>
        <w:jc w:val="left"/>
        <w:rPr>
          <w:rFonts w:ascii="Arial" w:hAnsi="Arial" w:cs="Arial"/>
          <w:i/>
          <w:color w:val="auto"/>
          <w:sz w:val="24"/>
          <w:szCs w:val="24"/>
        </w:rPr>
      </w:pPr>
      <w:r w:rsidRPr="00237760">
        <w:rPr>
          <w:rFonts w:ascii="Arial" w:hAnsi="Arial" w:cs="Arial"/>
          <w:i/>
          <w:color w:val="auto"/>
          <w:sz w:val="24"/>
          <w:szCs w:val="24"/>
        </w:rPr>
        <w:t>Fundusze Europejskie dla Nowoczesnej Gospodarki</w:t>
      </w:r>
      <w:r w:rsidR="00840648" w:rsidRPr="00237760">
        <w:rPr>
          <w:rFonts w:ascii="Arial" w:hAnsi="Arial" w:cs="Arial"/>
          <w:i/>
          <w:color w:val="auto"/>
          <w:sz w:val="24"/>
          <w:szCs w:val="24"/>
        </w:rPr>
        <w:t>,</w:t>
      </w:r>
    </w:p>
    <w:p w14:paraId="62D3F5CE" w14:textId="3824068B" w:rsidR="006C1479" w:rsidRPr="00237760" w:rsidRDefault="006C1479" w:rsidP="009367B4">
      <w:pPr>
        <w:pStyle w:val="Akapitzlist"/>
        <w:numPr>
          <w:ilvl w:val="0"/>
          <w:numId w:val="49"/>
        </w:numPr>
        <w:ind w:hanging="357"/>
        <w:contextualSpacing/>
        <w:jc w:val="left"/>
        <w:rPr>
          <w:rFonts w:ascii="Arial" w:hAnsi="Arial" w:cs="Arial"/>
          <w:i/>
          <w:color w:val="auto"/>
          <w:sz w:val="24"/>
          <w:szCs w:val="24"/>
        </w:rPr>
      </w:pPr>
      <w:r w:rsidRPr="00237760">
        <w:rPr>
          <w:rFonts w:ascii="Arial" w:hAnsi="Arial" w:cs="Arial"/>
          <w:i/>
          <w:color w:val="auto"/>
          <w:sz w:val="24"/>
          <w:szCs w:val="24"/>
        </w:rPr>
        <w:t>Fundusze Europejskie dla Polski Wschodniej</w:t>
      </w:r>
      <w:r w:rsidR="00840648" w:rsidRPr="00237760">
        <w:rPr>
          <w:rFonts w:ascii="Arial" w:hAnsi="Arial" w:cs="Arial"/>
          <w:i/>
          <w:color w:val="auto"/>
          <w:sz w:val="24"/>
          <w:szCs w:val="24"/>
        </w:rPr>
        <w:t>,</w:t>
      </w:r>
    </w:p>
    <w:p w14:paraId="7889D638" w14:textId="0B95AA61" w:rsidR="006C1479" w:rsidRPr="00237760" w:rsidRDefault="006C1479" w:rsidP="009367B4">
      <w:pPr>
        <w:pStyle w:val="Akapitzlist"/>
        <w:numPr>
          <w:ilvl w:val="0"/>
          <w:numId w:val="49"/>
        </w:numPr>
        <w:ind w:hanging="357"/>
        <w:contextualSpacing/>
        <w:jc w:val="left"/>
        <w:rPr>
          <w:rFonts w:ascii="Arial" w:hAnsi="Arial" w:cs="Arial"/>
          <w:color w:val="auto"/>
          <w:sz w:val="24"/>
          <w:szCs w:val="24"/>
        </w:rPr>
      </w:pPr>
      <w:r w:rsidRPr="00237760">
        <w:rPr>
          <w:rFonts w:ascii="Arial" w:hAnsi="Arial" w:cs="Arial"/>
          <w:i/>
          <w:color w:val="auto"/>
          <w:sz w:val="24"/>
          <w:szCs w:val="24"/>
        </w:rPr>
        <w:t>Pomoc Techniczna dla Funduszy Europejskich</w:t>
      </w:r>
      <w:r w:rsidR="00840648" w:rsidRPr="00237760">
        <w:rPr>
          <w:rFonts w:ascii="Arial" w:hAnsi="Arial" w:cs="Arial"/>
          <w:color w:val="auto"/>
          <w:sz w:val="24"/>
          <w:szCs w:val="24"/>
        </w:rPr>
        <w:t>.</w:t>
      </w:r>
    </w:p>
    <w:p w14:paraId="5AEC223F" w14:textId="77777777" w:rsidR="006C1479" w:rsidRPr="00237760" w:rsidRDefault="006C1479" w:rsidP="009367B4">
      <w:pPr>
        <w:jc w:val="left"/>
        <w:rPr>
          <w:rFonts w:ascii="Arial" w:hAnsi="Arial" w:cs="Arial"/>
          <w:color w:val="auto"/>
          <w:sz w:val="24"/>
          <w:szCs w:val="24"/>
        </w:rPr>
      </w:pPr>
      <w:r w:rsidRPr="00237760">
        <w:rPr>
          <w:rFonts w:ascii="Arial" w:hAnsi="Arial" w:cs="Arial"/>
          <w:color w:val="auto"/>
          <w:sz w:val="24"/>
          <w:szCs w:val="24"/>
        </w:rPr>
        <w:t xml:space="preserve">Poniżej przedstawiono zgodność celów i kierunków poszczególnych opracowań z celami i kierunkami rozwoju </w:t>
      </w:r>
      <w:r w:rsidRPr="00237760">
        <w:rPr>
          <w:rFonts w:ascii="Arial" w:hAnsi="Arial" w:cs="Arial"/>
          <w:i/>
          <w:color w:val="auto"/>
          <w:sz w:val="24"/>
          <w:szCs w:val="24"/>
        </w:rPr>
        <w:t>Programu Strategicznego Rozwoju Transportu Województwa Podkarpackiego do roku 2030</w:t>
      </w:r>
      <w:r w:rsidRPr="00237760">
        <w:rPr>
          <w:rFonts w:ascii="Arial" w:hAnsi="Arial" w:cs="Arial"/>
          <w:color w:val="auto"/>
          <w:sz w:val="24"/>
          <w:szCs w:val="24"/>
        </w:rPr>
        <w:t>.</w:t>
      </w:r>
    </w:p>
    <w:p w14:paraId="7FEADD1E" w14:textId="77777777" w:rsidR="00710815" w:rsidRPr="00237760" w:rsidRDefault="00710815" w:rsidP="009367B4">
      <w:pPr>
        <w:pStyle w:val="Nagwek3"/>
        <w:rPr>
          <w:rFonts w:ascii="Arial" w:hAnsi="Arial" w:cs="Arial"/>
          <w:color w:val="auto"/>
          <w:sz w:val="24"/>
          <w:szCs w:val="24"/>
        </w:rPr>
      </w:pPr>
      <w:bookmarkStart w:id="188" w:name="_Toc101904143"/>
      <w:r w:rsidRPr="00237760">
        <w:rPr>
          <w:rFonts w:ascii="Arial" w:hAnsi="Arial" w:cs="Arial"/>
          <w:color w:val="auto"/>
          <w:sz w:val="24"/>
          <w:szCs w:val="24"/>
        </w:rPr>
        <w:t>Europejski Zielony Ład</w:t>
      </w:r>
      <w:bookmarkEnd w:id="188"/>
    </w:p>
    <w:p w14:paraId="7031B238" w14:textId="51037776" w:rsidR="00710815" w:rsidRPr="00237760" w:rsidRDefault="00710815" w:rsidP="009367B4">
      <w:pPr>
        <w:jc w:val="left"/>
        <w:rPr>
          <w:rFonts w:ascii="Arial" w:hAnsi="Arial" w:cs="Arial"/>
          <w:color w:val="auto"/>
          <w:sz w:val="24"/>
          <w:szCs w:val="24"/>
        </w:rPr>
      </w:pPr>
      <w:r w:rsidRPr="00237760">
        <w:rPr>
          <w:rFonts w:ascii="Arial" w:hAnsi="Arial" w:cs="Arial"/>
          <w:color w:val="auto"/>
          <w:sz w:val="24"/>
          <w:szCs w:val="24"/>
        </w:rPr>
        <w:t xml:space="preserve">Ze względu na kompleksowość </w:t>
      </w:r>
      <w:r w:rsidRPr="00237760">
        <w:rPr>
          <w:rFonts w:ascii="Arial" w:hAnsi="Arial" w:cs="Arial"/>
          <w:i/>
          <w:color w:val="auto"/>
          <w:sz w:val="24"/>
          <w:szCs w:val="24"/>
        </w:rPr>
        <w:t>Europejskiego Zielonego Ładu</w:t>
      </w:r>
      <w:r w:rsidRPr="00237760">
        <w:rPr>
          <w:rFonts w:ascii="Arial" w:hAnsi="Arial" w:cs="Arial"/>
          <w:color w:val="auto"/>
          <w:sz w:val="24"/>
          <w:szCs w:val="24"/>
        </w:rPr>
        <w:t xml:space="preserve"> do oceny zgodności dobrano zapisy </w:t>
      </w:r>
      <w:r w:rsidRPr="00237760">
        <w:rPr>
          <w:rFonts w:ascii="Arial" w:hAnsi="Arial" w:cs="Arial"/>
          <w:i/>
          <w:color w:val="auto"/>
          <w:sz w:val="24"/>
          <w:szCs w:val="24"/>
        </w:rPr>
        <w:t>Strategii na rzecz zrównoważonej i inteligentnej mobilności</w:t>
      </w:r>
      <w:r w:rsidRPr="00237760">
        <w:rPr>
          <w:rFonts w:ascii="Arial" w:hAnsi="Arial" w:cs="Arial"/>
          <w:color w:val="auto"/>
          <w:sz w:val="24"/>
          <w:szCs w:val="24"/>
        </w:rPr>
        <w:t xml:space="preserve">, która realizuje postanowienia Ładu </w:t>
      </w:r>
      <w:r w:rsidR="00C605B2" w:rsidRPr="00237760">
        <w:rPr>
          <w:rFonts w:ascii="Arial" w:hAnsi="Arial" w:cs="Arial"/>
          <w:color w:val="auto"/>
          <w:sz w:val="24"/>
          <w:szCs w:val="24"/>
        </w:rPr>
        <w:br/>
      </w:r>
      <w:r w:rsidRPr="00237760">
        <w:rPr>
          <w:rFonts w:ascii="Arial" w:hAnsi="Arial" w:cs="Arial"/>
          <w:color w:val="auto"/>
          <w:sz w:val="24"/>
          <w:szCs w:val="24"/>
        </w:rPr>
        <w:t>w dziedzinie transportu</w:t>
      </w:r>
      <w:r w:rsidR="00F64FED" w:rsidRPr="00237760">
        <w:rPr>
          <w:rFonts w:ascii="Arial" w:hAnsi="Arial" w:cs="Arial"/>
          <w:color w:val="auto"/>
          <w:sz w:val="24"/>
          <w:szCs w:val="24"/>
        </w:rPr>
        <w:t xml:space="preserve"> (</w:t>
      </w:r>
      <w:r w:rsidR="00F64FED" w:rsidRPr="00237760">
        <w:rPr>
          <w:rFonts w:ascii="Arial" w:hAnsi="Arial" w:cs="Arial"/>
          <w:color w:val="auto"/>
          <w:sz w:val="24"/>
          <w:szCs w:val="24"/>
        </w:rPr>
        <w:fldChar w:fldCharType="begin"/>
      </w:r>
      <w:r w:rsidR="00F64FED" w:rsidRPr="00237760">
        <w:rPr>
          <w:rFonts w:ascii="Arial" w:hAnsi="Arial" w:cs="Arial"/>
          <w:color w:val="auto"/>
          <w:sz w:val="24"/>
          <w:szCs w:val="24"/>
        </w:rPr>
        <w:instrText xml:space="preserve"> REF _Ref100998978 \h </w:instrText>
      </w:r>
      <w:r w:rsidR="00237760" w:rsidRPr="00237760">
        <w:rPr>
          <w:rFonts w:ascii="Arial" w:hAnsi="Arial" w:cs="Arial"/>
          <w:color w:val="auto"/>
          <w:sz w:val="24"/>
          <w:szCs w:val="24"/>
        </w:rPr>
        <w:instrText xml:space="preserve"> \* MERGEFORMAT </w:instrText>
      </w:r>
      <w:r w:rsidR="00F64FED" w:rsidRPr="00237760">
        <w:rPr>
          <w:rFonts w:ascii="Arial" w:hAnsi="Arial" w:cs="Arial"/>
          <w:color w:val="auto"/>
          <w:sz w:val="24"/>
          <w:szCs w:val="24"/>
        </w:rPr>
      </w:r>
      <w:r w:rsidR="00F64FED" w:rsidRPr="00237760">
        <w:rPr>
          <w:rFonts w:ascii="Arial" w:hAnsi="Arial" w:cs="Arial"/>
          <w:color w:val="auto"/>
          <w:sz w:val="24"/>
          <w:szCs w:val="24"/>
        </w:rPr>
        <w:fldChar w:fldCharType="separate"/>
      </w:r>
      <w:r w:rsidR="00E52C19" w:rsidRPr="00237760">
        <w:rPr>
          <w:rFonts w:ascii="Arial" w:hAnsi="Arial" w:cs="Arial"/>
          <w:color w:val="auto"/>
          <w:sz w:val="24"/>
          <w:szCs w:val="24"/>
        </w:rPr>
        <w:t xml:space="preserve">Tabela </w:t>
      </w:r>
      <w:r w:rsidR="00E52C19" w:rsidRPr="00237760">
        <w:rPr>
          <w:rFonts w:ascii="Arial" w:hAnsi="Arial" w:cs="Arial"/>
          <w:noProof/>
          <w:color w:val="auto"/>
          <w:sz w:val="24"/>
          <w:szCs w:val="24"/>
        </w:rPr>
        <w:t>23</w:t>
      </w:r>
      <w:r w:rsidR="00F64FED" w:rsidRPr="00237760">
        <w:rPr>
          <w:rFonts w:ascii="Arial" w:hAnsi="Arial" w:cs="Arial"/>
          <w:color w:val="auto"/>
          <w:sz w:val="24"/>
          <w:szCs w:val="24"/>
        </w:rPr>
        <w:fldChar w:fldCharType="end"/>
      </w:r>
      <w:r w:rsidR="00F64FED" w:rsidRPr="00237760">
        <w:rPr>
          <w:rFonts w:ascii="Arial" w:hAnsi="Arial" w:cs="Arial"/>
          <w:color w:val="auto"/>
          <w:sz w:val="24"/>
          <w:szCs w:val="24"/>
        </w:rPr>
        <w:t>)</w:t>
      </w:r>
      <w:r w:rsidRPr="00237760">
        <w:rPr>
          <w:rFonts w:ascii="Arial" w:hAnsi="Arial" w:cs="Arial"/>
          <w:color w:val="auto"/>
          <w:sz w:val="24"/>
          <w:szCs w:val="24"/>
        </w:rPr>
        <w:t xml:space="preserve">. W dokumencie wyróżniono 10 inicjatyw przewodnich, z których wszystkie znajdują swoje odzwierciedlenie w poszczególnych kierunkach rozwoju </w:t>
      </w:r>
      <w:r w:rsidR="00F311FF" w:rsidRPr="00237760">
        <w:rPr>
          <w:rFonts w:ascii="Arial" w:hAnsi="Arial" w:cs="Arial"/>
          <w:color w:val="auto"/>
          <w:sz w:val="24"/>
          <w:szCs w:val="24"/>
        </w:rPr>
        <w:t>PSRT WP</w:t>
      </w:r>
      <w:r w:rsidRPr="00237760">
        <w:rPr>
          <w:rFonts w:ascii="Arial" w:hAnsi="Arial" w:cs="Arial"/>
          <w:color w:val="auto"/>
          <w:sz w:val="24"/>
          <w:szCs w:val="24"/>
        </w:rPr>
        <w:t>. Szczególnie widoczna jest reprezentacja kierunków rozwoju realizujących inicjatywę przewodnią 3</w:t>
      </w:r>
      <w:r w:rsidR="008460CD" w:rsidRPr="00237760">
        <w:rPr>
          <w:rFonts w:ascii="Arial" w:hAnsi="Arial" w:cs="Arial"/>
          <w:color w:val="auto"/>
          <w:sz w:val="24"/>
          <w:szCs w:val="24"/>
        </w:rPr>
        <w:t>.</w:t>
      </w:r>
      <w:r w:rsidRPr="00237760">
        <w:rPr>
          <w:rFonts w:ascii="Arial" w:hAnsi="Arial" w:cs="Arial"/>
          <w:color w:val="auto"/>
          <w:sz w:val="24"/>
          <w:szCs w:val="24"/>
        </w:rPr>
        <w:t xml:space="preserve"> </w:t>
      </w:r>
      <w:r w:rsidR="00C605B2" w:rsidRPr="00237760">
        <w:rPr>
          <w:rFonts w:ascii="Arial" w:hAnsi="Arial" w:cs="Arial"/>
          <w:color w:val="auto"/>
          <w:sz w:val="24"/>
          <w:szCs w:val="24"/>
        </w:rPr>
        <w:br/>
      </w:r>
      <w:r w:rsidRPr="00237760">
        <w:rPr>
          <w:rFonts w:ascii="Arial" w:hAnsi="Arial" w:cs="Arial"/>
          <w:color w:val="auto"/>
          <w:sz w:val="24"/>
          <w:szCs w:val="24"/>
        </w:rPr>
        <w:t>– bardziej zrównoważona i zdrowsza mobilność między miastami i w miastach.</w:t>
      </w:r>
    </w:p>
    <w:p w14:paraId="32BDF329" w14:textId="32E4CDBC" w:rsidR="00710815" w:rsidRPr="00237760" w:rsidRDefault="00F64FED" w:rsidP="009367B4">
      <w:pPr>
        <w:pStyle w:val="Legenda"/>
        <w:jc w:val="left"/>
        <w:rPr>
          <w:rFonts w:ascii="Arial" w:hAnsi="Arial" w:cs="Arial"/>
          <w:color w:val="auto"/>
          <w:sz w:val="24"/>
          <w:szCs w:val="24"/>
        </w:rPr>
      </w:pPr>
      <w:bookmarkStart w:id="189" w:name="_Ref100998978"/>
      <w:bookmarkStart w:id="190" w:name="_Toc101904264"/>
      <w:r w:rsidRPr="00237760">
        <w:rPr>
          <w:rFonts w:ascii="Arial" w:hAnsi="Arial" w:cs="Arial"/>
          <w:color w:val="auto"/>
          <w:sz w:val="24"/>
          <w:szCs w:val="24"/>
        </w:rPr>
        <w:t xml:space="preserve">Tabela </w:t>
      </w:r>
      <w:r w:rsidR="00D4562C" w:rsidRPr="00237760">
        <w:rPr>
          <w:rFonts w:ascii="Arial" w:hAnsi="Arial" w:cs="Arial"/>
          <w:noProof/>
          <w:color w:val="auto"/>
          <w:sz w:val="24"/>
          <w:szCs w:val="24"/>
        </w:rPr>
        <w:fldChar w:fldCharType="begin"/>
      </w:r>
      <w:r w:rsidR="00D4562C" w:rsidRPr="00237760">
        <w:rPr>
          <w:rFonts w:ascii="Arial" w:hAnsi="Arial" w:cs="Arial"/>
          <w:noProof/>
          <w:color w:val="auto"/>
          <w:sz w:val="24"/>
          <w:szCs w:val="24"/>
        </w:rPr>
        <w:instrText xml:space="preserve"> SEQ Tabela \* ARABIC </w:instrText>
      </w:r>
      <w:r w:rsidR="00D4562C" w:rsidRPr="00237760">
        <w:rPr>
          <w:rFonts w:ascii="Arial" w:hAnsi="Arial" w:cs="Arial"/>
          <w:noProof/>
          <w:color w:val="auto"/>
          <w:sz w:val="24"/>
          <w:szCs w:val="24"/>
        </w:rPr>
        <w:fldChar w:fldCharType="separate"/>
      </w:r>
      <w:r w:rsidR="00762B20" w:rsidRPr="00237760">
        <w:rPr>
          <w:rFonts w:ascii="Arial" w:hAnsi="Arial" w:cs="Arial"/>
          <w:noProof/>
          <w:color w:val="auto"/>
          <w:sz w:val="24"/>
          <w:szCs w:val="24"/>
        </w:rPr>
        <w:t>23</w:t>
      </w:r>
      <w:r w:rsidR="00D4562C" w:rsidRPr="00237760">
        <w:rPr>
          <w:rFonts w:ascii="Arial" w:hAnsi="Arial" w:cs="Arial"/>
          <w:noProof/>
          <w:color w:val="auto"/>
          <w:sz w:val="24"/>
          <w:szCs w:val="24"/>
        </w:rPr>
        <w:fldChar w:fldCharType="end"/>
      </w:r>
      <w:bookmarkEnd w:id="189"/>
      <w:r w:rsidRPr="00237760">
        <w:rPr>
          <w:rFonts w:ascii="Arial" w:hAnsi="Arial" w:cs="Arial"/>
          <w:color w:val="auto"/>
          <w:sz w:val="24"/>
          <w:szCs w:val="24"/>
        </w:rPr>
        <w:t xml:space="preserve">. </w:t>
      </w:r>
      <w:r w:rsidR="00710815" w:rsidRPr="00237760">
        <w:rPr>
          <w:rFonts w:ascii="Arial" w:hAnsi="Arial" w:cs="Arial"/>
          <w:color w:val="auto"/>
          <w:sz w:val="24"/>
          <w:szCs w:val="24"/>
        </w:rPr>
        <w:t xml:space="preserve">Ocena spójności </w:t>
      </w:r>
      <w:r w:rsidR="00F311FF" w:rsidRPr="00237760">
        <w:rPr>
          <w:rFonts w:ascii="Arial" w:hAnsi="Arial" w:cs="Arial"/>
          <w:color w:val="auto"/>
          <w:sz w:val="24"/>
          <w:szCs w:val="24"/>
        </w:rPr>
        <w:t>PSRT WP</w:t>
      </w:r>
      <w:r w:rsidR="00710815" w:rsidRPr="00237760">
        <w:rPr>
          <w:rFonts w:ascii="Arial" w:hAnsi="Arial" w:cs="Arial"/>
          <w:color w:val="auto"/>
          <w:sz w:val="24"/>
          <w:szCs w:val="24"/>
        </w:rPr>
        <w:t xml:space="preserve"> ze Strategią na rzecz zrównoważonej i inteligentnej mobilności</w:t>
      </w:r>
      <w:bookmarkEnd w:id="190"/>
    </w:p>
    <w:tbl>
      <w:tblPr>
        <w:tblStyle w:val="Tabela-Siatka"/>
        <w:tblW w:w="9083" w:type="dxa"/>
        <w:tblInd w:w="-5"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57" w:type="dxa"/>
          <w:right w:w="57" w:type="dxa"/>
        </w:tblCellMar>
        <w:tblLook w:val="04A0" w:firstRow="1" w:lastRow="0" w:firstColumn="1" w:lastColumn="0" w:noHBand="0" w:noVBand="1"/>
        <w:tblCaption w:val="Tabela 23. Ocena spójności PSRT WP ze Strategią na rzecz zrównoważonej i inteligentnej mobilności"/>
        <w:tblDescription w:val="Tabela zawiera Inicjatywy przewodnie Strategii na rzecz zrównoważonej i inteligentnej mobilności, Cele podstawowe PSRT WP, Cele horyzontalne PSRT WP"/>
      </w:tblPr>
      <w:tblGrid>
        <w:gridCol w:w="5108"/>
        <w:gridCol w:w="567"/>
        <w:gridCol w:w="567"/>
        <w:gridCol w:w="567"/>
        <w:gridCol w:w="567"/>
        <w:gridCol w:w="567"/>
        <w:gridCol w:w="567"/>
        <w:gridCol w:w="567"/>
        <w:gridCol w:w="6"/>
      </w:tblGrid>
      <w:tr w:rsidR="00237760" w:rsidRPr="00237760" w14:paraId="22D83446" w14:textId="77777777" w:rsidTr="00FB20A6">
        <w:trPr>
          <w:trHeight w:val="80"/>
          <w:tblHeader/>
        </w:trPr>
        <w:tc>
          <w:tcPr>
            <w:tcW w:w="9083" w:type="dxa"/>
            <w:gridSpan w:val="9"/>
            <w:tcBorders>
              <w:top w:val="single" w:sz="12" w:space="0" w:color="002060"/>
              <w:left w:val="nil"/>
              <w:bottom w:val="single" w:sz="4" w:space="0" w:color="BDD6EE" w:themeColor="accent1" w:themeTint="66"/>
            </w:tcBorders>
            <w:shd w:val="clear" w:color="auto" w:fill="auto"/>
            <w:vAlign w:val="center"/>
          </w:tcPr>
          <w:p w14:paraId="3C2642A9"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Strategia na rzecz zrównoważonej i inteligentnej mobilności</w:t>
            </w:r>
          </w:p>
        </w:tc>
      </w:tr>
      <w:tr w:rsidR="00237760" w:rsidRPr="00237760" w14:paraId="3167DCE3" w14:textId="77777777" w:rsidTr="00FB20A6">
        <w:trPr>
          <w:gridAfter w:val="1"/>
          <w:wAfter w:w="6" w:type="dxa"/>
          <w:trHeight w:val="70"/>
          <w:tblHeader/>
        </w:trPr>
        <w:tc>
          <w:tcPr>
            <w:tcW w:w="5108" w:type="dxa"/>
            <w:vMerge w:val="restart"/>
            <w:tcBorders>
              <w:top w:val="nil"/>
              <w:left w:val="nil"/>
              <w:bottom w:val="single" w:sz="4" w:space="0" w:color="BDD6EE" w:themeColor="accent1" w:themeTint="66"/>
              <w:right w:val="nil"/>
            </w:tcBorders>
            <w:shd w:val="clear" w:color="auto" w:fill="auto"/>
            <w:vAlign w:val="center"/>
            <w:hideMark/>
          </w:tcPr>
          <w:p w14:paraId="5B5A23F7"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Inicjatywy przewodnie Strategii na rzecz zrównoważonej i inteligentnej mobilności</w:t>
            </w:r>
          </w:p>
        </w:tc>
        <w:tc>
          <w:tcPr>
            <w:tcW w:w="1701" w:type="dxa"/>
            <w:gridSpan w:val="3"/>
            <w:tcBorders>
              <w:top w:val="nil"/>
              <w:left w:val="nil"/>
              <w:bottom w:val="single" w:sz="4" w:space="0" w:color="BDD6EE" w:themeColor="accent1" w:themeTint="66"/>
            </w:tcBorders>
            <w:shd w:val="clear" w:color="auto" w:fill="auto"/>
            <w:vAlign w:val="center"/>
          </w:tcPr>
          <w:p w14:paraId="2C229FF6"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podstawowe PSRT WP</w:t>
            </w:r>
          </w:p>
        </w:tc>
        <w:tc>
          <w:tcPr>
            <w:tcW w:w="2268" w:type="dxa"/>
            <w:gridSpan w:val="4"/>
            <w:tcBorders>
              <w:top w:val="nil"/>
              <w:left w:val="nil"/>
              <w:bottom w:val="single" w:sz="4" w:space="0" w:color="BDD6EE" w:themeColor="accent1" w:themeTint="66"/>
            </w:tcBorders>
            <w:shd w:val="clear" w:color="auto" w:fill="auto"/>
            <w:vAlign w:val="center"/>
          </w:tcPr>
          <w:p w14:paraId="475F630E"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horyzontalne PSRT WP</w:t>
            </w:r>
          </w:p>
        </w:tc>
      </w:tr>
      <w:tr w:rsidR="00237760" w:rsidRPr="00237760" w14:paraId="605F0AD4" w14:textId="77777777" w:rsidTr="00FB20A6">
        <w:trPr>
          <w:gridAfter w:val="1"/>
          <w:wAfter w:w="6" w:type="dxa"/>
          <w:trHeight w:val="85"/>
          <w:tblHeader/>
        </w:trPr>
        <w:tc>
          <w:tcPr>
            <w:tcW w:w="5108" w:type="dxa"/>
            <w:vMerge/>
            <w:tcBorders>
              <w:top w:val="nil"/>
              <w:left w:val="nil"/>
              <w:bottom w:val="single" w:sz="4" w:space="0" w:color="BDD6EE" w:themeColor="accent1" w:themeTint="66"/>
              <w:right w:val="nil"/>
            </w:tcBorders>
            <w:shd w:val="clear" w:color="auto" w:fill="auto"/>
            <w:vAlign w:val="center"/>
            <w:hideMark/>
          </w:tcPr>
          <w:p w14:paraId="7891D145" w14:textId="77777777" w:rsidR="00710815" w:rsidRPr="00237760" w:rsidRDefault="00710815" w:rsidP="009367B4">
            <w:pPr>
              <w:spacing w:after="0" w:line="240" w:lineRule="auto"/>
              <w:jc w:val="left"/>
              <w:rPr>
                <w:rFonts w:ascii="Arial" w:hAnsi="Arial" w:cs="Arial"/>
                <w:b/>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0D1637FC"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286E7206"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301921DA"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4F348196"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2C5C25B8"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nil"/>
            </w:tcBorders>
            <w:shd w:val="clear" w:color="auto" w:fill="auto"/>
          </w:tcPr>
          <w:p w14:paraId="661FCF98"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nil"/>
            </w:tcBorders>
            <w:shd w:val="clear" w:color="auto" w:fill="auto"/>
          </w:tcPr>
          <w:p w14:paraId="6D6BEC8F"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4.</w:t>
            </w:r>
          </w:p>
        </w:tc>
      </w:tr>
      <w:tr w:rsidR="00237760" w:rsidRPr="00237760" w14:paraId="650318CB" w14:textId="77777777" w:rsidTr="00FB20A6">
        <w:trPr>
          <w:gridAfter w:val="1"/>
          <w:wAfter w:w="6" w:type="dxa"/>
          <w:trHeight w:val="55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392F61F9" w14:textId="4518025C"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Inicjatywa przewodnia 1 </w:t>
            </w:r>
            <w:r w:rsidR="00176292" w:rsidRPr="00237760">
              <w:rPr>
                <w:rFonts w:ascii="Arial" w:hAnsi="Arial" w:cs="Arial"/>
                <w:color w:val="auto"/>
                <w:sz w:val="24"/>
                <w:szCs w:val="24"/>
              </w:rPr>
              <w:t>–</w:t>
            </w:r>
            <w:r w:rsidRPr="00237760">
              <w:rPr>
                <w:rFonts w:ascii="Arial" w:hAnsi="Arial" w:cs="Arial"/>
                <w:color w:val="auto"/>
                <w:sz w:val="24"/>
                <w:szCs w:val="24"/>
              </w:rPr>
              <w:t xml:space="preserve"> upowszechnienie pojazdów bezemisyjnych, paliw odnawialnych i niskoemisyjnych oraz związanej z nimi infrastruktury</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69CE6A11"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2EC7FB7F"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49081180"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55943796"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32255866"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5DBD11E7"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3964A462"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210275A1" w14:textId="77777777" w:rsidTr="00FB20A6">
        <w:trPr>
          <w:gridAfter w:val="1"/>
          <w:wAfter w:w="6" w:type="dxa"/>
          <w:trHeight w:val="1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42DB11BE" w14:textId="3BC02141"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lastRenderedPageBreak/>
              <w:t xml:space="preserve">Inicjatywa przewodnia 2 </w:t>
            </w:r>
            <w:r w:rsidR="00176292" w:rsidRPr="00237760">
              <w:rPr>
                <w:rFonts w:ascii="Arial" w:hAnsi="Arial" w:cs="Arial"/>
                <w:color w:val="auto"/>
                <w:sz w:val="24"/>
                <w:szCs w:val="24"/>
              </w:rPr>
              <w:t>–</w:t>
            </w:r>
            <w:r w:rsidRPr="00237760">
              <w:rPr>
                <w:rFonts w:ascii="Arial" w:hAnsi="Arial" w:cs="Arial"/>
                <w:color w:val="auto"/>
                <w:sz w:val="24"/>
                <w:szCs w:val="24"/>
              </w:rPr>
              <w:t xml:space="preserve"> tworzenie bezemisyjnych lotnisk i portów</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69447260"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01E4AA3D"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3C63A613"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55E6FE6B"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19BB45B6"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406E0DBD"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5911F575"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0DA7D514" w14:textId="77777777" w:rsidTr="00FB20A6">
        <w:trPr>
          <w:gridAfter w:val="1"/>
          <w:wAfter w:w="6" w:type="dxa"/>
          <w:trHeight w:val="1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76675915" w14:textId="1CABF759"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Inicjatywa przewodnia 3</w:t>
            </w:r>
            <w:r w:rsidR="00176292" w:rsidRPr="00237760">
              <w:rPr>
                <w:rFonts w:ascii="Arial" w:hAnsi="Arial" w:cs="Arial"/>
                <w:color w:val="auto"/>
                <w:sz w:val="24"/>
                <w:szCs w:val="24"/>
              </w:rPr>
              <w:t xml:space="preserve"> –</w:t>
            </w:r>
            <w:r w:rsidRPr="00237760">
              <w:rPr>
                <w:rFonts w:ascii="Arial" w:hAnsi="Arial" w:cs="Arial"/>
                <w:color w:val="auto"/>
                <w:sz w:val="24"/>
                <w:szCs w:val="24"/>
              </w:rPr>
              <w:t xml:space="preserve"> bardziej zrównoważona i zdrowsza mobilność między miastami i w miastach</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75D17249"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7F1A5DDE"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318FF786"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7B179C7A"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53DAFB7D"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12EEDE54"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70D3EFEA"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525860CF" w14:textId="77777777" w:rsidTr="00FB20A6">
        <w:trPr>
          <w:gridAfter w:val="1"/>
          <w:wAfter w:w="6" w:type="dxa"/>
          <w:trHeight w:val="1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7AA6177C" w14:textId="19D99F6B"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Inicjatywa przewodnia 4 </w:t>
            </w:r>
            <w:r w:rsidR="00176292" w:rsidRPr="00237760">
              <w:rPr>
                <w:rFonts w:ascii="Arial" w:hAnsi="Arial" w:cs="Arial"/>
                <w:color w:val="auto"/>
                <w:sz w:val="24"/>
                <w:szCs w:val="24"/>
              </w:rPr>
              <w:t>–</w:t>
            </w:r>
            <w:r w:rsidRPr="00237760">
              <w:rPr>
                <w:rFonts w:ascii="Arial" w:hAnsi="Arial" w:cs="Arial"/>
                <w:color w:val="auto"/>
                <w:sz w:val="24"/>
                <w:szCs w:val="24"/>
              </w:rPr>
              <w:t xml:space="preserve"> ekologizacja transportu towarowego</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50DFEB3A"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39500196"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4D59B873"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0605EF45"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2CB8D53A"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49D8DD86"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1FB73426"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614FF064" w14:textId="77777777" w:rsidTr="00FB20A6">
        <w:trPr>
          <w:gridAfter w:val="1"/>
          <w:wAfter w:w="6" w:type="dxa"/>
          <w:trHeight w:val="1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2386B839" w14:textId="66CDEBCD"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Inicjatywa przewodnia 5 </w:t>
            </w:r>
            <w:r w:rsidR="00176292" w:rsidRPr="00237760">
              <w:rPr>
                <w:rFonts w:ascii="Arial" w:hAnsi="Arial" w:cs="Arial"/>
                <w:color w:val="auto"/>
                <w:sz w:val="24"/>
                <w:szCs w:val="24"/>
              </w:rPr>
              <w:t>–</w:t>
            </w:r>
            <w:r w:rsidRPr="00237760">
              <w:rPr>
                <w:rFonts w:ascii="Arial" w:hAnsi="Arial" w:cs="Arial"/>
                <w:color w:val="auto"/>
                <w:sz w:val="24"/>
                <w:szCs w:val="24"/>
              </w:rPr>
              <w:t xml:space="preserve"> ustalenie opłat za emisję gazów cieplarnianych i zapewnienie lepszych zachęt dla użytkowników</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02562014"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3D1949AD"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0E2C4459"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5346D449"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5F4AD912"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55767E99"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3DE3A579"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7FFED4FE" w14:textId="77777777" w:rsidTr="00FB20A6">
        <w:trPr>
          <w:gridAfter w:val="1"/>
          <w:wAfter w:w="6" w:type="dxa"/>
          <w:trHeight w:val="1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52C61993" w14:textId="0C09A8A8"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Inicjatywa przewodnia 6 </w:t>
            </w:r>
            <w:r w:rsidR="00176292" w:rsidRPr="00237760">
              <w:rPr>
                <w:rFonts w:ascii="Arial" w:hAnsi="Arial" w:cs="Arial"/>
                <w:color w:val="auto"/>
                <w:sz w:val="24"/>
                <w:szCs w:val="24"/>
              </w:rPr>
              <w:t>–</w:t>
            </w:r>
            <w:r w:rsidRPr="00237760">
              <w:rPr>
                <w:rFonts w:ascii="Arial" w:hAnsi="Arial" w:cs="Arial"/>
                <w:color w:val="auto"/>
                <w:sz w:val="24"/>
                <w:szCs w:val="24"/>
              </w:rPr>
              <w:t xml:space="preserve"> urzeczywistnienie opartej na sieci i zautomatyzowanej multimodalnej mobilności</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14CFEFCD"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082F4552"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188316F6"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7814895F"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46E6EF95"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2481FA87"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2974C6E4"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732FD314" w14:textId="77777777" w:rsidTr="00FB20A6">
        <w:trPr>
          <w:gridAfter w:val="1"/>
          <w:wAfter w:w="6" w:type="dxa"/>
          <w:trHeight w:val="1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6E3E0F01" w14:textId="11BD56C3"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Inicjatywa przewodnia 7 </w:t>
            </w:r>
            <w:r w:rsidR="00176292" w:rsidRPr="00237760">
              <w:rPr>
                <w:rFonts w:ascii="Arial" w:hAnsi="Arial" w:cs="Arial"/>
                <w:color w:val="auto"/>
                <w:sz w:val="24"/>
                <w:szCs w:val="24"/>
              </w:rPr>
              <w:t>–</w:t>
            </w:r>
            <w:r w:rsidRPr="00237760">
              <w:rPr>
                <w:rFonts w:ascii="Arial" w:hAnsi="Arial" w:cs="Arial"/>
                <w:color w:val="auto"/>
                <w:sz w:val="24"/>
                <w:szCs w:val="24"/>
              </w:rPr>
              <w:t xml:space="preserve"> innowacja, dane i sztuczna inteligencja na rzecz inteligentnej mobilności</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5DD28795"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70A84075"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01BDC6D6"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6881BCCE"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54352C77"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16F7A4DA"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357C0DF2"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0605528C" w14:textId="77777777" w:rsidTr="00FB20A6">
        <w:trPr>
          <w:gridAfter w:val="1"/>
          <w:wAfter w:w="6" w:type="dxa"/>
          <w:trHeight w:val="1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0CC1A220" w14:textId="3FD3AD20"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Inicjatywa przewodnia 8 </w:t>
            </w:r>
            <w:r w:rsidR="00176292" w:rsidRPr="00237760">
              <w:rPr>
                <w:rFonts w:ascii="Arial" w:hAnsi="Arial" w:cs="Arial"/>
                <w:color w:val="auto"/>
                <w:sz w:val="24"/>
                <w:szCs w:val="24"/>
              </w:rPr>
              <w:t>–</w:t>
            </w:r>
            <w:r w:rsidRPr="00237760">
              <w:rPr>
                <w:rFonts w:ascii="Arial" w:hAnsi="Arial" w:cs="Arial"/>
                <w:color w:val="auto"/>
                <w:sz w:val="24"/>
                <w:szCs w:val="24"/>
              </w:rPr>
              <w:t xml:space="preserve"> wzmocnienie jednolitego rynku</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7B7562D7"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615DBB4E"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63E77A12"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42430378"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1FE8E0E5"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440883EA"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15B96FDE"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57218EAA" w14:textId="77777777" w:rsidTr="00FB20A6">
        <w:trPr>
          <w:gridAfter w:val="1"/>
          <w:wAfter w:w="6" w:type="dxa"/>
          <w:trHeight w:val="1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153C6F7F" w14:textId="1A047139"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Inicjatywa przewodnia 9 </w:t>
            </w:r>
            <w:r w:rsidR="00176292" w:rsidRPr="00237760">
              <w:rPr>
                <w:rFonts w:ascii="Arial" w:hAnsi="Arial" w:cs="Arial"/>
                <w:color w:val="auto"/>
                <w:sz w:val="24"/>
                <w:szCs w:val="24"/>
              </w:rPr>
              <w:t>–</w:t>
            </w:r>
            <w:r w:rsidRPr="00237760">
              <w:rPr>
                <w:rFonts w:ascii="Arial" w:hAnsi="Arial" w:cs="Arial"/>
                <w:color w:val="auto"/>
                <w:sz w:val="24"/>
                <w:szCs w:val="24"/>
              </w:rPr>
              <w:t xml:space="preserve"> uczciwa i sprawiedliwa mobilność dla wszystkich</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4A8E1C2D"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48DBB74C"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3013CD5B"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02B9E15F"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3007ADAA"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319E166C"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18CEF88A"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20A5A750" w14:textId="77777777" w:rsidTr="00FB20A6">
        <w:trPr>
          <w:gridAfter w:val="1"/>
          <w:wAfter w:w="6" w:type="dxa"/>
          <w:trHeight w:val="14"/>
        </w:trPr>
        <w:tc>
          <w:tcPr>
            <w:tcW w:w="5108" w:type="dxa"/>
            <w:tcBorders>
              <w:top w:val="single" w:sz="4" w:space="0" w:color="BDD6EE" w:themeColor="accent1" w:themeTint="66"/>
              <w:left w:val="nil"/>
              <w:bottom w:val="single" w:sz="12" w:space="0" w:color="002060"/>
              <w:right w:val="single" w:sz="4" w:space="0" w:color="BDD6EE" w:themeColor="accent1" w:themeTint="66"/>
            </w:tcBorders>
          </w:tcPr>
          <w:p w14:paraId="3D6AE301" w14:textId="7C675D16"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Inicjatywa przewodnia 10 </w:t>
            </w:r>
            <w:r w:rsidR="00176292" w:rsidRPr="00237760">
              <w:rPr>
                <w:rFonts w:ascii="Arial" w:hAnsi="Arial" w:cs="Arial"/>
                <w:color w:val="auto"/>
                <w:sz w:val="24"/>
                <w:szCs w:val="24"/>
              </w:rPr>
              <w:t>–</w:t>
            </w:r>
            <w:r w:rsidRPr="00237760">
              <w:rPr>
                <w:rFonts w:ascii="Arial" w:hAnsi="Arial" w:cs="Arial"/>
                <w:color w:val="auto"/>
                <w:sz w:val="24"/>
                <w:szCs w:val="24"/>
              </w:rPr>
              <w:t xml:space="preserve"> poprawa bezpieczeństwa i ochrony transportu</w:t>
            </w:r>
          </w:p>
        </w:tc>
        <w:tc>
          <w:tcPr>
            <w:tcW w:w="567"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FFFFFF" w:themeFill="background1"/>
          </w:tcPr>
          <w:p w14:paraId="48936FA2"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FFFFFF" w:themeFill="background1"/>
            <w:vAlign w:val="center"/>
          </w:tcPr>
          <w:p w14:paraId="5B2E849F"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FFFFFF" w:themeFill="background1"/>
            <w:vAlign w:val="center"/>
          </w:tcPr>
          <w:p w14:paraId="22A2C1BF"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auto"/>
            <w:vAlign w:val="center"/>
          </w:tcPr>
          <w:p w14:paraId="58EF8B23"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auto"/>
            <w:vAlign w:val="center"/>
          </w:tcPr>
          <w:p w14:paraId="78B993E1"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FFFFFF" w:themeFill="background1"/>
            <w:vAlign w:val="center"/>
          </w:tcPr>
          <w:p w14:paraId="026B1A99"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9CC2E5" w:themeFill="accent1" w:themeFillTint="99"/>
          </w:tcPr>
          <w:p w14:paraId="61E81CCC" w14:textId="77777777" w:rsidR="00710815" w:rsidRPr="00237760" w:rsidRDefault="00710815" w:rsidP="009367B4">
            <w:pPr>
              <w:spacing w:after="0" w:line="240" w:lineRule="auto"/>
              <w:jc w:val="left"/>
              <w:rPr>
                <w:rFonts w:ascii="Arial" w:hAnsi="Arial" w:cs="Arial"/>
                <w:color w:val="auto"/>
                <w:sz w:val="24"/>
                <w:szCs w:val="24"/>
              </w:rPr>
            </w:pPr>
          </w:p>
        </w:tc>
      </w:tr>
    </w:tbl>
    <w:p w14:paraId="6AFA9073" w14:textId="205C8B1C" w:rsidR="00A3565E" w:rsidRDefault="00710815" w:rsidP="009367B4">
      <w:pPr>
        <w:pStyle w:val="Legenda"/>
        <w:jc w:val="left"/>
        <w:rPr>
          <w:rFonts w:ascii="Arial" w:hAnsi="Arial" w:cs="Arial"/>
          <w:b w:val="0"/>
          <w:color w:val="auto"/>
          <w:sz w:val="24"/>
          <w:szCs w:val="24"/>
        </w:rPr>
      </w:pPr>
      <w:r w:rsidRPr="00237760">
        <w:rPr>
          <w:rFonts w:ascii="Arial" w:hAnsi="Arial" w:cs="Arial"/>
          <w:b w:val="0"/>
          <w:color w:val="auto"/>
          <w:sz w:val="24"/>
          <w:szCs w:val="24"/>
        </w:rPr>
        <w:t>Źródło: opracowanie własne</w:t>
      </w:r>
      <w:r w:rsidR="00A3565E" w:rsidRPr="00237760">
        <w:rPr>
          <w:rFonts w:ascii="Arial" w:hAnsi="Arial" w:cs="Arial"/>
          <w:b w:val="0"/>
          <w:color w:val="auto"/>
          <w:sz w:val="24"/>
          <w:szCs w:val="24"/>
        </w:rPr>
        <w:t xml:space="preserve"> na podstawie </w:t>
      </w:r>
      <w:r w:rsidR="00F311FF" w:rsidRPr="00237760">
        <w:rPr>
          <w:rFonts w:ascii="Arial" w:hAnsi="Arial" w:cs="Arial"/>
          <w:b w:val="0"/>
          <w:color w:val="auto"/>
          <w:sz w:val="24"/>
          <w:szCs w:val="24"/>
        </w:rPr>
        <w:t>PSRT WP</w:t>
      </w:r>
      <w:r w:rsidR="00A3565E" w:rsidRPr="00237760">
        <w:rPr>
          <w:rFonts w:ascii="Arial" w:hAnsi="Arial" w:cs="Arial"/>
          <w:b w:val="0"/>
          <w:color w:val="auto"/>
          <w:sz w:val="24"/>
          <w:szCs w:val="24"/>
        </w:rPr>
        <w:t xml:space="preserve"> oraz </w:t>
      </w:r>
      <w:r w:rsidR="00A3565E" w:rsidRPr="00237760">
        <w:rPr>
          <w:rFonts w:ascii="Arial" w:hAnsi="Arial" w:cs="Arial"/>
          <w:b w:val="0"/>
          <w:i/>
          <w:color w:val="auto"/>
          <w:sz w:val="24"/>
          <w:szCs w:val="24"/>
        </w:rPr>
        <w:t>Strategii na rzecz zrównoważonej i inteligentnej mobilności</w:t>
      </w:r>
      <w:r w:rsidR="00A3565E" w:rsidRPr="00237760">
        <w:rPr>
          <w:rFonts w:ascii="Arial" w:hAnsi="Arial" w:cs="Arial"/>
          <w:b w:val="0"/>
          <w:color w:val="auto"/>
          <w:sz w:val="24"/>
          <w:szCs w:val="24"/>
        </w:rPr>
        <w:t>.</w:t>
      </w:r>
    </w:p>
    <w:p w14:paraId="19516D58" w14:textId="63DC76F9" w:rsidR="000621EC" w:rsidRDefault="000621EC" w:rsidP="009367B4">
      <w:pPr>
        <w:spacing w:after="160" w:line="259" w:lineRule="auto"/>
        <w:jc w:val="left"/>
        <w:rPr>
          <w:lang w:eastAsia="pl-PL"/>
        </w:rPr>
      </w:pPr>
      <w:r>
        <w:rPr>
          <w:lang w:eastAsia="pl-PL"/>
        </w:rPr>
        <w:br w:type="page"/>
      </w:r>
    </w:p>
    <w:p w14:paraId="5BF54158" w14:textId="77777777" w:rsidR="00710815" w:rsidRPr="00237760" w:rsidRDefault="00710815" w:rsidP="009367B4">
      <w:pPr>
        <w:pStyle w:val="Nagwek3"/>
        <w:rPr>
          <w:rFonts w:ascii="Arial" w:hAnsi="Arial" w:cs="Arial"/>
          <w:color w:val="auto"/>
          <w:sz w:val="24"/>
          <w:szCs w:val="24"/>
        </w:rPr>
      </w:pPr>
      <w:bookmarkStart w:id="191" w:name="_Ref101863643"/>
      <w:bookmarkStart w:id="192" w:name="_Toc101904144"/>
      <w:bookmarkStart w:id="193" w:name="_Hlk97469538"/>
      <w:r w:rsidRPr="00237760">
        <w:rPr>
          <w:rFonts w:ascii="Arial" w:hAnsi="Arial" w:cs="Arial"/>
          <w:color w:val="auto"/>
          <w:sz w:val="24"/>
          <w:szCs w:val="24"/>
        </w:rPr>
        <w:lastRenderedPageBreak/>
        <w:t>Rozporządzenie Parlamentu Europejskiego i Rady (UE) 2021/1060 z dnia 24 czerwca 2021 r.</w:t>
      </w:r>
      <w:r w:rsidRPr="00237760">
        <w:rPr>
          <w:rStyle w:val="Odwoanieprzypisudolnego"/>
          <w:rFonts w:ascii="Arial" w:hAnsi="Arial" w:cs="Arial"/>
          <w:bCs/>
          <w:color w:val="auto"/>
          <w:sz w:val="24"/>
          <w:szCs w:val="24"/>
        </w:rPr>
        <w:footnoteReference w:id="48"/>
      </w:r>
      <w:bookmarkEnd w:id="191"/>
      <w:bookmarkEnd w:id="192"/>
    </w:p>
    <w:bookmarkEnd w:id="193"/>
    <w:p w14:paraId="6AD8C5FA" w14:textId="0D0AD1A5" w:rsidR="00710815" w:rsidRPr="00237760" w:rsidRDefault="00176292"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Pomiędzy kierunkami</w:t>
      </w:r>
      <w:r w:rsidR="00710815" w:rsidRPr="00237760">
        <w:rPr>
          <w:rFonts w:ascii="Arial" w:hAnsi="Arial" w:cs="Arial"/>
          <w:color w:val="auto"/>
          <w:sz w:val="24"/>
          <w:szCs w:val="24"/>
          <w:lang w:eastAsia="pl-PL"/>
        </w:rPr>
        <w:t xml:space="preserve"> rozwoju z Programu </w:t>
      </w:r>
      <w:r w:rsidRPr="00237760">
        <w:rPr>
          <w:rFonts w:ascii="Arial" w:hAnsi="Arial" w:cs="Arial"/>
          <w:color w:val="auto"/>
          <w:sz w:val="24"/>
          <w:szCs w:val="24"/>
          <w:lang w:eastAsia="pl-PL"/>
        </w:rPr>
        <w:t xml:space="preserve">a zakresem interwencji Celu Polityki 3 </w:t>
      </w:r>
      <w:r w:rsidR="00710815" w:rsidRPr="00237760">
        <w:rPr>
          <w:rFonts w:ascii="Arial" w:hAnsi="Arial" w:cs="Arial"/>
          <w:color w:val="auto"/>
          <w:sz w:val="24"/>
          <w:szCs w:val="24"/>
          <w:lang w:eastAsia="pl-PL"/>
        </w:rPr>
        <w:t>została zapewniona zgodność</w:t>
      </w:r>
      <w:r w:rsidRPr="00237760">
        <w:rPr>
          <w:rStyle w:val="Odwoanieprzypisudolnego"/>
          <w:rFonts w:ascii="Arial" w:hAnsi="Arial" w:cs="Arial"/>
          <w:color w:val="auto"/>
          <w:sz w:val="24"/>
          <w:szCs w:val="24"/>
          <w:lang w:eastAsia="pl-PL"/>
        </w:rPr>
        <w:footnoteReference w:id="49"/>
      </w:r>
      <w:r w:rsidRPr="00237760">
        <w:rPr>
          <w:rFonts w:ascii="Arial" w:hAnsi="Arial" w:cs="Arial"/>
          <w:color w:val="auto"/>
          <w:sz w:val="24"/>
          <w:szCs w:val="24"/>
          <w:lang w:eastAsia="pl-PL"/>
        </w:rPr>
        <w:t xml:space="preserve"> (</w:t>
      </w:r>
      <w:r w:rsidRPr="00237760">
        <w:rPr>
          <w:rFonts w:ascii="Arial" w:hAnsi="Arial" w:cs="Arial"/>
          <w:color w:val="auto"/>
          <w:sz w:val="24"/>
          <w:szCs w:val="24"/>
          <w:lang w:eastAsia="pl-PL"/>
        </w:rPr>
        <w:fldChar w:fldCharType="begin"/>
      </w:r>
      <w:r w:rsidRPr="00237760">
        <w:rPr>
          <w:rFonts w:ascii="Arial" w:hAnsi="Arial" w:cs="Arial"/>
          <w:color w:val="auto"/>
          <w:sz w:val="24"/>
          <w:szCs w:val="24"/>
          <w:lang w:eastAsia="pl-PL"/>
        </w:rPr>
        <w:instrText xml:space="preserve"> REF _Ref100999898 \h </w:instrText>
      </w:r>
      <w:r w:rsidR="00237760" w:rsidRPr="00237760">
        <w:rPr>
          <w:rFonts w:ascii="Arial" w:hAnsi="Arial" w:cs="Arial"/>
          <w:color w:val="auto"/>
          <w:sz w:val="24"/>
          <w:szCs w:val="24"/>
          <w:lang w:eastAsia="pl-PL"/>
        </w:rPr>
        <w:instrText xml:space="preserve"> \* MERGEFORMAT </w:instrText>
      </w:r>
      <w:r w:rsidRPr="00237760">
        <w:rPr>
          <w:rFonts w:ascii="Arial" w:hAnsi="Arial" w:cs="Arial"/>
          <w:color w:val="auto"/>
          <w:sz w:val="24"/>
          <w:szCs w:val="24"/>
          <w:lang w:eastAsia="pl-PL"/>
        </w:rPr>
      </w:r>
      <w:r w:rsidRPr="00237760">
        <w:rPr>
          <w:rFonts w:ascii="Arial" w:hAnsi="Arial" w:cs="Arial"/>
          <w:color w:val="auto"/>
          <w:sz w:val="24"/>
          <w:szCs w:val="24"/>
          <w:lang w:eastAsia="pl-PL"/>
        </w:rPr>
        <w:fldChar w:fldCharType="separate"/>
      </w:r>
      <w:r w:rsidR="00E52C19" w:rsidRPr="00237760">
        <w:rPr>
          <w:rFonts w:ascii="Arial" w:hAnsi="Arial" w:cs="Arial"/>
          <w:color w:val="auto"/>
          <w:sz w:val="24"/>
          <w:szCs w:val="24"/>
        </w:rPr>
        <w:t xml:space="preserve">Tabela </w:t>
      </w:r>
      <w:r w:rsidR="00E52C19" w:rsidRPr="00237760">
        <w:rPr>
          <w:rFonts w:ascii="Arial" w:hAnsi="Arial" w:cs="Arial"/>
          <w:noProof/>
          <w:color w:val="auto"/>
          <w:sz w:val="24"/>
          <w:szCs w:val="24"/>
        </w:rPr>
        <w:t>24</w:t>
      </w:r>
      <w:r w:rsidRPr="00237760">
        <w:rPr>
          <w:rFonts w:ascii="Arial" w:hAnsi="Arial" w:cs="Arial"/>
          <w:color w:val="auto"/>
          <w:sz w:val="24"/>
          <w:szCs w:val="24"/>
          <w:lang w:eastAsia="pl-PL"/>
        </w:rPr>
        <w:fldChar w:fldCharType="end"/>
      </w:r>
      <w:r w:rsidRPr="00237760">
        <w:rPr>
          <w:rFonts w:ascii="Arial" w:hAnsi="Arial" w:cs="Arial"/>
          <w:color w:val="auto"/>
          <w:sz w:val="24"/>
          <w:szCs w:val="24"/>
          <w:lang w:eastAsia="pl-PL"/>
        </w:rPr>
        <w:t>)</w:t>
      </w:r>
      <w:r w:rsidR="00710815" w:rsidRPr="00237760">
        <w:rPr>
          <w:rFonts w:ascii="Arial" w:hAnsi="Arial" w:cs="Arial"/>
          <w:color w:val="auto"/>
          <w:sz w:val="24"/>
          <w:szCs w:val="24"/>
          <w:lang w:eastAsia="pl-PL"/>
        </w:rPr>
        <w:t xml:space="preserve">. W PSRT WP wyznaczono kierunki trafiające w 18 z 33 punktów zakresu interwencji CP3. Najbardziej reprezentowane są punkty 90, 93, 98 i 102, odpowiadające za budowę </w:t>
      </w:r>
      <w:r w:rsidR="00C605B2" w:rsidRPr="00237760">
        <w:rPr>
          <w:rFonts w:ascii="Arial" w:hAnsi="Arial" w:cs="Arial"/>
          <w:color w:val="auto"/>
          <w:sz w:val="24"/>
          <w:szCs w:val="24"/>
          <w:lang w:eastAsia="pl-PL"/>
        </w:rPr>
        <w:br/>
      </w:r>
      <w:r w:rsidR="00710815" w:rsidRPr="00237760">
        <w:rPr>
          <w:rFonts w:ascii="Arial" w:hAnsi="Arial" w:cs="Arial"/>
          <w:color w:val="auto"/>
          <w:sz w:val="24"/>
          <w:szCs w:val="24"/>
          <w:lang w:eastAsia="pl-PL"/>
        </w:rPr>
        <w:t>i modernizację dróg i linii kolejowych niezwiązanych z siecią TEN-T.</w:t>
      </w:r>
    </w:p>
    <w:p w14:paraId="5EF36B11" w14:textId="5477443D" w:rsidR="00710815" w:rsidRPr="00237760" w:rsidRDefault="00710815" w:rsidP="009367B4">
      <w:pPr>
        <w:pStyle w:val="Legenda"/>
        <w:keepNext/>
        <w:jc w:val="left"/>
        <w:rPr>
          <w:rFonts w:ascii="Arial" w:hAnsi="Arial" w:cs="Arial"/>
          <w:color w:val="auto"/>
          <w:sz w:val="24"/>
          <w:szCs w:val="24"/>
        </w:rPr>
      </w:pPr>
      <w:bookmarkStart w:id="194" w:name="_Ref100999898"/>
      <w:bookmarkStart w:id="195" w:name="_Toc101904265"/>
      <w:r w:rsidRPr="00237760">
        <w:rPr>
          <w:rFonts w:ascii="Arial" w:hAnsi="Arial" w:cs="Arial"/>
          <w:color w:val="auto"/>
          <w:sz w:val="24"/>
          <w:szCs w:val="24"/>
        </w:rPr>
        <w:t xml:space="preserve">Tabela </w:t>
      </w:r>
      <w:r w:rsidRPr="00237760">
        <w:rPr>
          <w:rFonts w:ascii="Arial" w:hAnsi="Arial" w:cs="Arial"/>
          <w:noProof/>
          <w:color w:val="auto"/>
          <w:sz w:val="24"/>
          <w:szCs w:val="24"/>
        </w:rPr>
        <w:fldChar w:fldCharType="begin"/>
      </w:r>
      <w:r w:rsidRPr="00237760">
        <w:rPr>
          <w:rFonts w:ascii="Arial" w:hAnsi="Arial" w:cs="Arial"/>
          <w:noProof/>
          <w:color w:val="auto"/>
          <w:sz w:val="24"/>
          <w:szCs w:val="24"/>
        </w:rPr>
        <w:instrText xml:space="preserve"> SEQ Tabela \* ARABIC </w:instrText>
      </w:r>
      <w:r w:rsidRPr="00237760">
        <w:rPr>
          <w:rFonts w:ascii="Arial" w:hAnsi="Arial" w:cs="Arial"/>
          <w:noProof/>
          <w:color w:val="auto"/>
          <w:sz w:val="24"/>
          <w:szCs w:val="24"/>
        </w:rPr>
        <w:fldChar w:fldCharType="separate"/>
      </w:r>
      <w:r w:rsidR="00762B20" w:rsidRPr="00237760">
        <w:rPr>
          <w:rFonts w:ascii="Arial" w:hAnsi="Arial" w:cs="Arial"/>
          <w:noProof/>
          <w:color w:val="auto"/>
          <w:sz w:val="24"/>
          <w:szCs w:val="24"/>
        </w:rPr>
        <w:t>24</w:t>
      </w:r>
      <w:r w:rsidRPr="00237760">
        <w:rPr>
          <w:rFonts w:ascii="Arial" w:hAnsi="Arial" w:cs="Arial"/>
          <w:noProof/>
          <w:color w:val="auto"/>
          <w:sz w:val="24"/>
          <w:szCs w:val="24"/>
        </w:rPr>
        <w:fldChar w:fldCharType="end"/>
      </w:r>
      <w:bookmarkEnd w:id="194"/>
      <w:r w:rsidR="00176292" w:rsidRPr="00237760">
        <w:rPr>
          <w:rFonts w:ascii="Arial" w:hAnsi="Arial" w:cs="Arial"/>
          <w:noProof/>
          <w:color w:val="auto"/>
          <w:sz w:val="24"/>
          <w:szCs w:val="24"/>
        </w:rPr>
        <w:t>.</w:t>
      </w:r>
      <w:r w:rsidRPr="00237760">
        <w:rPr>
          <w:rFonts w:ascii="Arial" w:hAnsi="Arial" w:cs="Arial"/>
          <w:color w:val="auto"/>
          <w:sz w:val="24"/>
          <w:szCs w:val="24"/>
        </w:rPr>
        <w:t xml:space="preserve"> Ocena spójności </w:t>
      </w:r>
      <w:r w:rsidR="00F311FF" w:rsidRPr="00237760">
        <w:rPr>
          <w:rFonts w:ascii="Arial" w:hAnsi="Arial" w:cs="Arial"/>
          <w:color w:val="auto"/>
          <w:sz w:val="24"/>
          <w:szCs w:val="24"/>
        </w:rPr>
        <w:t>PSRT WP</w:t>
      </w:r>
      <w:r w:rsidRPr="00237760">
        <w:rPr>
          <w:rFonts w:ascii="Arial" w:hAnsi="Arial" w:cs="Arial"/>
          <w:color w:val="auto"/>
          <w:sz w:val="24"/>
          <w:szCs w:val="24"/>
        </w:rPr>
        <w:t xml:space="preserve"> z Rozporządzeniem Parlamentu Europejskiego i Rady (UE) 2021/1060 z dnia 24 czerwca 2021 r.</w:t>
      </w:r>
      <w:bookmarkEnd w:id="195"/>
    </w:p>
    <w:tbl>
      <w:tblPr>
        <w:tblStyle w:val="Tabela-Siatka"/>
        <w:tblW w:w="9219" w:type="dxa"/>
        <w:tblInd w:w="-5"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57" w:type="dxa"/>
          <w:right w:w="57" w:type="dxa"/>
        </w:tblCellMar>
        <w:tblLook w:val="04A0" w:firstRow="1" w:lastRow="0" w:firstColumn="1" w:lastColumn="0" w:noHBand="0" w:noVBand="1"/>
        <w:tblCaption w:val="Tabela 24. Ocena spójności PSRT WP z Rozporządzeniem Parlamentu Europejskiego i Rady (UE) 2021/1060 z dnia 24 czerwca 2021 r."/>
        <w:tblDescription w:val="Tabela zawiera Zakres interwencji Celu Polityki 3, Cele podstawowe PSRT WP, Cele horyzontalne PSRT WP"/>
      </w:tblPr>
      <w:tblGrid>
        <w:gridCol w:w="5250"/>
        <w:gridCol w:w="567"/>
        <w:gridCol w:w="567"/>
        <w:gridCol w:w="567"/>
        <w:gridCol w:w="567"/>
        <w:gridCol w:w="567"/>
        <w:gridCol w:w="567"/>
        <w:gridCol w:w="567"/>
      </w:tblGrid>
      <w:tr w:rsidR="00237760" w:rsidRPr="00237760" w14:paraId="519C93FA" w14:textId="77777777" w:rsidTr="00FB20A6">
        <w:trPr>
          <w:trHeight w:val="80"/>
          <w:tblHeader/>
        </w:trPr>
        <w:tc>
          <w:tcPr>
            <w:tcW w:w="9219" w:type="dxa"/>
            <w:gridSpan w:val="8"/>
            <w:tcBorders>
              <w:top w:val="nil"/>
              <w:left w:val="nil"/>
              <w:bottom w:val="single" w:sz="12" w:space="0" w:color="002060"/>
            </w:tcBorders>
            <w:shd w:val="clear" w:color="auto" w:fill="auto"/>
            <w:vAlign w:val="center"/>
          </w:tcPr>
          <w:p w14:paraId="3B5F49BC"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Rozporządzenie Parlamentu Europejskiego i Rady (UE) 2021/1060 z dnia 24 czerwca 2021 r.</w:t>
            </w:r>
          </w:p>
        </w:tc>
      </w:tr>
      <w:tr w:rsidR="00237760" w:rsidRPr="00237760" w14:paraId="092320B0" w14:textId="77777777" w:rsidTr="00FB20A6">
        <w:trPr>
          <w:trHeight w:val="122"/>
          <w:tblHeader/>
        </w:trPr>
        <w:tc>
          <w:tcPr>
            <w:tcW w:w="5250" w:type="dxa"/>
            <w:vMerge w:val="restart"/>
            <w:tcBorders>
              <w:top w:val="single" w:sz="12" w:space="0" w:color="002060"/>
              <w:left w:val="nil"/>
              <w:bottom w:val="single" w:sz="4" w:space="0" w:color="BDD6EE" w:themeColor="accent1" w:themeTint="66"/>
              <w:right w:val="nil"/>
            </w:tcBorders>
            <w:shd w:val="clear" w:color="auto" w:fill="auto"/>
            <w:vAlign w:val="center"/>
            <w:hideMark/>
          </w:tcPr>
          <w:p w14:paraId="7EE5C01F"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Zakres interwencji Celu Polityki 3</w:t>
            </w:r>
          </w:p>
        </w:tc>
        <w:tc>
          <w:tcPr>
            <w:tcW w:w="1701" w:type="dxa"/>
            <w:gridSpan w:val="3"/>
            <w:tcBorders>
              <w:top w:val="single" w:sz="12" w:space="0" w:color="002060"/>
              <w:left w:val="nil"/>
              <w:bottom w:val="single" w:sz="4" w:space="0" w:color="BDD6EE" w:themeColor="accent1" w:themeTint="66"/>
            </w:tcBorders>
            <w:shd w:val="clear" w:color="auto" w:fill="auto"/>
            <w:vAlign w:val="center"/>
          </w:tcPr>
          <w:p w14:paraId="4F087174"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podstawowe PSRT WP</w:t>
            </w:r>
          </w:p>
        </w:tc>
        <w:tc>
          <w:tcPr>
            <w:tcW w:w="2268" w:type="dxa"/>
            <w:gridSpan w:val="4"/>
            <w:tcBorders>
              <w:top w:val="single" w:sz="12" w:space="0" w:color="002060"/>
              <w:left w:val="nil"/>
              <w:bottom w:val="single" w:sz="4" w:space="0" w:color="BDD6EE" w:themeColor="accent1" w:themeTint="66"/>
            </w:tcBorders>
            <w:shd w:val="clear" w:color="auto" w:fill="auto"/>
            <w:vAlign w:val="center"/>
          </w:tcPr>
          <w:p w14:paraId="11F5434A"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horyzontalne PSRT WP</w:t>
            </w:r>
          </w:p>
        </w:tc>
      </w:tr>
      <w:tr w:rsidR="00237760" w:rsidRPr="00237760" w14:paraId="309A5E86" w14:textId="77777777" w:rsidTr="00FB20A6">
        <w:trPr>
          <w:trHeight w:val="85"/>
          <w:tblHeader/>
        </w:trPr>
        <w:tc>
          <w:tcPr>
            <w:tcW w:w="5250" w:type="dxa"/>
            <w:vMerge/>
            <w:tcBorders>
              <w:top w:val="nil"/>
              <w:left w:val="nil"/>
              <w:bottom w:val="single" w:sz="4" w:space="0" w:color="BDD6EE" w:themeColor="accent1" w:themeTint="66"/>
              <w:right w:val="nil"/>
            </w:tcBorders>
            <w:shd w:val="clear" w:color="auto" w:fill="auto"/>
            <w:vAlign w:val="center"/>
            <w:hideMark/>
          </w:tcPr>
          <w:p w14:paraId="23A9B942" w14:textId="77777777" w:rsidR="00710815" w:rsidRPr="00237760" w:rsidRDefault="00710815" w:rsidP="009367B4">
            <w:pPr>
              <w:spacing w:after="0" w:line="240" w:lineRule="auto"/>
              <w:jc w:val="left"/>
              <w:rPr>
                <w:rFonts w:ascii="Arial" w:hAnsi="Arial" w:cs="Arial"/>
                <w:b/>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4134F118"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2711F093"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7646FC7C"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1C510D05"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6C6D48EA"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nil"/>
            </w:tcBorders>
            <w:shd w:val="clear" w:color="auto" w:fill="auto"/>
          </w:tcPr>
          <w:p w14:paraId="37931984"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nil"/>
            </w:tcBorders>
            <w:shd w:val="clear" w:color="auto" w:fill="auto"/>
          </w:tcPr>
          <w:p w14:paraId="2146B4FF"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4.</w:t>
            </w:r>
          </w:p>
        </w:tc>
      </w:tr>
      <w:tr w:rsidR="00237760" w:rsidRPr="00237760" w14:paraId="1ADE9CF4" w14:textId="77777777" w:rsidTr="00FB20A6">
        <w:trPr>
          <w:trHeight w:val="292"/>
        </w:trPr>
        <w:tc>
          <w:tcPr>
            <w:tcW w:w="5250"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2D2903E3"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87. Nowo wybudowane lub rozbudowane autostrady i drogi – sieć bazowa TEN-T</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1986E0B4"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66670692"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1973FD30"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11C4CE5E"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462D9AE7"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5E9C76F1"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338BF263"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1CD1B446" w14:textId="77777777" w:rsidTr="00FB20A6">
        <w:trPr>
          <w:trHeight w:val="14"/>
        </w:trPr>
        <w:tc>
          <w:tcPr>
            <w:tcW w:w="5250"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69380013"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88. Nowo wybudowane lub rozbudowane autostrady i drogi – sieć kompleksowa TEN-T</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2467C507"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3BFE5524"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27151761"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6F2E9AC9"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69F4F3D9"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753BBC26"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0FADE25D"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6118D67B" w14:textId="77777777" w:rsidTr="00FB20A6">
        <w:trPr>
          <w:trHeight w:val="14"/>
        </w:trPr>
        <w:tc>
          <w:tcPr>
            <w:tcW w:w="5250"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33FD9488"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89. Nowo wybudowane lub rozbudowane drugorzędne połączenia drogowe z siecią drogową i węzłami TEN-T</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2237FA9A"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5895AD93"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0130D31F"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49200342"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6C29E141"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1DB35D99"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051A681D"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3DD5FDD4" w14:textId="77777777" w:rsidTr="00FB20A6">
        <w:trPr>
          <w:trHeight w:val="14"/>
        </w:trPr>
        <w:tc>
          <w:tcPr>
            <w:tcW w:w="5250"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10E9247F"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90. Nowo wybudowane lub rozbudowane inne krajowe, regionalne i lokalne drogi dojazdowe</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5B29E09F"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709B0E59"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07825D54"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2F430FB2"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3ABDF1A3"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23EBC91E"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278F41A4"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0A046376" w14:textId="77777777" w:rsidTr="00FB20A6">
        <w:trPr>
          <w:trHeight w:val="14"/>
        </w:trPr>
        <w:tc>
          <w:tcPr>
            <w:tcW w:w="5250"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55779245"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91. Przebudowane lub zmodernizowane autostrady i drogi – sieć bazowa TEN-T</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67333C41"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339B65A0"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6B96870F"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08C845C9"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0629E2E6"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0FF251D9"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5E3A9F76"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244439AB" w14:textId="77777777" w:rsidTr="00FB20A6">
        <w:trPr>
          <w:trHeight w:val="14"/>
        </w:trPr>
        <w:tc>
          <w:tcPr>
            <w:tcW w:w="5250"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6568676D"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92. Przebudowane lub zmodernizowane autostrady i drogi – sieć kompleksowa TEN-T</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7154BE53"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5B166E69"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0696A085"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5B98B0C8"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0BC2D7C7"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4CDCAF14"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49357E89"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4189CA6C" w14:textId="77777777" w:rsidTr="00FB20A6">
        <w:trPr>
          <w:trHeight w:val="14"/>
        </w:trPr>
        <w:tc>
          <w:tcPr>
            <w:tcW w:w="5250"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68651E2D"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93. Inne drogi przebudowane lub zmodernizowane (autostrady, drogi krajowe, regionalne lub lokalne)</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0A438203"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5ADF6283"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46D328FC"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2DD82CE1"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593E8BB4"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4F825BAC"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5703A2CF"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685AECDA" w14:textId="77777777" w:rsidTr="00FB20A6">
        <w:trPr>
          <w:trHeight w:val="14"/>
        </w:trPr>
        <w:tc>
          <w:tcPr>
            <w:tcW w:w="5250"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5E27684D"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94. Cyfryzacja transportu: transport drogowy</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28D92E5C"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2ED457D7"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233A9379"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vAlign w:val="center"/>
          </w:tcPr>
          <w:p w14:paraId="19383D8F"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1D9E5E0F"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5F8B2762"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7872D4CE"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3910CAB6" w14:textId="77777777" w:rsidTr="00FB20A6">
        <w:trPr>
          <w:trHeight w:val="14"/>
        </w:trPr>
        <w:tc>
          <w:tcPr>
            <w:tcW w:w="5250"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033D5784"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lastRenderedPageBreak/>
              <w:t>95. Cyfryzacja transportu, gdy ma częściowo na celu redukcję emisji gazów cieplarnianych: transport drogowy</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63532124"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072B5925"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25079C9C"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vAlign w:val="center"/>
          </w:tcPr>
          <w:p w14:paraId="300FE10B"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6C392AB3"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68280EB5"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63C9355B"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3B3F41AA" w14:textId="77777777" w:rsidTr="00FB20A6">
        <w:trPr>
          <w:trHeight w:val="14"/>
        </w:trPr>
        <w:tc>
          <w:tcPr>
            <w:tcW w:w="5250"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543D7C1C"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96. Nowo wybudowane lub rozbudowane linie kolejowe – sieć bazowa TEN-T</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55CF2FC3"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086833C5"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2096BD92"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51F35BEF"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001ACE1F"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1F623D20"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16CFC181"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75EE8DC0" w14:textId="77777777" w:rsidTr="00FB20A6">
        <w:trPr>
          <w:trHeight w:val="14"/>
        </w:trPr>
        <w:tc>
          <w:tcPr>
            <w:tcW w:w="5250"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04C6DB65"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97. Nowo wybudowane lub rozbudowane linie kolejowe – sieć kompleksowa TEN-T</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5BDB73DA"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0CF85AF3"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2EC5CD35"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755E352E"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3A2B1821"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22496B8D"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75AFD796"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4D0F04EB" w14:textId="77777777" w:rsidTr="00FB20A6">
        <w:trPr>
          <w:trHeight w:val="14"/>
        </w:trPr>
        <w:tc>
          <w:tcPr>
            <w:tcW w:w="5250"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5BC0ED1E"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98. Inne nowo wybudowane lub rozbudowane linie kolejowe</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1355872C"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532F4C58"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5890AFFF"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41BCB648"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7FA9D087"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30B1CC38"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2FF45FE1"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44E9A1C9" w14:textId="77777777" w:rsidTr="00FB20A6">
        <w:trPr>
          <w:trHeight w:val="14"/>
        </w:trPr>
        <w:tc>
          <w:tcPr>
            <w:tcW w:w="5250"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543C7E77"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99. Inne nowo wybudowane lub rozbudowane linie kolejowe – elektryczne/bezemisyjne</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cPr>
          <w:p w14:paraId="2FCC85EE"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vAlign w:val="center"/>
          </w:tcPr>
          <w:p w14:paraId="543AC81D"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6E1BD367"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3C8A1293"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17F76A7F"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09BD3C7E"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3BC663A6"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13BC0E4A" w14:textId="77777777" w:rsidTr="00FB20A6">
        <w:trPr>
          <w:trHeight w:val="14"/>
        </w:trPr>
        <w:tc>
          <w:tcPr>
            <w:tcW w:w="5250"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51F064A0"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100. Przebudowane lub zmodernizowane linie kolejowe – sieć bazowa TEN-T</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0E512858"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5A855FC1"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49B75A43"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1A0E8C71"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3B2E8532"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02B8A735"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00F36025"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44D0B4CE" w14:textId="77777777" w:rsidTr="00FB20A6">
        <w:trPr>
          <w:trHeight w:val="14"/>
        </w:trPr>
        <w:tc>
          <w:tcPr>
            <w:tcW w:w="5250"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307CE2C0"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101. Przebudowane lub zmodernizowane linie kolejowe – sieć kompleksowa TEN-T</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4213BD77"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0A5868DB"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7CBB5F3D"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3B41A484"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60513172"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25E2C5EC"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07CFAA9B"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384D05AC" w14:textId="77777777" w:rsidTr="00FB20A6">
        <w:trPr>
          <w:trHeight w:val="14"/>
        </w:trPr>
        <w:tc>
          <w:tcPr>
            <w:tcW w:w="5250"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15B51B08"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102. Inne przebudowane lub zmodernizowane linie kolejowe</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5FDAAD5D"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6339B01C"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37260E85"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4A07D0D1"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28E2CD3A"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1FE7E1BF"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1DCC0E4B"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2D95319F" w14:textId="77777777" w:rsidTr="00FB20A6">
        <w:trPr>
          <w:trHeight w:val="14"/>
        </w:trPr>
        <w:tc>
          <w:tcPr>
            <w:tcW w:w="5250"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7DDF7AB0"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103. Inne przebudowane lub zmodernizowane linie kolejowe – elektryczne/bezemisyjne</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01729EAA"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253D8274"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43C25370"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1107D6FB"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74CF0A89"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45D4222E"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763014A7"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733BBEE0" w14:textId="77777777" w:rsidTr="00FB20A6">
        <w:trPr>
          <w:trHeight w:val="14"/>
        </w:trPr>
        <w:tc>
          <w:tcPr>
            <w:tcW w:w="5250"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4F9D6A6A"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104. Cyfryzacja transportu: transport kolejowy</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6508538D"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0B7A2968"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689344CF"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74C3A4B8"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109319C9"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76510012"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1C7C9A64"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75E9E8A4" w14:textId="77777777" w:rsidTr="00FB20A6">
        <w:trPr>
          <w:trHeight w:val="14"/>
        </w:trPr>
        <w:tc>
          <w:tcPr>
            <w:tcW w:w="5250"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56167B54"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105. Europejski system zarządzania ruchem kolejowym (ERTMS)</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37862B58"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3139A30A"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0B3088D5"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5FFE10D2"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30D82008"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6E51A147"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4CA520D8"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2ED364C8" w14:textId="77777777" w:rsidTr="00FB20A6">
        <w:trPr>
          <w:trHeight w:val="14"/>
        </w:trPr>
        <w:tc>
          <w:tcPr>
            <w:tcW w:w="5250"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298EC42E"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106. Tabor kolejowy</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6508E210"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20D57959"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389D16A3"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7D7A33BE"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541FF9A2"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69B88E32"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683405E7"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4083855C" w14:textId="77777777" w:rsidTr="00FB20A6">
        <w:trPr>
          <w:trHeight w:val="14"/>
        </w:trPr>
        <w:tc>
          <w:tcPr>
            <w:tcW w:w="5250"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7ECE1BC7"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107. Bezemisyjny / zasilany energią elektryczną tabor kolejowy</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440C9A4D"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3288634D"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355646F5"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vAlign w:val="center"/>
          </w:tcPr>
          <w:p w14:paraId="49ECF181"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21F9CD2A"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07407BEF"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4FDF31BA"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46631F4A" w14:textId="77777777" w:rsidTr="00FB20A6">
        <w:trPr>
          <w:trHeight w:val="14"/>
        </w:trPr>
        <w:tc>
          <w:tcPr>
            <w:tcW w:w="5250"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109FFDA1"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108. Transport multimodalny (TEN-T)</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64D1CFD8"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601F80D0"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339D8241"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3C9AD786"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1B4AF657"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25D92619"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1697534B"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658E41CE" w14:textId="77777777" w:rsidTr="00FB20A6">
        <w:trPr>
          <w:trHeight w:val="14"/>
        </w:trPr>
        <w:tc>
          <w:tcPr>
            <w:tcW w:w="5250"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63B438D1"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109. Transport multimodalny (poza miastami)</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13F48916"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273BDEB2"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3EDB1400"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759B2CD2"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5D1378E9"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4F126FF7"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115E3119"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32181348" w14:textId="77777777" w:rsidTr="00FB20A6">
        <w:trPr>
          <w:trHeight w:val="14"/>
        </w:trPr>
        <w:tc>
          <w:tcPr>
            <w:tcW w:w="5250"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1D7F5EBE"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110. Porty morskie (TEN-T)</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3A626FDF"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6D6A9779"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2D41F884"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56E7A7A9"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1017D1B8"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7CD532B7"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1A07A380"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4C5519FC" w14:textId="77777777" w:rsidTr="00FB20A6">
        <w:trPr>
          <w:trHeight w:val="14"/>
        </w:trPr>
        <w:tc>
          <w:tcPr>
            <w:tcW w:w="5250"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60A88A52"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111. Porty morskie (TEN-T) z wyłączeniem obiektów przeznaczonych do transportu paliw kopalnych</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3CCF4B79"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778F3912"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4C8D58C1"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6592CFA2"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4C346CCB"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123E73A7"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00E78139"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15E09491" w14:textId="77777777" w:rsidTr="00FB20A6">
        <w:trPr>
          <w:trHeight w:val="14"/>
        </w:trPr>
        <w:tc>
          <w:tcPr>
            <w:tcW w:w="5250"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77D2ADD0"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112. Inne porty morskie</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686304FD"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39C344A3"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132CFC2E"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3FD337D1"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2511353A"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2033C5EB"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7D3C85A9"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3BE2C65A" w14:textId="77777777" w:rsidTr="00FB20A6">
        <w:trPr>
          <w:trHeight w:val="14"/>
        </w:trPr>
        <w:tc>
          <w:tcPr>
            <w:tcW w:w="5250"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63B02F01"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113. Inne porty morskie z wyłączeniem obiektów przeznaczonych do transportu paliw kopalnych</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79081945"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46BE5916"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0F6C85ED"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515A7BE9"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175076EF"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04EF67C6"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6F6CCC33"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37AD2B3D" w14:textId="77777777" w:rsidTr="00FB20A6">
        <w:trPr>
          <w:trHeight w:val="14"/>
        </w:trPr>
        <w:tc>
          <w:tcPr>
            <w:tcW w:w="5250"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05E02E0F"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114. Śródlądowe drogi wodne i porty (TEN-T)</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0453B43E"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1A366A3E"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34969D72"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1122FEDA"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06979BE9"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0144DB4B"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499D6EB6"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4CDB872C" w14:textId="77777777" w:rsidTr="00FB20A6">
        <w:trPr>
          <w:trHeight w:val="14"/>
        </w:trPr>
        <w:tc>
          <w:tcPr>
            <w:tcW w:w="5250"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0960906A"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115. Śródlądowe drogi wodne i porty (TEN-T) z wyłączeniem obiektów przeznaczonych do transportu paliw kopalnych</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5890F066"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4B63543E"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3CA3AA89"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6DD225B4"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31FD65B9"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61344372"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2D0C5311"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6B0CC85C" w14:textId="77777777" w:rsidTr="00FB20A6">
        <w:trPr>
          <w:trHeight w:val="14"/>
        </w:trPr>
        <w:tc>
          <w:tcPr>
            <w:tcW w:w="5250"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1CDD6E37"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116. Śródlądowe drogi wodne i porty (regionalne i lokalne)</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75D9F58A"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45ADACDD"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32CD6C55"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0DC1CEC0"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5F25555E"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3648EB23"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26717E73"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357CC791" w14:textId="77777777" w:rsidTr="00FB20A6">
        <w:trPr>
          <w:trHeight w:val="14"/>
        </w:trPr>
        <w:tc>
          <w:tcPr>
            <w:tcW w:w="5250"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646F4F4E"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lastRenderedPageBreak/>
              <w:t>117. Śródlądowe drogi wodne i porty (regionalne i lokalne) z wyłączeniem obiektów przeznaczonych do transportu paliw kopalnych</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1D42541B"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14A15173"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0BBE60C1"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21927387"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0A66CA5A"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246D9D0A"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1C2E40E8"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536B16EA" w14:textId="77777777" w:rsidTr="00FB20A6">
        <w:trPr>
          <w:trHeight w:val="14"/>
        </w:trPr>
        <w:tc>
          <w:tcPr>
            <w:tcW w:w="5250"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0F00E3DD"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118. Systemy ochrony, bezpieczeństwa i zarządzania ruchem lotniczym dla istniejących portów lotniczych</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30325520"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15F87D2D"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78E6E4F0"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4CE9B0DD"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3C32FADB"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0ACE84F8"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2FCFD6AA"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766DE157" w14:textId="77777777" w:rsidTr="00FB20A6">
        <w:trPr>
          <w:trHeight w:val="14"/>
        </w:trPr>
        <w:tc>
          <w:tcPr>
            <w:tcW w:w="5250"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4E5B0312"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119. Cyfryzacja transportu: inne rodzaje transportu</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tcPr>
          <w:p w14:paraId="1491B13E"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vAlign w:val="center"/>
          </w:tcPr>
          <w:p w14:paraId="344959FC"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FFFFFF" w:themeFill="background1"/>
            <w:vAlign w:val="center"/>
          </w:tcPr>
          <w:p w14:paraId="7D0DF6CE"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1BC22A02"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02D25B3B"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5B02AB5E"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10751330"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09FF060F" w14:textId="77777777" w:rsidTr="00FB20A6">
        <w:trPr>
          <w:trHeight w:val="14"/>
        </w:trPr>
        <w:tc>
          <w:tcPr>
            <w:tcW w:w="5250" w:type="dxa"/>
            <w:tcBorders>
              <w:top w:val="single" w:sz="4" w:space="0" w:color="BDD6EE" w:themeColor="accent1" w:themeTint="66"/>
              <w:left w:val="nil"/>
              <w:bottom w:val="single" w:sz="12" w:space="0" w:color="002060"/>
              <w:right w:val="single" w:sz="4" w:space="0" w:color="BDD6EE" w:themeColor="accent1" w:themeTint="66"/>
            </w:tcBorders>
          </w:tcPr>
          <w:p w14:paraId="706ABCB1"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120. Cyfryzacja transportu, gdy ma częściowo na celu redukcję emisji gazów cieplarnianych: inne rodzaje transportu</w:t>
            </w:r>
          </w:p>
        </w:tc>
        <w:tc>
          <w:tcPr>
            <w:tcW w:w="567"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FFFFFF" w:themeFill="background1"/>
          </w:tcPr>
          <w:p w14:paraId="49D5B654"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FFFFFF" w:themeFill="background1"/>
            <w:vAlign w:val="center"/>
          </w:tcPr>
          <w:p w14:paraId="26C0A13D"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FFFFFF" w:themeFill="background1"/>
            <w:vAlign w:val="center"/>
          </w:tcPr>
          <w:p w14:paraId="46F66A24"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9CC2E5"/>
            <w:vAlign w:val="center"/>
          </w:tcPr>
          <w:p w14:paraId="7652BDC4"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auto"/>
            <w:vAlign w:val="center"/>
          </w:tcPr>
          <w:p w14:paraId="5F470E79"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9CC2E5"/>
            <w:vAlign w:val="center"/>
          </w:tcPr>
          <w:p w14:paraId="440324FA"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auto"/>
          </w:tcPr>
          <w:p w14:paraId="47AE6FAC" w14:textId="77777777" w:rsidR="00710815" w:rsidRPr="00237760" w:rsidRDefault="00710815" w:rsidP="009367B4">
            <w:pPr>
              <w:spacing w:after="0" w:line="240" w:lineRule="auto"/>
              <w:jc w:val="left"/>
              <w:rPr>
                <w:rFonts w:ascii="Arial" w:hAnsi="Arial" w:cs="Arial"/>
                <w:color w:val="auto"/>
                <w:sz w:val="24"/>
                <w:szCs w:val="24"/>
              </w:rPr>
            </w:pPr>
          </w:p>
        </w:tc>
      </w:tr>
    </w:tbl>
    <w:p w14:paraId="1798287F" w14:textId="5AF20970" w:rsidR="00710815" w:rsidRPr="00237760" w:rsidRDefault="00710815" w:rsidP="009367B4">
      <w:pPr>
        <w:spacing w:after="0"/>
        <w:jc w:val="left"/>
        <w:rPr>
          <w:rFonts w:ascii="Arial" w:hAnsi="Arial" w:cs="Arial"/>
          <w:color w:val="auto"/>
          <w:sz w:val="24"/>
          <w:szCs w:val="24"/>
        </w:rPr>
      </w:pPr>
      <w:r w:rsidRPr="00237760">
        <w:rPr>
          <w:rFonts w:ascii="Arial" w:hAnsi="Arial" w:cs="Arial"/>
          <w:color w:val="auto"/>
          <w:sz w:val="24"/>
          <w:szCs w:val="24"/>
        </w:rPr>
        <w:t>Źródło: opracowanie własne</w:t>
      </w:r>
      <w:r w:rsidR="00176292" w:rsidRPr="00237760">
        <w:rPr>
          <w:rFonts w:ascii="Arial" w:hAnsi="Arial" w:cs="Arial"/>
          <w:color w:val="auto"/>
          <w:sz w:val="24"/>
          <w:szCs w:val="24"/>
        </w:rPr>
        <w:t xml:space="preserve"> na podstawie </w:t>
      </w:r>
      <w:r w:rsidR="00F311FF" w:rsidRPr="00237760">
        <w:rPr>
          <w:rFonts w:ascii="Arial" w:hAnsi="Arial" w:cs="Arial"/>
          <w:color w:val="auto"/>
          <w:sz w:val="24"/>
          <w:szCs w:val="24"/>
        </w:rPr>
        <w:t>PSRT WP</w:t>
      </w:r>
      <w:r w:rsidR="00176292" w:rsidRPr="00237760">
        <w:rPr>
          <w:rFonts w:ascii="Arial" w:hAnsi="Arial" w:cs="Arial"/>
          <w:color w:val="auto"/>
          <w:sz w:val="24"/>
          <w:szCs w:val="24"/>
        </w:rPr>
        <w:t xml:space="preserve"> oraz Rozporządzenia Parlamentu Europejskiego i Rady (UE) 2021/1060 z dnia 24 czerwca 2021 r.</w:t>
      </w:r>
    </w:p>
    <w:p w14:paraId="603026E9" w14:textId="77777777" w:rsidR="00710815" w:rsidRPr="00237760" w:rsidRDefault="00710815" w:rsidP="009367B4">
      <w:pPr>
        <w:pStyle w:val="Nagwek3"/>
        <w:rPr>
          <w:rFonts w:ascii="Arial" w:hAnsi="Arial" w:cs="Arial"/>
          <w:color w:val="auto"/>
          <w:sz w:val="24"/>
          <w:szCs w:val="24"/>
        </w:rPr>
      </w:pPr>
      <w:bookmarkStart w:id="196" w:name="_Toc101904145"/>
      <w:r w:rsidRPr="00237760">
        <w:rPr>
          <w:rFonts w:ascii="Arial" w:hAnsi="Arial" w:cs="Arial"/>
          <w:color w:val="auto"/>
          <w:sz w:val="24"/>
          <w:szCs w:val="24"/>
        </w:rPr>
        <w:t>Czysta energia dla transportu: europejska strategia w zakresie paliw alternatywnych</w:t>
      </w:r>
      <w:bookmarkEnd w:id="196"/>
    </w:p>
    <w:p w14:paraId="3251ACB6" w14:textId="7319705E" w:rsidR="00710815" w:rsidRPr="00237760" w:rsidRDefault="00710815"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 xml:space="preserve">Wskazany dokument wyznacza priorytetowe obszary dalszych działań unijnych w zakresie rozwoju paliw alternatywnych. W </w:t>
      </w:r>
      <w:r w:rsidR="00F311FF" w:rsidRPr="00237760">
        <w:rPr>
          <w:rFonts w:ascii="Arial" w:hAnsi="Arial" w:cs="Arial"/>
          <w:color w:val="auto"/>
          <w:sz w:val="24"/>
          <w:szCs w:val="24"/>
          <w:lang w:eastAsia="pl-PL"/>
        </w:rPr>
        <w:t>PSRT WP</w:t>
      </w:r>
      <w:r w:rsidRPr="00237760">
        <w:rPr>
          <w:rFonts w:ascii="Arial" w:hAnsi="Arial" w:cs="Arial"/>
          <w:color w:val="auto"/>
          <w:sz w:val="24"/>
          <w:szCs w:val="24"/>
          <w:lang w:eastAsia="pl-PL"/>
        </w:rPr>
        <w:t>, a dokładniej w pierwszym celu horyzontalnym, znajdują się kierunki rozwoju operujące we wszystkich 4 obszarach działań</w:t>
      </w:r>
      <w:r w:rsidR="00176292" w:rsidRPr="00237760">
        <w:rPr>
          <w:rFonts w:ascii="Arial" w:hAnsi="Arial" w:cs="Arial"/>
          <w:color w:val="auto"/>
          <w:sz w:val="24"/>
          <w:szCs w:val="24"/>
          <w:lang w:eastAsia="pl-PL"/>
        </w:rPr>
        <w:t xml:space="preserve"> (</w:t>
      </w:r>
      <w:r w:rsidR="00176292" w:rsidRPr="00237760">
        <w:rPr>
          <w:rFonts w:ascii="Arial" w:hAnsi="Arial" w:cs="Arial"/>
          <w:color w:val="auto"/>
          <w:sz w:val="24"/>
          <w:szCs w:val="24"/>
          <w:lang w:eastAsia="pl-PL"/>
        </w:rPr>
        <w:fldChar w:fldCharType="begin"/>
      </w:r>
      <w:r w:rsidR="00176292" w:rsidRPr="00237760">
        <w:rPr>
          <w:rFonts w:ascii="Arial" w:hAnsi="Arial" w:cs="Arial"/>
          <w:color w:val="auto"/>
          <w:sz w:val="24"/>
          <w:szCs w:val="24"/>
          <w:lang w:eastAsia="pl-PL"/>
        </w:rPr>
        <w:instrText xml:space="preserve"> REF _Ref101000079 \h </w:instrText>
      </w:r>
      <w:r w:rsidR="00237760" w:rsidRPr="00237760">
        <w:rPr>
          <w:rFonts w:ascii="Arial" w:hAnsi="Arial" w:cs="Arial"/>
          <w:color w:val="auto"/>
          <w:sz w:val="24"/>
          <w:szCs w:val="24"/>
          <w:lang w:eastAsia="pl-PL"/>
        </w:rPr>
        <w:instrText xml:space="preserve"> \* MERGEFORMAT </w:instrText>
      </w:r>
      <w:r w:rsidR="00176292" w:rsidRPr="00237760">
        <w:rPr>
          <w:rFonts w:ascii="Arial" w:hAnsi="Arial" w:cs="Arial"/>
          <w:color w:val="auto"/>
          <w:sz w:val="24"/>
          <w:szCs w:val="24"/>
          <w:lang w:eastAsia="pl-PL"/>
        </w:rPr>
      </w:r>
      <w:r w:rsidR="00176292" w:rsidRPr="00237760">
        <w:rPr>
          <w:rFonts w:ascii="Arial" w:hAnsi="Arial" w:cs="Arial"/>
          <w:color w:val="auto"/>
          <w:sz w:val="24"/>
          <w:szCs w:val="24"/>
          <w:lang w:eastAsia="pl-PL"/>
        </w:rPr>
        <w:fldChar w:fldCharType="separate"/>
      </w:r>
      <w:r w:rsidR="00E52C19" w:rsidRPr="00237760">
        <w:rPr>
          <w:rFonts w:ascii="Arial" w:hAnsi="Arial" w:cs="Arial"/>
          <w:color w:val="auto"/>
          <w:sz w:val="24"/>
          <w:szCs w:val="24"/>
        </w:rPr>
        <w:t xml:space="preserve">Tabela </w:t>
      </w:r>
      <w:r w:rsidR="00E52C19" w:rsidRPr="00237760">
        <w:rPr>
          <w:rFonts w:ascii="Arial" w:hAnsi="Arial" w:cs="Arial"/>
          <w:noProof/>
          <w:color w:val="auto"/>
          <w:sz w:val="24"/>
          <w:szCs w:val="24"/>
        </w:rPr>
        <w:t>25</w:t>
      </w:r>
      <w:r w:rsidR="00176292" w:rsidRPr="00237760">
        <w:rPr>
          <w:rFonts w:ascii="Arial" w:hAnsi="Arial" w:cs="Arial"/>
          <w:color w:val="auto"/>
          <w:sz w:val="24"/>
          <w:szCs w:val="24"/>
          <w:lang w:eastAsia="pl-PL"/>
        </w:rPr>
        <w:fldChar w:fldCharType="end"/>
      </w:r>
      <w:r w:rsidR="00176292" w:rsidRPr="00237760">
        <w:rPr>
          <w:rFonts w:ascii="Arial" w:hAnsi="Arial" w:cs="Arial"/>
          <w:color w:val="auto"/>
          <w:sz w:val="24"/>
          <w:szCs w:val="24"/>
          <w:lang w:eastAsia="pl-PL"/>
        </w:rPr>
        <w:t>)</w:t>
      </w:r>
      <w:r w:rsidRPr="00237760">
        <w:rPr>
          <w:rFonts w:ascii="Arial" w:hAnsi="Arial" w:cs="Arial"/>
          <w:color w:val="auto"/>
          <w:sz w:val="24"/>
          <w:szCs w:val="24"/>
          <w:lang w:eastAsia="pl-PL"/>
        </w:rPr>
        <w:t>. Kierunkiem, który w największym stopniu odpowiada na założenia unijnej strategii jest „tworzenie warunków do rozwoju elektromobilności (w tym technologii oraz infrastruktury ładowania, jak również kwestii społeczno-gospodarczo-prawnych związanych z projektowaniem, produkcją, nabywaniem i używaniem pojazdów elektrycznych)”.</w:t>
      </w:r>
    </w:p>
    <w:p w14:paraId="0BCEE1F8" w14:textId="347C61D6" w:rsidR="00710815" w:rsidRPr="00237760" w:rsidRDefault="00710815" w:rsidP="009367B4">
      <w:pPr>
        <w:pStyle w:val="Legenda"/>
        <w:keepNext/>
        <w:jc w:val="left"/>
        <w:rPr>
          <w:rFonts w:ascii="Arial" w:hAnsi="Arial" w:cs="Arial"/>
          <w:color w:val="auto"/>
          <w:sz w:val="24"/>
          <w:szCs w:val="24"/>
        </w:rPr>
      </w:pPr>
      <w:bookmarkStart w:id="197" w:name="_Ref101000079"/>
      <w:bookmarkStart w:id="198" w:name="_Toc101904266"/>
      <w:r w:rsidRPr="00237760">
        <w:rPr>
          <w:rFonts w:ascii="Arial" w:hAnsi="Arial" w:cs="Arial"/>
          <w:color w:val="auto"/>
          <w:sz w:val="24"/>
          <w:szCs w:val="24"/>
        </w:rPr>
        <w:t xml:space="preserve">Tabela </w:t>
      </w:r>
      <w:r w:rsidRPr="00237760">
        <w:rPr>
          <w:rFonts w:ascii="Arial" w:hAnsi="Arial" w:cs="Arial"/>
          <w:noProof/>
          <w:color w:val="auto"/>
          <w:sz w:val="24"/>
          <w:szCs w:val="24"/>
        </w:rPr>
        <w:fldChar w:fldCharType="begin"/>
      </w:r>
      <w:r w:rsidRPr="00237760">
        <w:rPr>
          <w:rFonts w:ascii="Arial" w:hAnsi="Arial" w:cs="Arial"/>
          <w:noProof/>
          <w:color w:val="auto"/>
          <w:sz w:val="24"/>
          <w:szCs w:val="24"/>
        </w:rPr>
        <w:instrText xml:space="preserve"> SEQ Tabela \* ARABIC </w:instrText>
      </w:r>
      <w:r w:rsidRPr="00237760">
        <w:rPr>
          <w:rFonts w:ascii="Arial" w:hAnsi="Arial" w:cs="Arial"/>
          <w:noProof/>
          <w:color w:val="auto"/>
          <w:sz w:val="24"/>
          <w:szCs w:val="24"/>
        </w:rPr>
        <w:fldChar w:fldCharType="separate"/>
      </w:r>
      <w:r w:rsidR="00762B20" w:rsidRPr="00237760">
        <w:rPr>
          <w:rFonts w:ascii="Arial" w:hAnsi="Arial" w:cs="Arial"/>
          <w:noProof/>
          <w:color w:val="auto"/>
          <w:sz w:val="24"/>
          <w:szCs w:val="24"/>
        </w:rPr>
        <w:t>25</w:t>
      </w:r>
      <w:r w:rsidRPr="00237760">
        <w:rPr>
          <w:rFonts w:ascii="Arial" w:hAnsi="Arial" w:cs="Arial"/>
          <w:noProof/>
          <w:color w:val="auto"/>
          <w:sz w:val="24"/>
          <w:szCs w:val="24"/>
        </w:rPr>
        <w:fldChar w:fldCharType="end"/>
      </w:r>
      <w:bookmarkEnd w:id="197"/>
      <w:r w:rsidR="00176292" w:rsidRPr="00237760">
        <w:rPr>
          <w:rFonts w:ascii="Arial" w:hAnsi="Arial" w:cs="Arial"/>
          <w:noProof/>
          <w:color w:val="auto"/>
          <w:sz w:val="24"/>
          <w:szCs w:val="24"/>
        </w:rPr>
        <w:t>.</w:t>
      </w:r>
      <w:r w:rsidRPr="00237760">
        <w:rPr>
          <w:rFonts w:ascii="Arial" w:hAnsi="Arial" w:cs="Arial"/>
          <w:color w:val="auto"/>
          <w:sz w:val="24"/>
          <w:szCs w:val="24"/>
        </w:rPr>
        <w:t xml:space="preserve"> Ocena spójności </w:t>
      </w:r>
      <w:r w:rsidR="00F311FF" w:rsidRPr="00237760">
        <w:rPr>
          <w:rFonts w:ascii="Arial" w:hAnsi="Arial" w:cs="Arial"/>
          <w:color w:val="auto"/>
          <w:sz w:val="24"/>
          <w:szCs w:val="24"/>
        </w:rPr>
        <w:t>PSRT WP</w:t>
      </w:r>
      <w:r w:rsidRPr="00237760">
        <w:rPr>
          <w:rFonts w:ascii="Arial" w:hAnsi="Arial" w:cs="Arial"/>
          <w:color w:val="auto"/>
          <w:sz w:val="24"/>
          <w:szCs w:val="24"/>
        </w:rPr>
        <w:t xml:space="preserve"> ze strategią Czysta energia dla transportu: europejska strategia w zakresie paliw alternatywnych</w:t>
      </w:r>
      <w:bookmarkEnd w:id="198"/>
    </w:p>
    <w:tbl>
      <w:tblPr>
        <w:tblStyle w:val="Tabela-Siatka"/>
        <w:tblW w:w="9077" w:type="dxa"/>
        <w:tblInd w:w="-5"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57" w:type="dxa"/>
          <w:right w:w="57" w:type="dxa"/>
        </w:tblCellMar>
        <w:tblLook w:val="04A0" w:firstRow="1" w:lastRow="0" w:firstColumn="1" w:lastColumn="0" w:noHBand="0" w:noVBand="1"/>
        <w:tblCaption w:val="Tabela 25. Ocena spójności PSRT WP ze strategią Czysta energia dla transportu: europejska strategia w zakresie paliw alternatywnych"/>
        <w:tblDescription w:val="Tabela zawiera Obszary dalszych działań, Cele podstawowe PSRT WP, Cele horyzontalne PSRT WP"/>
      </w:tblPr>
      <w:tblGrid>
        <w:gridCol w:w="3978"/>
        <w:gridCol w:w="728"/>
        <w:gridCol w:w="728"/>
        <w:gridCol w:w="729"/>
        <w:gridCol w:w="79"/>
        <w:gridCol w:w="649"/>
        <w:gridCol w:w="729"/>
        <w:gridCol w:w="728"/>
        <w:gridCol w:w="729"/>
      </w:tblGrid>
      <w:tr w:rsidR="00237760" w:rsidRPr="00237760" w14:paraId="44435413" w14:textId="77777777" w:rsidTr="00FB20A6">
        <w:trPr>
          <w:trHeight w:val="450"/>
          <w:tblHeader/>
        </w:trPr>
        <w:tc>
          <w:tcPr>
            <w:tcW w:w="9077" w:type="dxa"/>
            <w:gridSpan w:val="9"/>
            <w:tcBorders>
              <w:top w:val="single" w:sz="12" w:space="0" w:color="002060"/>
              <w:left w:val="nil"/>
              <w:bottom w:val="single" w:sz="4" w:space="0" w:color="BDD6EE" w:themeColor="accent1" w:themeTint="66"/>
              <w:right w:val="nil"/>
            </w:tcBorders>
            <w:shd w:val="clear" w:color="auto" w:fill="auto"/>
            <w:vAlign w:val="center"/>
            <w:hideMark/>
          </w:tcPr>
          <w:p w14:paraId="1ABF9EFF"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Czysta energia dla transportu: europejska strategia w zakresie paliw alternatywnych</w:t>
            </w:r>
          </w:p>
        </w:tc>
      </w:tr>
      <w:tr w:rsidR="00237760" w:rsidRPr="00237760" w14:paraId="52633217" w14:textId="77777777" w:rsidTr="00FB20A6">
        <w:trPr>
          <w:trHeight w:val="450"/>
          <w:tblHeader/>
        </w:trPr>
        <w:tc>
          <w:tcPr>
            <w:tcW w:w="3978" w:type="dxa"/>
            <w:vMerge w:val="restart"/>
            <w:tcBorders>
              <w:top w:val="nil"/>
              <w:left w:val="nil"/>
              <w:bottom w:val="single" w:sz="4" w:space="0" w:color="BDD6EE" w:themeColor="accent1" w:themeTint="66"/>
              <w:right w:val="nil"/>
            </w:tcBorders>
            <w:shd w:val="clear" w:color="auto" w:fill="auto"/>
            <w:vAlign w:val="center"/>
            <w:hideMark/>
          </w:tcPr>
          <w:p w14:paraId="65FD3760"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Obszary dalszych działań</w:t>
            </w:r>
          </w:p>
        </w:tc>
        <w:tc>
          <w:tcPr>
            <w:tcW w:w="2264" w:type="dxa"/>
            <w:gridSpan w:val="4"/>
            <w:tcBorders>
              <w:top w:val="nil"/>
              <w:left w:val="nil"/>
              <w:bottom w:val="single" w:sz="4" w:space="0" w:color="BDD6EE" w:themeColor="accent1" w:themeTint="66"/>
              <w:right w:val="nil"/>
            </w:tcBorders>
            <w:shd w:val="clear" w:color="auto" w:fill="auto"/>
            <w:vAlign w:val="center"/>
            <w:hideMark/>
          </w:tcPr>
          <w:p w14:paraId="3E42578F"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podstawowe PSRT WP</w:t>
            </w:r>
          </w:p>
        </w:tc>
        <w:tc>
          <w:tcPr>
            <w:tcW w:w="2835" w:type="dxa"/>
            <w:gridSpan w:val="4"/>
            <w:tcBorders>
              <w:top w:val="nil"/>
              <w:left w:val="nil"/>
              <w:bottom w:val="single" w:sz="4" w:space="0" w:color="BDD6EE" w:themeColor="accent1" w:themeTint="66"/>
              <w:right w:val="nil"/>
            </w:tcBorders>
            <w:shd w:val="clear" w:color="auto" w:fill="auto"/>
            <w:vAlign w:val="center"/>
            <w:hideMark/>
          </w:tcPr>
          <w:p w14:paraId="1225E231"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horyzontalne PSRT WP</w:t>
            </w:r>
          </w:p>
        </w:tc>
      </w:tr>
      <w:tr w:rsidR="00237760" w:rsidRPr="00237760" w14:paraId="18CB2583" w14:textId="77777777" w:rsidTr="00FB20A6">
        <w:trPr>
          <w:trHeight w:val="70"/>
          <w:tblHeader/>
        </w:trPr>
        <w:tc>
          <w:tcPr>
            <w:tcW w:w="3978" w:type="dxa"/>
            <w:vMerge/>
            <w:tcBorders>
              <w:top w:val="nil"/>
              <w:left w:val="nil"/>
              <w:bottom w:val="single" w:sz="4" w:space="0" w:color="BDD6EE" w:themeColor="accent1" w:themeTint="66"/>
              <w:right w:val="nil"/>
            </w:tcBorders>
            <w:shd w:val="clear" w:color="auto" w:fill="auto"/>
            <w:vAlign w:val="center"/>
            <w:hideMark/>
          </w:tcPr>
          <w:p w14:paraId="4285705A" w14:textId="77777777" w:rsidR="00710815" w:rsidRPr="00237760" w:rsidRDefault="00710815" w:rsidP="009367B4">
            <w:pPr>
              <w:spacing w:after="0" w:line="240" w:lineRule="auto"/>
              <w:jc w:val="left"/>
              <w:rPr>
                <w:rFonts w:ascii="Arial" w:hAnsi="Arial" w:cs="Arial"/>
                <w:b/>
                <w:color w:val="auto"/>
                <w:sz w:val="24"/>
                <w:szCs w:val="24"/>
              </w:rPr>
            </w:pPr>
          </w:p>
        </w:tc>
        <w:tc>
          <w:tcPr>
            <w:tcW w:w="72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hideMark/>
          </w:tcPr>
          <w:p w14:paraId="1433F7ED"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72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hideMark/>
          </w:tcPr>
          <w:p w14:paraId="28BB00A9"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72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hideMark/>
          </w:tcPr>
          <w:p w14:paraId="29152AC3"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728"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hideMark/>
          </w:tcPr>
          <w:p w14:paraId="2C164CBD"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72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hideMark/>
          </w:tcPr>
          <w:p w14:paraId="6E8AB697"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728" w:type="dxa"/>
            <w:tcBorders>
              <w:top w:val="single" w:sz="4" w:space="0" w:color="BDD6EE" w:themeColor="accent1" w:themeTint="66"/>
              <w:left w:val="single" w:sz="4" w:space="0" w:color="BDD6EE" w:themeColor="accent1" w:themeTint="66"/>
              <w:bottom w:val="single" w:sz="4" w:space="0" w:color="BDD6EE" w:themeColor="accent1" w:themeTint="66"/>
              <w:right w:val="nil"/>
            </w:tcBorders>
            <w:shd w:val="clear" w:color="auto" w:fill="auto"/>
            <w:hideMark/>
          </w:tcPr>
          <w:p w14:paraId="5A8BA714"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729" w:type="dxa"/>
            <w:tcBorders>
              <w:top w:val="single" w:sz="4" w:space="0" w:color="BDD6EE" w:themeColor="accent1" w:themeTint="66"/>
              <w:left w:val="single" w:sz="4" w:space="0" w:color="BDD6EE" w:themeColor="accent1" w:themeTint="66"/>
              <w:bottom w:val="single" w:sz="4" w:space="0" w:color="BDD6EE" w:themeColor="accent1" w:themeTint="66"/>
              <w:right w:val="nil"/>
            </w:tcBorders>
            <w:shd w:val="clear" w:color="auto" w:fill="auto"/>
            <w:hideMark/>
          </w:tcPr>
          <w:p w14:paraId="3A959D95"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4.</w:t>
            </w:r>
          </w:p>
        </w:tc>
      </w:tr>
      <w:tr w:rsidR="00237760" w:rsidRPr="00237760" w14:paraId="0060E94B" w14:textId="77777777" w:rsidTr="00FB20A6">
        <w:trPr>
          <w:trHeight w:val="70"/>
        </w:trPr>
        <w:tc>
          <w:tcPr>
            <w:tcW w:w="3978" w:type="dxa"/>
            <w:tcBorders>
              <w:top w:val="single" w:sz="4" w:space="0" w:color="BDD6EE" w:themeColor="accent1" w:themeTint="66"/>
              <w:left w:val="nil"/>
              <w:bottom w:val="single" w:sz="4" w:space="0" w:color="BDD6EE" w:themeColor="accent1" w:themeTint="66"/>
              <w:right w:val="single" w:sz="4" w:space="0" w:color="BDD6EE" w:themeColor="accent1" w:themeTint="66"/>
            </w:tcBorders>
            <w:vAlign w:val="center"/>
            <w:hideMark/>
          </w:tcPr>
          <w:p w14:paraId="446AD7E6"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Kwestia infrastruktury paliw alternatywnych</w:t>
            </w:r>
          </w:p>
        </w:tc>
        <w:tc>
          <w:tcPr>
            <w:tcW w:w="72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51E96D11" w14:textId="77777777" w:rsidR="00710815" w:rsidRPr="00237760" w:rsidRDefault="00710815" w:rsidP="009367B4">
            <w:pPr>
              <w:spacing w:after="0" w:line="240" w:lineRule="auto"/>
              <w:jc w:val="left"/>
              <w:rPr>
                <w:rFonts w:ascii="Arial" w:hAnsi="Arial" w:cs="Arial"/>
                <w:color w:val="auto"/>
                <w:sz w:val="24"/>
                <w:szCs w:val="24"/>
              </w:rPr>
            </w:pPr>
          </w:p>
        </w:tc>
        <w:tc>
          <w:tcPr>
            <w:tcW w:w="72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030A0F34" w14:textId="77777777" w:rsidR="00710815" w:rsidRPr="00237760" w:rsidRDefault="00710815" w:rsidP="009367B4">
            <w:pPr>
              <w:spacing w:after="0" w:line="240" w:lineRule="auto"/>
              <w:jc w:val="left"/>
              <w:rPr>
                <w:rFonts w:ascii="Arial" w:hAnsi="Arial" w:cs="Arial"/>
                <w:color w:val="auto"/>
                <w:sz w:val="24"/>
                <w:szCs w:val="24"/>
              </w:rPr>
            </w:pPr>
          </w:p>
        </w:tc>
        <w:tc>
          <w:tcPr>
            <w:tcW w:w="72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33F5F231" w14:textId="77777777" w:rsidR="00710815" w:rsidRPr="00237760" w:rsidRDefault="00710815" w:rsidP="009367B4">
            <w:pPr>
              <w:spacing w:after="0" w:line="240" w:lineRule="auto"/>
              <w:jc w:val="left"/>
              <w:rPr>
                <w:rFonts w:ascii="Arial" w:hAnsi="Arial" w:cs="Arial"/>
                <w:color w:val="auto"/>
                <w:sz w:val="24"/>
                <w:szCs w:val="24"/>
              </w:rPr>
            </w:pPr>
          </w:p>
        </w:tc>
        <w:tc>
          <w:tcPr>
            <w:tcW w:w="728"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7D591366" w14:textId="77777777" w:rsidR="00710815" w:rsidRPr="00237760" w:rsidRDefault="00710815" w:rsidP="009367B4">
            <w:pPr>
              <w:spacing w:after="0" w:line="240" w:lineRule="auto"/>
              <w:jc w:val="left"/>
              <w:rPr>
                <w:rFonts w:ascii="Arial" w:hAnsi="Arial" w:cs="Arial"/>
                <w:color w:val="auto"/>
                <w:sz w:val="24"/>
                <w:szCs w:val="24"/>
              </w:rPr>
            </w:pPr>
          </w:p>
        </w:tc>
        <w:tc>
          <w:tcPr>
            <w:tcW w:w="72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D4A197A" w14:textId="77777777" w:rsidR="00710815" w:rsidRPr="00237760" w:rsidRDefault="00710815" w:rsidP="009367B4">
            <w:pPr>
              <w:spacing w:after="0" w:line="240" w:lineRule="auto"/>
              <w:jc w:val="left"/>
              <w:rPr>
                <w:rFonts w:ascii="Arial" w:hAnsi="Arial" w:cs="Arial"/>
                <w:color w:val="auto"/>
                <w:sz w:val="24"/>
                <w:szCs w:val="24"/>
              </w:rPr>
            </w:pPr>
          </w:p>
        </w:tc>
        <w:tc>
          <w:tcPr>
            <w:tcW w:w="72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EC04D09" w14:textId="77777777" w:rsidR="00710815" w:rsidRPr="00237760" w:rsidRDefault="00710815" w:rsidP="009367B4">
            <w:pPr>
              <w:spacing w:after="0" w:line="240" w:lineRule="auto"/>
              <w:jc w:val="left"/>
              <w:rPr>
                <w:rFonts w:ascii="Arial" w:hAnsi="Arial" w:cs="Arial"/>
                <w:color w:val="auto"/>
                <w:sz w:val="24"/>
                <w:szCs w:val="24"/>
              </w:rPr>
            </w:pPr>
          </w:p>
        </w:tc>
        <w:tc>
          <w:tcPr>
            <w:tcW w:w="72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32584BCE"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65A43CBE" w14:textId="77777777" w:rsidTr="00FB20A6">
        <w:trPr>
          <w:trHeight w:val="14"/>
        </w:trPr>
        <w:tc>
          <w:tcPr>
            <w:tcW w:w="3978" w:type="dxa"/>
            <w:tcBorders>
              <w:top w:val="single" w:sz="4" w:space="0" w:color="BDD6EE" w:themeColor="accent1" w:themeTint="66"/>
              <w:left w:val="nil"/>
              <w:bottom w:val="single" w:sz="4" w:space="0" w:color="BDD6EE" w:themeColor="accent1" w:themeTint="66"/>
              <w:right w:val="single" w:sz="4" w:space="0" w:color="BDD6EE" w:themeColor="accent1" w:themeTint="66"/>
            </w:tcBorders>
            <w:vAlign w:val="center"/>
            <w:hideMark/>
          </w:tcPr>
          <w:p w14:paraId="20E2925A"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Opracowanie wspólnych specyfikacji technicznych</w:t>
            </w:r>
          </w:p>
        </w:tc>
        <w:tc>
          <w:tcPr>
            <w:tcW w:w="72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2F1551B4" w14:textId="77777777" w:rsidR="00710815" w:rsidRPr="00237760" w:rsidRDefault="00710815" w:rsidP="009367B4">
            <w:pPr>
              <w:spacing w:after="0" w:line="240" w:lineRule="auto"/>
              <w:jc w:val="left"/>
              <w:rPr>
                <w:rFonts w:ascii="Arial" w:hAnsi="Arial" w:cs="Arial"/>
                <w:color w:val="auto"/>
                <w:sz w:val="24"/>
                <w:szCs w:val="24"/>
              </w:rPr>
            </w:pPr>
          </w:p>
        </w:tc>
        <w:tc>
          <w:tcPr>
            <w:tcW w:w="72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FEC216F" w14:textId="77777777" w:rsidR="00710815" w:rsidRPr="00237760" w:rsidRDefault="00710815" w:rsidP="009367B4">
            <w:pPr>
              <w:spacing w:after="0" w:line="240" w:lineRule="auto"/>
              <w:jc w:val="left"/>
              <w:rPr>
                <w:rFonts w:ascii="Arial" w:hAnsi="Arial" w:cs="Arial"/>
                <w:color w:val="auto"/>
                <w:sz w:val="24"/>
                <w:szCs w:val="24"/>
              </w:rPr>
            </w:pPr>
          </w:p>
        </w:tc>
        <w:tc>
          <w:tcPr>
            <w:tcW w:w="72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00CB7E43" w14:textId="77777777" w:rsidR="00710815" w:rsidRPr="00237760" w:rsidRDefault="00710815" w:rsidP="009367B4">
            <w:pPr>
              <w:spacing w:after="0" w:line="240" w:lineRule="auto"/>
              <w:jc w:val="left"/>
              <w:rPr>
                <w:rFonts w:ascii="Arial" w:hAnsi="Arial" w:cs="Arial"/>
                <w:color w:val="auto"/>
                <w:sz w:val="24"/>
                <w:szCs w:val="24"/>
              </w:rPr>
            </w:pPr>
          </w:p>
        </w:tc>
        <w:tc>
          <w:tcPr>
            <w:tcW w:w="728"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19B78923" w14:textId="77777777" w:rsidR="00710815" w:rsidRPr="00237760" w:rsidRDefault="00710815" w:rsidP="009367B4">
            <w:pPr>
              <w:spacing w:after="0" w:line="240" w:lineRule="auto"/>
              <w:jc w:val="left"/>
              <w:rPr>
                <w:rFonts w:ascii="Arial" w:hAnsi="Arial" w:cs="Arial"/>
                <w:color w:val="auto"/>
                <w:sz w:val="24"/>
                <w:szCs w:val="24"/>
              </w:rPr>
            </w:pPr>
          </w:p>
        </w:tc>
        <w:tc>
          <w:tcPr>
            <w:tcW w:w="72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3114D16B" w14:textId="77777777" w:rsidR="00710815" w:rsidRPr="00237760" w:rsidRDefault="00710815" w:rsidP="009367B4">
            <w:pPr>
              <w:spacing w:after="0" w:line="240" w:lineRule="auto"/>
              <w:jc w:val="left"/>
              <w:rPr>
                <w:rFonts w:ascii="Arial" w:hAnsi="Arial" w:cs="Arial"/>
                <w:color w:val="auto"/>
                <w:sz w:val="24"/>
                <w:szCs w:val="24"/>
              </w:rPr>
            </w:pPr>
          </w:p>
        </w:tc>
        <w:tc>
          <w:tcPr>
            <w:tcW w:w="72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06B2C2B7" w14:textId="77777777" w:rsidR="00710815" w:rsidRPr="00237760" w:rsidRDefault="00710815" w:rsidP="009367B4">
            <w:pPr>
              <w:spacing w:after="0" w:line="240" w:lineRule="auto"/>
              <w:jc w:val="left"/>
              <w:rPr>
                <w:rFonts w:ascii="Arial" w:hAnsi="Arial" w:cs="Arial"/>
                <w:color w:val="auto"/>
                <w:sz w:val="24"/>
                <w:szCs w:val="24"/>
              </w:rPr>
            </w:pPr>
          </w:p>
        </w:tc>
        <w:tc>
          <w:tcPr>
            <w:tcW w:w="72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12E4913B"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7E12178C" w14:textId="77777777" w:rsidTr="00FB20A6">
        <w:trPr>
          <w:trHeight w:val="14"/>
        </w:trPr>
        <w:tc>
          <w:tcPr>
            <w:tcW w:w="3978" w:type="dxa"/>
            <w:tcBorders>
              <w:top w:val="single" w:sz="4" w:space="0" w:color="BDD6EE" w:themeColor="accent1" w:themeTint="66"/>
              <w:left w:val="nil"/>
              <w:bottom w:val="single" w:sz="4" w:space="0" w:color="BDD6EE" w:themeColor="accent1" w:themeTint="66"/>
              <w:right w:val="single" w:sz="4" w:space="0" w:color="BDD6EE" w:themeColor="accent1" w:themeTint="66"/>
            </w:tcBorders>
            <w:vAlign w:val="center"/>
            <w:hideMark/>
          </w:tcPr>
          <w:p w14:paraId="68BB1EF9"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Kwestia akceptacji ze strony konsumentów</w:t>
            </w:r>
          </w:p>
        </w:tc>
        <w:tc>
          <w:tcPr>
            <w:tcW w:w="72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6DA025CC" w14:textId="77777777" w:rsidR="00710815" w:rsidRPr="00237760" w:rsidRDefault="00710815" w:rsidP="009367B4">
            <w:pPr>
              <w:spacing w:after="0" w:line="240" w:lineRule="auto"/>
              <w:jc w:val="left"/>
              <w:rPr>
                <w:rFonts w:ascii="Arial" w:hAnsi="Arial" w:cs="Arial"/>
                <w:color w:val="auto"/>
                <w:sz w:val="24"/>
                <w:szCs w:val="24"/>
              </w:rPr>
            </w:pPr>
          </w:p>
        </w:tc>
        <w:tc>
          <w:tcPr>
            <w:tcW w:w="72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33D7002A" w14:textId="77777777" w:rsidR="00710815" w:rsidRPr="00237760" w:rsidRDefault="00710815" w:rsidP="009367B4">
            <w:pPr>
              <w:spacing w:after="0" w:line="240" w:lineRule="auto"/>
              <w:jc w:val="left"/>
              <w:rPr>
                <w:rFonts w:ascii="Arial" w:hAnsi="Arial" w:cs="Arial"/>
                <w:color w:val="auto"/>
                <w:sz w:val="24"/>
                <w:szCs w:val="24"/>
              </w:rPr>
            </w:pPr>
          </w:p>
        </w:tc>
        <w:tc>
          <w:tcPr>
            <w:tcW w:w="72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A2E2B3D" w14:textId="77777777" w:rsidR="00710815" w:rsidRPr="00237760" w:rsidRDefault="00710815" w:rsidP="009367B4">
            <w:pPr>
              <w:spacing w:after="0" w:line="240" w:lineRule="auto"/>
              <w:jc w:val="left"/>
              <w:rPr>
                <w:rFonts w:ascii="Arial" w:hAnsi="Arial" w:cs="Arial"/>
                <w:color w:val="auto"/>
                <w:sz w:val="24"/>
                <w:szCs w:val="24"/>
              </w:rPr>
            </w:pPr>
          </w:p>
        </w:tc>
        <w:tc>
          <w:tcPr>
            <w:tcW w:w="728"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383DB726" w14:textId="77777777" w:rsidR="00710815" w:rsidRPr="00237760" w:rsidRDefault="00710815" w:rsidP="009367B4">
            <w:pPr>
              <w:spacing w:after="0" w:line="240" w:lineRule="auto"/>
              <w:jc w:val="left"/>
              <w:rPr>
                <w:rFonts w:ascii="Arial" w:hAnsi="Arial" w:cs="Arial"/>
                <w:color w:val="auto"/>
                <w:sz w:val="24"/>
                <w:szCs w:val="24"/>
              </w:rPr>
            </w:pPr>
          </w:p>
        </w:tc>
        <w:tc>
          <w:tcPr>
            <w:tcW w:w="72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32A80D8A" w14:textId="77777777" w:rsidR="00710815" w:rsidRPr="00237760" w:rsidRDefault="00710815" w:rsidP="009367B4">
            <w:pPr>
              <w:spacing w:after="0" w:line="240" w:lineRule="auto"/>
              <w:jc w:val="left"/>
              <w:rPr>
                <w:rFonts w:ascii="Arial" w:hAnsi="Arial" w:cs="Arial"/>
                <w:color w:val="auto"/>
                <w:sz w:val="24"/>
                <w:szCs w:val="24"/>
              </w:rPr>
            </w:pPr>
          </w:p>
        </w:tc>
        <w:tc>
          <w:tcPr>
            <w:tcW w:w="72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41C2DB6" w14:textId="77777777" w:rsidR="00710815" w:rsidRPr="00237760" w:rsidRDefault="00710815" w:rsidP="009367B4">
            <w:pPr>
              <w:spacing w:after="0" w:line="240" w:lineRule="auto"/>
              <w:jc w:val="left"/>
              <w:rPr>
                <w:rFonts w:ascii="Arial" w:hAnsi="Arial" w:cs="Arial"/>
                <w:color w:val="auto"/>
                <w:sz w:val="24"/>
                <w:szCs w:val="24"/>
              </w:rPr>
            </w:pPr>
          </w:p>
        </w:tc>
        <w:tc>
          <w:tcPr>
            <w:tcW w:w="72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7812A35D"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3A9508E3" w14:textId="77777777" w:rsidTr="00FB20A6">
        <w:trPr>
          <w:trHeight w:val="14"/>
        </w:trPr>
        <w:tc>
          <w:tcPr>
            <w:tcW w:w="3978" w:type="dxa"/>
            <w:tcBorders>
              <w:top w:val="single" w:sz="4" w:space="0" w:color="BDD6EE" w:themeColor="accent1" w:themeTint="66"/>
              <w:left w:val="nil"/>
              <w:bottom w:val="single" w:sz="12" w:space="0" w:color="002060"/>
              <w:right w:val="single" w:sz="4" w:space="0" w:color="BDD6EE" w:themeColor="accent1" w:themeTint="66"/>
            </w:tcBorders>
            <w:vAlign w:val="center"/>
            <w:hideMark/>
          </w:tcPr>
          <w:p w14:paraId="171E644D"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Kwestia rozwoju technologicznego</w:t>
            </w:r>
          </w:p>
        </w:tc>
        <w:tc>
          <w:tcPr>
            <w:tcW w:w="728"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tcPr>
          <w:p w14:paraId="03FA9CFE" w14:textId="77777777" w:rsidR="00710815" w:rsidRPr="00237760" w:rsidRDefault="00710815" w:rsidP="009367B4">
            <w:pPr>
              <w:spacing w:after="0" w:line="240" w:lineRule="auto"/>
              <w:jc w:val="left"/>
              <w:rPr>
                <w:rFonts w:ascii="Arial" w:hAnsi="Arial" w:cs="Arial"/>
                <w:color w:val="auto"/>
                <w:sz w:val="24"/>
                <w:szCs w:val="24"/>
              </w:rPr>
            </w:pPr>
          </w:p>
        </w:tc>
        <w:tc>
          <w:tcPr>
            <w:tcW w:w="728"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vAlign w:val="center"/>
          </w:tcPr>
          <w:p w14:paraId="40656689" w14:textId="77777777" w:rsidR="00710815" w:rsidRPr="00237760" w:rsidRDefault="00710815" w:rsidP="009367B4">
            <w:pPr>
              <w:spacing w:after="0" w:line="240" w:lineRule="auto"/>
              <w:jc w:val="left"/>
              <w:rPr>
                <w:rFonts w:ascii="Arial" w:hAnsi="Arial" w:cs="Arial"/>
                <w:color w:val="auto"/>
                <w:sz w:val="24"/>
                <w:szCs w:val="24"/>
              </w:rPr>
            </w:pPr>
          </w:p>
        </w:tc>
        <w:tc>
          <w:tcPr>
            <w:tcW w:w="729"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vAlign w:val="center"/>
          </w:tcPr>
          <w:p w14:paraId="0D1B5A55" w14:textId="77777777" w:rsidR="00710815" w:rsidRPr="00237760" w:rsidRDefault="00710815" w:rsidP="009367B4">
            <w:pPr>
              <w:spacing w:after="0" w:line="240" w:lineRule="auto"/>
              <w:jc w:val="left"/>
              <w:rPr>
                <w:rFonts w:ascii="Arial" w:hAnsi="Arial" w:cs="Arial"/>
                <w:color w:val="auto"/>
                <w:sz w:val="24"/>
                <w:szCs w:val="24"/>
              </w:rPr>
            </w:pPr>
          </w:p>
        </w:tc>
        <w:tc>
          <w:tcPr>
            <w:tcW w:w="728" w:type="dxa"/>
            <w:gridSpan w:val="2"/>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9CC2E5" w:themeFill="accent1" w:themeFillTint="99"/>
            <w:vAlign w:val="center"/>
          </w:tcPr>
          <w:p w14:paraId="6D652A12" w14:textId="77777777" w:rsidR="00710815" w:rsidRPr="00237760" w:rsidRDefault="00710815" w:rsidP="009367B4">
            <w:pPr>
              <w:spacing w:after="0" w:line="240" w:lineRule="auto"/>
              <w:jc w:val="left"/>
              <w:rPr>
                <w:rFonts w:ascii="Arial" w:hAnsi="Arial" w:cs="Arial"/>
                <w:color w:val="auto"/>
                <w:sz w:val="24"/>
                <w:szCs w:val="24"/>
              </w:rPr>
            </w:pPr>
          </w:p>
        </w:tc>
        <w:tc>
          <w:tcPr>
            <w:tcW w:w="729"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vAlign w:val="center"/>
          </w:tcPr>
          <w:p w14:paraId="5D0BE169" w14:textId="77777777" w:rsidR="00710815" w:rsidRPr="00237760" w:rsidRDefault="00710815" w:rsidP="009367B4">
            <w:pPr>
              <w:spacing w:after="0" w:line="240" w:lineRule="auto"/>
              <w:jc w:val="left"/>
              <w:rPr>
                <w:rFonts w:ascii="Arial" w:hAnsi="Arial" w:cs="Arial"/>
                <w:color w:val="auto"/>
                <w:sz w:val="24"/>
                <w:szCs w:val="24"/>
              </w:rPr>
            </w:pPr>
          </w:p>
        </w:tc>
        <w:tc>
          <w:tcPr>
            <w:tcW w:w="728"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vAlign w:val="center"/>
          </w:tcPr>
          <w:p w14:paraId="2BD35023" w14:textId="77777777" w:rsidR="00710815" w:rsidRPr="00237760" w:rsidRDefault="00710815" w:rsidP="009367B4">
            <w:pPr>
              <w:spacing w:after="0" w:line="240" w:lineRule="auto"/>
              <w:jc w:val="left"/>
              <w:rPr>
                <w:rFonts w:ascii="Arial" w:hAnsi="Arial" w:cs="Arial"/>
                <w:color w:val="auto"/>
                <w:sz w:val="24"/>
                <w:szCs w:val="24"/>
              </w:rPr>
            </w:pPr>
          </w:p>
        </w:tc>
        <w:tc>
          <w:tcPr>
            <w:tcW w:w="729"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tcPr>
          <w:p w14:paraId="64B62422" w14:textId="77777777" w:rsidR="00710815" w:rsidRPr="00237760" w:rsidRDefault="00710815" w:rsidP="009367B4">
            <w:pPr>
              <w:spacing w:after="0" w:line="240" w:lineRule="auto"/>
              <w:jc w:val="left"/>
              <w:rPr>
                <w:rFonts w:ascii="Arial" w:hAnsi="Arial" w:cs="Arial"/>
                <w:color w:val="auto"/>
                <w:sz w:val="24"/>
                <w:szCs w:val="24"/>
              </w:rPr>
            </w:pPr>
          </w:p>
        </w:tc>
      </w:tr>
    </w:tbl>
    <w:p w14:paraId="0282D2D2" w14:textId="2110D73C" w:rsidR="00710815" w:rsidRPr="00237760" w:rsidRDefault="00710815" w:rsidP="009367B4">
      <w:pPr>
        <w:jc w:val="left"/>
        <w:rPr>
          <w:rFonts w:ascii="Arial" w:hAnsi="Arial" w:cs="Arial"/>
          <w:color w:val="auto"/>
          <w:sz w:val="24"/>
          <w:szCs w:val="24"/>
        </w:rPr>
      </w:pPr>
      <w:r w:rsidRPr="00237760">
        <w:rPr>
          <w:rFonts w:ascii="Arial" w:hAnsi="Arial" w:cs="Arial"/>
          <w:color w:val="auto"/>
          <w:sz w:val="24"/>
          <w:szCs w:val="24"/>
        </w:rPr>
        <w:lastRenderedPageBreak/>
        <w:t xml:space="preserve">Źródło: </w:t>
      </w:r>
      <w:r w:rsidR="00176292" w:rsidRPr="00237760">
        <w:rPr>
          <w:rFonts w:ascii="Arial" w:hAnsi="Arial" w:cs="Arial"/>
          <w:color w:val="auto"/>
          <w:sz w:val="24"/>
          <w:szCs w:val="24"/>
        </w:rPr>
        <w:t xml:space="preserve">opracowanie własne na podstawie </w:t>
      </w:r>
      <w:r w:rsidR="00F311FF" w:rsidRPr="00237760">
        <w:rPr>
          <w:rFonts w:ascii="Arial" w:hAnsi="Arial" w:cs="Arial"/>
          <w:color w:val="auto"/>
          <w:sz w:val="24"/>
          <w:szCs w:val="24"/>
        </w:rPr>
        <w:t>PSRT WP</w:t>
      </w:r>
      <w:r w:rsidR="00176292" w:rsidRPr="00237760">
        <w:rPr>
          <w:rFonts w:ascii="Arial" w:hAnsi="Arial" w:cs="Arial"/>
          <w:color w:val="auto"/>
          <w:sz w:val="24"/>
          <w:szCs w:val="24"/>
        </w:rPr>
        <w:t xml:space="preserve"> oraz strategii Czysta energia dla transportu: europejska strategia w zakresie paliw alternatywnych.</w:t>
      </w:r>
    </w:p>
    <w:p w14:paraId="450AE9DC" w14:textId="77777777" w:rsidR="00710815" w:rsidRPr="00237760" w:rsidRDefault="00710815" w:rsidP="009367B4">
      <w:pPr>
        <w:pStyle w:val="Nagwek3"/>
        <w:rPr>
          <w:rFonts w:ascii="Arial" w:hAnsi="Arial" w:cs="Arial"/>
          <w:color w:val="auto"/>
          <w:sz w:val="24"/>
          <w:szCs w:val="24"/>
        </w:rPr>
      </w:pPr>
      <w:bookmarkStart w:id="199" w:name="_Toc101904146"/>
      <w:r w:rsidRPr="00237760">
        <w:rPr>
          <w:rFonts w:ascii="Arial" w:hAnsi="Arial" w:cs="Arial"/>
          <w:color w:val="auto"/>
          <w:sz w:val="24"/>
          <w:szCs w:val="24"/>
        </w:rPr>
        <w:t>Strategia na rzecz Odpowiedzialnego Rozwoju do roku 2020 (z perspektywą do 2030 r.)</w:t>
      </w:r>
      <w:bookmarkEnd w:id="199"/>
    </w:p>
    <w:p w14:paraId="4EBA7410" w14:textId="31F8C6A7" w:rsidR="00710815" w:rsidRPr="00237760" w:rsidRDefault="00710815"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 xml:space="preserve">W </w:t>
      </w:r>
      <w:r w:rsidRPr="00237760">
        <w:rPr>
          <w:rFonts w:ascii="Arial" w:hAnsi="Arial" w:cs="Arial"/>
          <w:i/>
          <w:color w:val="auto"/>
          <w:sz w:val="24"/>
          <w:szCs w:val="24"/>
          <w:lang w:eastAsia="pl-PL"/>
        </w:rPr>
        <w:t>Strategii na rzecz Odpowiedzialnego Rozwoju</w:t>
      </w:r>
      <w:r w:rsidRPr="00237760">
        <w:rPr>
          <w:rFonts w:ascii="Arial" w:hAnsi="Arial" w:cs="Arial"/>
          <w:color w:val="auto"/>
          <w:sz w:val="24"/>
          <w:szCs w:val="24"/>
          <w:lang w:eastAsia="pl-PL"/>
        </w:rPr>
        <w:t>, poza celem głównym i celami szczegółowymi wyznacza się także cele w poszczególnych obszarach. Dla sektora transportu jest to cel „Zwiększenie dostępności transportowej oraz poprawa warunków świadczenia usług związanych z przewozem towarów i pasażerów”, w ramach którego zawierają się trzy kierunki interwencji. Kierunki rozwoju wyznaczone w PSRT WP odnoszą się do wszystkich kierunków interwencji SOR, ze szczególnym naciskiem na pierwszy – „budowę zintegrowanej, wzajemnie powiązanej sieci transportowej służącej konkurencyjnej gospodarce”</w:t>
      </w:r>
      <w:r w:rsidR="00176292" w:rsidRPr="00237760">
        <w:rPr>
          <w:rFonts w:ascii="Arial" w:hAnsi="Arial" w:cs="Arial"/>
          <w:color w:val="auto"/>
          <w:sz w:val="24"/>
          <w:szCs w:val="24"/>
          <w:lang w:eastAsia="pl-PL"/>
        </w:rPr>
        <w:t xml:space="preserve"> (</w:t>
      </w:r>
      <w:r w:rsidR="00176292" w:rsidRPr="00237760">
        <w:rPr>
          <w:rFonts w:ascii="Arial" w:hAnsi="Arial" w:cs="Arial"/>
          <w:color w:val="auto"/>
          <w:sz w:val="24"/>
          <w:szCs w:val="24"/>
          <w:lang w:eastAsia="pl-PL"/>
        </w:rPr>
        <w:fldChar w:fldCharType="begin"/>
      </w:r>
      <w:r w:rsidR="00176292" w:rsidRPr="00237760">
        <w:rPr>
          <w:rFonts w:ascii="Arial" w:hAnsi="Arial" w:cs="Arial"/>
          <w:color w:val="auto"/>
          <w:sz w:val="24"/>
          <w:szCs w:val="24"/>
          <w:lang w:eastAsia="pl-PL"/>
        </w:rPr>
        <w:instrText xml:space="preserve"> REF _Ref101000201 \h </w:instrText>
      </w:r>
      <w:r w:rsidR="00237760" w:rsidRPr="00237760">
        <w:rPr>
          <w:rFonts w:ascii="Arial" w:hAnsi="Arial" w:cs="Arial"/>
          <w:color w:val="auto"/>
          <w:sz w:val="24"/>
          <w:szCs w:val="24"/>
          <w:lang w:eastAsia="pl-PL"/>
        </w:rPr>
        <w:instrText xml:space="preserve"> \* MERGEFORMAT </w:instrText>
      </w:r>
      <w:r w:rsidR="00176292" w:rsidRPr="00237760">
        <w:rPr>
          <w:rFonts w:ascii="Arial" w:hAnsi="Arial" w:cs="Arial"/>
          <w:color w:val="auto"/>
          <w:sz w:val="24"/>
          <w:szCs w:val="24"/>
          <w:lang w:eastAsia="pl-PL"/>
        </w:rPr>
      </w:r>
      <w:r w:rsidR="00176292" w:rsidRPr="00237760">
        <w:rPr>
          <w:rFonts w:ascii="Arial" w:hAnsi="Arial" w:cs="Arial"/>
          <w:color w:val="auto"/>
          <w:sz w:val="24"/>
          <w:szCs w:val="24"/>
          <w:lang w:eastAsia="pl-PL"/>
        </w:rPr>
        <w:fldChar w:fldCharType="separate"/>
      </w:r>
      <w:r w:rsidR="00E52C19" w:rsidRPr="00237760">
        <w:rPr>
          <w:rFonts w:ascii="Arial" w:hAnsi="Arial" w:cs="Arial"/>
          <w:color w:val="auto"/>
          <w:sz w:val="24"/>
          <w:szCs w:val="24"/>
        </w:rPr>
        <w:t xml:space="preserve">Tabela </w:t>
      </w:r>
      <w:r w:rsidR="00E52C19" w:rsidRPr="00237760">
        <w:rPr>
          <w:rFonts w:ascii="Arial" w:hAnsi="Arial" w:cs="Arial"/>
          <w:noProof/>
          <w:color w:val="auto"/>
          <w:sz w:val="24"/>
          <w:szCs w:val="24"/>
        </w:rPr>
        <w:t>26</w:t>
      </w:r>
      <w:r w:rsidR="00176292" w:rsidRPr="00237760">
        <w:rPr>
          <w:rFonts w:ascii="Arial" w:hAnsi="Arial" w:cs="Arial"/>
          <w:color w:val="auto"/>
          <w:sz w:val="24"/>
          <w:szCs w:val="24"/>
          <w:lang w:eastAsia="pl-PL"/>
        </w:rPr>
        <w:fldChar w:fldCharType="end"/>
      </w:r>
      <w:r w:rsidR="00176292" w:rsidRPr="00237760">
        <w:rPr>
          <w:rFonts w:ascii="Arial" w:hAnsi="Arial" w:cs="Arial"/>
          <w:color w:val="auto"/>
          <w:sz w:val="24"/>
          <w:szCs w:val="24"/>
          <w:lang w:eastAsia="pl-PL"/>
        </w:rPr>
        <w:t>)</w:t>
      </w:r>
      <w:r w:rsidRPr="00237760">
        <w:rPr>
          <w:rFonts w:ascii="Arial" w:hAnsi="Arial" w:cs="Arial"/>
          <w:color w:val="auto"/>
          <w:sz w:val="24"/>
          <w:szCs w:val="24"/>
          <w:lang w:eastAsia="pl-PL"/>
        </w:rPr>
        <w:t xml:space="preserve">. </w:t>
      </w:r>
    </w:p>
    <w:p w14:paraId="387FDEEB" w14:textId="311BB4A3" w:rsidR="00710815" w:rsidRPr="00237760" w:rsidRDefault="00710815" w:rsidP="009367B4">
      <w:pPr>
        <w:pStyle w:val="Legenda"/>
        <w:keepNext/>
        <w:jc w:val="left"/>
        <w:rPr>
          <w:rFonts w:ascii="Arial" w:hAnsi="Arial" w:cs="Arial"/>
          <w:color w:val="auto"/>
          <w:sz w:val="24"/>
          <w:szCs w:val="24"/>
        </w:rPr>
      </w:pPr>
      <w:bookmarkStart w:id="200" w:name="_Ref101000201"/>
      <w:bookmarkStart w:id="201" w:name="_Toc101904267"/>
      <w:r w:rsidRPr="00237760">
        <w:rPr>
          <w:rFonts w:ascii="Arial" w:hAnsi="Arial" w:cs="Arial"/>
          <w:color w:val="auto"/>
          <w:sz w:val="24"/>
          <w:szCs w:val="24"/>
        </w:rPr>
        <w:t xml:space="preserve">Tabela </w:t>
      </w:r>
      <w:r w:rsidRPr="00237760">
        <w:rPr>
          <w:rFonts w:ascii="Arial" w:hAnsi="Arial" w:cs="Arial"/>
          <w:noProof/>
          <w:color w:val="auto"/>
          <w:sz w:val="24"/>
          <w:szCs w:val="24"/>
        </w:rPr>
        <w:fldChar w:fldCharType="begin"/>
      </w:r>
      <w:r w:rsidRPr="00237760">
        <w:rPr>
          <w:rFonts w:ascii="Arial" w:hAnsi="Arial" w:cs="Arial"/>
          <w:noProof/>
          <w:color w:val="auto"/>
          <w:sz w:val="24"/>
          <w:szCs w:val="24"/>
        </w:rPr>
        <w:instrText xml:space="preserve"> SEQ Tabela \* ARABIC </w:instrText>
      </w:r>
      <w:r w:rsidRPr="00237760">
        <w:rPr>
          <w:rFonts w:ascii="Arial" w:hAnsi="Arial" w:cs="Arial"/>
          <w:noProof/>
          <w:color w:val="auto"/>
          <w:sz w:val="24"/>
          <w:szCs w:val="24"/>
        </w:rPr>
        <w:fldChar w:fldCharType="separate"/>
      </w:r>
      <w:r w:rsidR="00762B20" w:rsidRPr="00237760">
        <w:rPr>
          <w:rFonts w:ascii="Arial" w:hAnsi="Arial" w:cs="Arial"/>
          <w:noProof/>
          <w:color w:val="auto"/>
          <w:sz w:val="24"/>
          <w:szCs w:val="24"/>
        </w:rPr>
        <w:t>26</w:t>
      </w:r>
      <w:r w:rsidRPr="00237760">
        <w:rPr>
          <w:rFonts w:ascii="Arial" w:hAnsi="Arial" w:cs="Arial"/>
          <w:noProof/>
          <w:color w:val="auto"/>
          <w:sz w:val="24"/>
          <w:szCs w:val="24"/>
        </w:rPr>
        <w:fldChar w:fldCharType="end"/>
      </w:r>
      <w:bookmarkEnd w:id="200"/>
      <w:r w:rsidR="00176292" w:rsidRPr="00237760">
        <w:rPr>
          <w:rFonts w:ascii="Arial" w:hAnsi="Arial" w:cs="Arial"/>
          <w:color w:val="auto"/>
          <w:sz w:val="24"/>
          <w:szCs w:val="24"/>
        </w:rPr>
        <w:t xml:space="preserve">. </w:t>
      </w:r>
      <w:r w:rsidRPr="00237760">
        <w:rPr>
          <w:rFonts w:ascii="Arial" w:hAnsi="Arial" w:cs="Arial"/>
          <w:color w:val="auto"/>
          <w:sz w:val="24"/>
          <w:szCs w:val="24"/>
        </w:rPr>
        <w:t xml:space="preserve">Ocena spójności </w:t>
      </w:r>
      <w:r w:rsidR="00F311FF" w:rsidRPr="00237760">
        <w:rPr>
          <w:rFonts w:ascii="Arial" w:hAnsi="Arial" w:cs="Arial"/>
          <w:color w:val="auto"/>
          <w:sz w:val="24"/>
          <w:szCs w:val="24"/>
        </w:rPr>
        <w:t>PSRT WP</w:t>
      </w:r>
      <w:r w:rsidRPr="00237760">
        <w:rPr>
          <w:rFonts w:ascii="Arial" w:hAnsi="Arial" w:cs="Arial"/>
          <w:color w:val="auto"/>
          <w:sz w:val="24"/>
          <w:szCs w:val="24"/>
        </w:rPr>
        <w:t xml:space="preserve"> z Strategią na rzecz Odpowiedzialnego Rozwoju</w:t>
      </w:r>
      <w:bookmarkEnd w:id="201"/>
    </w:p>
    <w:tbl>
      <w:tblPr>
        <w:tblStyle w:val="Tabela-Siatka"/>
        <w:tblW w:w="9083" w:type="dxa"/>
        <w:tblInd w:w="-5"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57" w:type="dxa"/>
          <w:right w:w="57" w:type="dxa"/>
        </w:tblCellMar>
        <w:tblLook w:val="04A0" w:firstRow="1" w:lastRow="0" w:firstColumn="1" w:lastColumn="0" w:noHBand="0" w:noVBand="1"/>
        <w:tblCaption w:val="Tabela 26. Ocena spójności PSRT WP z Strategią na rzecz Odpowiedzialnego Rozwoju"/>
        <w:tblDescription w:val="Tabela zawiera Cel sektorowy: Zwiększenie dostępności transportowej oraz poprawa warunków świadczenia usług związanych z przewozem towarów i pasażerów, Cele podstawowe PSRT WP, Cele horyzontalne PSRT WP"/>
      </w:tblPr>
      <w:tblGrid>
        <w:gridCol w:w="5108"/>
        <w:gridCol w:w="567"/>
        <w:gridCol w:w="567"/>
        <w:gridCol w:w="567"/>
        <w:gridCol w:w="567"/>
        <w:gridCol w:w="567"/>
        <w:gridCol w:w="567"/>
        <w:gridCol w:w="567"/>
        <w:gridCol w:w="6"/>
      </w:tblGrid>
      <w:tr w:rsidR="00237760" w:rsidRPr="00237760" w14:paraId="7F996F9C" w14:textId="77777777" w:rsidTr="00FB20A6">
        <w:trPr>
          <w:trHeight w:val="80"/>
          <w:tblHeader/>
        </w:trPr>
        <w:tc>
          <w:tcPr>
            <w:tcW w:w="9083" w:type="dxa"/>
            <w:gridSpan w:val="9"/>
            <w:tcBorders>
              <w:top w:val="single" w:sz="12" w:space="0" w:color="002060"/>
              <w:left w:val="nil"/>
              <w:bottom w:val="single" w:sz="4" w:space="0" w:color="BDD6EE" w:themeColor="accent1" w:themeTint="66"/>
            </w:tcBorders>
            <w:shd w:val="clear" w:color="auto" w:fill="auto"/>
            <w:vAlign w:val="center"/>
          </w:tcPr>
          <w:p w14:paraId="1C979E1D"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Strategia na rzecz Odpowiedzialnego Rozwoju</w:t>
            </w:r>
          </w:p>
        </w:tc>
      </w:tr>
      <w:tr w:rsidR="00237760" w:rsidRPr="00237760" w14:paraId="1BCB801F" w14:textId="77777777" w:rsidTr="00FB20A6">
        <w:trPr>
          <w:gridAfter w:val="1"/>
          <w:wAfter w:w="6" w:type="dxa"/>
          <w:trHeight w:val="112"/>
          <w:tblHeader/>
        </w:trPr>
        <w:tc>
          <w:tcPr>
            <w:tcW w:w="5108" w:type="dxa"/>
            <w:vMerge w:val="restart"/>
            <w:tcBorders>
              <w:top w:val="nil"/>
              <w:left w:val="nil"/>
              <w:bottom w:val="single" w:sz="4" w:space="0" w:color="BDD6EE" w:themeColor="accent1" w:themeTint="66"/>
              <w:right w:val="nil"/>
            </w:tcBorders>
            <w:shd w:val="clear" w:color="auto" w:fill="auto"/>
            <w:vAlign w:val="center"/>
            <w:hideMark/>
          </w:tcPr>
          <w:p w14:paraId="3C5BB2E7"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 sektorowy: Zwiększenie dostępności transportowej oraz poprawa warunków świadczenia usług związanych z przewozem towarów i pasażerów</w:t>
            </w:r>
          </w:p>
        </w:tc>
        <w:tc>
          <w:tcPr>
            <w:tcW w:w="1701" w:type="dxa"/>
            <w:gridSpan w:val="3"/>
            <w:tcBorders>
              <w:top w:val="nil"/>
              <w:left w:val="nil"/>
              <w:bottom w:val="single" w:sz="4" w:space="0" w:color="BDD6EE" w:themeColor="accent1" w:themeTint="66"/>
            </w:tcBorders>
            <w:shd w:val="clear" w:color="auto" w:fill="auto"/>
            <w:vAlign w:val="center"/>
          </w:tcPr>
          <w:p w14:paraId="24EB0BE1"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podstawowe PSRT WP</w:t>
            </w:r>
          </w:p>
        </w:tc>
        <w:tc>
          <w:tcPr>
            <w:tcW w:w="2268" w:type="dxa"/>
            <w:gridSpan w:val="4"/>
            <w:tcBorders>
              <w:top w:val="nil"/>
              <w:left w:val="nil"/>
              <w:bottom w:val="single" w:sz="4" w:space="0" w:color="BDD6EE" w:themeColor="accent1" w:themeTint="66"/>
            </w:tcBorders>
            <w:shd w:val="clear" w:color="auto" w:fill="auto"/>
            <w:vAlign w:val="center"/>
          </w:tcPr>
          <w:p w14:paraId="683386E9"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horyzontalne PSRT WP</w:t>
            </w:r>
          </w:p>
        </w:tc>
      </w:tr>
      <w:tr w:rsidR="00237760" w:rsidRPr="00237760" w14:paraId="6F0BF97C" w14:textId="77777777" w:rsidTr="00FB20A6">
        <w:trPr>
          <w:gridAfter w:val="1"/>
          <w:wAfter w:w="6" w:type="dxa"/>
          <w:trHeight w:val="172"/>
          <w:tblHeader/>
        </w:trPr>
        <w:tc>
          <w:tcPr>
            <w:tcW w:w="5108" w:type="dxa"/>
            <w:vMerge/>
            <w:tcBorders>
              <w:top w:val="nil"/>
              <w:left w:val="nil"/>
              <w:bottom w:val="single" w:sz="4" w:space="0" w:color="BDD6EE" w:themeColor="accent1" w:themeTint="66"/>
              <w:right w:val="nil"/>
            </w:tcBorders>
            <w:shd w:val="clear" w:color="auto" w:fill="auto"/>
            <w:vAlign w:val="center"/>
            <w:hideMark/>
          </w:tcPr>
          <w:p w14:paraId="68FEF92E" w14:textId="77777777" w:rsidR="00710815" w:rsidRPr="00237760" w:rsidRDefault="00710815" w:rsidP="009367B4">
            <w:pPr>
              <w:spacing w:after="0" w:line="240" w:lineRule="auto"/>
              <w:jc w:val="left"/>
              <w:rPr>
                <w:rFonts w:ascii="Arial" w:hAnsi="Arial" w:cs="Arial"/>
                <w:b/>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18AA4456"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570C5CED"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1055C718"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45C392C6"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7AE29276"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nil"/>
            </w:tcBorders>
            <w:shd w:val="clear" w:color="auto" w:fill="auto"/>
            <w:vAlign w:val="center"/>
          </w:tcPr>
          <w:p w14:paraId="6119C595"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nil"/>
            </w:tcBorders>
            <w:shd w:val="clear" w:color="auto" w:fill="auto"/>
            <w:vAlign w:val="center"/>
          </w:tcPr>
          <w:p w14:paraId="34BDC3C4"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4.</w:t>
            </w:r>
          </w:p>
        </w:tc>
      </w:tr>
      <w:tr w:rsidR="00237760" w:rsidRPr="00237760" w14:paraId="5DE1F3F2" w14:textId="77777777" w:rsidTr="00FB20A6">
        <w:trPr>
          <w:gridAfter w:val="1"/>
          <w:wAfter w:w="6" w:type="dxa"/>
          <w:trHeight w:val="55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396F0E99"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1. Budowa zintegrowanej, wzajemnie powiązanej sieci transportowej służącej konkurencyjnej gospodarce</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748FC37E"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4A4BB6A7"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55AB0480"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1CD8888E"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39FB7233"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7E58D45B"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30D7B25A"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21CF9713" w14:textId="77777777" w:rsidTr="00FB20A6">
        <w:trPr>
          <w:gridAfter w:val="1"/>
          <w:wAfter w:w="6" w:type="dxa"/>
          <w:trHeight w:val="1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40586F2B"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2. Zmiany w indywidualnej i zbiorowej mobilności</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1BAD9FD0"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6ED8A435"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0820878F"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62FD27A1"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24E62B8C"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2D216E74"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769734C0"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61E8CECF" w14:textId="77777777" w:rsidTr="00FB20A6">
        <w:trPr>
          <w:gridAfter w:val="1"/>
          <w:wAfter w:w="6" w:type="dxa"/>
          <w:trHeight w:val="14"/>
        </w:trPr>
        <w:tc>
          <w:tcPr>
            <w:tcW w:w="5108" w:type="dxa"/>
            <w:tcBorders>
              <w:top w:val="single" w:sz="4" w:space="0" w:color="BDD6EE" w:themeColor="accent1" w:themeTint="66"/>
              <w:left w:val="nil"/>
              <w:bottom w:val="single" w:sz="12" w:space="0" w:color="002060"/>
              <w:right w:val="single" w:sz="4" w:space="0" w:color="BDD6EE" w:themeColor="accent1" w:themeTint="66"/>
            </w:tcBorders>
          </w:tcPr>
          <w:p w14:paraId="33E367FB"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3. Poprawa efektywności wykorzystania publicznych środków na przedsięwzięcia transportowe</w:t>
            </w:r>
          </w:p>
        </w:tc>
        <w:tc>
          <w:tcPr>
            <w:tcW w:w="567"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auto"/>
          </w:tcPr>
          <w:p w14:paraId="3618C4E0"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auto"/>
            <w:vAlign w:val="center"/>
          </w:tcPr>
          <w:p w14:paraId="6F45A428"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9CC2E5" w:themeFill="accent1" w:themeFillTint="99"/>
            <w:vAlign w:val="center"/>
          </w:tcPr>
          <w:p w14:paraId="5DB78A1E"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auto"/>
            <w:vAlign w:val="center"/>
          </w:tcPr>
          <w:p w14:paraId="653A76D7"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9CC2E5" w:themeFill="accent1" w:themeFillTint="99"/>
            <w:vAlign w:val="center"/>
          </w:tcPr>
          <w:p w14:paraId="0EEDFD0F"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auto"/>
            <w:vAlign w:val="center"/>
          </w:tcPr>
          <w:p w14:paraId="5B11F1F4"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auto"/>
          </w:tcPr>
          <w:p w14:paraId="5A7BFEBF" w14:textId="77777777" w:rsidR="00710815" w:rsidRPr="00237760" w:rsidRDefault="00710815" w:rsidP="009367B4">
            <w:pPr>
              <w:spacing w:after="0" w:line="240" w:lineRule="auto"/>
              <w:jc w:val="left"/>
              <w:rPr>
                <w:rFonts w:ascii="Arial" w:hAnsi="Arial" w:cs="Arial"/>
                <w:color w:val="auto"/>
                <w:sz w:val="24"/>
                <w:szCs w:val="24"/>
              </w:rPr>
            </w:pPr>
          </w:p>
        </w:tc>
      </w:tr>
    </w:tbl>
    <w:p w14:paraId="3B52CAD8" w14:textId="7AE15971" w:rsidR="00710815" w:rsidRPr="00237760" w:rsidRDefault="00710815" w:rsidP="009367B4">
      <w:pPr>
        <w:jc w:val="left"/>
        <w:rPr>
          <w:rFonts w:ascii="Arial" w:hAnsi="Arial" w:cs="Arial"/>
          <w:color w:val="auto"/>
          <w:sz w:val="24"/>
          <w:szCs w:val="24"/>
        </w:rPr>
      </w:pPr>
      <w:r w:rsidRPr="00237760">
        <w:rPr>
          <w:rFonts w:ascii="Arial" w:hAnsi="Arial" w:cs="Arial"/>
          <w:color w:val="auto"/>
          <w:sz w:val="24"/>
          <w:szCs w:val="24"/>
        </w:rPr>
        <w:t xml:space="preserve">Źródło: </w:t>
      </w:r>
      <w:r w:rsidR="00176292" w:rsidRPr="00237760">
        <w:rPr>
          <w:rFonts w:ascii="Arial" w:hAnsi="Arial" w:cs="Arial"/>
          <w:color w:val="auto"/>
          <w:sz w:val="24"/>
          <w:szCs w:val="24"/>
        </w:rPr>
        <w:t xml:space="preserve">opracowanie własne na podstawie </w:t>
      </w:r>
      <w:r w:rsidR="00F311FF" w:rsidRPr="00237760">
        <w:rPr>
          <w:rFonts w:ascii="Arial" w:hAnsi="Arial" w:cs="Arial"/>
          <w:color w:val="auto"/>
          <w:sz w:val="24"/>
          <w:szCs w:val="24"/>
        </w:rPr>
        <w:t>PSRT WP</w:t>
      </w:r>
      <w:r w:rsidR="00176292" w:rsidRPr="00237760">
        <w:rPr>
          <w:rFonts w:ascii="Arial" w:hAnsi="Arial" w:cs="Arial"/>
          <w:color w:val="auto"/>
          <w:sz w:val="24"/>
          <w:szCs w:val="24"/>
        </w:rPr>
        <w:t xml:space="preserve"> oraz Strategii na rzecz Odpowiedzialnego Rozwoju.</w:t>
      </w:r>
    </w:p>
    <w:p w14:paraId="17ED71E9" w14:textId="77777777" w:rsidR="00710815" w:rsidRPr="00237760" w:rsidRDefault="00710815" w:rsidP="009367B4">
      <w:pPr>
        <w:pStyle w:val="Nagwek3"/>
        <w:rPr>
          <w:rFonts w:ascii="Arial" w:hAnsi="Arial" w:cs="Arial"/>
          <w:color w:val="auto"/>
          <w:sz w:val="24"/>
          <w:szCs w:val="24"/>
        </w:rPr>
      </w:pPr>
      <w:bookmarkStart w:id="202" w:name="_Toc101904147"/>
      <w:r w:rsidRPr="00237760">
        <w:rPr>
          <w:rFonts w:ascii="Arial" w:hAnsi="Arial" w:cs="Arial"/>
          <w:color w:val="auto"/>
          <w:sz w:val="24"/>
          <w:szCs w:val="24"/>
        </w:rPr>
        <w:t>Krajowy Plan Odbudowy i Zwiększania Odporności</w:t>
      </w:r>
      <w:bookmarkEnd w:id="202"/>
    </w:p>
    <w:p w14:paraId="0B37BFCE" w14:textId="2FE9BBED" w:rsidR="00710815" w:rsidRPr="00237760" w:rsidRDefault="00710815" w:rsidP="009367B4">
      <w:pPr>
        <w:jc w:val="left"/>
        <w:rPr>
          <w:rFonts w:ascii="Arial" w:hAnsi="Arial" w:cs="Arial"/>
          <w:color w:val="auto"/>
          <w:sz w:val="24"/>
          <w:szCs w:val="24"/>
          <w:lang w:eastAsia="pl-PL"/>
        </w:rPr>
      </w:pPr>
      <w:r w:rsidRPr="00237760">
        <w:rPr>
          <w:rFonts w:ascii="Arial" w:hAnsi="Arial" w:cs="Arial"/>
          <w:i/>
          <w:color w:val="auto"/>
          <w:sz w:val="24"/>
          <w:szCs w:val="24"/>
          <w:lang w:eastAsia="pl-PL"/>
        </w:rPr>
        <w:t>Krajowy Plan Odbudowy</w:t>
      </w:r>
      <w:r w:rsidRPr="00237760">
        <w:rPr>
          <w:rFonts w:ascii="Arial" w:hAnsi="Arial" w:cs="Arial"/>
          <w:color w:val="auto"/>
          <w:sz w:val="24"/>
          <w:szCs w:val="24"/>
          <w:lang w:eastAsia="pl-PL"/>
        </w:rPr>
        <w:t xml:space="preserve"> wyznacza trzy cele szczegółowe, z których wszystkie znajdują reprezentacje wśród kierunków rozwoju z </w:t>
      </w:r>
      <w:r w:rsidR="00F311FF" w:rsidRPr="00237760">
        <w:rPr>
          <w:rFonts w:ascii="Arial" w:hAnsi="Arial" w:cs="Arial"/>
          <w:color w:val="auto"/>
          <w:sz w:val="24"/>
          <w:szCs w:val="24"/>
          <w:lang w:eastAsia="pl-PL"/>
        </w:rPr>
        <w:t>PSRT WP</w:t>
      </w:r>
      <w:r w:rsidR="00176292" w:rsidRPr="00237760">
        <w:rPr>
          <w:rFonts w:ascii="Arial" w:hAnsi="Arial" w:cs="Arial"/>
          <w:color w:val="auto"/>
          <w:sz w:val="24"/>
          <w:szCs w:val="24"/>
          <w:lang w:eastAsia="pl-PL"/>
        </w:rPr>
        <w:t xml:space="preserve"> (</w:t>
      </w:r>
      <w:r w:rsidR="00176292" w:rsidRPr="00237760">
        <w:rPr>
          <w:rFonts w:ascii="Arial" w:hAnsi="Arial" w:cs="Arial"/>
          <w:color w:val="auto"/>
          <w:sz w:val="24"/>
          <w:szCs w:val="24"/>
          <w:lang w:eastAsia="pl-PL"/>
        </w:rPr>
        <w:fldChar w:fldCharType="begin"/>
      </w:r>
      <w:r w:rsidR="00176292" w:rsidRPr="00237760">
        <w:rPr>
          <w:rFonts w:ascii="Arial" w:hAnsi="Arial" w:cs="Arial"/>
          <w:color w:val="auto"/>
          <w:sz w:val="24"/>
          <w:szCs w:val="24"/>
          <w:lang w:eastAsia="pl-PL"/>
        </w:rPr>
        <w:instrText xml:space="preserve"> REF _Ref101000298 \h </w:instrText>
      </w:r>
      <w:r w:rsidR="00237760" w:rsidRPr="00237760">
        <w:rPr>
          <w:rFonts w:ascii="Arial" w:hAnsi="Arial" w:cs="Arial"/>
          <w:color w:val="auto"/>
          <w:sz w:val="24"/>
          <w:szCs w:val="24"/>
          <w:lang w:eastAsia="pl-PL"/>
        </w:rPr>
        <w:instrText xml:space="preserve"> \* MERGEFORMAT </w:instrText>
      </w:r>
      <w:r w:rsidR="00176292" w:rsidRPr="00237760">
        <w:rPr>
          <w:rFonts w:ascii="Arial" w:hAnsi="Arial" w:cs="Arial"/>
          <w:color w:val="auto"/>
          <w:sz w:val="24"/>
          <w:szCs w:val="24"/>
          <w:lang w:eastAsia="pl-PL"/>
        </w:rPr>
      </w:r>
      <w:r w:rsidR="00176292" w:rsidRPr="00237760">
        <w:rPr>
          <w:rFonts w:ascii="Arial" w:hAnsi="Arial" w:cs="Arial"/>
          <w:color w:val="auto"/>
          <w:sz w:val="24"/>
          <w:szCs w:val="24"/>
          <w:lang w:eastAsia="pl-PL"/>
        </w:rPr>
        <w:fldChar w:fldCharType="separate"/>
      </w:r>
      <w:r w:rsidR="00E52C19" w:rsidRPr="00237760">
        <w:rPr>
          <w:rFonts w:ascii="Arial" w:hAnsi="Arial" w:cs="Arial"/>
          <w:color w:val="auto"/>
          <w:sz w:val="24"/>
          <w:szCs w:val="24"/>
        </w:rPr>
        <w:t xml:space="preserve">Tabela </w:t>
      </w:r>
      <w:r w:rsidR="00E52C19" w:rsidRPr="00237760">
        <w:rPr>
          <w:rFonts w:ascii="Arial" w:hAnsi="Arial" w:cs="Arial"/>
          <w:noProof/>
          <w:color w:val="auto"/>
          <w:sz w:val="24"/>
          <w:szCs w:val="24"/>
        </w:rPr>
        <w:t>27</w:t>
      </w:r>
      <w:r w:rsidR="00176292" w:rsidRPr="00237760">
        <w:rPr>
          <w:rFonts w:ascii="Arial" w:hAnsi="Arial" w:cs="Arial"/>
          <w:color w:val="auto"/>
          <w:sz w:val="24"/>
          <w:szCs w:val="24"/>
          <w:lang w:eastAsia="pl-PL"/>
        </w:rPr>
        <w:fldChar w:fldCharType="end"/>
      </w:r>
      <w:r w:rsidR="00176292" w:rsidRPr="00237760">
        <w:rPr>
          <w:rFonts w:ascii="Arial" w:hAnsi="Arial" w:cs="Arial"/>
          <w:color w:val="auto"/>
          <w:sz w:val="24"/>
          <w:szCs w:val="24"/>
          <w:lang w:eastAsia="pl-PL"/>
        </w:rPr>
        <w:t>)</w:t>
      </w:r>
      <w:r w:rsidRPr="00237760">
        <w:rPr>
          <w:rFonts w:ascii="Arial" w:hAnsi="Arial" w:cs="Arial"/>
          <w:color w:val="auto"/>
          <w:sz w:val="24"/>
          <w:szCs w:val="24"/>
          <w:lang w:eastAsia="pl-PL"/>
        </w:rPr>
        <w:t xml:space="preserve">. Naturalnie najwięcej odniesień można określić dla celu „zielona transformacja gospodarki oraz rozwój zielonej, inteligentnej mobilności”. </w:t>
      </w:r>
    </w:p>
    <w:p w14:paraId="68EAF509" w14:textId="0B77E2B6" w:rsidR="00710815" w:rsidRPr="00237760" w:rsidRDefault="00710815" w:rsidP="009367B4">
      <w:pPr>
        <w:pStyle w:val="Legenda"/>
        <w:keepNext/>
        <w:jc w:val="left"/>
        <w:rPr>
          <w:rFonts w:ascii="Arial" w:hAnsi="Arial" w:cs="Arial"/>
          <w:color w:val="auto"/>
          <w:sz w:val="24"/>
          <w:szCs w:val="24"/>
        </w:rPr>
      </w:pPr>
      <w:bookmarkStart w:id="203" w:name="_Ref101000298"/>
      <w:bookmarkStart w:id="204" w:name="_Toc101904268"/>
      <w:r w:rsidRPr="00237760">
        <w:rPr>
          <w:rFonts w:ascii="Arial" w:hAnsi="Arial" w:cs="Arial"/>
          <w:color w:val="auto"/>
          <w:sz w:val="24"/>
          <w:szCs w:val="24"/>
        </w:rPr>
        <w:lastRenderedPageBreak/>
        <w:t xml:space="preserve">Tabela </w:t>
      </w:r>
      <w:r w:rsidRPr="00237760">
        <w:rPr>
          <w:rFonts w:ascii="Arial" w:hAnsi="Arial" w:cs="Arial"/>
          <w:noProof/>
          <w:color w:val="auto"/>
          <w:sz w:val="24"/>
          <w:szCs w:val="24"/>
        </w:rPr>
        <w:fldChar w:fldCharType="begin"/>
      </w:r>
      <w:r w:rsidRPr="00237760">
        <w:rPr>
          <w:rFonts w:ascii="Arial" w:hAnsi="Arial" w:cs="Arial"/>
          <w:noProof/>
          <w:color w:val="auto"/>
          <w:sz w:val="24"/>
          <w:szCs w:val="24"/>
        </w:rPr>
        <w:instrText xml:space="preserve"> SEQ Tabela \* ARABIC </w:instrText>
      </w:r>
      <w:r w:rsidRPr="00237760">
        <w:rPr>
          <w:rFonts w:ascii="Arial" w:hAnsi="Arial" w:cs="Arial"/>
          <w:noProof/>
          <w:color w:val="auto"/>
          <w:sz w:val="24"/>
          <w:szCs w:val="24"/>
        </w:rPr>
        <w:fldChar w:fldCharType="separate"/>
      </w:r>
      <w:r w:rsidR="00762B20" w:rsidRPr="00237760">
        <w:rPr>
          <w:rFonts w:ascii="Arial" w:hAnsi="Arial" w:cs="Arial"/>
          <w:noProof/>
          <w:color w:val="auto"/>
          <w:sz w:val="24"/>
          <w:szCs w:val="24"/>
        </w:rPr>
        <w:t>27</w:t>
      </w:r>
      <w:r w:rsidRPr="00237760">
        <w:rPr>
          <w:rFonts w:ascii="Arial" w:hAnsi="Arial" w:cs="Arial"/>
          <w:noProof/>
          <w:color w:val="auto"/>
          <w:sz w:val="24"/>
          <w:szCs w:val="24"/>
        </w:rPr>
        <w:fldChar w:fldCharType="end"/>
      </w:r>
      <w:bookmarkEnd w:id="203"/>
      <w:r w:rsidR="00176292" w:rsidRPr="00237760">
        <w:rPr>
          <w:rFonts w:ascii="Arial" w:hAnsi="Arial" w:cs="Arial"/>
          <w:noProof/>
          <w:color w:val="auto"/>
          <w:sz w:val="24"/>
          <w:szCs w:val="24"/>
        </w:rPr>
        <w:t>.</w:t>
      </w:r>
      <w:r w:rsidRPr="00237760">
        <w:rPr>
          <w:rFonts w:ascii="Arial" w:hAnsi="Arial" w:cs="Arial"/>
          <w:color w:val="auto"/>
          <w:sz w:val="24"/>
          <w:szCs w:val="24"/>
        </w:rPr>
        <w:t xml:space="preserve"> Ocena spójności </w:t>
      </w:r>
      <w:r w:rsidR="00F311FF" w:rsidRPr="00237760">
        <w:rPr>
          <w:rFonts w:ascii="Arial" w:hAnsi="Arial" w:cs="Arial"/>
          <w:color w:val="auto"/>
          <w:sz w:val="24"/>
          <w:szCs w:val="24"/>
        </w:rPr>
        <w:t>PSRT WP</w:t>
      </w:r>
      <w:r w:rsidRPr="00237760">
        <w:rPr>
          <w:rFonts w:ascii="Arial" w:hAnsi="Arial" w:cs="Arial"/>
          <w:color w:val="auto"/>
          <w:sz w:val="24"/>
          <w:szCs w:val="24"/>
        </w:rPr>
        <w:t xml:space="preserve"> z Krajowym Planem Odbudowy i Zwiększania Odporności</w:t>
      </w:r>
      <w:bookmarkEnd w:id="204"/>
    </w:p>
    <w:tbl>
      <w:tblPr>
        <w:tblStyle w:val="Tabela-Siatka"/>
        <w:tblW w:w="9077" w:type="dxa"/>
        <w:tblInd w:w="-5"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57" w:type="dxa"/>
          <w:right w:w="57" w:type="dxa"/>
        </w:tblCellMar>
        <w:tblLook w:val="04A0" w:firstRow="1" w:lastRow="0" w:firstColumn="1" w:lastColumn="0" w:noHBand="0" w:noVBand="1"/>
        <w:tblCaption w:val="Tabela 27. Ocena spójności PSRT WP z Krajowym Planem Odbudowy i Zwiększania Odporności"/>
      </w:tblPr>
      <w:tblGrid>
        <w:gridCol w:w="5108"/>
        <w:gridCol w:w="563"/>
        <w:gridCol w:w="567"/>
        <w:gridCol w:w="567"/>
        <w:gridCol w:w="567"/>
        <w:gridCol w:w="567"/>
        <w:gridCol w:w="567"/>
        <w:gridCol w:w="571"/>
      </w:tblGrid>
      <w:tr w:rsidR="00237760" w:rsidRPr="00237760" w14:paraId="2F6B8DB9" w14:textId="77777777" w:rsidTr="006953A8">
        <w:trPr>
          <w:trHeight w:val="129"/>
          <w:tblHeader/>
        </w:trPr>
        <w:tc>
          <w:tcPr>
            <w:tcW w:w="9077" w:type="dxa"/>
            <w:gridSpan w:val="8"/>
            <w:tcBorders>
              <w:top w:val="single" w:sz="12" w:space="0" w:color="002060"/>
              <w:left w:val="nil"/>
              <w:bottom w:val="single" w:sz="4" w:space="0" w:color="BDD6EE" w:themeColor="accent1" w:themeTint="66"/>
              <w:right w:val="nil"/>
            </w:tcBorders>
            <w:shd w:val="clear" w:color="auto" w:fill="auto"/>
            <w:vAlign w:val="center"/>
            <w:hideMark/>
          </w:tcPr>
          <w:p w14:paraId="18C7433F"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Krajowy Plan Odbudowy i Zwiększania Odporności</w:t>
            </w:r>
          </w:p>
        </w:tc>
      </w:tr>
      <w:tr w:rsidR="00237760" w:rsidRPr="00237760" w14:paraId="3FC48E07" w14:textId="77777777" w:rsidTr="006953A8">
        <w:trPr>
          <w:trHeight w:val="179"/>
          <w:tblHeader/>
        </w:trPr>
        <w:tc>
          <w:tcPr>
            <w:tcW w:w="5108" w:type="dxa"/>
            <w:vMerge w:val="restart"/>
            <w:tcBorders>
              <w:top w:val="nil"/>
              <w:left w:val="nil"/>
              <w:bottom w:val="single" w:sz="4" w:space="0" w:color="BDD6EE" w:themeColor="accent1" w:themeTint="66"/>
              <w:right w:val="nil"/>
            </w:tcBorders>
            <w:shd w:val="clear" w:color="auto" w:fill="auto"/>
            <w:vAlign w:val="center"/>
            <w:hideMark/>
          </w:tcPr>
          <w:p w14:paraId="4C28B0C6"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szczegółowe</w:t>
            </w:r>
          </w:p>
        </w:tc>
        <w:tc>
          <w:tcPr>
            <w:tcW w:w="1697" w:type="dxa"/>
            <w:gridSpan w:val="3"/>
            <w:tcBorders>
              <w:top w:val="nil"/>
              <w:left w:val="nil"/>
              <w:bottom w:val="single" w:sz="4" w:space="0" w:color="BDD6EE" w:themeColor="accent1" w:themeTint="66"/>
              <w:right w:val="nil"/>
            </w:tcBorders>
            <w:shd w:val="clear" w:color="auto" w:fill="auto"/>
            <w:hideMark/>
          </w:tcPr>
          <w:p w14:paraId="5012691B"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podstawowe PSRT WP</w:t>
            </w:r>
          </w:p>
        </w:tc>
        <w:tc>
          <w:tcPr>
            <w:tcW w:w="2268" w:type="dxa"/>
            <w:gridSpan w:val="4"/>
            <w:tcBorders>
              <w:top w:val="nil"/>
              <w:left w:val="nil"/>
              <w:bottom w:val="single" w:sz="4" w:space="0" w:color="BDD6EE" w:themeColor="accent1" w:themeTint="66"/>
              <w:right w:val="nil"/>
            </w:tcBorders>
            <w:shd w:val="clear" w:color="auto" w:fill="auto"/>
            <w:vAlign w:val="center"/>
            <w:hideMark/>
          </w:tcPr>
          <w:p w14:paraId="6D570E18"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horyzontalne PSRT WP</w:t>
            </w:r>
          </w:p>
        </w:tc>
      </w:tr>
      <w:tr w:rsidR="00237760" w:rsidRPr="00237760" w14:paraId="5265B983" w14:textId="77777777" w:rsidTr="006953A8">
        <w:trPr>
          <w:trHeight w:val="50"/>
          <w:tblHeader/>
        </w:trPr>
        <w:tc>
          <w:tcPr>
            <w:tcW w:w="5108" w:type="dxa"/>
            <w:vMerge/>
            <w:tcBorders>
              <w:top w:val="nil"/>
              <w:left w:val="nil"/>
              <w:bottom w:val="single" w:sz="4" w:space="0" w:color="BDD6EE" w:themeColor="accent1" w:themeTint="66"/>
              <w:right w:val="nil"/>
            </w:tcBorders>
            <w:shd w:val="clear" w:color="auto" w:fill="auto"/>
            <w:vAlign w:val="center"/>
            <w:hideMark/>
          </w:tcPr>
          <w:p w14:paraId="72897E2D" w14:textId="77777777" w:rsidR="00710815" w:rsidRPr="00237760" w:rsidRDefault="00710815" w:rsidP="009367B4">
            <w:pPr>
              <w:spacing w:after="0" w:line="240" w:lineRule="auto"/>
              <w:jc w:val="left"/>
              <w:rPr>
                <w:rFonts w:ascii="Arial" w:hAnsi="Arial" w:cs="Arial"/>
                <w:b/>
                <w:color w:val="auto"/>
                <w:sz w:val="24"/>
                <w:szCs w:val="24"/>
              </w:rPr>
            </w:pPr>
          </w:p>
        </w:tc>
        <w:tc>
          <w:tcPr>
            <w:tcW w:w="56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hideMark/>
          </w:tcPr>
          <w:p w14:paraId="1FBA8A2C"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hideMark/>
          </w:tcPr>
          <w:p w14:paraId="52537D58"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hideMark/>
          </w:tcPr>
          <w:p w14:paraId="67FC7E1F"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hideMark/>
          </w:tcPr>
          <w:p w14:paraId="5C7F4D57"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hideMark/>
          </w:tcPr>
          <w:p w14:paraId="1AC6F9E5"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nil"/>
            </w:tcBorders>
            <w:shd w:val="clear" w:color="auto" w:fill="auto"/>
            <w:hideMark/>
          </w:tcPr>
          <w:p w14:paraId="5E6D8042"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nil"/>
            </w:tcBorders>
            <w:shd w:val="clear" w:color="auto" w:fill="auto"/>
            <w:hideMark/>
          </w:tcPr>
          <w:p w14:paraId="29DE5B6A"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4.</w:t>
            </w:r>
          </w:p>
        </w:tc>
      </w:tr>
      <w:tr w:rsidR="00237760" w:rsidRPr="00237760" w14:paraId="14CA5DFD" w14:textId="77777777" w:rsidTr="006953A8">
        <w:trPr>
          <w:trHeight w:val="55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hideMark/>
          </w:tcPr>
          <w:p w14:paraId="238AC5C9" w14:textId="70EE6352"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Jakościowy, innowacyjny rozwój gospodarki prowadzący do zwiększenia jej produktywności, uwzględniający transformację cyfrową kraju i społeczeństwa</w:t>
            </w:r>
          </w:p>
        </w:tc>
        <w:tc>
          <w:tcPr>
            <w:tcW w:w="56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1DD278C7"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2E702C15"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2057E78A"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675A5EAA"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10EE8F2E"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2AF78F02"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76361B83"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058F5BA4" w14:textId="77777777" w:rsidTr="006953A8">
        <w:trPr>
          <w:trHeight w:val="1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hideMark/>
          </w:tcPr>
          <w:p w14:paraId="32846DE1" w14:textId="5430438D"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Zielona transformacja gospodarki oraz rozwój zielonej, inteligentnej mobilności</w:t>
            </w:r>
          </w:p>
        </w:tc>
        <w:tc>
          <w:tcPr>
            <w:tcW w:w="56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1D7828B5"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25BE64AC"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1428E7D0"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0051DB6D"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5F5B954D"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577B875C"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3904BB39"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120C23CA" w14:textId="77777777" w:rsidTr="006953A8">
        <w:trPr>
          <w:trHeight w:val="14"/>
        </w:trPr>
        <w:tc>
          <w:tcPr>
            <w:tcW w:w="5108" w:type="dxa"/>
            <w:tcBorders>
              <w:top w:val="single" w:sz="4" w:space="0" w:color="BDD6EE" w:themeColor="accent1" w:themeTint="66"/>
              <w:left w:val="nil"/>
              <w:bottom w:val="single" w:sz="12" w:space="0" w:color="002060"/>
              <w:right w:val="single" w:sz="4" w:space="0" w:color="BDD6EE" w:themeColor="accent1" w:themeTint="66"/>
            </w:tcBorders>
            <w:hideMark/>
          </w:tcPr>
          <w:p w14:paraId="67BB6590"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Wzrost kapitału społecznego i jakości życia, w szczególności poprzez zapewnienie poprawy stanu zdrowia obywateli oraz wyższej jakości edukacji i umiejętności dostosowanych do potrzeb nowoczesnej gospodarki</w:t>
            </w:r>
          </w:p>
        </w:tc>
        <w:tc>
          <w:tcPr>
            <w:tcW w:w="563"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9CC2E5" w:themeFill="accent1" w:themeFillTint="99"/>
          </w:tcPr>
          <w:p w14:paraId="1B342DFD"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9CC2E5" w:themeFill="accent1" w:themeFillTint="99"/>
            <w:vAlign w:val="center"/>
          </w:tcPr>
          <w:p w14:paraId="3BD5133C"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9CC2E5" w:themeFill="accent1" w:themeFillTint="99"/>
            <w:vAlign w:val="center"/>
          </w:tcPr>
          <w:p w14:paraId="784FB3D8"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vAlign w:val="center"/>
          </w:tcPr>
          <w:p w14:paraId="24B35783"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vAlign w:val="center"/>
          </w:tcPr>
          <w:p w14:paraId="0F3101C1"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9CC2E5" w:themeFill="accent1" w:themeFillTint="99"/>
            <w:vAlign w:val="center"/>
          </w:tcPr>
          <w:p w14:paraId="661CEF53"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tcPr>
          <w:p w14:paraId="7F16356A" w14:textId="77777777" w:rsidR="00710815" w:rsidRPr="00237760" w:rsidRDefault="00710815" w:rsidP="009367B4">
            <w:pPr>
              <w:spacing w:after="0" w:line="240" w:lineRule="auto"/>
              <w:jc w:val="left"/>
              <w:rPr>
                <w:rFonts w:ascii="Arial" w:hAnsi="Arial" w:cs="Arial"/>
                <w:color w:val="auto"/>
                <w:sz w:val="24"/>
                <w:szCs w:val="24"/>
              </w:rPr>
            </w:pPr>
          </w:p>
        </w:tc>
      </w:tr>
    </w:tbl>
    <w:p w14:paraId="76C5AEA8" w14:textId="213C83C4" w:rsidR="00710815" w:rsidRPr="00237760" w:rsidRDefault="00710815" w:rsidP="009367B4">
      <w:pPr>
        <w:jc w:val="left"/>
        <w:rPr>
          <w:rFonts w:ascii="Arial" w:hAnsi="Arial" w:cs="Arial"/>
          <w:color w:val="auto"/>
          <w:sz w:val="24"/>
          <w:szCs w:val="24"/>
        </w:rPr>
      </w:pPr>
      <w:r w:rsidRPr="00237760">
        <w:rPr>
          <w:rFonts w:ascii="Arial" w:hAnsi="Arial" w:cs="Arial"/>
          <w:color w:val="auto"/>
          <w:sz w:val="24"/>
          <w:szCs w:val="24"/>
        </w:rPr>
        <w:t xml:space="preserve">Źródło: </w:t>
      </w:r>
      <w:r w:rsidR="009F0B95" w:rsidRPr="00237760">
        <w:rPr>
          <w:rFonts w:ascii="Arial" w:hAnsi="Arial" w:cs="Arial"/>
          <w:color w:val="auto"/>
          <w:sz w:val="24"/>
          <w:szCs w:val="24"/>
        </w:rPr>
        <w:t xml:space="preserve">opracowanie własne na podstawie </w:t>
      </w:r>
      <w:r w:rsidR="00F311FF" w:rsidRPr="00237760">
        <w:rPr>
          <w:rFonts w:ascii="Arial" w:hAnsi="Arial" w:cs="Arial"/>
          <w:color w:val="auto"/>
          <w:sz w:val="24"/>
          <w:szCs w:val="24"/>
        </w:rPr>
        <w:t>PSRT WP</w:t>
      </w:r>
      <w:r w:rsidR="009F0B95" w:rsidRPr="00237760">
        <w:rPr>
          <w:rFonts w:ascii="Arial" w:hAnsi="Arial" w:cs="Arial"/>
          <w:color w:val="auto"/>
          <w:sz w:val="24"/>
          <w:szCs w:val="24"/>
        </w:rPr>
        <w:t xml:space="preserve"> oraz Krajowego Planu Odbudowy i Zwiększania Odporności.</w:t>
      </w:r>
    </w:p>
    <w:p w14:paraId="269E6E82" w14:textId="77777777" w:rsidR="00710815" w:rsidRPr="00237760" w:rsidRDefault="00710815" w:rsidP="009367B4">
      <w:pPr>
        <w:pStyle w:val="Nagwek3"/>
        <w:rPr>
          <w:rFonts w:ascii="Arial" w:hAnsi="Arial" w:cs="Arial"/>
          <w:color w:val="auto"/>
          <w:sz w:val="24"/>
          <w:szCs w:val="24"/>
        </w:rPr>
      </w:pPr>
      <w:bookmarkStart w:id="205" w:name="_Toc101904148"/>
      <w:r w:rsidRPr="00237760">
        <w:rPr>
          <w:rFonts w:ascii="Arial" w:hAnsi="Arial" w:cs="Arial"/>
          <w:color w:val="auto"/>
          <w:sz w:val="24"/>
          <w:szCs w:val="24"/>
        </w:rPr>
        <w:t>Krajowa Strategia Rozwoju Regionalnego 2030</w:t>
      </w:r>
      <w:bookmarkEnd w:id="205"/>
    </w:p>
    <w:p w14:paraId="27024765" w14:textId="34DB42F9" w:rsidR="00710815" w:rsidRPr="00237760" w:rsidRDefault="00710815" w:rsidP="009367B4">
      <w:pPr>
        <w:jc w:val="left"/>
        <w:rPr>
          <w:rFonts w:ascii="Arial" w:hAnsi="Arial" w:cs="Arial"/>
          <w:color w:val="auto"/>
          <w:sz w:val="24"/>
          <w:szCs w:val="24"/>
          <w:lang w:eastAsia="pl-PL"/>
        </w:rPr>
      </w:pPr>
      <w:r w:rsidRPr="00237760">
        <w:rPr>
          <w:rFonts w:ascii="Arial" w:hAnsi="Arial" w:cs="Arial"/>
          <w:i/>
          <w:color w:val="auto"/>
          <w:sz w:val="24"/>
          <w:szCs w:val="24"/>
          <w:lang w:eastAsia="pl-PL"/>
        </w:rPr>
        <w:t>Krajowa Strategia Rozwoju Regionalnego</w:t>
      </w:r>
      <w:r w:rsidRPr="00237760">
        <w:rPr>
          <w:rFonts w:ascii="Arial" w:hAnsi="Arial" w:cs="Arial"/>
          <w:color w:val="auto"/>
          <w:sz w:val="24"/>
          <w:szCs w:val="24"/>
          <w:lang w:eastAsia="pl-PL"/>
        </w:rPr>
        <w:t xml:space="preserve"> wyznacza trzy cele szczegółowe, podzielone na poszczególne kierunki interwencji. PSRT WP odpowiada na wszystkie kierunki, które odnoszą się do obszaru </w:t>
      </w:r>
      <w:r w:rsidR="00C605B2" w:rsidRPr="00237760">
        <w:rPr>
          <w:rFonts w:ascii="Arial" w:hAnsi="Arial" w:cs="Arial"/>
          <w:color w:val="auto"/>
          <w:sz w:val="24"/>
          <w:szCs w:val="24"/>
          <w:lang w:eastAsia="pl-PL"/>
        </w:rPr>
        <w:br/>
      </w:r>
      <w:r w:rsidRPr="00237760">
        <w:rPr>
          <w:rFonts w:ascii="Arial" w:hAnsi="Arial" w:cs="Arial"/>
          <w:color w:val="auto"/>
          <w:sz w:val="24"/>
          <w:szCs w:val="24"/>
          <w:lang w:eastAsia="pl-PL"/>
        </w:rPr>
        <w:t>i kompetencji programu, szczególnie na pierwszy – „wzmacnianie szans rozwojowych obszarów słabszych gospodarczo”</w:t>
      </w:r>
      <w:r w:rsidR="00A452DC" w:rsidRPr="00237760">
        <w:rPr>
          <w:rFonts w:ascii="Arial" w:hAnsi="Arial" w:cs="Arial"/>
          <w:color w:val="auto"/>
          <w:sz w:val="24"/>
          <w:szCs w:val="24"/>
          <w:lang w:eastAsia="pl-PL"/>
        </w:rPr>
        <w:t xml:space="preserve"> (</w:t>
      </w:r>
      <w:r w:rsidR="00A452DC" w:rsidRPr="00237760">
        <w:rPr>
          <w:rFonts w:ascii="Arial" w:hAnsi="Arial" w:cs="Arial"/>
          <w:color w:val="auto"/>
          <w:sz w:val="24"/>
          <w:szCs w:val="24"/>
          <w:lang w:eastAsia="pl-PL"/>
        </w:rPr>
        <w:fldChar w:fldCharType="begin"/>
      </w:r>
      <w:r w:rsidR="00A452DC" w:rsidRPr="00237760">
        <w:rPr>
          <w:rFonts w:ascii="Arial" w:hAnsi="Arial" w:cs="Arial"/>
          <w:color w:val="auto"/>
          <w:sz w:val="24"/>
          <w:szCs w:val="24"/>
          <w:lang w:eastAsia="pl-PL"/>
        </w:rPr>
        <w:instrText xml:space="preserve"> REF _Ref101000400 \h </w:instrText>
      </w:r>
      <w:r w:rsidR="00237760" w:rsidRPr="00237760">
        <w:rPr>
          <w:rFonts w:ascii="Arial" w:hAnsi="Arial" w:cs="Arial"/>
          <w:color w:val="auto"/>
          <w:sz w:val="24"/>
          <w:szCs w:val="24"/>
          <w:lang w:eastAsia="pl-PL"/>
        </w:rPr>
        <w:instrText xml:space="preserve"> \* MERGEFORMAT </w:instrText>
      </w:r>
      <w:r w:rsidR="00A452DC" w:rsidRPr="00237760">
        <w:rPr>
          <w:rFonts w:ascii="Arial" w:hAnsi="Arial" w:cs="Arial"/>
          <w:color w:val="auto"/>
          <w:sz w:val="24"/>
          <w:szCs w:val="24"/>
          <w:lang w:eastAsia="pl-PL"/>
        </w:rPr>
      </w:r>
      <w:r w:rsidR="00A452DC" w:rsidRPr="00237760">
        <w:rPr>
          <w:rFonts w:ascii="Arial" w:hAnsi="Arial" w:cs="Arial"/>
          <w:color w:val="auto"/>
          <w:sz w:val="24"/>
          <w:szCs w:val="24"/>
          <w:lang w:eastAsia="pl-PL"/>
        </w:rPr>
        <w:fldChar w:fldCharType="separate"/>
      </w:r>
      <w:r w:rsidR="00E52C19" w:rsidRPr="00237760">
        <w:rPr>
          <w:rFonts w:ascii="Arial" w:hAnsi="Arial" w:cs="Arial"/>
          <w:color w:val="auto"/>
          <w:sz w:val="24"/>
          <w:szCs w:val="24"/>
        </w:rPr>
        <w:t xml:space="preserve">Tabela </w:t>
      </w:r>
      <w:r w:rsidR="00E52C19" w:rsidRPr="00237760">
        <w:rPr>
          <w:rFonts w:ascii="Arial" w:hAnsi="Arial" w:cs="Arial"/>
          <w:noProof/>
          <w:color w:val="auto"/>
          <w:sz w:val="24"/>
          <w:szCs w:val="24"/>
        </w:rPr>
        <w:t>28</w:t>
      </w:r>
      <w:r w:rsidR="00A452DC" w:rsidRPr="00237760">
        <w:rPr>
          <w:rFonts w:ascii="Arial" w:hAnsi="Arial" w:cs="Arial"/>
          <w:color w:val="auto"/>
          <w:sz w:val="24"/>
          <w:szCs w:val="24"/>
          <w:lang w:eastAsia="pl-PL"/>
        </w:rPr>
        <w:fldChar w:fldCharType="end"/>
      </w:r>
      <w:r w:rsidR="00A452DC" w:rsidRPr="00237760">
        <w:rPr>
          <w:rFonts w:ascii="Arial" w:hAnsi="Arial" w:cs="Arial"/>
          <w:color w:val="auto"/>
          <w:sz w:val="24"/>
          <w:szCs w:val="24"/>
          <w:lang w:eastAsia="pl-PL"/>
        </w:rPr>
        <w:t>)</w:t>
      </w:r>
      <w:r w:rsidRPr="00237760">
        <w:rPr>
          <w:rFonts w:ascii="Arial" w:hAnsi="Arial" w:cs="Arial"/>
          <w:color w:val="auto"/>
          <w:sz w:val="24"/>
          <w:szCs w:val="24"/>
          <w:lang w:eastAsia="pl-PL"/>
        </w:rPr>
        <w:t>. Wyjątkiem są kierunki interwencji niezwiązane z regionem (kierunek 1.3) lub z kompetencjami programu (1.4).</w:t>
      </w:r>
    </w:p>
    <w:p w14:paraId="6341C594" w14:textId="6736942E" w:rsidR="00710815" w:rsidRPr="00237760" w:rsidRDefault="00710815" w:rsidP="009367B4">
      <w:pPr>
        <w:pStyle w:val="Legenda"/>
        <w:keepNext/>
        <w:jc w:val="left"/>
        <w:rPr>
          <w:rFonts w:ascii="Arial" w:hAnsi="Arial" w:cs="Arial"/>
          <w:color w:val="auto"/>
          <w:sz w:val="24"/>
          <w:szCs w:val="24"/>
        </w:rPr>
      </w:pPr>
      <w:bookmarkStart w:id="206" w:name="_Ref101000400"/>
      <w:bookmarkStart w:id="207" w:name="_Toc101904269"/>
      <w:r w:rsidRPr="00237760">
        <w:rPr>
          <w:rFonts w:ascii="Arial" w:hAnsi="Arial" w:cs="Arial"/>
          <w:color w:val="auto"/>
          <w:sz w:val="24"/>
          <w:szCs w:val="24"/>
        </w:rPr>
        <w:t xml:space="preserve">Tabela </w:t>
      </w:r>
      <w:r w:rsidRPr="00237760">
        <w:rPr>
          <w:rFonts w:ascii="Arial" w:hAnsi="Arial" w:cs="Arial"/>
          <w:noProof/>
          <w:color w:val="auto"/>
          <w:sz w:val="24"/>
          <w:szCs w:val="24"/>
        </w:rPr>
        <w:fldChar w:fldCharType="begin"/>
      </w:r>
      <w:r w:rsidRPr="00237760">
        <w:rPr>
          <w:rFonts w:ascii="Arial" w:hAnsi="Arial" w:cs="Arial"/>
          <w:noProof/>
          <w:color w:val="auto"/>
          <w:sz w:val="24"/>
          <w:szCs w:val="24"/>
        </w:rPr>
        <w:instrText xml:space="preserve"> SEQ Tabela \* ARABIC </w:instrText>
      </w:r>
      <w:r w:rsidRPr="00237760">
        <w:rPr>
          <w:rFonts w:ascii="Arial" w:hAnsi="Arial" w:cs="Arial"/>
          <w:noProof/>
          <w:color w:val="auto"/>
          <w:sz w:val="24"/>
          <w:szCs w:val="24"/>
        </w:rPr>
        <w:fldChar w:fldCharType="separate"/>
      </w:r>
      <w:r w:rsidR="00762B20" w:rsidRPr="00237760">
        <w:rPr>
          <w:rFonts w:ascii="Arial" w:hAnsi="Arial" w:cs="Arial"/>
          <w:noProof/>
          <w:color w:val="auto"/>
          <w:sz w:val="24"/>
          <w:szCs w:val="24"/>
        </w:rPr>
        <w:t>28</w:t>
      </w:r>
      <w:r w:rsidRPr="00237760">
        <w:rPr>
          <w:rFonts w:ascii="Arial" w:hAnsi="Arial" w:cs="Arial"/>
          <w:noProof/>
          <w:color w:val="auto"/>
          <w:sz w:val="24"/>
          <w:szCs w:val="24"/>
        </w:rPr>
        <w:fldChar w:fldCharType="end"/>
      </w:r>
      <w:bookmarkEnd w:id="206"/>
      <w:r w:rsidR="00176292" w:rsidRPr="00237760">
        <w:rPr>
          <w:rFonts w:ascii="Arial" w:hAnsi="Arial" w:cs="Arial"/>
          <w:noProof/>
          <w:color w:val="auto"/>
          <w:sz w:val="24"/>
          <w:szCs w:val="24"/>
        </w:rPr>
        <w:t>.</w:t>
      </w:r>
      <w:r w:rsidRPr="00237760">
        <w:rPr>
          <w:rFonts w:ascii="Arial" w:hAnsi="Arial" w:cs="Arial"/>
          <w:color w:val="auto"/>
          <w:sz w:val="24"/>
          <w:szCs w:val="24"/>
        </w:rPr>
        <w:t xml:space="preserve"> Ocena spójności </w:t>
      </w:r>
      <w:r w:rsidR="00F311FF" w:rsidRPr="00237760">
        <w:rPr>
          <w:rFonts w:ascii="Arial" w:hAnsi="Arial" w:cs="Arial"/>
          <w:color w:val="auto"/>
          <w:sz w:val="24"/>
          <w:szCs w:val="24"/>
        </w:rPr>
        <w:t>PSRT WP</w:t>
      </w:r>
      <w:r w:rsidRPr="00237760">
        <w:rPr>
          <w:rFonts w:ascii="Arial" w:hAnsi="Arial" w:cs="Arial"/>
          <w:color w:val="auto"/>
          <w:sz w:val="24"/>
          <w:szCs w:val="24"/>
        </w:rPr>
        <w:t xml:space="preserve"> z Krajową Strategią Rozwoju Regionalnego</w:t>
      </w:r>
      <w:bookmarkEnd w:id="207"/>
    </w:p>
    <w:tbl>
      <w:tblPr>
        <w:tblStyle w:val="Tabela-Siatka"/>
        <w:tblW w:w="9083" w:type="dxa"/>
        <w:tblInd w:w="-5"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57" w:type="dxa"/>
          <w:right w:w="57" w:type="dxa"/>
        </w:tblCellMar>
        <w:tblLook w:val="04A0" w:firstRow="1" w:lastRow="0" w:firstColumn="1" w:lastColumn="0" w:noHBand="0" w:noVBand="1"/>
        <w:tblCaption w:val="Tabela 28. Ocena spójności PSRT WP z Krajową Strategią Rozwoju Regionalnego"/>
        <w:tblDescription w:val="Tabela zawiera Kierunki interwencji, Cele podstawowe PSRT WP, Cele horyzontalne PSRT WP"/>
      </w:tblPr>
      <w:tblGrid>
        <w:gridCol w:w="5108"/>
        <w:gridCol w:w="567"/>
        <w:gridCol w:w="567"/>
        <w:gridCol w:w="567"/>
        <w:gridCol w:w="567"/>
        <w:gridCol w:w="567"/>
        <w:gridCol w:w="567"/>
        <w:gridCol w:w="567"/>
        <w:gridCol w:w="6"/>
      </w:tblGrid>
      <w:tr w:rsidR="00237760" w:rsidRPr="00237760" w14:paraId="233E357F" w14:textId="77777777" w:rsidTr="000D3F32">
        <w:trPr>
          <w:trHeight w:val="265"/>
          <w:tblHeader/>
        </w:trPr>
        <w:tc>
          <w:tcPr>
            <w:tcW w:w="9083" w:type="dxa"/>
            <w:gridSpan w:val="9"/>
            <w:tcBorders>
              <w:top w:val="single" w:sz="12" w:space="0" w:color="002060"/>
              <w:left w:val="nil"/>
              <w:bottom w:val="single" w:sz="4" w:space="0" w:color="BDD6EE" w:themeColor="accent1" w:themeTint="66"/>
            </w:tcBorders>
            <w:shd w:val="clear" w:color="auto" w:fill="auto"/>
            <w:vAlign w:val="center"/>
          </w:tcPr>
          <w:p w14:paraId="6D45A0FF" w14:textId="77777777" w:rsidR="00710815" w:rsidRPr="00237760" w:rsidRDefault="00710815" w:rsidP="009367B4">
            <w:pPr>
              <w:spacing w:after="0" w:line="240" w:lineRule="auto"/>
              <w:jc w:val="left"/>
              <w:rPr>
                <w:rFonts w:ascii="Arial" w:hAnsi="Arial" w:cs="Arial"/>
                <w:b/>
                <w:color w:val="auto"/>
                <w:sz w:val="24"/>
                <w:szCs w:val="24"/>
              </w:rPr>
            </w:pPr>
            <w:bookmarkStart w:id="208" w:name="_Hlk100875301"/>
            <w:r w:rsidRPr="00237760">
              <w:rPr>
                <w:rFonts w:ascii="Arial" w:hAnsi="Arial" w:cs="Arial"/>
                <w:b/>
                <w:color w:val="auto"/>
                <w:sz w:val="24"/>
                <w:szCs w:val="24"/>
              </w:rPr>
              <w:t>Krajowa Strategia Rozwoju Regionalnego</w:t>
            </w:r>
            <w:bookmarkEnd w:id="208"/>
          </w:p>
        </w:tc>
      </w:tr>
      <w:tr w:rsidR="00237760" w:rsidRPr="00237760" w14:paraId="6A8BF66D" w14:textId="77777777" w:rsidTr="000D3F32">
        <w:trPr>
          <w:gridAfter w:val="1"/>
          <w:wAfter w:w="6" w:type="dxa"/>
          <w:trHeight w:val="70"/>
          <w:tblHeader/>
        </w:trPr>
        <w:tc>
          <w:tcPr>
            <w:tcW w:w="5108" w:type="dxa"/>
            <w:vMerge w:val="restart"/>
            <w:tcBorders>
              <w:top w:val="nil"/>
              <w:left w:val="nil"/>
              <w:bottom w:val="single" w:sz="4" w:space="0" w:color="BDD6EE" w:themeColor="accent1" w:themeTint="66"/>
              <w:right w:val="nil"/>
            </w:tcBorders>
            <w:shd w:val="clear" w:color="auto" w:fill="auto"/>
            <w:vAlign w:val="center"/>
            <w:hideMark/>
          </w:tcPr>
          <w:p w14:paraId="2497217B"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Kierunki interwencji</w:t>
            </w:r>
          </w:p>
        </w:tc>
        <w:tc>
          <w:tcPr>
            <w:tcW w:w="1701" w:type="dxa"/>
            <w:gridSpan w:val="3"/>
            <w:tcBorders>
              <w:top w:val="nil"/>
              <w:left w:val="nil"/>
              <w:bottom w:val="single" w:sz="4" w:space="0" w:color="BDD6EE" w:themeColor="accent1" w:themeTint="66"/>
            </w:tcBorders>
            <w:shd w:val="clear" w:color="auto" w:fill="auto"/>
            <w:vAlign w:val="center"/>
          </w:tcPr>
          <w:p w14:paraId="54EC2514"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podstawowe PSRT WP</w:t>
            </w:r>
          </w:p>
        </w:tc>
        <w:tc>
          <w:tcPr>
            <w:tcW w:w="2268" w:type="dxa"/>
            <w:gridSpan w:val="4"/>
            <w:tcBorders>
              <w:top w:val="nil"/>
              <w:left w:val="nil"/>
              <w:bottom w:val="single" w:sz="4" w:space="0" w:color="BDD6EE" w:themeColor="accent1" w:themeTint="66"/>
            </w:tcBorders>
            <w:shd w:val="clear" w:color="auto" w:fill="auto"/>
            <w:vAlign w:val="center"/>
          </w:tcPr>
          <w:p w14:paraId="02574F5B"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horyzontalne PSRT WP</w:t>
            </w:r>
          </w:p>
        </w:tc>
      </w:tr>
      <w:tr w:rsidR="00237760" w:rsidRPr="00237760" w14:paraId="24ED70A0" w14:textId="77777777" w:rsidTr="000D3F32">
        <w:trPr>
          <w:gridAfter w:val="1"/>
          <w:wAfter w:w="6" w:type="dxa"/>
          <w:trHeight w:val="85"/>
          <w:tblHeader/>
        </w:trPr>
        <w:tc>
          <w:tcPr>
            <w:tcW w:w="5108" w:type="dxa"/>
            <w:vMerge/>
            <w:tcBorders>
              <w:top w:val="nil"/>
              <w:left w:val="nil"/>
              <w:bottom w:val="single" w:sz="4" w:space="0" w:color="BDD6EE" w:themeColor="accent1" w:themeTint="66"/>
              <w:right w:val="nil"/>
            </w:tcBorders>
            <w:shd w:val="clear" w:color="auto" w:fill="auto"/>
            <w:vAlign w:val="center"/>
            <w:hideMark/>
          </w:tcPr>
          <w:p w14:paraId="16799F6D" w14:textId="77777777" w:rsidR="00710815" w:rsidRPr="00237760" w:rsidRDefault="00710815" w:rsidP="009367B4">
            <w:pPr>
              <w:spacing w:after="0" w:line="240" w:lineRule="auto"/>
              <w:jc w:val="left"/>
              <w:rPr>
                <w:rFonts w:ascii="Arial" w:hAnsi="Arial" w:cs="Arial"/>
                <w:b/>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52E5CB53"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54B607DE"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6658ABE2"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72C6EDF1"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54A32585"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nil"/>
            </w:tcBorders>
            <w:shd w:val="clear" w:color="auto" w:fill="auto"/>
          </w:tcPr>
          <w:p w14:paraId="11E3399C"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nil"/>
            </w:tcBorders>
            <w:shd w:val="clear" w:color="auto" w:fill="auto"/>
          </w:tcPr>
          <w:p w14:paraId="5525C46D"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4.</w:t>
            </w:r>
          </w:p>
        </w:tc>
      </w:tr>
      <w:tr w:rsidR="00237760" w:rsidRPr="00237760" w14:paraId="23EC1D9C" w14:textId="77777777" w:rsidTr="000D3F32">
        <w:trPr>
          <w:gridAfter w:val="1"/>
          <w:wAfter w:w="6" w:type="dxa"/>
          <w:trHeight w:val="255"/>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44067A99"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1.1 Wzmacnianie szans rozwojowych obszarów słabszych gospodarczo</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479A1C91"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7E46D079"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7DB89E13"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2E95434D"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2F43B951"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542911D2"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469D845F"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61D99AEF" w14:textId="77777777" w:rsidTr="000D3F32">
        <w:trPr>
          <w:gridAfter w:val="1"/>
          <w:wAfter w:w="6" w:type="dxa"/>
          <w:trHeight w:val="1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3438AF22"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1.2 Zwiększenie wykorzystania potencjału rozwojowego miast średnich tracących funkcje społeczno-gospodarcze</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7DA36D6F"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01AA4379"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7BEB2E14"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0853AD28"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0D26882A"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1A426251"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7FC27398"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28D58E95" w14:textId="77777777" w:rsidTr="000D3F32">
        <w:trPr>
          <w:gridAfter w:val="1"/>
          <w:wAfter w:w="6" w:type="dxa"/>
          <w:trHeight w:val="1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7419A175"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1.3 Przyspieszenie transformacji profilu gospodarczego Śląska</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1653EF28"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2D0A8981"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0849E7A4"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164846E3"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6DD430CD"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00612D79"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2B1A3E52"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18D25076" w14:textId="77777777" w:rsidTr="000D3F32">
        <w:trPr>
          <w:gridAfter w:val="1"/>
          <w:wAfter w:w="6" w:type="dxa"/>
          <w:trHeight w:val="1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23CBB43C"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lastRenderedPageBreak/>
              <w:t>1.4 Przeciwdziałanie kryzysom na obszarach zdegradowanych</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58CE2DEC"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78C4A58D"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2B1004DD"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209768D4"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6B9D5EFC"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0F51DED0"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52DD8F61"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2CCB97B2" w14:textId="77777777" w:rsidTr="000D3F32">
        <w:trPr>
          <w:gridAfter w:val="1"/>
          <w:wAfter w:w="6" w:type="dxa"/>
          <w:trHeight w:val="1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576578A3"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1.5 Rozwój infrastruktury wspierającej dostarczanie usług publicznych i podnoszącej atrakcyjność inwestycyjną obszarów</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6AD1E0C6"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10A90AC9"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400F886D"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2EF19B69"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05E3CE82"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0F761005"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3F514B89"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307A4E6C" w14:textId="77777777" w:rsidTr="000D3F32">
        <w:trPr>
          <w:gridAfter w:val="1"/>
          <w:wAfter w:w="6" w:type="dxa"/>
          <w:trHeight w:val="1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198741BC"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2.1 Rozwój kapitału ludzkiego i społecznego</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74F19A5E"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73BBF684"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0CED153A"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7E53FB81"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76E46EDC"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347DD673"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5A98BC3D"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676C96B9" w14:textId="77777777" w:rsidTr="000D3F32">
        <w:trPr>
          <w:gridAfter w:val="1"/>
          <w:wAfter w:w="6" w:type="dxa"/>
          <w:trHeight w:val="1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5F1F4C0A"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2.2 Wspieranie przedsiębiorczości na szczeblu regionalnym i lokalnym</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4EB50E6C"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12F72991"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2F025B78"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087BE27D"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13AC8B5D"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5D6B19DE"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70CC447E"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3D60E24C" w14:textId="77777777" w:rsidTr="000D3F32">
        <w:trPr>
          <w:gridAfter w:val="1"/>
          <w:wAfter w:w="6" w:type="dxa"/>
          <w:trHeight w:val="1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4BDF2846"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2.3 Innowacyjny rozwój regionu i doskonalenie podejścia opartego na Regionalnych Inteligentnych Specjalizacjach</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4B18E2F1"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14C70567"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32270FB1"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1F91D9E3"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3960921D"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48D2224D"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407AAD8D"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7A2122D0" w14:textId="77777777" w:rsidTr="000D3F32">
        <w:trPr>
          <w:gridAfter w:val="1"/>
          <w:wAfter w:w="6" w:type="dxa"/>
          <w:trHeight w:val="1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48D662EA"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3.1 Wzmacnianie potencjału administracji na rzecz zarządzania rozwojem</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639D74A9"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2A916671"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2713B7DF"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3A81B00B"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1C4B5B28"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11F4DA1C"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79603012"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468854AA" w14:textId="77777777" w:rsidTr="000D3F32">
        <w:trPr>
          <w:gridAfter w:val="1"/>
          <w:wAfter w:w="6" w:type="dxa"/>
          <w:trHeight w:val="1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64418490"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3.2 Wzmacnianie współpracy i zintegrowanego podejścia do rozwoju na poziomie lokalnym, regionalnym i ponadregionalnym</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40878405"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29E08963"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26035F14"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6A633A03"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7BB56452"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78D698D1"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5BB19404"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6E94B6CF" w14:textId="77777777" w:rsidTr="000D3F32">
        <w:trPr>
          <w:gridAfter w:val="1"/>
          <w:wAfter w:w="6" w:type="dxa"/>
          <w:trHeight w:val="1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7724D738"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3.3 Poprawa organizacji świadczenia usług publicznych</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5B617AE6"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45B4B7A0"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40F54872"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1CE916A8"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3516EB52"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4B4E7CC9"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1D15F640"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155D2305" w14:textId="77777777" w:rsidTr="000D3F32">
        <w:trPr>
          <w:gridAfter w:val="1"/>
          <w:wAfter w:w="6" w:type="dxa"/>
          <w:trHeight w:val="14"/>
        </w:trPr>
        <w:tc>
          <w:tcPr>
            <w:tcW w:w="5108" w:type="dxa"/>
            <w:tcBorders>
              <w:top w:val="single" w:sz="4" w:space="0" w:color="BDD6EE" w:themeColor="accent1" w:themeTint="66"/>
              <w:left w:val="nil"/>
              <w:bottom w:val="single" w:sz="12" w:space="0" w:color="002060"/>
              <w:right w:val="single" w:sz="4" w:space="0" w:color="BDD6EE" w:themeColor="accent1" w:themeTint="66"/>
            </w:tcBorders>
          </w:tcPr>
          <w:p w14:paraId="5A3620ED"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3.4 Efektywny i spójny system finansowania polityki regionalnej</w:t>
            </w:r>
          </w:p>
        </w:tc>
        <w:tc>
          <w:tcPr>
            <w:tcW w:w="567"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9CC2E5" w:themeFill="accent1" w:themeFillTint="99"/>
          </w:tcPr>
          <w:p w14:paraId="699A1C81"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9CC2E5" w:themeFill="accent1" w:themeFillTint="99"/>
            <w:vAlign w:val="center"/>
          </w:tcPr>
          <w:p w14:paraId="58447D18"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auto"/>
            <w:vAlign w:val="center"/>
          </w:tcPr>
          <w:p w14:paraId="567FE1B3"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auto"/>
            <w:vAlign w:val="center"/>
          </w:tcPr>
          <w:p w14:paraId="03028405"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auto"/>
            <w:vAlign w:val="center"/>
          </w:tcPr>
          <w:p w14:paraId="128F6E30"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auto"/>
            <w:vAlign w:val="center"/>
          </w:tcPr>
          <w:p w14:paraId="2382EE06"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auto"/>
          </w:tcPr>
          <w:p w14:paraId="70F22AB4" w14:textId="77777777" w:rsidR="00710815" w:rsidRPr="00237760" w:rsidRDefault="00710815" w:rsidP="009367B4">
            <w:pPr>
              <w:spacing w:after="0" w:line="240" w:lineRule="auto"/>
              <w:jc w:val="left"/>
              <w:rPr>
                <w:rFonts w:ascii="Arial" w:hAnsi="Arial" w:cs="Arial"/>
                <w:color w:val="auto"/>
                <w:sz w:val="24"/>
                <w:szCs w:val="24"/>
              </w:rPr>
            </w:pPr>
          </w:p>
        </w:tc>
      </w:tr>
    </w:tbl>
    <w:p w14:paraId="31153263" w14:textId="6ECB3B8B" w:rsidR="00710815" w:rsidRPr="00237760" w:rsidRDefault="00710815" w:rsidP="009367B4">
      <w:pPr>
        <w:jc w:val="left"/>
        <w:rPr>
          <w:rFonts w:ascii="Arial" w:hAnsi="Arial" w:cs="Arial"/>
          <w:color w:val="auto"/>
          <w:sz w:val="24"/>
          <w:szCs w:val="24"/>
        </w:rPr>
      </w:pPr>
      <w:r w:rsidRPr="00237760">
        <w:rPr>
          <w:rFonts w:ascii="Arial" w:hAnsi="Arial" w:cs="Arial"/>
          <w:color w:val="auto"/>
          <w:sz w:val="24"/>
          <w:szCs w:val="24"/>
        </w:rPr>
        <w:t xml:space="preserve">Źródło: </w:t>
      </w:r>
      <w:r w:rsidR="00A452DC" w:rsidRPr="00237760">
        <w:rPr>
          <w:rFonts w:ascii="Arial" w:hAnsi="Arial" w:cs="Arial"/>
          <w:color w:val="auto"/>
          <w:sz w:val="24"/>
          <w:szCs w:val="24"/>
        </w:rPr>
        <w:t xml:space="preserve">opracowanie własne na podstawie </w:t>
      </w:r>
      <w:r w:rsidR="00F311FF" w:rsidRPr="00237760">
        <w:rPr>
          <w:rFonts w:ascii="Arial" w:hAnsi="Arial" w:cs="Arial"/>
          <w:color w:val="auto"/>
          <w:sz w:val="24"/>
          <w:szCs w:val="24"/>
        </w:rPr>
        <w:t>PSRT WP</w:t>
      </w:r>
      <w:r w:rsidR="00A452DC" w:rsidRPr="00237760">
        <w:rPr>
          <w:rFonts w:ascii="Arial" w:hAnsi="Arial" w:cs="Arial"/>
          <w:color w:val="auto"/>
          <w:sz w:val="24"/>
          <w:szCs w:val="24"/>
        </w:rPr>
        <w:t xml:space="preserve"> oraz Krajowej Strategii Rozwoju Regionalnego 2030.</w:t>
      </w:r>
    </w:p>
    <w:p w14:paraId="140D47E8" w14:textId="406DE307" w:rsidR="000621EC" w:rsidRDefault="000621EC" w:rsidP="009367B4">
      <w:pPr>
        <w:spacing w:after="160" w:line="259" w:lineRule="auto"/>
        <w:jc w:val="left"/>
        <w:rPr>
          <w:rFonts w:ascii="Arial" w:hAnsi="Arial" w:cs="Arial"/>
          <w:color w:val="auto"/>
          <w:sz w:val="24"/>
          <w:szCs w:val="24"/>
        </w:rPr>
      </w:pPr>
      <w:r>
        <w:rPr>
          <w:rFonts w:ascii="Arial" w:hAnsi="Arial" w:cs="Arial"/>
          <w:color w:val="auto"/>
          <w:sz w:val="24"/>
          <w:szCs w:val="24"/>
        </w:rPr>
        <w:br w:type="page"/>
      </w:r>
    </w:p>
    <w:p w14:paraId="0A55CCF5" w14:textId="77777777" w:rsidR="00710815" w:rsidRPr="00237760" w:rsidRDefault="00710815" w:rsidP="009367B4">
      <w:pPr>
        <w:pStyle w:val="Nagwek3"/>
        <w:rPr>
          <w:rFonts w:ascii="Arial" w:hAnsi="Arial" w:cs="Arial"/>
          <w:color w:val="auto"/>
          <w:sz w:val="24"/>
          <w:szCs w:val="24"/>
        </w:rPr>
      </w:pPr>
      <w:bookmarkStart w:id="209" w:name="_Toc101904149"/>
      <w:r w:rsidRPr="00237760">
        <w:rPr>
          <w:rFonts w:ascii="Arial" w:hAnsi="Arial" w:cs="Arial"/>
          <w:color w:val="auto"/>
          <w:sz w:val="24"/>
          <w:szCs w:val="24"/>
        </w:rPr>
        <w:lastRenderedPageBreak/>
        <w:t>Strategia Zrównoważonego Rozwoju Transportu do 2030 roku</w:t>
      </w:r>
      <w:bookmarkEnd w:id="209"/>
    </w:p>
    <w:p w14:paraId="18A47CF7" w14:textId="5AA5160F" w:rsidR="00710815" w:rsidRPr="00237760" w:rsidRDefault="00710815" w:rsidP="009367B4">
      <w:pPr>
        <w:jc w:val="left"/>
        <w:rPr>
          <w:rFonts w:ascii="Arial" w:hAnsi="Arial" w:cs="Arial"/>
          <w:color w:val="auto"/>
          <w:sz w:val="24"/>
          <w:szCs w:val="24"/>
          <w:lang w:eastAsia="pl-PL"/>
        </w:rPr>
      </w:pPr>
      <w:r w:rsidRPr="00237760">
        <w:rPr>
          <w:rFonts w:ascii="Arial" w:hAnsi="Arial" w:cs="Arial"/>
          <w:i/>
          <w:color w:val="auto"/>
          <w:sz w:val="24"/>
          <w:szCs w:val="24"/>
          <w:lang w:eastAsia="pl-PL"/>
        </w:rPr>
        <w:t>Strategia Zrównoważonego Rozwoju Transportu</w:t>
      </w:r>
      <w:r w:rsidRPr="00237760">
        <w:rPr>
          <w:rFonts w:ascii="Arial" w:hAnsi="Arial" w:cs="Arial"/>
          <w:color w:val="auto"/>
          <w:sz w:val="24"/>
          <w:szCs w:val="24"/>
          <w:lang w:eastAsia="pl-PL"/>
        </w:rPr>
        <w:t xml:space="preserve"> wyznacza cel główny i 6 kierunków interwencji, </w:t>
      </w:r>
      <w:r w:rsidR="00C605B2" w:rsidRPr="00237760">
        <w:rPr>
          <w:rFonts w:ascii="Arial" w:hAnsi="Arial" w:cs="Arial"/>
          <w:color w:val="auto"/>
          <w:sz w:val="24"/>
          <w:szCs w:val="24"/>
          <w:lang w:eastAsia="pl-PL"/>
        </w:rPr>
        <w:br/>
      </w:r>
      <w:r w:rsidRPr="00237760">
        <w:rPr>
          <w:rFonts w:ascii="Arial" w:hAnsi="Arial" w:cs="Arial"/>
          <w:color w:val="auto"/>
          <w:sz w:val="24"/>
          <w:szCs w:val="24"/>
          <w:lang w:eastAsia="pl-PL"/>
        </w:rPr>
        <w:t>z których wszystkie znajdują odzwierciedlenie w kierunkach rozwoju PSRT WP. Szczególnie reprezentowane jest kwestia budowy zintegrowanej, wzajemnie powiązanej sieci transportowej służące konkurencyjnej gospodarce</w:t>
      </w:r>
      <w:r w:rsidR="00A452DC" w:rsidRPr="00237760">
        <w:rPr>
          <w:rFonts w:ascii="Arial" w:hAnsi="Arial" w:cs="Arial"/>
          <w:color w:val="auto"/>
          <w:sz w:val="24"/>
          <w:szCs w:val="24"/>
          <w:lang w:eastAsia="pl-PL"/>
        </w:rPr>
        <w:t xml:space="preserve"> (</w:t>
      </w:r>
      <w:r w:rsidR="00A452DC" w:rsidRPr="00237760">
        <w:rPr>
          <w:rFonts w:ascii="Arial" w:hAnsi="Arial" w:cs="Arial"/>
          <w:color w:val="auto"/>
          <w:sz w:val="24"/>
          <w:szCs w:val="24"/>
          <w:lang w:eastAsia="pl-PL"/>
        </w:rPr>
        <w:fldChar w:fldCharType="begin"/>
      </w:r>
      <w:r w:rsidR="00A452DC" w:rsidRPr="00237760">
        <w:rPr>
          <w:rFonts w:ascii="Arial" w:hAnsi="Arial" w:cs="Arial"/>
          <w:color w:val="auto"/>
          <w:sz w:val="24"/>
          <w:szCs w:val="24"/>
          <w:lang w:eastAsia="pl-PL"/>
        </w:rPr>
        <w:instrText xml:space="preserve"> REF _Ref101000482 \h </w:instrText>
      </w:r>
      <w:r w:rsidR="00237760" w:rsidRPr="00237760">
        <w:rPr>
          <w:rFonts w:ascii="Arial" w:hAnsi="Arial" w:cs="Arial"/>
          <w:color w:val="auto"/>
          <w:sz w:val="24"/>
          <w:szCs w:val="24"/>
          <w:lang w:eastAsia="pl-PL"/>
        </w:rPr>
        <w:instrText xml:space="preserve"> \* MERGEFORMAT </w:instrText>
      </w:r>
      <w:r w:rsidR="00A452DC" w:rsidRPr="00237760">
        <w:rPr>
          <w:rFonts w:ascii="Arial" w:hAnsi="Arial" w:cs="Arial"/>
          <w:color w:val="auto"/>
          <w:sz w:val="24"/>
          <w:szCs w:val="24"/>
          <w:lang w:eastAsia="pl-PL"/>
        </w:rPr>
      </w:r>
      <w:r w:rsidR="00A452DC" w:rsidRPr="00237760">
        <w:rPr>
          <w:rFonts w:ascii="Arial" w:hAnsi="Arial" w:cs="Arial"/>
          <w:color w:val="auto"/>
          <w:sz w:val="24"/>
          <w:szCs w:val="24"/>
          <w:lang w:eastAsia="pl-PL"/>
        </w:rPr>
        <w:fldChar w:fldCharType="separate"/>
      </w:r>
      <w:r w:rsidR="00E52C19" w:rsidRPr="00237760">
        <w:rPr>
          <w:rFonts w:ascii="Arial" w:hAnsi="Arial" w:cs="Arial"/>
          <w:color w:val="auto"/>
          <w:sz w:val="24"/>
          <w:szCs w:val="24"/>
        </w:rPr>
        <w:t xml:space="preserve">Tabela </w:t>
      </w:r>
      <w:r w:rsidR="00E52C19" w:rsidRPr="00237760">
        <w:rPr>
          <w:rFonts w:ascii="Arial" w:hAnsi="Arial" w:cs="Arial"/>
          <w:noProof/>
          <w:color w:val="auto"/>
          <w:sz w:val="24"/>
          <w:szCs w:val="24"/>
        </w:rPr>
        <w:t>29</w:t>
      </w:r>
      <w:r w:rsidR="00A452DC" w:rsidRPr="00237760">
        <w:rPr>
          <w:rFonts w:ascii="Arial" w:hAnsi="Arial" w:cs="Arial"/>
          <w:color w:val="auto"/>
          <w:sz w:val="24"/>
          <w:szCs w:val="24"/>
          <w:lang w:eastAsia="pl-PL"/>
        </w:rPr>
        <w:fldChar w:fldCharType="end"/>
      </w:r>
      <w:r w:rsidR="00A452DC" w:rsidRPr="00237760">
        <w:rPr>
          <w:rFonts w:ascii="Arial" w:hAnsi="Arial" w:cs="Arial"/>
          <w:color w:val="auto"/>
          <w:sz w:val="24"/>
          <w:szCs w:val="24"/>
          <w:lang w:eastAsia="pl-PL"/>
        </w:rPr>
        <w:t>)</w:t>
      </w:r>
      <w:r w:rsidRPr="00237760">
        <w:rPr>
          <w:rFonts w:ascii="Arial" w:hAnsi="Arial" w:cs="Arial"/>
          <w:color w:val="auto"/>
          <w:sz w:val="24"/>
          <w:szCs w:val="24"/>
          <w:lang w:eastAsia="pl-PL"/>
        </w:rPr>
        <w:t>.</w:t>
      </w:r>
    </w:p>
    <w:p w14:paraId="2E216A56" w14:textId="34F7AAD0" w:rsidR="00710815" w:rsidRPr="00237760" w:rsidRDefault="00710815" w:rsidP="009367B4">
      <w:pPr>
        <w:pStyle w:val="Legenda"/>
        <w:keepNext/>
        <w:jc w:val="left"/>
        <w:rPr>
          <w:rFonts w:ascii="Arial" w:hAnsi="Arial" w:cs="Arial"/>
          <w:color w:val="auto"/>
          <w:sz w:val="24"/>
          <w:szCs w:val="24"/>
        </w:rPr>
      </w:pPr>
      <w:bookmarkStart w:id="210" w:name="_Ref101000482"/>
      <w:bookmarkStart w:id="211" w:name="_Toc101904270"/>
      <w:r w:rsidRPr="00237760">
        <w:rPr>
          <w:rFonts w:ascii="Arial" w:hAnsi="Arial" w:cs="Arial"/>
          <w:color w:val="auto"/>
          <w:sz w:val="24"/>
          <w:szCs w:val="24"/>
        </w:rPr>
        <w:t xml:space="preserve">Tabela </w:t>
      </w:r>
      <w:r w:rsidRPr="00237760">
        <w:rPr>
          <w:rFonts w:ascii="Arial" w:hAnsi="Arial" w:cs="Arial"/>
          <w:noProof/>
          <w:color w:val="auto"/>
          <w:sz w:val="24"/>
          <w:szCs w:val="24"/>
        </w:rPr>
        <w:fldChar w:fldCharType="begin"/>
      </w:r>
      <w:r w:rsidRPr="00237760">
        <w:rPr>
          <w:rFonts w:ascii="Arial" w:hAnsi="Arial" w:cs="Arial"/>
          <w:noProof/>
          <w:color w:val="auto"/>
          <w:sz w:val="24"/>
          <w:szCs w:val="24"/>
        </w:rPr>
        <w:instrText xml:space="preserve"> SEQ Tabela \* ARABIC </w:instrText>
      </w:r>
      <w:r w:rsidRPr="00237760">
        <w:rPr>
          <w:rFonts w:ascii="Arial" w:hAnsi="Arial" w:cs="Arial"/>
          <w:noProof/>
          <w:color w:val="auto"/>
          <w:sz w:val="24"/>
          <w:szCs w:val="24"/>
        </w:rPr>
        <w:fldChar w:fldCharType="separate"/>
      </w:r>
      <w:r w:rsidR="00762B20" w:rsidRPr="00237760">
        <w:rPr>
          <w:rFonts w:ascii="Arial" w:hAnsi="Arial" w:cs="Arial"/>
          <w:noProof/>
          <w:color w:val="auto"/>
          <w:sz w:val="24"/>
          <w:szCs w:val="24"/>
        </w:rPr>
        <w:t>29</w:t>
      </w:r>
      <w:r w:rsidRPr="00237760">
        <w:rPr>
          <w:rFonts w:ascii="Arial" w:hAnsi="Arial" w:cs="Arial"/>
          <w:noProof/>
          <w:color w:val="auto"/>
          <w:sz w:val="24"/>
          <w:szCs w:val="24"/>
        </w:rPr>
        <w:fldChar w:fldCharType="end"/>
      </w:r>
      <w:bookmarkEnd w:id="210"/>
      <w:r w:rsidR="00A452DC" w:rsidRPr="00237760">
        <w:rPr>
          <w:rFonts w:ascii="Arial" w:hAnsi="Arial" w:cs="Arial"/>
          <w:noProof/>
          <w:color w:val="auto"/>
          <w:sz w:val="24"/>
          <w:szCs w:val="24"/>
        </w:rPr>
        <w:t>.</w:t>
      </w:r>
      <w:r w:rsidRPr="00237760">
        <w:rPr>
          <w:rFonts w:ascii="Arial" w:hAnsi="Arial" w:cs="Arial"/>
          <w:color w:val="auto"/>
          <w:sz w:val="24"/>
          <w:szCs w:val="24"/>
        </w:rPr>
        <w:t xml:space="preserve"> Ocena spójności </w:t>
      </w:r>
      <w:r w:rsidR="00F311FF" w:rsidRPr="00237760">
        <w:rPr>
          <w:rFonts w:ascii="Arial" w:hAnsi="Arial" w:cs="Arial"/>
          <w:color w:val="auto"/>
          <w:sz w:val="24"/>
          <w:szCs w:val="24"/>
        </w:rPr>
        <w:t>PSRT WP</w:t>
      </w:r>
      <w:r w:rsidRPr="00237760">
        <w:rPr>
          <w:rFonts w:ascii="Arial" w:hAnsi="Arial" w:cs="Arial"/>
          <w:color w:val="auto"/>
          <w:sz w:val="24"/>
          <w:szCs w:val="24"/>
        </w:rPr>
        <w:t xml:space="preserve"> ze Strategią Zrównoważonego Rozwoju Transportu</w:t>
      </w:r>
      <w:bookmarkEnd w:id="211"/>
    </w:p>
    <w:tbl>
      <w:tblPr>
        <w:tblStyle w:val="Tabela-Siatka"/>
        <w:tblW w:w="9219" w:type="dxa"/>
        <w:tblInd w:w="-5"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57" w:type="dxa"/>
          <w:right w:w="57" w:type="dxa"/>
        </w:tblCellMar>
        <w:tblLook w:val="04A0" w:firstRow="1" w:lastRow="0" w:firstColumn="1" w:lastColumn="0" w:noHBand="0" w:noVBand="1"/>
        <w:tblCaption w:val="Tabela 29. Ocena spójności PSRT WP ze Strategią Zrównoważonego Rozwoju Transportu"/>
        <w:tblDescription w:val="Tabela zawiera Kierunki interwencji SRT, Cele podstawowe PSRT WP, Cele horyzontalne PSRT WP"/>
      </w:tblPr>
      <w:tblGrid>
        <w:gridCol w:w="3974"/>
        <w:gridCol w:w="748"/>
        <w:gridCol w:w="748"/>
        <w:gridCol w:w="772"/>
        <w:gridCol w:w="725"/>
        <w:gridCol w:w="749"/>
        <w:gridCol w:w="748"/>
        <w:gridCol w:w="749"/>
        <w:gridCol w:w="6"/>
      </w:tblGrid>
      <w:tr w:rsidR="00237760" w:rsidRPr="00237760" w14:paraId="3BDC7DFF" w14:textId="77777777" w:rsidTr="000D3F32">
        <w:trPr>
          <w:trHeight w:val="80"/>
          <w:tblHeader/>
        </w:trPr>
        <w:tc>
          <w:tcPr>
            <w:tcW w:w="9219" w:type="dxa"/>
            <w:gridSpan w:val="9"/>
            <w:tcBorders>
              <w:top w:val="single" w:sz="12" w:space="0" w:color="002060"/>
              <w:left w:val="nil"/>
              <w:bottom w:val="single" w:sz="4" w:space="0" w:color="BDD6EE" w:themeColor="accent1" w:themeTint="66"/>
            </w:tcBorders>
            <w:shd w:val="clear" w:color="auto" w:fill="auto"/>
            <w:vAlign w:val="center"/>
          </w:tcPr>
          <w:p w14:paraId="52F92A66"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Strategia Zrównoważonego Rozwoju Transportu</w:t>
            </w:r>
          </w:p>
        </w:tc>
      </w:tr>
      <w:tr w:rsidR="00237760" w:rsidRPr="00237760" w14:paraId="5F74A544" w14:textId="77777777" w:rsidTr="000D3F32">
        <w:trPr>
          <w:trHeight w:val="70"/>
          <w:tblHeader/>
        </w:trPr>
        <w:tc>
          <w:tcPr>
            <w:tcW w:w="3974" w:type="dxa"/>
            <w:vMerge w:val="restart"/>
            <w:tcBorders>
              <w:top w:val="nil"/>
              <w:left w:val="nil"/>
              <w:bottom w:val="single" w:sz="4" w:space="0" w:color="BDD6EE" w:themeColor="accent1" w:themeTint="66"/>
              <w:right w:val="nil"/>
            </w:tcBorders>
            <w:shd w:val="clear" w:color="auto" w:fill="auto"/>
            <w:vAlign w:val="center"/>
            <w:hideMark/>
          </w:tcPr>
          <w:p w14:paraId="14DA6B8B"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Kierunki interwencji SRT</w:t>
            </w:r>
          </w:p>
        </w:tc>
        <w:tc>
          <w:tcPr>
            <w:tcW w:w="2268" w:type="dxa"/>
            <w:gridSpan w:val="3"/>
            <w:tcBorders>
              <w:top w:val="nil"/>
              <w:left w:val="nil"/>
              <w:bottom w:val="single" w:sz="4" w:space="0" w:color="BDD6EE" w:themeColor="accent1" w:themeTint="66"/>
            </w:tcBorders>
            <w:shd w:val="clear" w:color="auto" w:fill="auto"/>
            <w:vAlign w:val="center"/>
          </w:tcPr>
          <w:p w14:paraId="1A5C670D"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podstawowe PSRT WP</w:t>
            </w:r>
          </w:p>
        </w:tc>
        <w:tc>
          <w:tcPr>
            <w:tcW w:w="2977" w:type="dxa"/>
            <w:gridSpan w:val="5"/>
            <w:tcBorders>
              <w:top w:val="nil"/>
              <w:left w:val="nil"/>
              <w:bottom w:val="single" w:sz="4" w:space="0" w:color="BDD6EE" w:themeColor="accent1" w:themeTint="66"/>
            </w:tcBorders>
            <w:shd w:val="clear" w:color="auto" w:fill="auto"/>
            <w:vAlign w:val="center"/>
          </w:tcPr>
          <w:p w14:paraId="65EA0FFF"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horyzontalne PSRT WP</w:t>
            </w:r>
          </w:p>
        </w:tc>
      </w:tr>
      <w:tr w:rsidR="00237760" w:rsidRPr="00237760" w14:paraId="100A31A9" w14:textId="77777777" w:rsidTr="000D3F32">
        <w:trPr>
          <w:gridAfter w:val="1"/>
          <w:wAfter w:w="6" w:type="dxa"/>
          <w:trHeight w:val="85"/>
          <w:tblHeader/>
        </w:trPr>
        <w:tc>
          <w:tcPr>
            <w:tcW w:w="3974" w:type="dxa"/>
            <w:vMerge/>
            <w:tcBorders>
              <w:top w:val="nil"/>
              <w:left w:val="nil"/>
              <w:bottom w:val="single" w:sz="4" w:space="0" w:color="BDD6EE" w:themeColor="accent1" w:themeTint="66"/>
              <w:right w:val="nil"/>
            </w:tcBorders>
            <w:shd w:val="clear" w:color="auto" w:fill="auto"/>
            <w:vAlign w:val="center"/>
            <w:hideMark/>
          </w:tcPr>
          <w:p w14:paraId="18F516AB" w14:textId="77777777" w:rsidR="00710815" w:rsidRPr="00237760" w:rsidRDefault="00710815" w:rsidP="009367B4">
            <w:pPr>
              <w:spacing w:after="0" w:line="240" w:lineRule="auto"/>
              <w:jc w:val="left"/>
              <w:rPr>
                <w:rFonts w:ascii="Arial" w:hAnsi="Arial" w:cs="Arial"/>
                <w:b/>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0D73665B"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1F2A686F"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77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38F526B8"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7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2FDB23C2"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04F784D3"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nil"/>
            </w:tcBorders>
            <w:shd w:val="clear" w:color="auto" w:fill="auto"/>
          </w:tcPr>
          <w:p w14:paraId="26AF40BC"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nil"/>
            </w:tcBorders>
            <w:shd w:val="clear" w:color="auto" w:fill="auto"/>
          </w:tcPr>
          <w:p w14:paraId="2C533AF9"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4.</w:t>
            </w:r>
          </w:p>
        </w:tc>
      </w:tr>
      <w:tr w:rsidR="00237760" w:rsidRPr="00237760" w14:paraId="6DA48AA2" w14:textId="77777777" w:rsidTr="000D3F32">
        <w:trPr>
          <w:gridAfter w:val="1"/>
          <w:wAfter w:w="6" w:type="dxa"/>
          <w:trHeight w:val="554"/>
        </w:trPr>
        <w:tc>
          <w:tcPr>
            <w:tcW w:w="3974"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721FD3A5"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Kierunek interwencji 1. Budowa zintegrowanej, wzajemnie powiązanej sieci transportowej służącej konkurencyjnej gospodarce</w:t>
            </w: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4A074412" w14:textId="77777777" w:rsidR="00710815" w:rsidRPr="00237760" w:rsidRDefault="00710815"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13CB4C5F" w14:textId="77777777" w:rsidR="00710815" w:rsidRPr="00237760" w:rsidRDefault="00710815" w:rsidP="009367B4">
            <w:pPr>
              <w:spacing w:after="0" w:line="240" w:lineRule="auto"/>
              <w:jc w:val="left"/>
              <w:rPr>
                <w:rFonts w:ascii="Arial" w:hAnsi="Arial" w:cs="Arial"/>
                <w:color w:val="auto"/>
                <w:sz w:val="24"/>
                <w:szCs w:val="24"/>
              </w:rPr>
            </w:pPr>
          </w:p>
        </w:tc>
        <w:tc>
          <w:tcPr>
            <w:tcW w:w="77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793D8637" w14:textId="77777777" w:rsidR="00710815" w:rsidRPr="00237760" w:rsidRDefault="00710815" w:rsidP="009367B4">
            <w:pPr>
              <w:spacing w:after="0" w:line="240" w:lineRule="auto"/>
              <w:jc w:val="left"/>
              <w:rPr>
                <w:rFonts w:ascii="Arial" w:hAnsi="Arial" w:cs="Arial"/>
                <w:color w:val="auto"/>
                <w:sz w:val="24"/>
                <w:szCs w:val="24"/>
              </w:rPr>
            </w:pPr>
          </w:p>
        </w:tc>
        <w:tc>
          <w:tcPr>
            <w:tcW w:w="7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4852E48A" w14:textId="77777777" w:rsidR="00710815" w:rsidRPr="00237760" w:rsidRDefault="00710815"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2F166603" w14:textId="77777777" w:rsidR="00710815" w:rsidRPr="00237760" w:rsidRDefault="00710815"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09545FCE" w14:textId="77777777" w:rsidR="00710815" w:rsidRPr="00237760" w:rsidRDefault="00710815"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04EC05BB"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356C9A94" w14:textId="77777777" w:rsidTr="000D3F32">
        <w:trPr>
          <w:gridAfter w:val="1"/>
          <w:wAfter w:w="6" w:type="dxa"/>
          <w:trHeight w:val="14"/>
        </w:trPr>
        <w:tc>
          <w:tcPr>
            <w:tcW w:w="3974"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5C674F6D"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Kierunek interwencji 2. Poprawa sposobu organizacji i zarządzania systemem transportowym</w:t>
            </w: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025EFC11" w14:textId="77777777" w:rsidR="00710815" w:rsidRPr="00237760" w:rsidRDefault="00710815"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10F8C822" w14:textId="77777777" w:rsidR="00710815" w:rsidRPr="00237760" w:rsidRDefault="00710815" w:rsidP="009367B4">
            <w:pPr>
              <w:spacing w:after="0" w:line="240" w:lineRule="auto"/>
              <w:jc w:val="left"/>
              <w:rPr>
                <w:rFonts w:ascii="Arial" w:hAnsi="Arial" w:cs="Arial"/>
                <w:color w:val="auto"/>
                <w:sz w:val="24"/>
                <w:szCs w:val="24"/>
              </w:rPr>
            </w:pPr>
          </w:p>
        </w:tc>
        <w:tc>
          <w:tcPr>
            <w:tcW w:w="77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33227D6C" w14:textId="77777777" w:rsidR="00710815" w:rsidRPr="00237760" w:rsidRDefault="00710815" w:rsidP="009367B4">
            <w:pPr>
              <w:spacing w:after="0" w:line="240" w:lineRule="auto"/>
              <w:jc w:val="left"/>
              <w:rPr>
                <w:rFonts w:ascii="Arial" w:hAnsi="Arial" w:cs="Arial"/>
                <w:color w:val="auto"/>
                <w:sz w:val="24"/>
                <w:szCs w:val="24"/>
              </w:rPr>
            </w:pPr>
          </w:p>
        </w:tc>
        <w:tc>
          <w:tcPr>
            <w:tcW w:w="7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4D326423" w14:textId="77777777" w:rsidR="00710815" w:rsidRPr="00237760" w:rsidRDefault="00710815"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21386CA2" w14:textId="77777777" w:rsidR="00710815" w:rsidRPr="00237760" w:rsidRDefault="00710815"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vAlign w:val="center"/>
          </w:tcPr>
          <w:p w14:paraId="0CAC3522" w14:textId="77777777" w:rsidR="00710815" w:rsidRPr="00237760" w:rsidRDefault="00710815"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457F0842"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37D6FE4E" w14:textId="77777777" w:rsidTr="000D3F32">
        <w:trPr>
          <w:gridAfter w:val="1"/>
          <w:wAfter w:w="6" w:type="dxa"/>
          <w:trHeight w:val="14"/>
        </w:trPr>
        <w:tc>
          <w:tcPr>
            <w:tcW w:w="3974"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2272E800"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Kierunek interwencji 3. Zmiany w indywidualnej i zbiorowej mobilności</w:t>
            </w: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2D3AFF60" w14:textId="77777777" w:rsidR="00710815" w:rsidRPr="00237760" w:rsidRDefault="00710815"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4B63C244" w14:textId="77777777" w:rsidR="00710815" w:rsidRPr="00237760" w:rsidRDefault="00710815" w:rsidP="009367B4">
            <w:pPr>
              <w:spacing w:after="0" w:line="240" w:lineRule="auto"/>
              <w:jc w:val="left"/>
              <w:rPr>
                <w:rFonts w:ascii="Arial" w:hAnsi="Arial" w:cs="Arial"/>
                <w:color w:val="auto"/>
                <w:sz w:val="24"/>
                <w:szCs w:val="24"/>
              </w:rPr>
            </w:pPr>
          </w:p>
        </w:tc>
        <w:tc>
          <w:tcPr>
            <w:tcW w:w="77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4D2093FA" w14:textId="77777777" w:rsidR="00710815" w:rsidRPr="00237760" w:rsidRDefault="00710815" w:rsidP="009367B4">
            <w:pPr>
              <w:spacing w:after="0" w:line="240" w:lineRule="auto"/>
              <w:jc w:val="left"/>
              <w:rPr>
                <w:rFonts w:ascii="Arial" w:hAnsi="Arial" w:cs="Arial"/>
                <w:color w:val="auto"/>
                <w:sz w:val="24"/>
                <w:szCs w:val="24"/>
              </w:rPr>
            </w:pPr>
          </w:p>
        </w:tc>
        <w:tc>
          <w:tcPr>
            <w:tcW w:w="7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75D9BF86" w14:textId="77777777" w:rsidR="00710815" w:rsidRPr="00237760" w:rsidRDefault="00710815"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3D95727D" w14:textId="77777777" w:rsidR="00710815" w:rsidRPr="00237760" w:rsidRDefault="00710815"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2955F429" w14:textId="77777777" w:rsidR="00710815" w:rsidRPr="00237760" w:rsidRDefault="00710815"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61849F0F"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454E74A5" w14:textId="77777777" w:rsidTr="000D3F32">
        <w:trPr>
          <w:gridAfter w:val="1"/>
          <w:wAfter w:w="6" w:type="dxa"/>
          <w:trHeight w:val="14"/>
        </w:trPr>
        <w:tc>
          <w:tcPr>
            <w:tcW w:w="3974"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4DE6D9D7"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Kierunek interwencji 4. Poprawa bezpieczeństwa uczestników ruchu oraz przewożonych towarów</w:t>
            </w: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2C3FEF57" w14:textId="77777777" w:rsidR="00710815" w:rsidRPr="00237760" w:rsidRDefault="00710815"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2BCD951A" w14:textId="77777777" w:rsidR="00710815" w:rsidRPr="00237760" w:rsidRDefault="00710815" w:rsidP="009367B4">
            <w:pPr>
              <w:spacing w:after="0" w:line="240" w:lineRule="auto"/>
              <w:jc w:val="left"/>
              <w:rPr>
                <w:rFonts w:ascii="Arial" w:hAnsi="Arial" w:cs="Arial"/>
                <w:color w:val="auto"/>
                <w:sz w:val="24"/>
                <w:szCs w:val="24"/>
              </w:rPr>
            </w:pPr>
          </w:p>
        </w:tc>
        <w:tc>
          <w:tcPr>
            <w:tcW w:w="77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08DDDEA4" w14:textId="77777777" w:rsidR="00710815" w:rsidRPr="00237760" w:rsidRDefault="00710815" w:rsidP="009367B4">
            <w:pPr>
              <w:spacing w:after="0" w:line="240" w:lineRule="auto"/>
              <w:jc w:val="left"/>
              <w:rPr>
                <w:rFonts w:ascii="Arial" w:hAnsi="Arial" w:cs="Arial"/>
                <w:color w:val="auto"/>
                <w:sz w:val="24"/>
                <w:szCs w:val="24"/>
              </w:rPr>
            </w:pPr>
          </w:p>
        </w:tc>
        <w:tc>
          <w:tcPr>
            <w:tcW w:w="7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42B2E509" w14:textId="77777777" w:rsidR="00710815" w:rsidRPr="00237760" w:rsidRDefault="00710815"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64097198" w14:textId="77777777" w:rsidR="00710815" w:rsidRPr="00237760" w:rsidRDefault="00710815"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5957C090" w14:textId="77777777" w:rsidR="00710815" w:rsidRPr="00237760" w:rsidRDefault="00710815"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1683472E"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2C23CC40" w14:textId="77777777" w:rsidTr="000D3F32">
        <w:trPr>
          <w:gridAfter w:val="1"/>
          <w:wAfter w:w="6" w:type="dxa"/>
          <w:trHeight w:val="14"/>
        </w:trPr>
        <w:tc>
          <w:tcPr>
            <w:tcW w:w="3974"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6DDDBBF9"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Kierunek interwencji 5. Ograniczanie negatywnego wpływu transportu na środowisko</w:t>
            </w: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6E813E15" w14:textId="77777777" w:rsidR="00710815" w:rsidRPr="00237760" w:rsidRDefault="00710815"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6F37AAEE" w14:textId="77777777" w:rsidR="00710815" w:rsidRPr="00237760" w:rsidRDefault="00710815" w:rsidP="009367B4">
            <w:pPr>
              <w:spacing w:after="0" w:line="240" w:lineRule="auto"/>
              <w:jc w:val="left"/>
              <w:rPr>
                <w:rFonts w:ascii="Arial" w:hAnsi="Arial" w:cs="Arial"/>
                <w:color w:val="auto"/>
                <w:sz w:val="24"/>
                <w:szCs w:val="24"/>
              </w:rPr>
            </w:pPr>
          </w:p>
        </w:tc>
        <w:tc>
          <w:tcPr>
            <w:tcW w:w="77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45A55DAD" w14:textId="77777777" w:rsidR="00710815" w:rsidRPr="00237760" w:rsidRDefault="00710815" w:rsidP="009367B4">
            <w:pPr>
              <w:spacing w:after="0" w:line="240" w:lineRule="auto"/>
              <w:jc w:val="left"/>
              <w:rPr>
                <w:rFonts w:ascii="Arial" w:hAnsi="Arial" w:cs="Arial"/>
                <w:color w:val="auto"/>
                <w:sz w:val="24"/>
                <w:szCs w:val="24"/>
              </w:rPr>
            </w:pPr>
          </w:p>
        </w:tc>
        <w:tc>
          <w:tcPr>
            <w:tcW w:w="7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7407A15E" w14:textId="77777777" w:rsidR="00710815" w:rsidRPr="00237760" w:rsidRDefault="00710815"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63C68616" w14:textId="77777777" w:rsidR="00710815" w:rsidRPr="00237760" w:rsidRDefault="00710815"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5212EC68" w14:textId="77777777" w:rsidR="00710815" w:rsidRPr="00237760" w:rsidRDefault="00710815"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3B0439A2"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444DDF4C" w14:textId="77777777" w:rsidTr="000D3F32">
        <w:trPr>
          <w:gridAfter w:val="1"/>
          <w:wAfter w:w="6" w:type="dxa"/>
          <w:trHeight w:val="14"/>
        </w:trPr>
        <w:tc>
          <w:tcPr>
            <w:tcW w:w="3974" w:type="dxa"/>
            <w:tcBorders>
              <w:top w:val="single" w:sz="4" w:space="0" w:color="BDD6EE" w:themeColor="accent1" w:themeTint="66"/>
              <w:left w:val="nil"/>
              <w:bottom w:val="single" w:sz="12" w:space="0" w:color="002060"/>
              <w:right w:val="single" w:sz="4" w:space="0" w:color="BDD6EE" w:themeColor="accent1" w:themeTint="66"/>
            </w:tcBorders>
          </w:tcPr>
          <w:p w14:paraId="745F8944"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Kierunek interwencji 6. Poprawa efektywności wykorzystania publicznych środków na przedsięwzięcia transportowe</w:t>
            </w:r>
          </w:p>
        </w:tc>
        <w:tc>
          <w:tcPr>
            <w:tcW w:w="748"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auto"/>
          </w:tcPr>
          <w:p w14:paraId="1021E3A0" w14:textId="77777777" w:rsidR="00710815" w:rsidRPr="00237760" w:rsidRDefault="00710815"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auto"/>
            <w:vAlign w:val="center"/>
          </w:tcPr>
          <w:p w14:paraId="7F263694" w14:textId="77777777" w:rsidR="00710815" w:rsidRPr="00237760" w:rsidRDefault="00710815" w:rsidP="009367B4">
            <w:pPr>
              <w:spacing w:after="0" w:line="240" w:lineRule="auto"/>
              <w:jc w:val="left"/>
              <w:rPr>
                <w:rFonts w:ascii="Arial" w:hAnsi="Arial" w:cs="Arial"/>
                <w:color w:val="auto"/>
                <w:sz w:val="24"/>
                <w:szCs w:val="24"/>
              </w:rPr>
            </w:pPr>
          </w:p>
        </w:tc>
        <w:tc>
          <w:tcPr>
            <w:tcW w:w="772"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9CC2E5" w:themeFill="accent1" w:themeFillTint="99"/>
            <w:vAlign w:val="center"/>
          </w:tcPr>
          <w:p w14:paraId="7808DA93" w14:textId="77777777" w:rsidR="00710815" w:rsidRPr="00237760" w:rsidRDefault="00710815" w:rsidP="009367B4">
            <w:pPr>
              <w:spacing w:after="0" w:line="240" w:lineRule="auto"/>
              <w:jc w:val="left"/>
              <w:rPr>
                <w:rFonts w:ascii="Arial" w:hAnsi="Arial" w:cs="Arial"/>
                <w:color w:val="auto"/>
                <w:sz w:val="24"/>
                <w:szCs w:val="24"/>
              </w:rPr>
            </w:pPr>
          </w:p>
        </w:tc>
        <w:tc>
          <w:tcPr>
            <w:tcW w:w="725"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auto"/>
            <w:vAlign w:val="center"/>
          </w:tcPr>
          <w:p w14:paraId="06B641B3" w14:textId="77777777" w:rsidR="00710815" w:rsidRPr="00237760" w:rsidRDefault="00710815"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9CC2E5" w:themeFill="accent1" w:themeFillTint="99"/>
            <w:vAlign w:val="center"/>
          </w:tcPr>
          <w:p w14:paraId="19033317" w14:textId="77777777" w:rsidR="00710815" w:rsidRPr="00237760" w:rsidRDefault="00710815"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9CC2E5"/>
            <w:vAlign w:val="center"/>
          </w:tcPr>
          <w:p w14:paraId="2ACBC2A3" w14:textId="77777777" w:rsidR="00710815" w:rsidRPr="00237760" w:rsidRDefault="00710815"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9CC2E5" w:themeFill="accent1" w:themeFillTint="99"/>
          </w:tcPr>
          <w:p w14:paraId="65F6B36A" w14:textId="77777777" w:rsidR="00710815" w:rsidRPr="00237760" w:rsidRDefault="00710815" w:rsidP="009367B4">
            <w:pPr>
              <w:spacing w:after="0" w:line="240" w:lineRule="auto"/>
              <w:jc w:val="left"/>
              <w:rPr>
                <w:rFonts w:ascii="Arial" w:hAnsi="Arial" w:cs="Arial"/>
                <w:color w:val="auto"/>
                <w:sz w:val="24"/>
                <w:szCs w:val="24"/>
              </w:rPr>
            </w:pPr>
          </w:p>
        </w:tc>
      </w:tr>
    </w:tbl>
    <w:p w14:paraId="7A7C2EC3" w14:textId="0738C7C4" w:rsidR="00710815" w:rsidRPr="00237760" w:rsidRDefault="00710815" w:rsidP="009367B4">
      <w:pPr>
        <w:jc w:val="left"/>
        <w:rPr>
          <w:rFonts w:ascii="Arial" w:hAnsi="Arial" w:cs="Arial"/>
          <w:color w:val="auto"/>
          <w:sz w:val="24"/>
          <w:szCs w:val="24"/>
        </w:rPr>
      </w:pPr>
      <w:r w:rsidRPr="00237760">
        <w:rPr>
          <w:rFonts w:ascii="Arial" w:hAnsi="Arial" w:cs="Arial"/>
          <w:color w:val="auto"/>
          <w:sz w:val="24"/>
          <w:szCs w:val="24"/>
        </w:rPr>
        <w:t>Źródło: opracowanie własne</w:t>
      </w:r>
      <w:r w:rsidR="00740A42" w:rsidRPr="00237760">
        <w:rPr>
          <w:rFonts w:ascii="Arial" w:hAnsi="Arial" w:cs="Arial"/>
          <w:color w:val="auto"/>
          <w:sz w:val="24"/>
          <w:szCs w:val="24"/>
        </w:rPr>
        <w:t xml:space="preserve"> na podstawie </w:t>
      </w:r>
      <w:r w:rsidR="00F311FF" w:rsidRPr="00237760">
        <w:rPr>
          <w:rFonts w:ascii="Arial" w:hAnsi="Arial" w:cs="Arial"/>
          <w:color w:val="auto"/>
          <w:sz w:val="24"/>
          <w:szCs w:val="24"/>
        </w:rPr>
        <w:t>PSRT WP</w:t>
      </w:r>
      <w:r w:rsidR="00740A42" w:rsidRPr="00237760">
        <w:rPr>
          <w:rFonts w:ascii="Arial" w:hAnsi="Arial" w:cs="Arial"/>
          <w:color w:val="auto"/>
          <w:sz w:val="24"/>
          <w:szCs w:val="24"/>
        </w:rPr>
        <w:t xml:space="preserve"> oraz Strategii Zrównoważonego Rozwoju Transportu.</w:t>
      </w:r>
    </w:p>
    <w:p w14:paraId="68DB701E" w14:textId="77777777" w:rsidR="00710815" w:rsidRPr="00237760" w:rsidRDefault="00710815" w:rsidP="009367B4">
      <w:pPr>
        <w:pStyle w:val="Nagwek3"/>
        <w:rPr>
          <w:rFonts w:ascii="Arial" w:hAnsi="Arial" w:cs="Arial"/>
          <w:color w:val="auto"/>
          <w:sz w:val="24"/>
          <w:szCs w:val="24"/>
        </w:rPr>
      </w:pPr>
      <w:bookmarkStart w:id="212" w:name="_Toc101904150"/>
      <w:r w:rsidRPr="00237760">
        <w:rPr>
          <w:rFonts w:ascii="Arial" w:hAnsi="Arial" w:cs="Arial"/>
          <w:color w:val="auto"/>
          <w:sz w:val="24"/>
          <w:szCs w:val="24"/>
        </w:rPr>
        <w:t>Dokument Implementacyjny do Strategii Rozwoju Transportu do 2020 r. (z perspektywą do 2030 r.), 2014</w:t>
      </w:r>
      <w:bookmarkEnd w:id="212"/>
    </w:p>
    <w:p w14:paraId="456925BC" w14:textId="0A4C21DB" w:rsidR="00710815" w:rsidRPr="00237760" w:rsidRDefault="00710815" w:rsidP="009367B4">
      <w:pPr>
        <w:jc w:val="left"/>
        <w:rPr>
          <w:rFonts w:ascii="Arial" w:hAnsi="Arial" w:cs="Arial"/>
          <w:color w:val="auto"/>
          <w:sz w:val="24"/>
          <w:szCs w:val="24"/>
          <w:lang w:eastAsia="pl-PL"/>
        </w:rPr>
      </w:pPr>
      <w:r w:rsidRPr="00237760">
        <w:rPr>
          <w:rFonts w:ascii="Arial" w:hAnsi="Arial" w:cs="Arial"/>
          <w:i/>
          <w:color w:val="auto"/>
          <w:sz w:val="24"/>
          <w:szCs w:val="24"/>
          <w:lang w:eastAsia="pl-PL"/>
        </w:rPr>
        <w:t>Dokument Implementacyjny do Strategii Rozwoju Transportu</w:t>
      </w:r>
      <w:r w:rsidRPr="00237760">
        <w:rPr>
          <w:rFonts w:ascii="Arial" w:hAnsi="Arial" w:cs="Arial"/>
          <w:color w:val="auto"/>
          <w:sz w:val="24"/>
          <w:szCs w:val="24"/>
          <w:lang w:eastAsia="pl-PL"/>
        </w:rPr>
        <w:t xml:space="preserve"> Ministerstwa Infrastruktury i Rozwoju stanowi uzupełnienie SRT w zakresie wdrażania. Uzupełnia on cele </w:t>
      </w:r>
      <w:r w:rsidR="00F311FF" w:rsidRPr="00237760">
        <w:rPr>
          <w:rFonts w:ascii="Arial" w:hAnsi="Arial" w:cs="Arial"/>
          <w:color w:val="auto"/>
          <w:sz w:val="24"/>
          <w:szCs w:val="24"/>
          <w:lang w:eastAsia="pl-PL"/>
        </w:rPr>
        <w:t>PSRT WP</w:t>
      </w:r>
      <w:r w:rsidRPr="00237760">
        <w:rPr>
          <w:rFonts w:ascii="Arial" w:hAnsi="Arial" w:cs="Arial"/>
          <w:color w:val="auto"/>
          <w:sz w:val="24"/>
          <w:szCs w:val="24"/>
          <w:lang w:eastAsia="pl-PL"/>
        </w:rPr>
        <w:t xml:space="preserve"> o 3 cele szczegółowe. Każdy z nich znajduje odzwierciedlenie w kierunkach rozwoju Programu</w:t>
      </w:r>
      <w:r w:rsidR="00740A42" w:rsidRPr="00237760">
        <w:rPr>
          <w:rFonts w:ascii="Arial" w:hAnsi="Arial" w:cs="Arial"/>
          <w:color w:val="auto"/>
          <w:sz w:val="24"/>
          <w:szCs w:val="24"/>
          <w:lang w:eastAsia="pl-PL"/>
        </w:rPr>
        <w:t xml:space="preserve"> (</w:t>
      </w:r>
      <w:r w:rsidR="00740A42" w:rsidRPr="00237760">
        <w:rPr>
          <w:rFonts w:ascii="Arial" w:hAnsi="Arial" w:cs="Arial"/>
          <w:color w:val="auto"/>
          <w:sz w:val="24"/>
          <w:szCs w:val="24"/>
          <w:lang w:eastAsia="pl-PL"/>
        </w:rPr>
        <w:fldChar w:fldCharType="begin"/>
      </w:r>
      <w:r w:rsidR="00740A42" w:rsidRPr="00237760">
        <w:rPr>
          <w:rFonts w:ascii="Arial" w:hAnsi="Arial" w:cs="Arial"/>
          <w:color w:val="auto"/>
          <w:sz w:val="24"/>
          <w:szCs w:val="24"/>
          <w:lang w:eastAsia="pl-PL"/>
        </w:rPr>
        <w:instrText xml:space="preserve"> REF _Ref101000664 \h </w:instrText>
      </w:r>
      <w:r w:rsidR="00237760" w:rsidRPr="00237760">
        <w:rPr>
          <w:rFonts w:ascii="Arial" w:hAnsi="Arial" w:cs="Arial"/>
          <w:color w:val="auto"/>
          <w:sz w:val="24"/>
          <w:szCs w:val="24"/>
          <w:lang w:eastAsia="pl-PL"/>
        </w:rPr>
        <w:instrText xml:space="preserve"> \* MERGEFORMAT </w:instrText>
      </w:r>
      <w:r w:rsidR="00740A42" w:rsidRPr="00237760">
        <w:rPr>
          <w:rFonts w:ascii="Arial" w:hAnsi="Arial" w:cs="Arial"/>
          <w:color w:val="auto"/>
          <w:sz w:val="24"/>
          <w:szCs w:val="24"/>
          <w:lang w:eastAsia="pl-PL"/>
        </w:rPr>
      </w:r>
      <w:r w:rsidR="00740A42" w:rsidRPr="00237760">
        <w:rPr>
          <w:rFonts w:ascii="Arial" w:hAnsi="Arial" w:cs="Arial"/>
          <w:color w:val="auto"/>
          <w:sz w:val="24"/>
          <w:szCs w:val="24"/>
          <w:lang w:eastAsia="pl-PL"/>
        </w:rPr>
        <w:fldChar w:fldCharType="separate"/>
      </w:r>
      <w:r w:rsidR="00E52C19" w:rsidRPr="00237760">
        <w:rPr>
          <w:rFonts w:ascii="Arial" w:hAnsi="Arial" w:cs="Arial"/>
          <w:color w:val="auto"/>
          <w:sz w:val="24"/>
          <w:szCs w:val="24"/>
        </w:rPr>
        <w:t xml:space="preserve">Tabela </w:t>
      </w:r>
      <w:r w:rsidR="00E52C19" w:rsidRPr="00237760">
        <w:rPr>
          <w:rFonts w:ascii="Arial" w:hAnsi="Arial" w:cs="Arial"/>
          <w:noProof/>
          <w:color w:val="auto"/>
          <w:sz w:val="24"/>
          <w:szCs w:val="24"/>
        </w:rPr>
        <w:t>30</w:t>
      </w:r>
      <w:r w:rsidR="00740A42" w:rsidRPr="00237760">
        <w:rPr>
          <w:rFonts w:ascii="Arial" w:hAnsi="Arial" w:cs="Arial"/>
          <w:color w:val="auto"/>
          <w:sz w:val="24"/>
          <w:szCs w:val="24"/>
          <w:lang w:eastAsia="pl-PL"/>
        </w:rPr>
        <w:fldChar w:fldCharType="end"/>
      </w:r>
      <w:r w:rsidR="00740A42" w:rsidRPr="00237760">
        <w:rPr>
          <w:rFonts w:ascii="Arial" w:hAnsi="Arial" w:cs="Arial"/>
          <w:color w:val="auto"/>
          <w:sz w:val="24"/>
          <w:szCs w:val="24"/>
          <w:lang w:eastAsia="pl-PL"/>
        </w:rPr>
        <w:t>)</w:t>
      </w:r>
      <w:r w:rsidRPr="00237760">
        <w:rPr>
          <w:rFonts w:ascii="Arial" w:hAnsi="Arial" w:cs="Arial"/>
          <w:color w:val="auto"/>
          <w:sz w:val="24"/>
          <w:szCs w:val="24"/>
          <w:lang w:eastAsia="pl-PL"/>
        </w:rPr>
        <w:t>.</w:t>
      </w:r>
    </w:p>
    <w:p w14:paraId="4B3505F4" w14:textId="677AE823" w:rsidR="00710815" w:rsidRPr="00237760" w:rsidRDefault="00710815" w:rsidP="009367B4">
      <w:pPr>
        <w:pStyle w:val="Legenda"/>
        <w:keepNext/>
        <w:jc w:val="left"/>
        <w:rPr>
          <w:rFonts w:ascii="Arial" w:hAnsi="Arial" w:cs="Arial"/>
          <w:color w:val="auto"/>
          <w:sz w:val="24"/>
          <w:szCs w:val="24"/>
        </w:rPr>
      </w:pPr>
      <w:bookmarkStart w:id="213" w:name="_Ref101000664"/>
      <w:bookmarkStart w:id="214" w:name="_Toc101904271"/>
      <w:r w:rsidRPr="00237760">
        <w:rPr>
          <w:rFonts w:ascii="Arial" w:hAnsi="Arial" w:cs="Arial"/>
          <w:color w:val="auto"/>
          <w:sz w:val="24"/>
          <w:szCs w:val="24"/>
        </w:rPr>
        <w:lastRenderedPageBreak/>
        <w:t xml:space="preserve">Tabela </w:t>
      </w:r>
      <w:r w:rsidRPr="00237760">
        <w:rPr>
          <w:rFonts w:ascii="Arial" w:hAnsi="Arial" w:cs="Arial"/>
          <w:noProof/>
          <w:color w:val="auto"/>
          <w:sz w:val="24"/>
          <w:szCs w:val="24"/>
        </w:rPr>
        <w:fldChar w:fldCharType="begin"/>
      </w:r>
      <w:r w:rsidRPr="00237760">
        <w:rPr>
          <w:rFonts w:ascii="Arial" w:hAnsi="Arial" w:cs="Arial"/>
          <w:noProof/>
          <w:color w:val="auto"/>
          <w:sz w:val="24"/>
          <w:szCs w:val="24"/>
        </w:rPr>
        <w:instrText xml:space="preserve"> SEQ Tabela \* ARABIC </w:instrText>
      </w:r>
      <w:r w:rsidRPr="00237760">
        <w:rPr>
          <w:rFonts w:ascii="Arial" w:hAnsi="Arial" w:cs="Arial"/>
          <w:noProof/>
          <w:color w:val="auto"/>
          <w:sz w:val="24"/>
          <w:szCs w:val="24"/>
        </w:rPr>
        <w:fldChar w:fldCharType="separate"/>
      </w:r>
      <w:r w:rsidR="00762B20" w:rsidRPr="00237760">
        <w:rPr>
          <w:rFonts w:ascii="Arial" w:hAnsi="Arial" w:cs="Arial"/>
          <w:noProof/>
          <w:color w:val="auto"/>
          <w:sz w:val="24"/>
          <w:szCs w:val="24"/>
        </w:rPr>
        <w:t>30</w:t>
      </w:r>
      <w:r w:rsidRPr="00237760">
        <w:rPr>
          <w:rFonts w:ascii="Arial" w:hAnsi="Arial" w:cs="Arial"/>
          <w:noProof/>
          <w:color w:val="auto"/>
          <w:sz w:val="24"/>
          <w:szCs w:val="24"/>
        </w:rPr>
        <w:fldChar w:fldCharType="end"/>
      </w:r>
      <w:bookmarkEnd w:id="213"/>
      <w:r w:rsidR="00740A42" w:rsidRPr="00237760">
        <w:rPr>
          <w:rFonts w:ascii="Arial" w:hAnsi="Arial" w:cs="Arial"/>
          <w:noProof/>
          <w:color w:val="auto"/>
          <w:sz w:val="24"/>
          <w:szCs w:val="24"/>
        </w:rPr>
        <w:t>.</w:t>
      </w:r>
      <w:r w:rsidRPr="00237760">
        <w:rPr>
          <w:rFonts w:ascii="Arial" w:hAnsi="Arial" w:cs="Arial"/>
          <w:color w:val="auto"/>
          <w:sz w:val="24"/>
          <w:szCs w:val="24"/>
        </w:rPr>
        <w:t xml:space="preserve"> Ocena spójności </w:t>
      </w:r>
      <w:r w:rsidR="00F311FF" w:rsidRPr="00237760">
        <w:rPr>
          <w:rFonts w:ascii="Arial" w:hAnsi="Arial" w:cs="Arial"/>
          <w:color w:val="auto"/>
          <w:sz w:val="24"/>
          <w:szCs w:val="24"/>
        </w:rPr>
        <w:t>PSRT WP</w:t>
      </w:r>
      <w:r w:rsidRPr="00237760">
        <w:rPr>
          <w:rFonts w:ascii="Arial" w:hAnsi="Arial" w:cs="Arial"/>
          <w:color w:val="auto"/>
          <w:sz w:val="24"/>
          <w:szCs w:val="24"/>
        </w:rPr>
        <w:t xml:space="preserve"> z Dokumentem implementacyjnym do SRT</w:t>
      </w:r>
      <w:bookmarkEnd w:id="214"/>
    </w:p>
    <w:tbl>
      <w:tblPr>
        <w:tblStyle w:val="Tabela-Siatka"/>
        <w:tblW w:w="9219" w:type="dxa"/>
        <w:tblInd w:w="-5"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57" w:type="dxa"/>
          <w:right w:w="57" w:type="dxa"/>
        </w:tblCellMar>
        <w:tblLook w:val="04A0" w:firstRow="1" w:lastRow="0" w:firstColumn="1" w:lastColumn="0" w:noHBand="0" w:noVBand="1"/>
        <w:tblCaption w:val="Tabela 30. Ocena spójności PSRT WP z Dokumentem implementacyjnym do SRT"/>
        <w:tblDescription w:val="Tabela zawiera Kierunki interwencji SRT, Cele podstawowe PSRT WP, Cele horyzontalne PSRT WP"/>
      </w:tblPr>
      <w:tblGrid>
        <w:gridCol w:w="3974"/>
        <w:gridCol w:w="748"/>
        <w:gridCol w:w="748"/>
        <w:gridCol w:w="772"/>
        <w:gridCol w:w="725"/>
        <w:gridCol w:w="749"/>
        <w:gridCol w:w="748"/>
        <w:gridCol w:w="749"/>
        <w:gridCol w:w="6"/>
      </w:tblGrid>
      <w:tr w:rsidR="00237760" w:rsidRPr="00237760" w14:paraId="40DE0FCD" w14:textId="77777777" w:rsidTr="000D3F32">
        <w:trPr>
          <w:trHeight w:val="80"/>
          <w:tblHeader/>
        </w:trPr>
        <w:tc>
          <w:tcPr>
            <w:tcW w:w="9219" w:type="dxa"/>
            <w:gridSpan w:val="9"/>
            <w:tcBorders>
              <w:top w:val="nil"/>
              <w:left w:val="nil"/>
              <w:bottom w:val="single" w:sz="4" w:space="0" w:color="BDD6EE" w:themeColor="accent1" w:themeTint="66"/>
            </w:tcBorders>
            <w:shd w:val="clear" w:color="auto" w:fill="auto"/>
            <w:vAlign w:val="center"/>
          </w:tcPr>
          <w:p w14:paraId="4C324DC3"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Dokument implementacyjny do SRT</w:t>
            </w:r>
          </w:p>
        </w:tc>
      </w:tr>
      <w:tr w:rsidR="00237760" w:rsidRPr="00237760" w14:paraId="759D1F0C" w14:textId="77777777" w:rsidTr="000D3F32">
        <w:trPr>
          <w:trHeight w:val="70"/>
          <w:tblHeader/>
        </w:trPr>
        <w:tc>
          <w:tcPr>
            <w:tcW w:w="3974" w:type="dxa"/>
            <w:vMerge w:val="restart"/>
            <w:tcBorders>
              <w:top w:val="single" w:sz="12" w:space="0" w:color="002060"/>
              <w:left w:val="nil"/>
              <w:bottom w:val="single" w:sz="4" w:space="0" w:color="BDD6EE" w:themeColor="accent1" w:themeTint="66"/>
              <w:right w:val="nil"/>
            </w:tcBorders>
            <w:shd w:val="clear" w:color="auto" w:fill="auto"/>
            <w:vAlign w:val="center"/>
            <w:hideMark/>
          </w:tcPr>
          <w:p w14:paraId="2210FCC6"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Kierunki interwencji SRT</w:t>
            </w:r>
          </w:p>
        </w:tc>
        <w:tc>
          <w:tcPr>
            <w:tcW w:w="2268" w:type="dxa"/>
            <w:gridSpan w:val="3"/>
            <w:tcBorders>
              <w:top w:val="single" w:sz="12" w:space="0" w:color="002060"/>
              <w:left w:val="nil"/>
              <w:bottom w:val="single" w:sz="4" w:space="0" w:color="BDD6EE" w:themeColor="accent1" w:themeTint="66"/>
            </w:tcBorders>
            <w:shd w:val="clear" w:color="auto" w:fill="auto"/>
          </w:tcPr>
          <w:p w14:paraId="00BDEE7B"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podstawowe PSRT WP</w:t>
            </w:r>
          </w:p>
        </w:tc>
        <w:tc>
          <w:tcPr>
            <w:tcW w:w="2977" w:type="dxa"/>
            <w:gridSpan w:val="5"/>
            <w:tcBorders>
              <w:top w:val="single" w:sz="12" w:space="0" w:color="002060"/>
              <w:left w:val="nil"/>
              <w:bottom w:val="single" w:sz="4" w:space="0" w:color="BDD6EE" w:themeColor="accent1" w:themeTint="66"/>
            </w:tcBorders>
            <w:shd w:val="clear" w:color="auto" w:fill="auto"/>
            <w:vAlign w:val="center"/>
          </w:tcPr>
          <w:p w14:paraId="1172A127"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horyzontalne PSRT WP</w:t>
            </w:r>
          </w:p>
        </w:tc>
      </w:tr>
      <w:tr w:rsidR="00237760" w:rsidRPr="00237760" w14:paraId="1EC7A4BE" w14:textId="77777777" w:rsidTr="000D3F32">
        <w:trPr>
          <w:gridAfter w:val="1"/>
          <w:wAfter w:w="6" w:type="dxa"/>
          <w:trHeight w:val="85"/>
          <w:tblHeader/>
        </w:trPr>
        <w:tc>
          <w:tcPr>
            <w:tcW w:w="3974" w:type="dxa"/>
            <w:vMerge/>
            <w:tcBorders>
              <w:top w:val="single" w:sz="4" w:space="0" w:color="BDD6EE" w:themeColor="accent1" w:themeTint="66"/>
              <w:left w:val="nil"/>
              <w:bottom w:val="single" w:sz="4" w:space="0" w:color="BDD6EE" w:themeColor="accent1" w:themeTint="66"/>
              <w:right w:val="nil"/>
            </w:tcBorders>
            <w:shd w:val="clear" w:color="auto" w:fill="auto"/>
            <w:vAlign w:val="center"/>
            <w:hideMark/>
          </w:tcPr>
          <w:p w14:paraId="27BCF873" w14:textId="77777777" w:rsidR="00710815" w:rsidRPr="00237760" w:rsidRDefault="00710815" w:rsidP="009367B4">
            <w:pPr>
              <w:spacing w:after="0" w:line="240" w:lineRule="auto"/>
              <w:jc w:val="left"/>
              <w:rPr>
                <w:rFonts w:ascii="Arial" w:hAnsi="Arial" w:cs="Arial"/>
                <w:b/>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179410FF"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265CC97A"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77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50AA01B2"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7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250FE23B"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6D66BFBB"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nil"/>
            </w:tcBorders>
            <w:shd w:val="clear" w:color="auto" w:fill="auto"/>
          </w:tcPr>
          <w:p w14:paraId="19D66205"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nil"/>
            </w:tcBorders>
            <w:shd w:val="clear" w:color="auto" w:fill="auto"/>
          </w:tcPr>
          <w:p w14:paraId="507B21AC"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4.</w:t>
            </w:r>
          </w:p>
        </w:tc>
      </w:tr>
      <w:tr w:rsidR="00237760" w:rsidRPr="00237760" w14:paraId="54D0816B" w14:textId="77777777" w:rsidTr="000D3F32">
        <w:trPr>
          <w:gridAfter w:val="1"/>
          <w:wAfter w:w="6" w:type="dxa"/>
          <w:trHeight w:val="50"/>
        </w:trPr>
        <w:tc>
          <w:tcPr>
            <w:tcW w:w="3974"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6C07DE05"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Uzupełnienie sieci transportowej, w tym TEN-T</w:t>
            </w: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04DD4D39" w14:textId="77777777" w:rsidR="00710815" w:rsidRPr="00237760" w:rsidRDefault="00710815"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38E82A4C" w14:textId="77777777" w:rsidR="00710815" w:rsidRPr="00237760" w:rsidRDefault="00710815" w:rsidP="009367B4">
            <w:pPr>
              <w:spacing w:after="0" w:line="240" w:lineRule="auto"/>
              <w:jc w:val="left"/>
              <w:rPr>
                <w:rFonts w:ascii="Arial" w:hAnsi="Arial" w:cs="Arial"/>
                <w:color w:val="auto"/>
                <w:sz w:val="24"/>
                <w:szCs w:val="24"/>
              </w:rPr>
            </w:pPr>
          </w:p>
        </w:tc>
        <w:tc>
          <w:tcPr>
            <w:tcW w:w="77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3DAB6DFE" w14:textId="77777777" w:rsidR="00710815" w:rsidRPr="00237760" w:rsidRDefault="00710815" w:rsidP="009367B4">
            <w:pPr>
              <w:spacing w:after="0" w:line="240" w:lineRule="auto"/>
              <w:jc w:val="left"/>
              <w:rPr>
                <w:rFonts w:ascii="Arial" w:hAnsi="Arial" w:cs="Arial"/>
                <w:color w:val="auto"/>
                <w:sz w:val="24"/>
                <w:szCs w:val="24"/>
              </w:rPr>
            </w:pPr>
          </w:p>
        </w:tc>
        <w:tc>
          <w:tcPr>
            <w:tcW w:w="7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74A76E94" w14:textId="77777777" w:rsidR="00710815" w:rsidRPr="00237760" w:rsidRDefault="00710815"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564A24A4" w14:textId="77777777" w:rsidR="00710815" w:rsidRPr="00237760" w:rsidRDefault="00710815"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756C9199" w14:textId="77777777" w:rsidR="00710815" w:rsidRPr="00237760" w:rsidRDefault="00710815"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611A9B9B"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70234A5D" w14:textId="77777777" w:rsidTr="000D3F32">
        <w:trPr>
          <w:gridAfter w:val="1"/>
          <w:wAfter w:w="6" w:type="dxa"/>
          <w:trHeight w:val="14"/>
        </w:trPr>
        <w:tc>
          <w:tcPr>
            <w:tcW w:w="3974"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5E01C63A"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Skrócenie średniego czasu przejazdu między miastami wojewódzkimi</w:t>
            </w: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051E8F8B" w14:textId="77777777" w:rsidR="00710815" w:rsidRPr="00237760" w:rsidRDefault="00710815"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00756D44" w14:textId="77777777" w:rsidR="00710815" w:rsidRPr="00237760" w:rsidRDefault="00710815" w:rsidP="009367B4">
            <w:pPr>
              <w:spacing w:after="0" w:line="240" w:lineRule="auto"/>
              <w:jc w:val="left"/>
              <w:rPr>
                <w:rFonts w:ascii="Arial" w:hAnsi="Arial" w:cs="Arial"/>
                <w:color w:val="auto"/>
                <w:sz w:val="24"/>
                <w:szCs w:val="24"/>
              </w:rPr>
            </w:pPr>
          </w:p>
        </w:tc>
        <w:tc>
          <w:tcPr>
            <w:tcW w:w="77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33ED6BCC" w14:textId="77777777" w:rsidR="00710815" w:rsidRPr="00237760" w:rsidRDefault="00710815" w:rsidP="009367B4">
            <w:pPr>
              <w:spacing w:after="0" w:line="240" w:lineRule="auto"/>
              <w:jc w:val="left"/>
              <w:rPr>
                <w:rFonts w:ascii="Arial" w:hAnsi="Arial" w:cs="Arial"/>
                <w:color w:val="auto"/>
                <w:sz w:val="24"/>
                <w:szCs w:val="24"/>
              </w:rPr>
            </w:pPr>
          </w:p>
        </w:tc>
        <w:tc>
          <w:tcPr>
            <w:tcW w:w="72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364D3D63" w14:textId="77777777" w:rsidR="00710815" w:rsidRPr="00237760" w:rsidRDefault="00710815"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4C38E0DC" w14:textId="77777777" w:rsidR="00710815" w:rsidRPr="00237760" w:rsidRDefault="00710815"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3D172AA5" w14:textId="77777777" w:rsidR="00710815" w:rsidRPr="00237760" w:rsidRDefault="00710815"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3CCBC3CC"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43C434E4" w14:textId="77777777" w:rsidTr="000D3F32">
        <w:trPr>
          <w:gridAfter w:val="1"/>
          <w:wAfter w:w="6" w:type="dxa"/>
          <w:trHeight w:val="14"/>
        </w:trPr>
        <w:tc>
          <w:tcPr>
            <w:tcW w:w="3974" w:type="dxa"/>
            <w:tcBorders>
              <w:top w:val="single" w:sz="4" w:space="0" w:color="BDD6EE" w:themeColor="accent1" w:themeTint="66"/>
              <w:left w:val="nil"/>
              <w:bottom w:val="single" w:sz="12" w:space="0" w:color="002060"/>
              <w:right w:val="single" w:sz="4" w:space="0" w:color="BDD6EE" w:themeColor="accent1" w:themeTint="66"/>
            </w:tcBorders>
          </w:tcPr>
          <w:p w14:paraId="14E8C926"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Zwiększenie poziomu bezpieczeństwa ruchu</w:t>
            </w:r>
          </w:p>
        </w:tc>
        <w:tc>
          <w:tcPr>
            <w:tcW w:w="748"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auto"/>
          </w:tcPr>
          <w:p w14:paraId="417977EB" w14:textId="77777777" w:rsidR="00710815" w:rsidRPr="00237760" w:rsidRDefault="00710815"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auto"/>
            <w:vAlign w:val="center"/>
          </w:tcPr>
          <w:p w14:paraId="6BFA464A" w14:textId="77777777" w:rsidR="00710815" w:rsidRPr="00237760" w:rsidRDefault="00710815" w:rsidP="009367B4">
            <w:pPr>
              <w:spacing w:after="0" w:line="240" w:lineRule="auto"/>
              <w:jc w:val="left"/>
              <w:rPr>
                <w:rFonts w:ascii="Arial" w:hAnsi="Arial" w:cs="Arial"/>
                <w:color w:val="auto"/>
                <w:sz w:val="24"/>
                <w:szCs w:val="24"/>
              </w:rPr>
            </w:pPr>
          </w:p>
        </w:tc>
        <w:tc>
          <w:tcPr>
            <w:tcW w:w="772"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auto"/>
            <w:vAlign w:val="center"/>
          </w:tcPr>
          <w:p w14:paraId="7B676F81" w14:textId="77777777" w:rsidR="00710815" w:rsidRPr="00237760" w:rsidRDefault="00710815" w:rsidP="009367B4">
            <w:pPr>
              <w:spacing w:after="0" w:line="240" w:lineRule="auto"/>
              <w:jc w:val="left"/>
              <w:rPr>
                <w:rFonts w:ascii="Arial" w:hAnsi="Arial" w:cs="Arial"/>
                <w:color w:val="auto"/>
                <w:sz w:val="24"/>
                <w:szCs w:val="24"/>
              </w:rPr>
            </w:pPr>
          </w:p>
        </w:tc>
        <w:tc>
          <w:tcPr>
            <w:tcW w:w="725"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auto"/>
            <w:vAlign w:val="center"/>
          </w:tcPr>
          <w:p w14:paraId="4A2D93FC" w14:textId="77777777" w:rsidR="00710815" w:rsidRPr="00237760" w:rsidRDefault="00710815"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auto"/>
            <w:vAlign w:val="center"/>
          </w:tcPr>
          <w:p w14:paraId="51930895" w14:textId="77777777" w:rsidR="00710815" w:rsidRPr="00237760" w:rsidRDefault="00710815" w:rsidP="009367B4">
            <w:pPr>
              <w:spacing w:after="0" w:line="240" w:lineRule="auto"/>
              <w:jc w:val="left"/>
              <w:rPr>
                <w:rFonts w:ascii="Arial" w:hAnsi="Arial" w:cs="Arial"/>
                <w:color w:val="auto"/>
                <w:sz w:val="24"/>
                <w:szCs w:val="24"/>
              </w:rPr>
            </w:pPr>
          </w:p>
        </w:tc>
        <w:tc>
          <w:tcPr>
            <w:tcW w:w="748"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auto"/>
            <w:vAlign w:val="center"/>
          </w:tcPr>
          <w:p w14:paraId="10BD1466" w14:textId="77777777" w:rsidR="00710815" w:rsidRPr="00237760" w:rsidRDefault="00710815" w:rsidP="009367B4">
            <w:pPr>
              <w:spacing w:after="0" w:line="240" w:lineRule="auto"/>
              <w:jc w:val="left"/>
              <w:rPr>
                <w:rFonts w:ascii="Arial" w:hAnsi="Arial" w:cs="Arial"/>
                <w:color w:val="auto"/>
                <w:sz w:val="24"/>
                <w:szCs w:val="24"/>
              </w:rPr>
            </w:pPr>
          </w:p>
        </w:tc>
        <w:tc>
          <w:tcPr>
            <w:tcW w:w="749"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9CC2E5" w:themeFill="accent1" w:themeFillTint="99"/>
          </w:tcPr>
          <w:p w14:paraId="40C43F7B" w14:textId="77777777" w:rsidR="00710815" w:rsidRPr="00237760" w:rsidRDefault="00710815" w:rsidP="009367B4">
            <w:pPr>
              <w:spacing w:after="0" w:line="240" w:lineRule="auto"/>
              <w:jc w:val="left"/>
              <w:rPr>
                <w:rFonts w:ascii="Arial" w:hAnsi="Arial" w:cs="Arial"/>
                <w:color w:val="auto"/>
                <w:sz w:val="24"/>
                <w:szCs w:val="24"/>
              </w:rPr>
            </w:pPr>
          </w:p>
        </w:tc>
      </w:tr>
    </w:tbl>
    <w:p w14:paraId="592DD52F" w14:textId="55D131D7" w:rsidR="00710815" w:rsidRPr="00237760" w:rsidRDefault="00710815" w:rsidP="009367B4">
      <w:pPr>
        <w:jc w:val="left"/>
        <w:rPr>
          <w:rFonts w:ascii="Arial" w:hAnsi="Arial" w:cs="Arial"/>
          <w:color w:val="auto"/>
          <w:sz w:val="24"/>
          <w:szCs w:val="24"/>
        </w:rPr>
      </w:pPr>
      <w:r w:rsidRPr="00237760">
        <w:rPr>
          <w:rFonts w:ascii="Arial" w:hAnsi="Arial" w:cs="Arial"/>
          <w:color w:val="auto"/>
          <w:sz w:val="24"/>
          <w:szCs w:val="24"/>
        </w:rPr>
        <w:t>Źródło: opracowanie własne</w:t>
      </w:r>
      <w:r w:rsidR="00740A42" w:rsidRPr="00237760">
        <w:rPr>
          <w:rFonts w:ascii="Arial" w:hAnsi="Arial" w:cs="Arial"/>
          <w:color w:val="auto"/>
          <w:sz w:val="24"/>
          <w:szCs w:val="24"/>
        </w:rPr>
        <w:t xml:space="preserve"> na podstawie </w:t>
      </w:r>
      <w:r w:rsidR="00F311FF" w:rsidRPr="00237760">
        <w:rPr>
          <w:rFonts w:ascii="Arial" w:hAnsi="Arial" w:cs="Arial"/>
          <w:color w:val="auto"/>
          <w:sz w:val="24"/>
          <w:szCs w:val="24"/>
        </w:rPr>
        <w:t>PSRT WP</w:t>
      </w:r>
      <w:r w:rsidR="00740A42" w:rsidRPr="00237760">
        <w:rPr>
          <w:rFonts w:ascii="Arial" w:hAnsi="Arial" w:cs="Arial"/>
          <w:color w:val="auto"/>
          <w:sz w:val="24"/>
          <w:szCs w:val="24"/>
        </w:rPr>
        <w:t xml:space="preserve"> oraz Dokumentu Implementacyjnego do Strategii Rozwoju Transportu.</w:t>
      </w:r>
    </w:p>
    <w:p w14:paraId="2EB7EE91" w14:textId="77777777" w:rsidR="00710815" w:rsidRPr="00237760" w:rsidRDefault="00710815" w:rsidP="009367B4">
      <w:pPr>
        <w:pStyle w:val="Nagwek3"/>
        <w:rPr>
          <w:rFonts w:ascii="Arial" w:hAnsi="Arial" w:cs="Arial"/>
          <w:color w:val="auto"/>
          <w:sz w:val="24"/>
          <w:szCs w:val="24"/>
        </w:rPr>
      </w:pPr>
      <w:bookmarkStart w:id="215" w:name="_Toc101904151"/>
      <w:r w:rsidRPr="00237760">
        <w:rPr>
          <w:rFonts w:ascii="Arial" w:hAnsi="Arial" w:cs="Arial"/>
          <w:color w:val="auto"/>
          <w:sz w:val="24"/>
          <w:szCs w:val="24"/>
        </w:rPr>
        <w:t>Program Budowy Dróg Krajowych na lata 2014-2023 (z perspektywą do 2025 r.)</w:t>
      </w:r>
      <w:bookmarkEnd w:id="215"/>
    </w:p>
    <w:p w14:paraId="6147EA38" w14:textId="25BB9152" w:rsidR="00710815" w:rsidRPr="00237760" w:rsidRDefault="00710815"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 xml:space="preserve">Do </w:t>
      </w:r>
      <w:r w:rsidRPr="00237760">
        <w:rPr>
          <w:rFonts w:ascii="Arial" w:hAnsi="Arial" w:cs="Arial"/>
          <w:i/>
          <w:color w:val="auto"/>
          <w:sz w:val="24"/>
          <w:szCs w:val="24"/>
          <w:lang w:eastAsia="pl-PL"/>
        </w:rPr>
        <w:t>Programu Budowy Dróg Krajowych</w:t>
      </w:r>
      <w:r w:rsidRPr="00237760">
        <w:rPr>
          <w:rFonts w:ascii="Arial" w:hAnsi="Arial" w:cs="Arial"/>
          <w:color w:val="auto"/>
          <w:sz w:val="24"/>
          <w:szCs w:val="24"/>
          <w:lang w:eastAsia="pl-PL"/>
        </w:rPr>
        <w:t xml:space="preserve"> odnoszą się głównie kierunki rozwoju wyznaczone w celu pierwszym z </w:t>
      </w:r>
      <w:r w:rsidR="00F311FF" w:rsidRPr="00237760">
        <w:rPr>
          <w:rFonts w:ascii="Arial" w:hAnsi="Arial" w:cs="Arial"/>
          <w:color w:val="auto"/>
          <w:sz w:val="24"/>
          <w:szCs w:val="24"/>
          <w:lang w:eastAsia="pl-PL"/>
        </w:rPr>
        <w:t>PSRT WP</w:t>
      </w:r>
      <w:r w:rsidRPr="00237760">
        <w:rPr>
          <w:rFonts w:ascii="Arial" w:hAnsi="Arial" w:cs="Arial"/>
          <w:color w:val="auto"/>
          <w:sz w:val="24"/>
          <w:szCs w:val="24"/>
          <w:lang w:eastAsia="pl-PL"/>
        </w:rPr>
        <w:t>, a także czwartym celu horyzontalnym odnoszącym się do poprawy bezpieczeństwa</w:t>
      </w:r>
      <w:r w:rsidR="00740A42" w:rsidRPr="00237760">
        <w:rPr>
          <w:rFonts w:ascii="Arial" w:hAnsi="Arial" w:cs="Arial"/>
          <w:color w:val="auto"/>
          <w:sz w:val="24"/>
          <w:szCs w:val="24"/>
          <w:lang w:eastAsia="pl-PL"/>
        </w:rPr>
        <w:t xml:space="preserve"> (</w:t>
      </w:r>
      <w:r w:rsidR="00740A42" w:rsidRPr="00237760">
        <w:rPr>
          <w:rFonts w:ascii="Arial" w:hAnsi="Arial" w:cs="Arial"/>
          <w:color w:val="auto"/>
          <w:sz w:val="24"/>
          <w:szCs w:val="24"/>
          <w:lang w:eastAsia="pl-PL"/>
        </w:rPr>
        <w:fldChar w:fldCharType="begin"/>
      </w:r>
      <w:r w:rsidR="00740A42" w:rsidRPr="00237760">
        <w:rPr>
          <w:rFonts w:ascii="Arial" w:hAnsi="Arial" w:cs="Arial"/>
          <w:color w:val="auto"/>
          <w:sz w:val="24"/>
          <w:szCs w:val="24"/>
          <w:lang w:eastAsia="pl-PL"/>
        </w:rPr>
        <w:instrText xml:space="preserve"> REF _Ref101000851 \h </w:instrText>
      </w:r>
      <w:r w:rsidR="00237760" w:rsidRPr="00237760">
        <w:rPr>
          <w:rFonts w:ascii="Arial" w:hAnsi="Arial" w:cs="Arial"/>
          <w:color w:val="auto"/>
          <w:sz w:val="24"/>
          <w:szCs w:val="24"/>
          <w:lang w:eastAsia="pl-PL"/>
        </w:rPr>
        <w:instrText xml:space="preserve"> \* MERGEFORMAT </w:instrText>
      </w:r>
      <w:r w:rsidR="00740A42" w:rsidRPr="00237760">
        <w:rPr>
          <w:rFonts w:ascii="Arial" w:hAnsi="Arial" w:cs="Arial"/>
          <w:color w:val="auto"/>
          <w:sz w:val="24"/>
          <w:szCs w:val="24"/>
          <w:lang w:eastAsia="pl-PL"/>
        </w:rPr>
      </w:r>
      <w:r w:rsidR="00740A42" w:rsidRPr="00237760">
        <w:rPr>
          <w:rFonts w:ascii="Arial" w:hAnsi="Arial" w:cs="Arial"/>
          <w:color w:val="auto"/>
          <w:sz w:val="24"/>
          <w:szCs w:val="24"/>
          <w:lang w:eastAsia="pl-PL"/>
        </w:rPr>
        <w:fldChar w:fldCharType="separate"/>
      </w:r>
      <w:r w:rsidR="00E52C19" w:rsidRPr="00237760">
        <w:rPr>
          <w:rFonts w:ascii="Arial" w:hAnsi="Arial" w:cs="Arial"/>
          <w:color w:val="auto"/>
          <w:sz w:val="24"/>
          <w:szCs w:val="24"/>
        </w:rPr>
        <w:t xml:space="preserve">Tabela </w:t>
      </w:r>
      <w:r w:rsidR="00E52C19" w:rsidRPr="00237760">
        <w:rPr>
          <w:rFonts w:ascii="Arial" w:hAnsi="Arial" w:cs="Arial"/>
          <w:noProof/>
          <w:color w:val="auto"/>
          <w:sz w:val="24"/>
          <w:szCs w:val="24"/>
        </w:rPr>
        <w:t>31</w:t>
      </w:r>
      <w:r w:rsidR="00740A42" w:rsidRPr="00237760">
        <w:rPr>
          <w:rFonts w:ascii="Arial" w:hAnsi="Arial" w:cs="Arial"/>
          <w:color w:val="auto"/>
          <w:sz w:val="24"/>
          <w:szCs w:val="24"/>
          <w:lang w:eastAsia="pl-PL"/>
        </w:rPr>
        <w:fldChar w:fldCharType="end"/>
      </w:r>
      <w:r w:rsidR="00740A42" w:rsidRPr="00237760">
        <w:rPr>
          <w:rFonts w:ascii="Arial" w:hAnsi="Arial" w:cs="Arial"/>
          <w:color w:val="auto"/>
          <w:sz w:val="24"/>
          <w:szCs w:val="24"/>
          <w:lang w:eastAsia="pl-PL"/>
        </w:rPr>
        <w:t>)</w:t>
      </w:r>
      <w:r w:rsidRPr="00237760">
        <w:rPr>
          <w:rFonts w:ascii="Arial" w:hAnsi="Arial" w:cs="Arial"/>
          <w:color w:val="auto"/>
          <w:sz w:val="24"/>
          <w:szCs w:val="24"/>
          <w:lang w:eastAsia="pl-PL"/>
        </w:rPr>
        <w:t xml:space="preserve">. Każdy z celów dokumentu jest reprezentowany w dokumencie wojewódzkim. Tym samym uznaje się zapisy </w:t>
      </w:r>
      <w:r w:rsidR="00F311FF" w:rsidRPr="00237760">
        <w:rPr>
          <w:rFonts w:ascii="Arial" w:hAnsi="Arial" w:cs="Arial"/>
          <w:color w:val="auto"/>
          <w:sz w:val="24"/>
          <w:szCs w:val="24"/>
          <w:lang w:eastAsia="pl-PL"/>
        </w:rPr>
        <w:t>PSRT WP</w:t>
      </w:r>
      <w:r w:rsidRPr="00237760">
        <w:rPr>
          <w:rFonts w:ascii="Arial" w:hAnsi="Arial" w:cs="Arial"/>
          <w:color w:val="auto"/>
          <w:sz w:val="24"/>
          <w:szCs w:val="24"/>
          <w:lang w:eastAsia="pl-PL"/>
        </w:rPr>
        <w:t xml:space="preserve"> za spójne z omawianym Programem.</w:t>
      </w:r>
    </w:p>
    <w:p w14:paraId="2B17FBA4" w14:textId="38AA8451" w:rsidR="00710815" w:rsidRPr="00237760" w:rsidRDefault="00710815" w:rsidP="009367B4">
      <w:pPr>
        <w:pStyle w:val="Legenda"/>
        <w:keepNext/>
        <w:jc w:val="left"/>
        <w:rPr>
          <w:rFonts w:ascii="Arial" w:hAnsi="Arial" w:cs="Arial"/>
          <w:color w:val="auto"/>
          <w:sz w:val="24"/>
          <w:szCs w:val="24"/>
        </w:rPr>
      </w:pPr>
      <w:bookmarkStart w:id="216" w:name="_Ref101000851"/>
      <w:bookmarkStart w:id="217" w:name="_Toc101904272"/>
      <w:r w:rsidRPr="00237760">
        <w:rPr>
          <w:rFonts w:ascii="Arial" w:hAnsi="Arial" w:cs="Arial"/>
          <w:color w:val="auto"/>
          <w:sz w:val="24"/>
          <w:szCs w:val="24"/>
        </w:rPr>
        <w:t xml:space="preserve">Tabela </w:t>
      </w:r>
      <w:r w:rsidRPr="00237760">
        <w:rPr>
          <w:rFonts w:ascii="Arial" w:hAnsi="Arial" w:cs="Arial"/>
          <w:noProof/>
          <w:color w:val="auto"/>
          <w:sz w:val="24"/>
          <w:szCs w:val="24"/>
        </w:rPr>
        <w:fldChar w:fldCharType="begin"/>
      </w:r>
      <w:r w:rsidRPr="00237760">
        <w:rPr>
          <w:rFonts w:ascii="Arial" w:hAnsi="Arial" w:cs="Arial"/>
          <w:noProof/>
          <w:color w:val="auto"/>
          <w:sz w:val="24"/>
          <w:szCs w:val="24"/>
        </w:rPr>
        <w:instrText xml:space="preserve"> SEQ Tabela \* ARABIC </w:instrText>
      </w:r>
      <w:r w:rsidRPr="00237760">
        <w:rPr>
          <w:rFonts w:ascii="Arial" w:hAnsi="Arial" w:cs="Arial"/>
          <w:noProof/>
          <w:color w:val="auto"/>
          <w:sz w:val="24"/>
          <w:szCs w:val="24"/>
        </w:rPr>
        <w:fldChar w:fldCharType="separate"/>
      </w:r>
      <w:r w:rsidR="00762B20" w:rsidRPr="00237760">
        <w:rPr>
          <w:rFonts w:ascii="Arial" w:hAnsi="Arial" w:cs="Arial"/>
          <w:noProof/>
          <w:color w:val="auto"/>
          <w:sz w:val="24"/>
          <w:szCs w:val="24"/>
        </w:rPr>
        <w:t>31</w:t>
      </w:r>
      <w:r w:rsidRPr="00237760">
        <w:rPr>
          <w:rFonts w:ascii="Arial" w:hAnsi="Arial" w:cs="Arial"/>
          <w:noProof/>
          <w:color w:val="auto"/>
          <w:sz w:val="24"/>
          <w:szCs w:val="24"/>
        </w:rPr>
        <w:fldChar w:fldCharType="end"/>
      </w:r>
      <w:bookmarkEnd w:id="216"/>
      <w:r w:rsidR="00740A42" w:rsidRPr="00237760">
        <w:rPr>
          <w:rFonts w:ascii="Arial" w:hAnsi="Arial" w:cs="Arial"/>
          <w:noProof/>
          <w:color w:val="auto"/>
          <w:sz w:val="24"/>
          <w:szCs w:val="24"/>
        </w:rPr>
        <w:t>.</w:t>
      </w:r>
      <w:r w:rsidRPr="00237760">
        <w:rPr>
          <w:rFonts w:ascii="Arial" w:hAnsi="Arial" w:cs="Arial"/>
          <w:color w:val="auto"/>
          <w:sz w:val="24"/>
          <w:szCs w:val="24"/>
        </w:rPr>
        <w:t xml:space="preserve"> Ocena spójności </w:t>
      </w:r>
      <w:r w:rsidR="00F311FF" w:rsidRPr="00237760">
        <w:rPr>
          <w:rFonts w:ascii="Arial" w:hAnsi="Arial" w:cs="Arial"/>
          <w:color w:val="auto"/>
          <w:sz w:val="24"/>
          <w:szCs w:val="24"/>
        </w:rPr>
        <w:t>PSRT WP</w:t>
      </w:r>
      <w:r w:rsidRPr="00237760">
        <w:rPr>
          <w:rFonts w:ascii="Arial" w:hAnsi="Arial" w:cs="Arial"/>
          <w:color w:val="auto"/>
          <w:sz w:val="24"/>
          <w:szCs w:val="24"/>
        </w:rPr>
        <w:t xml:space="preserve"> z Programem Budowy Dróg Krajowych na lata 2014-2023 (z perspektywą do 2025r.)</w:t>
      </w:r>
      <w:bookmarkEnd w:id="217"/>
    </w:p>
    <w:tbl>
      <w:tblPr>
        <w:tblStyle w:val="Tabela-Siatka"/>
        <w:tblW w:w="9077" w:type="dxa"/>
        <w:tblInd w:w="-5"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57" w:type="dxa"/>
          <w:right w:w="57" w:type="dxa"/>
        </w:tblCellMar>
        <w:tblLook w:val="04A0" w:firstRow="1" w:lastRow="0" w:firstColumn="1" w:lastColumn="0" w:noHBand="0" w:noVBand="1"/>
        <w:tblCaption w:val="Tabela 31. Ocena spójności PSRT WP z Programem Budowy Dróg Krajowych na lata 2014-2023 (z perspektywą do 2025r.)"/>
        <w:tblDescription w:val="Tabela zawiera Cele szczegółowe, Cele podstawowe PSRT WP, Cele horyzontalne PSRT WP"/>
      </w:tblPr>
      <w:tblGrid>
        <w:gridCol w:w="5108"/>
        <w:gridCol w:w="563"/>
        <w:gridCol w:w="567"/>
        <w:gridCol w:w="567"/>
        <w:gridCol w:w="567"/>
        <w:gridCol w:w="567"/>
        <w:gridCol w:w="567"/>
        <w:gridCol w:w="571"/>
      </w:tblGrid>
      <w:tr w:rsidR="00237760" w:rsidRPr="00237760" w14:paraId="5215686D" w14:textId="77777777" w:rsidTr="000D3F32">
        <w:trPr>
          <w:trHeight w:val="80"/>
          <w:tblHeader/>
        </w:trPr>
        <w:tc>
          <w:tcPr>
            <w:tcW w:w="9077" w:type="dxa"/>
            <w:gridSpan w:val="8"/>
            <w:tcBorders>
              <w:top w:val="single" w:sz="12" w:space="0" w:color="002060"/>
              <w:left w:val="nil"/>
              <w:bottom w:val="single" w:sz="4" w:space="0" w:color="BDD6EE" w:themeColor="accent1" w:themeTint="66"/>
              <w:right w:val="nil"/>
            </w:tcBorders>
            <w:shd w:val="clear" w:color="auto" w:fill="auto"/>
            <w:vAlign w:val="center"/>
            <w:hideMark/>
          </w:tcPr>
          <w:p w14:paraId="521D88C9" w14:textId="35EDF9FB"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Program Budowy Dróg Krajowych na lata 2014-2023 (z perspektywą do 2025</w:t>
            </w:r>
            <w:r w:rsidR="005067E3">
              <w:rPr>
                <w:rFonts w:ascii="Arial" w:hAnsi="Arial" w:cs="Arial"/>
                <w:b/>
                <w:color w:val="auto"/>
                <w:sz w:val="24"/>
                <w:szCs w:val="24"/>
              </w:rPr>
              <w:t> </w:t>
            </w:r>
            <w:r w:rsidRPr="00237760">
              <w:rPr>
                <w:rFonts w:ascii="Arial" w:hAnsi="Arial" w:cs="Arial"/>
                <w:b/>
                <w:color w:val="auto"/>
                <w:sz w:val="24"/>
                <w:szCs w:val="24"/>
              </w:rPr>
              <w:t>r.)</w:t>
            </w:r>
          </w:p>
        </w:tc>
      </w:tr>
      <w:tr w:rsidR="00237760" w:rsidRPr="00237760" w14:paraId="04B5DE94" w14:textId="77777777" w:rsidTr="000D3F32">
        <w:trPr>
          <w:trHeight w:val="70"/>
          <w:tblHeader/>
        </w:trPr>
        <w:tc>
          <w:tcPr>
            <w:tcW w:w="5108" w:type="dxa"/>
            <w:vMerge w:val="restart"/>
            <w:tcBorders>
              <w:top w:val="nil"/>
              <w:left w:val="nil"/>
              <w:bottom w:val="single" w:sz="4" w:space="0" w:color="BDD6EE" w:themeColor="accent1" w:themeTint="66"/>
              <w:right w:val="nil"/>
            </w:tcBorders>
            <w:shd w:val="clear" w:color="auto" w:fill="auto"/>
            <w:vAlign w:val="center"/>
            <w:hideMark/>
          </w:tcPr>
          <w:p w14:paraId="1A53FC89"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szczegółowe</w:t>
            </w:r>
          </w:p>
        </w:tc>
        <w:tc>
          <w:tcPr>
            <w:tcW w:w="1697" w:type="dxa"/>
            <w:gridSpan w:val="3"/>
            <w:tcBorders>
              <w:top w:val="nil"/>
              <w:left w:val="nil"/>
              <w:bottom w:val="single" w:sz="4" w:space="0" w:color="BDD6EE" w:themeColor="accent1" w:themeTint="66"/>
              <w:right w:val="nil"/>
            </w:tcBorders>
            <w:shd w:val="clear" w:color="auto" w:fill="auto"/>
            <w:hideMark/>
          </w:tcPr>
          <w:p w14:paraId="230BCC91"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podstawowe PSRT WP</w:t>
            </w:r>
          </w:p>
        </w:tc>
        <w:tc>
          <w:tcPr>
            <w:tcW w:w="2268" w:type="dxa"/>
            <w:gridSpan w:val="4"/>
            <w:tcBorders>
              <w:top w:val="nil"/>
              <w:left w:val="nil"/>
              <w:bottom w:val="single" w:sz="4" w:space="0" w:color="BDD6EE" w:themeColor="accent1" w:themeTint="66"/>
              <w:right w:val="nil"/>
            </w:tcBorders>
            <w:shd w:val="clear" w:color="auto" w:fill="auto"/>
            <w:vAlign w:val="center"/>
            <w:hideMark/>
          </w:tcPr>
          <w:p w14:paraId="16B3A461"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horyzontalne PSRT WP</w:t>
            </w:r>
          </w:p>
        </w:tc>
      </w:tr>
      <w:tr w:rsidR="00237760" w:rsidRPr="00237760" w14:paraId="18C5A9FC" w14:textId="77777777" w:rsidTr="000D3F32">
        <w:trPr>
          <w:trHeight w:val="50"/>
          <w:tblHeader/>
        </w:trPr>
        <w:tc>
          <w:tcPr>
            <w:tcW w:w="5108" w:type="dxa"/>
            <w:vMerge/>
            <w:tcBorders>
              <w:top w:val="nil"/>
              <w:left w:val="nil"/>
              <w:bottom w:val="single" w:sz="4" w:space="0" w:color="BDD6EE" w:themeColor="accent1" w:themeTint="66"/>
              <w:right w:val="nil"/>
            </w:tcBorders>
            <w:shd w:val="clear" w:color="auto" w:fill="auto"/>
            <w:vAlign w:val="center"/>
            <w:hideMark/>
          </w:tcPr>
          <w:p w14:paraId="5028963A" w14:textId="77777777" w:rsidR="00710815" w:rsidRPr="00237760" w:rsidRDefault="00710815" w:rsidP="009367B4">
            <w:pPr>
              <w:spacing w:after="0" w:line="240" w:lineRule="auto"/>
              <w:jc w:val="left"/>
              <w:rPr>
                <w:rFonts w:ascii="Arial" w:hAnsi="Arial" w:cs="Arial"/>
                <w:b/>
                <w:color w:val="auto"/>
                <w:sz w:val="24"/>
                <w:szCs w:val="24"/>
              </w:rPr>
            </w:pPr>
          </w:p>
        </w:tc>
        <w:tc>
          <w:tcPr>
            <w:tcW w:w="56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hideMark/>
          </w:tcPr>
          <w:p w14:paraId="40180D55"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hideMark/>
          </w:tcPr>
          <w:p w14:paraId="75C43CAF"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hideMark/>
          </w:tcPr>
          <w:p w14:paraId="0458F85E"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hideMark/>
          </w:tcPr>
          <w:p w14:paraId="643CEC1D"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hideMark/>
          </w:tcPr>
          <w:p w14:paraId="103AF6B2"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nil"/>
            </w:tcBorders>
            <w:shd w:val="clear" w:color="auto" w:fill="auto"/>
            <w:hideMark/>
          </w:tcPr>
          <w:p w14:paraId="4116BC31"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nil"/>
            </w:tcBorders>
            <w:shd w:val="clear" w:color="auto" w:fill="auto"/>
            <w:hideMark/>
          </w:tcPr>
          <w:p w14:paraId="203E801D"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4.</w:t>
            </w:r>
          </w:p>
        </w:tc>
      </w:tr>
      <w:tr w:rsidR="00237760" w:rsidRPr="00237760" w14:paraId="0E06BB1C" w14:textId="77777777" w:rsidTr="000D3F32">
        <w:trPr>
          <w:trHeight w:val="55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hideMark/>
          </w:tcPr>
          <w:p w14:paraId="7216ED07"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1. Zwiększenie spójności sieci dróg krajowych (kontynuacja istniejących odcinków, budowa węzłów).</w:t>
            </w:r>
          </w:p>
        </w:tc>
        <w:tc>
          <w:tcPr>
            <w:tcW w:w="56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7490267E"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921A0D7"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A2435B0"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A2C9C1E"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C6E1C69"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2744EF78"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1AA383DF"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0C115547" w14:textId="77777777" w:rsidTr="000D3F32">
        <w:trPr>
          <w:trHeight w:val="1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hideMark/>
          </w:tcPr>
          <w:p w14:paraId="3344E462"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2. Wzmocnienie efektywności transportu drogowego (skrócenie średniego czasu przejazdów).</w:t>
            </w:r>
          </w:p>
        </w:tc>
        <w:tc>
          <w:tcPr>
            <w:tcW w:w="56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74FA5AD1"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437AEE40"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E12DD7F"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4C83F95"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613C06ED"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6E29D18"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4EB18A3E"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1EBE5D5D" w14:textId="77777777" w:rsidTr="000D3F32">
        <w:trPr>
          <w:trHeight w:val="1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hideMark/>
          </w:tcPr>
          <w:p w14:paraId="100135B9"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3. Wzrost bezpieczeństwa ruchu drogowego (redukcja liczby wypadków i ich ofiar).</w:t>
            </w:r>
          </w:p>
        </w:tc>
        <w:tc>
          <w:tcPr>
            <w:tcW w:w="56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1976C523"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C759BC4"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46E5960E"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0BA67A2"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3A2695CE"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54DE5A9"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48707ED4"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77C4BC11" w14:textId="77777777" w:rsidTr="000D3F32">
        <w:trPr>
          <w:trHeight w:val="14"/>
        </w:trPr>
        <w:tc>
          <w:tcPr>
            <w:tcW w:w="5108" w:type="dxa"/>
            <w:tcBorders>
              <w:top w:val="single" w:sz="4" w:space="0" w:color="BDD6EE" w:themeColor="accent1" w:themeTint="66"/>
              <w:left w:val="nil"/>
              <w:bottom w:val="single" w:sz="12" w:space="0" w:color="002060"/>
              <w:right w:val="single" w:sz="4" w:space="0" w:color="BDD6EE" w:themeColor="accent1" w:themeTint="66"/>
            </w:tcBorders>
            <w:hideMark/>
          </w:tcPr>
          <w:p w14:paraId="0810842B"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4. Poprawa dostępu do rynków i usług (połączenie miast wojewódzkich z Warszawą).</w:t>
            </w:r>
          </w:p>
        </w:tc>
        <w:tc>
          <w:tcPr>
            <w:tcW w:w="563"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9CC2E5" w:themeFill="accent1" w:themeFillTint="99"/>
          </w:tcPr>
          <w:p w14:paraId="7CAB0EC1"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vAlign w:val="center"/>
          </w:tcPr>
          <w:p w14:paraId="4961F79A"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vAlign w:val="center"/>
          </w:tcPr>
          <w:p w14:paraId="4E64A197"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vAlign w:val="center"/>
          </w:tcPr>
          <w:p w14:paraId="0598051C"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vAlign w:val="center"/>
          </w:tcPr>
          <w:p w14:paraId="3408C230"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vAlign w:val="center"/>
          </w:tcPr>
          <w:p w14:paraId="4F0E7C0F"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tcPr>
          <w:p w14:paraId="79BA365E" w14:textId="77777777" w:rsidR="00710815" w:rsidRPr="00237760" w:rsidRDefault="00710815" w:rsidP="009367B4">
            <w:pPr>
              <w:spacing w:after="0" w:line="240" w:lineRule="auto"/>
              <w:jc w:val="left"/>
              <w:rPr>
                <w:rFonts w:ascii="Arial" w:hAnsi="Arial" w:cs="Arial"/>
                <w:color w:val="auto"/>
                <w:sz w:val="24"/>
                <w:szCs w:val="24"/>
              </w:rPr>
            </w:pPr>
          </w:p>
        </w:tc>
      </w:tr>
    </w:tbl>
    <w:p w14:paraId="516FC532" w14:textId="03A9DDE6" w:rsidR="00710815" w:rsidRPr="00237760" w:rsidRDefault="00710815" w:rsidP="009367B4">
      <w:pPr>
        <w:jc w:val="left"/>
        <w:rPr>
          <w:rFonts w:ascii="Arial" w:hAnsi="Arial" w:cs="Arial"/>
          <w:color w:val="auto"/>
          <w:sz w:val="24"/>
          <w:szCs w:val="24"/>
        </w:rPr>
      </w:pPr>
      <w:r w:rsidRPr="00237760">
        <w:rPr>
          <w:rFonts w:ascii="Arial" w:hAnsi="Arial" w:cs="Arial"/>
          <w:color w:val="auto"/>
          <w:sz w:val="24"/>
          <w:szCs w:val="24"/>
        </w:rPr>
        <w:t>Źródło: opracowanie własne</w:t>
      </w:r>
      <w:r w:rsidR="00740A42" w:rsidRPr="00237760">
        <w:rPr>
          <w:rFonts w:ascii="Arial" w:hAnsi="Arial" w:cs="Arial"/>
          <w:color w:val="auto"/>
          <w:sz w:val="24"/>
          <w:szCs w:val="24"/>
        </w:rPr>
        <w:t xml:space="preserve"> na podstawie </w:t>
      </w:r>
      <w:r w:rsidR="00F311FF" w:rsidRPr="00237760">
        <w:rPr>
          <w:rFonts w:ascii="Arial" w:hAnsi="Arial" w:cs="Arial"/>
          <w:color w:val="auto"/>
          <w:sz w:val="24"/>
          <w:szCs w:val="24"/>
        </w:rPr>
        <w:t>PSRT WP</w:t>
      </w:r>
      <w:r w:rsidR="00740A42" w:rsidRPr="00237760">
        <w:rPr>
          <w:rFonts w:ascii="Arial" w:hAnsi="Arial" w:cs="Arial"/>
          <w:color w:val="auto"/>
          <w:sz w:val="24"/>
          <w:szCs w:val="24"/>
        </w:rPr>
        <w:t xml:space="preserve"> oraz Programu Budowy Dróg Krajowych na lata 2014-2023.</w:t>
      </w:r>
    </w:p>
    <w:p w14:paraId="4E8837FA" w14:textId="77777777" w:rsidR="00A3022D" w:rsidRPr="00237760" w:rsidRDefault="00A3022D" w:rsidP="009367B4">
      <w:pPr>
        <w:pStyle w:val="Nagwek3"/>
        <w:rPr>
          <w:rFonts w:ascii="Arial" w:hAnsi="Arial" w:cs="Arial"/>
          <w:color w:val="auto"/>
          <w:sz w:val="24"/>
          <w:szCs w:val="24"/>
        </w:rPr>
      </w:pPr>
      <w:bookmarkStart w:id="218" w:name="_Toc101904152"/>
      <w:r w:rsidRPr="00237760">
        <w:rPr>
          <w:rFonts w:ascii="Arial" w:hAnsi="Arial" w:cs="Arial"/>
          <w:color w:val="auto"/>
          <w:sz w:val="24"/>
          <w:szCs w:val="24"/>
        </w:rPr>
        <w:lastRenderedPageBreak/>
        <w:t>Program Budowy Dróg Krajowych do 2030 r. (z perspektywą do 2033 r.)</w:t>
      </w:r>
      <w:bookmarkEnd w:id="218"/>
    </w:p>
    <w:p w14:paraId="6E587DF4" w14:textId="27C2CA90" w:rsidR="00A3022D" w:rsidRPr="00237760" w:rsidRDefault="00A3022D"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 xml:space="preserve">Do nowego projektu </w:t>
      </w:r>
      <w:r w:rsidRPr="00237760">
        <w:rPr>
          <w:rFonts w:ascii="Arial" w:hAnsi="Arial" w:cs="Arial"/>
          <w:i/>
          <w:color w:val="auto"/>
          <w:sz w:val="24"/>
          <w:szCs w:val="24"/>
          <w:lang w:eastAsia="pl-PL"/>
        </w:rPr>
        <w:t>Programu Budowy Dróg Krajowych</w:t>
      </w:r>
      <w:r w:rsidRPr="00237760">
        <w:rPr>
          <w:rFonts w:ascii="Arial" w:hAnsi="Arial" w:cs="Arial"/>
          <w:color w:val="auto"/>
          <w:sz w:val="24"/>
          <w:szCs w:val="24"/>
          <w:lang w:eastAsia="pl-PL"/>
        </w:rPr>
        <w:t xml:space="preserve"> odnoszą się głównie kierunki rozwoju wyznaczone w celu pierwszym z PSRT WP, a także czwartym celu horyzontalnym odnoszącym się do poprawy bezpieczeństwa (</w:t>
      </w:r>
      <w:r w:rsidRPr="00237760">
        <w:rPr>
          <w:rFonts w:ascii="Arial" w:hAnsi="Arial" w:cs="Arial"/>
          <w:color w:val="auto"/>
          <w:sz w:val="24"/>
          <w:szCs w:val="24"/>
          <w:lang w:eastAsia="pl-PL"/>
        </w:rPr>
        <w:fldChar w:fldCharType="begin"/>
      </w:r>
      <w:r w:rsidRPr="00237760">
        <w:rPr>
          <w:rFonts w:ascii="Arial" w:hAnsi="Arial" w:cs="Arial"/>
          <w:color w:val="auto"/>
          <w:sz w:val="24"/>
          <w:szCs w:val="24"/>
          <w:lang w:eastAsia="pl-PL"/>
        </w:rPr>
        <w:instrText xml:space="preserve"> REF _Ref101000851 \h </w:instrText>
      </w:r>
      <w:r w:rsidR="00237760" w:rsidRPr="00237760">
        <w:rPr>
          <w:rFonts w:ascii="Arial" w:hAnsi="Arial" w:cs="Arial"/>
          <w:color w:val="auto"/>
          <w:sz w:val="24"/>
          <w:szCs w:val="24"/>
          <w:lang w:eastAsia="pl-PL"/>
        </w:rPr>
        <w:instrText xml:space="preserve"> \* MERGEFORMAT </w:instrText>
      </w:r>
      <w:r w:rsidRPr="00237760">
        <w:rPr>
          <w:rFonts w:ascii="Arial" w:hAnsi="Arial" w:cs="Arial"/>
          <w:color w:val="auto"/>
          <w:sz w:val="24"/>
          <w:szCs w:val="24"/>
          <w:lang w:eastAsia="pl-PL"/>
        </w:rPr>
      </w:r>
      <w:r w:rsidRPr="00237760">
        <w:rPr>
          <w:rFonts w:ascii="Arial" w:hAnsi="Arial" w:cs="Arial"/>
          <w:color w:val="auto"/>
          <w:sz w:val="24"/>
          <w:szCs w:val="24"/>
          <w:lang w:eastAsia="pl-PL"/>
        </w:rPr>
        <w:fldChar w:fldCharType="separate"/>
      </w:r>
      <w:r w:rsidR="00E52C19" w:rsidRPr="00237760">
        <w:rPr>
          <w:rFonts w:ascii="Arial" w:hAnsi="Arial" w:cs="Arial"/>
          <w:color w:val="auto"/>
          <w:sz w:val="24"/>
          <w:szCs w:val="24"/>
        </w:rPr>
        <w:t xml:space="preserve">Tabela </w:t>
      </w:r>
      <w:r w:rsidR="00E52C19" w:rsidRPr="00237760">
        <w:rPr>
          <w:rFonts w:ascii="Arial" w:hAnsi="Arial" w:cs="Arial"/>
          <w:noProof/>
          <w:color w:val="auto"/>
          <w:sz w:val="24"/>
          <w:szCs w:val="24"/>
        </w:rPr>
        <w:t>31</w:t>
      </w:r>
      <w:r w:rsidRPr="00237760">
        <w:rPr>
          <w:rFonts w:ascii="Arial" w:hAnsi="Arial" w:cs="Arial"/>
          <w:color w:val="auto"/>
          <w:sz w:val="24"/>
          <w:szCs w:val="24"/>
          <w:lang w:eastAsia="pl-PL"/>
        </w:rPr>
        <w:fldChar w:fldCharType="end"/>
      </w:r>
      <w:r w:rsidRPr="00237760">
        <w:rPr>
          <w:rFonts w:ascii="Arial" w:hAnsi="Arial" w:cs="Arial"/>
          <w:color w:val="auto"/>
          <w:sz w:val="24"/>
          <w:szCs w:val="24"/>
          <w:lang w:eastAsia="pl-PL"/>
        </w:rPr>
        <w:t>). Każdy z celów dokumentu jest reprezentowany w dokumencie wojewódzkim. Tym samym uznaje się zapisy PSRT WP za spójne z omawianym Programem.</w:t>
      </w:r>
    </w:p>
    <w:p w14:paraId="53E4F413" w14:textId="42CD360C" w:rsidR="00A3022D" w:rsidRPr="00280442" w:rsidRDefault="00A3022D" w:rsidP="00280442">
      <w:pPr>
        <w:pStyle w:val="Legenda"/>
        <w:rPr>
          <w:rFonts w:ascii="Arial" w:hAnsi="Arial" w:cs="Arial"/>
          <w:color w:val="auto"/>
          <w:sz w:val="24"/>
          <w:szCs w:val="24"/>
        </w:rPr>
      </w:pPr>
      <w:bookmarkStart w:id="219" w:name="_Toc101904273"/>
      <w:r w:rsidRPr="00280442">
        <w:rPr>
          <w:rFonts w:ascii="Arial" w:hAnsi="Arial" w:cs="Arial"/>
          <w:color w:val="auto"/>
          <w:sz w:val="24"/>
          <w:szCs w:val="24"/>
        </w:rPr>
        <w:t xml:space="preserve">Tabela </w:t>
      </w:r>
      <w:r w:rsidRPr="00280442">
        <w:rPr>
          <w:rFonts w:ascii="Arial" w:hAnsi="Arial" w:cs="Arial"/>
          <w:noProof/>
          <w:color w:val="auto"/>
          <w:sz w:val="24"/>
          <w:szCs w:val="24"/>
        </w:rPr>
        <w:fldChar w:fldCharType="begin"/>
      </w:r>
      <w:r w:rsidRPr="00280442">
        <w:rPr>
          <w:rFonts w:ascii="Arial" w:hAnsi="Arial" w:cs="Arial"/>
          <w:noProof/>
          <w:color w:val="auto"/>
          <w:sz w:val="24"/>
          <w:szCs w:val="24"/>
        </w:rPr>
        <w:instrText xml:space="preserve"> SEQ Tabela \* ARABIC </w:instrText>
      </w:r>
      <w:r w:rsidRPr="00280442">
        <w:rPr>
          <w:rFonts w:ascii="Arial" w:hAnsi="Arial" w:cs="Arial"/>
          <w:noProof/>
          <w:color w:val="auto"/>
          <w:sz w:val="24"/>
          <w:szCs w:val="24"/>
        </w:rPr>
        <w:fldChar w:fldCharType="separate"/>
      </w:r>
      <w:r w:rsidR="00762B20" w:rsidRPr="00280442">
        <w:rPr>
          <w:rFonts w:ascii="Arial" w:hAnsi="Arial" w:cs="Arial"/>
          <w:noProof/>
          <w:color w:val="auto"/>
          <w:sz w:val="24"/>
          <w:szCs w:val="24"/>
        </w:rPr>
        <w:t>32</w:t>
      </w:r>
      <w:r w:rsidRPr="00280442">
        <w:rPr>
          <w:rFonts w:ascii="Arial" w:hAnsi="Arial" w:cs="Arial"/>
          <w:noProof/>
          <w:color w:val="auto"/>
          <w:sz w:val="24"/>
          <w:szCs w:val="24"/>
        </w:rPr>
        <w:fldChar w:fldCharType="end"/>
      </w:r>
      <w:r w:rsidRPr="00280442">
        <w:rPr>
          <w:rFonts w:ascii="Arial" w:hAnsi="Arial" w:cs="Arial"/>
          <w:noProof/>
          <w:color w:val="auto"/>
          <w:sz w:val="24"/>
          <w:szCs w:val="24"/>
        </w:rPr>
        <w:t>.</w:t>
      </w:r>
      <w:r w:rsidRPr="00280442">
        <w:rPr>
          <w:rFonts w:ascii="Arial" w:hAnsi="Arial" w:cs="Arial"/>
          <w:color w:val="auto"/>
          <w:sz w:val="24"/>
          <w:szCs w:val="24"/>
        </w:rPr>
        <w:t xml:space="preserve"> Ocena spójności PSRT WP z Programem Budowy Dróg Krajowych na lata 2014-2023 (z perspektywą do 2025</w:t>
      </w:r>
      <w:r w:rsidR="00280442">
        <w:rPr>
          <w:rFonts w:ascii="Arial" w:hAnsi="Arial" w:cs="Arial"/>
          <w:color w:val="auto"/>
          <w:sz w:val="24"/>
          <w:szCs w:val="24"/>
        </w:rPr>
        <w:t xml:space="preserve"> </w:t>
      </w:r>
      <w:r w:rsidRPr="00280442">
        <w:rPr>
          <w:rFonts w:ascii="Arial" w:hAnsi="Arial" w:cs="Arial"/>
          <w:color w:val="auto"/>
          <w:sz w:val="24"/>
          <w:szCs w:val="24"/>
        </w:rPr>
        <w:t>r.)</w:t>
      </w:r>
      <w:bookmarkEnd w:id="219"/>
    </w:p>
    <w:tbl>
      <w:tblPr>
        <w:tblStyle w:val="Tabela-Siatka"/>
        <w:tblW w:w="9077" w:type="dxa"/>
        <w:tblInd w:w="-5"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57" w:type="dxa"/>
          <w:right w:w="57" w:type="dxa"/>
        </w:tblCellMar>
        <w:tblLook w:val="04A0" w:firstRow="1" w:lastRow="0" w:firstColumn="1" w:lastColumn="0" w:noHBand="0" w:noVBand="1"/>
        <w:tblCaption w:val="Tabela 32. Ocena spójności PSRT WP z Programem Budowy Dróg Krajowych na lata 2014-2023 (z perspektywą do 2025 r.)"/>
        <w:tblDescription w:val="Tabela zawiera Cele szczegółowe, Cele podstawowe PSRT WP, Cele horyzontalne PSRT WP"/>
      </w:tblPr>
      <w:tblGrid>
        <w:gridCol w:w="5108"/>
        <w:gridCol w:w="563"/>
        <w:gridCol w:w="567"/>
        <w:gridCol w:w="567"/>
        <w:gridCol w:w="567"/>
        <w:gridCol w:w="567"/>
        <w:gridCol w:w="567"/>
        <w:gridCol w:w="571"/>
      </w:tblGrid>
      <w:tr w:rsidR="00237760" w:rsidRPr="00237760" w14:paraId="361115A1" w14:textId="77777777" w:rsidTr="000D3F32">
        <w:trPr>
          <w:trHeight w:val="80"/>
          <w:tblHeader/>
        </w:trPr>
        <w:tc>
          <w:tcPr>
            <w:tcW w:w="9077" w:type="dxa"/>
            <w:gridSpan w:val="8"/>
            <w:tcBorders>
              <w:top w:val="single" w:sz="12" w:space="0" w:color="002060"/>
              <w:left w:val="nil"/>
              <w:bottom w:val="single" w:sz="4" w:space="0" w:color="BDD6EE" w:themeColor="accent1" w:themeTint="66"/>
              <w:right w:val="nil"/>
            </w:tcBorders>
            <w:shd w:val="clear" w:color="auto" w:fill="auto"/>
            <w:vAlign w:val="center"/>
            <w:hideMark/>
          </w:tcPr>
          <w:p w14:paraId="11744F40" w14:textId="1E9EC097" w:rsidR="00A3022D" w:rsidRPr="00237760" w:rsidRDefault="00A3022D"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Program Budowy Dróg Krajowych na lata 2014-2023 (z perspektywą do 2025</w:t>
            </w:r>
            <w:r w:rsidR="005067E3">
              <w:rPr>
                <w:rFonts w:ascii="Arial" w:hAnsi="Arial" w:cs="Arial"/>
                <w:b/>
                <w:color w:val="auto"/>
                <w:sz w:val="24"/>
                <w:szCs w:val="24"/>
              </w:rPr>
              <w:t> </w:t>
            </w:r>
            <w:r w:rsidRPr="00237760">
              <w:rPr>
                <w:rFonts w:ascii="Arial" w:hAnsi="Arial" w:cs="Arial"/>
                <w:b/>
                <w:color w:val="auto"/>
                <w:sz w:val="24"/>
                <w:szCs w:val="24"/>
              </w:rPr>
              <w:t>r.)</w:t>
            </w:r>
          </w:p>
        </w:tc>
      </w:tr>
      <w:tr w:rsidR="00237760" w:rsidRPr="00237760" w14:paraId="60F5A842" w14:textId="77777777" w:rsidTr="000D3F32">
        <w:trPr>
          <w:trHeight w:val="70"/>
          <w:tblHeader/>
        </w:trPr>
        <w:tc>
          <w:tcPr>
            <w:tcW w:w="5108" w:type="dxa"/>
            <w:vMerge w:val="restart"/>
            <w:tcBorders>
              <w:top w:val="nil"/>
              <w:left w:val="nil"/>
              <w:bottom w:val="single" w:sz="4" w:space="0" w:color="BDD6EE" w:themeColor="accent1" w:themeTint="66"/>
              <w:right w:val="nil"/>
            </w:tcBorders>
            <w:shd w:val="clear" w:color="auto" w:fill="auto"/>
            <w:vAlign w:val="center"/>
            <w:hideMark/>
          </w:tcPr>
          <w:p w14:paraId="487790FD" w14:textId="77777777" w:rsidR="00A3022D" w:rsidRPr="00237760" w:rsidRDefault="00A3022D"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szczegółowe</w:t>
            </w:r>
          </w:p>
        </w:tc>
        <w:tc>
          <w:tcPr>
            <w:tcW w:w="1697" w:type="dxa"/>
            <w:gridSpan w:val="3"/>
            <w:tcBorders>
              <w:top w:val="nil"/>
              <w:left w:val="nil"/>
              <w:bottom w:val="single" w:sz="4" w:space="0" w:color="BDD6EE" w:themeColor="accent1" w:themeTint="66"/>
              <w:right w:val="nil"/>
            </w:tcBorders>
            <w:shd w:val="clear" w:color="auto" w:fill="auto"/>
            <w:hideMark/>
          </w:tcPr>
          <w:p w14:paraId="2E020909" w14:textId="77777777" w:rsidR="00A3022D" w:rsidRPr="00237760" w:rsidRDefault="00A3022D"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podstawowe PSRT WP</w:t>
            </w:r>
          </w:p>
        </w:tc>
        <w:tc>
          <w:tcPr>
            <w:tcW w:w="2272" w:type="dxa"/>
            <w:gridSpan w:val="4"/>
            <w:tcBorders>
              <w:top w:val="nil"/>
              <w:left w:val="nil"/>
              <w:bottom w:val="single" w:sz="4" w:space="0" w:color="BDD6EE" w:themeColor="accent1" w:themeTint="66"/>
              <w:right w:val="nil"/>
            </w:tcBorders>
            <w:shd w:val="clear" w:color="auto" w:fill="auto"/>
            <w:vAlign w:val="center"/>
            <w:hideMark/>
          </w:tcPr>
          <w:p w14:paraId="1F2170EB" w14:textId="77777777" w:rsidR="00A3022D" w:rsidRPr="00237760" w:rsidRDefault="00A3022D"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horyzontalne PSRT WP</w:t>
            </w:r>
          </w:p>
        </w:tc>
      </w:tr>
      <w:tr w:rsidR="00237760" w:rsidRPr="00237760" w14:paraId="07BEC1BC" w14:textId="77777777" w:rsidTr="000D3F32">
        <w:trPr>
          <w:trHeight w:val="50"/>
          <w:tblHeader/>
        </w:trPr>
        <w:tc>
          <w:tcPr>
            <w:tcW w:w="5108" w:type="dxa"/>
            <w:vMerge/>
            <w:tcBorders>
              <w:top w:val="nil"/>
              <w:left w:val="nil"/>
              <w:bottom w:val="single" w:sz="4" w:space="0" w:color="BDD6EE" w:themeColor="accent1" w:themeTint="66"/>
              <w:right w:val="nil"/>
            </w:tcBorders>
            <w:shd w:val="clear" w:color="auto" w:fill="auto"/>
            <w:vAlign w:val="center"/>
            <w:hideMark/>
          </w:tcPr>
          <w:p w14:paraId="4B44D15B" w14:textId="77777777" w:rsidR="00A3022D" w:rsidRPr="00237760" w:rsidRDefault="00A3022D" w:rsidP="009367B4">
            <w:pPr>
              <w:spacing w:after="0" w:line="240" w:lineRule="auto"/>
              <w:jc w:val="left"/>
              <w:rPr>
                <w:rFonts w:ascii="Arial" w:hAnsi="Arial" w:cs="Arial"/>
                <w:b/>
                <w:color w:val="auto"/>
                <w:sz w:val="24"/>
                <w:szCs w:val="24"/>
              </w:rPr>
            </w:pPr>
          </w:p>
        </w:tc>
        <w:tc>
          <w:tcPr>
            <w:tcW w:w="56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hideMark/>
          </w:tcPr>
          <w:p w14:paraId="2A2060AF" w14:textId="77777777" w:rsidR="00A3022D" w:rsidRPr="00237760" w:rsidRDefault="00A3022D"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hideMark/>
          </w:tcPr>
          <w:p w14:paraId="3729DE22" w14:textId="77777777" w:rsidR="00A3022D" w:rsidRPr="00237760" w:rsidRDefault="00A3022D"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hideMark/>
          </w:tcPr>
          <w:p w14:paraId="5C3B9FE8" w14:textId="77777777" w:rsidR="00A3022D" w:rsidRPr="00237760" w:rsidRDefault="00A3022D"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hideMark/>
          </w:tcPr>
          <w:p w14:paraId="76727426" w14:textId="77777777" w:rsidR="00A3022D" w:rsidRPr="00237760" w:rsidRDefault="00A3022D"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hideMark/>
          </w:tcPr>
          <w:p w14:paraId="1FDED316" w14:textId="77777777" w:rsidR="00A3022D" w:rsidRPr="00237760" w:rsidRDefault="00A3022D"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nil"/>
            </w:tcBorders>
            <w:shd w:val="clear" w:color="auto" w:fill="auto"/>
            <w:hideMark/>
          </w:tcPr>
          <w:p w14:paraId="4254C171" w14:textId="77777777" w:rsidR="00A3022D" w:rsidRPr="00237760" w:rsidRDefault="00A3022D"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571" w:type="dxa"/>
            <w:tcBorders>
              <w:top w:val="single" w:sz="4" w:space="0" w:color="BDD6EE" w:themeColor="accent1" w:themeTint="66"/>
              <w:left w:val="single" w:sz="4" w:space="0" w:color="BDD6EE" w:themeColor="accent1" w:themeTint="66"/>
              <w:bottom w:val="single" w:sz="4" w:space="0" w:color="BDD6EE" w:themeColor="accent1" w:themeTint="66"/>
              <w:right w:val="nil"/>
            </w:tcBorders>
            <w:shd w:val="clear" w:color="auto" w:fill="auto"/>
            <w:hideMark/>
          </w:tcPr>
          <w:p w14:paraId="488DECB5" w14:textId="77777777" w:rsidR="00A3022D" w:rsidRPr="00237760" w:rsidRDefault="00A3022D"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4.</w:t>
            </w:r>
          </w:p>
        </w:tc>
      </w:tr>
      <w:tr w:rsidR="00237760" w:rsidRPr="00237760" w14:paraId="39C1949E" w14:textId="77777777" w:rsidTr="000D3F32">
        <w:trPr>
          <w:trHeight w:val="462"/>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hideMark/>
          </w:tcPr>
          <w:p w14:paraId="3C1B04F1" w14:textId="77777777" w:rsidR="00A3022D" w:rsidRPr="00237760" w:rsidRDefault="00A3022D"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1. Zwiększenie spójności sieci dróg krajowych klasy A i S (uzupełnienie istniejących odcinków).</w:t>
            </w:r>
          </w:p>
        </w:tc>
        <w:tc>
          <w:tcPr>
            <w:tcW w:w="56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73995B81" w14:textId="77777777" w:rsidR="00A3022D" w:rsidRPr="00237760" w:rsidRDefault="00A3022D"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D58486A" w14:textId="77777777" w:rsidR="00A3022D" w:rsidRPr="00237760" w:rsidRDefault="00A3022D"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EDF01B9" w14:textId="77777777" w:rsidR="00A3022D" w:rsidRPr="00237760" w:rsidRDefault="00A3022D"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6C51C94E" w14:textId="77777777" w:rsidR="00A3022D" w:rsidRPr="00237760" w:rsidRDefault="00A3022D"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8A4B0E5" w14:textId="77777777" w:rsidR="00A3022D" w:rsidRPr="00237760" w:rsidRDefault="00A3022D"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012308E7" w14:textId="77777777" w:rsidR="00A3022D" w:rsidRPr="00237760" w:rsidRDefault="00A3022D" w:rsidP="009367B4">
            <w:pPr>
              <w:spacing w:after="0" w:line="240" w:lineRule="auto"/>
              <w:jc w:val="left"/>
              <w:rPr>
                <w:rFonts w:ascii="Arial" w:hAnsi="Arial" w:cs="Arial"/>
                <w:color w:val="auto"/>
                <w:sz w:val="24"/>
                <w:szCs w:val="24"/>
              </w:rPr>
            </w:pPr>
          </w:p>
        </w:tc>
        <w:tc>
          <w:tcPr>
            <w:tcW w:w="57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381932E0" w14:textId="77777777" w:rsidR="00A3022D" w:rsidRPr="00237760" w:rsidRDefault="00A3022D" w:rsidP="009367B4">
            <w:pPr>
              <w:spacing w:after="0" w:line="240" w:lineRule="auto"/>
              <w:jc w:val="left"/>
              <w:rPr>
                <w:rFonts w:ascii="Arial" w:hAnsi="Arial" w:cs="Arial"/>
                <w:color w:val="auto"/>
                <w:sz w:val="24"/>
                <w:szCs w:val="24"/>
              </w:rPr>
            </w:pPr>
          </w:p>
        </w:tc>
      </w:tr>
      <w:tr w:rsidR="00237760" w:rsidRPr="00237760" w14:paraId="5480CBCB" w14:textId="77777777" w:rsidTr="000D3F32">
        <w:trPr>
          <w:trHeight w:val="1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hideMark/>
          </w:tcPr>
          <w:p w14:paraId="526F3D26" w14:textId="77777777" w:rsidR="00A3022D" w:rsidRPr="00237760" w:rsidRDefault="00A3022D"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2. Wzmocnienie efektywności transportu drogowego (skrócenie średniego czasu przejazdu) oraz poprawa dostępności komunikacyjnej miast i regionów.</w:t>
            </w:r>
          </w:p>
        </w:tc>
        <w:tc>
          <w:tcPr>
            <w:tcW w:w="56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1089CD26" w14:textId="77777777" w:rsidR="00A3022D" w:rsidRPr="00237760" w:rsidRDefault="00A3022D"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118FE554" w14:textId="77777777" w:rsidR="00A3022D" w:rsidRPr="00237760" w:rsidRDefault="00A3022D"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85D75AC" w14:textId="77777777" w:rsidR="00A3022D" w:rsidRPr="00237760" w:rsidRDefault="00A3022D"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4781D21" w14:textId="77777777" w:rsidR="00A3022D" w:rsidRPr="00237760" w:rsidRDefault="00A3022D"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F024611" w14:textId="77777777" w:rsidR="00A3022D" w:rsidRPr="00237760" w:rsidRDefault="00A3022D"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546D429" w14:textId="77777777" w:rsidR="00A3022D" w:rsidRPr="00237760" w:rsidRDefault="00A3022D" w:rsidP="009367B4">
            <w:pPr>
              <w:spacing w:after="0" w:line="240" w:lineRule="auto"/>
              <w:jc w:val="left"/>
              <w:rPr>
                <w:rFonts w:ascii="Arial" w:hAnsi="Arial" w:cs="Arial"/>
                <w:color w:val="auto"/>
                <w:sz w:val="24"/>
                <w:szCs w:val="24"/>
              </w:rPr>
            </w:pPr>
          </w:p>
        </w:tc>
        <w:tc>
          <w:tcPr>
            <w:tcW w:w="57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39462EDE" w14:textId="77777777" w:rsidR="00A3022D" w:rsidRPr="00237760" w:rsidRDefault="00A3022D" w:rsidP="009367B4">
            <w:pPr>
              <w:spacing w:after="0" w:line="240" w:lineRule="auto"/>
              <w:jc w:val="left"/>
              <w:rPr>
                <w:rFonts w:ascii="Arial" w:hAnsi="Arial" w:cs="Arial"/>
                <w:color w:val="auto"/>
                <w:sz w:val="24"/>
                <w:szCs w:val="24"/>
              </w:rPr>
            </w:pPr>
          </w:p>
        </w:tc>
      </w:tr>
      <w:tr w:rsidR="00237760" w:rsidRPr="00237760" w14:paraId="705E20CF" w14:textId="77777777" w:rsidTr="000D3F32">
        <w:trPr>
          <w:trHeight w:val="1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hideMark/>
          </w:tcPr>
          <w:p w14:paraId="6C172015" w14:textId="77777777" w:rsidR="00A3022D" w:rsidRPr="00237760" w:rsidRDefault="00A3022D"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3. Wzrost bezpieczeństwa ruchu drogowego (redukcja liczby wypadków i ich ofiar)</w:t>
            </w:r>
          </w:p>
        </w:tc>
        <w:tc>
          <w:tcPr>
            <w:tcW w:w="56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4E36B0B3" w14:textId="77777777" w:rsidR="00A3022D" w:rsidRPr="00237760" w:rsidRDefault="00A3022D"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2325B299" w14:textId="77777777" w:rsidR="00A3022D" w:rsidRPr="00237760" w:rsidRDefault="00A3022D"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8415CD0" w14:textId="77777777" w:rsidR="00A3022D" w:rsidRPr="00237760" w:rsidRDefault="00A3022D"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E929178" w14:textId="77777777" w:rsidR="00A3022D" w:rsidRPr="00237760" w:rsidRDefault="00A3022D"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7E396D0" w14:textId="77777777" w:rsidR="00A3022D" w:rsidRPr="00237760" w:rsidRDefault="00A3022D"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11D8AE5" w14:textId="77777777" w:rsidR="00A3022D" w:rsidRPr="00237760" w:rsidRDefault="00A3022D" w:rsidP="009367B4">
            <w:pPr>
              <w:spacing w:after="0" w:line="240" w:lineRule="auto"/>
              <w:jc w:val="left"/>
              <w:rPr>
                <w:rFonts w:ascii="Arial" w:hAnsi="Arial" w:cs="Arial"/>
                <w:color w:val="auto"/>
                <w:sz w:val="24"/>
                <w:szCs w:val="24"/>
              </w:rPr>
            </w:pPr>
          </w:p>
        </w:tc>
        <w:tc>
          <w:tcPr>
            <w:tcW w:w="57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75664B27" w14:textId="77777777" w:rsidR="00A3022D" w:rsidRPr="00237760" w:rsidRDefault="00A3022D" w:rsidP="009367B4">
            <w:pPr>
              <w:spacing w:after="0" w:line="240" w:lineRule="auto"/>
              <w:jc w:val="left"/>
              <w:rPr>
                <w:rFonts w:ascii="Arial" w:hAnsi="Arial" w:cs="Arial"/>
                <w:color w:val="auto"/>
                <w:sz w:val="24"/>
                <w:szCs w:val="24"/>
              </w:rPr>
            </w:pPr>
          </w:p>
        </w:tc>
      </w:tr>
    </w:tbl>
    <w:p w14:paraId="661D98F6" w14:textId="1B6E8073" w:rsidR="00A3022D" w:rsidRPr="00237760" w:rsidRDefault="00A3022D" w:rsidP="009367B4">
      <w:pPr>
        <w:jc w:val="left"/>
        <w:rPr>
          <w:rFonts w:ascii="Arial" w:hAnsi="Arial" w:cs="Arial"/>
          <w:color w:val="auto"/>
          <w:sz w:val="24"/>
          <w:szCs w:val="24"/>
        </w:rPr>
      </w:pPr>
      <w:r w:rsidRPr="00237760">
        <w:rPr>
          <w:rFonts w:ascii="Arial" w:hAnsi="Arial" w:cs="Arial"/>
          <w:color w:val="auto"/>
          <w:sz w:val="24"/>
          <w:szCs w:val="24"/>
        </w:rPr>
        <w:t>Źródło: opracowanie własne na podstawie PSRT WP oraz Programu Budowy Dróg Krajowych do 2030 r. (z perspektywą do 2033 r.), Ministerstwo Infrastruktury, sierpień 2021, projekt.</w:t>
      </w:r>
    </w:p>
    <w:p w14:paraId="685D09E5" w14:textId="77777777" w:rsidR="00710815" w:rsidRPr="00237760" w:rsidRDefault="00710815" w:rsidP="009367B4">
      <w:pPr>
        <w:pStyle w:val="Nagwek3"/>
        <w:rPr>
          <w:rFonts w:ascii="Arial" w:hAnsi="Arial" w:cs="Arial"/>
          <w:color w:val="auto"/>
          <w:sz w:val="24"/>
          <w:szCs w:val="24"/>
        </w:rPr>
      </w:pPr>
      <w:bookmarkStart w:id="220" w:name="_Toc101904153"/>
      <w:r w:rsidRPr="00237760">
        <w:rPr>
          <w:rFonts w:ascii="Arial" w:hAnsi="Arial" w:cs="Arial"/>
          <w:color w:val="auto"/>
          <w:sz w:val="24"/>
          <w:szCs w:val="24"/>
        </w:rPr>
        <w:t>Strategie sektorowe</w:t>
      </w:r>
      <w:bookmarkEnd w:id="220"/>
    </w:p>
    <w:p w14:paraId="5451737A" w14:textId="391C5DB1" w:rsidR="00710815" w:rsidRPr="00237760" w:rsidRDefault="00710815"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 xml:space="preserve">Wśród pozostałych strategii sektorowych znajdują się następujące uchwalone dokumenty </w:t>
      </w:r>
      <w:r w:rsidR="00C605B2" w:rsidRPr="00237760">
        <w:rPr>
          <w:rFonts w:ascii="Arial" w:hAnsi="Arial" w:cs="Arial"/>
          <w:color w:val="auto"/>
          <w:sz w:val="24"/>
          <w:szCs w:val="24"/>
          <w:lang w:eastAsia="pl-PL"/>
        </w:rPr>
        <w:br/>
      </w:r>
      <w:r w:rsidRPr="00237760">
        <w:rPr>
          <w:rFonts w:ascii="Arial" w:hAnsi="Arial" w:cs="Arial"/>
          <w:color w:val="auto"/>
          <w:sz w:val="24"/>
          <w:szCs w:val="24"/>
          <w:lang w:eastAsia="pl-PL"/>
        </w:rPr>
        <w:t>i upublicznione projekty:</w:t>
      </w:r>
    </w:p>
    <w:p w14:paraId="53C7EEA1" w14:textId="6BFF9CF5" w:rsidR="00710815" w:rsidRPr="00237760" w:rsidRDefault="00710815" w:rsidP="009367B4">
      <w:pPr>
        <w:pStyle w:val="Akapitzlist"/>
        <w:numPr>
          <w:ilvl w:val="0"/>
          <w:numId w:val="46"/>
        </w:numPr>
        <w:ind w:left="714" w:hanging="357"/>
        <w:contextualSpacing/>
        <w:jc w:val="left"/>
        <w:rPr>
          <w:rFonts w:ascii="Arial" w:hAnsi="Arial" w:cs="Arial"/>
          <w:i/>
          <w:color w:val="auto"/>
          <w:sz w:val="24"/>
          <w:szCs w:val="24"/>
        </w:rPr>
      </w:pPr>
      <w:r w:rsidRPr="00237760">
        <w:rPr>
          <w:rFonts w:ascii="Arial" w:hAnsi="Arial" w:cs="Arial"/>
          <w:i/>
          <w:color w:val="auto"/>
          <w:sz w:val="24"/>
          <w:szCs w:val="24"/>
        </w:rPr>
        <w:t>Polityka Energetyczna Polski do 2040 r.</w:t>
      </w:r>
      <w:r w:rsidR="00BE49E7" w:rsidRPr="00237760">
        <w:rPr>
          <w:rFonts w:ascii="Arial" w:hAnsi="Arial" w:cs="Arial"/>
          <w:i/>
          <w:color w:val="auto"/>
          <w:sz w:val="24"/>
          <w:szCs w:val="24"/>
        </w:rPr>
        <w:t>,</w:t>
      </w:r>
    </w:p>
    <w:p w14:paraId="381A7220" w14:textId="1B02D722" w:rsidR="00710815" w:rsidRPr="00237760" w:rsidRDefault="00710815" w:rsidP="009367B4">
      <w:pPr>
        <w:pStyle w:val="Akapitzlist"/>
        <w:numPr>
          <w:ilvl w:val="0"/>
          <w:numId w:val="46"/>
        </w:numPr>
        <w:ind w:left="714" w:hanging="357"/>
        <w:contextualSpacing/>
        <w:jc w:val="left"/>
        <w:rPr>
          <w:rFonts w:ascii="Arial" w:hAnsi="Arial" w:cs="Arial"/>
          <w:i/>
          <w:color w:val="auto"/>
          <w:sz w:val="24"/>
          <w:szCs w:val="24"/>
        </w:rPr>
      </w:pPr>
      <w:r w:rsidRPr="00237760">
        <w:rPr>
          <w:rFonts w:ascii="Arial" w:hAnsi="Arial" w:cs="Arial"/>
          <w:i/>
          <w:color w:val="auto"/>
          <w:sz w:val="24"/>
          <w:szCs w:val="24"/>
        </w:rPr>
        <w:t>Strategia Sprawne i Nowoczesne Państwo 2030</w:t>
      </w:r>
      <w:r w:rsidR="00BE49E7" w:rsidRPr="00237760">
        <w:rPr>
          <w:rFonts w:ascii="Arial" w:hAnsi="Arial" w:cs="Arial"/>
          <w:i/>
          <w:color w:val="auto"/>
          <w:sz w:val="24"/>
          <w:szCs w:val="24"/>
        </w:rPr>
        <w:t>,</w:t>
      </w:r>
    </w:p>
    <w:p w14:paraId="69991515" w14:textId="2A3C877D" w:rsidR="00710815" w:rsidRPr="00237760" w:rsidRDefault="00710815" w:rsidP="009367B4">
      <w:pPr>
        <w:pStyle w:val="Akapitzlist"/>
        <w:numPr>
          <w:ilvl w:val="0"/>
          <w:numId w:val="46"/>
        </w:numPr>
        <w:ind w:left="714" w:hanging="357"/>
        <w:contextualSpacing/>
        <w:jc w:val="left"/>
        <w:rPr>
          <w:rFonts w:ascii="Arial" w:hAnsi="Arial" w:cs="Arial"/>
          <w:i/>
          <w:color w:val="auto"/>
          <w:sz w:val="24"/>
          <w:szCs w:val="24"/>
        </w:rPr>
      </w:pPr>
      <w:r w:rsidRPr="00237760">
        <w:rPr>
          <w:rFonts w:ascii="Arial" w:hAnsi="Arial" w:cs="Arial"/>
          <w:i/>
          <w:color w:val="auto"/>
          <w:sz w:val="24"/>
          <w:szCs w:val="24"/>
        </w:rPr>
        <w:t>Strategia Produktywności 2030</w:t>
      </w:r>
      <w:r w:rsidR="00BE49E7" w:rsidRPr="00237760">
        <w:rPr>
          <w:rFonts w:ascii="Arial" w:hAnsi="Arial" w:cs="Arial"/>
          <w:i/>
          <w:color w:val="auto"/>
          <w:sz w:val="24"/>
          <w:szCs w:val="24"/>
        </w:rPr>
        <w:t>,</w:t>
      </w:r>
    </w:p>
    <w:p w14:paraId="30CAB034" w14:textId="7587DCEC" w:rsidR="00710815" w:rsidRPr="00237760" w:rsidRDefault="00710815" w:rsidP="009367B4">
      <w:pPr>
        <w:pStyle w:val="Akapitzlist"/>
        <w:numPr>
          <w:ilvl w:val="0"/>
          <w:numId w:val="46"/>
        </w:numPr>
        <w:ind w:left="714" w:hanging="357"/>
        <w:contextualSpacing/>
        <w:jc w:val="left"/>
        <w:rPr>
          <w:rFonts w:ascii="Arial" w:hAnsi="Arial" w:cs="Arial"/>
          <w:i/>
          <w:color w:val="auto"/>
          <w:sz w:val="24"/>
          <w:szCs w:val="24"/>
        </w:rPr>
      </w:pPr>
      <w:r w:rsidRPr="00237760">
        <w:rPr>
          <w:rFonts w:ascii="Arial" w:hAnsi="Arial" w:cs="Arial"/>
          <w:i/>
          <w:color w:val="auto"/>
          <w:sz w:val="24"/>
          <w:szCs w:val="24"/>
        </w:rPr>
        <w:t>Strategia Rozwoju Kapitału Ludzkiego 2030</w:t>
      </w:r>
      <w:r w:rsidR="00BE49E7" w:rsidRPr="00237760">
        <w:rPr>
          <w:rFonts w:ascii="Arial" w:hAnsi="Arial" w:cs="Arial"/>
          <w:i/>
          <w:color w:val="auto"/>
          <w:sz w:val="24"/>
          <w:szCs w:val="24"/>
        </w:rPr>
        <w:t>,</w:t>
      </w:r>
    </w:p>
    <w:p w14:paraId="6AD6921B" w14:textId="71EAE9D5" w:rsidR="00710815" w:rsidRPr="00237760" w:rsidRDefault="00710815" w:rsidP="009367B4">
      <w:pPr>
        <w:pStyle w:val="Akapitzlist"/>
        <w:numPr>
          <w:ilvl w:val="0"/>
          <w:numId w:val="46"/>
        </w:numPr>
        <w:ind w:left="714" w:hanging="357"/>
        <w:contextualSpacing/>
        <w:jc w:val="left"/>
        <w:rPr>
          <w:rFonts w:ascii="Arial" w:hAnsi="Arial" w:cs="Arial"/>
          <w:i/>
          <w:color w:val="auto"/>
          <w:sz w:val="24"/>
          <w:szCs w:val="24"/>
        </w:rPr>
      </w:pPr>
      <w:r w:rsidRPr="00237760">
        <w:rPr>
          <w:rFonts w:ascii="Arial" w:hAnsi="Arial" w:cs="Arial"/>
          <w:i/>
          <w:color w:val="auto"/>
          <w:sz w:val="24"/>
          <w:szCs w:val="24"/>
        </w:rPr>
        <w:t>Strategia Bezpieczeństwa Narodowego Rzeczypospolitej Polskiej 2020</w:t>
      </w:r>
      <w:r w:rsidR="00BE49E7" w:rsidRPr="00237760">
        <w:rPr>
          <w:rFonts w:ascii="Arial" w:hAnsi="Arial" w:cs="Arial"/>
          <w:i/>
          <w:color w:val="auto"/>
          <w:sz w:val="24"/>
          <w:szCs w:val="24"/>
        </w:rPr>
        <w:t>,</w:t>
      </w:r>
    </w:p>
    <w:p w14:paraId="44B00022" w14:textId="3A7392A5" w:rsidR="00710815" w:rsidRPr="00237760" w:rsidRDefault="00710815" w:rsidP="009367B4">
      <w:pPr>
        <w:pStyle w:val="Akapitzlist"/>
        <w:numPr>
          <w:ilvl w:val="0"/>
          <w:numId w:val="46"/>
        </w:numPr>
        <w:ind w:left="714" w:hanging="357"/>
        <w:contextualSpacing/>
        <w:jc w:val="left"/>
        <w:rPr>
          <w:rFonts w:ascii="Arial" w:hAnsi="Arial" w:cs="Arial"/>
          <w:i/>
          <w:color w:val="auto"/>
          <w:sz w:val="24"/>
          <w:szCs w:val="24"/>
        </w:rPr>
      </w:pPr>
      <w:r w:rsidRPr="00237760">
        <w:rPr>
          <w:rFonts w:ascii="Arial" w:hAnsi="Arial" w:cs="Arial"/>
          <w:i/>
          <w:color w:val="auto"/>
          <w:sz w:val="24"/>
          <w:szCs w:val="24"/>
        </w:rPr>
        <w:t>Strategia Rozwoju Kapitału Społecznego 2030</w:t>
      </w:r>
      <w:r w:rsidR="00BE49E7" w:rsidRPr="00237760">
        <w:rPr>
          <w:rFonts w:ascii="Arial" w:hAnsi="Arial" w:cs="Arial"/>
          <w:i/>
          <w:color w:val="auto"/>
          <w:sz w:val="24"/>
          <w:szCs w:val="24"/>
        </w:rPr>
        <w:t>,</w:t>
      </w:r>
    </w:p>
    <w:p w14:paraId="2F01E89A" w14:textId="64D2CA1F" w:rsidR="00710815" w:rsidRPr="00237760" w:rsidRDefault="00710815" w:rsidP="009367B4">
      <w:pPr>
        <w:pStyle w:val="Akapitzlist"/>
        <w:numPr>
          <w:ilvl w:val="0"/>
          <w:numId w:val="46"/>
        </w:numPr>
        <w:ind w:left="714" w:hanging="357"/>
        <w:contextualSpacing/>
        <w:jc w:val="left"/>
        <w:rPr>
          <w:rFonts w:ascii="Arial" w:hAnsi="Arial" w:cs="Arial"/>
          <w:i/>
          <w:color w:val="auto"/>
          <w:sz w:val="24"/>
          <w:szCs w:val="24"/>
        </w:rPr>
      </w:pPr>
      <w:r w:rsidRPr="00237760">
        <w:rPr>
          <w:rFonts w:ascii="Arial" w:hAnsi="Arial" w:cs="Arial"/>
          <w:i/>
          <w:color w:val="auto"/>
          <w:sz w:val="24"/>
          <w:szCs w:val="24"/>
        </w:rPr>
        <w:t>Strategia Zrównoważonego Rozwoju Wsi, Rolnictwa i Rybactwa 2030</w:t>
      </w:r>
      <w:r w:rsidR="00BE49E7" w:rsidRPr="00237760">
        <w:rPr>
          <w:rFonts w:ascii="Arial" w:hAnsi="Arial" w:cs="Arial"/>
          <w:i/>
          <w:color w:val="auto"/>
          <w:sz w:val="24"/>
          <w:szCs w:val="24"/>
        </w:rPr>
        <w:t>,</w:t>
      </w:r>
    </w:p>
    <w:p w14:paraId="77452406" w14:textId="769AF461" w:rsidR="00710815" w:rsidRPr="00237760" w:rsidRDefault="00710815" w:rsidP="009367B4">
      <w:pPr>
        <w:pStyle w:val="Akapitzlist"/>
        <w:numPr>
          <w:ilvl w:val="0"/>
          <w:numId w:val="46"/>
        </w:numPr>
        <w:ind w:left="714" w:hanging="357"/>
        <w:contextualSpacing/>
        <w:jc w:val="left"/>
        <w:rPr>
          <w:rFonts w:ascii="Arial" w:hAnsi="Arial" w:cs="Arial"/>
          <w:color w:val="auto"/>
          <w:sz w:val="24"/>
          <w:szCs w:val="24"/>
        </w:rPr>
      </w:pPr>
      <w:r w:rsidRPr="00237760">
        <w:rPr>
          <w:rFonts w:ascii="Arial" w:hAnsi="Arial" w:cs="Arial"/>
          <w:i/>
          <w:color w:val="auto"/>
          <w:sz w:val="24"/>
          <w:szCs w:val="24"/>
        </w:rPr>
        <w:t>Polityk</w:t>
      </w:r>
      <w:r w:rsidR="00912FCE" w:rsidRPr="00237760">
        <w:rPr>
          <w:rFonts w:ascii="Arial" w:hAnsi="Arial" w:cs="Arial"/>
          <w:i/>
          <w:color w:val="auto"/>
          <w:sz w:val="24"/>
          <w:szCs w:val="24"/>
        </w:rPr>
        <w:t>a</w:t>
      </w:r>
      <w:r w:rsidRPr="00237760">
        <w:rPr>
          <w:rFonts w:ascii="Arial" w:hAnsi="Arial" w:cs="Arial"/>
          <w:i/>
          <w:color w:val="auto"/>
          <w:sz w:val="24"/>
          <w:szCs w:val="24"/>
        </w:rPr>
        <w:t xml:space="preserve"> Ekologicznej Państwa 2030</w:t>
      </w:r>
      <w:r w:rsidR="00BE49E7" w:rsidRPr="00237760">
        <w:rPr>
          <w:rFonts w:ascii="Arial" w:hAnsi="Arial" w:cs="Arial"/>
          <w:color w:val="auto"/>
          <w:sz w:val="24"/>
          <w:szCs w:val="24"/>
        </w:rPr>
        <w:t>.</w:t>
      </w:r>
    </w:p>
    <w:p w14:paraId="3283F058" w14:textId="76E1ACA2" w:rsidR="00710815" w:rsidRPr="00237760" w:rsidRDefault="00710815" w:rsidP="009367B4">
      <w:pPr>
        <w:jc w:val="left"/>
        <w:rPr>
          <w:rFonts w:ascii="Arial" w:hAnsi="Arial" w:cs="Arial"/>
          <w:color w:val="auto"/>
          <w:sz w:val="24"/>
          <w:szCs w:val="24"/>
        </w:rPr>
      </w:pPr>
      <w:r w:rsidRPr="00237760">
        <w:rPr>
          <w:rFonts w:ascii="Arial" w:hAnsi="Arial" w:cs="Arial"/>
          <w:color w:val="auto"/>
          <w:sz w:val="24"/>
          <w:szCs w:val="24"/>
        </w:rPr>
        <w:lastRenderedPageBreak/>
        <w:t xml:space="preserve">Analiza potwierdziła spójność </w:t>
      </w:r>
      <w:r w:rsidR="00F311FF" w:rsidRPr="00237760">
        <w:rPr>
          <w:rFonts w:ascii="Arial" w:hAnsi="Arial" w:cs="Arial"/>
          <w:color w:val="auto"/>
          <w:sz w:val="24"/>
          <w:szCs w:val="24"/>
        </w:rPr>
        <w:t>PSRT WP</w:t>
      </w:r>
      <w:r w:rsidRPr="00237760">
        <w:rPr>
          <w:rFonts w:ascii="Arial" w:hAnsi="Arial" w:cs="Arial"/>
          <w:color w:val="auto"/>
          <w:sz w:val="24"/>
          <w:szCs w:val="24"/>
        </w:rPr>
        <w:t xml:space="preserve"> ze strategiami sektorowymi</w:t>
      </w:r>
      <w:r w:rsidR="005411D8" w:rsidRPr="00237760">
        <w:rPr>
          <w:rFonts w:ascii="Arial" w:hAnsi="Arial" w:cs="Arial"/>
          <w:color w:val="auto"/>
          <w:sz w:val="24"/>
          <w:szCs w:val="24"/>
        </w:rPr>
        <w:t xml:space="preserve"> (</w:t>
      </w:r>
      <w:r w:rsidR="005411D8" w:rsidRPr="00237760">
        <w:rPr>
          <w:rFonts w:ascii="Arial" w:hAnsi="Arial" w:cs="Arial"/>
          <w:color w:val="auto"/>
          <w:sz w:val="24"/>
          <w:szCs w:val="24"/>
        </w:rPr>
        <w:fldChar w:fldCharType="begin"/>
      </w:r>
      <w:r w:rsidR="005411D8" w:rsidRPr="00237760">
        <w:rPr>
          <w:rFonts w:ascii="Arial" w:hAnsi="Arial" w:cs="Arial"/>
          <w:color w:val="auto"/>
          <w:sz w:val="24"/>
          <w:szCs w:val="24"/>
        </w:rPr>
        <w:instrText xml:space="preserve"> REF _Ref101002760 \h </w:instrText>
      </w:r>
      <w:r w:rsidR="00237760" w:rsidRPr="00237760">
        <w:rPr>
          <w:rFonts w:ascii="Arial" w:hAnsi="Arial" w:cs="Arial"/>
          <w:color w:val="auto"/>
          <w:sz w:val="24"/>
          <w:szCs w:val="24"/>
        </w:rPr>
        <w:instrText xml:space="preserve"> \* MERGEFORMAT </w:instrText>
      </w:r>
      <w:r w:rsidR="005411D8" w:rsidRPr="00237760">
        <w:rPr>
          <w:rFonts w:ascii="Arial" w:hAnsi="Arial" w:cs="Arial"/>
          <w:color w:val="auto"/>
          <w:sz w:val="24"/>
          <w:szCs w:val="24"/>
        </w:rPr>
      </w:r>
      <w:r w:rsidR="005411D8" w:rsidRPr="00237760">
        <w:rPr>
          <w:rFonts w:ascii="Arial" w:hAnsi="Arial" w:cs="Arial"/>
          <w:color w:val="auto"/>
          <w:sz w:val="24"/>
          <w:szCs w:val="24"/>
        </w:rPr>
        <w:fldChar w:fldCharType="separate"/>
      </w:r>
      <w:r w:rsidR="00E52C19" w:rsidRPr="00237760">
        <w:rPr>
          <w:rFonts w:ascii="Arial" w:hAnsi="Arial" w:cs="Arial"/>
          <w:color w:val="auto"/>
          <w:sz w:val="24"/>
          <w:szCs w:val="24"/>
        </w:rPr>
        <w:t xml:space="preserve">Tabela </w:t>
      </w:r>
      <w:r w:rsidR="00E52C19" w:rsidRPr="00237760">
        <w:rPr>
          <w:rFonts w:ascii="Arial" w:hAnsi="Arial" w:cs="Arial"/>
          <w:noProof/>
          <w:color w:val="auto"/>
          <w:sz w:val="24"/>
          <w:szCs w:val="24"/>
        </w:rPr>
        <w:t>33</w:t>
      </w:r>
      <w:r w:rsidR="005411D8" w:rsidRPr="00237760">
        <w:rPr>
          <w:rFonts w:ascii="Arial" w:hAnsi="Arial" w:cs="Arial"/>
          <w:color w:val="auto"/>
          <w:sz w:val="24"/>
          <w:szCs w:val="24"/>
        </w:rPr>
        <w:fldChar w:fldCharType="end"/>
      </w:r>
      <w:r w:rsidR="005411D8" w:rsidRPr="00237760">
        <w:rPr>
          <w:rFonts w:ascii="Arial" w:hAnsi="Arial" w:cs="Arial"/>
          <w:color w:val="auto"/>
          <w:sz w:val="24"/>
          <w:szCs w:val="24"/>
        </w:rPr>
        <w:t>)</w:t>
      </w:r>
      <w:r w:rsidRPr="00237760">
        <w:rPr>
          <w:rFonts w:ascii="Arial" w:hAnsi="Arial" w:cs="Arial"/>
          <w:color w:val="auto"/>
          <w:sz w:val="24"/>
          <w:szCs w:val="24"/>
        </w:rPr>
        <w:t xml:space="preserve">. Kierunki rozwoju wymienione w </w:t>
      </w:r>
      <w:r w:rsidR="00F311FF" w:rsidRPr="00237760">
        <w:rPr>
          <w:rFonts w:ascii="Arial" w:hAnsi="Arial" w:cs="Arial"/>
          <w:color w:val="auto"/>
          <w:sz w:val="24"/>
          <w:szCs w:val="24"/>
        </w:rPr>
        <w:t>PSRT WP</w:t>
      </w:r>
      <w:r w:rsidRPr="00237760">
        <w:rPr>
          <w:rFonts w:ascii="Arial" w:hAnsi="Arial" w:cs="Arial"/>
          <w:color w:val="auto"/>
          <w:sz w:val="24"/>
          <w:szCs w:val="24"/>
        </w:rPr>
        <w:t xml:space="preserve"> nie są sprzeczne z żadnymi celami lub kierunkami rozwoju wyznaczonymi </w:t>
      </w:r>
      <w:r w:rsidR="00C605B2" w:rsidRPr="00237760">
        <w:rPr>
          <w:rFonts w:ascii="Arial" w:hAnsi="Arial" w:cs="Arial"/>
          <w:color w:val="auto"/>
          <w:sz w:val="24"/>
          <w:szCs w:val="24"/>
        </w:rPr>
        <w:br/>
      </w:r>
      <w:r w:rsidRPr="00237760">
        <w:rPr>
          <w:rFonts w:ascii="Arial" w:hAnsi="Arial" w:cs="Arial"/>
          <w:color w:val="auto"/>
          <w:sz w:val="24"/>
          <w:szCs w:val="24"/>
        </w:rPr>
        <w:t xml:space="preserve">w strategiach sektorowych. Część zapisów ze strategii jest potwierdzana przez kierunki wyznaczone </w:t>
      </w:r>
      <w:r w:rsidR="00C605B2" w:rsidRPr="00237760">
        <w:rPr>
          <w:rFonts w:ascii="Arial" w:hAnsi="Arial" w:cs="Arial"/>
          <w:color w:val="auto"/>
          <w:sz w:val="24"/>
          <w:szCs w:val="24"/>
        </w:rPr>
        <w:br/>
      </w:r>
      <w:r w:rsidRPr="00237760">
        <w:rPr>
          <w:rFonts w:ascii="Arial" w:hAnsi="Arial" w:cs="Arial"/>
          <w:color w:val="auto"/>
          <w:sz w:val="24"/>
          <w:szCs w:val="24"/>
        </w:rPr>
        <w:t xml:space="preserve">w </w:t>
      </w:r>
      <w:r w:rsidR="00F311FF" w:rsidRPr="00237760">
        <w:rPr>
          <w:rFonts w:ascii="Arial" w:hAnsi="Arial" w:cs="Arial"/>
          <w:color w:val="auto"/>
          <w:sz w:val="24"/>
          <w:szCs w:val="24"/>
        </w:rPr>
        <w:t>PSRT WP</w:t>
      </w:r>
      <w:r w:rsidRPr="00237760">
        <w:rPr>
          <w:rFonts w:ascii="Arial" w:hAnsi="Arial" w:cs="Arial"/>
          <w:color w:val="auto"/>
          <w:sz w:val="24"/>
          <w:szCs w:val="24"/>
        </w:rPr>
        <w:t xml:space="preserve"> – jest tak w 9 celach </w:t>
      </w:r>
      <w:r w:rsidRPr="00237760">
        <w:rPr>
          <w:rFonts w:ascii="Arial" w:hAnsi="Arial" w:cs="Arial"/>
          <w:i/>
          <w:color w:val="auto"/>
          <w:sz w:val="24"/>
          <w:szCs w:val="24"/>
        </w:rPr>
        <w:t>Strategii Bezpieczeństwa Narodowego RP</w:t>
      </w:r>
      <w:r w:rsidRPr="00237760">
        <w:rPr>
          <w:rFonts w:ascii="Arial" w:hAnsi="Arial" w:cs="Arial"/>
          <w:color w:val="auto"/>
          <w:sz w:val="24"/>
          <w:szCs w:val="24"/>
        </w:rPr>
        <w:t xml:space="preserve">, 7 kierunkach interwencji SZRWRR, 5 kierunkach interwencji </w:t>
      </w:r>
      <w:r w:rsidRPr="00237760">
        <w:rPr>
          <w:rFonts w:ascii="Arial" w:hAnsi="Arial" w:cs="Arial"/>
          <w:i/>
          <w:color w:val="auto"/>
          <w:sz w:val="24"/>
          <w:szCs w:val="24"/>
        </w:rPr>
        <w:t>Strategii Produktywności</w:t>
      </w:r>
      <w:r w:rsidRPr="00237760">
        <w:rPr>
          <w:rFonts w:ascii="Arial" w:hAnsi="Arial" w:cs="Arial"/>
          <w:color w:val="auto"/>
          <w:sz w:val="24"/>
          <w:szCs w:val="24"/>
        </w:rPr>
        <w:t xml:space="preserve">, 5 priorytetach </w:t>
      </w:r>
      <w:r w:rsidRPr="00237760">
        <w:rPr>
          <w:rFonts w:ascii="Arial" w:hAnsi="Arial" w:cs="Arial"/>
          <w:i/>
          <w:color w:val="auto"/>
          <w:sz w:val="24"/>
          <w:szCs w:val="24"/>
        </w:rPr>
        <w:t>Strategii Rozwoju Kapitału Społecznego</w:t>
      </w:r>
      <w:r w:rsidRPr="00237760">
        <w:rPr>
          <w:rFonts w:ascii="Arial" w:hAnsi="Arial" w:cs="Arial"/>
          <w:color w:val="auto"/>
          <w:sz w:val="24"/>
          <w:szCs w:val="24"/>
        </w:rPr>
        <w:t xml:space="preserve">, 4 kierunkach interwencji </w:t>
      </w:r>
      <w:r w:rsidRPr="00237760">
        <w:rPr>
          <w:rFonts w:ascii="Arial" w:hAnsi="Arial" w:cs="Arial"/>
          <w:i/>
          <w:color w:val="auto"/>
          <w:sz w:val="24"/>
          <w:szCs w:val="24"/>
        </w:rPr>
        <w:t>Polityki Ekologicznej Polski</w:t>
      </w:r>
      <w:r w:rsidRPr="00237760">
        <w:rPr>
          <w:rFonts w:ascii="Arial" w:hAnsi="Arial" w:cs="Arial"/>
          <w:color w:val="auto"/>
          <w:sz w:val="24"/>
          <w:szCs w:val="24"/>
        </w:rPr>
        <w:t xml:space="preserve">, a także dwóch celach szczegółowych </w:t>
      </w:r>
      <w:r w:rsidRPr="00237760">
        <w:rPr>
          <w:rFonts w:ascii="Arial" w:hAnsi="Arial" w:cs="Arial"/>
          <w:i/>
          <w:color w:val="auto"/>
          <w:sz w:val="24"/>
          <w:szCs w:val="24"/>
        </w:rPr>
        <w:t>Strategii Kapitału Ludzkiego</w:t>
      </w:r>
      <w:r w:rsidRPr="00237760">
        <w:rPr>
          <w:rFonts w:ascii="Arial" w:hAnsi="Arial" w:cs="Arial"/>
          <w:color w:val="auto"/>
          <w:sz w:val="24"/>
          <w:szCs w:val="24"/>
        </w:rPr>
        <w:t xml:space="preserve">. W </w:t>
      </w:r>
      <w:r w:rsidR="00F311FF" w:rsidRPr="00237760">
        <w:rPr>
          <w:rFonts w:ascii="Arial" w:hAnsi="Arial" w:cs="Arial"/>
          <w:color w:val="auto"/>
          <w:sz w:val="24"/>
          <w:szCs w:val="24"/>
        </w:rPr>
        <w:t>PSRT WP</w:t>
      </w:r>
      <w:r w:rsidRPr="00237760">
        <w:rPr>
          <w:rFonts w:ascii="Arial" w:hAnsi="Arial" w:cs="Arial"/>
          <w:color w:val="auto"/>
          <w:sz w:val="24"/>
          <w:szCs w:val="24"/>
        </w:rPr>
        <w:t xml:space="preserve"> brakuje zapisów wspierających cele </w:t>
      </w:r>
      <w:r w:rsidRPr="00237760">
        <w:rPr>
          <w:rFonts w:ascii="Arial" w:hAnsi="Arial" w:cs="Arial"/>
          <w:i/>
          <w:color w:val="auto"/>
          <w:sz w:val="24"/>
          <w:szCs w:val="24"/>
        </w:rPr>
        <w:t>Polityki Energetycznej,</w:t>
      </w:r>
      <w:r w:rsidRPr="00237760">
        <w:rPr>
          <w:rFonts w:ascii="Arial" w:hAnsi="Arial" w:cs="Arial"/>
          <w:color w:val="auto"/>
          <w:sz w:val="24"/>
          <w:szCs w:val="24"/>
        </w:rPr>
        <w:t xml:space="preserve"> jednak nie wykazano także sprzeczności między dwoma dokumentami. </w:t>
      </w:r>
    </w:p>
    <w:p w14:paraId="6F93F057" w14:textId="43C56713" w:rsidR="00710815" w:rsidRPr="00237760" w:rsidRDefault="00710815" w:rsidP="009367B4">
      <w:pPr>
        <w:pStyle w:val="Legenda"/>
        <w:keepNext/>
        <w:jc w:val="left"/>
        <w:rPr>
          <w:rFonts w:ascii="Arial" w:hAnsi="Arial" w:cs="Arial"/>
          <w:color w:val="auto"/>
          <w:sz w:val="24"/>
          <w:szCs w:val="24"/>
        </w:rPr>
      </w:pPr>
      <w:bookmarkStart w:id="221" w:name="_Ref101002760"/>
      <w:bookmarkStart w:id="222" w:name="_Toc101904274"/>
      <w:r w:rsidRPr="00237760">
        <w:rPr>
          <w:rFonts w:ascii="Arial" w:hAnsi="Arial" w:cs="Arial"/>
          <w:color w:val="auto"/>
          <w:sz w:val="24"/>
          <w:szCs w:val="24"/>
        </w:rPr>
        <w:t xml:space="preserve">Tabela </w:t>
      </w:r>
      <w:r w:rsidRPr="00237760">
        <w:rPr>
          <w:rFonts w:ascii="Arial" w:hAnsi="Arial" w:cs="Arial"/>
          <w:noProof/>
          <w:color w:val="auto"/>
          <w:sz w:val="24"/>
          <w:szCs w:val="24"/>
        </w:rPr>
        <w:fldChar w:fldCharType="begin"/>
      </w:r>
      <w:r w:rsidRPr="00237760">
        <w:rPr>
          <w:rFonts w:ascii="Arial" w:hAnsi="Arial" w:cs="Arial"/>
          <w:noProof/>
          <w:color w:val="auto"/>
          <w:sz w:val="24"/>
          <w:szCs w:val="24"/>
        </w:rPr>
        <w:instrText xml:space="preserve"> SEQ Tabela \* ARABIC </w:instrText>
      </w:r>
      <w:r w:rsidRPr="00237760">
        <w:rPr>
          <w:rFonts w:ascii="Arial" w:hAnsi="Arial" w:cs="Arial"/>
          <w:noProof/>
          <w:color w:val="auto"/>
          <w:sz w:val="24"/>
          <w:szCs w:val="24"/>
        </w:rPr>
        <w:fldChar w:fldCharType="separate"/>
      </w:r>
      <w:r w:rsidR="00762B20" w:rsidRPr="00237760">
        <w:rPr>
          <w:rFonts w:ascii="Arial" w:hAnsi="Arial" w:cs="Arial"/>
          <w:noProof/>
          <w:color w:val="auto"/>
          <w:sz w:val="24"/>
          <w:szCs w:val="24"/>
        </w:rPr>
        <w:t>33</w:t>
      </w:r>
      <w:r w:rsidRPr="00237760">
        <w:rPr>
          <w:rFonts w:ascii="Arial" w:hAnsi="Arial" w:cs="Arial"/>
          <w:noProof/>
          <w:color w:val="auto"/>
          <w:sz w:val="24"/>
          <w:szCs w:val="24"/>
        </w:rPr>
        <w:fldChar w:fldCharType="end"/>
      </w:r>
      <w:bookmarkEnd w:id="221"/>
      <w:r w:rsidR="00BE49E7" w:rsidRPr="00237760">
        <w:rPr>
          <w:rFonts w:ascii="Arial" w:hAnsi="Arial" w:cs="Arial"/>
          <w:noProof/>
          <w:color w:val="auto"/>
          <w:sz w:val="24"/>
          <w:szCs w:val="24"/>
        </w:rPr>
        <w:t>.</w:t>
      </w:r>
      <w:r w:rsidRPr="00237760">
        <w:rPr>
          <w:rFonts w:ascii="Arial" w:hAnsi="Arial" w:cs="Arial"/>
          <w:color w:val="auto"/>
          <w:sz w:val="24"/>
          <w:szCs w:val="24"/>
        </w:rPr>
        <w:t xml:space="preserve"> Ocena spójności </w:t>
      </w:r>
      <w:r w:rsidR="00F311FF" w:rsidRPr="00237760">
        <w:rPr>
          <w:rFonts w:ascii="Arial" w:hAnsi="Arial" w:cs="Arial"/>
          <w:color w:val="auto"/>
          <w:sz w:val="24"/>
          <w:szCs w:val="24"/>
        </w:rPr>
        <w:t>PSRT WP</w:t>
      </w:r>
      <w:r w:rsidRPr="00237760">
        <w:rPr>
          <w:rFonts w:ascii="Arial" w:hAnsi="Arial" w:cs="Arial"/>
          <w:color w:val="auto"/>
          <w:sz w:val="24"/>
          <w:szCs w:val="24"/>
        </w:rPr>
        <w:t xml:space="preserve"> ze </w:t>
      </w:r>
      <w:r w:rsidR="008D3757" w:rsidRPr="00237760">
        <w:rPr>
          <w:rFonts w:ascii="Arial" w:hAnsi="Arial" w:cs="Arial"/>
          <w:color w:val="auto"/>
          <w:sz w:val="24"/>
          <w:szCs w:val="24"/>
        </w:rPr>
        <w:t>strategiami zintegrowanymi</w:t>
      </w:r>
      <w:bookmarkEnd w:id="222"/>
    </w:p>
    <w:tbl>
      <w:tblPr>
        <w:tblStyle w:val="Tabela-Siatka"/>
        <w:tblW w:w="9077" w:type="dxa"/>
        <w:tblInd w:w="-5"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57" w:type="dxa"/>
          <w:right w:w="57" w:type="dxa"/>
        </w:tblCellMar>
        <w:tblLook w:val="04A0" w:firstRow="1" w:lastRow="0" w:firstColumn="1" w:lastColumn="0" w:noHBand="0" w:noVBand="1"/>
        <w:tblCaption w:val="Tabela 33. Ocena spójności PSRT WP ze strategiami zintegrowanymi"/>
        <w:tblDescription w:val="Tabela zawiera Cele szczegółowe, Cele podstawowe PSRT WP, Cele horyzontalne PSRT WP"/>
      </w:tblPr>
      <w:tblGrid>
        <w:gridCol w:w="5107"/>
        <w:gridCol w:w="567"/>
        <w:gridCol w:w="15"/>
        <w:gridCol w:w="567"/>
        <w:gridCol w:w="166"/>
        <w:gridCol w:w="386"/>
        <w:gridCol w:w="15"/>
        <w:gridCol w:w="552"/>
        <w:gridCol w:w="15"/>
        <w:gridCol w:w="552"/>
        <w:gridCol w:w="15"/>
        <w:gridCol w:w="557"/>
        <w:gridCol w:w="15"/>
        <w:gridCol w:w="82"/>
        <w:gridCol w:w="466"/>
      </w:tblGrid>
      <w:tr w:rsidR="00237760" w:rsidRPr="00237760" w14:paraId="302CBB8A" w14:textId="77777777" w:rsidTr="000D3F32">
        <w:trPr>
          <w:trHeight w:val="236"/>
        </w:trPr>
        <w:tc>
          <w:tcPr>
            <w:tcW w:w="9077" w:type="dxa"/>
            <w:gridSpan w:val="15"/>
            <w:tcBorders>
              <w:top w:val="single" w:sz="12" w:space="0" w:color="002060"/>
              <w:left w:val="nil"/>
              <w:bottom w:val="single" w:sz="4" w:space="0" w:color="BDD6EE" w:themeColor="accent1" w:themeTint="66"/>
              <w:right w:val="nil"/>
            </w:tcBorders>
            <w:shd w:val="clear" w:color="auto" w:fill="auto"/>
            <w:vAlign w:val="center"/>
            <w:hideMark/>
          </w:tcPr>
          <w:p w14:paraId="19781E3D"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Strategia Sprawne i Nowoczesne Państwo 2030</w:t>
            </w:r>
          </w:p>
        </w:tc>
      </w:tr>
      <w:tr w:rsidR="00237760" w:rsidRPr="00237760" w14:paraId="09702772" w14:textId="77777777" w:rsidTr="000D3F32">
        <w:trPr>
          <w:trHeight w:val="70"/>
        </w:trPr>
        <w:tc>
          <w:tcPr>
            <w:tcW w:w="5107" w:type="dxa"/>
            <w:vMerge w:val="restart"/>
            <w:tcBorders>
              <w:top w:val="nil"/>
              <w:left w:val="nil"/>
              <w:bottom w:val="single" w:sz="4" w:space="0" w:color="BDD6EE" w:themeColor="accent1" w:themeTint="66"/>
              <w:right w:val="nil"/>
            </w:tcBorders>
            <w:shd w:val="clear" w:color="auto" w:fill="auto"/>
            <w:vAlign w:val="center"/>
            <w:hideMark/>
          </w:tcPr>
          <w:p w14:paraId="3F236B82"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szczegółowe</w:t>
            </w:r>
          </w:p>
        </w:tc>
        <w:tc>
          <w:tcPr>
            <w:tcW w:w="1716" w:type="dxa"/>
            <w:gridSpan w:val="6"/>
            <w:tcBorders>
              <w:top w:val="nil"/>
              <w:left w:val="nil"/>
              <w:bottom w:val="single" w:sz="4" w:space="0" w:color="BDD6EE" w:themeColor="accent1" w:themeTint="66"/>
              <w:right w:val="nil"/>
            </w:tcBorders>
            <w:shd w:val="clear" w:color="auto" w:fill="auto"/>
            <w:hideMark/>
          </w:tcPr>
          <w:p w14:paraId="4CE033EA"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podstawowe PSRT WP</w:t>
            </w:r>
          </w:p>
        </w:tc>
        <w:tc>
          <w:tcPr>
            <w:tcW w:w="2254" w:type="dxa"/>
            <w:gridSpan w:val="8"/>
            <w:tcBorders>
              <w:top w:val="nil"/>
              <w:left w:val="nil"/>
              <w:bottom w:val="single" w:sz="4" w:space="0" w:color="BDD6EE" w:themeColor="accent1" w:themeTint="66"/>
              <w:right w:val="nil"/>
            </w:tcBorders>
            <w:shd w:val="clear" w:color="auto" w:fill="auto"/>
            <w:vAlign w:val="center"/>
            <w:hideMark/>
          </w:tcPr>
          <w:p w14:paraId="5034821B"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horyzontalne PSRT WP</w:t>
            </w:r>
          </w:p>
        </w:tc>
      </w:tr>
      <w:tr w:rsidR="00237760" w:rsidRPr="00237760" w14:paraId="0333CA53" w14:textId="77777777" w:rsidTr="000D3F32">
        <w:trPr>
          <w:trHeight w:val="51"/>
        </w:trPr>
        <w:tc>
          <w:tcPr>
            <w:tcW w:w="5107" w:type="dxa"/>
            <w:vMerge/>
            <w:tcBorders>
              <w:top w:val="nil"/>
              <w:left w:val="nil"/>
              <w:bottom w:val="single" w:sz="4" w:space="0" w:color="BDD6EE" w:themeColor="accent1" w:themeTint="66"/>
              <w:right w:val="nil"/>
            </w:tcBorders>
            <w:shd w:val="clear" w:color="auto" w:fill="auto"/>
            <w:vAlign w:val="center"/>
            <w:hideMark/>
          </w:tcPr>
          <w:p w14:paraId="2EA5E787" w14:textId="77777777" w:rsidR="00710815" w:rsidRPr="00237760" w:rsidRDefault="00710815" w:rsidP="009367B4">
            <w:pPr>
              <w:spacing w:after="0" w:line="240" w:lineRule="auto"/>
              <w:jc w:val="left"/>
              <w:rPr>
                <w:rFonts w:ascii="Arial" w:hAnsi="Arial" w:cs="Arial"/>
                <w:b/>
                <w:color w:val="auto"/>
                <w:sz w:val="24"/>
                <w:szCs w:val="24"/>
              </w:rPr>
            </w:pPr>
          </w:p>
        </w:tc>
        <w:tc>
          <w:tcPr>
            <w:tcW w:w="582"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hideMark/>
          </w:tcPr>
          <w:p w14:paraId="2DAFF8D7"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hideMark/>
          </w:tcPr>
          <w:p w14:paraId="52EA1EEE"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567" w:type="dxa"/>
            <w:gridSpan w:val="3"/>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hideMark/>
          </w:tcPr>
          <w:p w14:paraId="7AB16D98"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hideMark/>
          </w:tcPr>
          <w:p w14:paraId="03C657F5"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hideMark/>
          </w:tcPr>
          <w:p w14:paraId="6B290FAB"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572" w:type="dxa"/>
            <w:gridSpan w:val="2"/>
            <w:tcBorders>
              <w:top w:val="single" w:sz="4" w:space="0" w:color="BDD6EE" w:themeColor="accent1" w:themeTint="66"/>
              <w:left w:val="single" w:sz="4" w:space="0" w:color="BDD6EE" w:themeColor="accent1" w:themeTint="66"/>
              <w:bottom w:val="single" w:sz="4" w:space="0" w:color="BDD6EE" w:themeColor="accent1" w:themeTint="66"/>
              <w:right w:val="nil"/>
            </w:tcBorders>
            <w:shd w:val="clear" w:color="auto" w:fill="auto"/>
            <w:hideMark/>
          </w:tcPr>
          <w:p w14:paraId="214AFFC5"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548" w:type="dxa"/>
            <w:gridSpan w:val="2"/>
            <w:tcBorders>
              <w:top w:val="single" w:sz="4" w:space="0" w:color="BDD6EE" w:themeColor="accent1" w:themeTint="66"/>
              <w:left w:val="single" w:sz="4" w:space="0" w:color="BDD6EE" w:themeColor="accent1" w:themeTint="66"/>
              <w:bottom w:val="single" w:sz="4" w:space="0" w:color="BDD6EE" w:themeColor="accent1" w:themeTint="66"/>
              <w:right w:val="nil"/>
            </w:tcBorders>
            <w:shd w:val="clear" w:color="auto" w:fill="auto"/>
            <w:hideMark/>
          </w:tcPr>
          <w:p w14:paraId="5542EABA"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4.</w:t>
            </w:r>
          </w:p>
        </w:tc>
      </w:tr>
      <w:tr w:rsidR="00237760" w:rsidRPr="00237760" w14:paraId="67BD5146" w14:textId="77777777" w:rsidTr="000D3F32">
        <w:trPr>
          <w:trHeight w:val="554"/>
        </w:trPr>
        <w:tc>
          <w:tcPr>
            <w:tcW w:w="5107" w:type="dxa"/>
            <w:tcBorders>
              <w:top w:val="single" w:sz="4" w:space="0" w:color="BDD6EE" w:themeColor="accent1" w:themeTint="66"/>
              <w:left w:val="nil"/>
              <w:bottom w:val="single" w:sz="4" w:space="0" w:color="BDD6EE" w:themeColor="accent1" w:themeTint="66"/>
              <w:right w:val="single" w:sz="4" w:space="0" w:color="BDD6EE" w:themeColor="accent1" w:themeTint="66"/>
            </w:tcBorders>
            <w:hideMark/>
          </w:tcPr>
          <w:p w14:paraId="74E58314"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Cel szczegółowy III: Podniesienie sprawności realizacji zadań państwa poprzez wykorzystanie technologii cyfrowych i zmianę sposobu działania stosownie do możliwości, jakie stwarza technologia</w:t>
            </w:r>
          </w:p>
        </w:tc>
        <w:tc>
          <w:tcPr>
            <w:tcW w:w="582"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23E28790"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44775C14"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gridSpan w:val="3"/>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32145105"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074F9EB"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32A482B1" w14:textId="77777777" w:rsidR="00710815" w:rsidRPr="00237760" w:rsidRDefault="00710815" w:rsidP="009367B4">
            <w:pPr>
              <w:spacing w:after="0" w:line="240" w:lineRule="auto"/>
              <w:jc w:val="left"/>
              <w:rPr>
                <w:rFonts w:ascii="Arial" w:hAnsi="Arial" w:cs="Arial"/>
                <w:color w:val="auto"/>
                <w:sz w:val="24"/>
                <w:szCs w:val="24"/>
              </w:rPr>
            </w:pPr>
          </w:p>
        </w:tc>
        <w:tc>
          <w:tcPr>
            <w:tcW w:w="572"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6C367D5D" w14:textId="77777777" w:rsidR="00710815" w:rsidRPr="00237760" w:rsidRDefault="00710815" w:rsidP="009367B4">
            <w:pPr>
              <w:spacing w:after="0" w:line="240" w:lineRule="auto"/>
              <w:jc w:val="left"/>
              <w:rPr>
                <w:rFonts w:ascii="Arial" w:hAnsi="Arial" w:cs="Arial"/>
                <w:color w:val="auto"/>
                <w:sz w:val="24"/>
                <w:szCs w:val="24"/>
              </w:rPr>
            </w:pPr>
          </w:p>
        </w:tc>
        <w:tc>
          <w:tcPr>
            <w:tcW w:w="548"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01745A6A"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23F17EE9" w14:textId="77777777" w:rsidTr="000D3F32">
        <w:trPr>
          <w:trHeight w:val="14"/>
        </w:trPr>
        <w:tc>
          <w:tcPr>
            <w:tcW w:w="5107" w:type="dxa"/>
            <w:tcBorders>
              <w:top w:val="single" w:sz="4" w:space="0" w:color="BDD6EE" w:themeColor="accent1" w:themeTint="66"/>
              <w:left w:val="nil"/>
              <w:bottom w:val="single" w:sz="4" w:space="0" w:color="BDD6EE" w:themeColor="accent1" w:themeTint="66"/>
              <w:right w:val="single" w:sz="4" w:space="0" w:color="BDD6EE" w:themeColor="accent1" w:themeTint="66"/>
            </w:tcBorders>
            <w:hideMark/>
          </w:tcPr>
          <w:p w14:paraId="64E3D02E"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Cel szczegółowy V: Zapewnienie obywatelom bezpieczeństwa wewnętrznego i zewnętrznego</w:t>
            </w:r>
          </w:p>
        </w:tc>
        <w:tc>
          <w:tcPr>
            <w:tcW w:w="582"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12B673A4"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7C7F28E0"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gridSpan w:val="3"/>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35501276"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BE100B9" w14:textId="77777777" w:rsidR="00710815" w:rsidRPr="00237760" w:rsidRDefault="00710815" w:rsidP="009367B4">
            <w:pPr>
              <w:spacing w:after="0" w:line="240" w:lineRule="auto"/>
              <w:jc w:val="left"/>
              <w:rPr>
                <w:rFonts w:ascii="Arial" w:hAnsi="Arial" w:cs="Arial"/>
                <w:color w:val="auto"/>
                <w:sz w:val="24"/>
                <w:szCs w:val="24"/>
              </w:rPr>
            </w:pP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61E59A76" w14:textId="77777777" w:rsidR="00710815" w:rsidRPr="00237760" w:rsidRDefault="00710815" w:rsidP="009367B4">
            <w:pPr>
              <w:spacing w:after="0" w:line="240" w:lineRule="auto"/>
              <w:jc w:val="left"/>
              <w:rPr>
                <w:rFonts w:ascii="Arial" w:hAnsi="Arial" w:cs="Arial"/>
                <w:color w:val="auto"/>
                <w:sz w:val="24"/>
                <w:szCs w:val="24"/>
              </w:rPr>
            </w:pPr>
          </w:p>
        </w:tc>
        <w:tc>
          <w:tcPr>
            <w:tcW w:w="572"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4063983A" w14:textId="77777777" w:rsidR="00710815" w:rsidRPr="00237760" w:rsidRDefault="00710815" w:rsidP="009367B4">
            <w:pPr>
              <w:spacing w:after="0" w:line="240" w:lineRule="auto"/>
              <w:jc w:val="left"/>
              <w:rPr>
                <w:rFonts w:ascii="Arial" w:hAnsi="Arial" w:cs="Arial"/>
                <w:color w:val="auto"/>
                <w:sz w:val="24"/>
                <w:szCs w:val="24"/>
              </w:rPr>
            </w:pPr>
          </w:p>
        </w:tc>
        <w:tc>
          <w:tcPr>
            <w:tcW w:w="548"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47D3D079" w14:textId="77777777" w:rsidR="00710815" w:rsidRPr="00237760" w:rsidRDefault="00710815" w:rsidP="009367B4">
            <w:pPr>
              <w:spacing w:after="0" w:line="240" w:lineRule="auto"/>
              <w:jc w:val="left"/>
              <w:rPr>
                <w:rFonts w:ascii="Arial" w:hAnsi="Arial" w:cs="Arial"/>
                <w:color w:val="auto"/>
                <w:sz w:val="24"/>
                <w:szCs w:val="24"/>
              </w:rPr>
            </w:pPr>
          </w:p>
        </w:tc>
      </w:tr>
      <w:tr w:rsidR="00237760" w:rsidRPr="00237760" w14:paraId="05DD4681" w14:textId="77777777" w:rsidTr="000D3F32">
        <w:trPr>
          <w:trHeight w:val="50"/>
        </w:trPr>
        <w:tc>
          <w:tcPr>
            <w:tcW w:w="9077" w:type="dxa"/>
            <w:gridSpan w:val="15"/>
            <w:tcBorders>
              <w:top w:val="nil"/>
              <w:left w:val="nil"/>
              <w:bottom w:val="single" w:sz="4" w:space="0" w:color="BDD6EE" w:themeColor="accent1" w:themeTint="66"/>
              <w:right w:val="nil"/>
            </w:tcBorders>
            <w:shd w:val="clear" w:color="auto" w:fill="auto"/>
            <w:vAlign w:val="center"/>
            <w:hideMark/>
          </w:tcPr>
          <w:p w14:paraId="5C4CB58A" w14:textId="77777777" w:rsidR="009B5342" w:rsidRPr="00237760" w:rsidRDefault="009B5342"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Strategia Produktywności 2030</w:t>
            </w:r>
          </w:p>
        </w:tc>
      </w:tr>
      <w:tr w:rsidR="00237760" w:rsidRPr="00237760" w14:paraId="0B3D4DCF" w14:textId="77777777" w:rsidTr="000D3F32">
        <w:trPr>
          <w:trHeight w:val="70"/>
        </w:trPr>
        <w:tc>
          <w:tcPr>
            <w:tcW w:w="5107" w:type="dxa"/>
            <w:vMerge w:val="restart"/>
            <w:tcBorders>
              <w:top w:val="nil"/>
              <w:left w:val="nil"/>
              <w:bottom w:val="single" w:sz="4" w:space="0" w:color="BDD6EE" w:themeColor="accent1" w:themeTint="66"/>
              <w:right w:val="nil"/>
            </w:tcBorders>
            <w:shd w:val="clear" w:color="auto" w:fill="auto"/>
            <w:vAlign w:val="center"/>
            <w:hideMark/>
          </w:tcPr>
          <w:p w14:paraId="14E66E66" w14:textId="77777777" w:rsidR="009B5342" w:rsidRPr="00237760" w:rsidRDefault="009B5342"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Kierunki interwencji</w:t>
            </w:r>
          </w:p>
        </w:tc>
        <w:tc>
          <w:tcPr>
            <w:tcW w:w="1716" w:type="dxa"/>
            <w:gridSpan w:val="6"/>
            <w:tcBorders>
              <w:top w:val="nil"/>
              <w:left w:val="nil"/>
              <w:bottom w:val="single" w:sz="4" w:space="0" w:color="BDD6EE" w:themeColor="accent1" w:themeTint="66"/>
              <w:right w:val="nil"/>
            </w:tcBorders>
            <w:shd w:val="clear" w:color="auto" w:fill="auto"/>
            <w:hideMark/>
          </w:tcPr>
          <w:p w14:paraId="672606FC" w14:textId="77777777" w:rsidR="009B5342" w:rsidRPr="00237760" w:rsidRDefault="009B5342"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podstawowe PSRT WP</w:t>
            </w:r>
          </w:p>
        </w:tc>
        <w:tc>
          <w:tcPr>
            <w:tcW w:w="2254" w:type="dxa"/>
            <w:gridSpan w:val="8"/>
            <w:tcBorders>
              <w:top w:val="nil"/>
              <w:left w:val="nil"/>
              <w:bottom w:val="single" w:sz="4" w:space="0" w:color="BDD6EE" w:themeColor="accent1" w:themeTint="66"/>
              <w:right w:val="nil"/>
            </w:tcBorders>
            <w:shd w:val="clear" w:color="auto" w:fill="auto"/>
            <w:vAlign w:val="center"/>
            <w:hideMark/>
          </w:tcPr>
          <w:p w14:paraId="38E6D9C6" w14:textId="77777777" w:rsidR="009B5342" w:rsidRPr="00237760" w:rsidRDefault="009B5342"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horyzontalne PSRT WP</w:t>
            </w:r>
          </w:p>
        </w:tc>
      </w:tr>
      <w:tr w:rsidR="00237760" w:rsidRPr="00237760" w14:paraId="2AC72814" w14:textId="77777777" w:rsidTr="000D3F32">
        <w:trPr>
          <w:trHeight w:val="50"/>
        </w:trPr>
        <w:tc>
          <w:tcPr>
            <w:tcW w:w="5107" w:type="dxa"/>
            <w:vMerge/>
            <w:tcBorders>
              <w:top w:val="nil"/>
              <w:left w:val="nil"/>
              <w:bottom w:val="single" w:sz="4" w:space="0" w:color="BDD6EE" w:themeColor="accent1" w:themeTint="66"/>
              <w:right w:val="nil"/>
            </w:tcBorders>
            <w:shd w:val="clear" w:color="auto" w:fill="auto"/>
            <w:vAlign w:val="center"/>
            <w:hideMark/>
          </w:tcPr>
          <w:p w14:paraId="49DEBF9D" w14:textId="77777777" w:rsidR="009B5342" w:rsidRPr="00237760" w:rsidRDefault="009B5342" w:rsidP="009367B4">
            <w:pPr>
              <w:spacing w:after="0" w:line="240" w:lineRule="auto"/>
              <w:jc w:val="left"/>
              <w:rPr>
                <w:rFonts w:ascii="Arial" w:hAnsi="Arial" w:cs="Arial"/>
                <w:b/>
                <w:color w:val="auto"/>
                <w:sz w:val="24"/>
                <w:szCs w:val="24"/>
              </w:rPr>
            </w:pPr>
          </w:p>
        </w:tc>
        <w:tc>
          <w:tcPr>
            <w:tcW w:w="582"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hideMark/>
          </w:tcPr>
          <w:p w14:paraId="0169B378" w14:textId="77777777" w:rsidR="009B5342" w:rsidRPr="00237760" w:rsidRDefault="009B5342"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hideMark/>
          </w:tcPr>
          <w:p w14:paraId="4F16B65E" w14:textId="77777777" w:rsidR="009B5342" w:rsidRPr="00237760" w:rsidRDefault="009B5342"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567" w:type="dxa"/>
            <w:gridSpan w:val="3"/>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hideMark/>
          </w:tcPr>
          <w:p w14:paraId="355F21B2" w14:textId="77777777" w:rsidR="009B5342" w:rsidRPr="00237760" w:rsidRDefault="009B5342"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hideMark/>
          </w:tcPr>
          <w:p w14:paraId="1D9C7E09" w14:textId="77777777" w:rsidR="009B5342" w:rsidRPr="00237760" w:rsidRDefault="009B5342"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hideMark/>
          </w:tcPr>
          <w:p w14:paraId="179BE6FB" w14:textId="77777777" w:rsidR="009B5342" w:rsidRPr="00237760" w:rsidRDefault="009B5342"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572" w:type="dxa"/>
            <w:gridSpan w:val="2"/>
            <w:tcBorders>
              <w:top w:val="single" w:sz="4" w:space="0" w:color="BDD6EE" w:themeColor="accent1" w:themeTint="66"/>
              <w:left w:val="single" w:sz="4" w:space="0" w:color="BDD6EE" w:themeColor="accent1" w:themeTint="66"/>
              <w:bottom w:val="single" w:sz="4" w:space="0" w:color="BDD6EE" w:themeColor="accent1" w:themeTint="66"/>
              <w:right w:val="nil"/>
            </w:tcBorders>
            <w:shd w:val="clear" w:color="auto" w:fill="auto"/>
            <w:hideMark/>
          </w:tcPr>
          <w:p w14:paraId="52F8D824" w14:textId="77777777" w:rsidR="009B5342" w:rsidRPr="00237760" w:rsidRDefault="009B5342"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548" w:type="dxa"/>
            <w:gridSpan w:val="2"/>
            <w:tcBorders>
              <w:top w:val="single" w:sz="4" w:space="0" w:color="BDD6EE" w:themeColor="accent1" w:themeTint="66"/>
              <w:left w:val="single" w:sz="4" w:space="0" w:color="BDD6EE" w:themeColor="accent1" w:themeTint="66"/>
              <w:bottom w:val="single" w:sz="4" w:space="0" w:color="BDD6EE" w:themeColor="accent1" w:themeTint="66"/>
              <w:right w:val="nil"/>
            </w:tcBorders>
            <w:shd w:val="clear" w:color="auto" w:fill="auto"/>
            <w:hideMark/>
          </w:tcPr>
          <w:p w14:paraId="2F88B652" w14:textId="77777777" w:rsidR="009B5342" w:rsidRPr="00237760" w:rsidRDefault="009B5342"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4.</w:t>
            </w:r>
          </w:p>
        </w:tc>
      </w:tr>
      <w:tr w:rsidR="00237760" w:rsidRPr="00237760" w14:paraId="6859E385" w14:textId="77777777" w:rsidTr="000D3F32">
        <w:trPr>
          <w:trHeight w:val="554"/>
        </w:trPr>
        <w:tc>
          <w:tcPr>
            <w:tcW w:w="5107" w:type="dxa"/>
            <w:tcBorders>
              <w:top w:val="single" w:sz="4" w:space="0" w:color="BDD6EE" w:themeColor="accent1" w:themeTint="66"/>
              <w:left w:val="nil"/>
              <w:bottom w:val="single" w:sz="4" w:space="0" w:color="BDD6EE" w:themeColor="accent1" w:themeTint="66"/>
              <w:right w:val="single" w:sz="4" w:space="0" w:color="BDD6EE" w:themeColor="accent1" w:themeTint="66"/>
            </w:tcBorders>
            <w:hideMark/>
          </w:tcPr>
          <w:p w14:paraId="35595B43" w14:textId="77777777" w:rsidR="009B5342" w:rsidRPr="00237760" w:rsidRDefault="009B5342"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Kierunek interwencji III.1. Zwiększenie inwestycji prywatnych</w:t>
            </w:r>
          </w:p>
        </w:tc>
        <w:tc>
          <w:tcPr>
            <w:tcW w:w="582"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400EE491" w14:textId="77777777" w:rsidR="009B5342" w:rsidRPr="00237760" w:rsidRDefault="009B5342"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1663769B" w14:textId="77777777" w:rsidR="009B5342" w:rsidRPr="00237760" w:rsidRDefault="009B5342" w:rsidP="009367B4">
            <w:pPr>
              <w:spacing w:after="0" w:line="240" w:lineRule="auto"/>
              <w:jc w:val="left"/>
              <w:rPr>
                <w:rFonts w:ascii="Arial" w:hAnsi="Arial" w:cs="Arial"/>
                <w:color w:val="auto"/>
                <w:sz w:val="24"/>
                <w:szCs w:val="24"/>
              </w:rPr>
            </w:pPr>
          </w:p>
        </w:tc>
        <w:tc>
          <w:tcPr>
            <w:tcW w:w="567" w:type="dxa"/>
            <w:gridSpan w:val="3"/>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00C9C951" w14:textId="77777777" w:rsidR="009B5342" w:rsidRPr="00237760" w:rsidRDefault="009B5342" w:rsidP="009367B4">
            <w:pPr>
              <w:spacing w:after="0" w:line="240" w:lineRule="auto"/>
              <w:jc w:val="left"/>
              <w:rPr>
                <w:rFonts w:ascii="Arial" w:hAnsi="Arial" w:cs="Arial"/>
                <w:color w:val="auto"/>
                <w:sz w:val="24"/>
                <w:szCs w:val="24"/>
              </w:rPr>
            </w:pP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83CD3F5" w14:textId="77777777" w:rsidR="009B5342" w:rsidRPr="00237760" w:rsidRDefault="009B5342" w:rsidP="009367B4">
            <w:pPr>
              <w:spacing w:after="0" w:line="240" w:lineRule="auto"/>
              <w:jc w:val="left"/>
              <w:rPr>
                <w:rFonts w:ascii="Arial" w:hAnsi="Arial" w:cs="Arial"/>
                <w:color w:val="auto"/>
                <w:sz w:val="24"/>
                <w:szCs w:val="24"/>
              </w:rPr>
            </w:pP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309C4C4D" w14:textId="77777777" w:rsidR="009B5342" w:rsidRPr="00237760" w:rsidRDefault="009B5342" w:rsidP="009367B4">
            <w:pPr>
              <w:spacing w:after="0" w:line="240" w:lineRule="auto"/>
              <w:jc w:val="left"/>
              <w:rPr>
                <w:rFonts w:ascii="Arial" w:hAnsi="Arial" w:cs="Arial"/>
                <w:color w:val="auto"/>
                <w:sz w:val="24"/>
                <w:szCs w:val="24"/>
              </w:rPr>
            </w:pPr>
          </w:p>
        </w:tc>
        <w:tc>
          <w:tcPr>
            <w:tcW w:w="572"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727F34C" w14:textId="77777777" w:rsidR="009B5342" w:rsidRPr="00237760" w:rsidRDefault="009B5342" w:rsidP="009367B4">
            <w:pPr>
              <w:spacing w:after="0" w:line="240" w:lineRule="auto"/>
              <w:jc w:val="left"/>
              <w:rPr>
                <w:rFonts w:ascii="Arial" w:hAnsi="Arial" w:cs="Arial"/>
                <w:color w:val="auto"/>
                <w:sz w:val="24"/>
                <w:szCs w:val="24"/>
              </w:rPr>
            </w:pPr>
          </w:p>
        </w:tc>
        <w:tc>
          <w:tcPr>
            <w:tcW w:w="548"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52AD95D5" w14:textId="77777777" w:rsidR="009B5342" w:rsidRPr="00237760" w:rsidRDefault="009B5342" w:rsidP="009367B4">
            <w:pPr>
              <w:spacing w:after="0" w:line="240" w:lineRule="auto"/>
              <w:jc w:val="left"/>
              <w:rPr>
                <w:rFonts w:ascii="Arial" w:hAnsi="Arial" w:cs="Arial"/>
                <w:color w:val="auto"/>
                <w:sz w:val="24"/>
                <w:szCs w:val="24"/>
              </w:rPr>
            </w:pPr>
          </w:p>
        </w:tc>
      </w:tr>
      <w:tr w:rsidR="00237760" w:rsidRPr="00237760" w14:paraId="7FEC091D" w14:textId="77777777" w:rsidTr="000D3F32">
        <w:trPr>
          <w:trHeight w:val="14"/>
        </w:trPr>
        <w:tc>
          <w:tcPr>
            <w:tcW w:w="5107" w:type="dxa"/>
            <w:tcBorders>
              <w:top w:val="single" w:sz="4" w:space="0" w:color="BDD6EE" w:themeColor="accent1" w:themeTint="66"/>
              <w:left w:val="nil"/>
              <w:bottom w:val="single" w:sz="4" w:space="0" w:color="BDD6EE" w:themeColor="accent1" w:themeTint="66"/>
              <w:right w:val="single" w:sz="4" w:space="0" w:color="BDD6EE" w:themeColor="accent1" w:themeTint="66"/>
            </w:tcBorders>
            <w:hideMark/>
          </w:tcPr>
          <w:p w14:paraId="5B7A48AC" w14:textId="77777777" w:rsidR="009B5342" w:rsidRPr="00237760" w:rsidRDefault="009B5342"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Kierunek interwencji IV.1. Poprawa funkcjonowania instytucji publicznych na rzecz wzmocnienia wzrostu gospodarczego</w:t>
            </w:r>
          </w:p>
        </w:tc>
        <w:tc>
          <w:tcPr>
            <w:tcW w:w="582"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7D42C2C6" w14:textId="77777777" w:rsidR="009B5342" w:rsidRPr="00237760" w:rsidRDefault="009B5342"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05373366" w14:textId="77777777" w:rsidR="009B5342" w:rsidRPr="00237760" w:rsidRDefault="009B5342" w:rsidP="009367B4">
            <w:pPr>
              <w:spacing w:after="0" w:line="240" w:lineRule="auto"/>
              <w:jc w:val="left"/>
              <w:rPr>
                <w:rFonts w:ascii="Arial" w:hAnsi="Arial" w:cs="Arial"/>
                <w:color w:val="auto"/>
                <w:sz w:val="24"/>
                <w:szCs w:val="24"/>
              </w:rPr>
            </w:pPr>
          </w:p>
        </w:tc>
        <w:tc>
          <w:tcPr>
            <w:tcW w:w="567" w:type="dxa"/>
            <w:gridSpan w:val="3"/>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31BB8122" w14:textId="77777777" w:rsidR="009B5342" w:rsidRPr="00237760" w:rsidRDefault="009B5342" w:rsidP="009367B4">
            <w:pPr>
              <w:spacing w:after="0" w:line="240" w:lineRule="auto"/>
              <w:jc w:val="left"/>
              <w:rPr>
                <w:rFonts w:ascii="Arial" w:hAnsi="Arial" w:cs="Arial"/>
                <w:color w:val="auto"/>
                <w:sz w:val="24"/>
                <w:szCs w:val="24"/>
              </w:rPr>
            </w:pP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0155CE38" w14:textId="77777777" w:rsidR="009B5342" w:rsidRPr="00237760" w:rsidRDefault="009B5342" w:rsidP="009367B4">
            <w:pPr>
              <w:spacing w:after="0" w:line="240" w:lineRule="auto"/>
              <w:jc w:val="left"/>
              <w:rPr>
                <w:rFonts w:ascii="Arial" w:hAnsi="Arial" w:cs="Arial"/>
                <w:color w:val="auto"/>
                <w:sz w:val="24"/>
                <w:szCs w:val="24"/>
              </w:rPr>
            </w:pP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53D4FE27" w14:textId="77777777" w:rsidR="009B5342" w:rsidRPr="00237760" w:rsidRDefault="009B5342" w:rsidP="009367B4">
            <w:pPr>
              <w:spacing w:after="0" w:line="240" w:lineRule="auto"/>
              <w:jc w:val="left"/>
              <w:rPr>
                <w:rFonts w:ascii="Arial" w:hAnsi="Arial" w:cs="Arial"/>
                <w:color w:val="auto"/>
                <w:sz w:val="24"/>
                <w:szCs w:val="24"/>
              </w:rPr>
            </w:pPr>
          </w:p>
        </w:tc>
        <w:tc>
          <w:tcPr>
            <w:tcW w:w="572"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2D2706C5" w14:textId="77777777" w:rsidR="009B5342" w:rsidRPr="00237760" w:rsidRDefault="009B5342" w:rsidP="009367B4">
            <w:pPr>
              <w:spacing w:after="0" w:line="240" w:lineRule="auto"/>
              <w:jc w:val="left"/>
              <w:rPr>
                <w:rFonts w:ascii="Arial" w:hAnsi="Arial" w:cs="Arial"/>
                <w:color w:val="auto"/>
                <w:sz w:val="24"/>
                <w:szCs w:val="24"/>
              </w:rPr>
            </w:pPr>
          </w:p>
        </w:tc>
        <w:tc>
          <w:tcPr>
            <w:tcW w:w="548"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4D3B8862" w14:textId="77777777" w:rsidR="009B5342" w:rsidRPr="00237760" w:rsidRDefault="009B5342" w:rsidP="009367B4">
            <w:pPr>
              <w:spacing w:after="0" w:line="240" w:lineRule="auto"/>
              <w:jc w:val="left"/>
              <w:rPr>
                <w:rFonts w:ascii="Arial" w:hAnsi="Arial" w:cs="Arial"/>
                <w:color w:val="auto"/>
                <w:sz w:val="24"/>
                <w:szCs w:val="24"/>
              </w:rPr>
            </w:pPr>
          </w:p>
        </w:tc>
      </w:tr>
      <w:tr w:rsidR="00237760" w:rsidRPr="00237760" w14:paraId="438596BE" w14:textId="77777777" w:rsidTr="000D3F32">
        <w:trPr>
          <w:trHeight w:val="14"/>
        </w:trPr>
        <w:tc>
          <w:tcPr>
            <w:tcW w:w="5107" w:type="dxa"/>
            <w:tcBorders>
              <w:top w:val="single" w:sz="4" w:space="0" w:color="BDD6EE" w:themeColor="accent1" w:themeTint="66"/>
              <w:left w:val="nil"/>
              <w:bottom w:val="single" w:sz="4" w:space="0" w:color="BDD6EE" w:themeColor="accent1" w:themeTint="66"/>
              <w:right w:val="single" w:sz="4" w:space="0" w:color="BDD6EE" w:themeColor="accent1" w:themeTint="66"/>
            </w:tcBorders>
            <w:hideMark/>
          </w:tcPr>
          <w:p w14:paraId="1D26A4DC" w14:textId="77777777" w:rsidR="009B5342" w:rsidRPr="00237760" w:rsidRDefault="009B5342"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Kierunek interwencji V.1. Wzmocnienie procesu generowania wiedzy i technologii</w:t>
            </w:r>
          </w:p>
        </w:tc>
        <w:tc>
          <w:tcPr>
            <w:tcW w:w="582"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6E8F4132" w14:textId="77777777" w:rsidR="009B5342" w:rsidRPr="00237760" w:rsidRDefault="009B5342"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08C4FAA0" w14:textId="77777777" w:rsidR="009B5342" w:rsidRPr="00237760" w:rsidRDefault="009B5342" w:rsidP="009367B4">
            <w:pPr>
              <w:spacing w:after="0" w:line="240" w:lineRule="auto"/>
              <w:jc w:val="left"/>
              <w:rPr>
                <w:rFonts w:ascii="Arial" w:hAnsi="Arial" w:cs="Arial"/>
                <w:color w:val="auto"/>
                <w:sz w:val="24"/>
                <w:szCs w:val="24"/>
              </w:rPr>
            </w:pPr>
          </w:p>
        </w:tc>
        <w:tc>
          <w:tcPr>
            <w:tcW w:w="567" w:type="dxa"/>
            <w:gridSpan w:val="3"/>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07CF8F7D" w14:textId="77777777" w:rsidR="009B5342" w:rsidRPr="00237760" w:rsidRDefault="009B5342" w:rsidP="009367B4">
            <w:pPr>
              <w:spacing w:after="0" w:line="240" w:lineRule="auto"/>
              <w:jc w:val="left"/>
              <w:rPr>
                <w:rFonts w:ascii="Arial" w:hAnsi="Arial" w:cs="Arial"/>
                <w:color w:val="auto"/>
                <w:sz w:val="24"/>
                <w:szCs w:val="24"/>
              </w:rPr>
            </w:pP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40C06D33" w14:textId="77777777" w:rsidR="009B5342" w:rsidRPr="00237760" w:rsidRDefault="009B5342" w:rsidP="009367B4">
            <w:pPr>
              <w:spacing w:after="0" w:line="240" w:lineRule="auto"/>
              <w:jc w:val="left"/>
              <w:rPr>
                <w:rFonts w:ascii="Arial" w:hAnsi="Arial" w:cs="Arial"/>
                <w:color w:val="auto"/>
                <w:sz w:val="24"/>
                <w:szCs w:val="24"/>
              </w:rPr>
            </w:pP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312A1F9C" w14:textId="77777777" w:rsidR="009B5342" w:rsidRPr="00237760" w:rsidRDefault="009B5342" w:rsidP="009367B4">
            <w:pPr>
              <w:spacing w:after="0" w:line="240" w:lineRule="auto"/>
              <w:jc w:val="left"/>
              <w:rPr>
                <w:rFonts w:ascii="Arial" w:hAnsi="Arial" w:cs="Arial"/>
                <w:color w:val="auto"/>
                <w:sz w:val="24"/>
                <w:szCs w:val="24"/>
              </w:rPr>
            </w:pPr>
          </w:p>
        </w:tc>
        <w:tc>
          <w:tcPr>
            <w:tcW w:w="572"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380B7498" w14:textId="77777777" w:rsidR="009B5342" w:rsidRPr="00237760" w:rsidRDefault="009B5342" w:rsidP="009367B4">
            <w:pPr>
              <w:spacing w:after="0" w:line="240" w:lineRule="auto"/>
              <w:jc w:val="left"/>
              <w:rPr>
                <w:rFonts w:ascii="Arial" w:hAnsi="Arial" w:cs="Arial"/>
                <w:color w:val="auto"/>
                <w:sz w:val="24"/>
                <w:szCs w:val="24"/>
              </w:rPr>
            </w:pPr>
          </w:p>
        </w:tc>
        <w:tc>
          <w:tcPr>
            <w:tcW w:w="548"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2A84CBA7" w14:textId="77777777" w:rsidR="009B5342" w:rsidRPr="00237760" w:rsidRDefault="009B5342" w:rsidP="009367B4">
            <w:pPr>
              <w:spacing w:after="0" w:line="240" w:lineRule="auto"/>
              <w:jc w:val="left"/>
              <w:rPr>
                <w:rFonts w:ascii="Arial" w:hAnsi="Arial" w:cs="Arial"/>
                <w:color w:val="auto"/>
                <w:sz w:val="24"/>
                <w:szCs w:val="24"/>
              </w:rPr>
            </w:pPr>
          </w:p>
        </w:tc>
      </w:tr>
      <w:tr w:rsidR="00237760" w:rsidRPr="00237760" w14:paraId="07B3F388" w14:textId="77777777" w:rsidTr="000D3F32">
        <w:trPr>
          <w:trHeight w:val="14"/>
        </w:trPr>
        <w:tc>
          <w:tcPr>
            <w:tcW w:w="5107" w:type="dxa"/>
            <w:tcBorders>
              <w:top w:val="single" w:sz="4" w:space="0" w:color="BDD6EE" w:themeColor="accent1" w:themeTint="66"/>
              <w:left w:val="nil"/>
              <w:bottom w:val="single" w:sz="4" w:space="0" w:color="BDD6EE" w:themeColor="accent1" w:themeTint="66"/>
              <w:right w:val="single" w:sz="4" w:space="0" w:color="BDD6EE" w:themeColor="accent1" w:themeTint="66"/>
            </w:tcBorders>
            <w:hideMark/>
          </w:tcPr>
          <w:p w14:paraId="76F4BF07" w14:textId="77777777" w:rsidR="009B5342" w:rsidRPr="00237760" w:rsidRDefault="009B5342"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Kierunek interwencji VI.2. Zwiększenie intensywności wykorzystania danych</w:t>
            </w:r>
          </w:p>
        </w:tc>
        <w:tc>
          <w:tcPr>
            <w:tcW w:w="582"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26515EBD" w14:textId="77777777" w:rsidR="009B5342" w:rsidRPr="00237760" w:rsidRDefault="009B5342"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AAC416B" w14:textId="77777777" w:rsidR="009B5342" w:rsidRPr="00237760" w:rsidRDefault="009B5342" w:rsidP="009367B4">
            <w:pPr>
              <w:spacing w:after="0" w:line="240" w:lineRule="auto"/>
              <w:jc w:val="left"/>
              <w:rPr>
                <w:rFonts w:ascii="Arial" w:hAnsi="Arial" w:cs="Arial"/>
                <w:color w:val="auto"/>
                <w:sz w:val="24"/>
                <w:szCs w:val="24"/>
              </w:rPr>
            </w:pPr>
          </w:p>
        </w:tc>
        <w:tc>
          <w:tcPr>
            <w:tcW w:w="567" w:type="dxa"/>
            <w:gridSpan w:val="3"/>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5D5667A8" w14:textId="77777777" w:rsidR="009B5342" w:rsidRPr="00237760" w:rsidRDefault="009B5342" w:rsidP="009367B4">
            <w:pPr>
              <w:spacing w:after="0" w:line="240" w:lineRule="auto"/>
              <w:jc w:val="left"/>
              <w:rPr>
                <w:rFonts w:ascii="Arial" w:hAnsi="Arial" w:cs="Arial"/>
                <w:color w:val="auto"/>
                <w:sz w:val="24"/>
                <w:szCs w:val="24"/>
              </w:rPr>
            </w:pP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6D3844D" w14:textId="77777777" w:rsidR="009B5342" w:rsidRPr="00237760" w:rsidRDefault="009B5342" w:rsidP="009367B4">
            <w:pPr>
              <w:spacing w:after="0" w:line="240" w:lineRule="auto"/>
              <w:jc w:val="left"/>
              <w:rPr>
                <w:rFonts w:ascii="Arial" w:hAnsi="Arial" w:cs="Arial"/>
                <w:color w:val="auto"/>
                <w:sz w:val="24"/>
                <w:szCs w:val="24"/>
              </w:rPr>
            </w:pP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0B8769DF" w14:textId="77777777" w:rsidR="009B5342" w:rsidRPr="00237760" w:rsidRDefault="009B5342" w:rsidP="009367B4">
            <w:pPr>
              <w:spacing w:after="0" w:line="240" w:lineRule="auto"/>
              <w:jc w:val="left"/>
              <w:rPr>
                <w:rFonts w:ascii="Arial" w:hAnsi="Arial" w:cs="Arial"/>
                <w:color w:val="auto"/>
                <w:sz w:val="24"/>
                <w:szCs w:val="24"/>
              </w:rPr>
            </w:pPr>
          </w:p>
        </w:tc>
        <w:tc>
          <w:tcPr>
            <w:tcW w:w="572"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64F55911" w14:textId="77777777" w:rsidR="009B5342" w:rsidRPr="00237760" w:rsidRDefault="009B5342" w:rsidP="009367B4">
            <w:pPr>
              <w:spacing w:after="0" w:line="240" w:lineRule="auto"/>
              <w:jc w:val="left"/>
              <w:rPr>
                <w:rFonts w:ascii="Arial" w:hAnsi="Arial" w:cs="Arial"/>
                <w:color w:val="auto"/>
                <w:sz w:val="24"/>
                <w:szCs w:val="24"/>
              </w:rPr>
            </w:pPr>
          </w:p>
        </w:tc>
        <w:tc>
          <w:tcPr>
            <w:tcW w:w="548"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3366BED6" w14:textId="77777777" w:rsidR="009B5342" w:rsidRPr="00237760" w:rsidRDefault="009B5342" w:rsidP="009367B4">
            <w:pPr>
              <w:spacing w:after="0" w:line="240" w:lineRule="auto"/>
              <w:jc w:val="left"/>
              <w:rPr>
                <w:rFonts w:ascii="Arial" w:hAnsi="Arial" w:cs="Arial"/>
                <w:color w:val="auto"/>
                <w:sz w:val="24"/>
                <w:szCs w:val="24"/>
              </w:rPr>
            </w:pPr>
          </w:p>
        </w:tc>
      </w:tr>
      <w:tr w:rsidR="00237760" w:rsidRPr="00237760" w14:paraId="26CDC605" w14:textId="77777777" w:rsidTr="000D3F32">
        <w:trPr>
          <w:trHeight w:val="14"/>
        </w:trPr>
        <w:tc>
          <w:tcPr>
            <w:tcW w:w="5107" w:type="dxa"/>
            <w:tcBorders>
              <w:top w:val="single" w:sz="4" w:space="0" w:color="BDD6EE" w:themeColor="accent1" w:themeTint="66"/>
              <w:left w:val="nil"/>
              <w:bottom w:val="single" w:sz="4" w:space="0" w:color="BDD6EE" w:themeColor="accent1" w:themeTint="66"/>
              <w:right w:val="single" w:sz="4" w:space="0" w:color="BDD6EE" w:themeColor="accent1" w:themeTint="66"/>
            </w:tcBorders>
            <w:hideMark/>
          </w:tcPr>
          <w:p w14:paraId="1D926F71" w14:textId="77777777" w:rsidR="009B5342" w:rsidRPr="00237760" w:rsidRDefault="009B5342"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Kierunek interwencji VII.1. Ekspansja zagraniczna</w:t>
            </w:r>
          </w:p>
        </w:tc>
        <w:tc>
          <w:tcPr>
            <w:tcW w:w="582"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15C9FD06" w14:textId="77777777" w:rsidR="009B5342" w:rsidRPr="00237760" w:rsidRDefault="009B5342"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00FC80C9" w14:textId="77777777" w:rsidR="009B5342" w:rsidRPr="00237760" w:rsidRDefault="009B5342" w:rsidP="009367B4">
            <w:pPr>
              <w:spacing w:after="0" w:line="240" w:lineRule="auto"/>
              <w:jc w:val="left"/>
              <w:rPr>
                <w:rFonts w:ascii="Arial" w:hAnsi="Arial" w:cs="Arial"/>
                <w:color w:val="auto"/>
                <w:sz w:val="24"/>
                <w:szCs w:val="24"/>
              </w:rPr>
            </w:pPr>
          </w:p>
        </w:tc>
        <w:tc>
          <w:tcPr>
            <w:tcW w:w="567" w:type="dxa"/>
            <w:gridSpan w:val="3"/>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1E55BEF" w14:textId="77777777" w:rsidR="009B5342" w:rsidRPr="00237760" w:rsidRDefault="009B5342" w:rsidP="009367B4">
            <w:pPr>
              <w:spacing w:after="0" w:line="240" w:lineRule="auto"/>
              <w:jc w:val="left"/>
              <w:rPr>
                <w:rFonts w:ascii="Arial" w:hAnsi="Arial" w:cs="Arial"/>
                <w:color w:val="auto"/>
                <w:sz w:val="24"/>
                <w:szCs w:val="24"/>
              </w:rPr>
            </w:pP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0704D385" w14:textId="77777777" w:rsidR="009B5342" w:rsidRPr="00237760" w:rsidRDefault="009B5342" w:rsidP="009367B4">
            <w:pPr>
              <w:spacing w:after="0" w:line="240" w:lineRule="auto"/>
              <w:jc w:val="left"/>
              <w:rPr>
                <w:rFonts w:ascii="Arial" w:hAnsi="Arial" w:cs="Arial"/>
                <w:color w:val="auto"/>
                <w:sz w:val="24"/>
                <w:szCs w:val="24"/>
              </w:rPr>
            </w:pP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F333F59" w14:textId="77777777" w:rsidR="009B5342" w:rsidRPr="00237760" w:rsidRDefault="009B5342" w:rsidP="009367B4">
            <w:pPr>
              <w:spacing w:after="0" w:line="240" w:lineRule="auto"/>
              <w:jc w:val="left"/>
              <w:rPr>
                <w:rFonts w:ascii="Arial" w:hAnsi="Arial" w:cs="Arial"/>
                <w:color w:val="auto"/>
                <w:sz w:val="24"/>
                <w:szCs w:val="24"/>
              </w:rPr>
            </w:pPr>
          </w:p>
        </w:tc>
        <w:tc>
          <w:tcPr>
            <w:tcW w:w="572"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4C1235B6" w14:textId="77777777" w:rsidR="009B5342" w:rsidRPr="00237760" w:rsidRDefault="009B5342" w:rsidP="009367B4">
            <w:pPr>
              <w:spacing w:after="0" w:line="240" w:lineRule="auto"/>
              <w:jc w:val="left"/>
              <w:rPr>
                <w:rFonts w:ascii="Arial" w:hAnsi="Arial" w:cs="Arial"/>
                <w:color w:val="auto"/>
                <w:sz w:val="24"/>
                <w:szCs w:val="24"/>
              </w:rPr>
            </w:pPr>
          </w:p>
        </w:tc>
        <w:tc>
          <w:tcPr>
            <w:tcW w:w="548"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71A37509" w14:textId="77777777" w:rsidR="009B5342" w:rsidRPr="00237760" w:rsidRDefault="009B5342" w:rsidP="009367B4">
            <w:pPr>
              <w:spacing w:after="0" w:line="240" w:lineRule="auto"/>
              <w:jc w:val="left"/>
              <w:rPr>
                <w:rFonts w:ascii="Arial" w:hAnsi="Arial" w:cs="Arial"/>
                <w:color w:val="auto"/>
                <w:sz w:val="24"/>
                <w:szCs w:val="24"/>
              </w:rPr>
            </w:pPr>
          </w:p>
        </w:tc>
      </w:tr>
      <w:tr w:rsidR="00237760" w:rsidRPr="00237760" w14:paraId="44C1FB5B" w14:textId="77777777" w:rsidTr="000D3F32">
        <w:trPr>
          <w:trHeight w:val="65"/>
        </w:trPr>
        <w:tc>
          <w:tcPr>
            <w:tcW w:w="9077" w:type="dxa"/>
            <w:gridSpan w:val="15"/>
            <w:tcBorders>
              <w:top w:val="nil"/>
              <w:left w:val="nil"/>
              <w:bottom w:val="single" w:sz="4" w:space="0" w:color="BDD6EE" w:themeColor="accent1" w:themeTint="66"/>
              <w:right w:val="nil"/>
            </w:tcBorders>
            <w:shd w:val="clear" w:color="auto" w:fill="auto"/>
            <w:vAlign w:val="center"/>
            <w:hideMark/>
          </w:tcPr>
          <w:p w14:paraId="50B4D7A7" w14:textId="77777777" w:rsidR="009B5342" w:rsidRPr="00237760" w:rsidRDefault="009B5342"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Strategia Rozwoju Kapitału Ludzkiego 2030</w:t>
            </w:r>
          </w:p>
        </w:tc>
      </w:tr>
      <w:tr w:rsidR="00237760" w:rsidRPr="00237760" w14:paraId="22E24318" w14:textId="77777777" w:rsidTr="000D3F32">
        <w:trPr>
          <w:trHeight w:val="70"/>
        </w:trPr>
        <w:tc>
          <w:tcPr>
            <w:tcW w:w="5107" w:type="dxa"/>
            <w:vMerge w:val="restart"/>
            <w:tcBorders>
              <w:top w:val="nil"/>
              <w:left w:val="nil"/>
              <w:bottom w:val="single" w:sz="4" w:space="0" w:color="BDD6EE" w:themeColor="accent1" w:themeTint="66"/>
              <w:right w:val="nil"/>
            </w:tcBorders>
            <w:shd w:val="clear" w:color="auto" w:fill="auto"/>
            <w:vAlign w:val="center"/>
            <w:hideMark/>
          </w:tcPr>
          <w:p w14:paraId="60D4BC28" w14:textId="77777777" w:rsidR="009B5342" w:rsidRPr="00237760" w:rsidRDefault="009B5342"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szczegółowe</w:t>
            </w:r>
          </w:p>
        </w:tc>
        <w:tc>
          <w:tcPr>
            <w:tcW w:w="1716" w:type="dxa"/>
            <w:gridSpan w:val="6"/>
            <w:tcBorders>
              <w:top w:val="nil"/>
              <w:left w:val="nil"/>
              <w:bottom w:val="single" w:sz="4" w:space="0" w:color="BDD6EE" w:themeColor="accent1" w:themeTint="66"/>
              <w:right w:val="nil"/>
            </w:tcBorders>
            <w:shd w:val="clear" w:color="auto" w:fill="auto"/>
            <w:hideMark/>
          </w:tcPr>
          <w:p w14:paraId="5C432C29" w14:textId="77777777" w:rsidR="009B5342" w:rsidRPr="00237760" w:rsidRDefault="009B5342"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podstawowe PSRT WP</w:t>
            </w:r>
          </w:p>
        </w:tc>
        <w:tc>
          <w:tcPr>
            <w:tcW w:w="2254" w:type="dxa"/>
            <w:gridSpan w:val="8"/>
            <w:tcBorders>
              <w:top w:val="nil"/>
              <w:left w:val="nil"/>
              <w:bottom w:val="single" w:sz="4" w:space="0" w:color="BDD6EE" w:themeColor="accent1" w:themeTint="66"/>
              <w:right w:val="nil"/>
            </w:tcBorders>
            <w:shd w:val="clear" w:color="auto" w:fill="auto"/>
            <w:vAlign w:val="center"/>
            <w:hideMark/>
          </w:tcPr>
          <w:p w14:paraId="180214BD" w14:textId="77777777" w:rsidR="009B5342" w:rsidRPr="00237760" w:rsidRDefault="009B5342"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horyzontalne PSRT WP</w:t>
            </w:r>
          </w:p>
        </w:tc>
      </w:tr>
      <w:tr w:rsidR="00237760" w:rsidRPr="00237760" w14:paraId="7CAD3B13" w14:textId="77777777" w:rsidTr="000D3F32">
        <w:trPr>
          <w:trHeight w:val="50"/>
        </w:trPr>
        <w:tc>
          <w:tcPr>
            <w:tcW w:w="5107" w:type="dxa"/>
            <w:vMerge/>
            <w:tcBorders>
              <w:top w:val="nil"/>
              <w:left w:val="nil"/>
              <w:bottom w:val="single" w:sz="4" w:space="0" w:color="BDD6EE" w:themeColor="accent1" w:themeTint="66"/>
              <w:right w:val="nil"/>
            </w:tcBorders>
            <w:shd w:val="clear" w:color="auto" w:fill="auto"/>
            <w:vAlign w:val="center"/>
            <w:hideMark/>
          </w:tcPr>
          <w:p w14:paraId="5D34BE8B" w14:textId="77777777" w:rsidR="009B5342" w:rsidRPr="00237760" w:rsidRDefault="009B5342" w:rsidP="009367B4">
            <w:pPr>
              <w:spacing w:after="0" w:line="240" w:lineRule="auto"/>
              <w:jc w:val="left"/>
              <w:rPr>
                <w:rFonts w:ascii="Arial" w:hAnsi="Arial" w:cs="Arial"/>
                <w:b/>
                <w:color w:val="auto"/>
                <w:sz w:val="24"/>
                <w:szCs w:val="24"/>
              </w:rPr>
            </w:pPr>
          </w:p>
        </w:tc>
        <w:tc>
          <w:tcPr>
            <w:tcW w:w="582"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hideMark/>
          </w:tcPr>
          <w:p w14:paraId="4B7EB7A2" w14:textId="77777777" w:rsidR="009B5342" w:rsidRPr="00237760" w:rsidRDefault="009B5342"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hideMark/>
          </w:tcPr>
          <w:p w14:paraId="57579339" w14:textId="77777777" w:rsidR="009B5342" w:rsidRPr="00237760" w:rsidRDefault="009B5342"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567" w:type="dxa"/>
            <w:gridSpan w:val="3"/>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hideMark/>
          </w:tcPr>
          <w:p w14:paraId="55B7D596" w14:textId="77777777" w:rsidR="009B5342" w:rsidRPr="00237760" w:rsidRDefault="009B5342"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hideMark/>
          </w:tcPr>
          <w:p w14:paraId="0889BA35" w14:textId="77777777" w:rsidR="009B5342" w:rsidRPr="00237760" w:rsidRDefault="009B5342"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hideMark/>
          </w:tcPr>
          <w:p w14:paraId="26B92725" w14:textId="77777777" w:rsidR="009B5342" w:rsidRPr="00237760" w:rsidRDefault="009B5342"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572" w:type="dxa"/>
            <w:gridSpan w:val="2"/>
            <w:tcBorders>
              <w:top w:val="single" w:sz="4" w:space="0" w:color="BDD6EE" w:themeColor="accent1" w:themeTint="66"/>
              <w:left w:val="single" w:sz="4" w:space="0" w:color="BDD6EE" w:themeColor="accent1" w:themeTint="66"/>
              <w:bottom w:val="single" w:sz="4" w:space="0" w:color="BDD6EE" w:themeColor="accent1" w:themeTint="66"/>
              <w:right w:val="nil"/>
            </w:tcBorders>
            <w:shd w:val="clear" w:color="auto" w:fill="auto"/>
            <w:hideMark/>
          </w:tcPr>
          <w:p w14:paraId="281F9082" w14:textId="77777777" w:rsidR="009B5342" w:rsidRPr="00237760" w:rsidRDefault="009B5342"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548" w:type="dxa"/>
            <w:gridSpan w:val="2"/>
            <w:tcBorders>
              <w:top w:val="single" w:sz="4" w:space="0" w:color="BDD6EE" w:themeColor="accent1" w:themeTint="66"/>
              <w:left w:val="single" w:sz="4" w:space="0" w:color="BDD6EE" w:themeColor="accent1" w:themeTint="66"/>
              <w:bottom w:val="single" w:sz="4" w:space="0" w:color="BDD6EE" w:themeColor="accent1" w:themeTint="66"/>
              <w:right w:val="nil"/>
            </w:tcBorders>
            <w:shd w:val="clear" w:color="auto" w:fill="auto"/>
            <w:hideMark/>
          </w:tcPr>
          <w:p w14:paraId="5DF78B70" w14:textId="77777777" w:rsidR="009B5342" w:rsidRPr="00237760" w:rsidRDefault="009B5342"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4.</w:t>
            </w:r>
          </w:p>
        </w:tc>
      </w:tr>
      <w:tr w:rsidR="00237760" w:rsidRPr="00237760" w14:paraId="7CBD3064" w14:textId="77777777" w:rsidTr="000D3F32">
        <w:trPr>
          <w:trHeight w:val="221"/>
        </w:trPr>
        <w:tc>
          <w:tcPr>
            <w:tcW w:w="5107" w:type="dxa"/>
            <w:tcBorders>
              <w:top w:val="single" w:sz="4" w:space="0" w:color="BDD6EE" w:themeColor="accent1" w:themeTint="66"/>
              <w:left w:val="nil"/>
              <w:bottom w:val="single" w:sz="4" w:space="0" w:color="BDD6EE" w:themeColor="accent1" w:themeTint="66"/>
              <w:right w:val="single" w:sz="4" w:space="0" w:color="BDD6EE" w:themeColor="accent1" w:themeTint="66"/>
            </w:tcBorders>
            <w:hideMark/>
          </w:tcPr>
          <w:p w14:paraId="1CC03D9E" w14:textId="77777777" w:rsidR="009B5342" w:rsidRPr="00237760" w:rsidRDefault="009B5342"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lastRenderedPageBreak/>
              <w:t>Cel szczegółowy 2: Poprawa zdrowia obywateli oraz efektywności systemu opieki zdrowotnej</w:t>
            </w:r>
          </w:p>
        </w:tc>
        <w:tc>
          <w:tcPr>
            <w:tcW w:w="582"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160897AA" w14:textId="77777777" w:rsidR="009B5342" w:rsidRPr="00237760" w:rsidRDefault="009B5342"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62AF1040" w14:textId="77777777" w:rsidR="009B5342" w:rsidRPr="00237760" w:rsidRDefault="009B5342" w:rsidP="009367B4">
            <w:pPr>
              <w:spacing w:after="0" w:line="240" w:lineRule="auto"/>
              <w:jc w:val="left"/>
              <w:rPr>
                <w:rFonts w:ascii="Arial" w:hAnsi="Arial" w:cs="Arial"/>
                <w:color w:val="auto"/>
                <w:sz w:val="24"/>
                <w:szCs w:val="24"/>
              </w:rPr>
            </w:pPr>
          </w:p>
        </w:tc>
        <w:tc>
          <w:tcPr>
            <w:tcW w:w="567" w:type="dxa"/>
            <w:gridSpan w:val="3"/>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710F49A1" w14:textId="77777777" w:rsidR="009B5342" w:rsidRPr="00237760" w:rsidRDefault="009B5342" w:rsidP="009367B4">
            <w:pPr>
              <w:spacing w:after="0" w:line="240" w:lineRule="auto"/>
              <w:jc w:val="left"/>
              <w:rPr>
                <w:rFonts w:ascii="Arial" w:hAnsi="Arial" w:cs="Arial"/>
                <w:color w:val="auto"/>
                <w:sz w:val="24"/>
                <w:szCs w:val="24"/>
              </w:rPr>
            </w:pP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2889248" w14:textId="77777777" w:rsidR="009B5342" w:rsidRPr="00237760" w:rsidRDefault="009B5342" w:rsidP="009367B4">
            <w:pPr>
              <w:spacing w:after="0" w:line="240" w:lineRule="auto"/>
              <w:jc w:val="left"/>
              <w:rPr>
                <w:rFonts w:ascii="Arial" w:hAnsi="Arial" w:cs="Arial"/>
                <w:color w:val="auto"/>
                <w:sz w:val="24"/>
                <w:szCs w:val="24"/>
              </w:rPr>
            </w:pP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C60CA77" w14:textId="77777777" w:rsidR="009B5342" w:rsidRPr="00237760" w:rsidRDefault="009B5342" w:rsidP="009367B4">
            <w:pPr>
              <w:spacing w:after="0" w:line="240" w:lineRule="auto"/>
              <w:jc w:val="left"/>
              <w:rPr>
                <w:rFonts w:ascii="Arial" w:hAnsi="Arial" w:cs="Arial"/>
                <w:color w:val="auto"/>
                <w:sz w:val="24"/>
                <w:szCs w:val="24"/>
              </w:rPr>
            </w:pPr>
          </w:p>
        </w:tc>
        <w:tc>
          <w:tcPr>
            <w:tcW w:w="572"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2844303E" w14:textId="77777777" w:rsidR="009B5342" w:rsidRPr="00237760" w:rsidRDefault="009B5342" w:rsidP="009367B4">
            <w:pPr>
              <w:spacing w:after="0" w:line="240" w:lineRule="auto"/>
              <w:jc w:val="left"/>
              <w:rPr>
                <w:rFonts w:ascii="Arial" w:hAnsi="Arial" w:cs="Arial"/>
                <w:color w:val="auto"/>
                <w:sz w:val="24"/>
                <w:szCs w:val="24"/>
              </w:rPr>
            </w:pPr>
          </w:p>
        </w:tc>
        <w:tc>
          <w:tcPr>
            <w:tcW w:w="548"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5AFB7B7C" w14:textId="77777777" w:rsidR="009B5342" w:rsidRPr="00237760" w:rsidRDefault="009B5342" w:rsidP="009367B4">
            <w:pPr>
              <w:spacing w:after="0" w:line="240" w:lineRule="auto"/>
              <w:jc w:val="left"/>
              <w:rPr>
                <w:rFonts w:ascii="Arial" w:hAnsi="Arial" w:cs="Arial"/>
                <w:color w:val="auto"/>
                <w:sz w:val="24"/>
                <w:szCs w:val="24"/>
              </w:rPr>
            </w:pPr>
          </w:p>
        </w:tc>
      </w:tr>
      <w:tr w:rsidR="00237760" w:rsidRPr="00237760" w14:paraId="759A0C0E" w14:textId="77777777" w:rsidTr="000D3F32">
        <w:trPr>
          <w:trHeight w:val="341"/>
        </w:trPr>
        <w:tc>
          <w:tcPr>
            <w:tcW w:w="5107" w:type="dxa"/>
            <w:tcBorders>
              <w:top w:val="single" w:sz="4" w:space="0" w:color="BDD6EE" w:themeColor="accent1" w:themeTint="66"/>
              <w:left w:val="nil"/>
              <w:bottom w:val="single" w:sz="4" w:space="0" w:color="BDD6EE" w:themeColor="accent1" w:themeTint="66"/>
              <w:right w:val="single" w:sz="4" w:space="0" w:color="BDD6EE" w:themeColor="accent1" w:themeTint="66"/>
            </w:tcBorders>
            <w:hideMark/>
          </w:tcPr>
          <w:p w14:paraId="00F65F33" w14:textId="77777777" w:rsidR="009B5342" w:rsidRPr="00237760" w:rsidRDefault="009B5342"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Cel szczegółowy 3: Wzrost i poprawa wykorzystania potencjału kapitału ludzkiego na rynku pracy</w:t>
            </w:r>
          </w:p>
        </w:tc>
        <w:tc>
          <w:tcPr>
            <w:tcW w:w="582"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06AEC62D" w14:textId="77777777" w:rsidR="009B5342" w:rsidRPr="00237760" w:rsidRDefault="009B5342"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9F56AFC" w14:textId="77777777" w:rsidR="009B5342" w:rsidRPr="00237760" w:rsidRDefault="009B5342" w:rsidP="009367B4">
            <w:pPr>
              <w:spacing w:after="0" w:line="240" w:lineRule="auto"/>
              <w:jc w:val="left"/>
              <w:rPr>
                <w:rFonts w:ascii="Arial" w:hAnsi="Arial" w:cs="Arial"/>
                <w:color w:val="auto"/>
                <w:sz w:val="24"/>
                <w:szCs w:val="24"/>
              </w:rPr>
            </w:pPr>
          </w:p>
        </w:tc>
        <w:tc>
          <w:tcPr>
            <w:tcW w:w="567" w:type="dxa"/>
            <w:gridSpan w:val="3"/>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57164B8E" w14:textId="77777777" w:rsidR="009B5342" w:rsidRPr="00237760" w:rsidRDefault="009B5342" w:rsidP="009367B4">
            <w:pPr>
              <w:spacing w:after="0" w:line="240" w:lineRule="auto"/>
              <w:jc w:val="left"/>
              <w:rPr>
                <w:rFonts w:ascii="Arial" w:hAnsi="Arial" w:cs="Arial"/>
                <w:color w:val="auto"/>
                <w:sz w:val="24"/>
                <w:szCs w:val="24"/>
              </w:rPr>
            </w:pP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0D5D6E84" w14:textId="77777777" w:rsidR="009B5342" w:rsidRPr="00237760" w:rsidRDefault="009B5342" w:rsidP="009367B4">
            <w:pPr>
              <w:spacing w:after="0" w:line="240" w:lineRule="auto"/>
              <w:jc w:val="left"/>
              <w:rPr>
                <w:rFonts w:ascii="Arial" w:hAnsi="Arial" w:cs="Arial"/>
                <w:color w:val="auto"/>
                <w:sz w:val="24"/>
                <w:szCs w:val="24"/>
              </w:rPr>
            </w:pP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4656EF5" w14:textId="77777777" w:rsidR="009B5342" w:rsidRPr="00237760" w:rsidRDefault="009B5342" w:rsidP="009367B4">
            <w:pPr>
              <w:spacing w:after="0" w:line="240" w:lineRule="auto"/>
              <w:jc w:val="left"/>
              <w:rPr>
                <w:rFonts w:ascii="Arial" w:hAnsi="Arial" w:cs="Arial"/>
                <w:color w:val="auto"/>
                <w:sz w:val="24"/>
                <w:szCs w:val="24"/>
              </w:rPr>
            </w:pPr>
          </w:p>
        </w:tc>
        <w:tc>
          <w:tcPr>
            <w:tcW w:w="572"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25E7EE6" w14:textId="77777777" w:rsidR="009B5342" w:rsidRPr="00237760" w:rsidRDefault="009B5342" w:rsidP="009367B4">
            <w:pPr>
              <w:spacing w:after="0" w:line="240" w:lineRule="auto"/>
              <w:jc w:val="left"/>
              <w:rPr>
                <w:rFonts w:ascii="Arial" w:hAnsi="Arial" w:cs="Arial"/>
                <w:color w:val="auto"/>
                <w:sz w:val="24"/>
                <w:szCs w:val="24"/>
              </w:rPr>
            </w:pPr>
          </w:p>
        </w:tc>
        <w:tc>
          <w:tcPr>
            <w:tcW w:w="548"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0E372BDA" w14:textId="77777777" w:rsidR="009B5342" w:rsidRPr="00237760" w:rsidRDefault="009B5342" w:rsidP="009367B4">
            <w:pPr>
              <w:spacing w:after="0" w:line="240" w:lineRule="auto"/>
              <w:jc w:val="left"/>
              <w:rPr>
                <w:rFonts w:ascii="Arial" w:hAnsi="Arial" w:cs="Arial"/>
                <w:color w:val="auto"/>
                <w:sz w:val="24"/>
                <w:szCs w:val="24"/>
              </w:rPr>
            </w:pPr>
          </w:p>
        </w:tc>
      </w:tr>
      <w:tr w:rsidR="00237760" w:rsidRPr="00237760" w14:paraId="774FC686" w14:textId="77777777" w:rsidTr="000D3F32">
        <w:trPr>
          <w:trHeight w:val="14"/>
        </w:trPr>
        <w:tc>
          <w:tcPr>
            <w:tcW w:w="5107" w:type="dxa"/>
            <w:tcBorders>
              <w:top w:val="single" w:sz="4" w:space="0" w:color="BDD6EE" w:themeColor="accent1" w:themeTint="66"/>
              <w:left w:val="nil"/>
              <w:bottom w:val="single" w:sz="4" w:space="0" w:color="BDD6EE" w:themeColor="accent1" w:themeTint="66"/>
              <w:right w:val="single" w:sz="4" w:space="0" w:color="BDD6EE" w:themeColor="accent1" w:themeTint="66"/>
            </w:tcBorders>
            <w:hideMark/>
          </w:tcPr>
          <w:p w14:paraId="31CD6854" w14:textId="77777777" w:rsidR="009B5342" w:rsidRPr="00237760" w:rsidRDefault="009B5342"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Cel szczegółowy 4: Redukcja ubóstwa i wykluczenia społecznego oraz poprawa dostępu do usług świadczonych w odpowiedzi na wyzwania demograficzne</w:t>
            </w:r>
          </w:p>
        </w:tc>
        <w:tc>
          <w:tcPr>
            <w:tcW w:w="582"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30282014" w14:textId="77777777" w:rsidR="009B5342" w:rsidRPr="00237760" w:rsidRDefault="009B5342"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0E6376A3" w14:textId="77777777" w:rsidR="009B5342" w:rsidRPr="00237760" w:rsidRDefault="009B5342" w:rsidP="009367B4">
            <w:pPr>
              <w:spacing w:after="0" w:line="240" w:lineRule="auto"/>
              <w:jc w:val="left"/>
              <w:rPr>
                <w:rFonts w:ascii="Arial" w:hAnsi="Arial" w:cs="Arial"/>
                <w:color w:val="auto"/>
                <w:sz w:val="24"/>
                <w:szCs w:val="24"/>
              </w:rPr>
            </w:pPr>
          </w:p>
        </w:tc>
        <w:tc>
          <w:tcPr>
            <w:tcW w:w="567" w:type="dxa"/>
            <w:gridSpan w:val="3"/>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8CAF6C0" w14:textId="77777777" w:rsidR="009B5342" w:rsidRPr="00237760" w:rsidRDefault="009B5342" w:rsidP="009367B4">
            <w:pPr>
              <w:spacing w:after="0" w:line="240" w:lineRule="auto"/>
              <w:jc w:val="left"/>
              <w:rPr>
                <w:rFonts w:ascii="Arial" w:hAnsi="Arial" w:cs="Arial"/>
                <w:color w:val="auto"/>
                <w:sz w:val="24"/>
                <w:szCs w:val="24"/>
              </w:rPr>
            </w:pP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3D68EBAF" w14:textId="77777777" w:rsidR="009B5342" w:rsidRPr="00237760" w:rsidRDefault="009B5342" w:rsidP="009367B4">
            <w:pPr>
              <w:spacing w:after="0" w:line="240" w:lineRule="auto"/>
              <w:jc w:val="left"/>
              <w:rPr>
                <w:rFonts w:ascii="Arial" w:hAnsi="Arial" w:cs="Arial"/>
                <w:color w:val="auto"/>
                <w:sz w:val="24"/>
                <w:szCs w:val="24"/>
              </w:rPr>
            </w:pP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D265A6F" w14:textId="77777777" w:rsidR="009B5342" w:rsidRPr="00237760" w:rsidRDefault="009B5342" w:rsidP="009367B4">
            <w:pPr>
              <w:spacing w:after="0" w:line="240" w:lineRule="auto"/>
              <w:jc w:val="left"/>
              <w:rPr>
                <w:rFonts w:ascii="Arial" w:hAnsi="Arial" w:cs="Arial"/>
                <w:color w:val="auto"/>
                <w:sz w:val="24"/>
                <w:szCs w:val="24"/>
              </w:rPr>
            </w:pPr>
          </w:p>
        </w:tc>
        <w:tc>
          <w:tcPr>
            <w:tcW w:w="572"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43684790" w14:textId="77777777" w:rsidR="009B5342" w:rsidRPr="00237760" w:rsidRDefault="009B5342" w:rsidP="009367B4">
            <w:pPr>
              <w:spacing w:after="0" w:line="240" w:lineRule="auto"/>
              <w:jc w:val="left"/>
              <w:rPr>
                <w:rFonts w:ascii="Arial" w:hAnsi="Arial" w:cs="Arial"/>
                <w:color w:val="auto"/>
                <w:sz w:val="24"/>
                <w:szCs w:val="24"/>
              </w:rPr>
            </w:pPr>
          </w:p>
        </w:tc>
        <w:tc>
          <w:tcPr>
            <w:tcW w:w="548"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128E473E" w14:textId="77777777" w:rsidR="009B5342" w:rsidRPr="00237760" w:rsidRDefault="009B5342" w:rsidP="009367B4">
            <w:pPr>
              <w:spacing w:after="0" w:line="240" w:lineRule="auto"/>
              <w:jc w:val="left"/>
              <w:rPr>
                <w:rFonts w:ascii="Arial" w:hAnsi="Arial" w:cs="Arial"/>
                <w:color w:val="auto"/>
                <w:sz w:val="24"/>
                <w:szCs w:val="24"/>
              </w:rPr>
            </w:pPr>
          </w:p>
        </w:tc>
      </w:tr>
      <w:tr w:rsidR="00237760" w:rsidRPr="00237760" w14:paraId="425F7AAF" w14:textId="77777777" w:rsidTr="000D3F32">
        <w:trPr>
          <w:trHeight w:val="50"/>
        </w:trPr>
        <w:tc>
          <w:tcPr>
            <w:tcW w:w="9077" w:type="dxa"/>
            <w:gridSpan w:val="15"/>
            <w:tcBorders>
              <w:top w:val="single" w:sz="4" w:space="0" w:color="BDD6EE" w:themeColor="accent1" w:themeTint="66"/>
              <w:left w:val="nil"/>
              <w:bottom w:val="single" w:sz="4" w:space="0" w:color="BDD6EE" w:themeColor="accent1" w:themeTint="66"/>
              <w:right w:val="single" w:sz="4" w:space="0" w:color="BDD6EE" w:themeColor="accent1" w:themeTint="66"/>
            </w:tcBorders>
            <w:shd w:val="clear" w:color="auto" w:fill="auto"/>
          </w:tcPr>
          <w:p w14:paraId="6AB1CF02" w14:textId="1B2728BE" w:rsidR="008D3757" w:rsidRPr="00237760" w:rsidRDefault="008D3757" w:rsidP="009367B4">
            <w:pPr>
              <w:spacing w:after="0" w:line="240" w:lineRule="auto"/>
              <w:jc w:val="left"/>
              <w:rPr>
                <w:rFonts w:ascii="Arial" w:hAnsi="Arial" w:cs="Arial"/>
                <w:color w:val="auto"/>
                <w:sz w:val="24"/>
                <w:szCs w:val="24"/>
              </w:rPr>
            </w:pPr>
            <w:r w:rsidRPr="00237760">
              <w:rPr>
                <w:rFonts w:ascii="Arial" w:hAnsi="Arial" w:cs="Arial"/>
                <w:b/>
                <w:color w:val="auto"/>
                <w:sz w:val="24"/>
                <w:szCs w:val="24"/>
              </w:rPr>
              <w:t>Strategia Rozwoju Kapitału Społecznego 2030</w:t>
            </w:r>
          </w:p>
        </w:tc>
      </w:tr>
      <w:tr w:rsidR="00237760" w:rsidRPr="00237760" w14:paraId="6D53C739" w14:textId="7F20C428" w:rsidTr="000D3F32">
        <w:trPr>
          <w:trHeight w:val="50"/>
        </w:trPr>
        <w:tc>
          <w:tcPr>
            <w:tcW w:w="5107" w:type="dxa"/>
            <w:vMerge w:val="restart"/>
            <w:tcBorders>
              <w:top w:val="single" w:sz="4" w:space="0" w:color="BDD6EE" w:themeColor="accent1" w:themeTint="66"/>
              <w:left w:val="nil"/>
              <w:right w:val="single" w:sz="4" w:space="0" w:color="BDD6EE" w:themeColor="accent1" w:themeTint="66"/>
            </w:tcBorders>
            <w:shd w:val="clear" w:color="auto" w:fill="auto"/>
            <w:vAlign w:val="center"/>
          </w:tcPr>
          <w:p w14:paraId="711FD5A3" w14:textId="736E3F24" w:rsidR="008D3757" w:rsidRPr="00237760" w:rsidRDefault="008D3757" w:rsidP="009367B4">
            <w:pPr>
              <w:spacing w:after="0" w:line="240" w:lineRule="auto"/>
              <w:jc w:val="left"/>
              <w:rPr>
                <w:rFonts w:ascii="Arial" w:hAnsi="Arial" w:cs="Arial"/>
                <w:color w:val="auto"/>
                <w:sz w:val="24"/>
                <w:szCs w:val="24"/>
              </w:rPr>
            </w:pPr>
            <w:r w:rsidRPr="00237760">
              <w:rPr>
                <w:rFonts w:ascii="Arial" w:hAnsi="Arial" w:cs="Arial"/>
                <w:b/>
                <w:color w:val="auto"/>
                <w:sz w:val="24"/>
                <w:szCs w:val="24"/>
              </w:rPr>
              <w:t>Priorytety</w:t>
            </w:r>
          </w:p>
        </w:tc>
        <w:tc>
          <w:tcPr>
            <w:tcW w:w="1716" w:type="dxa"/>
            <w:gridSpan w:val="6"/>
            <w:tcBorders>
              <w:top w:val="single" w:sz="4" w:space="0" w:color="BDD6EE" w:themeColor="accent1" w:themeTint="66"/>
              <w:left w:val="nil"/>
              <w:bottom w:val="single" w:sz="4" w:space="0" w:color="BDD6EE" w:themeColor="accent1" w:themeTint="66"/>
              <w:right w:val="single" w:sz="4" w:space="0" w:color="BDD6EE" w:themeColor="accent1" w:themeTint="66"/>
            </w:tcBorders>
            <w:shd w:val="clear" w:color="auto" w:fill="auto"/>
          </w:tcPr>
          <w:p w14:paraId="2712379B" w14:textId="7EDCDD67" w:rsidR="008D3757" w:rsidRPr="00237760" w:rsidRDefault="008D3757" w:rsidP="009367B4">
            <w:pPr>
              <w:spacing w:after="0" w:line="240" w:lineRule="auto"/>
              <w:jc w:val="left"/>
              <w:rPr>
                <w:rFonts w:ascii="Arial" w:hAnsi="Arial" w:cs="Arial"/>
                <w:color w:val="auto"/>
                <w:sz w:val="24"/>
                <w:szCs w:val="24"/>
              </w:rPr>
            </w:pPr>
            <w:r w:rsidRPr="00237760">
              <w:rPr>
                <w:rFonts w:ascii="Arial" w:hAnsi="Arial" w:cs="Arial"/>
                <w:b/>
                <w:color w:val="auto"/>
                <w:sz w:val="24"/>
                <w:szCs w:val="24"/>
              </w:rPr>
              <w:t>Cele podstawowe PSRT WP</w:t>
            </w:r>
          </w:p>
        </w:tc>
        <w:tc>
          <w:tcPr>
            <w:tcW w:w="2254" w:type="dxa"/>
            <w:gridSpan w:val="8"/>
            <w:tcBorders>
              <w:top w:val="single" w:sz="4" w:space="0" w:color="BDD6EE" w:themeColor="accent1" w:themeTint="66"/>
              <w:left w:val="nil"/>
              <w:bottom w:val="single" w:sz="4" w:space="0" w:color="BDD6EE" w:themeColor="accent1" w:themeTint="66"/>
              <w:right w:val="single" w:sz="4" w:space="0" w:color="BDD6EE" w:themeColor="accent1" w:themeTint="66"/>
            </w:tcBorders>
            <w:shd w:val="clear" w:color="auto" w:fill="auto"/>
            <w:vAlign w:val="center"/>
          </w:tcPr>
          <w:p w14:paraId="00EBFF91" w14:textId="44372405" w:rsidR="008D3757" w:rsidRPr="00237760" w:rsidRDefault="008D3757" w:rsidP="009367B4">
            <w:pPr>
              <w:spacing w:after="0" w:line="240" w:lineRule="auto"/>
              <w:jc w:val="left"/>
              <w:rPr>
                <w:rFonts w:ascii="Arial" w:hAnsi="Arial" w:cs="Arial"/>
                <w:color w:val="auto"/>
                <w:sz w:val="24"/>
                <w:szCs w:val="24"/>
              </w:rPr>
            </w:pPr>
            <w:r w:rsidRPr="00237760">
              <w:rPr>
                <w:rFonts w:ascii="Arial" w:hAnsi="Arial" w:cs="Arial"/>
                <w:b/>
                <w:color w:val="auto"/>
                <w:sz w:val="24"/>
                <w:szCs w:val="24"/>
              </w:rPr>
              <w:t>Cele horyzontalne PSRT WP</w:t>
            </w:r>
          </w:p>
        </w:tc>
      </w:tr>
      <w:tr w:rsidR="00237760" w:rsidRPr="00237760" w14:paraId="7AD6B29D" w14:textId="456C127C" w:rsidTr="000D3F32">
        <w:trPr>
          <w:trHeight w:val="50"/>
        </w:trPr>
        <w:tc>
          <w:tcPr>
            <w:tcW w:w="5107" w:type="dxa"/>
            <w:vMerge/>
            <w:tcBorders>
              <w:left w:val="nil"/>
              <w:bottom w:val="single" w:sz="4" w:space="0" w:color="BDD6EE" w:themeColor="accent1" w:themeTint="66"/>
              <w:right w:val="single" w:sz="4" w:space="0" w:color="BDD6EE" w:themeColor="accent1" w:themeTint="66"/>
            </w:tcBorders>
            <w:shd w:val="clear" w:color="auto" w:fill="auto"/>
          </w:tcPr>
          <w:p w14:paraId="19EED7BA" w14:textId="0E7DDF7A" w:rsidR="008D3757" w:rsidRPr="00237760" w:rsidRDefault="008D3757" w:rsidP="009367B4">
            <w:pPr>
              <w:spacing w:after="0" w:line="240" w:lineRule="auto"/>
              <w:jc w:val="left"/>
              <w:rPr>
                <w:rFonts w:ascii="Arial" w:hAnsi="Arial" w:cs="Arial"/>
                <w:color w:val="auto"/>
                <w:sz w:val="24"/>
                <w:szCs w:val="24"/>
              </w:rPr>
            </w:pPr>
          </w:p>
        </w:tc>
        <w:tc>
          <w:tcPr>
            <w:tcW w:w="582" w:type="dxa"/>
            <w:gridSpan w:val="2"/>
            <w:tcBorders>
              <w:top w:val="single" w:sz="4" w:space="0" w:color="BDD6EE" w:themeColor="accent1" w:themeTint="66"/>
              <w:left w:val="nil"/>
              <w:bottom w:val="single" w:sz="4" w:space="0" w:color="BDD6EE" w:themeColor="accent1" w:themeTint="66"/>
              <w:right w:val="single" w:sz="4" w:space="0" w:color="BDD6EE" w:themeColor="accent1" w:themeTint="66"/>
            </w:tcBorders>
            <w:shd w:val="clear" w:color="auto" w:fill="auto"/>
          </w:tcPr>
          <w:p w14:paraId="5E0DF630" w14:textId="57778151" w:rsidR="008D3757" w:rsidRPr="00237760" w:rsidRDefault="008D3757"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567" w:type="dxa"/>
            <w:tcBorders>
              <w:top w:val="single" w:sz="4" w:space="0" w:color="BDD6EE" w:themeColor="accent1" w:themeTint="66"/>
              <w:left w:val="nil"/>
              <w:bottom w:val="single" w:sz="4" w:space="0" w:color="BDD6EE" w:themeColor="accent1" w:themeTint="66"/>
              <w:right w:val="single" w:sz="4" w:space="0" w:color="BDD6EE" w:themeColor="accent1" w:themeTint="66"/>
            </w:tcBorders>
            <w:shd w:val="clear" w:color="auto" w:fill="auto"/>
          </w:tcPr>
          <w:p w14:paraId="58AA72CB" w14:textId="1EA8D2A0" w:rsidR="008D3757" w:rsidRPr="00237760" w:rsidRDefault="008D3757"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567" w:type="dxa"/>
            <w:gridSpan w:val="3"/>
            <w:tcBorders>
              <w:top w:val="single" w:sz="4" w:space="0" w:color="BDD6EE" w:themeColor="accent1" w:themeTint="66"/>
              <w:left w:val="nil"/>
              <w:bottom w:val="single" w:sz="4" w:space="0" w:color="BDD6EE" w:themeColor="accent1" w:themeTint="66"/>
              <w:right w:val="single" w:sz="4" w:space="0" w:color="BDD6EE" w:themeColor="accent1" w:themeTint="66"/>
            </w:tcBorders>
            <w:shd w:val="clear" w:color="auto" w:fill="auto"/>
          </w:tcPr>
          <w:p w14:paraId="1E02AA0B" w14:textId="4DA50191" w:rsidR="008D3757" w:rsidRPr="00237760" w:rsidRDefault="008D3757"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567" w:type="dxa"/>
            <w:gridSpan w:val="2"/>
            <w:tcBorders>
              <w:top w:val="single" w:sz="4" w:space="0" w:color="BDD6EE" w:themeColor="accent1" w:themeTint="66"/>
              <w:left w:val="nil"/>
              <w:bottom w:val="single" w:sz="4" w:space="0" w:color="BDD6EE" w:themeColor="accent1" w:themeTint="66"/>
              <w:right w:val="single" w:sz="4" w:space="0" w:color="BDD6EE" w:themeColor="accent1" w:themeTint="66"/>
            </w:tcBorders>
            <w:shd w:val="clear" w:color="auto" w:fill="auto"/>
          </w:tcPr>
          <w:p w14:paraId="674228BB" w14:textId="0F841F9E" w:rsidR="008D3757" w:rsidRPr="00237760" w:rsidRDefault="008D3757"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567" w:type="dxa"/>
            <w:gridSpan w:val="2"/>
            <w:tcBorders>
              <w:top w:val="single" w:sz="4" w:space="0" w:color="BDD6EE" w:themeColor="accent1" w:themeTint="66"/>
              <w:left w:val="nil"/>
              <w:bottom w:val="single" w:sz="4" w:space="0" w:color="BDD6EE" w:themeColor="accent1" w:themeTint="66"/>
              <w:right w:val="single" w:sz="4" w:space="0" w:color="BDD6EE" w:themeColor="accent1" w:themeTint="66"/>
            </w:tcBorders>
            <w:shd w:val="clear" w:color="auto" w:fill="auto"/>
          </w:tcPr>
          <w:p w14:paraId="70218BBC" w14:textId="5ABD9BEE" w:rsidR="008D3757" w:rsidRPr="00237760" w:rsidRDefault="008D3757"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572" w:type="dxa"/>
            <w:gridSpan w:val="2"/>
            <w:tcBorders>
              <w:top w:val="single" w:sz="4" w:space="0" w:color="BDD6EE" w:themeColor="accent1" w:themeTint="66"/>
              <w:left w:val="nil"/>
              <w:bottom w:val="single" w:sz="4" w:space="0" w:color="BDD6EE" w:themeColor="accent1" w:themeTint="66"/>
              <w:right w:val="single" w:sz="4" w:space="0" w:color="BDD6EE" w:themeColor="accent1" w:themeTint="66"/>
            </w:tcBorders>
            <w:shd w:val="clear" w:color="auto" w:fill="auto"/>
          </w:tcPr>
          <w:p w14:paraId="51FAAA86" w14:textId="3713E7C2" w:rsidR="008D3757" w:rsidRPr="00237760" w:rsidRDefault="008D3757"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548" w:type="dxa"/>
            <w:gridSpan w:val="2"/>
            <w:tcBorders>
              <w:top w:val="single" w:sz="4" w:space="0" w:color="BDD6EE" w:themeColor="accent1" w:themeTint="66"/>
              <w:left w:val="nil"/>
              <w:bottom w:val="single" w:sz="4" w:space="0" w:color="BDD6EE" w:themeColor="accent1" w:themeTint="66"/>
              <w:right w:val="single" w:sz="4" w:space="0" w:color="BDD6EE" w:themeColor="accent1" w:themeTint="66"/>
            </w:tcBorders>
            <w:shd w:val="clear" w:color="auto" w:fill="auto"/>
          </w:tcPr>
          <w:p w14:paraId="186CC101" w14:textId="11AEBF57" w:rsidR="008D3757" w:rsidRPr="00237760" w:rsidRDefault="008D3757"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4.</w:t>
            </w:r>
          </w:p>
        </w:tc>
      </w:tr>
      <w:tr w:rsidR="00237760" w:rsidRPr="00237760" w14:paraId="26419634" w14:textId="1F8FD12A" w:rsidTr="000D3F32">
        <w:trPr>
          <w:trHeight w:val="50"/>
        </w:trPr>
        <w:tc>
          <w:tcPr>
            <w:tcW w:w="5107" w:type="dxa"/>
            <w:tcBorders>
              <w:top w:val="single" w:sz="4" w:space="0" w:color="BDD6EE" w:themeColor="accent1" w:themeTint="66"/>
              <w:left w:val="nil"/>
              <w:bottom w:val="single" w:sz="4" w:space="0" w:color="BDD6EE" w:themeColor="accent1" w:themeTint="66"/>
              <w:right w:val="single" w:sz="4" w:space="0" w:color="BDD6EE" w:themeColor="accent1" w:themeTint="66"/>
            </w:tcBorders>
            <w:shd w:val="clear" w:color="auto" w:fill="auto"/>
          </w:tcPr>
          <w:p w14:paraId="114BDBF2" w14:textId="2B741E87" w:rsidR="008D3757" w:rsidRPr="00237760" w:rsidRDefault="008D3757"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2.1. Tworzenie warunków oraz budowanie kompetencji dla wzmacniania uczestnictwa w kulturze</w:t>
            </w:r>
          </w:p>
        </w:tc>
        <w:tc>
          <w:tcPr>
            <w:tcW w:w="582" w:type="dxa"/>
            <w:gridSpan w:val="2"/>
            <w:tcBorders>
              <w:top w:val="single" w:sz="4" w:space="0" w:color="BDD6EE" w:themeColor="accent1" w:themeTint="66"/>
              <w:left w:val="nil"/>
              <w:bottom w:val="single" w:sz="4" w:space="0" w:color="BDD6EE" w:themeColor="accent1" w:themeTint="66"/>
              <w:right w:val="single" w:sz="4" w:space="0" w:color="BDD6EE" w:themeColor="accent1" w:themeTint="66"/>
            </w:tcBorders>
            <w:shd w:val="clear" w:color="auto" w:fill="auto"/>
          </w:tcPr>
          <w:p w14:paraId="6B580E7F" w14:textId="77777777" w:rsidR="008D3757" w:rsidRPr="00237760" w:rsidRDefault="008D3757"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nil"/>
              <w:bottom w:val="single" w:sz="4" w:space="0" w:color="BDD6EE" w:themeColor="accent1" w:themeTint="66"/>
              <w:right w:val="single" w:sz="4" w:space="0" w:color="BDD6EE" w:themeColor="accent1" w:themeTint="66"/>
            </w:tcBorders>
            <w:shd w:val="clear" w:color="auto" w:fill="9CC2E5"/>
          </w:tcPr>
          <w:p w14:paraId="2C3120F7" w14:textId="77777777" w:rsidR="008D3757" w:rsidRPr="00237760" w:rsidRDefault="008D3757" w:rsidP="009367B4">
            <w:pPr>
              <w:spacing w:after="0" w:line="240" w:lineRule="auto"/>
              <w:jc w:val="left"/>
              <w:rPr>
                <w:rFonts w:ascii="Arial" w:hAnsi="Arial" w:cs="Arial"/>
                <w:color w:val="auto"/>
                <w:sz w:val="24"/>
                <w:szCs w:val="24"/>
              </w:rPr>
            </w:pPr>
          </w:p>
        </w:tc>
        <w:tc>
          <w:tcPr>
            <w:tcW w:w="567" w:type="dxa"/>
            <w:gridSpan w:val="3"/>
            <w:tcBorders>
              <w:top w:val="single" w:sz="4" w:space="0" w:color="BDD6EE" w:themeColor="accent1" w:themeTint="66"/>
              <w:left w:val="nil"/>
              <w:bottom w:val="single" w:sz="4" w:space="0" w:color="BDD6EE" w:themeColor="accent1" w:themeTint="66"/>
              <w:right w:val="single" w:sz="4" w:space="0" w:color="BDD6EE" w:themeColor="accent1" w:themeTint="66"/>
            </w:tcBorders>
            <w:shd w:val="clear" w:color="auto" w:fill="9CC2E5"/>
          </w:tcPr>
          <w:p w14:paraId="73CA5CE6" w14:textId="77777777" w:rsidR="008D3757" w:rsidRPr="00237760" w:rsidRDefault="008D3757" w:rsidP="009367B4">
            <w:pPr>
              <w:spacing w:after="0" w:line="240" w:lineRule="auto"/>
              <w:jc w:val="left"/>
              <w:rPr>
                <w:rFonts w:ascii="Arial" w:hAnsi="Arial" w:cs="Arial"/>
                <w:color w:val="auto"/>
                <w:sz w:val="24"/>
                <w:szCs w:val="24"/>
              </w:rPr>
            </w:pPr>
          </w:p>
        </w:tc>
        <w:tc>
          <w:tcPr>
            <w:tcW w:w="567" w:type="dxa"/>
            <w:gridSpan w:val="2"/>
            <w:tcBorders>
              <w:top w:val="single" w:sz="4" w:space="0" w:color="BDD6EE" w:themeColor="accent1" w:themeTint="66"/>
              <w:left w:val="nil"/>
              <w:bottom w:val="single" w:sz="4" w:space="0" w:color="BDD6EE" w:themeColor="accent1" w:themeTint="66"/>
              <w:right w:val="single" w:sz="4" w:space="0" w:color="BDD6EE" w:themeColor="accent1" w:themeTint="66"/>
            </w:tcBorders>
            <w:shd w:val="clear" w:color="auto" w:fill="auto"/>
          </w:tcPr>
          <w:p w14:paraId="355AD419" w14:textId="77777777" w:rsidR="008D3757" w:rsidRPr="00237760" w:rsidRDefault="008D3757" w:rsidP="009367B4">
            <w:pPr>
              <w:spacing w:after="0" w:line="240" w:lineRule="auto"/>
              <w:jc w:val="left"/>
              <w:rPr>
                <w:rFonts w:ascii="Arial" w:hAnsi="Arial" w:cs="Arial"/>
                <w:color w:val="auto"/>
                <w:sz w:val="24"/>
                <w:szCs w:val="24"/>
              </w:rPr>
            </w:pPr>
          </w:p>
        </w:tc>
        <w:tc>
          <w:tcPr>
            <w:tcW w:w="567" w:type="dxa"/>
            <w:gridSpan w:val="2"/>
            <w:tcBorders>
              <w:top w:val="single" w:sz="4" w:space="0" w:color="BDD6EE" w:themeColor="accent1" w:themeTint="66"/>
              <w:left w:val="nil"/>
              <w:bottom w:val="single" w:sz="4" w:space="0" w:color="BDD6EE" w:themeColor="accent1" w:themeTint="66"/>
              <w:right w:val="single" w:sz="4" w:space="0" w:color="BDD6EE" w:themeColor="accent1" w:themeTint="66"/>
            </w:tcBorders>
            <w:shd w:val="clear" w:color="auto" w:fill="auto"/>
          </w:tcPr>
          <w:p w14:paraId="78879653" w14:textId="77777777" w:rsidR="008D3757" w:rsidRPr="00237760" w:rsidRDefault="008D3757" w:rsidP="009367B4">
            <w:pPr>
              <w:spacing w:after="0" w:line="240" w:lineRule="auto"/>
              <w:jc w:val="left"/>
              <w:rPr>
                <w:rFonts w:ascii="Arial" w:hAnsi="Arial" w:cs="Arial"/>
                <w:color w:val="auto"/>
                <w:sz w:val="24"/>
                <w:szCs w:val="24"/>
              </w:rPr>
            </w:pPr>
          </w:p>
        </w:tc>
        <w:tc>
          <w:tcPr>
            <w:tcW w:w="654" w:type="dxa"/>
            <w:gridSpan w:val="3"/>
            <w:tcBorders>
              <w:top w:val="single" w:sz="4" w:space="0" w:color="BDD6EE" w:themeColor="accent1" w:themeTint="66"/>
              <w:left w:val="nil"/>
              <w:bottom w:val="single" w:sz="4" w:space="0" w:color="BDD6EE" w:themeColor="accent1" w:themeTint="66"/>
              <w:right w:val="single" w:sz="4" w:space="0" w:color="BDD6EE" w:themeColor="accent1" w:themeTint="66"/>
            </w:tcBorders>
            <w:shd w:val="clear" w:color="auto" w:fill="auto"/>
          </w:tcPr>
          <w:p w14:paraId="049EE6CA" w14:textId="77777777" w:rsidR="008D3757" w:rsidRPr="00237760" w:rsidRDefault="008D3757" w:rsidP="009367B4">
            <w:pPr>
              <w:spacing w:after="0" w:line="240" w:lineRule="auto"/>
              <w:jc w:val="left"/>
              <w:rPr>
                <w:rFonts w:ascii="Arial" w:hAnsi="Arial" w:cs="Arial"/>
                <w:color w:val="auto"/>
                <w:sz w:val="24"/>
                <w:szCs w:val="24"/>
              </w:rPr>
            </w:pPr>
          </w:p>
        </w:tc>
        <w:tc>
          <w:tcPr>
            <w:tcW w:w="466" w:type="dxa"/>
            <w:tcBorders>
              <w:top w:val="single" w:sz="4" w:space="0" w:color="BDD6EE" w:themeColor="accent1" w:themeTint="66"/>
              <w:left w:val="nil"/>
              <w:bottom w:val="single" w:sz="4" w:space="0" w:color="BDD6EE" w:themeColor="accent1" w:themeTint="66"/>
              <w:right w:val="single" w:sz="4" w:space="0" w:color="BDD6EE" w:themeColor="accent1" w:themeTint="66"/>
            </w:tcBorders>
            <w:shd w:val="clear" w:color="auto" w:fill="auto"/>
          </w:tcPr>
          <w:p w14:paraId="5F0897F1" w14:textId="77E87241" w:rsidR="008D3757" w:rsidRPr="00237760" w:rsidRDefault="008D3757" w:rsidP="009367B4">
            <w:pPr>
              <w:spacing w:after="0" w:line="240" w:lineRule="auto"/>
              <w:jc w:val="left"/>
              <w:rPr>
                <w:rFonts w:ascii="Arial" w:hAnsi="Arial" w:cs="Arial"/>
                <w:color w:val="auto"/>
                <w:sz w:val="24"/>
                <w:szCs w:val="24"/>
              </w:rPr>
            </w:pPr>
          </w:p>
        </w:tc>
      </w:tr>
      <w:tr w:rsidR="00237760" w:rsidRPr="00237760" w14:paraId="6B2D775F" w14:textId="2E8C1BB1" w:rsidTr="000D3F32">
        <w:trPr>
          <w:trHeight w:val="50"/>
        </w:trPr>
        <w:tc>
          <w:tcPr>
            <w:tcW w:w="5107" w:type="dxa"/>
            <w:tcBorders>
              <w:top w:val="single" w:sz="4" w:space="0" w:color="BDD6EE" w:themeColor="accent1" w:themeTint="66"/>
              <w:left w:val="nil"/>
              <w:bottom w:val="single" w:sz="4" w:space="0" w:color="BDD6EE" w:themeColor="accent1" w:themeTint="66"/>
              <w:right w:val="single" w:sz="4" w:space="0" w:color="BDD6EE" w:themeColor="accent1" w:themeTint="66"/>
            </w:tcBorders>
            <w:shd w:val="clear" w:color="auto" w:fill="auto"/>
          </w:tcPr>
          <w:p w14:paraId="2F7D0B76" w14:textId="08531F67" w:rsidR="008D3757" w:rsidRPr="00237760" w:rsidRDefault="008D3757"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2.2. Ochrona dziedzictwa kulturowego oraz gromadzenie i zachowywanie dóbr kultury</w:t>
            </w:r>
          </w:p>
        </w:tc>
        <w:tc>
          <w:tcPr>
            <w:tcW w:w="582" w:type="dxa"/>
            <w:gridSpan w:val="2"/>
            <w:tcBorders>
              <w:top w:val="single" w:sz="4" w:space="0" w:color="BDD6EE" w:themeColor="accent1" w:themeTint="66"/>
              <w:left w:val="nil"/>
              <w:bottom w:val="single" w:sz="4" w:space="0" w:color="BDD6EE" w:themeColor="accent1" w:themeTint="66"/>
              <w:right w:val="single" w:sz="4" w:space="0" w:color="BDD6EE" w:themeColor="accent1" w:themeTint="66"/>
            </w:tcBorders>
            <w:shd w:val="clear" w:color="auto" w:fill="auto"/>
          </w:tcPr>
          <w:p w14:paraId="500F3210" w14:textId="77777777" w:rsidR="008D3757" w:rsidRPr="00237760" w:rsidRDefault="008D3757"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nil"/>
              <w:bottom w:val="single" w:sz="4" w:space="0" w:color="BDD6EE" w:themeColor="accent1" w:themeTint="66"/>
              <w:right w:val="single" w:sz="4" w:space="0" w:color="BDD6EE" w:themeColor="accent1" w:themeTint="66"/>
            </w:tcBorders>
            <w:shd w:val="clear" w:color="auto" w:fill="9CC2E5"/>
          </w:tcPr>
          <w:p w14:paraId="720064B4" w14:textId="77777777" w:rsidR="008D3757" w:rsidRPr="00237760" w:rsidRDefault="008D3757" w:rsidP="009367B4">
            <w:pPr>
              <w:spacing w:after="0" w:line="240" w:lineRule="auto"/>
              <w:jc w:val="left"/>
              <w:rPr>
                <w:rFonts w:ascii="Arial" w:hAnsi="Arial" w:cs="Arial"/>
                <w:color w:val="auto"/>
                <w:sz w:val="24"/>
                <w:szCs w:val="24"/>
              </w:rPr>
            </w:pPr>
          </w:p>
        </w:tc>
        <w:tc>
          <w:tcPr>
            <w:tcW w:w="567" w:type="dxa"/>
            <w:gridSpan w:val="3"/>
            <w:tcBorders>
              <w:top w:val="single" w:sz="4" w:space="0" w:color="BDD6EE" w:themeColor="accent1" w:themeTint="66"/>
              <w:left w:val="nil"/>
              <w:bottom w:val="single" w:sz="4" w:space="0" w:color="BDD6EE" w:themeColor="accent1" w:themeTint="66"/>
              <w:right w:val="single" w:sz="4" w:space="0" w:color="BDD6EE" w:themeColor="accent1" w:themeTint="66"/>
            </w:tcBorders>
            <w:shd w:val="clear" w:color="auto" w:fill="9CC2E5"/>
          </w:tcPr>
          <w:p w14:paraId="142445E1" w14:textId="77777777" w:rsidR="008D3757" w:rsidRPr="00237760" w:rsidRDefault="008D3757" w:rsidP="009367B4">
            <w:pPr>
              <w:spacing w:after="0" w:line="240" w:lineRule="auto"/>
              <w:jc w:val="left"/>
              <w:rPr>
                <w:rFonts w:ascii="Arial" w:hAnsi="Arial" w:cs="Arial"/>
                <w:color w:val="auto"/>
                <w:sz w:val="24"/>
                <w:szCs w:val="24"/>
              </w:rPr>
            </w:pPr>
          </w:p>
        </w:tc>
        <w:tc>
          <w:tcPr>
            <w:tcW w:w="567" w:type="dxa"/>
            <w:gridSpan w:val="2"/>
            <w:tcBorders>
              <w:top w:val="single" w:sz="4" w:space="0" w:color="BDD6EE" w:themeColor="accent1" w:themeTint="66"/>
              <w:left w:val="nil"/>
              <w:bottom w:val="single" w:sz="4" w:space="0" w:color="BDD6EE" w:themeColor="accent1" w:themeTint="66"/>
              <w:right w:val="single" w:sz="4" w:space="0" w:color="BDD6EE" w:themeColor="accent1" w:themeTint="66"/>
            </w:tcBorders>
            <w:shd w:val="clear" w:color="auto" w:fill="9CC2E5"/>
          </w:tcPr>
          <w:p w14:paraId="4E997F36" w14:textId="77777777" w:rsidR="008D3757" w:rsidRPr="00237760" w:rsidRDefault="008D3757" w:rsidP="009367B4">
            <w:pPr>
              <w:spacing w:after="0" w:line="240" w:lineRule="auto"/>
              <w:jc w:val="left"/>
              <w:rPr>
                <w:rFonts w:ascii="Arial" w:hAnsi="Arial" w:cs="Arial"/>
                <w:color w:val="auto"/>
                <w:sz w:val="24"/>
                <w:szCs w:val="24"/>
              </w:rPr>
            </w:pPr>
          </w:p>
        </w:tc>
        <w:tc>
          <w:tcPr>
            <w:tcW w:w="567" w:type="dxa"/>
            <w:gridSpan w:val="2"/>
            <w:tcBorders>
              <w:top w:val="single" w:sz="4" w:space="0" w:color="BDD6EE" w:themeColor="accent1" w:themeTint="66"/>
              <w:left w:val="nil"/>
              <w:bottom w:val="single" w:sz="4" w:space="0" w:color="BDD6EE" w:themeColor="accent1" w:themeTint="66"/>
              <w:right w:val="single" w:sz="4" w:space="0" w:color="BDD6EE" w:themeColor="accent1" w:themeTint="66"/>
            </w:tcBorders>
            <w:shd w:val="clear" w:color="auto" w:fill="auto"/>
          </w:tcPr>
          <w:p w14:paraId="71B2167A" w14:textId="77777777" w:rsidR="008D3757" w:rsidRPr="00237760" w:rsidRDefault="008D3757" w:rsidP="009367B4">
            <w:pPr>
              <w:spacing w:after="0" w:line="240" w:lineRule="auto"/>
              <w:jc w:val="left"/>
              <w:rPr>
                <w:rFonts w:ascii="Arial" w:hAnsi="Arial" w:cs="Arial"/>
                <w:color w:val="auto"/>
                <w:sz w:val="24"/>
                <w:szCs w:val="24"/>
              </w:rPr>
            </w:pPr>
          </w:p>
        </w:tc>
        <w:tc>
          <w:tcPr>
            <w:tcW w:w="654" w:type="dxa"/>
            <w:gridSpan w:val="3"/>
            <w:tcBorders>
              <w:top w:val="single" w:sz="4" w:space="0" w:color="BDD6EE" w:themeColor="accent1" w:themeTint="66"/>
              <w:left w:val="nil"/>
              <w:bottom w:val="single" w:sz="4" w:space="0" w:color="BDD6EE" w:themeColor="accent1" w:themeTint="66"/>
              <w:right w:val="single" w:sz="4" w:space="0" w:color="BDD6EE" w:themeColor="accent1" w:themeTint="66"/>
            </w:tcBorders>
            <w:shd w:val="clear" w:color="auto" w:fill="auto"/>
          </w:tcPr>
          <w:p w14:paraId="58153AAF" w14:textId="77777777" w:rsidR="008D3757" w:rsidRPr="00237760" w:rsidRDefault="008D3757" w:rsidP="009367B4">
            <w:pPr>
              <w:spacing w:after="0" w:line="240" w:lineRule="auto"/>
              <w:jc w:val="left"/>
              <w:rPr>
                <w:rFonts w:ascii="Arial" w:hAnsi="Arial" w:cs="Arial"/>
                <w:color w:val="auto"/>
                <w:sz w:val="24"/>
                <w:szCs w:val="24"/>
              </w:rPr>
            </w:pPr>
          </w:p>
        </w:tc>
        <w:tc>
          <w:tcPr>
            <w:tcW w:w="466" w:type="dxa"/>
            <w:tcBorders>
              <w:top w:val="single" w:sz="4" w:space="0" w:color="BDD6EE" w:themeColor="accent1" w:themeTint="66"/>
              <w:left w:val="nil"/>
              <w:bottom w:val="single" w:sz="4" w:space="0" w:color="BDD6EE" w:themeColor="accent1" w:themeTint="66"/>
              <w:right w:val="single" w:sz="4" w:space="0" w:color="BDD6EE" w:themeColor="accent1" w:themeTint="66"/>
            </w:tcBorders>
            <w:shd w:val="clear" w:color="auto" w:fill="auto"/>
          </w:tcPr>
          <w:p w14:paraId="417928DC" w14:textId="60DFE4A3" w:rsidR="008D3757" w:rsidRPr="00237760" w:rsidRDefault="008D3757" w:rsidP="009367B4">
            <w:pPr>
              <w:spacing w:after="0" w:line="240" w:lineRule="auto"/>
              <w:jc w:val="left"/>
              <w:rPr>
                <w:rFonts w:ascii="Arial" w:hAnsi="Arial" w:cs="Arial"/>
                <w:color w:val="auto"/>
                <w:sz w:val="24"/>
                <w:szCs w:val="24"/>
              </w:rPr>
            </w:pPr>
          </w:p>
        </w:tc>
      </w:tr>
      <w:tr w:rsidR="00237760" w:rsidRPr="00237760" w14:paraId="441C2867" w14:textId="77777777" w:rsidTr="000D3F32">
        <w:trPr>
          <w:trHeight w:val="183"/>
        </w:trPr>
        <w:tc>
          <w:tcPr>
            <w:tcW w:w="9077" w:type="dxa"/>
            <w:gridSpan w:val="15"/>
            <w:tcBorders>
              <w:top w:val="nil"/>
              <w:left w:val="nil"/>
              <w:bottom w:val="single" w:sz="4" w:space="0" w:color="BDD6EE" w:themeColor="accent1" w:themeTint="66"/>
              <w:right w:val="nil"/>
            </w:tcBorders>
            <w:shd w:val="clear" w:color="auto" w:fill="auto"/>
            <w:vAlign w:val="center"/>
            <w:hideMark/>
          </w:tcPr>
          <w:p w14:paraId="589E186E" w14:textId="77777777" w:rsidR="00AC2C08" w:rsidRPr="00237760" w:rsidRDefault="00AC2C08"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Strategia Bezpieczeństwa Narodowego Rzeczypospolitej Polskiej 2020</w:t>
            </w:r>
          </w:p>
        </w:tc>
      </w:tr>
      <w:tr w:rsidR="00237760" w:rsidRPr="00237760" w14:paraId="0277E44F" w14:textId="77777777" w:rsidTr="000D3F32">
        <w:trPr>
          <w:trHeight w:val="70"/>
        </w:trPr>
        <w:tc>
          <w:tcPr>
            <w:tcW w:w="5107" w:type="dxa"/>
            <w:vMerge w:val="restart"/>
            <w:tcBorders>
              <w:top w:val="nil"/>
              <w:left w:val="nil"/>
              <w:bottom w:val="single" w:sz="4" w:space="0" w:color="BDD6EE" w:themeColor="accent1" w:themeTint="66"/>
              <w:right w:val="nil"/>
            </w:tcBorders>
            <w:shd w:val="clear" w:color="auto" w:fill="auto"/>
            <w:vAlign w:val="center"/>
            <w:hideMark/>
          </w:tcPr>
          <w:p w14:paraId="0746CC3E" w14:textId="77777777" w:rsidR="00AC2C08" w:rsidRPr="00237760" w:rsidRDefault="00AC2C08"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w:t>
            </w:r>
          </w:p>
        </w:tc>
        <w:tc>
          <w:tcPr>
            <w:tcW w:w="1701" w:type="dxa"/>
            <w:gridSpan w:val="5"/>
            <w:tcBorders>
              <w:top w:val="nil"/>
              <w:left w:val="nil"/>
              <w:bottom w:val="single" w:sz="4" w:space="0" w:color="BDD6EE" w:themeColor="accent1" w:themeTint="66"/>
              <w:right w:val="nil"/>
            </w:tcBorders>
            <w:shd w:val="clear" w:color="auto" w:fill="auto"/>
            <w:hideMark/>
          </w:tcPr>
          <w:p w14:paraId="42160B50" w14:textId="77777777" w:rsidR="00AC2C08" w:rsidRPr="00237760" w:rsidRDefault="00AC2C08"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podstawowe PSRT WP</w:t>
            </w:r>
          </w:p>
        </w:tc>
        <w:tc>
          <w:tcPr>
            <w:tcW w:w="2269" w:type="dxa"/>
            <w:gridSpan w:val="9"/>
            <w:tcBorders>
              <w:top w:val="nil"/>
              <w:left w:val="nil"/>
              <w:bottom w:val="single" w:sz="4" w:space="0" w:color="BDD6EE" w:themeColor="accent1" w:themeTint="66"/>
              <w:right w:val="nil"/>
            </w:tcBorders>
            <w:shd w:val="clear" w:color="auto" w:fill="auto"/>
            <w:vAlign w:val="center"/>
            <w:hideMark/>
          </w:tcPr>
          <w:p w14:paraId="62BCDD05" w14:textId="77777777" w:rsidR="00AC2C08" w:rsidRPr="00237760" w:rsidRDefault="00AC2C08"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horyzontalne PSRT WP</w:t>
            </w:r>
          </w:p>
        </w:tc>
      </w:tr>
      <w:tr w:rsidR="00237760" w:rsidRPr="00237760" w14:paraId="633CA274" w14:textId="77777777" w:rsidTr="000D3F32">
        <w:trPr>
          <w:trHeight w:val="50"/>
        </w:trPr>
        <w:tc>
          <w:tcPr>
            <w:tcW w:w="5107" w:type="dxa"/>
            <w:vMerge/>
            <w:tcBorders>
              <w:top w:val="nil"/>
              <w:left w:val="nil"/>
              <w:bottom w:val="single" w:sz="4" w:space="0" w:color="BDD6EE" w:themeColor="accent1" w:themeTint="66"/>
              <w:right w:val="nil"/>
            </w:tcBorders>
            <w:shd w:val="clear" w:color="auto" w:fill="auto"/>
            <w:vAlign w:val="center"/>
            <w:hideMark/>
          </w:tcPr>
          <w:p w14:paraId="4C7E55DC" w14:textId="77777777" w:rsidR="00AC2C08" w:rsidRPr="00237760" w:rsidRDefault="00AC2C08" w:rsidP="009367B4">
            <w:pPr>
              <w:spacing w:after="0" w:line="240" w:lineRule="auto"/>
              <w:jc w:val="left"/>
              <w:rPr>
                <w:rFonts w:ascii="Arial" w:hAnsi="Arial" w:cs="Arial"/>
                <w:b/>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hideMark/>
          </w:tcPr>
          <w:p w14:paraId="25B0A461" w14:textId="77777777" w:rsidR="00AC2C08" w:rsidRPr="00237760" w:rsidRDefault="00AC2C08"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748" w:type="dxa"/>
            <w:gridSpan w:val="3"/>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hideMark/>
          </w:tcPr>
          <w:p w14:paraId="049EE459" w14:textId="77777777" w:rsidR="00AC2C08" w:rsidRPr="00237760" w:rsidRDefault="00AC2C08"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3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hideMark/>
          </w:tcPr>
          <w:p w14:paraId="5EAAEC44" w14:textId="77777777" w:rsidR="00AC2C08" w:rsidRPr="00237760" w:rsidRDefault="00AC2C08"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hideMark/>
          </w:tcPr>
          <w:p w14:paraId="5E36E6E9" w14:textId="77777777" w:rsidR="00AC2C08" w:rsidRPr="00237760" w:rsidRDefault="00AC2C08"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hideMark/>
          </w:tcPr>
          <w:p w14:paraId="7B455C4C" w14:textId="77777777" w:rsidR="00AC2C08" w:rsidRPr="00237760" w:rsidRDefault="00AC2C08"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572" w:type="dxa"/>
            <w:gridSpan w:val="2"/>
            <w:tcBorders>
              <w:top w:val="single" w:sz="4" w:space="0" w:color="BDD6EE" w:themeColor="accent1" w:themeTint="66"/>
              <w:left w:val="single" w:sz="4" w:space="0" w:color="BDD6EE" w:themeColor="accent1" w:themeTint="66"/>
              <w:bottom w:val="single" w:sz="4" w:space="0" w:color="BDD6EE" w:themeColor="accent1" w:themeTint="66"/>
              <w:right w:val="nil"/>
            </w:tcBorders>
            <w:shd w:val="clear" w:color="auto" w:fill="auto"/>
            <w:hideMark/>
          </w:tcPr>
          <w:p w14:paraId="2EF2BFC7" w14:textId="77777777" w:rsidR="00AC2C08" w:rsidRPr="00237760" w:rsidRDefault="00AC2C08"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563" w:type="dxa"/>
            <w:gridSpan w:val="3"/>
            <w:tcBorders>
              <w:top w:val="single" w:sz="4" w:space="0" w:color="BDD6EE" w:themeColor="accent1" w:themeTint="66"/>
              <w:left w:val="single" w:sz="4" w:space="0" w:color="BDD6EE" w:themeColor="accent1" w:themeTint="66"/>
              <w:bottom w:val="single" w:sz="4" w:space="0" w:color="BDD6EE" w:themeColor="accent1" w:themeTint="66"/>
              <w:right w:val="nil"/>
            </w:tcBorders>
            <w:shd w:val="clear" w:color="auto" w:fill="auto"/>
            <w:hideMark/>
          </w:tcPr>
          <w:p w14:paraId="31B40BFC" w14:textId="77777777" w:rsidR="00AC2C08" w:rsidRPr="00237760" w:rsidRDefault="00AC2C08"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4.</w:t>
            </w:r>
          </w:p>
        </w:tc>
      </w:tr>
      <w:tr w:rsidR="00237760" w:rsidRPr="00237760" w14:paraId="7F0F4EA9" w14:textId="77777777" w:rsidTr="000D3F32">
        <w:trPr>
          <w:trHeight w:val="14"/>
        </w:trPr>
        <w:tc>
          <w:tcPr>
            <w:tcW w:w="5107" w:type="dxa"/>
            <w:tcBorders>
              <w:top w:val="single" w:sz="4" w:space="0" w:color="BDD6EE" w:themeColor="accent1" w:themeTint="66"/>
              <w:left w:val="nil"/>
              <w:bottom w:val="single" w:sz="4" w:space="0" w:color="BDD6EE" w:themeColor="accent1" w:themeTint="66"/>
              <w:right w:val="single" w:sz="4" w:space="0" w:color="BDD6EE" w:themeColor="accent1" w:themeTint="66"/>
            </w:tcBorders>
            <w:hideMark/>
          </w:tcPr>
          <w:p w14:paraId="2831292A" w14:textId="77777777" w:rsidR="00AC2C08" w:rsidRPr="00237760" w:rsidRDefault="00AC2C08"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FILAR I 3. Wzmocnienie zdolności operacyjnych Sił Zbrojnych Rzeczypospolitej Polskiej do odstraszania i obrony przed zagrożeniami bezpieczeństwa, ze szczególnym uwzględnieniem podniesienia poziomu mobilności i modernizacji technicznej</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0104EEC1" w14:textId="77777777" w:rsidR="00AC2C08" w:rsidRPr="00237760" w:rsidRDefault="00AC2C08" w:rsidP="009367B4">
            <w:pPr>
              <w:spacing w:after="0" w:line="240" w:lineRule="auto"/>
              <w:jc w:val="left"/>
              <w:rPr>
                <w:rFonts w:ascii="Arial" w:hAnsi="Arial" w:cs="Arial"/>
                <w:color w:val="auto"/>
                <w:sz w:val="24"/>
                <w:szCs w:val="24"/>
              </w:rPr>
            </w:pPr>
          </w:p>
        </w:tc>
        <w:tc>
          <w:tcPr>
            <w:tcW w:w="748" w:type="dxa"/>
            <w:gridSpan w:val="3"/>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354801F5" w14:textId="77777777" w:rsidR="00AC2C08" w:rsidRPr="00237760" w:rsidRDefault="00AC2C08" w:rsidP="009367B4">
            <w:pPr>
              <w:spacing w:after="0" w:line="240" w:lineRule="auto"/>
              <w:jc w:val="left"/>
              <w:rPr>
                <w:rFonts w:ascii="Arial" w:hAnsi="Arial" w:cs="Arial"/>
                <w:color w:val="auto"/>
                <w:sz w:val="24"/>
                <w:szCs w:val="24"/>
              </w:rPr>
            </w:pPr>
          </w:p>
        </w:tc>
        <w:tc>
          <w:tcPr>
            <w:tcW w:w="3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267FF56A" w14:textId="77777777" w:rsidR="00AC2C08" w:rsidRPr="00237760" w:rsidRDefault="00AC2C08" w:rsidP="009367B4">
            <w:pPr>
              <w:spacing w:after="0" w:line="240" w:lineRule="auto"/>
              <w:jc w:val="left"/>
              <w:rPr>
                <w:rFonts w:ascii="Arial" w:hAnsi="Arial" w:cs="Arial"/>
                <w:color w:val="auto"/>
                <w:sz w:val="24"/>
                <w:szCs w:val="24"/>
              </w:rPr>
            </w:pP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5F6A795" w14:textId="77777777" w:rsidR="00AC2C08" w:rsidRPr="00237760" w:rsidRDefault="00AC2C08" w:rsidP="009367B4">
            <w:pPr>
              <w:spacing w:after="0" w:line="240" w:lineRule="auto"/>
              <w:jc w:val="left"/>
              <w:rPr>
                <w:rFonts w:ascii="Arial" w:hAnsi="Arial" w:cs="Arial"/>
                <w:color w:val="auto"/>
                <w:sz w:val="24"/>
                <w:szCs w:val="24"/>
              </w:rPr>
            </w:pP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3287C693" w14:textId="77777777" w:rsidR="00AC2C08" w:rsidRPr="00237760" w:rsidRDefault="00AC2C08" w:rsidP="009367B4">
            <w:pPr>
              <w:spacing w:after="0" w:line="240" w:lineRule="auto"/>
              <w:jc w:val="left"/>
              <w:rPr>
                <w:rFonts w:ascii="Arial" w:hAnsi="Arial" w:cs="Arial"/>
                <w:color w:val="auto"/>
                <w:sz w:val="24"/>
                <w:szCs w:val="24"/>
              </w:rPr>
            </w:pPr>
          </w:p>
        </w:tc>
        <w:tc>
          <w:tcPr>
            <w:tcW w:w="572"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DD9C384" w14:textId="77777777" w:rsidR="00AC2C08" w:rsidRPr="00237760" w:rsidRDefault="00AC2C08" w:rsidP="009367B4">
            <w:pPr>
              <w:spacing w:after="0" w:line="240" w:lineRule="auto"/>
              <w:jc w:val="left"/>
              <w:rPr>
                <w:rFonts w:ascii="Arial" w:hAnsi="Arial" w:cs="Arial"/>
                <w:color w:val="auto"/>
                <w:sz w:val="24"/>
                <w:szCs w:val="24"/>
              </w:rPr>
            </w:pPr>
          </w:p>
        </w:tc>
        <w:tc>
          <w:tcPr>
            <w:tcW w:w="563" w:type="dxa"/>
            <w:gridSpan w:val="3"/>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462E736F" w14:textId="77777777" w:rsidR="00AC2C08" w:rsidRPr="00237760" w:rsidRDefault="00AC2C08" w:rsidP="009367B4">
            <w:pPr>
              <w:spacing w:after="0" w:line="240" w:lineRule="auto"/>
              <w:jc w:val="left"/>
              <w:rPr>
                <w:rFonts w:ascii="Arial" w:hAnsi="Arial" w:cs="Arial"/>
                <w:color w:val="auto"/>
                <w:sz w:val="24"/>
                <w:szCs w:val="24"/>
              </w:rPr>
            </w:pPr>
          </w:p>
        </w:tc>
      </w:tr>
      <w:tr w:rsidR="00237760" w:rsidRPr="00237760" w14:paraId="2C5586E2" w14:textId="77777777" w:rsidTr="000D3F32">
        <w:trPr>
          <w:trHeight w:val="14"/>
        </w:trPr>
        <w:tc>
          <w:tcPr>
            <w:tcW w:w="5107" w:type="dxa"/>
            <w:tcBorders>
              <w:top w:val="single" w:sz="4" w:space="0" w:color="BDD6EE" w:themeColor="accent1" w:themeTint="66"/>
              <w:left w:val="nil"/>
              <w:bottom w:val="single" w:sz="4" w:space="0" w:color="BDD6EE" w:themeColor="accent1" w:themeTint="66"/>
              <w:right w:val="single" w:sz="4" w:space="0" w:color="BDD6EE" w:themeColor="accent1" w:themeTint="66"/>
            </w:tcBorders>
            <w:hideMark/>
          </w:tcPr>
          <w:p w14:paraId="0949B01F" w14:textId="77777777" w:rsidR="00AC2C08" w:rsidRPr="00237760" w:rsidRDefault="00AC2C08"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FILAR II 2. Rozwinięcie współpracy w formule bilateralnej, regionalnej oraz w wymiarze globalnym na rzecz wzmocnienia pozycji Polski jako istotnego elementu systemu bezpieczeństwa międzynarodowego</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6AF63926" w14:textId="77777777" w:rsidR="00AC2C08" w:rsidRPr="00237760" w:rsidRDefault="00AC2C08" w:rsidP="009367B4">
            <w:pPr>
              <w:spacing w:after="0" w:line="240" w:lineRule="auto"/>
              <w:jc w:val="left"/>
              <w:rPr>
                <w:rFonts w:ascii="Arial" w:hAnsi="Arial" w:cs="Arial"/>
                <w:color w:val="auto"/>
                <w:sz w:val="24"/>
                <w:szCs w:val="24"/>
              </w:rPr>
            </w:pPr>
          </w:p>
        </w:tc>
        <w:tc>
          <w:tcPr>
            <w:tcW w:w="748" w:type="dxa"/>
            <w:gridSpan w:val="3"/>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02FB673C" w14:textId="77777777" w:rsidR="00AC2C08" w:rsidRPr="00237760" w:rsidRDefault="00AC2C08" w:rsidP="009367B4">
            <w:pPr>
              <w:spacing w:after="0" w:line="240" w:lineRule="auto"/>
              <w:jc w:val="left"/>
              <w:rPr>
                <w:rFonts w:ascii="Arial" w:hAnsi="Arial" w:cs="Arial"/>
                <w:color w:val="auto"/>
                <w:sz w:val="24"/>
                <w:szCs w:val="24"/>
              </w:rPr>
            </w:pPr>
          </w:p>
        </w:tc>
        <w:tc>
          <w:tcPr>
            <w:tcW w:w="3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01B4292A" w14:textId="77777777" w:rsidR="00AC2C08" w:rsidRPr="00237760" w:rsidRDefault="00AC2C08" w:rsidP="009367B4">
            <w:pPr>
              <w:spacing w:after="0" w:line="240" w:lineRule="auto"/>
              <w:jc w:val="left"/>
              <w:rPr>
                <w:rFonts w:ascii="Arial" w:hAnsi="Arial" w:cs="Arial"/>
                <w:color w:val="auto"/>
                <w:sz w:val="24"/>
                <w:szCs w:val="24"/>
              </w:rPr>
            </w:pP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79BE4DB" w14:textId="77777777" w:rsidR="00AC2C08" w:rsidRPr="00237760" w:rsidRDefault="00AC2C08" w:rsidP="009367B4">
            <w:pPr>
              <w:spacing w:after="0" w:line="240" w:lineRule="auto"/>
              <w:jc w:val="left"/>
              <w:rPr>
                <w:rFonts w:ascii="Arial" w:hAnsi="Arial" w:cs="Arial"/>
                <w:color w:val="auto"/>
                <w:sz w:val="24"/>
                <w:szCs w:val="24"/>
              </w:rPr>
            </w:pP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32A7AA07" w14:textId="77777777" w:rsidR="00AC2C08" w:rsidRPr="00237760" w:rsidRDefault="00AC2C08" w:rsidP="009367B4">
            <w:pPr>
              <w:spacing w:after="0" w:line="240" w:lineRule="auto"/>
              <w:jc w:val="left"/>
              <w:rPr>
                <w:rFonts w:ascii="Arial" w:hAnsi="Arial" w:cs="Arial"/>
                <w:color w:val="auto"/>
                <w:sz w:val="24"/>
                <w:szCs w:val="24"/>
              </w:rPr>
            </w:pPr>
          </w:p>
        </w:tc>
        <w:tc>
          <w:tcPr>
            <w:tcW w:w="572"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6532A648" w14:textId="77777777" w:rsidR="00AC2C08" w:rsidRPr="00237760" w:rsidRDefault="00AC2C08" w:rsidP="009367B4">
            <w:pPr>
              <w:spacing w:after="0" w:line="240" w:lineRule="auto"/>
              <w:jc w:val="left"/>
              <w:rPr>
                <w:rFonts w:ascii="Arial" w:hAnsi="Arial" w:cs="Arial"/>
                <w:color w:val="auto"/>
                <w:sz w:val="24"/>
                <w:szCs w:val="24"/>
              </w:rPr>
            </w:pPr>
          </w:p>
        </w:tc>
        <w:tc>
          <w:tcPr>
            <w:tcW w:w="563" w:type="dxa"/>
            <w:gridSpan w:val="3"/>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63220CE5" w14:textId="77777777" w:rsidR="00AC2C08" w:rsidRPr="00237760" w:rsidRDefault="00AC2C08" w:rsidP="009367B4">
            <w:pPr>
              <w:spacing w:after="0" w:line="240" w:lineRule="auto"/>
              <w:jc w:val="left"/>
              <w:rPr>
                <w:rFonts w:ascii="Arial" w:hAnsi="Arial" w:cs="Arial"/>
                <w:color w:val="auto"/>
                <w:sz w:val="24"/>
                <w:szCs w:val="24"/>
              </w:rPr>
            </w:pPr>
          </w:p>
        </w:tc>
      </w:tr>
      <w:tr w:rsidR="00237760" w:rsidRPr="00237760" w14:paraId="1DF4D486" w14:textId="77777777" w:rsidTr="000D3F32">
        <w:trPr>
          <w:trHeight w:val="14"/>
        </w:trPr>
        <w:tc>
          <w:tcPr>
            <w:tcW w:w="5107" w:type="dxa"/>
            <w:tcBorders>
              <w:top w:val="single" w:sz="4" w:space="0" w:color="BDD6EE" w:themeColor="accent1" w:themeTint="66"/>
              <w:left w:val="nil"/>
              <w:bottom w:val="single" w:sz="4" w:space="0" w:color="BDD6EE" w:themeColor="accent1" w:themeTint="66"/>
              <w:right w:val="single" w:sz="4" w:space="0" w:color="BDD6EE" w:themeColor="accent1" w:themeTint="66"/>
            </w:tcBorders>
            <w:hideMark/>
          </w:tcPr>
          <w:p w14:paraId="68244FD6" w14:textId="77777777" w:rsidR="00AC2C08" w:rsidRPr="00237760" w:rsidRDefault="00AC2C08"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FILAR IV 1. Poprawa warunków do ochrony i rozwoju rodziny; zwiększanie poziomu bezpieczeństwa zdrowotnego obywateli</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5417A65F" w14:textId="77777777" w:rsidR="00AC2C08" w:rsidRPr="00237760" w:rsidRDefault="00AC2C08" w:rsidP="009367B4">
            <w:pPr>
              <w:spacing w:after="0" w:line="240" w:lineRule="auto"/>
              <w:jc w:val="left"/>
              <w:rPr>
                <w:rFonts w:ascii="Arial" w:hAnsi="Arial" w:cs="Arial"/>
                <w:color w:val="auto"/>
                <w:sz w:val="24"/>
                <w:szCs w:val="24"/>
              </w:rPr>
            </w:pPr>
          </w:p>
        </w:tc>
        <w:tc>
          <w:tcPr>
            <w:tcW w:w="748" w:type="dxa"/>
            <w:gridSpan w:val="3"/>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2A567E5A" w14:textId="77777777" w:rsidR="00AC2C08" w:rsidRPr="00237760" w:rsidRDefault="00AC2C08" w:rsidP="009367B4">
            <w:pPr>
              <w:spacing w:after="0" w:line="240" w:lineRule="auto"/>
              <w:jc w:val="left"/>
              <w:rPr>
                <w:rFonts w:ascii="Arial" w:hAnsi="Arial" w:cs="Arial"/>
                <w:color w:val="auto"/>
                <w:sz w:val="24"/>
                <w:szCs w:val="24"/>
              </w:rPr>
            </w:pPr>
          </w:p>
        </w:tc>
        <w:tc>
          <w:tcPr>
            <w:tcW w:w="3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533A157D" w14:textId="77777777" w:rsidR="00AC2C08" w:rsidRPr="00237760" w:rsidRDefault="00AC2C08" w:rsidP="009367B4">
            <w:pPr>
              <w:spacing w:after="0" w:line="240" w:lineRule="auto"/>
              <w:jc w:val="left"/>
              <w:rPr>
                <w:rFonts w:ascii="Arial" w:hAnsi="Arial" w:cs="Arial"/>
                <w:color w:val="auto"/>
                <w:sz w:val="24"/>
                <w:szCs w:val="24"/>
              </w:rPr>
            </w:pP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76575198" w14:textId="77777777" w:rsidR="00AC2C08" w:rsidRPr="00237760" w:rsidRDefault="00AC2C08" w:rsidP="009367B4">
            <w:pPr>
              <w:spacing w:after="0" w:line="240" w:lineRule="auto"/>
              <w:jc w:val="left"/>
              <w:rPr>
                <w:rFonts w:ascii="Arial" w:hAnsi="Arial" w:cs="Arial"/>
                <w:color w:val="auto"/>
                <w:sz w:val="24"/>
                <w:szCs w:val="24"/>
              </w:rPr>
            </w:pP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0EE237B9" w14:textId="77777777" w:rsidR="00AC2C08" w:rsidRPr="00237760" w:rsidRDefault="00AC2C08" w:rsidP="009367B4">
            <w:pPr>
              <w:spacing w:after="0" w:line="240" w:lineRule="auto"/>
              <w:jc w:val="left"/>
              <w:rPr>
                <w:rFonts w:ascii="Arial" w:hAnsi="Arial" w:cs="Arial"/>
                <w:color w:val="auto"/>
                <w:sz w:val="24"/>
                <w:szCs w:val="24"/>
              </w:rPr>
            </w:pPr>
          </w:p>
        </w:tc>
        <w:tc>
          <w:tcPr>
            <w:tcW w:w="572"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7805F4B" w14:textId="77777777" w:rsidR="00AC2C08" w:rsidRPr="00237760" w:rsidRDefault="00AC2C08" w:rsidP="009367B4">
            <w:pPr>
              <w:spacing w:after="0" w:line="240" w:lineRule="auto"/>
              <w:jc w:val="left"/>
              <w:rPr>
                <w:rFonts w:ascii="Arial" w:hAnsi="Arial" w:cs="Arial"/>
                <w:color w:val="auto"/>
                <w:sz w:val="24"/>
                <w:szCs w:val="24"/>
              </w:rPr>
            </w:pPr>
          </w:p>
        </w:tc>
        <w:tc>
          <w:tcPr>
            <w:tcW w:w="563" w:type="dxa"/>
            <w:gridSpan w:val="3"/>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32D484BB" w14:textId="77777777" w:rsidR="00AC2C08" w:rsidRPr="00237760" w:rsidRDefault="00AC2C08" w:rsidP="009367B4">
            <w:pPr>
              <w:spacing w:after="0" w:line="240" w:lineRule="auto"/>
              <w:jc w:val="left"/>
              <w:rPr>
                <w:rFonts w:ascii="Arial" w:hAnsi="Arial" w:cs="Arial"/>
                <w:color w:val="auto"/>
                <w:sz w:val="24"/>
                <w:szCs w:val="24"/>
              </w:rPr>
            </w:pPr>
          </w:p>
        </w:tc>
      </w:tr>
      <w:tr w:rsidR="00237760" w:rsidRPr="00237760" w14:paraId="0545B301" w14:textId="77777777" w:rsidTr="000D3F32">
        <w:trPr>
          <w:trHeight w:val="14"/>
        </w:trPr>
        <w:tc>
          <w:tcPr>
            <w:tcW w:w="5107" w:type="dxa"/>
            <w:tcBorders>
              <w:top w:val="single" w:sz="4" w:space="0" w:color="BDD6EE" w:themeColor="accent1" w:themeTint="66"/>
              <w:left w:val="nil"/>
              <w:bottom w:val="single" w:sz="4" w:space="0" w:color="BDD6EE" w:themeColor="accent1" w:themeTint="66"/>
              <w:right w:val="single" w:sz="4" w:space="0" w:color="BDD6EE" w:themeColor="accent1" w:themeTint="66"/>
            </w:tcBorders>
            <w:hideMark/>
          </w:tcPr>
          <w:p w14:paraId="5489E34F" w14:textId="77777777" w:rsidR="00AC2C08" w:rsidRPr="00237760" w:rsidRDefault="00AC2C08"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FILAR IV 2. Skoordynowanie polityki migracyjnej z polityką gospodarczą, społeczną i polityką bezpieczeństwa</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48E2243E" w14:textId="77777777" w:rsidR="00AC2C08" w:rsidRPr="00237760" w:rsidRDefault="00AC2C08" w:rsidP="009367B4">
            <w:pPr>
              <w:spacing w:after="0" w:line="240" w:lineRule="auto"/>
              <w:jc w:val="left"/>
              <w:rPr>
                <w:rFonts w:ascii="Arial" w:hAnsi="Arial" w:cs="Arial"/>
                <w:color w:val="auto"/>
                <w:sz w:val="24"/>
                <w:szCs w:val="24"/>
              </w:rPr>
            </w:pPr>
          </w:p>
        </w:tc>
        <w:tc>
          <w:tcPr>
            <w:tcW w:w="748" w:type="dxa"/>
            <w:gridSpan w:val="3"/>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2695307F" w14:textId="77777777" w:rsidR="00AC2C08" w:rsidRPr="00237760" w:rsidRDefault="00AC2C08" w:rsidP="009367B4">
            <w:pPr>
              <w:spacing w:after="0" w:line="240" w:lineRule="auto"/>
              <w:jc w:val="left"/>
              <w:rPr>
                <w:rFonts w:ascii="Arial" w:hAnsi="Arial" w:cs="Arial"/>
                <w:color w:val="auto"/>
                <w:sz w:val="24"/>
                <w:szCs w:val="24"/>
              </w:rPr>
            </w:pPr>
          </w:p>
        </w:tc>
        <w:tc>
          <w:tcPr>
            <w:tcW w:w="3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44724709" w14:textId="77777777" w:rsidR="00AC2C08" w:rsidRPr="00237760" w:rsidRDefault="00AC2C08" w:rsidP="009367B4">
            <w:pPr>
              <w:spacing w:after="0" w:line="240" w:lineRule="auto"/>
              <w:jc w:val="left"/>
              <w:rPr>
                <w:rFonts w:ascii="Arial" w:hAnsi="Arial" w:cs="Arial"/>
                <w:color w:val="auto"/>
                <w:sz w:val="24"/>
                <w:szCs w:val="24"/>
              </w:rPr>
            </w:pP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6F1C085F" w14:textId="77777777" w:rsidR="00AC2C08" w:rsidRPr="00237760" w:rsidRDefault="00AC2C08" w:rsidP="009367B4">
            <w:pPr>
              <w:spacing w:after="0" w:line="240" w:lineRule="auto"/>
              <w:jc w:val="left"/>
              <w:rPr>
                <w:rFonts w:ascii="Arial" w:hAnsi="Arial" w:cs="Arial"/>
                <w:color w:val="auto"/>
                <w:sz w:val="24"/>
                <w:szCs w:val="24"/>
              </w:rPr>
            </w:pP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217A1821" w14:textId="77777777" w:rsidR="00AC2C08" w:rsidRPr="00237760" w:rsidRDefault="00AC2C08" w:rsidP="009367B4">
            <w:pPr>
              <w:spacing w:after="0" w:line="240" w:lineRule="auto"/>
              <w:jc w:val="left"/>
              <w:rPr>
                <w:rFonts w:ascii="Arial" w:hAnsi="Arial" w:cs="Arial"/>
                <w:color w:val="auto"/>
                <w:sz w:val="24"/>
                <w:szCs w:val="24"/>
              </w:rPr>
            </w:pPr>
          </w:p>
        </w:tc>
        <w:tc>
          <w:tcPr>
            <w:tcW w:w="572"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63FC67F4" w14:textId="77777777" w:rsidR="00AC2C08" w:rsidRPr="00237760" w:rsidRDefault="00AC2C08" w:rsidP="009367B4">
            <w:pPr>
              <w:spacing w:after="0" w:line="240" w:lineRule="auto"/>
              <w:jc w:val="left"/>
              <w:rPr>
                <w:rFonts w:ascii="Arial" w:hAnsi="Arial" w:cs="Arial"/>
                <w:color w:val="auto"/>
                <w:sz w:val="24"/>
                <w:szCs w:val="24"/>
              </w:rPr>
            </w:pPr>
          </w:p>
        </w:tc>
        <w:tc>
          <w:tcPr>
            <w:tcW w:w="563" w:type="dxa"/>
            <w:gridSpan w:val="3"/>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652CDDCB" w14:textId="77777777" w:rsidR="00AC2C08" w:rsidRPr="00237760" w:rsidRDefault="00AC2C08" w:rsidP="009367B4">
            <w:pPr>
              <w:spacing w:after="0" w:line="240" w:lineRule="auto"/>
              <w:jc w:val="left"/>
              <w:rPr>
                <w:rFonts w:ascii="Arial" w:hAnsi="Arial" w:cs="Arial"/>
                <w:color w:val="auto"/>
                <w:sz w:val="24"/>
                <w:szCs w:val="24"/>
              </w:rPr>
            </w:pPr>
          </w:p>
        </w:tc>
      </w:tr>
      <w:tr w:rsidR="00237760" w:rsidRPr="00237760" w14:paraId="28C2B8C8" w14:textId="77777777" w:rsidTr="000D3F32">
        <w:trPr>
          <w:trHeight w:val="14"/>
        </w:trPr>
        <w:tc>
          <w:tcPr>
            <w:tcW w:w="5107" w:type="dxa"/>
            <w:tcBorders>
              <w:top w:val="single" w:sz="4" w:space="0" w:color="BDD6EE" w:themeColor="accent1" w:themeTint="66"/>
              <w:left w:val="nil"/>
              <w:bottom w:val="single" w:sz="4" w:space="0" w:color="BDD6EE" w:themeColor="accent1" w:themeTint="66"/>
              <w:right w:val="single" w:sz="4" w:space="0" w:color="BDD6EE" w:themeColor="accent1" w:themeTint="66"/>
            </w:tcBorders>
            <w:hideMark/>
          </w:tcPr>
          <w:p w14:paraId="5DF0E34F" w14:textId="77777777" w:rsidR="00AC2C08" w:rsidRPr="00237760" w:rsidRDefault="00AC2C08"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FILAR IV 5. Zapewnienie bezpieczeństwa ekologicznego państwa</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7D4D4582" w14:textId="77777777" w:rsidR="00AC2C08" w:rsidRPr="00237760" w:rsidRDefault="00AC2C08" w:rsidP="009367B4">
            <w:pPr>
              <w:spacing w:after="0" w:line="240" w:lineRule="auto"/>
              <w:jc w:val="left"/>
              <w:rPr>
                <w:rFonts w:ascii="Arial" w:hAnsi="Arial" w:cs="Arial"/>
                <w:color w:val="auto"/>
                <w:sz w:val="24"/>
                <w:szCs w:val="24"/>
              </w:rPr>
            </w:pPr>
          </w:p>
        </w:tc>
        <w:tc>
          <w:tcPr>
            <w:tcW w:w="748" w:type="dxa"/>
            <w:gridSpan w:val="3"/>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8707714" w14:textId="77777777" w:rsidR="00AC2C08" w:rsidRPr="00237760" w:rsidRDefault="00AC2C08" w:rsidP="009367B4">
            <w:pPr>
              <w:spacing w:after="0" w:line="240" w:lineRule="auto"/>
              <w:jc w:val="left"/>
              <w:rPr>
                <w:rFonts w:ascii="Arial" w:hAnsi="Arial" w:cs="Arial"/>
                <w:color w:val="auto"/>
                <w:sz w:val="24"/>
                <w:szCs w:val="24"/>
              </w:rPr>
            </w:pPr>
          </w:p>
        </w:tc>
        <w:tc>
          <w:tcPr>
            <w:tcW w:w="3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2D94EEA4" w14:textId="77777777" w:rsidR="00AC2C08" w:rsidRPr="00237760" w:rsidRDefault="00AC2C08" w:rsidP="009367B4">
            <w:pPr>
              <w:spacing w:after="0" w:line="240" w:lineRule="auto"/>
              <w:jc w:val="left"/>
              <w:rPr>
                <w:rFonts w:ascii="Arial" w:hAnsi="Arial" w:cs="Arial"/>
                <w:color w:val="auto"/>
                <w:sz w:val="24"/>
                <w:szCs w:val="24"/>
              </w:rPr>
            </w:pP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4593E225" w14:textId="77777777" w:rsidR="00AC2C08" w:rsidRPr="00237760" w:rsidRDefault="00AC2C08" w:rsidP="009367B4">
            <w:pPr>
              <w:spacing w:after="0" w:line="240" w:lineRule="auto"/>
              <w:jc w:val="left"/>
              <w:rPr>
                <w:rFonts w:ascii="Arial" w:hAnsi="Arial" w:cs="Arial"/>
                <w:color w:val="auto"/>
                <w:sz w:val="24"/>
                <w:szCs w:val="24"/>
              </w:rPr>
            </w:pP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55773BE" w14:textId="77777777" w:rsidR="00AC2C08" w:rsidRPr="00237760" w:rsidRDefault="00AC2C08" w:rsidP="009367B4">
            <w:pPr>
              <w:spacing w:after="0" w:line="240" w:lineRule="auto"/>
              <w:jc w:val="left"/>
              <w:rPr>
                <w:rFonts w:ascii="Arial" w:hAnsi="Arial" w:cs="Arial"/>
                <w:color w:val="auto"/>
                <w:sz w:val="24"/>
                <w:szCs w:val="24"/>
              </w:rPr>
            </w:pPr>
          </w:p>
        </w:tc>
        <w:tc>
          <w:tcPr>
            <w:tcW w:w="572"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170012BF" w14:textId="77777777" w:rsidR="00AC2C08" w:rsidRPr="00237760" w:rsidRDefault="00AC2C08" w:rsidP="009367B4">
            <w:pPr>
              <w:spacing w:after="0" w:line="240" w:lineRule="auto"/>
              <w:jc w:val="left"/>
              <w:rPr>
                <w:rFonts w:ascii="Arial" w:hAnsi="Arial" w:cs="Arial"/>
                <w:color w:val="auto"/>
                <w:sz w:val="24"/>
                <w:szCs w:val="24"/>
              </w:rPr>
            </w:pPr>
          </w:p>
        </w:tc>
        <w:tc>
          <w:tcPr>
            <w:tcW w:w="563" w:type="dxa"/>
            <w:gridSpan w:val="3"/>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78DBF13D" w14:textId="77777777" w:rsidR="00AC2C08" w:rsidRPr="00237760" w:rsidRDefault="00AC2C08" w:rsidP="009367B4">
            <w:pPr>
              <w:spacing w:after="0" w:line="240" w:lineRule="auto"/>
              <w:jc w:val="left"/>
              <w:rPr>
                <w:rFonts w:ascii="Arial" w:hAnsi="Arial" w:cs="Arial"/>
                <w:color w:val="auto"/>
                <w:sz w:val="24"/>
                <w:szCs w:val="24"/>
              </w:rPr>
            </w:pPr>
          </w:p>
        </w:tc>
      </w:tr>
      <w:tr w:rsidR="00237760" w:rsidRPr="00237760" w14:paraId="56CB97D8" w14:textId="77777777" w:rsidTr="000D3F32">
        <w:trPr>
          <w:trHeight w:val="109"/>
          <w:tblHeader/>
        </w:trPr>
        <w:tc>
          <w:tcPr>
            <w:tcW w:w="9077" w:type="dxa"/>
            <w:gridSpan w:val="15"/>
            <w:tcBorders>
              <w:top w:val="nil"/>
              <w:left w:val="nil"/>
              <w:bottom w:val="single" w:sz="4" w:space="0" w:color="BDD6EE" w:themeColor="accent1" w:themeTint="66"/>
              <w:right w:val="nil"/>
            </w:tcBorders>
            <w:shd w:val="clear" w:color="auto" w:fill="auto"/>
            <w:vAlign w:val="center"/>
            <w:hideMark/>
          </w:tcPr>
          <w:p w14:paraId="0A721CE8" w14:textId="77777777" w:rsidR="005411D8" w:rsidRPr="00237760" w:rsidRDefault="005411D8"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Strategia Zrównoważonego Rozwoju Wsi, Rolnictwa i Rybactwa 2030</w:t>
            </w:r>
          </w:p>
        </w:tc>
      </w:tr>
      <w:tr w:rsidR="00237760" w:rsidRPr="00237760" w14:paraId="56D24A69" w14:textId="77777777" w:rsidTr="000D3F32">
        <w:trPr>
          <w:trHeight w:val="70"/>
          <w:tblHeader/>
        </w:trPr>
        <w:tc>
          <w:tcPr>
            <w:tcW w:w="5107" w:type="dxa"/>
            <w:vMerge w:val="restart"/>
            <w:tcBorders>
              <w:top w:val="nil"/>
              <w:left w:val="nil"/>
              <w:bottom w:val="single" w:sz="4" w:space="0" w:color="BDD6EE" w:themeColor="accent1" w:themeTint="66"/>
              <w:right w:val="nil"/>
            </w:tcBorders>
            <w:shd w:val="clear" w:color="auto" w:fill="auto"/>
            <w:vAlign w:val="center"/>
            <w:hideMark/>
          </w:tcPr>
          <w:p w14:paraId="5B8D0FB6" w14:textId="77777777" w:rsidR="005411D8" w:rsidRPr="00237760" w:rsidRDefault="005411D8"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Kierunki interwencji</w:t>
            </w:r>
          </w:p>
        </w:tc>
        <w:tc>
          <w:tcPr>
            <w:tcW w:w="1701" w:type="dxa"/>
            <w:gridSpan w:val="5"/>
            <w:tcBorders>
              <w:top w:val="nil"/>
              <w:left w:val="nil"/>
              <w:bottom w:val="single" w:sz="4" w:space="0" w:color="BDD6EE" w:themeColor="accent1" w:themeTint="66"/>
              <w:right w:val="nil"/>
            </w:tcBorders>
            <w:shd w:val="clear" w:color="auto" w:fill="auto"/>
            <w:hideMark/>
          </w:tcPr>
          <w:p w14:paraId="4DA09594" w14:textId="77777777" w:rsidR="005411D8" w:rsidRPr="00237760" w:rsidRDefault="005411D8"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podstawowe PSRT WP</w:t>
            </w:r>
          </w:p>
        </w:tc>
        <w:tc>
          <w:tcPr>
            <w:tcW w:w="2269" w:type="dxa"/>
            <w:gridSpan w:val="9"/>
            <w:tcBorders>
              <w:top w:val="nil"/>
              <w:left w:val="nil"/>
              <w:bottom w:val="single" w:sz="4" w:space="0" w:color="BDD6EE" w:themeColor="accent1" w:themeTint="66"/>
              <w:right w:val="nil"/>
            </w:tcBorders>
            <w:shd w:val="clear" w:color="auto" w:fill="auto"/>
            <w:vAlign w:val="center"/>
            <w:hideMark/>
          </w:tcPr>
          <w:p w14:paraId="24972E27" w14:textId="77777777" w:rsidR="005411D8" w:rsidRPr="00237760" w:rsidRDefault="005411D8"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horyzontalne PSRT WP</w:t>
            </w:r>
          </w:p>
        </w:tc>
      </w:tr>
      <w:tr w:rsidR="00237760" w:rsidRPr="00237760" w14:paraId="180DCDDE" w14:textId="77777777" w:rsidTr="000D3F32">
        <w:trPr>
          <w:trHeight w:val="50"/>
          <w:tblHeader/>
        </w:trPr>
        <w:tc>
          <w:tcPr>
            <w:tcW w:w="5107" w:type="dxa"/>
            <w:vMerge/>
            <w:tcBorders>
              <w:top w:val="nil"/>
              <w:left w:val="nil"/>
              <w:bottom w:val="single" w:sz="4" w:space="0" w:color="BDD6EE" w:themeColor="accent1" w:themeTint="66"/>
              <w:right w:val="nil"/>
            </w:tcBorders>
            <w:shd w:val="clear" w:color="auto" w:fill="auto"/>
            <w:vAlign w:val="center"/>
            <w:hideMark/>
          </w:tcPr>
          <w:p w14:paraId="5C7D797B" w14:textId="77777777" w:rsidR="005411D8" w:rsidRPr="00237760" w:rsidRDefault="005411D8" w:rsidP="009367B4">
            <w:pPr>
              <w:spacing w:after="0" w:line="240" w:lineRule="auto"/>
              <w:jc w:val="left"/>
              <w:rPr>
                <w:rFonts w:ascii="Arial" w:hAnsi="Arial" w:cs="Arial"/>
                <w:b/>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hideMark/>
          </w:tcPr>
          <w:p w14:paraId="54AA4DA2" w14:textId="77777777" w:rsidR="005411D8" w:rsidRPr="00237760" w:rsidRDefault="005411D8"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748" w:type="dxa"/>
            <w:gridSpan w:val="3"/>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hideMark/>
          </w:tcPr>
          <w:p w14:paraId="2471138C" w14:textId="77777777" w:rsidR="005411D8" w:rsidRPr="00237760" w:rsidRDefault="005411D8"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3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hideMark/>
          </w:tcPr>
          <w:p w14:paraId="2107B794" w14:textId="77777777" w:rsidR="005411D8" w:rsidRPr="00237760" w:rsidRDefault="005411D8"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hideMark/>
          </w:tcPr>
          <w:p w14:paraId="401A7AD0" w14:textId="77777777" w:rsidR="005411D8" w:rsidRPr="00237760" w:rsidRDefault="005411D8"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hideMark/>
          </w:tcPr>
          <w:p w14:paraId="52E6536E" w14:textId="77777777" w:rsidR="005411D8" w:rsidRPr="00237760" w:rsidRDefault="005411D8"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572" w:type="dxa"/>
            <w:gridSpan w:val="2"/>
            <w:tcBorders>
              <w:top w:val="single" w:sz="4" w:space="0" w:color="BDD6EE" w:themeColor="accent1" w:themeTint="66"/>
              <w:left w:val="single" w:sz="4" w:space="0" w:color="BDD6EE" w:themeColor="accent1" w:themeTint="66"/>
              <w:bottom w:val="single" w:sz="4" w:space="0" w:color="BDD6EE" w:themeColor="accent1" w:themeTint="66"/>
              <w:right w:val="nil"/>
            </w:tcBorders>
            <w:shd w:val="clear" w:color="auto" w:fill="auto"/>
            <w:hideMark/>
          </w:tcPr>
          <w:p w14:paraId="691B82F1" w14:textId="77777777" w:rsidR="005411D8" w:rsidRPr="00237760" w:rsidRDefault="005411D8"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563" w:type="dxa"/>
            <w:gridSpan w:val="3"/>
            <w:tcBorders>
              <w:top w:val="single" w:sz="4" w:space="0" w:color="BDD6EE" w:themeColor="accent1" w:themeTint="66"/>
              <w:left w:val="single" w:sz="4" w:space="0" w:color="BDD6EE" w:themeColor="accent1" w:themeTint="66"/>
              <w:bottom w:val="single" w:sz="4" w:space="0" w:color="BDD6EE" w:themeColor="accent1" w:themeTint="66"/>
              <w:right w:val="nil"/>
            </w:tcBorders>
            <w:shd w:val="clear" w:color="auto" w:fill="auto"/>
            <w:hideMark/>
          </w:tcPr>
          <w:p w14:paraId="5F7B4B8A" w14:textId="77777777" w:rsidR="005411D8" w:rsidRPr="00237760" w:rsidRDefault="005411D8"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4.</w:t>
            </w:r>
          </w:p>
        </w:tc>
      </w:tr>
      <w:tr w:rsidR="00237760" w:rsidRPr="00237760" w14:paraId="3D0DA75D" w14:textId="77777777" w:rsidTr="000D3F32">
        <w:trPr>
          <w:trHeight w:val="14"/>
        </w:trPr>
        <w:tc>
          <w:tcPr>
            <w:tcW w:w="5107" w:type="dxa"/>
            <w:tcBorders>
              <w:top w:val="single" w:sz="4" w:space="0" w:color="BDD6EE" w:themeColor="accent1" w:themeTint="66"/>
              <w:left w:val="nil"/>
              <w:bottom w:val="single" w:sz="4" w:space="0" w:color="BDD6EE" w:themeColor="accent1" w:themeTint="66"/>
              <w:right w:val="single" w:sz="4" w:space="0" w:color="BDD6EE" w:themeColor="accent1" w:themeTint="66"/>
            </w:tcBorders>
            <w:hideMark/>
          </w:tcPr>
          <w:p w14:paraId="649F843B" w14:textId="77777777" w:rsidR="005411D8" w:rsidRPr="00237760" w:rsidRDefault="005411D8"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Kierunek interwencji: II.1. Rozwój liniowej infrastruktury technicznej</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56A0A951" w14:textId="77777777" w:rsidR="005411D8" w:rsidRPr="00237760" w:rsidRDefault="005411D8" w:rsidP="009367B4">
            <w:pPr>
              <w:spacing w:after="0" w:line="240" w:lineRule="auto"/>
              <w:jc w:val="left"/>
              <w:rPr>
                <w:rFonts w:ascii="Arial" w:hAnsi="Arial" w:cs="Arial"/>
                <w:color w:val="auto"/>
                <w:sz w:val="24"/>
                <w:szCs w:val="24"/>
              </w:rPr>
            </w:pPr>
          </w:p>
        </w:tc>
        <w:tc>
          <w:tcPr>
            <w:tcW w:w="748" w:type="dxa"/>
            <w:gridSpan w:val="3"/>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6C8C791E" w14:textId="77777777" w:rsidR="005411D8" w:rsidRPr="00237760" w:rsidRDefault="005411D8" w:rsidP="009367B4">
            <w:pPr>
              <w:spacing w:after="0" w:line="240" w:lineRule="auto"/>
              <w:jc w:val="left"/>
              <w:rPr>
                <w:rFonts w:ascii="Arial" w:hAnsi="Arial" w:cs="Arial"/>
                <w:color w:val="auto"/>
                <w:sz w:val="24"/>
                <w:szCs w:val="24"/>
              </w:rPr>
            </w:pPr>
          </w:p>
        </w:tc>
        <w:tc>
          <w:tcPr>
            <w:tcW w:w="3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640F54EE" w14:textId="77777777" w:rsidR="005411D8" w:rsidRPr="00237760" w:rsidRDefault="005411D8" w:rsidP="009367B4">
            <w:pPr>
              <w:spacing w:after="0" w:line="240" w:lineRule="auto"/>
              <w:jc w:val="left"/>
              <w:rPr>
                <w:rFonts w:ascii="Arial" w:hAnsi="Arial" w:cs="Arial"/>
                <w:color w:val="auto"/>
                <w:sz w:val="24"/>
                <w:szCs w:val="24"/>
              </w:rPr>
            </w:pP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3B3A10FE" w14:textId="77777777" w:rsidR="005411D8" w:rsidRPr="00237760" w:rsidRDefault="005411D8" w:rsidP="009367B4">
            <w:pPr>
              <w:spacing w:after="0" w:line="240" w:lineRule="auto"/>
              <w:jc w:val="left"/>
              <w:rPr>
                <w:rFonts w:ascii="Arial" w:hAnsi="Arial" w:cs="Arial"/>
                <w:color w:val="auto"/>
                <w:sz w:val="24"/>
                <w:szCs w:val="24"/>
              </w:rPr>
            </w:pP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3DAAB4A5" w14:textId="77777777" w:rsidR="005411D8" w:rsidRPr="00237760" w:rsidRDefault="005411D8" w:rsidP="009367B4">
            <w:pPr>
              <w:spacing w:after="0" w:line="240" w:lineRule="auto"/>
              <w:jc w:val="left"/>
              <w:rPr>
                <w:rFonts w:ascii="Arial" w:hAnsi="Arial" w:cs="Arial"/>
                <w:color w:val="auto"/>
                <w:sz w:val="24"/>
                <w:szCs w:val="24"/>
              </w:rPr>
            </w:pPr>
          </w:p>
        </w:tc>
        <w:tc>
          <w:tcPr>
            <w:tcW w:w="572"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58E0E5A6" w14:textId="77777777" w:rsidR="005411D8" w:rsidRPr="00237760" w:rsidRDefault="005411D8" w:rsidP="009367B4">
            <w:pPr>
              <w:spacing w:after="0" w:line="240" w:lineRule="auto"/>
              <w:jc w:val="left"/>
              <w:rPr>
                <w:rFonts w:ascii="Arial" w:hAnsi="Arial" w:cs="Arial"/>
                <w:color w:val="auto"/>
                <w:sz w:val="24"/>
                <w:szCs w:val="24"/>
              </w:rPr>
            </w:pPr>
          </w:p>
        </w:tc>
        <w:tc>
          <w:tcPr>
            <w:tcW w:w="563" w:type="dxa"/>
            <w:gridSpan w:val="3"/>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46D6E4A0" w14:textId="77777777" w:rsidR="005411D8" w:rsidRPr="00237760" w:rsidRDefault="005411D8" w:rsidP="009367B4">
            <w:pPr>
              <w:spacing w:after="0" w:line="240" w:lineRule="auto"/>
              <w:jc w:val="left"/>
              <w:rPr>
                <w:rFonts w:ascii="Arial" w:hAnsi="Arial" w:cs="Arial"/>
                <w:color w:val="auto"/>
                <w:sz w:val="24"/>
                <w:szCs w:val="24"/>
              </w:rPr>
            </w:pPr>
          </w:p>
        </w:tc>
      </w:tr>
      <w:tr w:rsidR="00237760" w:rsidRPr="00237760" w14:paraId="2A829C7B" w14:textId="77777777" w:rsidTr="000D3F32">
        <w:trPr>
          <w:trHeight w:val="14"/>
        </w:trPr>
        <w:tc>
          <w:tcPr>
            <w:tcW w:w="5107" w:type="dxa"/>
            <w:tcBorders>
              <w:top w:val="single" w:sz="4" w:space="0" w:color="BDD6EE" w:themeColor="accent1" w:themeTint="66"/>
              <w:left w:val="nil"/>
              <w:bottom w:val="single" w:sz="4" w:space="0" w:color="BDD6EE" w:themeColor="accent1" w:themeTint="66"/>
              <w:right w:val="single" w:sz="4" w:space="0" w:color="BDD6EE" w:themeColor="accent1" w:themeTint="66"/>
            </w:tcBorders>
            <w:hideMark/>
          </w:tcPr>
          <w:p w14:paraId="4FDA8170" w14:textId="77777777" w:rsidR="005411D8" w:rsidRPr="00237760" w:rsidRDefault="005411D8"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Kierunek interwencji: II.2. Dostępność wysokiej jakości usług publicznych</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0CA479B0" w14:textId="77777777" w:rsidR="005411D8" w:rsidRPr="00237760" w:rsidRDefault="005411D8" w:rsidP="009367B4">
            <w:pPr>
              <w:spacing w:after="0" w:line="240" w:lineRule="auto"/>
              <w:jc w:val="left"/>
              <w:rPr>
                <w:rFonts w:ascii="Arial" w:hAnsi="Arial" w:cs="Arial"/>
                <w:color w:val="auto"/>
                <w:sz w:val="24"/>
                <w:szCs w:val="24"/>
              </w:rPr>
            </w:pPr>
          </w:p>
        </w:tc>
        <w:tc>
          <w:tcPr>
            <w:tcW w:w="748" w:type="dxa"/>
            <w:gridSpan w:val="3"/>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CDCF9CE" w14:textId="77777777" w:rsidR="005411D8" w:rsidRPr="00237760" w:rsidRDefault="005411D8" w:rsidP="009367B4">
            <w:pPr>
              <w:spacing w:after="0" w:line="240" w:lineRule="auto"/>
              <w:jc w:val="left"/>
              <w:rPr>
                <w:rFonts w:ascii="Arial" w:hAnsi="Arial" w:cs="Arial"/>
                <w:color w:val="auto"/>
                <w:sz w:val="24"/>
                <w:szCs w:val="24"/>
              </w:rPr>
            </w:pPr>
          </w:p>
        </w:tc>
        <w:tc>
          <w:tcPr>
            <w:tcW w:w="3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64681565" w14:textId="77777777" w:rsidR="005411D8" w:rsidRPr="00237760" w:rsidRDefault="005411D8" w:rsidP="009367B4">
            <w:pPr>
              <w:spacing w:after="0" w:line="240" w:lineRule="auto"/>
              <w:jc w:val="left"/>
              <w:rPr>
                <w:rFonts w:ascii="Arial" w:hAnsi="Arial" w:cs="Arial"/>
                <w:color w:val="auto"/>
                <w:sz w:val="24"/>
                <w:szCs w:val="24"/>
              </w:rPr>
            </w:pP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0809C16D" w14:textId="77777777" w:rsidR="005411D8" w:rsidRPr="00237760" w:rsidRDefault="005411D8" w:rsidP="009367B4">
            <w:pPr>
              <w:spacing w:after="0" w:line="240" w:lineRule="auto"/>
              <w:jc w:val="left"/>
              <w:rPr>
                <w:rFonts w:ascii="Arial" w:hAnsi="Arial" w:cs="Arial"/>
                <w:color w:val="auto"/>
                <w:sz w:val="24"/>
                <w:szCs w:val="24"/>
              </w:rPr>
            </w:pP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94E1E21" w14:textId="77777777" w:rsidR="005411D8" w:rsidRPr="00237760" w:rsidRDefault="005411D8" w:rsidP="009367B4">
            <w:pPr>
              <w:spacing w:after="0" w:line="240" w:lineRule="auto"/>
              <w:jc w:val="left"/>
              <w:rPr>
                <w:rFonts w:ascii="Arial" w:hAnsi="Arial" w:cs="Arial"/>
                <w:color w:val="auto"/>
                <w:sz w:val="24"/>
                <w:szCs w:val="24"/>
              </w:rPr>
            </w:pPr>
          </w:p>
        </w:tc>
        <w:tc>
          <w:tcPr>
            <w:tcW w:w="572"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44E6C648" w14:textId="77777777" w:rsidR="005411D8" w:rsidRPr="00237760" w:rsidRDefault="005411D8" w:rsidP="009367B4">
            <w:pPr>
              <w:spacing w:after="0" w:line="240" w:lineRule="auto"/>
              <w:jc w:val="left"/>
              <w:rPr>
                <w:rFonts w:ascii="Arial" w:hAnsi="Arial" w:cs="Arial"/>
                <w:color w:val="auto"/>
                <w:sz w:val="24"/>
                <w:szCs w:val="24"/>
              </w:rPr>
            </w:pPr>
          </w:p>
        </w:tc>
        <w:tc>
          <w:tcPr>
            <w:tcW w:w="563" w:type="dxa"/>
            <w:gridSpan w:val="3"/>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6451A061" w14:textId="77777777" w:rsidR="005411D8" w:rsidRPr="00237760" w:rsidRDefault="005411D8" w:rsidP="009367B4">
            <w:pPr>
              <w:spacing w:after="0" w:line="240" w:lineRule="auto"/>
              <w:jc w:val="left"/>
              <w:rPr>
                <w:rFonts w:ascii="Arial" w:hAnsi="Arial" w:cs="Arial"/>
                <w:color w:val="auto"/>
                <w:sz w:val="24"/>
                <w:szCs w:val="24"/>
              </w:rPr>
            </w:pPr>
          </w:p>
        </w:tc>
      </w:tr>
      <w:tr w:rsidR="00237760" w:rsidRPr="00237760" w14:paraId="5F25F98B" w14:textId="77777777" w:rsidTr="000D3F32">
        <w:trPr>
          <w:trHeight w:val="14"/>
        </w:trPr>
        <w:tc>
          <w:tcPr>
            <w:tcW w:w="5107" w:type="dxa"/>
            <w:tcBorders>
              <w:top w:val="single" w:sz="4" w:space="0" w:color="BDD6EE" w:themeColor="accent1" w:themeTint="66"/>
              <w:left w:val="nil"/>
              <w:bottom w:val="single" w:sz="4" w:space="0" w:color="BDD6EE" w:themeColor="accent1" w:themeTint="66"/>
              <w:right w:val="single" w:sz="4" w:space="0" w:color="BDD6EE" w:themeColor="accent1" w:themeTint="66"/>
            </w:tcBorders>
            <w:hideMark/>
          </w:tcPr>
          <w:p w14:paraId="6FB9DC18" w14:textId="77777777" w:rsidR="005411D8" w:rsidRPr="00237760" w:rsidRDefault="005411D8"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Kierunek interwencji: II.4. Zrównoważone gospodarowanie i ochrona zasobów środowiska</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483D7483" w14:textId="77777777" w:rsidR="005411D8" w:rsidRPr="00237760" w:rsidRDefault="005411D8" w:rsidP="009367B4">
            <w:pPr>
              <w:spacing w:after="0" w:line="240" w:lineRule="auto"/>
              <w:jc w:val="left"/>
              <w:rPr>
                <w:rFonts w:ascii="Arial" w:hAnsi="Arial" w:cs="Arial"/>
                <w:color w:val="auto"/>
                <w:sz w:val="24"/>
                <w:szCs w:val="24"/>
              </w:rPr>
            </w:pPr>
          </w:p>
        </w:tc>
        <w:tc>
          <w:tcPr>
            <w:tcW w:w="748" w:type="dxa"/>
            <w:gridSpan w:val="3"/>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78AB9FBA" w14:textId="77777777" w:rsidR="005411D8" w:rsidRPr="00237760" w:rsidRDefault="005411D8" w:rsidP="009367B4">
            <w:pPr>
              <w:spacing w:after="0" w:line="240" w:lineRule="auto"/>
              <w:jc w:val="left"/>
              <w:rPr>
                <w:rFonts w:ascii="Arial" w:hAnsi="Arial" w:cs="Arial"/>
                <w:color w:val="auto"/>
                <w:sz w:val="24"/>
                <w:szCs w:val="24"/>
              </w:rPr>
            </w:pPr>
          </w:p>
        </w:tc>
        <w:tc>
          <w:tcPr>
            <w:tcW w:w="3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6B1B901D" w14:textId="77777777" w:rsidR="005411D8" w:rsidRPr="00237760" w:rsidRDefault="005411D8" w:rsidP="009367B4">
            <w:pPr>
              <w:spacing w:after="0" w:line="240" w:lineRule="auto"/>
              <w:jc w:val="left"/>
              <w:rPr>
                <w:rFonts w:ascii="Arial" w:hAnsi="Arial" w:cs="Arial"/>
                <w:color w:val="auto"/>
                <w:sz w:val="24"/>
                <w:szCs w:val="24"/>
              </w:rPr>
            </w:pP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1B7497F5" w14:textId="77777777" w:rsidR="005411D8" w:rsidRPr="00237760" w:rsidRDefault="005411D8" w:rsidP="009367B4">
            <w:pPr>
              <w:spacing w:after="0" w:line="240" w:lineRule="auto"/>
              <w:jc w:val="left"/>
              <w:rPr>
                <w:rFonts w:ascii="Arial" w:hAnsi="Arial" w:cs="Arial"/>
                <w:color w:val="auto"/>
                <w:sz w:val="24"/>
                <w:szCs w:val="24"/>
              </w:rPr>
            </w:pP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62F64960" w14:textId="77777777" w:rsidR="005411D8" w:rsidRPr="00237760" w:rsidRDefault="005411D8" w:rsidP="009367B4">
            <w:pPr>
              <w:spacing w:after="0" w:line="240" w:lineRule="auto"/>
              <w:jc w:val="left"/>
              <w:rPr>
                <w:rFonts w:ascii="Arial" w:hAnsi="Arial" w:cs="Arial"/>
                <w:color w:val="auto"/>
                <w:sz w:val="24"/>
                <w:szCs w:val="24"/>
              </w:rPr>
            </w:pPr>
          </w:p>
        </w:tc>
        <w:tc>
          <w:tcPr>
            <w:tcW w:w="572"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D69CAA2" w14:textId="77777777" w:rsidR="005411D8" w:rsidRPr="00237760" w:rsidRDefault="005411D8" w:rsidP="009367B4">
            <w:pPr>
              <w:spacing w:after="0" w:line="240" w:lineRule="auto"/>
              <w:jc w:val="left"/>
              <w:rPr>
                <w:rFonts w:ascii="Arial" w:hAnsi="Arial" w:cs="Arial"/>
                <w:color w:val="auto"/>
                <w:sz w:val="24"/>
                <w:szCs w:val="24"/>
              </w:rPr>
            </w:pPr>
          </w:p>
        </w:tc>
        <w:tc>
          <w:tcPr>
            <w:tcW w:w="563" w:type="dxa"/>
            <w:gridSpan w:val="3"/>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7E8F6BC2" w14:textId="77777777" w:rsidR="005411D8" w:rsidRPr="00237760" w:rsidRDefault="005411D8" w:rsidP="009367B4">
            <w:pPr>
              <w:spacing w:after="0" w:line="240" w:lineRule="auto"/>
              <w:jc w:val="left"/>
              <w:rPr>
                <w:rFonts w:ascii="Arial" w:hAnsi="Arial" w:cs="Arial"/>
                <w:color w:val="auto"/>
                <w:sz w:val="24"/>
                <w:szCs w:val="24"/>
              </w:rPr>
            </w:pPr>
          </w:p>
        </w:tc>
      </w:tr>
      <w:tr w:rsidR="00237760" w:rsidRPr="00237760" w14:paraId="79F51138" w14:textId="77777777" w:rsidTr="000D3F32">
        <w:trPr>
          <w:trHeight w:val="14"/>
        </w:trPr>
        <w:tc>
          <w:tcPr>
            <w:tcW w:w="5107" w:type="dxa"/>
            <w:tcBorders>
              <w:top w:val="single" w:sz="4" w:space="0" w:color="BDD6EE" w:themeColor="accent1" w:themeTint="66"/>
              <w:left w:val="nil"/>
              <w:bottom w:val="single" w:sz="4" w:space="0" w:color="BDD6EE" w:themeColor="accent1" w:themeTint="66"/>
              <w:right w:val="single" w:sz="4" w:space="0" w:color="BDD6EE" w:themeColor="accent1" w:themeTint="66"/>
            </w:tcBorders>
            <w:hideMark/>
          </w:tcPr>
          <w:p w14:paraId="4EE3444E" w14:textId="77777777" w:rsidR="005411D8" w:rsidRPr="00237760" w:rsidRDefault="005411D8"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Kierunek interwencji: III.1. Odpowiedź na zmiany demograficzne i ich następstwa</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7FC03302" w14:textId="77777777" w:rsidR="005411D8" w:rsidRPr="00237760" w:rsidRDefault="005411D8" w:rsidP="009367B4">
            <w:pPr>
              <w:spacing w:after="0" w:line="240" w:lineRule="auto"/>
              <w:jc w:val="left"/>
              <w:rPr>
                <w:rFonts w:ascii="Arial" w:hAnsi="Arial" w:cs="Arial"/>
                <w:color w:val="auto"/>
                <w:sz w:val="24"/>
                <w:szCs w:val="24"/>
              </w:rPr>
            </w:pPr>
          </w:p>
        </w:tc>
        <w:tc>
          <w:tcPr>
            <w:tcW w:w="748" w:type="dxa"/>
            <w:gridSpan w:val="3"/>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0B71C94B" w14:textId="77777777" w:rsidR="005411D8" w:rsidRPr="00237760" w:rsidRDefault="005411D8" w:rsidP="009367B4">
            <w:pPr>
              <w:spacing w:after="0" w:line="240" w:lineRule="auto"/>
              <w:jc w:val="left"/>
              <w:rPr>
                <w:rFonts w:ascii="Arial" w:hAnsi="Arial" w:cs="Arial"/>
                <w:color w:val="auto"/>
                <w:sz w:val="24"/>
                <w:szCs w:val="24"/>
              </w:rPr>
            </w:pPr>
          </w:p>
        </w:tc>
        <w:tc>
          <w:tcPr>
            <w:tcW w:w="3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2743F593" w14:textId="77777777" w:rsidR="005411D8" w:rsidRPr="00237760" w:rsidRDefault="005411D8" w:rsidP="009367B4">
            <w:pPr>
              <w:spacing w:after="0" w:line="240" w:lineRule="auto"/>
              <w:jc w:val="left"/>
              <w:rPr>
                <w:rFonts w:ascii="Arial" w:hAnsi="Arial" w:cs="Arial"/>
                <w:color w:val="auto"/>
                <w:sz w:val="24"/>
                <w:szCs w:val="24"/>
              </w:rPr>
            </w:pP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7530CC22" w14:textId="77777777" w:rsidR="005411D8" w:rsidRPr="00237760" w:rsidRDefault="005411D8" w:rsidP="009367B4">
            <w:pPr>
              <w:spacing w:after="0" w:line="240" w:lineRule="auto"/>
              <w:jc w:val="left"/>
              <w:rPr>
                <w:rFonts w:ascii="Arial" w:hAnsi="Arial" w:cs="Arial"/>
                <w:color w:val="auto"/>
                <w:sz w:val="24"/>
                <w:szCs w:val="24"/>
              </w:rPr>
            </w:pP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6C143C58" w14:textId="77777777" w:rsidR="005411D8" w:rsidRPr="00237760" w:rsidRDefault="005411D8" w:rsidP="009367B4">
            <w:pPr>
              <w:spacing w:after="0" w:line="240" w:lineRule="auto"/>
              <w:jc w:val="left"/>
              <w:rPr>
                <w:rFonts w:ascii="Arial" w:hAnsi="Arial" w:cs="Arial"/>
                <w:color w:val="auto"/>
                <w:sz w:val="24"/>
                <w:szCs w:val="24"/>
              </w:rPr>
            </w:pPr>
          </w:p>
        </w:tc>
        <w:tc>
          <w:tcPr>
            <w:tcW w:w="572"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5F5BEFE2" w14:textId="77777777" w:rsidR="005411D8" w:rsidRPr="00237760" w:rsidRDefault="005411D8" w:rsidP="009367B4">
            <w:pPr>
              <w:spacing w:after="0" w:line="240" w:lineRule="auto"/>
              <w:jc w:val="left"/>
              <w:rPr>
                <w:rFonts w:ascii="Arial" w:hAnsi="Arial" w:cs="Arial"/>
                <w:color w:val="auto"/>
                <w:sz w:val="24"/>
                <w:szCs w:val="24"/>
              </w:rPr>
            </w:pPr>
          </w:p>
        </w:tc>
        <w:tc>
          <w:tcPr>
            <w:tcW w:w="563" w:type="dxa"/>
            <w:gridSpan w:val="3"/>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650E8AF0" w14:textId="77777777" w:rsidR="005411D8" w:rsidRPr="00237760" w:rsidRDefault="005411D8" w:rsidP="009367B4">
            <w:pPr>
              <w:spacing w:after="0" w:line="240" w:lineRule="auto"/>
              <w:jc w:val="left"/>
              <w:rPr>
                <w:rFonts w:ascii="Arial" w:hAnsi="Arial" w:cs="Arial"/>
                <w:color w:val="auto"/>
                <w:sz w:val="24"/>
                <w:szCs w:val="24"/>
              </w:rPr>
            </w:pPr>
          </w:p>
        </w:tc>
      </w:tr>
      <w:tr w:rsidR="00237760" w:rsidRPr="00237760" w14:paraId="2EA4B79C" w14:textId="77777777" w:rsidTr="000D3F32">
        <w:trPr>
          <w:trHeight w:val="14"/>
        </w:trPr>
        <w:tc>
          <w:tcPr>
            <w:tcW w:w="5107" w:type="dxa"/>
            <w:tcBorders>
              <w:top w:val="single" w:sz="4" w:space="0" w:color="BDD6EE" w:themeColor="accent1" w:themeTint="66"/>
              <w:left w:val="nil"/>
              <w:bottom w:val="single" w:sz="4" w:space="0" w:color="BDD6EE" w:themeColor="accent1" w:themeTint="66"/>
              <w:right w:val="single" w:sz="4" w:space="0" w:color="BDD6EE" w:themeColor="accent1" w:themeTint="66"/>
            </w:tcBorders>
            <w:hideMark/>
          </w:tcPr>
          <w:p w14:paraId="49A29119" w14:textId="77777777" w:rsidR="005411D8" w:rsidRPr="00237760" w:rsidRDefault="005411D8"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Kierunek interwencji: III.2. Rozwój przedsiębiorczości i nowych miejsc pracy</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7CA53A61" w14:textId="77777777" w:rsidR="005411D8" w:rsidRPr="00237760" w:rsidRDefault="005411D8" w:rsidP="009367B4">
            <w:pPr>
              <w:spacing w:after="0" w:line="240" w:lineRule="auto"/>
              <w:jc w:val="left"/>
              <w:rPr>
                <w:rFonts w:ascii="Arial" w:hAnsi="Arial" w:cs="Arial"/>
                <w:color w:val="auto"/>
                <w:sz w:val="24"/>
                <w:szCs w:val="24"/>
              </w:rPr>
            </w:pPr>
          </w:p>
        </w:tc>
        <w:tc>
          <w:tcPr>
            <w:tcW w:w="748" w:type="dxa"/>
            <w:gridSpan w:val="3"/>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69BD9452" w14:textId="77777777" w:rsidR="005411D8" w:rsidRPr="00237760" w:rsidRDefault="005411D8" w:rsidP="009367B4">
            <w:pPr>
              <w:spacing w:after="0" w:line="240" w:lineRule="auto"/>
              <w:jc w:val="left"/>
              <w:rPr>
                <w:rFonts w:ascii="Arial" w:hAnsi="Arial" w:cs="Arial"/>
                <w:color w:val="auto"/>
                <w:sz w:val="24"/>
                <w:szCs w:val="24"/>
              </w:rPr>
            </w:pPr>
          </w:p>
        </w:tc>
        <w:tc>
          <w:tcPr>
            <w:tcW w:w="3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28EFFC03" w14:textId="77777777" w:rsidR="005411D8" w:rsidRPr="00237760" w:rsidRDefault="005411D8" w:rsidP="009367B4">
            <w:pPr>
              <w:spacing w:after="0" w:line="240" w:lineRule="auto"/>
              <w:jc w:val="left"/>
              <w:rPr>
                <w:rFonts w:ascii="Arial" w:hAnsi="Arial" w:cs="Arial"/>
                <w:color w:val="auto"/>
                <w:sz w:val="24"/>
                <w:szCs w:val="24"/>
              </w:rPr>
            </w:pP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9A3B9FC" w14:textId="77777777" w:rsidR="005411D8" w:rsidRPr="00237760" w:rsidRDefault="005411D8" w:rsidP="009367B4">
            <w:pPr>
              <w:spacing w:after="0" w:line="240" w:lineRule="auto"/>
              <w:jc w:val="left"/>
              <w:rPr>
                <w:rFonts w:ascii="Arial" w:hAnsi="Arial" w:cs="Arial"/>
                <w:color w:val="auto"/>
                <w:sz w:val="24"/>
                <w:szCs w:val="24"/>
              </w:rPr>
            </w:pP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3922C98C" w14:textId="77777777" w:rsidR="005411D8" w:rsidRPr="00237760" w:rsidRDefault="005411D8" w:rsidP="009367B4">
            <w:pPr>
              <w:spacing w:after="0" w:line="240" w:lineRule="auto"/>
              <w:jc w:val="left"/>
              <w:rPr>
                <w:rFonts w:ascii="Arial" w:hAnsi="Arial" w:cs="Arial"/>
                <w:color w:val="auto"/>
                <w:sz w:val="24"/>
                <w:szCs w:val="24"/>
              </w:rPr>
            </w:pPr>
          </w:p>
        </w:tc>
        <w:tc>
          <w:tcPr>
            <w:tcW w:w="572"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069AC0E7" w14:textId="77777777" w:rsidR="005411D8" w:rsidRPr="00237760" w:rsidRDefault="005411D8" w:rsidP="009367B4">
            <w:pPr>
              <w:spacing w:after="0" w:line="240" w:lineRule="auto"/>
              <w:jc w:val="left"/>
              <w:rPr>
                <w:rFonts w:ascii="Arial" w:hAnsi="Arial" w:cs="Arial"/>
                <w:color w:val="auto"/>
                <w:sz w:val="24"/>
                <w:szCs w:val="24"/>
              </w:rPr>
            </w:pPr>
          </w:p>
        </w:tc>
        <w:tc>
          <w:tcPr>
            <w:tcW w:w="563" w:type="dxa"/>
            <w:gridSpan w:val="3"/>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79E70481" w14:textId="77777777" w:rsidR="005411D8" w:rsidRPr="00237760" w:rsidRDefault="005411D8" w:rsidP="009367B4">
            <w:pPr>
              <w:spacing w:after="0" w:line="240" w:lineRule="auto"/>
              <w:jc w:val="left"/>
              <w:rPr>
                <w:rFonts w:ascii="Arial" w:hAnsi="Arial" w:cs="Arial"/>
                <w:color w:val="auto"/>
                <w:sz w:val="24"/>
                <w:szCs w:val="24"/>
              </w:rPr>
            </w:pPr>
          </w:p>
        </w:tc>
      </w:tr>
      <w:tr w:rsidR="00237760" w:rsidRPr="00237760" w14:paraId="4F5F1DF4" w14:textId="77777777" w:rsidTr="000D3F32">
        <w:trPr>
          <w:trHeight w:val="14"/>
        </w:trPr>
        <w:tc>
          <w:tcPr>
            <w:tcW w:w="5107" w:type="dxa"/>
            <w:tcBorders>
              <w:top w:val="single" w:sz="4" w:space="0" w:color="BDD6EE" w:themeColor="accent1" w:themeTint="66"/>
              <w:left w:val="nil"/>
              <w:bottom w:val="single" w:sz="4" w:space="0" w:color="BDD6EE" w:themeColor="accent1" w:themeTint="66"/>
              <w:right w:val="single" w:sz="4" w:space="0" w:color="BDD6EE" w:themeColor="accent1" w:themeTint="66"/>
            </w:tcBorders>
            <w:hideMark/>
          </w:tcPr>
          <w:p w14:paraId="0024A122" w14:textId="77777777" w:rsidR="005411D8" w:rsidRPr="00237760" w:rsidRDefault="005411D8"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Kierunek interwencji: III.4. Budowa i rozwój zdolności do współpracy w wymiarze społecznym i terytorialnym</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18465771" w14:textId="77777777" w:rsidR="005411D8" w:rsidRPr="00237760" w:rsidRDefault="005411D8" w:rsidP="009367B4">
            <w:pPr>
              <w:spacing w:after="0" w:line="240" w:lineRule="auto"/>
              <w:jc w:val="left"/>
              <w:rPr>
                <w:rFonts w:ascii="Arial" w:hAnsi="Arial" w:cs="Arial"/>
                <w:color w:val="auto"/>
                <w:sz w:val="24"/>
                <w:szCs w:val="24"/>
              </w:rPr>
            </w:pPr>
          </w:p>
        </w:tc>
        <w:tc>
          <w:tcPr>
            <w:tcW w:w="748" w:type="dxa"/>
            <w:gridSpan w:val="3"/>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5D954578" w14:textId="77777777" w:rsidR="005411D8" w:rsidRPr="00237760" w:rsidRDefault="005411D8" w:rsidP="009367B4">
            <w:pPr>
              <w:spacing w:after="0" w:line="240" w:lineRule="auto"/>
              <w:jc w:val="left"/>
              <w:rPr>
                <w:rFonts w:ascii="Arial" w:hAnsi="Arial" w:cs="Arial"/>
                <w:color w:val="auto"/>
                <w:sz w:val="24"/>
                <w:szCs w:val="24"/>
              </w:rPr>
            </w:pPr>
          </w:p>
        </w:tc>
        <w:tc>
          <w:tcPr>
            <w:tcW w:w="3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4296F660" w14:textId="77777777" w:rsidR="005411D8" w:rsidRPr="00237760" w:rsidRDefault="005411D8" w:rsidP="009367B4">
            <w:pPr>
              <w:spacing w:after="0" w:line="240" w:lineRule="auto"/>
              <w:jc w:val="left"/>
              <w:rPr>
                <w:rFonts w:ascii="Arial" w:hAnsi="Arial" w:cs="Arial"/>
                <w:color w:val="auto"/>
                <w:sz w:val="24"/>
                <w:szCs w:val="24"/>
              </w:rPr>
            </w:pP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34768E80" w14:textId="77777777" w:rsidR="005411D8" w:rsidRPr="00237760" w:rsidRDefault="005411D8" w:rsidP="009367B4">
            <w:pPr>
              <w:spacing w:after="0" w:line="240" w:lineRule="auto"/>
              <w:jc w:val="left"/>
              <w:rPr>
                <w:rFonts w:ascii="Arial" w:hAnsi="Arial" w:cs="Arial"/>
                <w:color w:val="auto"/>
                <w:sz w:val="24"/>
                <w:szCs w:val="24"/>
              </w:rPr>
            </w:pP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4345A53C" w14:textId="77777777" w:rsidR="005411D8" w:rsidRPr="00237760" w:rsidRDefault="005411D8" w:rsidP="009367B4">
            <w:pPr>
              <w:spacing w:after="0" w:line="240" w:lineRule="auto"/>
              <w:jc w:val="left"/>
              <w:rPr>
                <w:rFonts w:ascii="Arial" w:hAnsi="Arial" w:cs="Arial"/>
                <w:color w:val="auto"/>
                <w:sz w:val="24"/>
                <w:szCs w:val="24"/>
              </w:rPr>
            </w:pPr>
          </w:p>
        </w:tc>
        <w:tc>
          <w:tcPr>
            <w:tcW w:w="572"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61E0B561" w14:textId="77777777" w:rsidR="005411D8" w:rsidRPr="00237760" w:rsidRDefault="005411D8" w:rsidP="009367B4">
            <w:pPr>
              <w:spacing w:after="0" w:line="240" w:lineRule="auto"/>
              <w:jc w:val="left"/>
              <w:rPr>
                <w:rFonts w:ascii="Arial" w:hAnsi="Arial" w:cs="Arial"/>
                <w:color w:val="auto"/>
                <w:sz w:val="24"/>
                <w:szCs w:val="24"/>
              </w:rPr>
            </w:pPr>
          </w:p>
        </w:tc>
        <w:tc>
          <w:tcPr>
            <w:tcW w:w="563" w:type="dxa"/>
            <w:gridSpan w:val="3"/>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049B2821" w14:textId="77777777" w:rsidR="005411D8" w:rsidRPr="00237760" w:rsidRDefault="005411D8" w:rsidP="009367B4">
            <w:pPr>
              <w:spacing w:after="0" w:line="240" w:lineRule="auto"/>
              <w:jc w:val="left"/>
              <w:rPr>
                <w:rFonts w:ascii="Arial" w:hAnsi="Arial" w:cs="Arial"/>
                <w:color w:val="auto"/>
                <w:sz w:val="24"/>
                <w:szCs w:val="24"/>
              </w:rPr>
            </w:pPr>
          </w:p>
        </w:tc>
      </w:tr>
      <w:tr w:rsidR="00237760" w:rsidRPr="00237760" w14:paraId="1CFCA4E6" w14:textId="77777777" w:rsidTr="000D3F32">
        <w:trPr>
          <w:trHeight w:val="50"/>
          <w:tblHeader/>
        </w:trPr>
        <w:tc>
          <w:tcPr>
            <w:tcW w:w="9077" w:type="dxa"/>
            <w:gridSpan w:val="15"/>
            <w:tcBorders>
              <w:top w:val="nil"/>
              <w:left w:val="nil"/>
              <w:bottom w:val="single" w:sz="4" w:space="0" w:color="BDD6EE" w:themeColor="accent1" w:themeTint="66"/>
              <w:right w:val="nil"/>
            </w:tcBorders>
            <w:shd w:val="clear" w:color="auto" w:fill="auto"/>
            <w:vAlign w:val="center"/>
            <w:hideMark/>
          </w:tcPr>
          <w:p w14:paraId="609DB383" w14:textId="77777777" w:rsidR="005411D8" w:rsidRPr="00237760" w:rsidRDefault="005411D8"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Polityka Ekologiczna Państwa 2030</w:t>
            </w:r>
          </w:p>
        </w:tc>
      </w:tr>
      <w:tr w:rsidR="00237760" w:rsidRPr="00237760" w14:paraId="20B80A3E" w14:textId="77777777" w:rsidTr="000D3F32">
        <w:trPr>
          <w:trHeight w:val="70"/>
          <w:tblHeader/>
        </w:trPr>
        <w:tc>
          <w:tcPr>
            <w:tcW w:w="5107" w:type="dxa"/>
            <w:vMerge w:val="restart"/>
            <w:tcBorders>
              <w:top w:val="nil"/>
              <w:left w:val="nil"/>
              <w:bottom w:val="single" w:sz="4" w:space="0" w:color="BDD6EE" w:themeColor="accent1" w:themeTint="66"/>
              <w:right w:val="nil"/>
            </w:tcBorders>
            <w:shd w:val="clear" w:color="auto" w:fill="auto"/>
            <w:vAlign w:val="center"/>
            <w:hideMark/>
          </w:tcPr>
          <w:p w14:paraId="234ECC25" w14:textId="77777777" w:rsidR="005411D8" w:rsidRPr="00237760" w:rsidRDefault="005411D8"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Kierunki interwencji</w:t>
            </w:r>
          </w:p>
        </w:tc>
        <w:tc>
          <w:tcPr>
            <w:tcW w:w="1701" w:type="dxa"/>
            <w:gridSpan w:val="5"/>
            <w:tcBorders>
              <w:top w:val="nil"/>
              <w:left w:val="nil"/>
              <w:bottom w:val="single" w:sz="4" w:space="0" w:color="BDD6EE" w:themeColor="accent1" w:themeTint="66"/>
              <w:right w:val="nil"/>
            </w:tcBorders>
            <w:shd w:val="clear" w:color="auto" w:fill="auto"/>
            <w:hideMark/>
          </w:tcPr>
          <w:p w14:paraId="20FA70F3" w14:textId="77777777" w:rsidR="005411D8" w:rsidRPr="00237760" w:rsidRDefault="005411D8"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podstawowe PSRT WP</w:t>
            </w:r>
          </w:p>
        </w:tc>
        <w:tc>
          <w:tcPr>
            <w:tcW w:w="2269" w:type="dxa"/>
            <w:gridSpan w:val="9"/>
            <w:tcBorders>
              <w:top w:val="nil"/>
              <w:left w:val="nil"/>
              <w:bottom w:val="single" w:sz="4" w:space="0" w:color="BDD6EE" w:themeColor="accent1" w:themeTint="66"/>
              <w:right w:val="nil"/>
            </w:tcBorders>
            <w:shd w:val="clear" w:color="auto" w:fill="auto"/>
            <w:vAlign w:val="center"/>
            <w:hideMark/>
          </w:tcPr>
          <w:p w14:paraId="42CBD505" w14:textId="77777777" w:rsidR="005411D8" w:rsidRPr="00237760" w:rsidRDefault="005411D8"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horyzontalne PSRT WP</w:t>
            </w:r>
          </w:p>
        </w:tc>
      </w:tr>
      <w:tr w:rsidR="00237760" w:rsidRPr="00237760" w14:paraId="32959B98" w14:textId="77777777" w:rsidTr="000D3F32">
        <w:trPr>
          <w:trHeight w:val="50"/>
          <w:tblHeader/>
        </w:trPr>
        <w:tc>
          <w:tcPr>
            <w:tcW w:w="5107" w:type="dxa"/>
            <w:vMerge/>
            <w:tcBorders>
              <w:top w:val="nil"/>
              <w:left w:val="nil"/>
              <w:bottom w:val="single" w:sz="4" w:space="0" w:color="BDD6EE" w:themeColor="accent1" w:themeTint="66"/>
              <w:right w:val="nil"/>
            </w:tcBorders>
            <w:shd w:val="clear" w:color="auto" w:fill="auto"/>
            <w:vAlign w:val="center"/>
            <w:hideMark/>
          </w:tcPr>
          <w:p w14:paraId="4F6DB5CD" w14:textId="77777777" w:rsidR="005411D8" w:rsidRPr="00237760" w:rsidRDefault="005411D8" w:rsidP="009367B4">
            <w:pPr>
              <w:spacing w:after="0" w:line="240" w:lineRule="auto"/>
              <w:jc w:val="left"/>
              <w:rPr>
                <w:rFonts w:ascii="Arial" w:hAnsi="Arial" w:cs="Arial"/>
                <w:b/>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hideMark/>
          </w:tcPr>
          <w:p w14:paraId="3EE46C0A" w14:textId="77777777" w:rsidR="005411D8" w:rsidRPr="00237760" w:rsidRDefault="005411D8"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748" w:type="dxa"/>
            <w:gridSpan w:val="3"/>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hideMark/>
          </w:tcPr>
          <w:p w14:paraId="5C118B0E" w14:textId="77777777" w:rsidR="005411D8" w:rsidRPr="00237760" w:rsidRDefault="005411D8"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3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hideMark/>
          </w:tcPr>
          <w:p w14:paraId="2810869B" w14:textId="77777777" w:rsidR="005411D8" w:rsidRPr="00237760" w:rsidRDefault="005411D8"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hideMark/>
          </w:tcPr>
          <w:p w14:paraId="1D08BF14" w14:textId="77777777" w:rsidR="005411D8" w:rsidRPr="00237760" w:rsidRDefault="005411D8"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hideMark/>
          </w:tcPr>
          <w:p w14:paraId="739722C7" w14:textId="77777777" w:rsidR="005411D8" w:rsidRPr="00237760" w:rsidRDefault="005411D8"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572" w:type="dxa"/>
            <w:gridSpan w:val="2"/>
            <w:tcBorders>
              <w:top w:val="single" w:sz="4" w:space="0" w:color="BDD6EE" w:themeColor="accent1" w:themeTint="66"/>
              <w:left w:val="single" w:sz="4" w:space="0" w:color="BDD6EE" w:themeColor="accent1" w:themeTint="66"/>
              <w:bottom w:val="single" w:sz="4" w:space="0" w:color="BDD6EE" w:themeColor="accent1" w:themeTint="66"/>
              <w:right w:val="nil"/>
            </w:tcBorders>
            <w:shd w:val="clear" w:color="auto" w:fill="auto"/>
            <w:hideMark/>
          </w:tcPr>
          <w:p w14:paraId="081E1532" w14:textId="77777777" w:rsidR="005411D8" w:rsidRPr="00237760" w:rsidRDefault="005411D8"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563" w:type="dxa"/>
            <w:gridSpan w:val="3"/>
            <w:tcBorders>
              <w:top w:val="single" w:sz="4" w:space="0" w:color="BDD6EE" w:themeColor="accent1" w:themeTint="66"/>
              <w:left w:val="single" w:sz="4" w:space="0" w:color="BDD6EE" w:themeColor="accent1" w:themeTint="66"/>
              <w:bottom w:val="single" w:sz="4" w:space="0" w:color="BDD6EE" w:themeColor="accent1" w:themeTint="66"/>
              <w:right w:val="nil"/>
            </w:tcBorders>
            <w:shd w:val="clear" w:color="auto" w:fill="auto"/>
            <w:hideMark/>
          </w:tcPr>
          <w:p w14:paraId="051FDE08" w14:textId="77777777" w:rsidR="005411D8" w:rsidRPr="00237760" w:rsidRDefault="005411D8"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4.</w:t>
            </w:r>
          </w:p>
        </w:tc>
      </w:tr>
      <w:tr w:rsidR="00237760" w:rsidRPr="00237760" w14:paraId="3F7F3509" w14:textId="77777777" w:rsidTr="000D3F32">
        <w:trPr>
          <w:trHeight w:val="14"/>
        </w:trPr>
        <w:tc>
          <w:tcPr>
            <w:tcW w:w="5107" w:type="dxa"/>
            <w:tcBorders>
              <w:top w:val="single" w:sz="4" w:space="0" w:color="BDD6EE" w:themeColor="accent1" w:themeTint="66"/>
              <w:left w:val="nil"/>
              <w:bottom w:val="single" w:sz="4" w:space="0" w:color="BDD6EE" w:themeColor="accent1" w:themeTint="66"/>
              <w:right w:val="single" w:sz="4" w:space="0" w:color="BDD6EE" w:themeColor="accent1" w:themeTint="66"/>
            </w:tcBorders>
            <w:hideMark/>
          </w:tcPr>
          <w:p w14:paraId="307EE306" w14:textId="77777777" w:rsidR="005411D8" w:rsidRPr="00237760" w:rsidRDefault="005411D8"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Likwidacja źródeł emisji zanieczyszczeń do powietrza lub istotne zmniejszenie ich oddziaływania</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0ED817A1" w14:textId="77777777" w:rsidR="005411D8" w:rsidRPr="00237760" w:rsidRDefault="005411D8" w:rsidP="009367B4">
            <w:pPr>
              <w:spacing w:after="0" w:line="240" w:lineRule="auto"/>
              <w:jc w:val="left"/>
              <w:rPr>
                <w:rFonts w:ascii="Arial" w:hAnsi="Arial" w:cs="Arial"/>
                <w:color w:val="auto"/>
                <w:sz w:val="24"/>
                <w:szCs w:val="24"/>
              </w:rPr>
            </w:pPr>
          </w:p>
        </w:tc>
        <w:tc>
          <w:tcPr>
            <w:tcW w:w="748" w:type="dxa"/>
            <w:gridSpan w:val="3"/>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30F22AE" w14:textId="77777777" w:rsidR="005411D8" w:rsidRPr="00237760" w:rsidRDefault="005411D8" w:rsidP="009367B4">
            <w:pPr>
              <w:spacing w:after="0" w:line="240" w:lineRule="auto"/>
              <w:jc w:val="left"/>
              <w:rPr>
                <w:rFonts w:ascii="Arial" w:hAnsi="Arial" w:cs="Arial"/>
                <w:color w:val="auto"/>
                <w:sz w:val="24"/>
                <w:szCs w:val="24"/>
              </w:rPr>
            </w:pPr>
          </w:p>
        </w:tc>
        <w:tc>
          <w:tcPr>
            <w:tcW w:w="3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46B2209D" w14:textId="77777777" w:rsidR="005411D8" w:rsidRPr="00237760" w:rsidRDefault="005411D8" w:rsidP="009367B4">
            <w:pPr>
              <w:spacing w:after="0" w:line="240" w:lineRule="auto"/>
              <w:jc w:val="left"/>
              <w:rPr>
                <w:rFonts w:ascii="Arial" w:hAnsi="Arial" w:cs="Arial"/>
                <w:color w:val="auto"/>
                <w:sz w:val="24"/>
                <w:szCs w:val="24"/>
              </w:rPr>
            </w:pP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3A99F1BD" w14:textId="77777777" w:rsidR="005411D8" w:rsidRPr="00237760" w:rsidRDefault="005411D8" w:rsidP="009367B4">
            <w:pPr>
              <w:spacing w:after="0" w:line="240" w:lineRule="auto"/>
              <w:jc w:val="left"/>
              <w:rPr>
                <w:rFonts w:ascii="Arial" w:hAnsi="Arial" w:cs="Arial"/>
                <w:color w:val="auto"/>
                <w:sz w:val="24"/>
                <w:szCs w:val="24"/>
              </w:rPr>
            </w:pP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3EDBBD2C" w14:textId="77777777" w:rsidR="005411D8" w:rsidRPr="00237760" w:rsidRDefault="005411D8" w:rsidP="009367B4">
            <w:pPr>
              <w:spacing w:after="0" w:line="240" w:lineRule="auto"/>
              <w:jc w:val="left"/>
              <w:rPr>
                <w:rFonts w:ascii="Arial" w:hAnsi="Arial" w:cs="Arial"/>
                <w:color w:val="auto"/>
                <w:sz w:val="24"/>
                <w:szCs w:val="24"/>
              </w:rPr>
            </w:pPr>
          </w:p>
        </w:tc>
        <w:tc>
          <w:tcPr>
            <w:tcW w:w="572"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0EF50ED7" w14:textId="77777777" w:rsidR="005411D8" w:rsidRPr="00237760" w:rsidRDefault="005411D8" w:rsidP="009367B4">
            <w:pPr>
              <w:spacing w:after="0" w:line="240" w:lineRule="auto"/>
              <w:jc w:val="left"/>
              <w:rPr>
                <w:rFonts w:ascii="Arial" w:hAnsi="Arial" w:cs="Arial"/>
                <w:color w:val="auto"/>
                <w:sz w:val="24"/>
                <w:szCs w:val="24"/>
              </w:rPr>
            </w:pPr>
          </w:p>
        </w:tc>
        <w:tc>
          <w:tcPr>
            <w:tcW w:w="563" w:type="dxa"/>
            <w:gridSpan w:val="3"/>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6A46F704" w14:textId="77777777" w:rsidR="005411D8" w:rsidRPr="00237760" w:rsidRDefault="005411D8" w:rsidP="009367B4">
            <w:pPr>
              <w:spacing w:after="0" w:line="240" w:lineRule="auto"/>
              <w:jc w:val="left"/>
              <w:rPr>
                <w:rFonts w:ascii="Arial" w:hAnsi="Arial" w:cs="Arial"/>
                <w:color w:val="auto"/>
                <w:sz w:val="24"/>
                <w:szCs w:val="24"/>
              </w:rPr>
            </w:pPr>
          </w:p>
        </w:tc>
      </w:tr>
      <w:tr w:rsidR="00237760" w:rsidRPr="00237760" w14:paraId="39E5D262" w14:textId="77777777" w:rsidTr="000D3F32">
        <w:trPr>
          <w:trHeight w:val="14"/>
        </w:trPr>
        <w:tc>
          <w:tcPr>
            <w:tcW w:w="5107" w:type="dxa"/>
            <w:tcBorders>
              <w:top w:val="single" w:sz="4" w:space="0" w:color="BDD6EE" w:themeColor="accent1" w:themeTint="66"/>
              <w:left w:val="nil"/>
              <w:bottom w:val="single" w:sz="4" w:space="0" w:color="BDD6EE" w:themeColor="accent1" w:themeTint="66"/>
              <w:right w:val="single" w:sz="4" w:space="0" w:color="BDD6EE" w:themeColor="accent1" w:themeTint="66"/>
            </w:tcBorders>
            <w:hideMark/>
          </w:tcPr>
          <w:p w14:paraId="0E227948" w14:textId="77777777" w:rsidR="005411D8" w:rsidRPr="00237760" w:rsidRDefault="005411D8"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Przeciwdziałanie zagrożeniom środowiska oraz zapewnienie bezpieczeństwa biologicznego, jądrowego i ochrony radiologicznej</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5B937EEB" w14:textId="77777777" w:rsidR="005411D8" w:rsidRPr="00237760" w:rsidRDefault="005411D8" w:rsidP="009367B4">
            <w:pPr>
              <w:spacing w:after="0" w:line="240" w:lineRule="auto"/>
              <w:jc w:val="left"/>
              <w:rPr>
                <w:rFonts w:ascii="Arial" w:hAnsi="Arial" w:cs="Arial"/>
                <w:color w:val="auto"/>
                <w:sz w:val="24"/>
                <w:szCs w:val="24"/>
              </w:rPr>
            </w:pPr>
          </w:p>
        </w:tc>
        <w:tc>
          <w:tcPr>
            <w:tcW w:w="748" w:type="dxa"/>
            <w:gridSpan w:val="3"/>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4478ED50" w14:textId="77777777" w:rsidR="005411D8" w:rsidRPr="00237760" w:rsidRDefault="005411D8" w:rsidP="009367B4">
            <w:pPr>
              <w:spacing w:after="0" w:line="240" w:lineRule="auto"/>
              <w:jc w:val="left"/>
              <w:rPr>
                <w:rFonts w:ascii="Arial" w:hAnsi="Arial" w:cs="Arial"/>
                <w:color w:val="auto"/>
                <w:sz w:val="24"/>
                <w:szCs w:val="24"/>
              </w:rPr>
            </w:pPr>
          </w:p>
        </w:tc>
        <w:tc>
          <w:tcPr>
            <w:tcW w:w="3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6E34FE23" w14:textId="77777777" w:rsidR="005411D8" w:rsidRPr="00237760" w:rsidRDefault="005411D8" w:rsidP="009367B4">
            <w:pPr>
              <w:spacing w:after="0" w:line="240" w:lineRule="auto"/>
              <w:jc w:val="left"/>
              <w:rPr>
                <w:rFonts w:ascii="Arial" w:hAnsi="Arial" w:cs="Arial"/>
                <w:color w:val="auto"/>
                <w:sz w:val="24"/>
                <w:szCs w:val="24"/>
              </w:rPr>
            </w:pP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02066A06" w14:textId="77777777" w:rsidR="005411D8" w:rsidRPr="00237760" w:rsidRDefault="005411D8" w:rsidP="009367B4">
            <w:pPr>
              <w:spacing w:after="0" w:line="240" w:lineRule="auto"/>
              <w:jc w:val="left"/>
              <w:rPr>
                <w:rFonts w:ascii="Arial" w:hAnsi="Arial" w:cs="Arial"/>
                <w:color w:val="auto"/>
                <w:sz w:val="24"/>
                <w:szCs w:val="24"/>
              </w:rPr>
            </w:pP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4B1E0B78" w14:textId="77777777" w:rsidR="005411D8" w:rsidRPr="00237760" w:rsidRDefault="005411D8" w:rsidP="009367B4">
            <w:pPr>
              <w:spacing w:after="0" w:line="240" w:lineRule="auto"/>
              <w:jc w:val="left"/>
              <w:rPr>
                <w:rFonts w:ascii="Arial" w:hAnsi="Arial" w:cs="Arial"/>
                <w:color w:val="auto"/>
                <w:sz w:val="24"/>
                <w:szCs w:val="24"/>
              </w:rPr>
            </w:pPr>
          </w:p>
        </w:tc>
        <w:tc>
          <w:tcPr>
            <w:tcW w:w="572"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AAAE9A3" w14:textId="77777777" w:rsidR="005411D8" w:rsidRPr="00237760" w:rsidRDefault="005411D8" w:rsidP="009367B4">
            <w:pPr>
              <w:spacing w:after="0" w:line="240" w:lineRule="auto"/>
              <w:jc w:val="left"/>
              <w:rPr>
                <w:rFonts w:ascii="Arial" w:hAnsi="Arial" w:cs="Arial"/>
                <w:color w:val="auto"/>
                <w:sz w:val="24"/>
                <w:szCs w:val="24"/>
              </w:rPr>
            </w:pPr>
          </w:p>
        </w:tc>
        <w:tc>
          <w:tcPr>
            <w:tcW w:w="563" w:type="dxa"/>
            <w:gridSpan w:val="3"/>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69D20A66" w14:textId="77777777" w:rsidR="005411D8" w:rsidRPr="00237760" w:rsidRDefault="005411D8" w:rsidP="009367B4">
            <w:pPr>
              <w:spacing w:after="0" w:line="240" w:lineRule="auto"/>
              <w:jc w:val="left"/>
              <w:rPr>
                <w:rFonts w:ascii="Arial" w:hAnsi="Arial" w:cs="Arial"/>
                <w:color w:val="auto"/>
                <w:sz w:val="24"/>
                <w:szCs w:val="24"/>
              </w:rPr>
            </w:pPr>
          </w:p>
        </w:tc>
      </w:tr>
      <w:tr w:rsidR="00237760" w:rsidRPr="00237760" w14:paraId="355A3611" w14:textId="77777777" w:rsidTr="000D3F32">
        <w:trPr>
          <w:trHeight w:val="14"/>
        </w:trPr>
        <w:tc>
          <w:tcPr>
            <w:tcW w:w="5107" w:type="dxa"/>
            <w:tcBorders>
              <w:top w:val="single" w:sz="4" w:space="0" w:color="BDD6EE" w:themeColor="accent1" w:themeTint="66"/>
              <w:left w:val="nil"/>
              <w:bottom w:val="single" w:sz="4" w:space="0" w:color="BDD6EE" w:themeColor="accent1" w:themeTint="66"/>
              <w:right w:val="single" w:sz="4" w:space="0" w:color="BDD6EE" w:themeColor="accent1" w:themeTint="66"/>
            </w:tcBorders>
            <w:hideMark/>
          </w:tcPr>
          <w:p w14:paraId="40C4BF96" w14:textId="77777777" w:rsidR="005411D8" w:rsidRPr="00237760" w:rsidRDefault="005411D8"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Zarządzanie zasobami dziedzictwa przyrodniczego i kulturowego, w tym ochrona i poprawa stanu różnorodności biologicznej i krajobrazu</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56F6A9FE" w14:textId="77777777" w:rsidR="005411D8" w:rsidRPr="00237760" w:rsidRDefault="005411D8" w:rsidP="009367B4">
            <w:pPr>
              <w:spacing w:after="0" w:line="240" w:lineRule="auto"/>
              <w:jc w:val="left"/>
              <w:rPr>
                <w:rFonts w:ascii="Arial" w:hAnsi="Arial" w:cs="Arial"/>
                <w:color w:val="auto"/>
                <w:sz w:val="24"/>
                <w:szCs w:val="24"/>
              </w:rPr>
            </w:pPr>
          </w:p>
        </w:tc>
        <w:tc>
          <w:tcPr>
            <w:tcW w:w="748" w:type="dxa"/>
            <w:gridSpan w:val="3"/>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4FE46092" w14:textId="77777777" w:rsidR="005411D8" w:rsidRPr="00237760" w:rsidRDefault="005411D8" w:rsidP="009367B4">
            <w:pPr>
              <w:spacing w:after="0" w:line="240" w:lineRule="auto"/>
              <w:jc w:val="left"/>
              <w:rPr>
                <w:rFonts w:ascii="Arial" w:hAnsi="Arial" w:cs="Arial"/>
                <w:color w:val="auto"/>
                <w:sz w:val="24"/>
                <w:szCs w:val="24"/>
              </w:rPr>
            </w:pPr>
          </w:p>
        </w:tc>
        <w:tc>
          <w:tcPr>
            <w:tcW w:w="38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07599F14" w14:textId="77777777" w:rsidR="005411D8" w:rsidRPr="00237760" w:rsidRDefault="005411D8" w:rsidP="009367B4">
            <w:pPr>
              <w:spacing w:after="0" w:line="240" w:lineRule="auto"/>
              <w:jc w:val="left"/>
              <w:rPr>
                <w:rFonts w:ascii="Arial" w:hAnsi="Arial" w:cs="Arial"/>
                <w:color w:val="auto"/>
                <w:sz w:val="24"/>
                <w:szCs w:val="24"/>
              </w:rPr>
            </w:pP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1438742C" w14:textId="77777777" w:rsidR="005411D8" w:rsidRPr="00237760" w:rsidRDefault="005411D8" w:rsidP="009367B4">
            <w:pPr>
              <w:spacing w:after="0" w:line="240" w:lineRule="auto"/>
              <w:jc w:val="left"/>
              <w:rPr>
                <w:rFonts w:ascii="Arial" w:hAnsi="Arial" w:cs="Arial"/>
                <w:color w:val="auto"/>
                <w:sz w:val="24"/>
                <w:szCs w:val="24"/>
              </w:rPr>
            </w:pPr>
          </w:p>
        </w:tc>
        <w:tc>
          <w:tcPr>
            <w:tcW w:w="567"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54CD6E69" w14:textId="77777777" w:rsidR="005411D8" w:rsidRPr="00237760" w:rsidRDefault="005411D8" w:rsidP="009367B4">
            <w:pPr>
              <w:spacing w:after="0" w:line="240" w:lineRule="auto"/>
              <w:jc w:val="left"/>
              <w:rPr>
                <w:rFonts w:ascii="Arial" w:hAnsi="Arial" w:cs="Arial"/>
                <w:color w:val="auto"/>
                <w:sz w:val="24"/>
                <w:szCs w:val="24"/>
              </w:rPr>
            </w:pPr>
          </w:p>
        </w:tc>
        <w:tc>
          <w:tcPr>
            <w:tcW w:w="572" w:type="dxa"/>
            <w:gridSpan w:val="2"/>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vAlign w:val="center"/>
          </w:tcPr>
          <w:p w14:paraId="68119559" w14:textId="77777777" w:rsidR="005411D8" w:rsidRPr="00237760" w:rsidRDefault="005411D8" w:rsidP="009367B4">
            <w:pPr>
              <w:spacing w:after="0" w:line="240" w:lineRule="auto"/>
              <w:jc w:val="left"/>
              <w:rPr>
                <w:rFonts w:ascii="Arial" w:hAnsi="Arial" w:cs="Arial"/>
                <w:color w:val="auto"/>
                <w:sz w:val="24"/>
                <w:szCs w:val="24"/>
              </w:rPr>
            </w:pPr>
          </w:p>
        </w:tc>
        <w:tc>
          <w:tcPr>
            <w:tcW w:w="563" w:type="dxa"/>
            <w:gridSpan w:val="3"/>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tcPr>
          <w:p w14:paraId="059B640F" w14:textId="77777777" w:rsidR="005411D8" w:rsidRPr="00237760" w:rsidRDefault="005411D8" w:rsidP="009367B4">
            <w:pPr>
              <w:spacing w:after="0" w:line="240" w:lineRule="auto"/>
              <w:jc w:val="left"/>
              <w:rPr>
                <w:rFonts w:ascii="Arial" w:hAnsi="Arial" w:cs="Arial"/>
                <w:color w:val="auto"/>
                <w:sz w:val="24"/>
                <w:szCs w:val="24"/>
              </w:rPr>
            </w:pPr>
          </w:p>
        </w:tc>
      </w:tr>
      <w:tr w:rsidR="00237760" w:rsidRPr="00237760" w14:paraId="595506E9" w14:textId="77777777" w:rsidTr="000D3F32">
        <w:trPr>
          <w:trHeight w:val="14"/>
        </w:trPr>
        <w:tc>
          <w:tcPr>
            <w:tcW w:w="5107" w:type="dxa"/>
            <w:tcBorders>
              <w:top w:val="single" w:sz="4" w:space="0" w:color="BDD6EE" w:themeColor="accent1" w:themeTint="66"/>
              <w:left w:val="nil"/>
              <w:bottom w:val="single" w:sz="12" w:space="0" w:color="002060"/>
              <w:right w:val="single" w:sz="4" w:space="0" w:color="BDD6EE" w:themeColor="accent1" w:themeTint="66"/>
            </w:tcBorders>
            <w:hideMark/>
          </w:tcPr>
          <w:p w14:paraId="60D900DE" w14:textId="77777777" w:rsidR="005411D8" w:rsidRPr="00237760" w:rsidRDefault="005411D8"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Przeciwdziałanie zmianom klimatu</w:t>
            </w:r>
          </w:p>
        </w:tc>
        <w:tc>
          <w:tcPr>
            <w:tcW w:w="567"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tcPr>
          <w:p w14:paraId="00032490" w14:textId="77777777" w:rsidR="005411D8" w:rsidRPr="00237760" w:rsidRDefault="005411D8" w:rsidP="009367B4">
            <w:pPr>
              <w:spacing w:after="0" w:line="240" w:lineRule="auto"/>
              <w:jc w:val="left"/>
              <w:rPr>
                <w:rFonts w:ascii="Arial" w:hAnsi="Arial" w:cs="Arial"/>
                <w:color w:val="auto"/>
                <w:sz w:val="24"/>
                <w:szCs w:val="24"/>
              </w:rPr>
            </w:pPr>
          </w:p>
        </w:tc>
        <w:tc>
          <w:tcPr>
            <w:tcW w:w="748" w:type="dxa"/>
            <w:gridSpan w:val="3"/>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vAlign w:val="center"/>
          </w:tcPr>
          <w:p w14:paraId="139E489C" w14:textId="77777777" w:rsidR="005411D8" w:rsidRPr="00237760" w:rsidRDefault="005411D8" w:rsidP="009367B4">
            <w:pPr>
              <w:spacing w:after="0" w:line="240" w:lineRule="auto"/>
              <w:jc w:val="left"/>
              <w:rPr>
                <w:rFonts w:ascii="Arial" w:hAnsi="Arial" w:cs="Arial"/>
                <w:color w:val="auto"/>
                <w:sz w:val="24"/>
                <w:szCs w:val="24"/>
              </w:rPr>
            </w:pPr>
          </w:p>
        </w:tc>
        <w:tc>
          <w:tcPr>
            <w:tcW w:w="386"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vAlign w:val="center"/>
          </w:tcPr>
          <w:p w14:paraId="3A54472A" w14:textId="77777777" w:rsidR="005411D8" w:rsidRPr="00237760" w:rsidRDefault="005411D8" w:rsidP="009367B4">
            <w:pPr>
              <w:spacing w:after="0" w:line="240" w:lineRule="auto"/>
              <w:jc w:val="left"/>
              <w:rPr>
                <w:rFonts w:ascii="Arial" w:hAnsi="Arial" w:cs="Arial"/>
                <w:color w:val="auto"/>
                <w:sz w:val="24"/>
                <w:szCs w:val="24"/>
              </w:rPr>
            </w:pPr>
          </w:p>
        </w:tc>
        <w:tc>
          <w:tcPr>
            <w:tcW w:w="567" w:type="dxa"/>
            <w:gridSpan w:val="2"/>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9CC2E5" w:themeFill="accent1" w:themeFillTint="99"/>
            <w:vAlign w:val="center"/>
          </w:tcPr>
          <w:p w14:paraId="4E3AEA4A" w14:textId="77777777" w:rsidR="005411D8" w:rsidRPr="00237760" w:rsidRDefault="005411D8" w:rsidP="009367B4">
            <w:pPr>
              <w:spacing w:after="0" w:line="240" w:lineRule="auto"/>
              <w:jc w:val="left"/>
              <w:rPr>
                <w:rFonts w:ascii="Arial" w:hAnsi="Arial" w:cs="Arial"/>
                <w:color w:val="auto"/>
                <w:sz w:val="24"/>
                <w:szCs w:val="24"/>
              </w:rPr>
            </w:pPr>
          </w:p>
        </w:tc>
        <w:tc>
          <w:tcPr>
            <w:tcW w:w="567" w:type="dxa"/>
            <w:gridSpan w:val="2"/>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vAlign w:val="center"/>
          </w:tcPr>
          <w:p w14:paraId="453AFABD" w14:textId="77777777" w:rsidR="005411D8" w:rsidRPr="00237760" w:rsidRDefault="005411D8" w:rsidP="009367B4">
            <w:pPr>
              <w:spacing w:after="0" w:line="240" w:lineRule="auto"/>
              <w:jc w:val="left"/>
              <w:rPr>
                <w:rFonts w:ascii="Arial" w:hAnsi="Arial" w:cs="Arial"/>
                <w:color w:val="auto"/>
                <w:sz w:val="24"/>
                <w:szCs w:val="24"/>
              </w:rPr>
            </w:pPr>
          </w:p>
        </w:tc>
        <w:tc>
          <w:tcPr>
            <w:tcW w:w="572" w:type="dxa"/>
            <w:gridSpan w:val="2"/>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vAlign w:val="center"/>
          </w:tcPr>
          <w:p w14:paraId="02B2070C" w14:textId="77777777" w:rsidR="005411D8" w:rsidRPr="00237760" w:rsidRDefault="005411D8" w:rsidP="009367B4">
            <w:pPr>
              <w:spacing w:after="0" w:line="240" w:lineRule="auto"/>
              <w:jc w:val="left"/>
              <w:rPr>
                <w:rFonts w:ascii="Arial" w:hAnsi="Arial" w:cs="Arial"/>
                <w:color w:val="auto"/>
                <w:sz w:val="24"/>
                <w:szCs w:val="24"/>
              </w:rPr>
            </w:pPr>
          </w:p>
        </w:tc>
        <w:tc>
          <w:tcPr>
            <w:tcW w:w="563" w:type="dxa"/>
            <w:gridSpan w:val="3"/>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tcPr>
          <w:p w14:paraId="02C4F76F" w14:textId="77777777" w:rsidR="005411D8" w:rsidRPr="00237760" w:rsidRDefault="005411D8" w:rsidP="009367B4">
            <w:pPr>
              <w:spacing w:after="0" w:line="240" w:lineRule="auto"/>
              <w:jc w:val="left"/>
              <w:rPr>
                <w:rFonts w:ascii="Arial" w:hAnsi="Arial" w:cs="Arial"/>
                <w:color w:val="auto"/>
                <w:sz w:val="24"/>
                <w:szCs w:val="24"/>
              </w:rPr>
            </w:pPr>
          </w:p>
        </w:tc>
      </w:tr>
    </w:tbl>
    <w:p w14:paraId="1495C6DB" w14:textId="7F0243DA" w:rsidR="00710815" w:rsidRPr="00237760" w:rsidRDefault="005411D8" w:rsidP="009367B4">
      <w:pPr>
        <w:jc w:val="left"/>
        <w:rPr>
          <w:rFonts w:ascii="Arial" w:hAnsi="Arial" w:cs="Arial"/>
          <w:color w:val="auto"/>
          <w:sz w:val="24"/>
          <w:szCs w:val="24"/>
        </w:rPr>
      </w:pPr>
      <w:r w:rsidRPr="00237760">
        <w:rPr>
          <w:rFonts w:ascii="Arial" w:hAnsi="Arial" w:cs="Arial"/>
          <w:color w:val="auto"/>
          <w:sz w:val="24"/>
          <w:szCs w:val="24"/>
        </w:rPr>
        <w:t xml:space="preserve">Źródło: opracowanie własne na podstawie </w:t>
      </w:r>
      <w:r w:rsidR="00F311FF" w:rsidRPr="00237760">
        <w:rPr>
          <w:rFonts w:ascii="Arial" w:hAnsi="Arial" w:cs="Arial"/>
          <w:color w:val="auto"/>
          <w:sz w:val="24"/>
          <w:szCs w:val="24"/>
        </w:rPr>
        <w:t>PSRT WP</w:t>
      </w:r>
      <w:r w:rsidRPr="00237760">
        <w:rPr>
          <w:rFonts w:ascii="Arial" w:hAnsi="Arial" w:cs="Arial"/>
          <w:color w:val="auto"/>
          <w:sz w:val="24"/>
          <w:szCs w:val="24"/>
        </w:rPr>
        <w:t xml:space="preserve"> oraz krajowych strategii zintegrowanych.</w:t>
      </w:r>
    </w:p>
    <w:p w14:paraId="41E2A366" w14:textId="77777777" w:rsidR="00710815" w:rsidRPr="00237760" w:rsidRDefault="00710815" w:rsidP="009367B4">
      <w:pPr>
        <w:pStyle w:val="Nagwek3"/>
        <w:rPr>
          <w:rFonts w:ascii="Arial" w:hAnsi="Arial" w:cs="Arial"/>
          <w:color w:val="auto"/>
          <w:sz w:val="24"/>
          <w:szCs w:val="24"/>
        </w:rPr>
      </w:pPr>
      <w:bookmarkStart w:id="223" w:name="_Toc101904154"/>
      <w:r w:rsidRPr="00237760">
        <w:rPr>
          <w:rFonts w:ascii="Arial" w:hAnsi="Arial" w:cs="Arial"/>
          <w:color w:val="auto"/>
          <w:sz w:val="24"/>
          <w:szCs w:val="24"/>
        </w:rPr>
        <w:t>Krajowy plan na rzecz energii i klimatu na lata 2021-2030</w:t>
      </w:r>
      <w:bookmarkEnd w:id="223"/>
    </w:p>
    <w:p w14:paraId="2EA36296" w14:textId="0667A486" w:rsidR="00710815" w:rsidRPr="00237760" w:rsidRDefault="00710815"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 xml:space="preserve">Krajowy plan na rzecz energii i klimatu wyznacza cele, których realizacja ma stanowić o wkładzie w realizację unijnych zobowiązań klimatycznych i dążenia do neutralności klimatycznej. Są one oparte o cele i kierunki określone w strategiach sektorowych. Wyżej wykazana spójność </w:t>
      </w:r>
      <w:r w:rsidR="00F311FF" w:rsidRPr="00237760">
        <w:rPr>
          <w:rFonts w:ascii="Arial" w:hAnsi="Arial" w:cs="Arial"/>
          <w:color w:val="auto"/>
          <w:sz w:val="24"/>
          <w:szCs w:val="24"/>
          <w:lang w:eastAsia="pl-PL"/>
        </w:rPr>
        <w:t>PSRT WP</w:t>
      </w:r>
      <w:r w:rsidRPr="00237760">
        <w:rPr>
          <w:rFonts w:ascii="Arial" w:hAnsi="Arial" w:cs="Arial"/>
          <w:color w:val="auto"/>
          <w:sz w:val="24"/>
          <w:szCs w:val="24"/>
          <w:lang w:eastAsia="pl-PL"/>
        </w:rPr>
        <w:t xml:space="preserve"> ze wszystkimi strategiami sektorowymi jest jednoznaczna ze spójnością z Krajowym planem na rzecz energii i klimatu.</w:t>
      </w:r>
    </w:p>
    <w:p w14:paraId="3DEF83EE" w14:textId="77777777" w:rsidR="006C1479" w:rsidRPr="00237760" w:rsidRDefault="006C1479" w:rsidP="009367B4">
      <w:pPr>
        <w:pStyle w:val="Nagwek3"/>
        <w:rPr>
          <w:rFonts w:ascii="Arial" w:hAnsi="Arial" w:cs="Arial"/>
          <w:color w:val="auto"/>
          <w:sz w:val="24"/>
          <w:szCs w:val="24"/>
        </w:rPr>
      </w:pPr>
      <w:bookmarkStart w:id="224" w:name="_Toc101904155"/>
      <w:r w:rsidRPr="00237760">
        <w:rPr>
          <w:rFonts w:ascii="Arial" w:hAnsi="Arial" w:cs="Arial"/>
          <w:color w:val="auto"/>
          <w:sz w:val="24"/>
          <w:szCs w:val="24"/>
        </w:rPr>
        <w:t>Europa 2020. Strategia na rzecz inteligentnego i zrównoważonego rozwoju sprzyjającego włączeniu społecznemu</w:t>
      </w:r>
      <w:bookmarkEnd w:id="224"/>
    </w:p>
    <w:p w14:paraId="1AC18502" w14:textId="4AA8B724" w:rsidR="00A15DF0" w:rsidRPr="00237760" w:rsidRDefault="006C1479" w:rsidP="009367B4">
      <w:pPr>
        <w:jc w:val="left"/>
        <w:rPr>
          <w:rFonts w:ascii="Arial" w:hAnsi="Arial" w:cs="Arial"/>
          <w:color w:val="auto"/>
          <w:sz w:val="24"/>
          <w:szCs w:val="24"/>
        </w:rPr>
      </w:pPr>
      <w:r w:rsidRPr="00237760">
        <w:rPr>
          <w:rFonts w:ascii="Arial" w:hAnsi="Arial" w:cs="Arial"/>
          <w:i/>
          <w:color w:val="auto"/>
          <w:sz w:val="24"/>
          <w:szCs w:val="24"/>
        </w:rPr>
        <w:lastRenderedPageBreak/>
        <w:t>Strategia Europa 2020</w:t>
      </w:r>
      <w:r w:rsidRPr="00237760">
        <w:rPr>
          <w:rFonts w:ascii="Arial" w:hAnsi="Arial" w:cs="Arial"/>
          <w:color w:val="auto"/>
          <w:sz w:val="24"/>
          <w:szCs w:val="24"/>
        </w:rPr>
        <w:t xml:space="preserve"> wyznacza 3 priorytety, z których 2 znajdują odzwierciedlenie w kierunkach </w:t>
      </w:r>
      <w:r w:rsidR="00F311FF" w:rsidRPr="00237760">
        <w:rPr>
          <w:rFonts w:ascii="Arial" w:hAnsi="Arial" w:cs="Arial"/>
          <w:color w:val="auto"/>
          <w:sz w:val="24"/>
          <w:szCs w:val="24"/>
        </w:rPr>
        <w:t>PSRT WP</w:t>
      </w:r>
      <w:r w:rsidRPr="00237760">
        <w:rPr>
          <w:rFonts w:ascii="Arial" w:hAnsi="Arial" w:cs="Arial"/>
          <w:color w:val="auto"/>
          <w:sz w:val="24"/>
          <w:szCs w:val="24"/>
        </w:rPr>
        <w:t>. Priorytet dotyczący zrównoważonego rozwoju wspierają głównie kierunki z pierwszego celu horyzontalnego Programu, a priorytet dotyczący włączenia społecznego – pojedyncze kierunki z trzech różnych celów</w:t>
      </w:r>
      <w:r w:rsidR="003D169B" w:rsidRPr="00237760">
        <w:rPr>
          <w:rFonts w:ascii="Arial" w:hAnsi="Arial" w:cs="Arial"/>
          <w:color w:val="auto"/>
          <w:sz w:val="24"/>
          <w:szCs w:val="24"/>
        </w:rPr>
        <w:t xml:space="preserve"> (</w:t>
      </w:r>
      <w:r w:rsidR="003D169B" w:rsidRPr="00237760">
        <w:rPr>
          <w:rFonts w:ascii="Arial" w:hAnsi="Arial" w:cs="Arial"/>
          <w:color w:val="auto"/>
          <w:sz w:val="24"/>
          <w:szCs w:val="24"/>
        </w:rPr>
        <w:fldChar w:fldCharType="begin"/>
      </w:r>
      <w:r w:rsidR="003D169B" w:rsidRPr="00237760">
        <w:rPr>
          <w:rFonts w:ascii="Arial" w:hAnsi="Arial" w:cs="Arial"/>
          <w:color w:val="auto"/>
          <w:sz w:val="24"/>
          <w:szCs w:val="24"/>
        </w:rPr>
        <w:instrText xml:space="preserve"> REF _Ref101002898 \h </w:instrText>
      </w:r>
      <w:r w:rsidR="00237760" w:rsidRPr="00237760">
        <w:rPr>
          <w:rFonts w:ascii="Arial" w:hAnsi="Arial" w:cs="Arial"/>
          <w:color w:val="auto"/>
          <w:sz w:val="24"/>
          <w:szCs w:val="24"/>
        </w:rPr>
        <w:instrText xml:space="preserve"> \* MERGEFORMAT </w:instrText>
      </w:r>
      <w:r w:rsidR="003D169B" w:rsidRPr="00237760">
        <w:rPr>
          <w:rFonts w:ascii="Arial" w:hAnsi="Arial" w:cs="Arial"/>
          <w:color w:val="auto"/>
          <w:sz w:val="24"/>
          <w:szCs w:val="24"/>
        </w:rPr>
      </w:r>
      <w:r w:rsidR="003D169B" w:rsidRPr="00237760">
        <w:rPr>
          <w:rFonts w:ascii="Arial" w:hAnsi="Arial" w:cs="Arial"/>
          <w:color w:val="auto"/>
          <w:sz w:val="24"/>
          <w:szCs w:val="24"/>
        </w:rPr>
        <w:fldChar w:fldCharType="separate"/>
      </w:r>
      <w:r w:rsidR="00E52C19" w:rsidRPr="00237760">
        <w:rPr>
          <w:rFonts w:ascii="Arial" w:hAnsi="Arial" w:cs="Arial"/>
          <w:color w:val="auto"/>
          <w:sz w:val="24"/>
          <w:szCs w:val="24"/>
        </w:rPr>
        <w:t xml:space="preserve">Tabela </w:t>
      </w:r>
      <w:r w:rsidR="00E52C19" w:rsidRPr="00237760">
        <w:rPr>
          <w:rFonts w:ascii="Arial" w:hAnsi="Arial" w:cs="Arial"/>
          <w:noProof/>
          <w:color w:val="auto"/>
          <w:sz w:val="24"/>
          <w:szCs w:val="24"/>
        </w:rPr>
        <w:t>34</w:t>
      </w:r>
      <w:r w:rsidR="003D169B" w:rsidRPr="00237760">
        <w:rPr>
          <w:rFonts w:ascii="Arial" w:hAnsi="Arial" w:cs="Arial"/>
          <w:color w:val="auto"/>
          <w:sz w:val="24"/>
          <w:szCs w:val="24"/>
        </w:rPr>
        <w:fldChar w:fldCharType="end"/>
      </w:r>
      <w:r w:rsidR="003D169B" w:rsidRPr="00237760">
        <w:rPr>
          <w:rFonts w:ascii="Arial" w:hAnsi="Arial" w:cs="Arial"/>
          <w:color w:val="auto"/>
          <w:sz w:val="24"/>
          <w:szCs w:val="24"/>
        </w:rPr>
        <w:t>)</w:t>
      </w:r>
      <w:r w:rsidRPr="00237760">
        <w:rPr>
          <w:rFonts w:ascii="Arial" w:hAnsi="Arial" w:cs="Arial"/>
          <w:color w:val="auto"/>
          <w:sz w:val="24"/>
          <w:szCs w:val="24"/>
        </w:rPr>
        <w:t>.</w:t>
      </w:r>
    </w:p>
    <w:p w14:paraId="121CC06C" w14:textId="7FC5E1A5" w:rsidR="006C1479" w:rsidRPr="00237760" w:rsidRDefault="003D169B" w:rsidP="009367B4">
      <w:pPr>
        <w:pStyle w:val="Legenda"/>
        <w:jc w:val="left"/>
        <w:rPr>
          <w:rFonts w:ascii="Arial" w:hAnsi="Arial" w:cs="Arial"/>
          <w:b w:val="0"/>
          <w:bCs w:val="0"/>
          <w:color w:val="auto"/>
          <w:sz w:val="24"/>
          <w:szCs w:val="24"/>
        </w:rPr>
      </w:pPr>
      <w:bookmarkStart w:id="225" w:name="_Ref101002898"/>
      <w:bookmarkStart w:id="226" w:name="_Toc101904275"/>
      <w:r w:rsidRPr="00237760">
        <w:rPr>
          <w:rFonts w:ascii="Arial" w:hAnsi="Arial" w:cs="Arial"/>
          <w:color w:val="auto"/>
          <w:sz w:val="24"/>
          <w:szCs w:val="24"/>
        </w:rPr>
        <w:t xml:space="preserve">Tabela </w:t>
      </w:r>
      <w:r w:rsidR="00D4562C" w:rsidRPr="00237760">
        <w:rPr>
          <w:rFonts w:ascii="Arial" w:hAnsi="Arial" w:cs="Arial"/>
          <w:noProof/>
          <w:color w:val="auto"/>
          <w:sz w:val="24"/>
          <w:szCs w:val="24"/>
        </w:rPr>
        <w:fldChar w:fldCharType="begin"/>
      </w:r>
      <w:r w:rsidR="00D4562C" w:rsidRPr="00237760">
        <w:rPr>
          <w:rFonts w:ascii="Arial" w:hAnsi="Arial" w:cs="Arial"/>
          <w:noProof/>
          <w:color w:val="auto"/>
          <w:sz w:val="24"/>
          <w:szCs w:val="24"/>
        </w:rPr>
        <w:instrText xml:space="preserve"> SEQ Tabela \* ARABIC </w:instrText>
      </w:r>
      <w:r w:rsidR="00D4562C" w:rsidRPr="00237760">
        <w:rPr>
          <w:rFonts w:ascii="Arial" w:hAnsi="Arial" w:cs="Arial"/>
          <w:noProof/>
          <w:color w:val="auto"/>
          <w:sz w:val="24"/>
          <w:szCs w:val="24"/>
        </w:rPr>
        <w:fldChar w:fldCharType="separate"/>
      </w:r>
      <w:r w:rsidR="00762B20" w:rsidRPr="00237760">
        <w:rPr>
          <w:rFonts w:ascii="Arial" w:hAnsi="Arial" w:cs="Arial"/>
          <w:noProof/>
          <w:color w:val="auto"/>
          <w:sz w:val="24"/>
          <w:szCs w:val="24"/>
        </w:rPr>
        <w:t>34</w:t>
      </w:r>
      <w:r w:rsidR="00D4562C" w:rsidRPr="00237760">
        <w:rPr>
          <w:rFonts w:ascii="Arial" w:hAnsi="Arial" w:cs="Arial"/>
          <w:noProof/>
          <w:color w:val="auto"/>
          <w:sz w:val="24"/>
          <w:szCs w:val="24"/>
        </w:rPr>
        <w:fldChar w:fldCharType="end"/>
      </w:r>
      <w:bookmarkEnd w:id="225"/>
      <w:r w:rsidRPr="00237760">
        <w:rPr>
          <w:rFonts w:ascii="Arial" w:hAnsi="Arial" w:cs="Arial"/>
          <w:color w:val="auto"/>
          <w:sz w:val="24"/>
          <w:szCs w:val="24"/>
        </w:rPr>
        <w:t xml:space="preserve">. </w:t>
      </w:r>
      <w:r w:rsidR="006C1479" w:rsidRPr="00237760">
        <w:rPr>
          <w:rFonts w:ascii="Arial" w:hAnsi="Arial" w:cs="Arial"/>
          <w:color w:val="auto"/>
          <w:sz w:val="24"/>
          <w:szCs w:val="24"/>
        </w:rPr>
        <w:t xml:space="preserve">Ocena spójności </w:t>
      </w:r>
      <w:r w:rsidR="00F311FF" w:rsidRPr="00237760">
        <w:rPr>
          <w:rFonts w:ascii="Arial" w:hAnsi="Arial" w:cs="Arial"/>
          <w:color w:val="auto"/>
          <w:sz w:val="24"/>
          <w:szCs w:val="24"/>
        </w:rPr>
        <w:t>PSRT WP</w:t>
      </w:r>
      <w:r w:rsidR="006C1479" w:rsidRPr="00237760">
        <w:rPr>
          <w:rFonts w:ascii="Arial" w:hAnsi="Arial" w:cs="Arial"/>
          <w:color w:val="auto"/>
          <w:sz w:val="24"/>
          <w:szCs w:val="24"/>
        </w:rPr>
        <w:t xml:space="preserve"> ze strategią Europa 2020</w:t>
      </w:r>
      <w:bookmarkEnd w:id="226"/>
    </w:p>
    <w:tbl>
      <w:tblPr>
        <w:tblStyle w:val="Tabela-Siatka6"/>
        <w:tblW w:w="9083" w:type="dxa"/>
        <w:tblInd w:w="-5"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57" w:type="dxa"/>
          <w:right w:w="57" w:type="dxa"/>
        </w:tblCellMar>
        <w:tblLook w:val="04A0" w:firstRow="1" w:lastRow="0" w:firstColumn="1" w:lastColumn="0" w:noHBand="0" w:noVBand="1"/>
        <w:tblCaption w:val="Tabela 34. Ocena spójności PSRT WP ze strategią Europa 2020"/>
        <w:tblDescription w:val="Tabela zawiera Priorytety, Cele podstawowe PSRT WP, Cele horyzontalne PSRT WP"/>
      </w:tblPr>
      <w:tblGrid>
        <w:gridCol w:w="5108"/>
        <w:gridCol w:w="567"/>
        <w:gridCol w:w="567"/>
        <w:gridCol w:w="567"/>
        <w:gridCol w:w="567"/>
        <w:gridCol w:w="567"/>
        <w:gridCol w:w="567"/>
        <w:gridCol w:w="567"/>
        <w:gridCol w:w="6"/>
      </w:tblGrid>
      <w:tr w:rsidR="00237760" w:rsidRPr="00237760" w14:paraId="72877AA3" w14:textId="77777777" w:rsidTr="000D3F32">
        <w:trPr>
          <w:trHeight w:val="80"/>
          <w:tblHeader/>
        </w:trPr>
        <w:tc>
          <w:tcPr>
            <w:tcW w:w="9083" w:type="dxa"/>
            <w:gridSpan w:val="9"/>
            <w:tcBorders>
              <w:top w:val="single" w:sz="12" w:space="0" w:color="002060"/>
              <w:left w:val="nil"/>
              <w:bottom w:val="single" w:sz="4" w:space="0" w:color="BDD6EE" w:themeColor="accent1" w:themeTint="66"/>
            </w:tcBorders>
            <w:shd w:val="clear" w:color="auto" w:fill="auto"/>
            <w:vAlign w:val="center"/>
          </w:tcPr>
          <w:p w14:paraId="740EB01F" w14:textId="77777777" w:rsidR="006C1479" w:rsidRPr="00237760" w:rsidRDefault="006C1479"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Europa 2020. Strategia na rzecz inteligentnego i zrównoważonego rozwoju sprzyjającego włączeniu społecznemu</w:t>
            </w:r>
          </w:p>
        </w:tc>
      </w:tr>
      <w:tr w:rsidR="00237760" w:rsidRPr="00237760" w14:paraId="6D2DC1D7" w14:textId="77777777" w:rsidTr="000D3F32">
        <w:trPr>
          <w:gridAfter w:val="1"/>
          <w:wAfter w:w="6" w:type="dxa"/>
          <w:trHeight w:val="70"/>
          <w:tblHeader/>
        </w:trPr>
        <w:tc>
          <w:tcPr>
            <w:tcW w:w="5108" w:type="dxa"/>
            <w:vMerge w:val="restart"/>
            <w:tcBorders>
              <w:top w:val="nil"/>
              <w:left w:val="nil"/>
              <w:bottom w:val="single" w:sz="4" w:space="0" w:color="BDD6EE" w:themeColor="accent1" w:themeTint="66"/>
              <w:right w:val="nil"/>
            </w:tcBorders>
            <w:shd w:val="clear" w:color="auto" w:fill="auto"/>
            <w:vAlign w:val="center"/>
            <w:hideMark/>
          </w:tcPr>
          <w:p w14:paraId="5278B646" w14:textId="77777777" w:rsidR="006C1479" w:rsidRPr="00237760" w:rsidRDefault="006C1479" w:rsidP="009367B4">
            <w:pPr>
              <w:spacing w:after="0" w:line="240" w:lineRule="auto"/>
              <w:jc w:val="left"/>
              <w:rPr>
                <w:rFonts w:ascii="Arial" w:hAnsi="Arial" w:cs="Arial"/>
                <w:b/>
                <w:color w:val="auto"/>
                <w:sz w:val="24"/>
                <w:szCs w:val="24"/>
              </w:rPr>
            </w:pPr>
            <w:r w:rsidRPr="00237760">
              <w:rPr>
                <w:rFonts w:ascii="Arial" w:eastAsia="MS Gothic" w:hAnsi="Arial" w:cs="Arial"/>
                <w:b/>
                <w:color w:val="auto"/>
                <w:sz w:val="24"/>
                <w:szCs w:val="24"/>
              </w:rPr>
              <w:t>Priorytety</w:t>
            </w:r>
          </w:p>
        </w:tc>
        <w:tc>
          <w:tcPr>
            <w:tcW w:w="1701" w:type="dxa"/>
            <w:gridSpan w:val="3"/>
            <w:tcBorders>
              <w:top w:val="nil"/>
              <w:left w:val="nil"/>
              <w:bottom w:val="single" w:sz="4" w:space="0" w:color="BDD6EE" w:themeColor="accent1" w:themeTint="66"/>
            </w:tcBorders>
            <w:shd w:val="clear" w:color="auto" w:fill="auto"/>
            <w:vAlign w:val="center"/>
          </w:tcPr>
          <w:p w14:paraId="7BF58D64" w14:textId="77777777" w:rsidR="006C1479" w:rsidRPr="00237760" w:rsidRDefault="006C1479"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podstawowe PSRT WP</w:t>
            </w:r>
          </w:p>
        </w:tc>
        <w:tc>
          <w:tcPr>
            <w:tcW w:w="2268" w:type="dxa"/>
            <w:gridSpan w:val="4"/>
            <w:tcBorders>
              <w:top w:val="nil"/>
              <w:left w:val="nil"/>
              <w:bottom w:val="single" w:sz="4" w:space="0" w:color="BDD6EE" w:themeColor="accent1" w:themeTint="66"/>
            </w:tcBorders>
            <w:shd w:val="clear" w:color="auto" w:fill="auto"/>
            <w:vAlign w:val="center"/>
          </w:tcPr>
          <w:p w14:paraId="163E4019" w14:textId="77777777" w:rsidR="006C1479" w:rsidRPr="00237760" w:rsidRDefault="006C1479"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horyzontalne PSRT WP</w:t>
            </w:r>
          </w:p>
        </w:tc>
      </w:tr>
      <w:tr w:rsidR="00237760" w:rsidRPr="00237760" w14:paraId="371EB768" w14:textId="77777777" w:rsidTr="000D3F32">
        <w:trPr>
          <w:gridAfter w:val="1"/>
          <w:wAfter w:w="6" w:type="dxa"/>
          <w:trHeight w:val="50"/>
          <w:tblHeader/>
        </w:trPr>
        <w:tc>
          <w:tcPr>
            <w:tcW w:w="5108" w:type="dxa"/>
            <w:vMerge/>
            <w:tcBorders>
              <w:top w:val="nil"/>
              <w:left w:val="nil"/>
              <w:bottom w:val="single" w:sz="4" w:space="0" w:color="BDD6EE" w:themeColor="accent1" w:themeTint="66"/>
              <w:right w:val="nil"/>
            </w:tcBorders>
            <w:shd w:val="clear" w:color="auto" w:fill="auto"/>
            <w:vAlign w:val="center"/>
            <w:hideMark/>
          </w:tcPr>
          <w:p w14:paraId="0F724F3E" w14:textId="77777777" w:rsidR="006C1479" w:rsidRPr="00237760" w:rsidRDefault="006C1479" w:rsidP="009367B4">
            <w:pPr>
              <w:spacing w:after="0" w:line="240" w:lineRule="auto"/>
              <w:jc w:val="left"/>
              <w:rPr>
                <w:rFonts w:ascii="Arial" w:hAnsi="Arial" w:cs="Arial"/>
                <w:b/>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2F56B3FF" w14:textId="77777777" w:rsidR="006C1479" w:rsidRPr="00237760" w:rsidRDefault="006C1479"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2C441980" w14:textId="77777777" w:rsidR="006C1479" w:rsidRPr="00237760" w:rsidRDefault="006C1479"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4B931180" w14:textId="77777777" w:rsidR="006C1479" w:rsidRPr="00237760" w:rsidRDefault="006C1479"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641338B5" w14:textId="77777777" w:rsidR="006C1479" w:rsidRPr="00237760" w:rsidRDefault="006C1479"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50737675" w14:textId="77777777" w:rsidR="006C1479" w:rsidRPr="00237760" w:rsidRDefault="006C1479"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nil"/>
            </w:tcBorders>
            <w:shd w:val="clear" w:color="auto" w:fill="auto"/>
          </w:tcPr>
          <w:p w14:paraId="78944642" w14:textId="77777777" w:rsidR="006C1479" w:rsidRPr="00237760" w:rsidRDefault="006C1479"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nil"/>
            </w:tcBorders>
            <w:shd w:val="clear" w:color="auto" w:fill="auto"/>
          </w:tcPr>
          <w:p w14:paraId="6B58576C" w14:textId="77777777" w:rsidR="006C1479" w:rsidRPr="00237760" w:rsidRDefault="006C1479"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4.</w:t>
            </w:r>
          </w:p>
        </w:tc>
      </w:tr>
      <w:tr w:rsidR="00237760" w:rsidRPr="00237760" w14:paraId="5EBE029C" w14:textId="77777777" w:rsidTr="000D3F32">
        <w:trPr>
          <w:gridAfter w:val="1"/>
          <w:wAfter w:w="6" w:type="dxa"/>
          <w:trHeight w:val="271"/>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306EDD49" w14:textId="77777777" w:rsidR="006C1479" w:rsidRPr="00237760" w:rsidRDefault="006C1479"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Inteligentny rozwój – gospodarka oparta na wiedzy i innowacji</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282BFE75"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3ACD862D"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79A1449C"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3AD213D3"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284F68EF"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09796627"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1150AB08" w14:textId="77777777" w:rsidR="006C1479" w:rsidRPr="00237760" w:rsidRDefault="006C1479" w:rsidP="009367B4">
            <w:pPr>
              <w:spacing w:after="0" w:line="240" w:lineRule="auto"/>
              <w:jc w:val="left"/>
              <w:rPr>
                <w:rFonts w:ascii="Arial" w:hAnsi="Arial" w:cs="Arial"/>
                <w:color w:val="auto"/>
                <w:sz w:val="24"/>
                <w:szCs w:val="24"/>
              </w:rPr>
            </w:pPr>
          </w:p>
        </w:tc>
      </w:tr>
      <w:tr w:rsidR="00237760" w:rsidRPr="00237760" w14:paraId="25800AF6" w14:textId="77777777" w:rsidTr="000D3F32">
        <w:trPr>
          <w:gridAfter w:val="1"/>
          <w:wAfter w:w="6" w:type="dxa"/>
          <w:trHeight w:val="1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3A76F70F" w14:textId="77777777" w:rsidR="006C1479" w:rsidRPr="00237760" w:rsidRDefault="006C1479"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Zrównoważony rozwój – wspieranie gospodarki efektywniej korzystającej z zasobów, bardziej przyjaznej środowisku i bardziej konkurencyjnej</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00F0D2DE"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31D64F03"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05A2010F"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330F48B2"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6C64A53F"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6C245C81"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49FDB7C6" w14:textId="77777777" w:rsidR="006C1479" w:rsidRPr="00237760" w:rsidRDefault="006C1479" w:rsidP="009367B4">
            <w:pPr>
              <w:spacing w:after="0" w:line="240" w:lineRule="auto"/>
              <w:jc w:val="left"/>
              <w:rPr>
                <w:rFonts w:ascii="Arial" w:hAnsi="Arial" w:cs="Arial"/>
                <w:color w:val="auto"/>
                <w:sz w:val="24"/>
                <w:szCs w:val="24"/>
              </w:rPr>
            </w:pPr>
          </w:p>
        </w:tc>
      </w:tr>
      <w:tr w:rsidR="00237760" w:rsidRPr="00237760" w14:paraId="040F4D87" w14:textId="77777777" w:rsidTr="000D3F32">
        <w:trPr>
          <w:gridAfter w:val="1"/>
          <w:wAfter w:w="6" w:type="dxa"/>
          <w:trHeight w:val="14"/>
        </w:trPr>
        <w:tc>
          <w:tcPr>
            <w:tcW w:w="5108" w:type="dxa"/>
            <w:tcBorders>
              <w:top w:val="single" w:sz="4" w:space="0" w:color="BDD6EE" w:themeColor="accent1" w:themeTint="66"/>
              <w:left w:val="nil"/>
              <w:bottom w:val="single" w:sz="12" w:space="0" w:color="002060"/>
              <w:right w:val="single" w:sz="4" w:space="0" w:color="BDD6EE" w:themeColor="accent1" w:themeTint="66"/>
            </w:tcBorders>
          </w:tcPr>
          <w:p w14:paraId="3C3145A7" w14:textId="77777777" w:rsidR="006C1479" w:rsidRPr="00237760" w:rsidRDefault="006C1479"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Rozwój sprzyjający włączeniu społecznemu – gospodarka charakteryzująca się wysokim poziomem zatrudnienia i zapewniająca spójność gospodarczą, społeczną i terytorialną</w:t>
            </w:r>
          </w:p>
        </w:tc>
        <w:tc>
          <w:tcPr>
            <w:tcW w:w="567"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auto"/>
          </w:tcPr>
          <w:p w14:paraId="4949D9AE"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9CC2E5" w:themeFill="accent1" w:themeFillTint="99"/>
            <w:vAlign w:val="center"/>
          </w:tcPr>
          <w:p w14:paraId="3130C306"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9CC2E5" w:themeFill="accent1" w:themeFillTint="99"/>
            <w:vAlign w:val="center"/>
          </w:tcPr>
          <w:p w14:paraId="36B69CB7"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auto"/>
            <w:vAlign w:val="center"/>
          </w:tcPr>
          <w:p w14:paraId="16A6E2AA"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auto"/>
            <w:vAlign w:val="center"/>
          </w:tcPr>
          <w:p w14:paraId="1B52407E"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9CC2E5" w:themeFill="accent1" w:themeFillTint="99"/>
            <w:vAlign w:val="center"/>
          </w:tcPr>
          <w:p w14:paraId="3D80E61C"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12" w:space="0" w:color="002060"/>
              <w:right w:val="single" w:sz="4" w:space="0" w:color="BDD6EE" w:themeColor="accent1" w:themeTint="66"/>
            </w:tcBorders>
            <w:shd w:val="clear" w:color="auto" w:fill="auto"/>
          </w:tcPr>
          <w:p w14:paraId="15088CD4" w14:textId="77777777" w:rsidR="006C1479" w:rsidRPr="00237760" w:rsidRDefault="006C1479" w:rsidP="009367B4">
            <w:pPr>
              <w:spacing w:after="0" w:line="240" w:lineRule="auto"/>
              <w:jc w:val="left"/>
              <w:rPr>
                <w:rFonts w:ascii="Arial" w:hAnsi="Arial" w:cs="Arial"/>
                <w:color w:val="auto"/>
                <w:sz w:val="24"/>
                <w:szCs w:val="24"/>
              </w:rPr>
            </w:pPr>
          </w:p>
        </w:tc>
      </w:tr>
    </w:tbl>
    <w:p w14:paraId="5A1DE379" w14:textId="511F65AC" w:rsidR="006C1479" w:rsidRDefault="006C1479" w:rsidP="009367B4">
      <w:pPr>
        <w:jc w:val="left"/>
        <w:rPr>
          <w:rFonts w:ascii="Arial" w:hAnsi="Arial" w:cs="Arial"/>
          <w:color w:val="auto"/>
          <w:sz w:val="24"/>
          <w:szCs w:val="24"/>
        </w:rPr>
      </w:pPr>
      <w:r w:rsidRPr="00237760">
        <w:rPr>
          <w:rFonts w:ascii="Arial" w:hAnsi="Arial" w:cs="Arial"/>
          <w:color w:val="auto"/>
          <w:sz w:val="24"/>
          <w:szCs w:val="24"/>
        </w:rPr>
        <w:t>Źródło: opracowanie własne</w:t>
      </w:r>
      <w:r w:rsidR="00F360B5" w:rsidRPr="00237760">
        <w:rPr>
          <w:rFonts w:ascii="Arial" w:hAnsi="Arial" w:cs="Arial"/>
          <w:color w:val="auto"/>
          <w:sz w:val="24"/>
          <w:szCs w:val="24"/>
        </w:rPr>
        <w:t xml:space="preserve"> na podstawie </w:t>
      </w:r>
      <w:r w:rsidR="00F311FF" w:rsidRPr="00237760">
        <w:rPr>
          <w:rFonts w:ascii="Arial" w:hAnsi="Arial" w:cs="Arial"/>
          <w:color w:val="auto"/>
          <w:sz w:val="24"/>
          <w:szCs w:val="24"/>
        </w:rPr>
        <w:t>PSRT WP</w:t>
      </w:r>
      <w:r w:rsidR="00F360B5" w:rsidRPr="00237760">
        <w:rPr>
          <w:rFonts w:ascii="Arial" w:hAnsi="Arial" w:cs="Arial"/>
          <w:color w:val="auto"/>
          <w:sz w:val="24"/>
          <w:szCs w:val="24"/>
        </w:rPr>
        <w:t xml:space="preserve"> oraz Europa 2020. Strategia na rzecz inteligentnego i zrównoważonego rozwoju sprzyjającemu włączeniu społecznemu.</w:t>
      </w:r>
    </w:p>
    <w:p w14:paraId="3C8C4BC7" w14:textId="1BCD7B4B" w:rsidR="00931674" w:rsidRDefault="00931674" w:rsidP="009367B4">
      <w:pPr>
        <w:spacing w:after="160" w:line="259" w:lineRule="auto"/>
        <w:jc w:val="left"/>
        <w:rPr>
          <w:rFonts w:ascii="Arial" w:hAnsi="Arial" w:cs="Arial"/>
          <w:color w:val="auto"/>
          <w:sz w:val="24"/>
          <w:szCs w:val="24"/>
        </w:rPr>
      </w:pPr>
      <w:r>
        <w:rPr>
          <w:rFonts w:ascii="Arial" w:hAnsi="Arial" w:cs="Arial"/>
          <w:color w:val="auto"/>
          <w:sz w:val="24"/>
          <w:szCs w:val="24"/>
        </w:rPr>
        <w:br w:type="page"/>
      </w:r>
    </w:p>
    <w:p w14:paraId="3D9D2F34" w14:textId="77777777" w:rsidR="006C1479" w:rsidRPr="00237760" w:rsidRDefault="006C1479" w:rsidP="009367B4">
      <w:pPr>
        <w:pStyle w:val="Nagwek3"/>
        <w:rPr>
          <w:rFonts w:ascii="Arial" w:hAnsi="Arial" w:cs="Arial"/>
          <w:color w:val="auto"/>
          <w:sz w:val="24"/>
          <w:szCs w:val="24"/>
        </w:rPr>
      </w:pPr>
      <w:bookmarkStart w:id="227" w:name="_Toc101904156"/>
      <w:bookmarkStart w:id="228" w:name="_Hlk100952980"/>
      <w:r w:rsidRPr="00237760">
        <w:rPr>
          <w:rFonts w:ascii="Arial" w:hAnsi="Arial" w:cs="Arial"/>
          <w:color w:val="auto"/>
          <w:sz w:val="24"/>
          <w:szCs w:val="24"/>
        </w:rPr>
        <w:lastRenderedPageBreak/>
        <w:t>Kontrakt Terytorialny dla Województwa Podkarpackiego</w:t>
      </w:r>
      <w:bookmarkEnd w:id="227"/>
    </w:p>
    <w:bookmarkEnd w:id="228"/>
    <w:p w14:paraId="5228BE3F" w14:textId="4586B652" w:rsidR="006C1479" w:rsidRPr="00237760" w:rsidRDefault="006C1479" w:rsidP="009367B4">
      <w:pPr>
        <w:spacing w:line="259" w:lineRule="auto"/>
        <w:contextualSpacing/>
        <w:jc w:val="left"/>
        <w:rPr>
          <w:rFonts w:ascii="Arial" w:hAnsi="Arial" w:cs="Arial"/>
          <w:color w:val="auto"/>
          <w:sz w:val="24"/>
          <w:szCs w:val="24"/>
        </w:rPr>
      </w:pPr>
      <w:r w:rsidRPr="00237760">
        <w:rPr>
          <w:rFonts w:ascii="Arial" w:hAnsi="Arial" w:cs="Arial"/>
          <w:color w:val="auto"/>
          <w:sz w:val="24"/>
          <w:szCs w:val="24"/>
        </w:rPr>
        <w:t xml:space="preserve">Kontrakt Terytorialny, który stanowi umowę pomiędzy rządem i województwem, w której zawiera się 11 celów realizowanych w regionie. </w:t>
      </w:r>
      <w:r w:rsidR="00F360B5" w:rsidRPr="00237760">
        <w:rPr>
          <w:rFonts w:ascii="Arial" w:hAnsi="Arial" w:cs="Arial"/>
          <w:color w:val="auto"/>
          <w:sz w:val="24"/>
          <w:szCs w:val="24"/>
        </w:rPr>
        <w:t xml:space="preserve">Siedem </w:t>
      </w:r>
      <w:r w:rsidRPr="00237760">
        <w:rPr>
          <w:rFonts w:ascii="Arial" w:hAnsi="Arial" w:cs="Arial"/>
          <w:color w:val="auto"/>
          <w:sz w:val="24"/>
          <w:szCs w:val="24"/>
        </w:rPr>
        <w:t xml:space="preserve">z nich jest wspieranych przez </w:t>
      </w:r>
      <w:r w:rsidR="00F311FF" w:rsidRPr="00237760">
        <w:rPr>
          <w:rFonts w:ascii="Arial" w:hAnsi="Arial" w:cs="Arial"/>
          <w:color w:val="auto"/>
          <w:sz w:val="24"/>
          <w:szCs w:val="24"/>
        </w:rPr>
        <w:t>PSRT WP</w:t>
      </w:r>
      <w:r w:rsidRPr="00237760">
        <w:rPr>
          <w:rFonts w:ascii="Arial" w:hAnsi="Arial" w:cs="Arial"/>
          <w:color w:val="auto"/>
          <w:sz w:val="24"/>
          <w:szCs w:val="24"/>
        </w:rPr>
        <w:t xml:space="preserve"> w kierunkach rozwoju</w:t>
      </w:r>
      <w:r w:rsidR="00F360B5" w:rsidRPr="00237760">
        <w:rPr>
          <w:rFonts w:ascii="Arial" w:hAnsi="Arial" w:cs="Arial"/>
          <w:color w:val="auto"/>
          <w:sz w:val="24"/>
          <w:szCs w:val="24"/>
        </w:rPr>
        <w:t xml:space="preserve"> (</w:t>
      </w:r>
      <w:r w:rsidR="00F360B5" w:rsidRPr="00237760">
        <w:rPr>
          <w:rFonts w:ascii="Arial" w:hAnsi="Arial" w:cs="Arial"/>
          <w:color w:val="auto"/>
          <w:sz w:val="24"/>
          <w:szCs w:val="24"/>
        </w:rPr>
        <w:fldChar w:fldCharType="begin"/>
      </w:r>
      <w:r w:rsidR="00F360B5" w:rsidRPr="00237760">
        <w:rPr>
          <w:rFonts w:ascii="Arial" w:hAnsi="Arial" w:cs="Arial"/>
          <w:color w:val="auto"/>
          <w:sz w:val="24"/>
          <w:szCs w:val="24"/>
        </w:rPr>
        <w:instrText xml:space="preserve"> REF _Ref101003248 \h </w:instrText>
      </w:r>
      <w:r w:rsidR="00237760" w:rsidRPr="00237760">
        <w:rPr>
          <w:rFonts w:ascii="Arial" w:hAnsi="Arial" w:cs="Arial"/>
          <w:color w:val="auto"/>
          <w:sz w:val="24"/>
          <w:szCs w:val="24"/>
        </w:rPr>
        <w:instrText xml:space="preserve"> \* MERGEFORMAT </w:instrText>
      </w:r>
      <w:r w:rsidR="00F360B5" w:rsidRPr="00237760">
        <w:rPr>
          <w:rFonts w:ascii="Arial" w:hAnsi="Arial" w:cs="Arial"/>
          <w:color w:val="auto"/>
          <w:sz w:val="24"/>
          <w:szCs w:val="24"/>
        </w:rPr>
      </w:r>
      <w:r w:rsidR="00F360B5" w:rsidRPr="00237760">
        <w:rPr>
          <w:rFonts w:ascii="Arial" w:hAnsi="Arial" w:cs="Arial"/>
          <w:color w:val="auto"/>
          <w:sz w:val="24"/>
          <w:szCs w:val="24"/>
        </w:rPr>
        <w:fldChar w:fldCharType="separate"/>
      </w:r>
      <w:r w:rsidR="00E52C19" w:rsidRPr="00237760">
        <w:rPr>
          <w:rFonts w:ascii="Arial" w:hAnsi="Arial" w:cs="Arial"/>
          <w:color w:val="auto"/>
          <w:sz w:val="24"/>
          <w:szCs w:val="24"/>
        </w:rPr>
        <w:t xml:space="preserve">Tabela </w:t>
      </w:r>
      <w:r w:rsidR="00E52C19" w:rsidRPr="00237760">
        <w:rPr>
          <w:rFonts w:ascii="Arial" w:hAnsi="Arial" w:cs="Arial"/>
          <w:noProof/>
          <w:color w:val="auto"/>
          <w:sz w:val="24"/>
          <w:szCs w:val="24"/>
        </w:rPr>
        <w:t>35</w:t>
      </w:r>
      <w:r w:rsidR="00F360B5" w:rsidRPr="00237760">
        <w:rPr>
          <w:rFonts w:ascii="Arial" w:hAnsi="Arial" w:cs="Arial"/>
          <w:color w:val="auto"/>
          <w:sz w:val="24"/>
          <w:szCs w:val="24"/>
        </w:rPr>
        <w:fldChar w:fldCharType="end"/>
      </w:r>
      <w:r w:rsidR="00F360B5" w:rsidRPr="00237760">
        <w:rPr>
          <w:rFonts w:ascii="Arial" w:hAnsi="Arial" w:cs="Arial"/>
          <w:color w:val="auto"/>
          <w:sz w:val="24"/>
          <w:szCs w:val="24"/>
        </w:rPr>
        <w:t>)</w:t>
      </w:r>
      <w:r w:rsidRPr="00237760">
        <w:rPr>
          <w:rFonts w:ascii="Arial" w:hAnsi="Arial" w:cs="Arial"/>
          <w:color w:val="auto"/>
          <w:sz w:val="24"/>
          <w:szCs w:val="24"/>
        </w:rPr>
        <w:t xml:space="preserve">. Cel kontraktu pt. „poprawa zewnętrznej i wewnętrznej dostępności przestrzennej Województwa ze szczególnym uwzględnieniem Rzeszowa jako ponadregionalnego ośrodka wzrostu” jest realizowany przez większość wyznaczonych kierunków. </w:t>
      </w:r>
    </w:p>
    <w:p w14:paraId="1CE4DA30" w14:textId="0D78E4C8" w:rsidR="006C1479" w:rsidRPr="00237760" w:rsidRDefault="00F360B5" w:rsidP="009367B4">
      <w:pPr>
        <w:pStyle w:val="Legenda"/>
        <w:jc w:val="left"/>
        <w:rPr>
          <w:rFonts w:ascii="Arial" w:hAnsi="Arial" w:cs="Arial"/>
          <w:b w:val="0"/>
          <w:bCs w:val="0"/>
          <w:color w:val="auto"/>
          <w:sz w:val="24"/>
          <w:szCs w:val="24"/>
        </w:rPr>
      </w:pPr>
      <w:bookmarkStart w:id="229" w:name="_Ref101003248"/>
      <w:bookmarkStart w:id="230" w:name="_Toc101904276"/>
      <w:r w:rsidRPr="00237760">
        <w:rPr>
          <w:rFonts w:ascii="Arial" w:hAnsi="Arial" w:cs="Arial"/>
          <w:color w:val="auto"/>
          <w:sz w:val="24"/>
          <w:szCs w:val="24"/>
        </w:rPr>
        <w:t xml:space="preserve">Tabela </w:t>
      </w:r>
      <w:r w:rsidR="00D4562C" w:rsidRPr="00237760">
        <w:rPr>
          <w:rFonts w:ascii="Arial" w:hAnsi="Arial" w:cs="Arial"/>
          <w:noProof/>
          <w:color w:val="auto"/>
          <w:sz w:val="24"/>
          <w:szCs w:val="24"/>
        </w:rPr>
        <w:fldChar w:fldCharType="begin"/>
      </w:r>
      <w:r w:rsidR="00D4562C" w:rsidRPr="00237760">
        <w:rPr>
          <w:rFonts w:ascii="Arial" w:hAnsi="Arial" w:cs="Arial"/>
          <w:noProof/>
          <w:color w:val="auto"/>
          <w:sz w:val="24"/>
          <w:szCs w:val="24"/>
        </w:rPr>
        <w:instrText xml:space="preserve"> SEQ Tabela \* ARABIC </w:instrText>
      </w:r>
      <w:r w:rsidR="00D4562C" w:rsidRPr="00237760">
        <w:rPr>
          <w:rFonts w:ascii="Arial" w:hAnsi="Arial" w:cs="Arial"/>
          <w:noProof/>
          <w:color w:val="auto"/>
          <w:sz w:val="24"/>
          <w:szCs w:val="24"/>
        </w:rPr>
        <w:fldChar w:fldCharType="separate"/>
      </w:r>
      <w:r w:rsidR="00762B20" w:rsidRPr="00237760">
        <w:rPr>
          <w:rFonts w:ascii="Arial" w:hAnsi="Arial" w:cs="Arial"/>
          <w:noProof/>
          <w:color w:val="auto"/>
          <w:sz w:val="24"/>
          <w:szCs w:val="24"/>
        </w:rPr>
        <w:t>35</w:t>
      </w:r>
      <w:r w:rsidR="00D4562C" w:rsidRPr="00237760">
        <w:rPr>
          <w:rFonts w:ascii="Arial" w:hAnsi="Arial" w:cs="Arial"/>
          <w:noProof/>
          <w:color w:val="auto"/>
          <w:sz w:val="24"/>
          <w:szCs w:val="24"/>
        </w:rPr>
        <w:fldChar w:fldCharType="end"/>
      </w:r>
      <w:bookmarkEnd w:id="229"/>
      <w:r w:rsidRPr="00237760">
        <w:rPr>
          <w:rFonts w:ascii="Arial" w:hAnsi="Arial" w:cs="Arial"/>
          <w:color w:val="auto"/>
          <w:sz w:val="24"/>
          <w:szCs w:val="24"/>
        </w:rPr>
        <w:t xml:space="preserve">. </w:t>
      </w:r>
      <w:r w:rsidR="006C1479" w:rsidRPr="00237760">
        <w:rPr>
          <w:rFonts w:ascii="Arial" w:hAnsi="Arial" w:cs="Arial"/>
          <w:color w:val="auto"/>
          <w:sz w:val="24"/>
          <w:szCs w:val="24"/>
        </w:rPr>
        <w:t xml:space="preserve">Ocena spójności </w:t>
      </w:r>
      <w:r w:rsidR="00F311FF" w:rsidRPr="00237760">
        <w:rPr>
          <w:rFonts w:ascii="Arial" w:hAnsi="Arial" w:cs="Arial"/>
          <w:color w:val="auto"/>
          <w:sz w:val="24"/>
          <w:szCs w:val="24"/>
        </w:rPr>
        <w:t>PSRT WP</w:t>
      </w:r>
      <w:r w:rsidR="006C1479" w:rsidRPr="00237760">
        <w:rPr>
          <w:rFonts w:ascii="Arial" w:hAnsi="Arial" w:cs="Arial"/>
          <w:color w:val="auto"/>
          <w:sz w:val="24"/>
          <w:szCs w:val="24"/>
        </w:rPr>
        <w:t xml:space="preserve"> z Kontraktem Terytorialnym dla Województwa Podkarpackiego</w:t>
      </w:r>
      <w:bookmarkEnd w:id="230"/>
    </w:p>
    <w:tbl>
      <w:tblPr>
        <w:tblStyle w:val="Tabela-Siatka6"/>
        <w:tblW w:w="9084" w:type="dxa"/>
        <w:tblInd w:w="-5"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57" w:type="dxa"/>
          <w:right w:w="57" w:type="dxa"/>
        </w:tblCellMar>
        <w:tblLook w:val="04A0" w:firstRow="1" w:lastRow="0" w:firstColumn="1" w:lastColumn="0" w:noHBand="0" w:noVBand="1"/>
        <w:tblCaption w:val="Tabela 35. Ocena spójności PSRT WP z Kontraktem Terytorialnym dla Województwa Podkarpackiego"/>
        <w:tblDescription w:val="Tabela zawiera Cele kontraktu, Cele podstawowe PSRT WP, Cele horyzontalne PSRT WP"/>
      </w:tblPr>
      <w:tblGrid>
        <w:gridCol w:w="4967"/>
        <w:gridCol w:w="709"/>
        <w:gridCol w:w="567"/>
        <w:gridCol w:w="567"/>
        <w:gridCol w:w="567"/>
        <w:gridCol w:w="567"/>
        <w:gridCol w:w="567"/>
        <w:gridCol w:w="567"/>
        <w:gridCol w:w="6"/>
      </w:tblGrid>
      <w:tr w:rsidR="00237760" w:rsidRPr="00237760" w14:paraId="3307CA1B" w14:textId="77777777" w:rsidTr="000D3F32">
        <w:trPr>
          <w:trHeight w:val="83"/>
          <w:tblHeader/>
        </w:trPr>
        <w:tc>
          <w:tcPr>
            <w:tcW w:w="9084" w:type="dxa"/>
            <w:gridSpan w:val="9"/>
            <w:tcBorders>
              <w:top w:val="single" w:sz="12" w:space="0" w:color="002060"/>
              <w:left w:val="nil"/>
              <w:bottom w:val="single" w:sz="4" w:space="0" w:color="BDD6EE" w:themeColor="accent1" w:themeTint="66"/>
            </w:tcBorders>
            <w:shd w:val="clear" w:color="auto" w:fill="auto"/>
            <w:vAlign w:val="center"/>
          </w:tcPr>
          <w:p w14:paraId="12932BE6" w14:textId="77777777" w:rsidR="006C1479" w:rsidRPr="00237760" w:rsidRDefault="006C1479"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Kontrakt Terytorialny dla Województwa Podkarpackiego</w:t>
            </w:r>
          </w:p>
        </w:tc>
      </w:tr>
      <w:tr w:rsidR="000D3F32" w:rsidRPr="00237760" w14:paraId="779A4EAC" w14:textId="77777777" w:rsidTr="000D3F32">
        <w:trPr>
          <w:gridAfter w:val="1"/>
          <w:wAfter w:w="6" w:type="dxa"/>
          <w:trHeight w:val="70"/>
          <w:tblHeader/>
        </w:trPr>
        <w:tc>
          <w:tcPr>
            <w:tcW w:w="4967" w:type="dxa"/>
            <w:vMerge w:val="restart"/>
            <w:tcBorders>
              <w:top w:val="nil"/>
              <w:left w:val="nil"/>
              <w:bottom w:val="single" w:sz="4" w:space="0" w:color="BDD6EE" w:themeColor="accent1" w:themeTint="66"/>
              <w:right w:val="nil"/>
            </w:tcBorders>
            <w:shd w:val="clear" w:color="auto" w:fill="auto"/>
            <w:vAlign w:val="center"/>
            <w:hideMark/>
          </w:tcPr>
          <w:p w14:paraId="4CE14673" w14:textId="343A4743" w:rsidR="000D3F32" w:rsidRPr="00237760" w:rsidRDefault="000D3F32" w:rsidP="000D3F32">
            <w:pPr>
              <w:spacing w:after="0" w:line="240" w:lineRule="auto"/>
              <w:jc w:val="left"/>
              <w:rPr>
                <w:rFonts w:ascii="Arial" w:hAnsi="Arial" w:cs="Arial"/>
                <w:b/>
                <w:color w:val="auto"/>
                <w:sz w:val="24"/>
                <w:szCs w:val="24"/>
              </w:rPr>
            </w:pPr>
            <w:r w:rsidRPr="00237760">
              <w:rPr>
                <w:rFonts w:ascii="Arial" w:eastAsia="MS Gothic" w:hAnsi="Arial" w:cs="Arial"/>
                <w:b/>
                <w:color w:val="auto"/>
                <w:sz w:val="24"/>
                <w:szCs w:val="24"/>
              </w:rPr>
              <w:t>Cele kontraktu</w:t>
            </w:r>
          </w:p>
        </w:tc>
        <w:tc>
          <w:tcPr>
            <w:tcW w:w="1843" w:type="dxa"/>
            <w:gridSpan w:val="3"/>
            <w:tcBorders>
              <w:top w:val="nil"/>
              <w:left w:val="nil"/>
              <w:bottom w:val="single" w:sz="4" w:space="0" w:color="BDD6EE" w:themeColor="accent1" w:themeTint="66"/>
            </w:tcBorders>
            <w:shd w:val="clear" w:color="auto" w:fill="auto"/>
          </w:tcPr>
          <w:p w14:paraId="79587F0B" w14:textId="5A436394" w:rsidR="000D3F32" w:rsidRPr="00237760" w:rsidRDefault="000D3F32" w:rsidP="000D3F32">
            <w:pPr>
              <w:spacing w:after="0" w:line="240" w:lineRule="auto"/>
              <w:jc w:val="left"/>
              <w:rPr>
                <w:rFonts w:ascii="Arial" w:hAnsi="Arial" w:cs="Arial"/>
                <w:b/>
                <w:color w:val="auto"/>
                <w:sz w:val="24"/>
                <w:szCs w:val="24"/>
              </w:rPr>
            </w:pPr>
            <w:r w:rsidRPr="00237760">
              <w:rPr>
                <w:rFonts w:ascii="Arial" w:hAnsi="Arial" w:cs="Arial"/>
                <w:b/>
                <w:color w:val="auto"/>
                <w:sz w:val="24"/>
                <w:szCs w:val="24"/>
              </w:rPr>
              <w:t>Cele podstawowe PSRT WP</w:t>
            </w:r>
          </w:p>
        </w:tc>
        <w:tc>
          <w:tcPr>
            <w:tcW w:w="2268" w:type="dxa"/>
            <w:gridSpan w:val="4"/>
            <w:tcBorders>
              <w:top w:val="nil"/>
              <w:left w:val="nil"/>
              <w:bottom w:val="single" w:sz="4" w:space="0" w:color="BDD6EE" w:themeColor="accent1" w:themeTint="66"/>
            </w:tcBorders>
            <w:shd w:val="clear" w:color="auto" w:fill="auto"/>
            <w:vAlign w:val="center"/>
          </w:tcPr>
          <w:p w14:paraId="530EBDF5" w14:textId="27FB1A0F" w:rsidR="000D3F32" w:rsidRPr="00237760" w:rsidRDefault="000D3F32" w:rsidP="000D3F32">
            <w:pPr>
              <w:spacing w:after="0" w:line="240" w:lineRule="auto"/>
              <w:jc w:val="left"/>
              <w:rPr>
                <w:rFonts w:ascii="Arial" w:hAnsi="Arial" w:cs="Arial"/>
                <w:b/>
                <w:color w:val="auto"/>
                <w:sz w:val="24"/>
                <w:szCs w:val="24"/>
              </w:rPr>
            </w:pPr>
            <w:r w:rsidRPr="00237760">
              <w:rPr>
                <w:rFonts w:ascii="Arial" w:hAnsi="Arial" w:cs="Arial"/>
                <w:b/>
                <w:color w:val="auto"/>
                <w:sz w:val="24"/>
                <w:szCs w:val="24"/>
              </w:rPr>
              <w:t>Cele horyzontalne PSRT WP</w:t>
            </w:r>
          </w:p>
        </w:tc>
      </w:tr>
      <w:tr w:rsidR="00237760" w:rsidRPr="00237760" w14:paraId="0C1E06AC" w14:textId="77777777" w:rsidTr="000D3F32">
        <w:trPr>
          <w:gridAfter w:val="1"/>
          <w:wAfter w:w="6" w:type="dxa"/>
          <w:trHeight w:val="50"/>
          <w:tblHeader/>
        </w:trPr>
        <w:tc>
          <w:tcPr>
            <w:tcW w:w="4967" w:type="dxa"/>
            <w:vMerge/>
            <w:tcBorders>
              <w:top w:val="nil"/>
              <w:left w:val="nil"/>
              <w:bottom w:val="single" w:sz="4" w:space="0" w:color="BDD6EE" w:themeColor="accent1" w:themeTint="66"/>
              <w:right w:val="nil"/>
            </w:tcBorders>
            <w:shd w:val="clear" w:color="auto" w:fill="auto"/>
            <w:vAlign w:val="center"/>
            <w:hideMark/>
          </w:tcPr>
          <w:p w14:paraId="75C9012F" w14:textId="77777777" w:rsidR="006C1479" w:rsidRPr="00237760" w:rsidRDefault="006C1479" w:rsidP="009367B4">
            <w:pPr>
              <w:spacing w:after="0" w:line="240" w:lineRule="auto"/>
              <w:jc w:val="left"/>
              <w:rPr>
                <w:rFonts w:ascii="Arial" w:hAnsi="Arial" w:cs="Arial"/>
                <w:b/>
                <w:color w:val="auto"/>
                <w:sz w:val="24"/>
                <w:szCs w:val="24"/>
              </w:rPr>
            </w:pP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3B3F6D13" w14:textId="77777777" w:rsidR="006C1479" w:rsidRPr="00237760" w:rsidRDefault="006C1479"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0B483544" w14:textId="77777777" w:rsidR="006C1479" w:rsidRPr="00237760" w:rsidRDefault="006C1479"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6C30307E" w14:textId="77777777" w:rsidR="006C1479" w:rsidRPr="00237760" w:rsidRDefault="006C1479"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0FC133DC" w14:textId="77777777" w:rsidR="006C1479" w:rsidRPr="00237760" w:rsidRDefault="006C1479"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01EF298F" w14:textId="77777777" w:rsidR="006C1479" w:rsidRPr="00237760" w:rsidRDefault="006C1479"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nil"/>
            </w:tcBorders>
            <w:shd w:val="clear" w:color="auto" w:fill="auto"/>
          </w:tcPr>
          <w:p w14:paraId="4F1A13FD" w14:textId="77777777" w:rsidR="006C1479" w:rsidRPr="00237760" w:rsidRDefault="006C1479"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nil"/>
            </w:tcBorders>
            <w:shd w:val="clear" w:color="auto" w:fill="auto"/>
          </w:tcPr>
          <w:p w14:paraId="367D9DDD" w14:textId="77777777" w:rsidR="006C1479" w:rsidRPr="00237760" w:rsidRDefault="006C1479"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4.</w:t>
            </w:r>
          </w:p>
        </w:tc>
      </w:tr>
      <w:tr w:rsidR="00237760" w:rsidRPr="00237760" w14:paraId="466DBCA3" w14:textId="77777777" w:rsidTr="000D3F32">
        <w:trPr>
          <w:gridAfter w:val="1"/>
          <w:wAfter w:w="6" w:type="dxa"/>
          <w:trHeight w:val="385"/>
        </w:trPr>
        <w:tc>
          <w:tcPr>
            <w:tcW w:w="4967"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76F2B0B9" w14:textId="77777777" w:rsidR="006C1479" w:rsidRPr="00237760" w:rsidRDefault="006C1479"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1. Poprawa jakości badań oraz wzmocnienie współpracy sektora nauki i gospodarki</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5772AAE8"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6513704E"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35C83B00"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5D8C4098"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68970000"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03E7F8B7"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753D297E" w14:textId="77777777" w:rsidR="006C1479" w:rsidRPr="00237760" w:rsidRDefault="006C1479" w:rsidP="009367B4">
            <w:pPr>
              <w:spacing w:after="0" w:line="240" w:lineRule="auto"/>
              <w:jc w:val="left"/>
              <w:rPr>
                <w:rFonts w:ascii="Arial" w:hAnsi="Arial" w:cs="Arial"/>
                <w:color w:val="auto"/>
                <w:sz w:val="24"/>
                <w:szCs w:val="24"/>
              </w:rPr>
            </w:pPr>
          </w:p>
        </w:tc>
      </w:tr>
      <w:tr w:rsidR="00237760" w:rsidRPr="00237760" w14:paraId="75FB98EF" w14:textId="77777777" w:rsidTr="000D3F32">
        <w:trPr>
          <w:gridAfter w:val="1"/>
          <w:wAfter w:w="6" w:type="dxa"/>
          <w:trHeight w:val="14"/>
        </w:trPr>
        <w:tc>
          <w:tcPr>
            <w:tcW w:w="4967"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7AEA8869" w14:textId="77777777" w:rsidR="006C1479" w:rsidRPr="00237760" w:rsidRDefault="006C1479"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2. Poprawa zewnętrznej i wewnętrznej dostępności przestrzennej Województwa ze szczególnym uwzględnieniem Rzeszowa jako ponadregionalnego ośrodka wzrostu</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12802420"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58F69C64"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07DA8E16"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668988BA"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454F4440"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0CFA2EAF"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74DDA478" w14:textId="77777777" w:rsidR="006C1479" w:rsidRPr="00237760" w:rsidRDefault="006C1479" w:rsidP="009367B4">
            <w:pPr>
              <w:spacing w:after="0" w:line="240" w:lineRule="auto"/>
              <w:jc w:val="left"/>
              <w:rPr>
                <w:rFonts w:ascii="Arial" w:hAnsi="Arial" w:cs="Arial"/>
                <w:color w:val="auto"/>
                <w:sz w:val="24"/>
                <w:szCs w:val="24"/>
              </w:rPr>
            </w:pPr>
          </w:p>
        </w:tc>
      </w:tr>
      <w:tr w:rsidR="00237760" w:rsidRPr="00237760" w14:paraId="1444B002" w14:textId="77777777" w:rsidTr="000D3F32">
        <w:trPr>
          <w:gridAfter w:val="1"/>
          <w:wAfter w:w="6" w:type="dxa"/>
          <w:trHeight w:val="14"/>
        </w:trPr>
        <w:tc>
          <w:tcPr>
            <w:tcW w:w="4967"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50270714" w14:textId="77777777" w:rsidR="006C1479" w:rsidRPr="00237760" w:rsidRDefault="006C1479"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3. Zwiększenie bezpieczeństwa i efektywności energetycznej Województwa</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044766A8"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4239ED15"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4349255B"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682AEF05"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52208049"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43E658D2"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76EA4421" w14:textId="77777777" w:rsidR="006C1479" w:rsidRPr="00237760" w:rsidRDefault="006C1479" w:rsidP="009367B4">
            <w:pPr>
              <w:spacing w:after="0" w:line="240" w:lineRule="auto"/>
              <w:jc w:val="left"/>
              <w:rPr>
                <w:rFonts w:ascii="Arial" w:hAnsi="Arial" w:cs="Arial"/>
                <w:color w:val="auto"/>
                <w:sz w:val="24"/>
                <w:szCs w:val="24"/>
              </w:rPr>
            </w:pPr>
          </w:p>
        </w:tc>
      </w:tr>
      <w:tr w:rsidR="00237760" w:rsidRPr="00237760" w14:paraId="125F007B" w14:textId="77777777" w:rsidTr="000D3F32">
        <w:trPr>
          <w:gridAfter w:val="1"/>
          <w:wAfter w:w="6" w:type="dxa"/>
          <w:trHeight w:val="14"/>
        </w:trPr>
        <w:tc>
          <w:tcPr>
            <w:tcW w:w="4967"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2A2106AF" w14:textId="77777777" w:rsidR="006C1479" w:rsidRPr="00237760" w:rsidRDefault="006C1479"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4. Lepsze gospodarowanie wodami</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500A25C4"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3057A0E7"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2CC48972"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0AD9B7DA"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5D6EED13"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0389EBAA"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5D22929A" w14:textId="77777777" w:rsidR="006C1479" w:rsidRPr="00237760" w:rsidRDefault="006C1479" w:rsidP="009367B4">
            <w:pPr>
              <w:spacing w:after="0" w:line="240" w:lineRule="auto"/>
              <w:jc w:val="left"/>
              <w:rPr>
                <w:rFonts w:ascii="Arial" w:hAnsi="Arial" w:cs="Arial"/>
                <w:color w:val="auto"/>
                <w:sz w:val="24"/>
                <w:szCs w:val="24"/>
              </w:rPr>
            </w:pPr>
          </w:p>
        </w:tc>
      </w:tr>
      <w:tr w:rsidR="00237760" w:rsidRPr="00237760" w14:paraId="069850F9" w14:textId="77777777" w:rsidTr="000D3F32">
        <w:trPr>
          <w:gridAfter w:val="1"/>
          <w:wAfter w:w="6" w:type="dxa"/>
          <w:trHeight w:val="14"/>
        </w:trPr>
        <w:tc>
          <w:tcPr>
            <w:tcW w:w="4967"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61A21CB0" w14:textId="77777777" w:rsidR="006C1479" w:rsidRPr="00237760" w:rsidRDefault="006C1479"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5. Lepsze wykorzystanie istniejącego potencjału przyrodniczego i kulturowego Województwa poprzez działania w obszarze dziedzictwa przyrodniczego i kulturowego oraz turystyki i sportu</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23337A02"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08DC720D"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0C100F9A"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5F33473B"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4D409CCA"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42CBE2F9"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22CF5262" w14:textId="77777777" w:rsidR="006C1479" w:rsidRPr="00237760" w:rsidRDefault="006C1479" w:rsidP="009367B4">
            <w:pPr>
              <w:spacing w:after="0" w:line="240" w:lineRule="auto"/>
              <w:jc w:val="left"/>
              <w:rPr>
                <w:rFonts w:ascii="Arial" w:hAnsi="Arial" w:cs="Arial"/>
                <w:color w:val="auto"/>
                <w:sz w:val="24"/>
                <w:szCs w:val="24"/>
              </w:rPr>
            </w:pPr>
          </w:p>
        </w:tc>
      </w:tr>
      <w:tr w:rsidR="00237760" w:rsidRPr="00237760" w14:paraId="0C4FCF2B" w14:textId="77777777" w:rsidTr="000D3F32">
        <w:trPr>
          <w:gridAfter w:val="1"/>
          <w:wAfter w:w="6" w:type="dxa"/>
          <w:trHeight w:val="14"/>
        </w:trPr>
        <w:tc>
          <w:tcPr>
            <w:tcW w:w="4967"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1C670BFE" w14:textId="77777777" w:rsidR="006C1479" w:rsidRPr="00237760" w:rsidRDefault="006C1479"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6. Zwiększenie poziomu zatrudnienia w Województwie</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3843D735"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1DA3CE1E"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302721C7"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684790B4"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1C873930"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0AA99A37"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278DF72A" w14:textId="77777777" w:rsidR="006C1479" w:rsidRPr="00237760" w:rsidRDefault="006C1479" w:rsidP="009367B4">
            <w:pPr>
              <w:spacing w:after="0" w:line="240" w:lineRule="auto"/>
              <w:jc w:val="left"/>
              <w:rPr>
                <w:rFonts w:ascii="Arial" w:hAnsi="Arial" w:cs="Arial"/>
                <w:color w:val="auto"/>
                <w:sz w:val="24"/>
                <w:szCs w:val="24"/>
              </w:rPr>
            </w:pPr>
          </w:p>
        </w:tc>
      </w:tr>
      <w:tr w:rsidR="00237760" w:rsidRPr="00237760" w14:paraId="434F6434" w14:textId="77777777" w:rsidTr="000D3F32">
        <w:trPr>
          <w:gridAfter w:val="1"/>
          <w:wAfter w:w="6" w:type="dxa"/>
          <w:trHeight w:val="14"/>
        </w:trPr>
        <w:tc>
          <w:tcPr>
            <w:tcW w:w="4967"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6CCB4DFB" w14:textId="77777777" w:rsidR="006C1479" w:rsidRPr="00237760" w:rsidRDefault="006C1479"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7. Redukcja poziomu wykluczenia społecznego</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4E7B7A36"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720C5656"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5E591096"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19DE2156"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79B1A7B8"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2F7C48FD"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4E08D139" w14:textId="77777777" w:rsidR="006C1479" w:rsidRPr="00237760" w:rsidRDefault="006C1479" w:rsidP="009367B4">
            <w:pPr>
              <w:spacing w:after="0" w:line="240" w:lineRule="auto"/>
              <w:jc w:val="left"/>
              <w:rPr>
                <w:rFonts w:ascii="Arial" w:hAnsi="Arial" w:cs="Arial"/>
                <w:color w:val="auto"/>
                <w:sz w:val="24"/>
                <w:szCs w:val="24"/>
              </w:rPr>
            </w:pPr>
          </w:p>
        </w:tc>
      </w:tr>
      <w:tr w:rsidR="00237760" w:rsidRPr="00237760" w14:paraId="5B122869" w14:textId="77777777" w:rsidTr="000D3F32">
        <w:trPr>
          <w:gridAfter w:val="1"/>
          <w:wAfter w:w="6" w:type="dxa"/>
          <w:trHeight w:val="14"/>
        </w:trPr>
        <w:tc>
          <w:tcPr>
            <w:tcW w:w="4967"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57C3F954" w14:textId="77777777" w:rsidR="006C1479" w:rsidRPr="00237760" w:rsidRDefault="006C1479"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8. Podniesienie poziomu wykształcenia i kompetencji w regionie</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1440EE93"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1A0D35D3"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07D6B0E1"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524C5751"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55BEA560"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0DDB43BF"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2FC2B122" w14:textId="77777777" w:rsidR="006C1479" w:rsidRPr="00237760" w:rsidRDefault="006C1479" w:rsidP="009367B4">
            <w:pPr>
              <w:spacing w:after="0" w:line="240" w:lineRule="auto"/>
              <w:jc w:val="left"/>
              <w:rPr>
                <w:rFonts w:ascii="Arial" w:hAnsi="Arial" w:cs="Arial"/>
                <w:color w:val="auto"/>
                <w:sz w:val="24"/>
                <w:szCs w:val="24"/>
              </w:rPr>
            </w:pPr>
          </w:p>
        </w:tc>
      </w:tr>
      <w:tr w:rsidR="00237760" w:rsidRPr="00237760" w14:paraId="59AAE0F7" w14:textId="77777777" w:rsidTr="000D3F32">
        <w:trPr>
          <w:gridAfter w:val="1"/>
          <w:wAfter w:w="6" w:type="dxa"/>
          <w:trHeight w:val="14"/>
        </w:trPr>
        <w:tc>
          <w:tcPr>
            <w:tcW w:w="4967"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62A533C9" w14:textId="77777777" w:rsidR="006C1479" w:rsidRPr="00237760" w:rsidRDefault="006C1479"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9. Poprawa dostępności i jakości funkcjonowania systemu ochrony zdrowia</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76C09895"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55AA81EA"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0946DC88"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7E86FDCE"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1BC3D514"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42D222E1"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1290D793" w14:textId="77777777" w:rsidR="006C1479" w:rsidRPr="00237760" w:rsidRDefault="006C1479" w:rsidP="009367B4">
            <w:pPr>
              <w:spacing w:after="0" w:line="240" w:lineRule="auto"/>
              <w:jc w:val="left"/>
              <w:rPr>
                <w:rFonts w:ascii="Arial" w:hAnsi="Arial" w:cs="Arial"/>
                <w:color w:val="auto"/>
                <w:sz w:val="24"/>
                <w:szCs w:val="24"/>
              </w:rPr>
            </w:pPr>
          </w:p>
        </w:tc>
      </w:tr>
      <w:tr w:rsidR="00237760" w:rsidRPr="00237760" w14:paraId="530391E6" w14:textId="77777777" w:rsidTr="000D3F32">
        <w:trPr>
          <w:gridAfter w:val="1"/>
          <w:wAfter w:w="6" w:type="dxa"/>
          <w:trHeight w:val="14"/>
        </w:trPr>
        <w:tc>
          <w:tcPr>
            <w:tcW w:w="4967"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0B855746" w14:textId="77777777" w:rsidR="006C1479" w:rsidRPr="00237760" w:rsidRDefault="006C1479"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10. Rozwój miasta wojewódzkiego i obszarów powiązanych z nim funkcjonalnie oraz miast regionalnych i subregionalnych będących regionalnymi biegunami wzrostu</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1571CF5B"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4A2C8F01"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vAlign w:val="center"/>
          </w:tcPr>
          <w:p w14:paraId="2A76F501"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30A1E076"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4D2CD214"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4B84207B"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26DEF902" w14:textId="77777777" w:rsidR="006C1479" w:rsidRPr="00237760" w:rsidRDefault="006C1479" w:rsidP="009367B4">
            <w:pPr>
              <w:spacing w:after="0" w:line="240" w:lineRule="auto"/>
              <w:jc w:val="left"/>
              <w:rPr>
                <w:rFonts w:ascii="Arial" w:hAnsi="Arial" w:cs="Arial"/>
                <w:color w:val="auto"/>
                <w:sz w:val="24"/>
                <w:szCs w:val="24"/>
              </w:rPr>
            </w:pPr>
          </w:p>
        </w:tc>
      </w:tr>
      <w:tr w:rsidR="00237760" w:rsidRPr="00237760" w14:paraId="4FA10952" w14:textId="77777777" w:rsidTr="000D3F32">
        <w:trPr>
          <w:gridAfter w:val="1"/>
          <w:wAfter w:w="6" w:type="dxa"/>
          <w:trHeight w:val="14"/>
        </w:trPr>
        <w:tc>
          <w:tcPr>
            <w:tcW w:w="4967"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4B010C08" w14:textId="77777777" w:rsidR="006C1479" w:rsidRPr="00237760" w:rsidRDefault="006C1479"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11. Kompleksowa rewitalizacja i rekultywacja obszarów o wysokim nasileniu niekorzystnych zjawisk społecznych i gospodarczych oraz terenów zdegradowanych (poprzemysłowych, powojskowych, pokolejowych).</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023762D4"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21D72347"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5571207A"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6FF7D650"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11E5ADC8"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334888BB"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00B234D2" w14:textId="77777777" w:rsidR="006C1479" w:rsidRPr="00237760" w:rsidRDefault="006C1479" w:rsidP="009367B4">
            <w:pPr>
              <w:spacing w:after="0" w:line="240" w:lineRule="auto"/>
              <w:jc w:val="left"/>
              <w:rPr>
                <w:rFonts w:ascii="Arial" w:hAnsi="Arial" w:cs="Arial"/>
                <w:color w:val="auto"/>
                <w:sz w:val="24"/>
                <w:szCs w:val="24"/>
              </w:rPr>
            </w:pPr>
          </w:p>
        </w:tc>
      </w:tr>
    </w:tbl>
    <w:p w14:paraId="6FEF6EFF" w14:textId="58CE1243" w:rsidR="006C1479" w:rsidRPr="00237760" w:rsidRDefault="006C1479" w:rsidP="009367B4">
      <w:pPr>
        <w:jc w:val="left"/>
        <w:rPr>
          <w:rFonts w:ascii="Arial" w:hAnsi="Arial" w:cs="Arial"/>
          <w:color w:val="auto"/>
          <w:sz w:val="24"/>
          <w:szCs w:val="24"/>
        </w:rPr>
      </w:pPr>
      <w:r w:rsidRPr="00237760">
        <w:rPr>
          <w:rFonts w:ascii="Arial" w:hAnsi="Arial" w:cs="Arial"/>
          <w:color w:val="auto"/>
          <w:sz w:val="24"/>
          <w:szCs w:val="24"/>
        </w:rPr>
        <w:lastRenderedPageBreak/>
        <w:t>Źródło: opracowanie własne</w:t>
      </w:r>
      <w:r w:rsidR="00F360B5" w:rsidRPr="00237760">
        <w:rPr>
          <w:rFonts w:ascii="Arial" w:hAnsi="Arial" w:cs="Arial"/>
          <w:color w:val="auto"/>
          <w:sz w:val="24"/>
          <w:szCs w:val="24"/>
        </w:rPr>
        <w:t xml:space="preserve"> na podstawie </w:t>
      </w:r>
      <w:r w:rsidR="00F311FF" w:rsidRPr="00237760">
        <w:rPr>
          <w:rFonts w:ascii="Arial" w:hAnsi="Arial" w:cs="Arial"/>
          <w:color w:val="auto"/>
          <w:sz w:val="24"/>
          <w:szCs w:val="24"/>
        </w:rPr>
        <w:t>PSRT WP</w:t>
      </w:r>
      <w:r w:rsidR="00F360B5" w:rsidRPr="00237760">
        <w:rPr>
          <w:rFonts w:ascii="Arial" w:hAnsi="Arial" w:cs="Arial"/>
          <w:color w:val="auto"/>
          <w:sz w:val="24"/>
          <w:szCs w:val="24"/>
        </w:rPr>
        <w:t xml:space="preserve"> oraz Kontraktu Terytorialnego dla Województwa Podkarpackiego.</w:t>
      </w:r>
    </w:p>
    <w:p w14:paraId="7932D001" w14:textId="2B960900" w:rsidR="00FD1748" w:rsidRPr="00237760" w:rsidRDefault="00FD1748" w:rsidP="009367B4">
      <w:pPr>
        <w:pStyle w:val="Nagwek3"/>
        <w:rPr>
          <w:rFonts w:ascii="Arial" w:hAnsi="Arial" w:cs="Arial"/>
          <w:color w:val="auto"/>
          <w:sz w:val="24"/>
          <w:szCs w:val="24"/>
        </w:rPr>
      </w:pPr>
      <w:bookmarkStart w:id="231" w:name="_Toc101904157"/>
      <w:r w:rsidRPr="00237760">
        <w:rPr>
          <w:rFonts w:ascii="Arial" w:hAnsi="Arial" w:cs="Arial"/>
          <w:color w:val="auto"/>
          <w:sz w:val="24"/>
          <w:szCs w:val="24"/>
        </w:rPr>
        <w:t>Kontrakt Programowy dla Województwa Podkarpackiego</w:t>
      </w:r>
      <w:bookmarkEnd w:id="231"/>
    </w:p>
    <w:p w14:paraId="4EADA1AC" w14:textId="5C0D4440" w:rsidR="00CA144E" w:rsidRPr="00237760" w:rsidRDefault="00CA144E"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Zgodnie z zapisami dokumentu</w:t>
      </w:r>
      <w:r w:rsidR="00EB7A85" w:rsidRPr="00237760">
        <w:rPr>
          <w:rFonts w:ascii="Arial" w:hAnsi="Arial" w:cs="Arial"/>
          <w:color w:val="auto"/>
          <w:sz w:val="24"/>
          <w:szCs w:val="24"/>
          <w:lang w:eastAsia="pl-PL"/>
        </w:rPr>
        <w:t xml:space="preserve">, </w:t>
      </w:r>
      <w:r w:rsidR="00EB7A85" w:rsidRPr="00237760">
        <w:rPr>
          <w:rFonts w:ascii="Arial" w:hAnsi="Arial" w:cs="Arial"/>
          <w:i/>
          <w:color w:val="auto"/>
          <w:sz w:val="24"/>
          <w:szCs w:val="24"/>
          <w:lang w:eastAsia="pl-PL"/>
        </w:rPr>
        <w:t>Kontrakt Programowy dla Województwa Podkarpackiego</w:t>
      </w:r>
      <w:r w:rsidR="00EB7A85" w:rsidRPr="00237760">
        <w:rPr>
          <w:rStyle w:val="Odwoanieprzypisudolnego"/>
          <w:rFonts w:ascii="Arial" w:hAnsi="Arial" w:cs="Arial"/>
          <w:i/>
          <w:color w:val="auto"/>
          <w:sz w:val="24"/>
          <w:szCs w:val="24"/>
          <w:lang w:eastAsia="pl-PL"/>
        </w:rPr>
        <w:footnoteReference w:id="50"/>
      </w:r>
      <w:r w:rsidR="00EB7A85" w:rsidRPr="00237760">
        <w:rPr>
          <w:rFonts w:ascii="Arial" w:hAnsi="Arial" w:cs="Arial"/>
          <w:color w:val="auto"/>
          <w:sz w:val="24"/>
          <w:szCs w:val="24"/>
          <w:lang w:eastAsia="pl-PL"/>
        </w:rPr>
        <w:t xml:space="preserve"> będzie realizował cele polityki spójności wskazane w Rozporządzeniu 2021/1060</w:t>
      </w:r>
      <w:r w:rsidR="00EB7A85" w:rsidRPr="00237760">
        <w:rPr>
          <w:rStyle w:val="Odwoanieprzypisudolnego"/>
          <w:rFonts w:ascii="Arial" w:hAnsi="Arial" w:cs="Arial"/>
          <w:color w:val="auto"/>
          <w:sz w:val="24"/>
          <w:szCs w:val="24"/>
          <w:lang w:eastAsia="pl-PL"/>
        </w:rPr>
        <w:footnoteReference w:id="51"/>
      </w:r>
      <w:r w:rsidR="00EB7A85" w:rsidRPr="00237760">
        <w:rPr>
          <w:rFonts w:ascii="Arial" w:hAnsi="Arial" w:cs="Arial"/>
          <w:color w:val="auto"/>
          <w:sz w:val="24"/>
          <w:szCs w:val="24"/>
          <w:lang w:eastAsia="pl-PL"/>
        </w:rPr>
        <w:t xml:space="preserve">. W ramach Kontraktu realizowane będą przedsięwzięcia priorytetowe, z których jedno </w:t>
      </w:r>
      <w:r w:rsidR="00762B20" w:rsidRPr="00237760">
        <w:rPr>
          <w:rFonts w:ascii="Arial" w:hAnsi="Arial" w:cs="Arial"/>
          <w:color w:val="auto"/>
          <w:sz w:val="24"/>
          <w:szCs w:val="24"/>
          <w:lang w:eastAsia="pl-PL"/>
        </w:rPr>
        <w:t>dotyczy zagadnień poruszanych w PSRT WP w ramach rozwoju sieci drogowej województwa (</w:t>
      </w:r>
      <w:r w:rsidR="00762B20" w:rsidRPr="00237760">
        <w:rPr>
          <w:rFonts w:ascii="Arial" w:hAnsi="Arial" w:cs="Arial"/>
          <w:color w:val="auto"/>
          <w:sz w:val="24"/>
          <w:szCs w:val="24"/>
          <w:lang w:eastAsia="pl-PL"/>
        </w:rPr>
        <w:fldChar w:fldCharType="begin"/>
      </w:r>
      <w:r w:rsidR="00762B20" w:rsidRPr="00237760">
        <w:rPr>
          <w:rFonts w:ascii="Arial" w:hAnsi="Arial" w:cs="Arial"/>
          <w:color w:val="auto"/>
          <w:sz w:val="24"/>
          <w:szCs w:val="24"/>
          <w:lang w:eastAsia="pl-PL"/>
        </w:rPr>
        <w:instrText xml:space="preserve"> REF _Ref101864146 \h </w:instrText>
      </w:r>
      <w:r w:rsidR="00237760" w:rsidRPr="00237760">
        <w:rPr>
          <w:rFonts w:ascii="Arial" w:hAnsi="Arial" w:cs="Arial"/>
          <w:color w:val="auto"/>
          <w:sz w:val="24"/>
          <w:szCs w:val="24"/>
          <w:lang w:eastAsia="pl-PL"/>
        </w:rPr>
        <w:instrText xml:space="preserve"> \* MERGEFORMAT </w:instrText>
      </w:r>
      <w:r w:rsidR="00762B20" w:rsidRPr="00237760">
        <w:rPr>
          <w:rFonts w:ascii="Arial" w:hAnsi="Arial" w:cs="Arial"/>
          <w:color w:val="auto"/>
          <w:sz w:val="24"/>
          <w:szCs w:val="24"/>
          <w:lang w:eastAsia="pl-PL"/>
        </w:rPr>
      </w:r>
      <w:r w:rsidR="00762B20" w:rsidRPr="00237760">
        <w:rPr>
          <w:rFonts w:ascii="Arial" w:hAnsi="Arial" w:cs="Arial"/>
          <w:color w:val="auto"/>
          <w:sz w:val="24"/>
          <w:szCs w:val="24"/>
          <w:lang w:eastAsia="pl-PL"/>
        </w:rPr>
        <w:fldChar w:fldCharType="separate"/>
      </w:r>
      <w:r w:rsidR="00762B20" w:rsidRPr="00237760">
        <w:rPr>
          <w:rFonts w:ascii="Arial" w:hAnsi="Arial" w:cs="Arial"/>
          <w:color w:val="auto"/>
          <w:sz w:val="24"/>
          <w:szCs w:val="24"/>
        </w:rPr>
        <w:t xml:space="preserve">Tabela </w:t>
      </w:r>
      <w:r w:rsidR="00762B20" w:rsidRPr="00237760">
        <w:rPr>
          <w:rFonts w:ascii="Arial" w:hAnsi="Arial" w:cs="Arial"/>
          <w:noProof/>
          <w:color w:val="auto"/>
          <w:sz w:val="24"/>
          <w:szCs w:val="24"/>
        </w:rPr>
        <w:t>36</w:t>
      </w:r>
      <w:r w:rsidR="00762B20" w:rsidRPr="00237760">
        <w:rPr>
          <w:rFonts w:ascii="Arial" w:hAnsi="Arial" w:cs="Arial"/>
          <w:color w:val="auto"/>
          <w:sz w:val="24"/>
          <w:szCs w:val="24"/>
          <w:lang w:eastAsia="pl-PL"/>
        </w:rPr>
        <w:fldChar w:fldCharType="end"/>
      </w:r>
      <w:r w:rsidR="00762B20" w:rsidRPr="00237760">
        <w:rPr>
          <w:rFonts w:ascii="Arial" w:hAnsi="Arial" w:cs="Arial"/>
          <w:color w:val="auto"/>
          <w:sz w:val="24"/>
          <w:szCs w:val="24"/>
          <w:lang w:eastAsia="pl-PL"/>
        </w:rPr>
        <w:t>).</w:t>
      </w:r>
      <w:r w:rsidR="003E46AA" w:rsidRPr="00237760">
        <w:rPr>
          <w:rFonts w:ascii="Arial" w:hAnsi="Arial" w:cs="Arial"/>
          <w:color w:val="auto"/>
          <w:sz w:val="24"/>
          <w:szCs w:val="24"/>
          <w:lang w:eastAsia="pl-PL"/>
        </w:rPr>
        <w:t xml:space="preserve"> Poza celami PSRT WP bezpośrednio dotyczącymi przedsięwzięć</w:t>
      </w:r>
      <w:r w:rsidR="00E4342C" w:rsidRPr="00237760">
        <w:rPr>
          <w:rFonts w:ascii="Arial" w:hAnsi="Arial" w:cs="Arial"/>
          <w:color w:val="auto"/>
          <w:sz w:val="24"/>
          <w:szCs w:val="24"/>
          <w:lang w:eastAsia="pl-PL"/>
        </w:rPr>
        <w:t xml:space="preserve"> drogowych, Kontrakt </w:t>
      </w:r>
      <w:r w:rsidR="000371BA" w:rsidRPr="00237760">
        <w:rPr>
          <w:rFonts w:ascii="Arial" w:hAnsi="Arial" w:cs="Arial"/>
          <w:color w:val="auto"/>
          <w:sz w:val="24"/>
          <w:szCs w:val="24"/>
          <w:lang w:eastAsia="pl-PL"/>
        </w:rPr>
        <w:t>pośrednio</w:t>
      </w:r>
      <w:r w:rsidR="00E4342C" w:rsidRPr="00237760">
        <w:rPr>
          <w:rFonts w:ascii="Arial" w:hAnsi="Arial" w:cs="Arial"/>
          <w:color w:val="auto"/>
          <w:sz w:val="24"/>
          <w:szCs w:val="24"/>
          <w:lang w:eastAsia="pl-PL"/>
        </w:rPr>
        <w:t xml:space="preserve"> wpisuje się także w cele horyzontalne Programu</w:t>
      </w:r>
      <w:r w:rsidR="00064A72" w:rsidRPr="00237760">
        <w:rPr>
          <w:rStyle w:val="Odwoanieprzypisudolnego"/>
          <w:rFonts w:ascii="Arial" w:hAnsi="Arial" w:cs="Arial"/>
          <w:color w:val="auto"/>
          <w:sz w:val="24"/>
          <w:szCs w:val="24"/>
          <w:lang w:eastAsia="pl-PL"/>
        </w:rPr>
        <w:footnoteReference w:id="52"/>
      </w:r>
      <w:r w:rsidR="00E4342C" w:rsidRPr="00237760">
        <w:rPr>
          <w:rFonts w:ascii="Arial" w:hAnsi="Arial" w:cs="Arial"/>
          <w:color w:val="auto"/>
          <w:sz w:val="24"/>
          <w:szCs w:val="24"/>
          <w:lang w:eastAsia="pl-PL"/>
        </w:rPr>
        <w:t>.</w:t>
      </w:r>
    </w:p>
    <w:p w14:paraId="47FAD2FD" w14:textId="3ABC45EC" w:rsidR="00762B20" w:rsidRPr="00237760" w:rsidRDefault="00762B20" w:rsidP="009367B4">
      <w:pPr>
        <w:pStyle w:val="Legenda"/>
        <w:jc w:val="left"/>
        <w:rPr>
          <w:rFonts w:ascii="Arial" w:hAnsi="Arial" w:cs="Arial"/>
          <w:color w:val="auto"/>
          <w:sz w:val="24"/>
          <w:szCs w:val="24"/>
        </w:rPr>
      </w:pPr>
      <w:bookmarkStart w:id="232" w:name="_Ref101864146"/>
      <w:bookmarkStart w:id="233" w:name="_Toc101904277"/>
      <w:r w:rsidRPr="00237760">
        <w:rPr>
          <w:rFonts w:ascii="Arial" w:hAnsi="Arial" w:cs="Arial"/>
          <w:color w:val="auto"/>
          <w:sz w:val="24"/>
          <w:szCs w:val="24"/>
        </w:rPr>
        <w:t xml:space="preserve">Tabela </w:t>
      </w:r>
      <w:r w:rsidR="000C4E23" w:rsidRPr="00237760">
        <w:rPr>
          <w:rFonts w:ascii="Arial" w:hAnsi="Arial" w:cs="Arial"/>
          <w:color w:val="auto"/>
          <w:sz w:val="24"/>
          <w:szCs w:val="24"/>
        </w:rPr>
        <w:fldChar w:fldCharType="begin"/>
      </w:r>
      <w:r w:rsidR="000C4E23" w:rsidRPr="00237760">
        <w:rPr>
          <w:rFonts w:ascii="Arial" w:hAnsi="Arial" w:cs="Arial"/>
          <w:color w:val="auto"/>
          <w:sz w:val="24"/>
          <w:szCs w:val="24"/>
        </w:rPr>
        <w:instrText xml:space="preserve"> SEQ Tabela \* ARABIC </w:instrText>
      </w:r>
      <w:r w:rsidR="000C4E23" w:rsidRPr="00237760">
        <w:rPr>
          <w:rFonts w:ascii="Arial" w:hAnsi="Arial" w:cs="Arial"/>
          <w:color w:val="auto"/>
          <w:sz w:val="24"/>
          <w:szCs w:val="24"/>
        </w:rPr>
        <w:fldChar w:fldCharType="separate"/>
      </w:r>
      <w:r w:rsidRPr="00237760">
        <w:rPr>
          <w:rFonts w:ascii="Arial" w:hAnsi="Arial" w:cs="Arial"/>
          <w:noProof/>
          <w:color w:val="auto"/>
          <w:sz w:val="24"/>
          <w:szCs w:val="24"/>
        </w:rPr>
        <w:t>36</w:t>
      </w:r>
      <w:r w:rsidR="000C4E23" w:rsidRPr="00237760">
        <w:rPr>
          <w:rFonts w:ascii="Arial" w:hAnsi="Arial" w:cs="Arial"/>
          <w:noProof/>
          <w:color w:val="auto"/>
          <w:sz w:val="24"/>
          <w:szCs w:val="24"/>
        </w:rPr>
        <w:fldChar w:fldCharType="end"/>
      </w:r>
      <w:bookmarkEnd w:id="232"/>
      <w:r w:rsidRPr="00237760">
        <w:rPr>
          <w:rFonts w:ascii="Arial" w:hAnsi="Arial" w:cs="Arial"/>
          <w:color w:val="auto"/>
          <w:sz w:val="24"/>
          <w:szCs w:val="24"/>
        </w:rPr>
        <w:t>. Ocena spójności PSRT WP z Kontraktem Programowym dla Województwa Podkarpackiego</w:t>
      </w:r>
      <w:bookmarkEnd w:id="233"/>
    </w:p>
    <w:tbl>
      <w:tblPr>
        <w:tblStyle w:val="Tabela-Siatka6"/>
        <w:tblW w:w="9084" w:type="dxa"/>
        <w:tblInd w:w="-5"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57" w:type="dxa"/>
          <w:right w:w="57" w:type="dxa"/>
        </w:tblCellMar>
        <w:tblLook w:val="04A0" w:firstRow="1" w:lastRow="0" w:firstColumn="1" w:lastColumn="0" w:noHBand="0" w:noVBand="1"/>
        <w:tblCaption w:val="Tabela 36. Ocena spójności PSRT WP z Kontraktem Programowym dla Województwa Podkarpackiego"/>
        <w:tblDescription w:val="Tabela zawiera Przedsięwzięcie priorytetowe, Cele podstawowe PSRT WP, Cele horyzontalne PSRT WP"/>
      </w:tblPr>
      <w:tblGrid>
        <w:gridCol w:w="4967"/>
        <w:gridCol w:w="709"/>
        <w:gridCol w:w="567"/>
        <w:gridCol w:w="567"/>
        <w:gridCol w:w="567"/>
        <w:gridCol w:w="567"/>
        <w:gridCol w:w="567"/>
        <w:gridCol w:w="567"/>
        <w:gridCol w:w="6"/>
      </w:tblGrid>
      <w:tr w:rsidR="00237760" w:rsidRPr="00237760" w14:paraId="05285D83" w14:textId="77777777" w:rsidTr="000D3F32">
        <w:trPr>
          <w:trHeight w:val="83"/>
          <w:tblHeader/>
        </w:trPr>
        <w:tc>
          <w:tcPr>
            <w:tcW w:w="9084" w:type="dxa"/>
            <w:gridSpan w:val="9"/>
            <w:tcBorders>
              <w:top w:val="single" w:sz="12" w:space="0" w:color="002060"/>
              <w:left w:val="nil"/>
              <w:bottom w:val="single" w:sz="4" w:space="0" w:color="BDD6EE" w:themeColor="accent1" w:themeTint="66"/>
            </w:tcBorders>
            <w:shd w:val="clear" w:color="auto" w:fill="auto"/>
            <w:vAlign w:val="center"/>
          </w:tcPr>
          <w:p w14:paraId="164C38B6" w14:textId="54BEA5FB" w:rsidR="00CA144E" w:rsidRPr="00237760" w:rsidRDefault="00CA144E"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Kontrakt Programowy dla Województwa Podkarpackiego</w:t>
            </w:r>
          </w:p>
        </w:tc>
      </w:tr>
      <w:tr w:rsidR="00237760" w:rsidRPr="00237760" w14:paraId="6BF8D789" w14:textId="77777777" w:rsidTr="000D3F32">
        <w:trPr>
          <w:gridAfter w:val="1"/>
          <w:wAfter w:w="6" w:type="dxa"/>
          <w:trHeight w:val="70"/>
          <w:tblHeader/>
        </w:trPr>
        <w:tc>
          <w:tcPr>
            <w:tcW w:w="4967" w:type="dxa"/>
            <w:vMerge w:val="restart"/>
            <w:tcBorders>
              <w:top w:val="nil"/>
              <w:left w:val="nil"/>
              <w:bottom w:val="single" w:sz="4" w:space="0" w:color="BDD6EE" w:themeColor="accent1" w:themeTint="66"/>
              <w:right w:val="nil"/>
            </w:tcBorders>
            <w:shd w:val="clear" w:color="auto" w:fill="auto"/>
            <w:vAlign w:val="center"/>
            <w:hideMark/>
          </w:tcPr>
          <w:p w14:paraId="78981153" w14:textId="67CD3F1B" w:rsidR="00CA144E" w:rsidRPr="00237760" w:rsidRDefault="00CA144E" w:rsidP="009367B4">
            <w:pPr>
              <w:spacing w:after="0" w:line="240" w:lineRule="auto"/>
              <w:jc w:val="left"/>
              <w:rPr>
                <w:rFonts w:ascii="Arial" w:hAnsi="Arial" w:cs="Arial"/>
                <w:b/>
                <w:color w:val="auto"/>
                <w:sz w:val="24"/>
                <w:szCs w:val="24"/>
              </w:rPr>
            </w:pPr>
            <w:r w:rsidRPr="00237760">
              <w:rPr>
                <w:rFonts w:ascii="Arial" w:eastAsia="MS Gothic" w:hAnsi="Arial" w:cs="Arial"/>
                <w:b/>
                <w:color w:val="auto"/>
                <w:sz w:val="24"/>
                <w:szCs w:val="24"/>
              </w:rPr>
              <w:t>Przedsięwzięci</w:t>
            </w:r>
            <w:r w:rsidR="00762B20" w:rsidRPr="00237760">
              <w:rPr>
                <w:rFonts w:ascii="Arial" w:eastAsia="MS Gothic" w:hAnsi="Arial" w:cs="Arial"/>
                <w:b/>
                <w:color w:val="auto"/>
                <w:sz w:val="24"/>
                <w:szCs w:val="24"/>
              </w:rPr>
              <w:t xml:space="preserve">e </w:t>
            </w:r>
            <w:r w:rsidRPr="00237760">
              <w:rPr>
                <w:rFonts w:ascii="Arial" w:eastAsia="MS Gothic" w:hAnsi="Arial" w:cs="Arial"/>
                <w:b/>
                <w:color w:val="auto"/>
                <w:sz w:val="24"/>
                <w:szCs w:val="24"/>
              </w:rPr>
              <w:t>priorytetowe</w:t>
            </w:r>
          </w:p>
        </w:tc>
        <w:tc>
          <w:tcPr>
            <w:tcW w:w="1843" w:type="dxa"/>
            <w:gridSpan w:val="3"/>
            <w:tcBorders>
              <w:top w:val="nil"/>
              <w:left w:val="nil"/>
              <w:bottom w:val="single" w:sz="4" w:space="0" w:color="BDD6EE" w:themeColor="accent1" w:themeTint="66"/>
            </w:tcBorders>
            <w:shd w:val="clear" w:color="auto" w:fill="auto"/>
          </w:tcPr>
          <w:p w14:paraId="7CDD99D4" w14:textId="77777777" w:rsidR="00CA144E" w:rsidRPr="00237760" w:rsidRDefault="00CA144E"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podstawowe PSRT WP</w:t>
            </w:r>
          </w:p>
        </w:tc>
        <w:tc>
          <w:tcPr>
            <w:tcW w:w="2268" w:type="dxa"/>
            <w:gridSpan w:val="4"/>
            <w:tcBorders>
              <w:top w:val="nil"/>
              <w:left w:val="nil"/>
              <w:bottom w:val="single" w:sz="4" w:space="0" w:color="BDD6EE" w:themeColor="accent1" w:themeTint="66"/>
            </w:tcBorders>
            <w:shd w:val="clear" w:color="auto" w:fill="auto"/>
            <w:vAlign w:val="center"/>
          </w:tcPr>
          <w:p w14:paraId="5C6363CF" w14:textId="77777777" w:rsidR="00CA144E" w:rsidRPr="00237760" w:rsidRDefault="00CA144E"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horyzontalne PSRT WP</w:t>
            </w:r>
          </w:p>
        </w:tc>
      </w:tr>
      <w:tr w:rsidR="00237760" w:rsidRPr="00237760" w14:paraId="06DB4290" w14:textId="77777777" w:rsidTr="000D3F32">
        <w:trPr>
          <w:gridAfter w:val="1"/>
          <w:wAfter w:w="6" w:type="dxa"/>
          <w:trHeight w:val="50"/>
          <w:tblHeader/>
        </w:trPr>
        <w:tc>
          <w:tcPr>
            <w:tcW w:w="4967" w:type="dxa"/>
            <w:vMerge/>
            <w:tcBorders>
              <w:top w:val="nil"/>
              <w:left w:val="nil"/>
              <w:bottom w:val="single" w:sz="4" w:space="0" w:color="BDD6EE" w:themeColor="accent1" w:themeTint="66"/>
              <w:right w:val="nil"/>
            </w:tcBorders>
            <w:shd w:val="clear" w:color="auto" w:fill="auto"/>
            <w:vAlign w:val="center"/>
            <w:hideMark/>
          </w:tcPr>
          <w:p w14:paraId="44718CB8" w14:textId="77777777" w:rsidR="00CA144E" w:rsidRPr="00237760" w:rsidRDefault="00CA144E" w:rsidP="009367B4">
            <w:pPr>
              <w:spacing w:after="0" w:line="240" w:lineRule="auto"/>
              <w:jc w:val="left"/>
              <w:rPr>
                <w:rFonts w:ascii="Arial" w:hAnsi="Arial" w:cs="Arial"/>
                <w:b/>
                <w:color w:val="auto"/>
                <w:sz w:val="24"/>
                <w:szCs w:val="24"/>
              </w:rPr>
            </w:pP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533042B0" w14:textId="77777777" w:rsidR="00CA144E" w:rsidRPr="00237760" w:rsidRDefault="00CA144E"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7D7B3D97" w14:textId="77777777" w:rsidR="00CA144E" w:rsidRPr="00237760" w:rsidRDefault="00CA144E"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7BF6BA05" w14:textId="77777777" w:rsidR="00CA144E" w:rsidRPr="00237760" w:rsidRDefault="00CA144E"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434B4EDF" w14:textId="77777777" w:rsidR="00CA144E" w:rsidRPr="00237760" w:rsidRDefault="00CA144E"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3B1DA0FF" w14:textId="77777777" w:rsidR="00CA144E" w:rsidRPr="00237760" w:rsidRDefault="00CA144E"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nil"/>
            </w:tcBorders>
            <w:shd w:val="clear" w:color="auto" w:fill="auto"/>
          </w:tcPr>
          <w:p w14:paraId="7AB62442" w14:textId="77777777" w:rsidR="00CA144E" w:rsidRPr="00237760" w:rsidRDefault="00CA144E"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nil"/>
            </w:tcBorders>
            <w:shd w:val="clear" w:color="auto" w:fill="auto"/>
          </w:tcPr>
          <w:p w14:paraId="3899FF13" w14:textId="77777777" w:rsidR="00CA144E" w:rsidRPr="00237760" w:rsidRDefault="00CA144E"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4.</w:t>
            </w:r>
          </w:p>
        </w:tc>
      </w:tr>
      <w:tr w:rsidR="00237760" w:rsidRPr="00237760" w14:paraId="31FD88BF" w14:textId="77777777" w:rsidTr="000D3F32">
        <w:trPr>
          <w:gridAfter w:val="1"/>
          <w:wAfter w:w="6" w:type="dxa"/>
          <w:trHeight w:val="385"/>
        </w:trPr>
        <w:tc>
          <w:tcPr>
            <w:tcW w:w="4967"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1A99BFDD" w14:textId="33211462" w:rsidR="00762B20" w:rsidRPr="00237760" w:rsidRDefault="00762B20"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Przedsięwzięcia drogowe wynikające z Regionalnego Planu Transportowego tj. Programu Strategicznego Rozwoju</w:t>
            </w:r>
          </w:p>
          <w:p w14:paraId="24954CCE" w14:textId="06C9BE62" w:rsidR="00CA144E" w:rsidRPr="00237760" w:rsidRDefault="00762B20"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Transportu Województwa Podkarpackiego do roku 2030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cPr>
          <w:p w14:paraId="0EB0410C" w14:textId="77777777" w:rsidR="00CA144E" w:rsidRPr="00237760" w:rsidRDefault="00CA144E"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vAlign w:val="center"/>
          </w:tcPr>
          <w:p w14:paraId="1ABC2468" w14:textId="77777777" w:rsidR="00CA144E" w:rsidRPr="00237760" w:rsidRDefault="00CA144E"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vAlign w:val="center"/>
          </w:tcPr>
          <w:p w14:paraId="3ECD625A" w14:textId="77777777" w:rsidR="00CA144E" w:rsidRPr="00237760" w:rsidRDefault="00CA144E"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vAlign w:val="center"/>
          </w:tcPr>
          <w:p w14:paraId="6842F5DA" w14:textId="77777777" w:rsidR="00CA144E" w:rsidRPr="00237760" w:rsidRDefault="00CA144E"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vAlign w:val="center"/>
          </w:tcPr>
          <w:p w14:paraId="6BDEA042" w14:textId="77777777" w:rsidR="00CA144E" w:rsidRPr="00237760" w:rsidRDefault="00CA144E"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vAlign w:val="center"/>
          </w:tcPr>
          <w:p w14:paraId="56B6EBAD" w14:textId="77777777" w:rsidR="00CA144E" w:rsidRPr="00237760" w:rsidRDefault="00CA144E"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cPr>
          <w:p w14:paraId="427C34AC" w14:textId="77777777" w:rsidR="00CA144E" w:rsidRPr="00237760" w:rsidRDefault="00CA144E" w:rsidP="009367B4">
            <w:pPr>
              <w:spacing w:after="0" w:line="240" w:lineRule="auto"/>
              <w:jc w:val="left"/>
              <w:rPr>
                <w:rFonts w:ascii="Arial" w:hAnsi="Arial" w:cs="Arial"/>
                <w:color w:val="auto"/>
                <w:sz w:val="24"/>
                <w:szCs w:val="24"/>
              </w:rPr>
            </w:pPr>
          </w:p>
        </w:tc>
      </w:tr>
    </w:tbl>
    <w:p w14:paraId="4859797A" w14:textId="3E693228" w:rsidR="00FD1748" w:rsidRPr="00237760" w:rsidRDefault="00762B20" w:rsidP="009367B4">
      <w:pPr>
        <w:jc w:val="left"/>
        <w:rPr>
          <w:rFonts w:ascii="Arial" w:hAnsi="Arial" w:cs="Arial"/>
          <w:color w:val="auto"/>
          <w:sz w:val="24"/>
          <w:szCs w:val="24"/>
          <w:lang w:eastAsia="pl-PL"/>
        </w:rPr>
      </w:pPr>
      <w:r w:rsidRPr="00237760">
        <w:rPr>
          <w:rFonts w:ascii="Arial" w:hAnsi="Arial" w:cs="Arial"/>
          <w:color w:val="auto"/>
          <w:sz w:val="24"/>
          <w:szCs w:val="24"/>
        </w:rPr>
        <w:t>Źródło: opracowanie własne na podstawie PSRT WP oraz Kontraktu Programowego dla Województwa Podkarpackiego.</w:t>
      </w:r>
    </w:p>
    <w:p w14:paraId="4D448534" w14:textId="77777777" w:rsidR="006C1479" w:rsidRPr="00237760" w:rsidRDefault="006C1479" w:rsidP="009367B4">
      <w:pPr>
        <w:pStyle w:val="Nagwek3"/>
        <w:rPr>
          <w:rFonts w:ascii="Arial" w:hAnsi="Arial" w:cs="Arial"/>
          <w:color w:val="auto"/>
          <w:sz w:val="24"/>
          <w:szCs w:val="24"/>
        </w:rPr>
      </w:pPr>
      <w:bookmarkStart w:id="234" w:name="_Toc101904158"/>
      <w:r w:rsidRPr="00237760">
        <w:rPr>
          <w:rFonts w:ascii="Arial" w:hAnsi="Arial" w:cs="Arial"/>
          <w:color w:val="auto"/>
          <w:sz w:val="24"/>
          <w:szCs w:val="24"/>
        </w:rPr>
        <w:t>Krajowy Program Kolejowy do 2023 roku</w:t>
      </w:r>
      <w:bookmarkEnd w:id="234"/>
    </w:p>
    <w:p w14:paraId="58B6F940" w14:textId="67245146" w:rsidR="006C1479" w:rsidRPr="00237760" w:rsidRDefault="006C1479" w:rsidP="009367B4">
      <w:pPr>
        <w:spacing w:before="240"/>
        <w:jc w:val="left"/>
        <w:rPr>
          <w:rFonts w:ascii="Arial" w:hAnsi="Arial" w:cs="Arial"/>
          <w:color w:val="auto"/>
          <w:sz w:val="24"/>
          <w:szCs w:val="24"/>
        </w:rPr>
      </w:pPr>
      <w:r w:rsidRPr="00237760">
        <w:rPr>
          <w:rFonts w:ascii="Arial" w:hAnsi="Arial" w:cs="Arial"/>
          <w:i/>
          <w:color w:val="auto"/>
          <w:sz w:val="24"/>
          <w:szCs w:val="24"/>
        </w:rPr>
        <w:t>Krajowy Program Kolejowy</w:t>
      </w:r>
      <w:r w:rsidRPr="00237760">
        <w:rPr>
          <w:rFonts w:ascii="Arial" w:hAnsi="Arial" w:cs="Arial"/>
          <w:color w:val="auto"/>
          <w:sz w:val="24"/>
          <w:szCs w:val="24"/>
        </w:rPr>
        <w:t xml:space="preserve"> wytycza 3 cele, które są spójne z założeniami </w:t>
      </w:r>
      <w:r w:rsidR="00F311FF" w:rsidRPr="00237760">
        <w:rPr>
          <w:rFonts w:ascii="Arial" w:hAnsi="Arial" w:cs="Arial"/>
          <w:color w:val="auto"/>
          <w:sz w:val="24"/>
          <w:szCs w:val="24"/>
        </w:rPr>
        <w:t>PSRT WP</w:t>
      </w:r>
      <w:r w:rsidR="00F360B5" w:rsidRPr="00237760">
        <w:rPr>
          <w:rFonts w:ascii="Arial" w:hAnsi="Arial" w:cs="Arial"/>
          <w:color w:val="auto"/>
          <w:sz w:val="24"/>
          <w:szCs w:val="24"/>
        </w:rPr>
        <w:t xml:space="preserve"> (</w:t>
      </w:r>
      <w:r w:rsidR="00F360B5" w:rsidRPr="00237760">
        <w:rPr>
          <w:rFonts w:ascii="Arial" w:hAnsi="Arial" w:cs="Arial"/>
          <w:color w:val="auto"/>
          <w:sz w:val="24"/>
          <w:szCs w:val="24"/>
        </w:rPr>
        <w:fldChar w:fldCharType="begin"/>
      </w:r>
      <w:r w:rsidR="00F360B5" w:rsidRPr="00237760">
        <w:rPr>
          <w:rFonts w:ascii="Arial" w:hAnsi="Arial" w:cs="Arial"/>
          <w:color w:val="auto"/>
          <w:sz w:val="24"/>
          <w:szCs w:val="24"/>
        </w:rPr>
        <w:instrText xml:space="preserve"> REF _Ref101003433 \h </w:instrText>
      </w:r>
      <w:r w:rsidR="00237760" w:rsidRPr="00237760">
        <w:rPr>
          <w:rFonts w:ascii="Arial" w:hAnsi="Arial" w:cs="Arial"/>
          <w:color w:val="auto"/>
          <w:sz w:val="24"/>
          <w:szCs w:val="24"/>
        </w:rPr>
        <w:instrText xml:space="preserve"> \* MERGEFORMAT </w:instrText>
      </w:r>
      <w:r w:rsidR="00F360B5" w:rsidRPr="00237760">
        <w:rPr>
          <w:rFonts w:ascii="Arial" w:hAnsi="Arial" w:cs="Arial"/>
          <w:color w:val="auto"/>
          <w:sz w:val="24"/>
          <w:szCs w:val="24"/>
        </w:rPr>
      </w:r>
      <w:r w:rsidR="00F360B5" w:rsidRPr="00237760">
        <w:rPr>
          <w:rFonts w:ascii="Arial" w:hAnsi="Arial" w:cs="Arial"/>
          <w:color w:val="auto"/>
          <w:sz w:val="24"/>
          <w:szCs w:val="24"/>
        </w:rPr>
        <w:fldChar w:fldCharType="separate"/>
      </w:r>
      <w:r w:rsidR="00762B20" w:rsidRPr="00237760">
        <w:rPr>
          <w:rFonts w:ascii="Arial" w:hAnsi="Arial" w:cs="Arial"/>
          <w:color w:val="auto"/>
          <w:sz w:val="24"/>
          <w:szCs w:val="24"/>
        </w:rPr>
        <w:t xml:space="preserve">Tabela </w:t>
      </w:r>
      <w:r w:rsidR="00762B20" w:rsidRPr="00237760">
        <w:rPr>
          <w:rFonts w:ascii="Arial" w:hAnsi="Arial" w:cs="Arial"/>
          <w:noProof/>
          <w:color w:val="auto"/>
          <w:sz w:val="24"/>
          <w:szCs w:val="24"/>
        </w:rPr>
        <w:t>37</w:t>
      </w:r>
      <w:r w:rsidR="00F360B5" w:rsidRPr="00237760">
        <w:rPr>
          <w:rFonts w:ascii="Arial" w:hAnsi="Arial" w:cs="Arial"/>
          <w:color w:val="auto"/>
          <w:sz w:val="24"/>
          <w:szCs w:val="24"/>
        </w:rPr>
        <w:fldChar w:fldCharType="end"/>
      </w:r>
      <w:r w:rsidR="00F360B5" w:rsidRPr="00237760">
        <w:rPr>
          <w:rFonts w:ascii="Arial" w:hAnsi="Arial" w:cs="Arial"/>
          <w:color w:val="auto"/>
          <w:sz w:val="24"/>
          <w:szCs w:val="24"/>
        </w:rPr>
        <w:t>)</w:t>
      </w:r>
      <w:r w:rsidRPr="00237760">
        <w:rPr>
          <w:rFonts w:ascii="Arial" w:hAnsi="Arial" w:cs="Arial"/>
          <w:color w:val="auto"/>
          <w:sz w:val="24"/>
          <w:szCs w:val="24"/>
        </w:rPr>
        <w:t xml:space="preserve">. Spośród 11 kierunków interwencji wyznaczonych pod celami, 10 ma </w:t>
      </w:r>
      <w:r w:rsidRPr="00237760">
        <w:rPr>
          <w:rFonts w:ascii="Arial" w:hAnsi="Arial" w:cs="Arial"/>
          <w:color w:val="auto"/>
          <w:sz w:val="24"/>
          <w:szCs w:val="24"/>
        </w:rPr>
        <w:lastRenderedPageBreak/>
        <w:t xml:space="preserve">swoje poparcie w założeniach </w:t>
      </w:r>
      <w:r w:rsidR="00F311FF" w:rsidRPr="00237760">
        <w:rPr>
          <w:rFonts w:ascii="Arial" w:hAnsi="Arial" w:cs="Arial"/>
          <w:color w:val="auto"/>
          <w:sz w:val="24"/>
          <w:szCs w:val="24"/>
        </w:rPr>
        <w:t>PSRT WP</w:t>
      </w:r>
      <w:r w:rsidRPr="00237760">
        <w:rPr>
          <w:rFonts w:ascii="Arial" w:hAnsi="Arial" w:cs="Arial"/>
          <w:color w:val="auto"/>
          <w:sz w:val="24"/>
          <w:szCs w:val="24"/>
        </w:rPr>
        <w:t xml:space="preserve">, a </w:t>
      </w:r>
      <w:r w:rsidR="00F360B5" w:rsidRPr="00237760">
        <w:rPr>
          <w:rFonts w:ascii="Arial" w:hAnsi="Arial" w:cs="Arial"/>
          <w:color w:val="auto"/>
          <w:sz w:val="24"/>
          <w:szCs w:val="24"/>
        </w:rPr>
        <w:t>jeden</w:t>
      </w:r>
      <w:r w:rsidRPr="00237760">
        <w:rPr>
          <w:rFonts w:ascii="Arial" w:hAnsi="Arial" w:cs="Arial"/>
          <w:color w:val="auto"/>
          <w:sz w:val="24"/>
          <w:szCs w:val="24"/>
        </w:rPr>
        <w:t xml:space="preserve"> nie odnosi się do infrastruktury obecnej na terenie województwa.</w:t>
      </w:r>
    </w:p>
    <w:p w14:paraId="4D58FC8F" w14:textId="21885D47" w:rsidR="006C1479" w:rsidRPr="00237760" w:rsidRDefault="00F360B5" w:rsidP="009367B4">
      <w:pPr>
        <w:pStyle w:val="Legenda"/>
        <w:jc w:val="left"/>
        <w:rPr>
          <w:rFonts w:ascii="Arial" w:hAnsi="Arial" w:cs="Arial"/>
          <w:color w:val="auto"/>
          <w:sz w:val="24"/>
          <w:szCs w:val="24"/>
        </w:rPr>
      </w:pPr>
      <w:bookmarkStart w:id="235" w:name="_Ref101003433"/>
      <w:bookmarkStart w:id="236" w:name="_Toc101904278"/>
      <w:r w:rsidRPr="00237760">
        <w:rPr>
          <w:rFonts w:ascii="Arial" w:hAnsi="Arial" w:cs="Arial"/>
          <w:color w:val="auto"/>
          <w:sz w:val="24"/>
          <w:szCs w:val="24"/>
        </w:rPr>
        <w:t xml:space="preserve">Tabela </w:t>
      </w:r>
      <w:r w:rsidR="00D4562C" w:rsidRPr="00237760">
        <w:rPr>
          <w:rFonts w:ascii="Arial" w:hAnsi="Arial" w:cs="Arial"/>
          <w:noProof/>
          <w:color w:val="auto"/>
          <w:sz w:val="24"/>
          <w:szCs w:val="24"/>
        </w:rPr>
        <w:fldChar w:fldCharType="begin"/>
      </w:r>
      <w:r w:rsidR="00D4562C" w:rsidRPr="00237760">
        <w:rPr>
          <w:rFonts w:ascii="Arial" w:hAnsi="Arial" w:cs="Arial"/>
          <w:noProof/>
          <w:color w:val="auto"/>
          <w:sz w:val="24"/>
          <w:szCs w:val="24"/>
        </w:rPr>
        <w:instrText xml:space="preserve"> SEQ Tabela \* ARABIC </w:instrText>
      </w:r>
      <w:r w:rsidR="00D4562C" w:rsidRPr="00237760">
        <w:rPr>
          <w:rFonts w:ascii="Arial" w:hAnsi="Arial" w:cs="Arial"/>
          <w:noProof/>
          <w:color w:val="auto"/>
          <w:sz w:val="24"/>
          <w:szCs w:val="24"/>
        </w:rPr>
        <w:fldChar w:fldCharType="separate"/>
      </w:r>
      <w:r w:rsidR="00762B20" w:rsidRPr="00237760">
        <w:rPr>
          <w:rFonts w:ascii="Arial" w:hAnsi="Arial" w:cs="Arial"/>
          <w:noProof/>
          <w:color w:val="auto"/>
          <w:sz w:val="24"/>
          <w:szCs w:val="24"/>
        </w:rPr>
        <w:t>37</w:t>
      </w:r>
      <w:r w:rsidR="00D4562C" w:rsidRPr="00237760">
        <w:rPr>
          <w:rFonts w:ascii="Arial" w:hAnsi="Arial" w:cs="Arial"/>
          <w:noProof/>
          <w:color w:val="auto"/>
          <w:sz w:val="24"/>
          <w:szCs w:val="24"/>
        </w:rPr>
        <w:fldChar w:fldCharType="end"/>
      </w:r>
      <w:bookmarkEnd w:id="235"/>
      <w:r w:rsidRPr="00237760">
        <w:rPr>
          <w:rFonts w:ascii="Arial" w:hAnsi="Arial" w:cs="Arial"/>
          <w:color w:val="auto"/>
          <w:sz w:val="24"/>
          <w:szCs w:val="24"/>
        </w:rPr>
        <w:t xml:space="preserve">. </w:t>
      </w:r>
      <w:r w:rsidR="006C1479" w:rsidRPr="00237760">
        <w:rPr>
          <w:rFonts w:ascii="Arial" w:hAnsi="Arial" w:cs="Arial"/>
          <w:color w:val="auto"/>
          <w:sz w:val="24"/>
          <w:szCs w:val="24"/>
        </w:rPr>
        <w:t xml:space="preserve">Ocena spójności </w:t>
      </w:r>
      <w:r w:rsidR="00F311FF" w:rsidRPr="00237760">
        <w:rPr>
          <w:rFonts w:ascii="Arial" w:hAnsi="Arial" w:cs="Arial"/>
          <w:color w:val="auto"/>
          <w:sz w:val="24"/>
          <w:szCs w:val="24"/>
        </w:rPr>
        <w:t>PSRT WP</w:t>
      </w:r>
      <w:r w:rsidR="006C1479" w:rsidRPr="00237760">
        <w:rPr>
          <w:rFonts w:ascii="Arial" w:hAnsi="Arial" w:cs="Arial"/>
          <w:color w:val="auto"/>
          <w:sz w:val="24"/>
          <w:szCs w:val="24"/>
        </w:rPr>
        <w:t xml:space="preserve"> z Krajowym Programem Kolejowym do 2023 roku</w:t>
      </w:r>
      <w:bookmarkEnd w:id="236"/>
    </w:p>
    <w:tbl>
      <w:tblPr>
        <w:tblStyle w:val="Tabela-Siatka6"/>
        <w:tblW w:w="9225" w:type="dxa"/>
        <w:tblInd w:w="-5"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57" w:type="dxa"/>
          <w:right w:w="57" w:type="dxa"/>
        </w:tblCellMar>
        <w:tblLook w:val="04A0" w:firstRow="1" w:lastRow="0" w:firstColumn="1" w:lastColumn="0" w:noHBand="0" w:noVBand="1"/>
        <w:tblCaption w:val="Tabela 37. Ocena spójności PSRT WP z Krajowym Programem Kolejowym do 2023 roku"/>
        <w:tblDescription w:val="Tabela zawiera Kierunki interwencji, Cele podstawowe PSRT WP, Cele horyzontalne PSRT WP"/>
      </w:tblPr>
      <w:tblGrid>
        <w:gridCol w:w="5250"/>
        <w:gridCol w:w="567"/>
        <w:gridCol w:w="567"/>
        <w:gridCol w:w="567"/>
        <w:gridCol w:w="567"/>
        <w:gridCol w:w="567"/>
        <w:gridCol w:w="567"/>
        <w:gridCol w:w="567"/>
        <w:gridCol w:w="6"/>
      </w:tblGrid>
      <w:tr w:rsidR="00237760" w:rsidRPr="00237760" w14:paraId="7EF8B3B4" w14:textId="77777777" w:rsidTr="000D3F32">
        <w:trPr>
          <w:trHeight w:val="60"/>
          <w:tblHeader/>
        </w:trPr>
        <w:tc>
          <w:tcPr>
            <w:tcW w:w="9225" w:type="dxa"/>
            <w:gridSpan w:val="9"/>
            <w:tcBorders>
              <w:top w:val="single" w:sz="12" w:space="0" w:color="002060"/>
              <w:left w:val="nil"/>
              <w:bottom w:val="single" w:sz="4" w:space="0" w:color="BDD6EE" w:themeColor="accent1" w:themeTint="66"/>
            </w:tcBorders>
            <w:shd w:val="clear" w:color="auto" w:fill="auto"/>
            <w:vAlign w:val="center"/>
          </w:tcPr>
          <w:p w14:paraId="69DDD9C8" w14:textId="77777777" w:rsidR="006C1479" w:rsidRPr="00237760" w:rsidRDefault="006C1479"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Krajowy Program Kolejowy do 2023 roku</w:t>
            </w:r>
          </w:p>
        </w:tc>
      </w:tr>
      <w:tr w:rsidR="00237760" w:rsidRPr="00237760" w14:paraId="12C8B16C" w14:textId="77777777" w:rsidTr="000D3F32">
        <w:trPr>
          <w:gridAfter w:val="1"/>
          <w:wAfter w:w="6" w:type="dxa"/>
          <w:trHeight w:val="70"/>
          <w:tblHeader/>
        </w:trPr>
        <w:tc>
          <w:tcPr>
            <w:tcW w:w="5250" w:type="dxa"/>
            <w:vMerge w:val="restart"/>
            <w:tcBorders>
              <w:top w:val="nil"/>
              <w:left w:val="nil"/>
              <w:bottom w:val="single" w:sz="4" w:space="0" w:color="BDD6EE" w:themeColor="accent1" w:themeTint="66"/>
              <w:right w:val="nil"/>
            </w:tcBorders>
            <w:shd w:val="clear" w:color="auto" w:fill="auto"/>
            <w:vAlign w:val="center"/>
            <w:hideMark/>
          </w:tcPr>
          <w:p w14:paraId="26130FBB" w14:textId="77777777" w:rsidR="006C1479" w:rsidRPr="00237760" w:rsidRDefault="006C1479" w:rsidP="009367B4">
            <w:pPr>
              <w:spacing w:after="0" w:line="240" w:lineRule="auto"/>
              <w:jc w:val="left"/>
              <w:rPr>
                <w:rFonts w:ascii="Arial" w:hAnsi="Arial" w:cs="Arial"/>
                <w:b/>
                <w:color w:val="auto"/>
                <w:sz w:val="24"/>
                <w:szCs w:val="24"/>
              </w:rPr>
            </w:pPr>
            <w:r w:rsidRPr="00237760">
              <w:rPr>
                <w:rFonts w:ascii="Arial" w:eastAsia="MS Gothic" w:hAnsi="Arial" w:cs="Arial"/>
                <w:b/>
                <w:color w:val="auto"/>
                <w:sz w:val="24"/>
                <w:szCs w:val="24"/>
              </w:rPr>
              <w:t>Kierunki interwencji</w:t>
            </w:r>
          </w:p>
        </w:tc>
        <w:tc>
          <w:tcPr>
            <w:tcW w:w="1701" w:type="dxa"/>
            <w:gridSpan w:val="3"/>
            <w:tcBorders>
              <w:top w:val="nil"/>
              <w:left w:val="nil"/>
              <w:bottom w:val="single" w:sz="4" w:space="0" w:color="BDD6EE" w:themeColor="accent1" w:themeTint="66"/>
            </w:tcBorders>
            <w:shd w:val="clear" w:color="auto" w:fill="auto"/>
          </w:tcPr>
          <w:p w14:paraId="444F3ED7" w14:textId="77777777" w:rsidR="006C1479" w:rsidRPr="00237760" w:rsidRDefault="006C1479"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podstawowe PSRT WP</w:t>
            </w:r>
          </w:p>
        </w:tc>
        <w:tc>
          <w:tcPr>
            <w:tcW w:w="2268" w:type="dxa"/>
            <w:gridSpan w:val="4"/>
            <w:tcBorders>
              <w:top w:val="nil"/>
              <w:left w:val="nil"/>
              <w:bottom w:val="single" w:sz="4" w:space="0" w:color="BDD6EE" w:themeColor="accent1" w:themeTint="66"/>
            </w:tcBorders>
            <w:shd w:val="clear" w:color="auto" w:fill="auto"/>
            <w:vAlign w:val="center"/>
          </w:tcPr>
          <w:p w14:paraId="2F2AAA01" w14:textId="77777777" w:rsidR="006C1479" w:rsidRPr="00237760" w:rsidRDefault="006C1479"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horyzontalne PSRT WP</w:t>
            </w:r>
          </w:p>
        </w:tc>
      </w:tr>
      <w:tr w:rsidR="00237760" w:rsidRPr="00237760" w14:paraId="405D1D93" w14:textId="77777777" w:rsidTr="000D3F32">
        <w:trPr>
          <w:gridAfter w:val="1"/>
          <w:wAfter w:w="6" w:type="dxa"/>
          <w:trHeight w:val="160"/>
          <w:tblHeader/>
        </w:trPr>
        <w:tc>
          <w:tcPr>
            <w:tcW w:w="5250" w:type="dxa"/>
            <w:vMerge/>
            <w:tcBorders>
              <w:top w:val="nil"/>
              <w:left w:val="nil"/>
              <w:bottom w:val="single" w:sz="4" w:space="0" w:color="BDD6EE" w:themeColor="accent1" w:themeTint="66"/>
              <w:right w:val="nil"/>
            </w:tcBorders>
            <w:shd w:val="clear" w:color="auto" w:fill="auto"/>
            <w:vAlign w:val="center"/>
            <w:hideMark/>
          </w:tcPr>
          <w:p w14:paraId="384B3388" w14:textId="77777777" w:rsidR="006C1479" w:rsidRPr="00237760" w:rsidRDefault="006C1479" w:rsidP="009367B4">
            <w:pPr>
              <w:spacing w:after="0" w:line="240" w:lineRule="auto"/>
              <w:jc w:val="left"/>
              <w:rPr>
                <w:rFonts w:ascii="Arial" w:hAnsi="Arial" w:cs="Arial"/>
                <w:b/>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3804C432" w14:textId="77777777" w:rsidR="006C1479" w:rsidRPr="00237760" w:rsidRDefault="006C1479"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29E77933" w14:textId="77777777" w:rsidR="006C1479" w:rsidRPr="00237760" w:rsidRDefault="006C1479"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3021547F" w14:textId="77777777" w:rsidR="006C1479" w:rsidRPr="00237760" w:rsidRDefault="006C1479"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09B3641B" w14:textId="77777777" w:rsidR="006C1479" w:rsidRPr="00237760" w:rsidRDefault="006C1479"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42141CBA" w14:textId="77777777" w:rsidR="006C1479" w:rsidRPr="00237760" w:rsidRDefault="006C1479"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nil"/>
            </w:tcBorders>
            <w:shd w:val="clear" w:color="auto" w:fill="auto"/>
          </w:tcPr>
          <w:p w14:paraId="189ED8E6" w14:textId="77777777" w:rsidR="006C1479" w:rsidRPr="00237760" w:rsidRDefault="006C1479"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nil"/>
            </w:tcBorders>
            <w:shd w:val="clear" w:color="auto" w:fill="auto"/>
          </w:tcPr>
          <w:p w14:paraId="20F3B46A" w14:textId="77777777" w:rsidR="006C1479" w:rsidRPr="00237760" w:rsidRDefault="006C1479"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4.</w:t>
            </w:r>
          </w:p>
        </w:tc>
      </w:tr>
      <w:tr w:rsidR="00237760" w:rsidRPr="00237760" w14:paraId="2F9A6AB2" w14:textId="77777777" w:rsidTr="000D3F32">
        <w:trPr>
          <w:gridAfter w:val="1"/>
          <w:wAfter w:w="6" w:type="dxa"/>
          <w:trHeight w:val="554"/>
        </w:trPr>
        <w:tc>
          <w:tcPr>
            <w:tcW w:w="5250"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4F446CCA" w14:textId="77777777" w:rsidR="006C1479" w:rsidRPr="00237760" w:rsidRDefault="006C1479"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Poprawa stanu technicznego bazowej i kompleksowej sieci TEN-T, w tym kontynuacja prac w korytarzach C-E 30, E 20/C-E 20, E 59/C-E 59, E 65/C-E 65, E 75, a także w korytarzach stanowiących połączenia międzynarodowe.</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0F0E59CD"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3497CDD6"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3EC065B5"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760A97DC"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0F70BB3A"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72CB4D8D"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7C6AFDE0" w14:textId="77777777" w:rsidR="006C1479" w:rsidRPr="00237760" w:rsidRDefault="006C1479" w:rsidP="009367B4">
            <w:pPr>
              <w:spacing w:after="0" w:line="240" w:lineRule="auto"/>
              <w:jc w:val="left"/>
              <w:rPr>
                <w:rFonts w:ascii="Arial" w:hAnsi="Arial" w:cs="Arial"/>
                <w:color w:val="auto"/>
                <w:sz w:val="24"/>
                <w:szCs w:val="24"/>
              </w:rPr>
            </w:pPr>
          </w:p>
        </w:tc>
      </w:tr>
      <w:tr w:rsidR="00237760" w:rsidRPr="00237760" w14:paraId="33079FF4" w14:textId="77777777" w:rsidTr="000D3F32">
        <w:trPr>
          <w:gridAfter w:val="1"/>
          <w:wAfter w:w="6" w:type="dxa"/>
          <w:trHeight w:val="14"/>
        </w:trPr>
        <w:tc>
          <w:tcPr>
            <w:tcW w:w="5250"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51FBECEE" w14:textId="77777777" w:rsidR="006C1479" w:rsidRPr="00237760" w:rsidRDefault="006C1479"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Poprawa przepustowości linii w obrębie aglomeracji, dojazdów do nich oraz na odcinkach, na których zidentyfikowano niewystarczającą zdolność przepustową.</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48BD3E20"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1F053F66"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275DE381"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57ED8F39"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4F9C62DC"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3D897401"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5D341B49" w14:textId="77777777" w:rsidR="006C1479" w:rsidRPr="00237760" w:rsidRDefault="006C1479" w:rsidP="009367B4">
            <w:pPr>
              <w:spacing w:after="0" w:line="240" w:lineRule="auto"/>
              <w:jc w:val="left"/>
              <w:rPr>
                <w:rFonts w:ascii="Arial" w:hAnsi="Arial" w:cs="Arial"/>
                <w:color w:val="auto"/>
                <w:sz w:val="24"/>
                <w:szCs w:val="24"/>
              </w:rPr>
            </w:pPr>
          </w:p>
        </w:tc>
      </w:tr>
      <w:tr w:rsidR="00237760" w:rsidRPr="00237760" w14:paraId="07652070" w14:textId="77777777" w:rsidTr="000D3F32">
        <w:trPr>
          <w:gridAfter w:val="1"/>
          <w:wAfter w:w="6" w:type="dxa"/>
          <w:trHeight w:val="14"/>
        </w:trPr>
        <w:tc>
          <w:tcPr>
            <w:tcW w:w="5250"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469024B7" w14:textId="77777777" w:rsidR="006C1479" w:rsidRPr="00237760" w:rsidRDefault="006C1479"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Uzyskanie atrakcyjnego czasu przejazdu pociągów względem ruchu drogowego.</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22DD487D"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1E32AC3E"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19068F48"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2BB37EF2"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2019CFD3"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19469730"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4422D57E" w14:textId="77777777" w:rsidR="006C1479" w:rsidRPr="00237760" w:rsidRDefault="006C1479" w:rsidP="009367B4">
            <w:pPr>
              <w:spacing w:after="0" w:line="240" w:lineRule="auto"/>
              <w:jc w:val="left"/>
              <w:rPr>
                <w:rFonts w:ascii="Arial" w:hAnsi="Arial" w:cs="Arial"/>
                <w:color w:val="auto"/>
                <w:sz w:val="24"/>
                <w:szCs w:val="24"/>
              </w:rPr>
            </w:pPr>
          </w:p>
        </w:tc>
      </w:tr>
      <w:tr w:rsidR="00237760" w:rsidRPr="00237760" w14:paraId="1DC34196" w14:textId="77777777" w:rsidTr="000D3F32">
        <w:trPr>
          <w:gridAfter w:val="1"/>
          <w:wAfter w:w="6" w:type="dxa"/>
          <w:trHeight w:val="14"/>
        </w:trPr>
        <w:tc>
          <w:tcPr>
            <w:tcW w:w="5250"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4D9A1E1C" w14:textId="77777777" w:rsidR="006C1479" w:rsidRPr="00237760" w:rsidRDefault="006C1479"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Realizacja projektów istotnych dla poszczególnych regionalnych systemów transportowych.</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2C820592"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131C6D03"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448EBDB1"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33101295"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0AA5AB75"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10AF6C5E"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34DD02DA" w14:textId="77777777" w:rsidR="006C1479" w:rsidRPr="00237760" w:rsidRDefault="006C1479" w:rsidP="009367B4">
            <w:pPr>
              <w:spacing w:after="0" w:line="240" w:lineRule="auto"/>
              <w:jc w:val="left"/>
              <w:rPr>
                <w:rFonts w:ascii="Arial" w:hAnsi="Arial" w:cs="Arial"/>
                <w:color w:val="auto"/>
                <w:sz w:val="24"/>
                <w:szCs w:val="24"/>
              </w:rPr>
            </w:pPr>
          </w:p>
        </w:tc>
      </w:tr>
      <w:tr w:rsidR="00237760" w:rsidRPr="00237760" w14:paraId="643B5C0C" w14:textId="77777777" w:rsidTr="000D3F32">
        <w:trPr>
          <w:gridAfter w:val="1"/>
          <w:wAfter w:w="6" w:type="dxa"/>
          <w:trHeight w:val="14"/>
        </w:trPr>
        <w:tc>
          <w:tcPr>
            <w:tcW w:w="5250"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66B7C98B" w14:textId="77777777" w:rsidR="006C1479" w:rsidRPr="00237760" w:rsidRDefault="006C1479"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Inwestycje w ciągu „Magistrali Wschodniej”: Rzeszów / Kielce – Lublin – Białystok – Olsztyn.</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33BBC039"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44CA25AC"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1A13FE98"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0C1ACF29"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7B8A055F"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78FD1787"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207C865D" w14:textId="77777777" w:rsidR="006C1479" w:rsidRPr="00237760" w:rsidRDefault="006C1479" w:rsidP="009367B4">
            <w:pPr>
              <w:spacing w:after="0" w:line="240" w:lineRule="auto"/>
              <w:jc w:val="left"/>
              <w:rPr>
                <w:rFonts w:ascii="Arial" w:hAnsi="Arial" w:cs="Arial"/>
                <w:color w:val="auto"/>
                <w:sz w:val="24"/>
                <w:szCs w:val="24"/>
              </w:rPr>
            </w:pPr>
          </w:p>
        </w:tc>
      </w:tr>
      <w:tr w:rsidR="00237760" w:rsidRPr="00237760" w14:paraId="5E18CEEC" w14:textId="77777777" w:rsidTr="000D3F32">
        <w:trPr>
          <w:gridAfter w:val="1"/>
          <w:wAfter w:w="6" w:type="dxa"/>
          <w:trHeight w:val="14"/>
        </w:trPr>
        <w:tc>
          <w:tcPr>
            <w:tcW w:w="5250"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54473663" w14:textId="77777777" w:rsidR="006C1479" w:rsidRPr="00237760" w:rsidRDefault="006C1479"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Wdrażanie ERTMS/ETCS i ERTMS/GSM-R.</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4AFE61BC"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1BF8471C"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1ECCC089"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30030690"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7F1F7E07"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7632C9D3"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1575AA74" w14:textId="77777777" w:rsidR="006C1479" w:rsidRPr="00237760" w:rsidRDefault="006C1479" w:rsidP="009367B4">
            <w:pPr>
              <w:spacing w:after="0" w:line="240" w:lineRule="auto"/>
              <w:jc w:val="left"/>
              <w:rPr>
                <w:rFonts w:ascii="Arial" w:hAnsi="Arial" w:cs="Arial"/>
                <w:color w:val="auto"/>
                <w:sz w:val="24"/>
                <w:szCs w:val="24"/>
              </w:rPr>
            </w:pPr>
          </w:p>
        </w:tc>
      </w:tr>
      <w:tr w:rsidR="00237760" w:rsidRPr="00237760" w14:paraId="74B2A113" w14:textId="77777777" w:rsidTr="000D3F32">
        <w:trPr>
          <w:gridAfter w:val="1"/>
          <w:wAfter w:w="6" w:type="dxa"/>
          <w:trHeight w:val="14"/>
        </w:trPr>
        <w:tc>
          <w:tcPr>
            <w:tcW w:w="5250"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78C72912" w14:textId="77777777" w:rsidR="006C1479" w:rsidRPr="00237760" w:rsidRDefault="006C1479"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Poprawa jakości oferty i bezpieczeństwa infrastruktury udostępnianej przez PLK S.A. przewoźnikom.</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0B7F829D"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35C28A3E"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033E31C3"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0407B307"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366BB4F7"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5D0A32A6"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6B45ED6F" w14:textId="77777777" w:rsidR="006C1479" w:rsidRPr="00237760" w:rsidRDefault="006C1479" w:rsidP="009367B4">
            <w:pPr>
              <w:spacing w:after="0" w:line="240" w:lineRule="auto"/>
              <w:jc w:val="left"/>
              <w:rPr>
                <w:rFonts w:ascii="Arial" w:hAnsi="Arial" w:cs="Arial"/>
                <w:color w:val="auto"/>
                <w:sz w:val="24"/>
                <w:szCs w:val="24"/>
              </w:rPr>
            </w:pPr>
          </w:p>
        </w:tc>
      </w:tr>
      <w:tr w:rsidR="00237760" w:rsidRPr="00237760" w14:paraId="1F6AB9DE" w14:textId="77777777" w:rsidTr="000D3F32">
        <w:trPr>
          <w:gridAfter w:val="1"/>
          <w:wAfter w:w="6" w:type="dxa"/>
          <w:trHeight w:val="14"/>
        </w:trPr>
        <w:tc>
          <w:tcPr>
            <w:tcW w:w="5250"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03DA4985" w14:textId="77777777" w:rsidR="006C1479" w:rsidRPr="00237760" w:rsidRDefault="006C1479"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Poprawa stanu technicznego linii kolejowych tworzących tzw. korytarze towarowe na podstawie rozporządzenia Parlamentu Europejskiego i Rady nr 913/2010 z dnia 20 października 2010 r. w sprawie europejskiej sieci kolejowej ukierunkowanej na konkurencyjny transport towarowy.</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68433148"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74C6794F"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7D28C9F3"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20D87208"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2A9B4F09"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2333D39A"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164991CA" w14:textId="77777777" w:rsidR="006C1479" w:rsidRPr="00237760" w:rsidRDefault="006C1479" w:rsidP="009367B4">
            <w:pPr>
              <w:spacing w:after="0" w:line="240" w:lineRule="auto"/>
              <w:jc w:val="left"/>
              <w:rPr>
                <w:rFonts w:ascii="Arial" w:hAnsi="Arial" w:cs="Arial"/>
                <w:color w:val="auto"/>
                <w:sz w:val="24"/>
                <w:szCs w:val="24"/>
              </w:rPr>
            </w:pPr>
          </w:p>
        </w:tc>
      </w:tr>
      <w:tr w:rsidR="00237760" w:rsidRPr="00237760" w14:paraId="3F5E3408" w14:textId="77777777" w:rsidTr="000D3F32">
        <w:trPr>
          <w:gridAfter w:val="1"/>
          <w:wAfter w:w="6" w:type="dxa"/>
          <w:trHeight w:val="14"/>
        </w:trPr>
        <w:tc>
          <w:tcPr>
            <w:tcW w:w="5250"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5C693810" w14:textId="77777777" w:rsidR="006C1479" w:rsidRPr="00237760" w:rsidRDefault="006C1479"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Poprawa stanu infrastruktury obsługującej kolejowe przejścia graniczne na styku linii normalno- i szerokotorowych (1435 i 1520 mm) oraz położonych w tych obszarach odcinków linii szerokotorowych.</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4B98A36A"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39C1FF09"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6261DAD4"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5F14D9B2"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3DF063F8"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4A3806EC"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626E5FCD" w14:textId="77777777" w:rsidR="006C1479" w:rsidRPr="00237760" w:rsidRDefault="006C1479" w:rsidP="009367B4">
            <w:pPr>
              <w:spacing w:after="0" w:line="240" w:lineRule="auto"/>
              <w:jc w:val="left"/>
              <w:rPr>
                <w:rFonts w:ascii="Arial" w:hAnsi="Arial" w:cs="Arial"/>
                <w:color w:val="auto"/>
                <w:sz w:val="24"/>
                <w:szCs w:val="24"/>
              </w:rPr>
            </w:pPr>
          </w:p>
        </w:tc>
      </w:tr>
      <w:tr w:rsidR="00237760" w:rsidRPr="00237760" w14:paraId="202BB7A9" w14:textId="77777777" w:rsidTr="000D3F32">
        <w:trPr>
          <w:gridAfter w:val="1"/>
          <w:wAfter w:w="6" w:type="dxa"/>
          <w:trHeight w:val="14"/>
        </w:trPr>
        <w:tc>
          <w:tcPr>
            <w:tcW w:w="5250"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1BFEFAB7" w14:textId="77777777" w:rsidR="006C1479" w:rsidRPr="00237760" w:rsidRDefault="006C1479"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Poprawa połączeń Warszawy z rejonami ważnymi dla obszarów o najniższej dostępności transportowej, poprawa połączeń między miastami wojewódzkimi, a także między innymi ważnymi ośrodkami gospodarczymi, </w:t>
            </w:r>
            <w:r w:rsidRPr="00237760">
              <w:rPr>
                <w:rFonts w:ascii="Arial" w:hAnsi="Arial" w:cs="Arial"/>
                <w:color w:val="auto"/>
                <w:sz w:val="24"/>
                <w:szCs w:val="24"/>
              </w:rPr>
              <w:lastRenderedPageBreak/>
              <w:t>zapewnienie sprawnych połączeń kolejowych z portami morskimi w celu integracji różnych gałęzi transportu.</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1FE4EFDC"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2CD2994C"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264FD24D"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5F4397B5"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3F1FDC63"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44568F71"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47C9B4D9" w14:textId="77777777" w:rsidR="006C1479" w:rsidRPr="00237760" w:rsidRDefault="006C1479" w:rsidP="009367B4">
            <w:pPr>
              <w:spacing w:after="0" w:line="240" w:lineRule="auto"/>
              <w:jc w:val="left"/>
              <w:rPr>
                <w:rFonts w:ascii="Arial" w:hAnsi="Arial" w:cs="Arial"/>
                <w:color w:val="auto"/>
                <w:sz w:val="24"/>
                <w:szCs w:val="24"/>
              </w:rPr>
            </w:pPr>
          </w:p>
        </w:tc>
      </w:tr>
      <w:tr w:rsidR="00237760" w:rsidRPr="00237760" w14:paraId="758C68FA" w14:textId="77777777" w:rsidTr="000D3F32">
        <w:trPr>
          <w:gridAfter w:val="1"/>
          <w:wAfter w:w="6" w:type="dxa"/>
          <w:trHeight w:val="14"/>
        </w:trPr>
        <w:tc>
          <w:tcPr>
            <w:tcW w:w="5250"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4831852B" w14:textId="77777777" w:rsidR="006C1479" w:rsidRPr="00237760" w:rsidRDefault="006C1479"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Poprawa stanu technicznego linii szczególnie ważnych dla ruchu towarowego.</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2ECE93FF"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46105B27"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7C85C5E0"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330512FE"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64B67469"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469CCDB1"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088BC836" w14:textId="77777777" w:rsidR="006C1479" w:rsidRPr="00237760" w:rsidRDefault="006C1479" w:rsidP="009367B4">
            <w:pPr>
              <w:spacing w:after="0" w:line="240" w:lineRule="auto"/>
              <w:jc w:val="left"/>
              <w:rPr>
                <w:rFonts w:ascii="Arial" w:hAnsi="Arial" w:cs="Arial"/>
                <w:color w:val="auto"/>
                <w:sz w:val="24"/>
                <w:szCs w:val="24"/>
              </w:rPr>
            </w:pPr>
          </w:p>
        </w:tc>
      </w:tr>
    </w:tbl>
    <w:p w14:paraId="26A422DA" w14:textId="05826974" w:rsidR="006C1479" w:rsidRPr="00237760" w:rsidRDefault="006C1479" w:rsidP="009367B4">
      <w:pPr>
        <w:jc w:val="left"/>
        <w:rPr>
          <w:rFonts w:ascii="Arial" w:hAnsi="Arial" w:cs="Arial"/>
          <w:color w:val="auto"/>
          <w:sz w:val="24"/>
          <w:szCs w:val="24"/>
        </w:rPr>
      </w:pPr>
      <w:r w:rsidRPr="00237760">
        <w:rPr>
          <w:rFonts w:ascii="Arial" w:hAnsi="Arial" w:cs="Arial"/>
          <w:color w:val="auto"/>
          <w:sz w:val="24"/>
          <w:szCs w:val="24"/>
        </w:rPr>
        <w:t>Źródło: opracowanie własne</w:t>
      </w:r>
      <w:r w:rsidR="00F360B5" w:rsidRPr="00237760">
        <w:rPr>
          <w:rFonts w:ascii="Arial" w:hAnsi="Arial" w:cs="Arial"/>
          <w:color w:val="auto"/>
          <w:sz w:val="24"/>
          <w:szCs w:val="24"/>
        </w:rPr>
        <w:t xml:space="preserve"> na podstawie </w:t>
      </w:r>
      <w:r w:rsidR="00F311FF" w:rsidRPr="00237760">
        <w:rPr>
          <w:rFonts w:ascii="Arial" w:hAnsi="Arial" w:cs="Arial"/>
          <w:color w:val="auto"/>
          <w:sz w:val="24"/>
          <w:szCs w:val="24"/>
        </w:rPr>
        <w:t>PSRT WP</w:t>
      </w:r>
      <w:r w:rsidR="00F360B5" w:rsidRPr="00237760">
        <w:rPr>
          <w:rFonts w:ascii="Arial" w:hAnsi="Arial" w:cs="Arial"/>
          <w:color w:val="auto"/>
          <w:sz w:val="24"/>
          <w:szCs w:val="24"/>
        </w:rPr>
        <w:t xml:space="preserve"> oraz Krajowego Programu Kolejowego do 2023 roku.</w:t>
      </w:r>
    </w:p>
    <w:p w14:paraId="1B62CF92" w14:textId="77777777" w:rsidR="006C1479" w:rsidRPr="00237760" w:rsidRDefault="006C1479" w:rsidP="009367B4">
      <w:pPr>
        <w:pStyle w:val="Nagwek3"/>
        <w:rPr>
          <w:rFonts w:ascii="Arial" w:hAnsi="Arial" w:cs="Arial"/>
          <w:color w:val="auto"/>
          <w:sz w:val="24"/>
          <w:szCs w:val="24"/>
        </w:rPr>
      </w:pPr>
      <w:bookmarkStart w:id="237" w:name="_Toc101904159"/>
      <w:bookmarkStart w:id="238" w:name="_Hlk100953046"/>
      <w:r w:rsidRPr="00237760">
        <w:rPr>
          <w:rFonts w:ascii="Arial" w:hAnsi="Arial" w:cs="Arial"/>
          <w:color w:val="auto"/>
          <w:sz w:val="24"/>
          <w:szCs w:val="24"/>
        </w:rPr>
        <w:t>Narodowy Program Bezpieczeństwa Ruchu Drogowego 2021-2030</w:t>
      </w:r>
      <w:bookmarkEnd w:id="237"/>
    </w:p>
    <w:bookmarkEnd w:id="238"/>
    <w:p w14:paraId="38C1C45F" w14:textId="15706B76" w:rsidR="006C1479" w:rsidRPr="00237760" w:rsidRDefault="006C1479" w:rsidP="009367B4">
      <w:pPr>
        <w:jc w:val="left"/>
        <w:rPr>
          <w:rFonts w:ascii="Arial" w:hAnsi="Arial" w:cs="Arial"/>
          <w:color w:val="auto"/>
          <w:sz w:val="24"/>
          <w:szCs w:val="24"/>
        </w:rPr>
      </w:pPr>
      <w:r w:rsidRPr="00237760">
        <w:rPr>
          <w:rFonts w:ascii="Arial" w:hAnsi="Arial" w:cs="Arial"/>
          <w:color w:val="auto"/>
          <w:sz w:val="24"/>
          <w:szCs w:val="24"/>
        </w:rPr>
        <w:t xml:space="preserve">Wśród priorytetów NPBRD określonych w 5 filarach większość jest realizowana przez kierunki z </w:t>
      </w:r>
      <w:r w:rsidR="00F311FF" w:rsidRPr="00237760">
        <w:rPr>
          <w:rFonts w:ascii="Arial" w:hAnsi="Arial" w:cs="Arial"/>
          <w:color w:val="auto"/>
          <w:sz w:val="24"/>
          <w:szCs w:val="24"/>
        </w:rPr>
        <w:t>PSRT WP</w:t>
      </w:r>
      <w:r w:rsidR="00F360B5" w:rsidRPr="00237760">
        <w:rPr>
          <w:rFonts w:ascii="Arial" w:hAnsi="Arial" w:cs="Arial"/>
          <w:color w:val="auto"/>
          <w:sz w:val="24"/>
          <w:szCs w:val="24"/>
        </w:rPr>
        <w:t xml:space="preserve"> (</w:t>
      </w:r>
      <w:r w:rsidR="00F360B5" w:rsidRPr="00237760">
        <w:rPr>
          <w:rFonts w:ascii="Arial" w:hAnsi="Arial" w:cs="Arial"/>
          <w:color w:val="auto"/>
          <w:sz w:val="24"/>
          <w:szCs w:val="24"/>
        </w:rPr>
        <w:fldChar w:fldCharType="begin"/>
      </w:r>
      <w:r w:rsidR="00F360B5" w:rsidRPr="00237760">
        <w:rPr>
          <w:rFonts w:ascii="Arial" w:hAnsi="Arial" w:cs="Arial"/>
          <w:color w:val="auto"/>
          <w:sz w:val="24"/>
          <w:szCs w:val="24"/>
        </w:rPr>
        <w:instrText xml:space="preserve"> REF _Ref101003537 \h </w:instrText>
      </w:r>
      <w:r w:rsidR="00237760" w:rsidRPr="00237760">
        <w:rPr>
          <w:rFonts w:ascii="Arial" w:hAnsi="Arial" w:cs="Arial"/>
          <w:color w:val="auto"/>
          <w:sz w:val="24"/>
          <w:szCs w:val="24"/>
        </w:rPr>
        <w:instrText xml:space="preserve"> \* MERGEFORMAT </w:instrText>
      </w:r>
      <w:r w:rsidR="00F360B5" w:rsidRPr="00237760">
        <w:rPr>
          <w:rFonts w:ascii="Arial" w:hAnsi="Arial" w:cs="Arial"/>
          <w:color w:val="auto"/>
          <w:sz w:val="24"/>
          <w:szCs w:val="24"/>
        </w:rPr>
      </w:r>
      <w:r w:rsidR="00F360B5" w:rsidRPr="00237760">
        <w:rPr>
          <w:rFonts w:ascii="Arial" w:hAnsi="Arial" w:cs="Arial"/>
          <w:color w:val="auto"/>
          <w:sz w:val="24"/>
          <w:szCs w:val="24"/>
        </w:rPr>
        <w:fldChar w:fldCharType="separate"/>
      </w:r>
      <w:r w:rsidR="00DA6050" w:rsidRPr="00237760">
        <w:rPr>
          <w:rFonts w:ascii="Arial" w:hAnsi="Arial" w:cs="Arial"/>
          <w:color w:val="auto"/>
          <w:sz w:val="24"/>
          <w:szCs w:val="24"/>
        </w:rPr>
        <w:t xml:space="preserve">Tabela </w:t>
      </w:r>
      <w:r w:rsidR="00DA6050" w:rsidRPr="00237760">
        <w:rPr>
          <w:rFonts w:ascii="Arial" w:hAnsi="Arial" w:cs="Arial"/>
          <w:noProof/>
          <w:color w:val="auto"/>
          <w:sz w:val="24"/>
          <w:szCs w:val="24"/>
        </w:rPr>
        <w:t>38</w:t>
      </w:r>
      <w:r w:rsidR="00F360B5" w:rsidRPr="00237760">
        <w:rPr>
          <w:rFonts w:ascii="Arial" w:hAnsi="Arial" w:cs="Arial"/>
          <w:color w:val="auto"/>
          <w:sz w:val="24"/>
          <w:szCs w:val="24"/>
        </w:rPr>
        <w:fldChar w:fldCharType="end"/>
      </w:r>
      <w:r w:rsidR="00F360B5" w:rsidRPr="00237760">
        <w:rPr>
          <w:rFonts w:ascii="Arial" w:hAnsi="Arial" w:cs="Arial"/>
          <w:color w:val="auto"/>
          <w:sz w:val="24"/>
          <w:szCs w:val="24"/>
        </w:rPr>
        <w:t>)</w:t>
      </w:r>
      <w:r w:rsidRPr="00237760">
        <w:rPr>
          <w:rFonts w:ascii="Arial" w:hAnsi="Arial" w:cs="Arial"/>
          <w:color w:val="auto"/>
          <w:sz w:val="24"/>
          <w:szCs w:val="24"/>
        </w:rPr>
        <w:t xml:space="preserve">. Priorytety, które nie znajdują odzwierciedlenia w dokumencie wojewódzkim są wyznaczone na innym poziomie odpowiedzialności i nie są dostosowane do kompetencji samorządu. Tym samym można stwierdzić, że </w:t>
      </w:r>
      <w:r w:rsidR="00F311FF" w:rsidRPr="00237760">
        <w:rPr>
          <w:rFonts w:ascii="Arial" w:hAnsi="Arial" w:cs="Arial"/>
          <w:color w:val="auto"/>
          <w:sz w:val="24"/>
          <w:szCs w:val="24"/>
        </w:rPr>
        <w:t>PSRT WP</w:t>
      </w:r>
      <w:r w:rsidRPr="00237760">
        <w:rPr>
          <w:rFonts w:ascii="Arial" w:hAnsi="Arial" w:cs="Arial"/>
          <w:color w:val="auto"/>
          <w:sz w:val="24"/>
          <w:szCs w:val="24"/>
        </w:rPr>
        <w:t xml:space="preserve"> realizuje założenia </w:t>
      </w:r>
      <w:r w:rsidR="00196900" w:rsidRPr="00237760">
        <w:rPr>
          <w:rFonts w:ascii="Arial" w:hAnsi="Arial" w:cs="Arial"/>
          <w:color w:val="auto"/>
          <w:sz w:val="24"/>
          <w:szCs w:val="24"/>
        </w:rPr>
        <w:t>na rzecz</w:t>
      </w:r>
      <w:r w:rsidRPr="00237760">
        <w:rPr>
          <w:rFonts w:ascii="Arial" w:hAnsi="Arial" w:cs="Arial"/>
          <w:color w:val="auto"/>
          <w:sz w:val="24"/>
          <w:szCs w:val="24"/>
        </w:rPr>
        <w:t xml:space="preserve"> zwiększenia bezpieczeństwa ruchu drogowego.</w:t>
      </w:r>
    </w:p>
    <w:p w14:paraId="51A7C067" w14:textId="5A1D271B" w:rsidR="006C1479" w:rsidRPr="00237760" w:rsidRDefault="00F360B5" w:rsidP="009367B4">
      <w:pPr>
        <w:pStyle w:val="Legenda"/>
        <w:jc w:val="left"/>
        <w:rPr>
          <w:rFonts w:ascii="Arial" w:hAnsi="Arial" w:cs="Arial"/>
          <w:b w:val="0"/>
          <w:bCs w:val="0"/>
          <w:color w:val="auto"/>
          <w:sz w:val="24"/>
          <w:szCs w:val="24"/>
        </w:rPr>
      </w:pPr>
      <w:bookmarkStart w:id="239" w:name="_Ref101003537"/>
      <w:bookmarkStart w:id="240" w:name="_Toc101904279"/>
      <w:r w:rsidRPr="00237760">
        <w:rPr>
          <w:rFonts w:ascii="Arial" w:hAnsi="Arial" w:cs="Arial"/>
          <w:color w:val="auto"/>
          <w:sz w:val="24"/>
          <w:szCs w:val="24"/>
        </w:rPr>
        <w:t xml:space="preserve">Tabela </w:t>
      </w:r>
      <w:r w:rsidR="00D4562C" w:rsidRPr="00237760">
        <w:rPr>
          <w:rFonts w:ascii="Arial" w:hAnsi="Arial" w:cs="Arial"/>
          <w:noProof/>
          <w:color w:val="auto"/>
          <w:sz w:val="24"/>
          <w:szCs w:val="24"/>
        </w:rPr>
        <w:fldChar w:fldCharType="begin"/>
      </w:r>
      <w:r w:rsidR="00D4562C" w:rsidRPr="00237760">
        <w:rPr>
          <w:rFonts w:ascii="Arial" w:hAnsi="Arial" w:cs="Arial"/>
          <w:noProof/>
          <w:color w:val="auto"/>
          <w:sz w:val="24"/>
          <w:szCs w:val="24"/>
        </w:rPr>
        <w:instrText xml:space="preserve"> SEQ Tabela \* ARABIC </w:instrText>
      </w:r>
      <w:r w:rsidR="00D4562C" w:rsidRPr="00237760">
        <w:rPr>
          <w:rFonts w:ascii="Arial" w:hAnsi="Arial" w:cs="Arial"/>
          <w:noProof/>
          <w:color w:val="auto"/>
          <w:sz w:val="24"/>
          <w:szCs w:val="24"/>
        </w:rPr>
        <w:fldChar w:fldCharType="separate"/>
      </w:r>
      <w:r w:rsidR="00762B20" w:rsidRPr="00237760">
        <w:rPr>
          <w:rFonts w:ascii="Arial" w:hAnsi="Arial" w:cs="Arial"/>
          <w:noProof/>
          <w:color w:val="auto"/>
          <w:sz w:val="24"/>
          <w:szCs w:val="24"/>
        </w:rPr>
        <w:t>38</w:t>
      </w:r>
      <w:r w:rsidR="00D4562C" w:rsidRPr="00237760">
        <w:rPr>
          <w:rFonts w:ascii="Arial" w:hAnsi="Arial" w:cs="Arial"/>
          <w:noProof/>
          <w:color w:val="auto"/>
          <w:sz w:val="24"/>
          <w:szCs w:val="24"/>
        </w:rPr>
        <w:fldChar w:fldCharType="end"/>
      </w:r>
      <w:bookmarkEnd w:id="239"/>
      <w:r w:rsidRPr="00237760">
        <w:rPr>
          <w:rFonts w:ascii="Arial" w:hAnsi="Arial" w:cs="Arial"/>
          <w:color w:val="auto"/>
          <w:sz w:val="24"/>
          <w:szCs w:val="24"/>
        </w:rPr>
        <w:t xml:space="preserve">. </w:t>
      </w:r>
      <w:r w:rsidR="006C1479" w:rsidRPr="00237760">
        <w:rPr>
          <w:rFonts w:ascii="Arial" w:hAnsi="Arial" w:cs="Arial"/>
          <w:color w:val="auto"/>
          <w:sz w:val="24"/>
          <w:szCs w:val="24"/>
        </w:rPr>
        <w:t xml:space="preserve">Ocena spójności </w:t>
      </w:r>
      <w:r w:rsidR="00F311FF" w:rsidRPr="00237760">
        <w:rPr>
          <w:rFonts w:ascii="Arial" w:hAnsi="Arial" w:cs="Arial"/>
          <w:color w:val="auto"/>
          <w:sz w:val="24"/>
          <w:szCs w:val="24"/>
        </w:rPr>
        <w:t>PSRT WP</w:t>
      </w:r>
      <w:r w:rsidR="006C1479" w:rsidRPr="00237760">
        <w:rPr>
          <w:rFonts w:ascii="Arial" w:hAnsi="Arial" w:cs="Arial"/>
          <w:color w:val="auto"/>
          <w:sz w:val="24"/>
          <w:szCs w:val="24"/>
        </w:rPr>
        <w:t xml:space="preserve"> z Narodowym Programem Bezpieczeństwa Ruchu Drogowego 2021-2030</w:t>
      </w:r>
      <w:bookmarkEnd w:id="240"/>
    </w:p>
    <w:tbl>
      <w:tblPr>
        <w:tblStyle w:val="Tabela-Siatka6"/>
        <w:tblW w:w="9083" w:type="dxa"/>
        <w:tblInd w:w="-5"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57" w:type="dxa"/>
          <w:right w:w="57" w:type="dxa"/>
        </w:tblCellMar>
        <w:tblLook w:val="04A0" w:firstRow="1" w:lastRow="0" w:firstColumn="1" w:lastColumn="0" w:noHBand="0" w:noVBand="1"/>
        <w:tblCaption w:val="Tabela 38. Ocena spójności PSRT WP z Narodowym Programem Bezpieczeństwa Ruchu Drogowego 2021-2030"/>
        <w:tblDescription w:val="Tabela zawiera Priorytety, Cele podstawowe PSRT WP, Cele horyzontalne PSRT WP"/>
      </w:tblPr>
      <w:tblGrid>
        <w:gridCol w:w="5108"/>
        <w:gridCol w:w="567"/>
        <w:gridCol w:w="567"/>
        <w:gridCol w:w="567"/>
        <w:gridCol w:w="567"/>
        <w:gridCol w:w="567"/>
        <w:gridCol w:w="567"/>
        <w:gridCol w:w="567"/>
        <w:gridCol w:w="6"/>
      </w:tblGrid>
      <w:tr w:rsidR="00237760" w:rsidRPr="00237760" w14:paraId="5E74E5F4" w14:textId="77777777" w:rsidTr="000D3F32">
        <w:trPr>
          <w:trHeight w:val="60"/>
          <w:tblHeader/>
        </w:trPr>
        <w:tc>
          <w:tcPr>
            <w:tcW w:w="9083" w:type="dxa"/>
            <w:gridSpan w:val="9"/>
            <w:tcBorders>
              <w:top w:val="single" w:sz="12" w:space="0" w:color="002060"/>
              <w:left w:val="nil"/>
              <w:bottom w:val="single" w:sz="4" w:space="0" w:color="BDD6EE" w:themeColor="accent1" w:themeTint="66"/>
            </w:tcBorders>
            <w:shd w:val="clear" w:color="auto" w:fill="auto"/>
            <w:vAlign w:val="center"/>
          </w:tcPr>
          <w:p w14:paraId="2B8D153F" w14:textId="77777777" w:rsidR="006C1479" w:rsidRPr="00237760" w:rsidRDefault="006C1479"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Narodowy Program Bezpieczeństwa Ruchu Drogowego 2021-2030</w:t>
            </w:r>
          </w:p>
        </w:tc>
      </w:tr>
      <w:tr w:rsidR="00237760" w:rsidRPr="00237760" w14:paraId="0E7FD024" w14:textId="77777777" w:rsidTr="000D3F32">
        <w:trPr>
          <w:gridAfter w:val="1"/>
          <w:wAfter w:w="6" w:type="dxa"/>
          <w:trHeight w:val="70"/>
          <w:tblHeader/>
        </w:trPr>
        <w:tc>
          <w:tcPr>
            <w:tcW w:w="5108" w:type="dxa"/>
            <w:vMerge w:val="restart"/>
            <w:tcBorders>
              <w:top w:val="nil"/>
              <w:left w:val="nil"/>
              <w:bottom w:val="single" w:sz="4" w:space="0" w:color="BDD6EE" w:themeColor="accent1" w:themeTint="66"/>
              <w:right w:val="nil"/>
            </w:tcBorders>
            <w:shd w:val="clear" w:color="auto" w:fill="auto"/>
            <w:vAlign w:val="center"/>
            <w:hideMark/>
          </w:tcPr>
          <w:p w14:paraId="45A6BA33" w14:textId="77777777" w:rsidR="006C1479" w:rsidRPr="00237760" w:rsidRDefault="006C1479" w:rsidP="009367B4">
            <w:pPr>
              <w:spacing w:after="0" w:line="240" w:lineRule="auto"/>
              <w:jc w:val="left"/>
              <w:rPr>
                <w:rFonts w:ascii="Arial" w:hAnsi="Arial" w:cs="Arial"/>
                <w:b/>
                <w:color w:val="auto"/>
                <w:sz w:val="24"/>
                <w:szCs w:val="24"/>
              </w:rPr>
            </w:pPr>
            <w:r w:rsidRPr="00237760">
              <w:rPr>
                <w:rFonts w:ascii="Arial" w:eastAsia="MS Gothic" w:hAnsi="Arial" w:cs="Arial"/>
                <w:b/>
                <w:color w:val="auto"/>
                <w:sz w:val="24"/>
                <w:szCs w:val="24"/>
              </w:rPr>
              <w:t>Priorytety</w:t>
            </w:r>
          </w:p>
        </w:tc>
        <w:tc>
          <w:tcPr>
            <w:tcW w:w="1701" w:type="dxa"/>
            <w:gridSpan w:val="3"/>
            <w:tcBorders>
              <w:top w:val="nil"/>
              <w:left w:val="nil"/>
              <w:bottom w:val="single" w:sz="4" w:space="0" w:color="BDD6EE" w:themeColor="accent1" w:themeTint="66"/>
            </w:tcBorders>
            <w:shd w:val="clear" w:color="auto" w:fill="auto"/>
          </w:tcPr>
          <w:p w14:paraId="28421A55" w14:textId="77777777" w:rsidR="006C1479" w:rsidRPr="00237760" w:rsidRDefault="006C1479"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podstawowe PSRT WP</w:t>
            </w:r>
          </w:p>
        </w:tc>
        <w:tc>
          <w:tcPr>
            <w:tcW w:w="2268" w:type="dxa"/>
            <w:gridSpan w:val="4"/>
            <w:tcBorders>
              <w:top w:val="nil"/>
              <w:left w:val="nil"/>
              <w:bottom w:val="single" w:sz="4" w:space="0" w:color="BDD6EE" w:themeColor="accent1" w:themeTint="66"/>
            </w:tcBorders>
            <w:shd w:val="clear" w:color="auto" w:fill="auto"/>
            <w:vAlign w:val="center"/>
          </w:tcPr>
          <w:p w14:paraId="0AF906A0" w14:textId="77777777" w:rsidR="006C1479" w:rsidRPr="00237760" w:rsidRDefault="006C1479"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horyzontalne PSRT WP</w:t>
            </w:r>
          </w:p>
        </w:tc>
      </w:tr>
      <w:tr w:rsidR="00237760" w:rsidRPr="00237760" w14:paraId="2BB0CA23" w14:textId="77777777" w:rsidTr="000D3F32">
        <w:trPr>
          <w:gridAfter w:val="1"/>
          <w:wAfter w:w="6" w:type="dxa"/>
          <w:trHeight w:val="63"/>
          <w:tblHeader/>
        </w:trPr>
        <w:tc>
          <w:tcPr>
            <w:tcW w:w="5108" w:type="dxa"/>
            <w:vMerge/>
            <w:tcBorders>
              <w:top w:val="nil"/>
              <w:left w:val="nil"/>
              <w:bottom w:val="single" w:sz="4" w:space="0" w:color="BDD6EE" w:themeColor="accent1" w:themeTint="66"/>
              <w:right w:val="nil"/>
            </w:tcBorders>
            <w:shd w:val="clear" w:color="auto" w:fill="auto"/>
            <w:vAlign w:val="center"/>
            <w:hideMark/>
          </w:tcPr>
          <w:p w14:paraId="5860A867" w14:textId="77777777" w:rsidR="006C1479" w:rsidRPr="00237760" w:rsidRDefault="006C1479" w:rsidP="009367B4">
            <w:pPr>
              <w:spacing w:after="0" w:line="240" w:lineRule="auto"/>
              <w:jc w:val="left"/>
              <w:rPr>
                <w:rFonts w:ascii="Arial" w:hAnsi="Arial" w:cs="Arial"/>
                <w:b/>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0F296185" w14:textId="77777777" w:rsidR="006C1479" w:rsidRPr="00237760" w:rsidRDefault="006C1479"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418EE696" w14:textId="77777777" w:rsidR="006C1479" w:rsidRPr="00237760" w:rsidRDefault="006C1479"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2230D5F8" w14:textId="77777777" w:rsidR="006C1479" w:rsidRPr="00237760" w:rsidRDefault="006C1479"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468D5DE4" w14:textId="77777777" w:rsidR="006C1479" w:rsidRPr="00237760" w:rsidRDefault="006C1479"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3857C2A7" w14:textId="77777777" w:rsidR="006C1479" w:rsidRPr="00237760" w:rsidRDefault="006C1479"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nil"/>
            </w:tcBorders>
            <w:shd w:val="clear" w:color="auto" w:fill="auto"/>
          </w:tcPr>
          <w:p w14:paraId="19D35DCE" w14:textId="77777777" w:rsidR="006C1479" w:rsidRPr="00237760" w:rsidRDefault="006C1479"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nil"/>
            </w:tcBorders>
            <w:shd w:val="clear" w:color="auto" w:fill="auto"/>
          </w:tcPr>
          <w:p w14:paraId="5CC27935" w14:textId="77777777" w:rsidR="006C1479" w:rsidRPr="00237760" w:rsidRDefault="006C1479"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4.</w:t>
            </w:r>
          </w:p>
        </w:tc>
      </w:tr>
      <w:tr w:rsidR="00237760" w:rsidRPr="00237760" w14:paraId="6C303F77" w14:textId="77777777" w:rsidTr="000D3F32">
        <w:trPr>
          <w:gridAfter w:val="1"/>
          <w:wAfter w:w="6" w:type="dxa"/>
          <w:trHeight w:val="55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38475910" w14:textId="77777777" w:rsidR="006C1479" w:rsidRPr="00237760" w:rsidRDefault="006C1479"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Optymalizacja struktur organizacyjnych systemu zarządzania bezpieczeństwem ruchu drogowego na szczeblu krajowym.</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24308512"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746DB73D"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301B85BD"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2AE670C3"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6580BF28"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173244F7"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7E8C6CA0" w14:textId="77777777" w:rsidR="006C1479" w:rsidRPr="00237760" w:rsidRDefault="006C1479" w:rsidP="009367B4">
            <w:pPr>
              <w:spacing w:after="0" w:line="240" w:lineRule="auto"/>
              <w:jc w:val="left"/>
              <w:rPr>
                <w:rFonts w:ascii="Arial" w:hAnsi="Arial" w:cs="Arial"/>
                <w:color w:val="auto"/>
                <w:sz w:val="24"/>
                <w:szCs w:val="24"/>
              </w:rPr>
            </w:pPr>
          </w:p>
        </w:tc>
      </w:tr>
      <w:tr w:rsidR="00237760" w:rsidRPr="00237760" w14:paraId="64B2C069" w14:textId="77777777" w:rsidTr="000D3F32">
        <w:trPr>
          <w:gridAfter w:val="1"/>
          <w:wAfter w:w="6" w:type="dxa"/>
          <w:trHeight w:val="1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11FFB67D" w14:textId="77777777" w:rsidR="006C1479" w:rsidRPr="00237760" w:rsidRDefault="006C1479"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Optymalizacja struktur organizacyjnych systemu zarządzania bezpieczeństwem ruchu drogowego na szczeblu regionalnym.</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1A088F70"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55736DBD"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4845D263"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39A4FAEE"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093B4392"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419BF9FA"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17D1BFAB" w14:textId="77777777" w:rsidR="006C1479" w:rsidRPr="00237760" w:rsidRDefault="006C1479" w:rsidP="009367B4">
            <w:pPr>
              <w:spacing w:after="0" w:line="240" w:lineRule="auto"/>
              <w:jc w:val="left"/>
              <w:rPr>
                <w:rFonts w:ascii="Arial" w:hAnsi="Arial" w:cs="Arial"/>
                <w:color w:val="auto"/>
                <w:sz w:val="24"/>
                <w:szCs w:val="24"/>
              </w:rPr>
            </w:pPr>
          </w:p>
        </w:tc>
      </w:tr>
      <w:tr w:rsidR="00237760" w:rsidRPr="00237760" w14:paraId="73FF3AA4" w14:textId="77777777" w:rsidTr="000D3F32">
        <w:trPr>
          <w:gridAfter w:val="1"/>
          <w:wAfter w:w="6" w:type="dxa"/>
          <w:trHeight w:val="1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388C6C50" w14:textId="77777777" w:rsidR="006C1479" w:rsidRPr="00237760" w:rsidRDefault="006C1479"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Optymalizacja przepisów prawa w odniesieniu do systemu zarządzania bezpieczeństwem ruchu drogowego</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7E240FAD"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487A5F27"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19A12606"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563C7943"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6904EB4F"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7CC42C15"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0CDC2189" w14:textId="77777777" w:rsidR="006C1479" w:rsidRPr="00237760" w:rsidRDefault="006C1479" w:rsidP="009367B4">
            <w:pPr>
              <w:spacing w:after="0" w:line="240" w:lineRule="auto"/>
              <w:jc w:val="left"/>
              <w:rPr>
                <w:rFonts w:ascii="Arial" w:hAnsi="Arial" w:cs="Arial"/>
                <w:color w:val="auto"/>
                <w:sz w:val="24"/>
                <w:szCs w:val="24"/>
              </w:rPr>
            </w:pPr>
          </w:p>
        </w:tc>
      </w:tr>
      <w:tr w:rsidR="00237760" w:rsidRPr="00237760" w14:paraId="7BF68662" w14:textId="77777777" w:rsidTr="000D3F32">
        <w:trPr>
          <w:gridAfter w:val="1"/>
          <w:wAfter w:w="6" w:type="dxa"/>
          <w:trHeight w:val="1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2179966C" w14:textId="77777777" w:rsidR="006C1479" w:rsidRPr="00237760" w:rsidRDefault="006C1479"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Utworzenie mechanizmów finansowania w odniesieniu do systemu zarządzania bezpieczeństwem ruchu drogowego.</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508C75FD"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37975310"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435A52B9"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7B2448BD"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3A076A14"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497D5F00"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69B265C1" w14:textId="77777777" w:rsidR="006C1479" w:rsidRPr="00237760" w:rsidRDefault="006C1479" w:rsidP="009367B4">
            <w:pPr>
              <w:spacing w:after="0" w:line="240" w:lineRule="auto"/>
              <w:jc w:val="left"/>
              <w:rPr>
                <w:rFonts w:ascii="Arial" w:hAnsi="Arial" w:cs="Arial"/>
                <w:color w:val="auto"/>
                <w:sz w:val="24"/>
                <w:szCs w:val="24"/>
              </w:rPr>
            </w:pPr>
          </w:p>
        </w:tc>
      </w:tr>
      <w:tr w:rsidR="00237760" w:rsidRPr="00237760" w14:paraId="1512AB46" w14:textId="77777777" w:rsidTr="000D3F32">
        <w:trPr>
          <w:gridAfter w:val="1"/>
          <w:wAfter w:w="6" w:type="dxa"/>
          <w:trHeight w:val="1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3B8E65AC" w14:textId="77777777" w:rsidR="006C1479" w:rsidRPr="00237760" w:rsidRDefault="006C1479"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Optymalizacja systemu zbierania i analizy danych.</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60DF4BED"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7170B822"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0C54E5EB"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30051BB3"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4F0465C3"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76C0CB78"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5D4AAE6E" w14:textId="77777777" w:rsidR="006C1479" w:rsidRPr="00237760" w:rsidRDefault="006C1479" w:rsidP="009367B4">
            <w:pPr>
              <w:spacing w:after="0" w:line="240" w:lineRule="auto"/>
              <w:jc w:val="left"/>
              <w:rPr>
                <w:rFonts w:ascii="Arial" w:hAnsi="Arial" w:cs="Arial"/>
                <w:color w:val="auto"/>
                <w:sz w:val="24"/>
                <w:szCs w:val="24"/>
              </w:rPr>
            </w:pPr>
          </w:p>
        </w:tc>
      </w:tr>
      <w:tr w:rsidR="00237760" w:rsidRPr="00237760" w14:paraId="56F99ED0" w14:textId="77777777" w:rsidTr="000D3F32">
        <w:trPr>
          <w:gridAfter w:val="1"/>
          <w:wAfter w:w="6" w:type="dxa"/>
          <w:trHeight w:val="1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084152D5" w14:textId="77777777" w:rsidR="006C1479" w:rsidRPr="00237760" w:rsidRDefault="006C1479"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Optymalizacja systemu badań i transferu wiedzy w zakresie bezpieczeństwa ruchu drogowego.</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4D1363E9"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7BECB3C3"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42B9430A"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584DB292"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37C86002"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1D1805D2"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3DA3FBA4" w14:textId="77777777" w:rsidR="006C1479" w:rsidRPr="00237760" w:rsidRDefault="006C1479" w:rsidP="009367B4">
            <w:pPr>
              <w:spacing w:after="0" w:line="240" w:lineRule="auto"/>
              <w:jc w:val="left"/>
              <w:rPr>
                <w:rFonts w:ascii="Arial" w:hAnsi="Arial" w:cs="Arial"/>
                <w:color w:val="auto"/>
                <w:sz w:val="24"/>
                <w:szCs w:val="24"/>
              </w:rPr>
            </w:pPr>
          </w:p>
        </w:tc>
      </w:tr>
      <w:tr w:rsidR="00237760" w:rsidRPr="00237760" w14:paraId="3231CC23" w14:textId="77777777" w:rsidTr="000D3F32">
        <w:trPr>
          <w:gridAfter w:val="1"/>
          <w:wAfter w:w="6" w:type="dxa"/>
          <w:trHeight w:val="1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414E8268" w14:textId="77777777" w:rsidR="006C1479" w:rsidRPr="00237760" w:rsidRDefault="006C1479"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lastRenderedPageBreak/>
              <w:t>Optymalizacja działań komunikacyjnych w zakresie bezpieczeństwa ruchu drogowego</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7BED9862"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64FBE82D"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2F06FADD"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39D2B512"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637943A3"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3E24A4B9"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1ED02540" w14:textId="77777777" w:rsidR="006C1479" w:rsidRPr="00237760" w:rsidRDefault="006C1479" w:rsidP="009367B4">
            <w:pPr>
              <w:spacing w:after="0" w:line="240" w:lineRule="auto"/>
              <w:jc w:val="left"/>
              <w:rPr>
                <w:rFonts w:ascii="Arial" w:hAnsi="Arial" w:cs="Arial"/>
                <w:color w:val="auto"/>
                <w:sz w:val="24"/>
                <w:szCs w:val="24"/>
              </w:rPr>
            </w:pPr>
          </w:p>
        </w:tc>
      </w:tr>
      <w:tr w:rsidR="00237760" w:rsidRPr="00237760" w14:paraId="7A6D54C1" w14:textId="77777777" w:rsidTr="000D3F32">
        <w:trPr>
          <w:gridAfter w:val="1"/>
          <w:wAfter w:w="6" w:type="dxa"/>
          <w:trHeight w:val="1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3B7123EC" w14:textId="77777777" w:rsidR="006C1479" w:rsidRPr="00237760" w:rsidRDefault="006C1479"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Kształtowanie bezpiecznych zachowań uczestników ruchu drogowego</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7E7BD9F7"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7065D2A3"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0D4EA570"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1D2D74A9"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73E128FF"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1FEEA1EB"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20C681C6" w14:textId="77777777" w:rsidR="006C1479" w:rsidRPr="00237760" w:rsidRDefault="006C1479" w:rsidP="009367B4">
            <w:pPr>
              <w:spacing w:after="0" w:line="240" w:lineRule="auto"/>
              <w:jc w:val="left"/>
              <w:rPr>
                <w:rFonts w:ascii="Arial" w:hAnsi="Arial" w:cs="Arial"/>
                <w:color w:val="auto"/>
                <w:sz w:val="24"/>
                <w:szCs w:val="24"/>
              </w:rPr>
            </w:pPr>
          </w:p>
        </w:tc>
      </w:tr>
      <w:tr w:rsidR="00237760" w:rsidRPr="00237760" w14:paraId="37888E34" w14:textId="77777777" w:rsidTr="000D3F32">
        <w:trPr>
          <w:gridAfter w:val="1"/>
          <w:wAfter w:w="6" w:type="dxa"/>
          <w:trHeight w:val="1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4F59696C" w14:textId="77777777" w:rsidR="006C1479" w:rsidRPr="00237760" w:rsidRDefault="006C1479"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Ochrona uczestników ruchu drogowego</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342E3112"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6B1D5B66"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60484C6B"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50A88228"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6B9617D6"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781D6EBD"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1C2E4E8F" w14:textId="77777777" w:rsidR="006C1479" w:rsidRPr="00237760" w:rsidRDefault="006C1479" w:rsidP="009367B4">
            <w:pPr>
              <w:spacing w:after="0" w:line="240" w:lineRule="auto"/>
              <w:jc w:val="left"/>
              <w:rPr>
                <w:rFonts w:ascii="Arial" w:hAnsi="Arial" w:cs="Arial"/>
                <w:color w:val="auto"/>
                <w:sz w:val="24"/>
                <w:szCs w:val="24"/>
              </w:rPr>
            </w:pPr>
          </w:p>
        </w:tc>
      </w:tr>
      <w:tr w:rsidR="00237760" w:rsidRPr="00237760" w14:paraId="66BC04CA" w14:textId="77777777" w:rsidTr="000D3F32">
        <w:trPr>
          <w:gridAfter w:val="1"/>
          <w:wAfter w:w="6" w:type="dxa"/>
          <w:trHeight w:val="1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0CC43AF5" w14:textId="77777777" w:rsidR="006C1479" w:rsidRPr="00237760" w:rsidRDefault="006C1479"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Zmniejszenie ciężkości wypadków drogowych</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5F168937"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7E9AF65E"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19EA69DD"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50EC048C"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097750B8"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41605EDD"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29240AB8" w14:textId="77777777" w:rsidR="006C1479" w:rsidRPr="00237760" w:rsidRDefault="006C1479" w:rsidP="009367B4">
            <w:pPr>
              <w:spacing w:after="0" w:line="240" w:lineRule="auto"/>
              <w:jc w:val="left"/>
              <w:rPr>
                <w:rFonts w:ascii="Arial" w:hAnsi="Arial" w:cs="Arial"/>
                <w:color w:val="auto"/>
                <w:sz w:val="24"/>
                <w:szCs w:val="24"/>
              </w:rPr>
            </w:pPr>
          </w:p>
        </w:tc>
      </w:tr>
      <w:tr w:rsidR="00237760" w:rsidRPr="00237760" w14:paraId="1F18F973" w14:textId="77777777" w:rsidTr="000D3F32">
        <w:trPr>
          <w:gridAfter w:val="1"/>
          <w:wAfter w:w="6" w:type="dxa"/>
          <w:trHeight w:val="1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5610B251" w14:textId="77777777" w:rsidR="006C1479" w:rsidRPr="00237760" w:rsidRDefault="006C1479"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Rozwój nowoczesnych systemów zarządzania bezpieczeństwem ruchu drogowego</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5995ADB5"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5E35E240"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5435A7DC"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2975915E"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1E5692F3"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7A5038E9"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72A42B2B" w14:textId="77777777" w:rsidR="006C1479" w:rsidRPr="00237760" w:rsidRDefault="006C1479" w:rsidP="009367B4">
            <w:pPr>
              <w:spacing w:after="0" w:line="240" w:lineRule="auto"/>
              <w:jc w:val="left"/>
              <w:rPr>
                <w:rFonts w:ascii="Arial" w:hAnsi="Arial" w:cs="Arial"/>
                <w:color w:val="auto"/>
                <w:sz w:val="24"/>
                <w:szCs w:val="24"/>
              </w:rPr>
            </w:pPr>
          </w:p>
        </w:tc>
      </w:tr>
      <w:tr w:rsidR="00237760" w:rsidRPr="00237760" w14:paraId="7625852C" w14:textId="77777777" w:rsidTr="000D3F32">
        <w:trPr>
          <w:gridAfter w:val="1"/>
          <w:wAfter w:w="6" w:type="dxa"/>
          <w:trHeight w:val="1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1C2668C0" w14:textId="77777777" w:rsidR="006C1479" w:rsidRPr="00237760" w:rsidRDefault="006C1479"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Usprawnienie systemu zarządzania prędkością</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088D5B87"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31FD125A"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54B5C509"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5C54C8E7"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3BAC2F91"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57A9ABDC"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2332FD20" w14:textId="77777777" w:rsidR="006C1479" w:rsidRPr="00237760" w:rsidRDefault="006C1479" w:rsidP="009367B4">
            <w:pPr>
              <w:spacing w:after="0" w:line="240" w:lineRule="auto"/>
              <w:jc w:val="left"/>
              <w:rPr>
                <w:rFonts w:ascii="Arial" w:hAnsi="Arial" w:cs="Arial"/>
                <w:color w:val="auto"/>
                <w:sz w:val="24"/>
                <w:szCs w:val="24"/>
              </w:rPr>
            </w:pPr>
          </w:p>
        </w:tc>
      </w:tr>
      <w:tr w:rsidR="00237760" w:rsidRPr="00237760" w14:paraId="5A10EA10" w14:textId="77777777" w:rsidTr="000D3F32">
        <w:trPr>
          <w:gridAfter w:val="1"/>
          <w:wAfter w:w="6" w:type="dxa"/>
          <w:trHeight w:val="1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1872CCF1" w14:textId="77777777" w:rsidR="006C1479" w:rsidRPr="00237760" w:rsidRDefault="006C1479"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Podniesienie poziomu bezpieczeństwa wszystkich pojazdów</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072CF905"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6359E285"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0A5400E1"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53B2752E"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00463D75"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21B05985"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0566F6A6" w14:textId="77777777" w:rsidR="006C1479" w:rsidRPr="00237760" w:rsidRDefault="006C1479" w:rsidP="009367B4">
            <w:pPr>
              <w:spacing w:after="0" w:line="240" w:lineRule="auto"/>
              <w:jc w:val="left"/>
              <w:rPr>
                <w:rFonts w:ascii="Arial" w:hAnsi="Arial" w:cs="Arial"/>
                <w:color w:val="auto"/>
                <w:sz w:val="24"/>
                <w:szCs w:val="24"/>
              </w:rPr>
            </w:pPr>
          </w:p>
        </w:tc>
      </w:tr>
      <w:tr w:rsidR="00237760" w:rsidRPr="00237760" w14:paraId="54822145" w14:textId="77777777" w:rsidTr="000D3F32">
        <w:trPr>
          <w:gridAfter w:val="1"/>
          <w:wAfter w:w="6" w:type="dxa"/>
          <w:trHeight w:val="1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55F044A6" w14:textId="77777777" w:rsidR="006C1479" w:rsidRPr="00237760" w:rsidRDefault="006C1479"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Usprawnienie kontroli stanu technicznego pojazdów</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7D86702A"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2989EFA0"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2BBA840D"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2D689FAB"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21C23EC3"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33EE77F0"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5E7BF566" w14:textId="77777777" w:rsidR="006C1479" w:rsidRPr="00237760" w:rsidRDefault="006C1479" w:rsidP="009367B4">
            <w:pPr>
              <w:spacing w:after="0" w:line="240" w:lineRule="auto"/>
              <w:jc w:val="left"/>
              <w:rPr>
                <w:rFonts w:ascii="Arial" w:hAnsi="Arial" w:cs="Arial"/>
                <w:color w:val="auto"/>
                <w:sz w:val="24"/>
                <w:szCs w:val="24"/>
              </w:rPr>
            </w:pPr>
          </w:p>
        </w:tc>
      </w:tr>
      <w:tr w:rsidR="00237760" w:rsidRPr="00237760" w14:paraId="0BEA21C3" w14:textId="77777777" w:rsidTr="000D3F32">
        <w:trPr>
          <w:gridAfter w:val="1"/>
          <w:wAfter w:w="6" w:type="dxa"/>
          <w:trHeight w:val="1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1F433E64" w14:textId="77777777" w:rsidR="006C1479" w:rsidRPr="00237760" w:rsidRDefault="006C1479"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Integracja i rozwój Krajowego Systemu Ratownictwa</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71BD5280"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0712DFFB"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7A274DD0"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50E11627"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661BBE17"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51587616"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49B6FBE3" w14:textId="77777777" w:rsidR="006C1479" w:rsidRPr="00237760" w:rsidRDefault="006C1479" w:rsidP="009367B4">
            <w:pPr>
              <w:spacing w:after="0" w:line="240" w:lineRule="auto"/>
              <w:jc w:val="left"/>
              <w:rPr>
                <w:rFonts w:ascii="Arial" w:hAnsi="Arial" w:cs="Arial"/>
                <w:color w:val="auto"/>
                <w:sz w:val="24"/>
                <w:szCs w:val="24"/>
              </w:rPr>
            </w:pPr>
          </w:p>
        </w:tc>
      </w:tr>
      <w:tr w:rsidR="00237760" w:rsidRPr="00237760" w14:paraId="1F8C318D" w14:textId="77777777" w:rsidTr="000D3F32">
        <w:trPr>
          <w:gridAfter w:val="1"/>
          <w:wAfter w:w="6" w:type="dxa"/>
          <w:trHeight w:val="1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301DF7B4" w14:textId="77777777" w:rsidR="006C1479" w:rsidRPr="00237760" w:rsidRDefault="006C1479"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Jednolity system pomocy ofiarom wypadków drogowych </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08B48145"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0FCFF57B"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3809391D"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54E0E7AC"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53249F07"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3EF5BED0"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74A60149" w14:textId="77777777" w:rsidR="006C1479" w:rsidRPr="00237760" w:rsidRDefault="006C1479" w:rsidP="009367B4">
            <w:pPr>
              <w:spacing w:after="0" w:line="240" w:lineRule="auto"/>
              <w:jc w:val="left"/>
              <w:rPr>
                <w:rFonts w:ascii="Arial" w:hAnsi="Arial" w:cs="Arial"/>
                <w:color w:val="auto"/>
                <w:sz w:val="24"/>
                <w:szCs w:val="24"/>
              </w:rPr>
            </w:pPr>
          </w:p>
        </w:tc>
      </w:tr>
    </w:tbl>
    <w:p w14:paraId="6055B494" w14:textId="4A63F2AA" w:rsidR="006C1479" w:rsidRPr="00237760" w:rsidRDefault="006C1479" w:rsidP="009367B4">
      <w:pPr>
        <w:jc w:val="left"/>
        <w:rPr>
          <w:rFonts w:ascii="Arial" w:hAnsi="Arial" w:cs="Arial"/>
          <w:color w:val="auto"/>
          <w:sz w:val="24"/>
          <w:szCs w:val="24"/>
        </w:rPr>
      </w:pPr>
      <w:r w:rsidRPr="00237760">
        <w:rPr>
          <w:rFonts w:ascii="Arial" w:hAnsi="Arial" w:cs="Arial"/>
          <w:color w:val="auto"/>
          <w:sz w:val="24"/>
          <w:szCs w:val="24"/>
        </w:rPr>
        <w:t>Źródło: opracowanie własne</w:t>
      </w:r>
      <w:r w:rsidR="00F360B5" w:rsidRPr="00237760">
        <w:rPr>
          <w:rFonts w:ascii="Arial" w:hAnsi="Arial" w:cs="Arial"/>
          <w:color w:val="auto"/>
          <w:sz w:val="24"/>
          <w:szCs w:val="24"/>
        </w:rPr>
        <w:t xml:space="preserve"> na podstawie </w:t>
      </w:r>
      <w:r w:rsidR="00F311FF" w:rsidRPr="00237760">
        <w:rPr>
          <w:rFonts w:ascii="Arial" w:hAnsi="Arial" w:cs="Arial"/>
          <w:color w:val="auto"/>
          <w:sz w:val="24"/>
          <w:szCs w:val="24"/>
        </w:rPr>
        <w:t>PSRT WP</w:t>
      </w:r>
      <w:r w:rsidR="00F360B5" w:rsidRPr="00237760">
        <w:rPr>
          <w:rFonts w:ascii="Arial" w:hAnsi="Arial" w:cs="Arial"/>
          <w:color w:val="auto"/>
          <w:sz w:val="24"/>
          <w:szCs w:val="24"/>
        </w:rPr>
        <w:t xml:space="preserve"> oraz Narodowego Programu Bezpieczeństwa Ruchu Drogowego 2021-2030.</w:t>
      </w:r>
    </w:p>
    <w:p w14:paraId="624EE5DD" w14:textId="77777777" w:rsidR="006C1479" w:rsidRPr="00237760" w:rsidRDefault="006C1479" w:rsidP="009367B4">
      <w:pPr>
        <w:pStyle w:val="Nagwek3"/>
        <w:rPr>
          <w:rFonts w:ascii="Arial" w:hAnsi="Arial" w:cs="Arial"/>
          <w:color w:val="auto"/>
          <w:sz w:val="24"/>
          <w:szCs w:val="24"/>
        </w:rPr>
      </w:pPr>
      <w:bookmarkStart w:id="241" w:name="_Toc101904160"/>
      <w:r w:rsidRPr="00237760">
        <w:rPr>
          <w:rFonts w:ascii="Arial" w:hAnsi="Arial" w:cs="Arial"/>
          <w:color w:val="auto"/>
          <w:sz w:val="24"/>
          <w:szCs w:val="24"/>
        </w:rPr>
        <w:t>Programy operacyjne</w:t>
      </w:r>
      <w:bookmarkEnd w:id="241"/>
      <w:r w:rsidRPr="00237760">
        <w:rPr>
          <w:rFonts w:ascii="Arial" w:hAnsi="Arial" w:cs="Arial"/>
          <w:color w:val="auto"/>
          <w:sz w:val="24"/>
          <w:szCs w:val="24"/>
        </w:rPr>
        <w:t xml:space="preserve"> </w:t>
      </w:r>
    </w:p>
    <w:p w14:paraId="07D52F32" w14:textId="01465C51" w:rsidR="006C1479" w:rsidRPr="00237760" w:rsidRDefault="006C1479" w:rsidP="009367B4">
      <w:pPr>
        <w:spacing w:before="240"/>
        <w:jc w:val="left"/>
        <w:rPr>
          <w:rFonts w:ascii="Arial" w:hAnsi="Arial" w:cs="Arial"/>
          <w:color w:val="auto"/>
          <w:sz w:val="24"/>
          <w:szCs w:val="24"/>
        </w:rPr>
      </w:pPr>
      <w:r w:rsidRPr="00237760">
        <w:rPr>
          <w:rFonts w:ascii="Arial" w:hAnsi="Arial" w:cs="Arial"/>
          <w:color w:val="auto"/>
          <w:sz w:val="24"/>
          <w:szCs w:val="24"/>
        </w:rPr>
        <w:t xml:space="preserve">W perspektywie 2021-2027 w Polsce </w:t>
      </w:r>
      <w:r w:rsidR="00080F7C" w:rsidRPr="00237760">
        <w:rPr>
          <w:rFonts w:ascii="Arial" w:hAnsi="Arial" w:cs="Arial"/>
          <w:color w:val="auto"/>
          <w:sz w:val="24"/>
          <w:szCs w:val="24"/>
        </w:rPr>
        <w:t>przewidziana jest realizacja</w:t>
      </w:r>
      <w:r w:rsidRPr="00237760">
        <w:rPr>
          <w:rFonts w:ascii="Arial" w:hAnsi="Arial" w:cs="Arial"/>
          <w:color w:val="auto"/>
          <w:sz w:val="24"/>
          <w:szCs w:val="24"/>
        </w:rPr>
        <w:t xml:space="preserve"> </w:t>
      </w:r>
      <w:r w:rsidR="00080F7C" w:rsidRPr="00237760">
        <w:rPr>
          <w:rFonts w:ascii="Arial" w:hAnsi="Arial" w:cs="Arial"/>
          <w:color w:val="auto"/>
          <w:sz w:val="24"/>
          <w:szCs w:val="24"/>
        </w:rPr>
        <w:t>następujących programów operacyjnych:</w:t>
      </w:r>
    </w:p>
    <w:p w14:paraId="188057D3" w14:textId="43B76547" w:rsidR="006C1479" w:rsidRPr="00237760" w:rsidRDefault="006C1479" w:rsidP="009367B4">
      <w:pPr>
        <w:pStyle w:val="Akapitzlist"/>
        <w:numPr>
          <w:ilvl w:val="0"/>
          <w:numId w:val="50"/>
        </w:numPr>
        <w:ind w:left="714" w:hanging="357"/>
        <w:contextualSpacing/>
        <w:jc w:val="left"/>
        <w:rPr>
          <w:rFonts w:ascii="Arial" w:hAnsi="Arial" w:cs="Arial"/>
          <w:i/>
          <w:color w:val="auto"/>
          <w:sz w:val="24"/>
          <w:szCs w:val="24"/>
        </w:rPr>
      </w:pPr>
      <w:r w:rsidRPr="00237760">
        <w:rPr>
          <w:rFonts w:ascii="Arial" w:hAnsi="Arial" w:cs="Arial"/>
          <w:i/>
          <w:color w:val="auto"/>
          <w:sz w:val="24"/>
          <w:szCs w:val="24"/>
        </w:rPr>
        <w:t>Fundusze Europejskie na Rozwój Cyfrowy</w:t>
      </w:r>
      <w:r w:rsidR="00CD1D6D" w:rsidRPr="00237760">
        <w:rPr>
          <w:rFonts w:ascii="Arial" w:hAnsi="Arial" w:cs="Arial"/>
          <w:i/>
          <w:color w:val="auto"/>
          <w:sz w:val="24"/>
          <w:szCs w:val="24"/>
        </w:rPr>
        <w:t>;</w:t>
      </w:r>
    </w:p>
    <w:p w14:paraId="0EB5F825" w14:textId="6DB5323A" w:rsidR="006C1479" w:rsidRPr="00237760" w:rsidRDefault="006C1479" w:rsidP="009367B4">
      <w:pPr>
        <w:pStyle w:val="Akapitzlist"/>
        <w:numPr>
          <w:ilvl w:val="0"/>
          <w:numId w:val="50"/>
        </w:numPr>
        <w:ind w:left="714" w:hanging="357"/>
        <w:contextualSpacing/>
        <w:jc w:val="left"/>
        <w:rPr>
          <w:rFonts w:ascii="Arial" w:hAnsi="Arial" w:cs="Arial"/>
          <w:i/>
          <w:color w:val="auto"/>
          <w:sz w:val="24"/>
          <w:szCs w:val="24"/>
        </w:rPr>
      </w:pPr>
      <w:r w:rsidRPr="00237760">
        <w:rPr>
          <w:rFonts w:ascii="Arial" w:hAnsi="Arial" w:cs="Arial"/>
          <w:i/>
          <w:color w:val="auto"/>
          <w:sz w:val="24"/>
          <w:szCs w:val="24"/>
        </w:rPr>
        <w:t>Fundusze Europejskie dla Rozwoju Społecznego</w:t>
      </w:r>
      <w:r w:rsidR="00CD1D6D" w:rsidRPr="00237760">
        <w:rPr>
          <w:rFonts w:ascii="Arial" w:hAnsi="Arial" w:cs="Arial"/>
          <w:i/>
          <w:color w:val="auto"/>
          <w:sz w:val="24"/>
          <w:szCs w:val="24"/>
        </w:rPr>
        <w:t>;</w:t>
      </w:r>
    </w:p>
    <w:p w14:paraId="75FD69A5" w14:textId="5B54C850" w:rsidR="006C1479" w:rsidRPr="00237760" w:rsidRDefault="006C1479" w:rsidP="009367B4">
      <w:pPr>
        <w:pStyle w:val="Akapitzlist"/>
        <w:numPr>
          <w:ilvl w:val="0"/>
          <w:numId w:val="50"/>
        </w:numPr>
        <w:ind w:left="714" w:hanging="357"/>
        <w:contextualSpacing/>
        <w:jc w:val="left"/>
        <w:rPr>
          <w:rFonts w:ascii="Arial" w:hAnsi="Arial" w:cs="Arial"/>
          <w:i/>
          <w:color w:val="auto"/>
          <w:sz w:val="24"/>
          <w:szCs w:val="24"/>
        </w:rPr>
      </w:pPr>
      <w:r w:rsidRPr="00237760">
        <w:rPr>
          <w:rFonts w:ascii="Arial" w:hAnsi="Arial" w:cs="Arial"/>
          <w:i/>
          <w:color w:val="auto"/>
          <w:sz w:val="24"/>
          <w:szCs w:val="24"/>
        </w:rPr>
        <w:t>Fundusze Europejskie na Infrastrukturę, Klimat, Środowisko</w:t>
      </w:r>
      <w:r w:rsidR="00CD1D6D" w:rsidRPr="00237760">
        <w:rPr>
          <w:rFonts w:ascii="Arial" w:hAnsi="Arial" w:cs="Arial"/>
          <w:i/>
          <w:color w:val="auto"/>
          <w:sz w:val="24"/>
          <w:szCs w:val="24"/>
        </w:rPr>
        <w:t>;</w:t>
      </w:r>
    </w:p>
    <w:p w14:paraId="15CAE6B7" w14:textId="5E959EF8" w:rsidR="006C1479" w:rsidRPr="00237760" w:rsidRDefault="006C1479" w:rsidP="009367B4">
      <w:pPr>
        <w:pStyle w:val="Akapitzlist"/>
        <w:numPr>
          <w:ilvl w:val="0"/>
          <w:numId w:val="50"/>
        </w:numPr>
        <w:ind w:left="714" w:hanging="357"/>
        <w:contextualSpacing/>
        <w:jc w:val="left"/>
        <w:rPr>
          <w:rFonts w:ascii="Arial" w:hAnsi="Arial" w:cs="Arial"/>
          <w:i/>
          <w:color w:val="auto"/>
          <w:sz w:val="24"/>
          <w:szCs w:val="24"/>
        </w:rPr>
      </w:pPr>
      <w:r w:rsidRPr="00237760">
        <w:rPr>
          <w:rFonts w:ascii="Arial" w:hAnsi="Arial" w:cs="Arial"/>
          <w:i/>
          <w:color w:val="auto"/>
          <w:sz w:val="24"/>
          <w:szCs w:val="24"/>
        </w:rPr>
        <w:t>Fundusze Europejskie dla Nowoczesnej Gospodarki</w:t>
      </w:r>
      <w:r w:rsidR="00CD1D6D" w:rsidRPr="00237760">
        <w:rPr>
          <w:rFonts w:ascii="Arial" w:hAnsi="Arial" w:cs="Arial"/>
          <w:i/>
          <w:color w:val="auto"/>
          <w:sz w:val="24"/>
          <w:szCs w:val="24"/>
        </w:rPr>
        <w:t>;</w:t>
      </w:r>
    </w:p>
    <w:p w14:paraId="2401B30E" w14:textId="2D007E3D" w:rsidR="006C1479" w:rsidRPr="00237760" w:rsidRDefault="006C1479" w:rsidP="009367B4">
      <w:pPr>
        <w:pStyle w:val="Akapitzlist"/>
        <w:numPr>
          <w:ilvl w:val="0"/>
          <w:numId w:val="50"/>
        </w:numPr>
        <w:ind w:left="714" w:hanging="357"/>
        <w:contextualSpacing/>
        <w:jc w:val="left"/>
        <w:rPr>
          <w:rFonts w:ascii="Arial" w:hAnsi="Arial" w:cs="Arial"/>
          <w:i/>
          <w:color w:val="auto"/>
          <w:sz w:val="24"/>
          <w:szCs w:val="24"/>
        </w:rPr>
      </w:pPr>
      <w:r w:rsidRPr="00237760">
        <w:rPr>
          <w:rFonts w:ascii="Arial" w:hAnsi="Arial" w:cs="Arial"/>
          <w:i/>
          <w:color w:val="auto"/>
          <w:sz w:val="24"/>
          <w:szCs w:val="24"/>
        </w:rPr>
        <w:t>Fundusze Europejskie dla Polski Wschodniej</w:t>
      </w:r>
      <w:r w:rsidR="00CD1D6D" w:rsidRPr="00237760">
        <w:rPr>
          <w:rFonts w:ascii="Arial" w:hAnsi="Arial" w:cs="Arial"/>
          <w:i/>
          <w:color w:val="auto"/>
          <w:sz w:val="24"/>
          <w:szCs w:val="24"/>
        </w:rPr>
        <w:t>;</w:t>
      </w:r>
    </w:p>
    <w:p w14:paraId="703ED8E1" w14:textId="06F7C474" w:rsidR="006C1479" w:rsidRPr="00237760" w:rsidRDefault="006C1479" w:rsidP="009367B4">
      <w:pPr>
        <w:pStyle w:val="Akapitzlist"/>
        <w:numPr>
          <w:ilvl w:val="0"/>
          <w:numId w:val="50"/>
        </w:numPr>
        <w:ind w:left="714" w:hanging="357"/>
        <w:contextualSpacing/>
        <w:jc w:val="left"/>
        <w:rPr>
          <w:rFonts w:ascii="Arial" w:hAnsi="Arial" w:cs="Arial"/>
          <w:color w:val="auto"/>
          <w:sz w:val="24"/>
          <w:szCs w:val="24"/>
        </w:rPr>
      </w:pPr>
      <w:r w:rsidRPr="00237760">
        <w:rPr>
          <w:rFonts w:ascii="Arial" w:hAnsi="Arial" w:cs="Arial"/>
          <w:i/>
          <w:color w:val="auto"/>
          <w:sz w:val="24"/>
          <w:szCs w:val="24"/>
        </w:rPr>
        <w:t>Pomoc Techniczna dla Funduszy Europejskich</w:t>
      </w:r>
      <w:r w:rsidR="00CD1D6D" w:rsidRPr="00237760">
        <w:rPr>
          <w:rFonts w:ascii="Arial" w:hAnsi="Arial" w:cs="Arial"/>
          <w:color w:val="auto"/>
          <w:sz w:val="24"/>
          <w:szCs w:val="24"/>
        </w:rPr>
        <w:t>.</w:t>
      </w:r>
    </w:p>
    <w:p w14:paraId="361323CE" w14:textId="774EC790" w:rsidR="006C1479" w:rsidRPr="00237760" w:rsidRDefault="006C1479"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 xml:space="preserve">Założenia PSRT WP nie kolidują z żadnych z programów z nowej perspektywy. Naturalnie PSRT WP najwięcej punktów wspólnych z programem dotyczącym infrastruktury, klimatu i środowiska, oraz </w:t>
      </w:r>
      <w:r w:rsidR="00C605B2" w:rsidRPr="00237760">
        <w:rPr>
          <w:rFonts w:ascii="Arial" w:hAnsi="Arial" w:cs="Arial"/>
          <w:color w:val="auto"/>
          <w:sz w:val="24"/>
          <w:szCs w:val="24"/>
          <w:lang w:eastAsia="pl-PL"/>
        </w:rPr>
        <w:br/>
      </w:r>
      <w:r w:rsidRPr="00237760">
        <w:rPr>
          <w:rFonts w:ascii="Arial" w:hAnsi="Arial" w:cs="Arial"/>
          <w:color w:val="auto"/>
          <w:sz w:val="24"/>
          <w:szCs w:val="24"/>
          <w:lang w:eastAsia="pl-PL"/>
        </w:rPr>
        <w:t xml:space="preserve">z program dla Polski Wschodniej. Pojedyncze kierunki rozwoju kwalifikują się także do jednego z priorytetu z Funduszy Europejskich na Rozwój Cyfrowy i jednego celu z programu dla rozwoju społecznego. Brak kierunków związanych z wsparciem dla nowoczesnej gospodarki spowodowany jest sprofilowaniem tego programu do podmiotów prywatnych, głównie przedsiębiorców. Tym samym wykazuje się, że </w:t>
      </w:r>
      <w:r w:rsidRPr="00237760">
        <w:rPr>
          <w:rFonts w:ascii="Arial" w:hAnsi="Arial" w:cs="Arial"/>
          <w:color w:val="auto"/>
          <w:sz w:val="24"/>
          <w:szCs w:val="24"/>
          <w:lang w:eastAsia="pl-PL"/>
        </w:rPr>
        <w:lastRenderedPageBreak/>
        <w:t>Program jest spójny z programami operacyjnymi, których założenia się nie wykluczają, a w niektórych miejscach są tożsame</w:t>
      </w:r>
      <w:r w:rsidR="00080F7C" w:rsidRPr="00237760">
        <w:rPr>
          <w:rFonts w:ascii="Arial" w:hAnsi="Arial" w:cs="Arial"/>
          <w:color w:val="auto"/>
          <w:sz w:val="24"/>
          <w:szCs w:val="24"/>
          <w:lang w:eastAsia="pl-PL"/>
        </w:rPr>
        <w:t xml:space="preserve"> (</w:t>
      </w:r>
      <w:r w:rsidR="00080F7C" w:rsidRPr="00237760">
        <w:rPr>
          <w:rFonts w:ascii="Arial" w:hAnsi="Arial" w:cs="Arial"/>
          <w:color w:val="auto"/>
          <w:sz w:val="24"/>
          <w:szCs w:val="24"/>
          <w:lang w:eastAsia="pl-PL"/>
        </w:rPr>
        <w:fldChar w:fldCharType="begin"/>
      </w:r>
      <w:r w:rsidR="00080F7C" w:rsidRPr="00237760">
        <w:rPr>
          <w:rFonts w:ascii="Arial" w:hAnsi="Arial" w:cs="Arial"/>
          <w:color w:val="auto"/>
          <w:sz w:val="24"/>
          <w:szCs w:val="24"/>
          <w:lang w:eastAsia="pl-PL"/>
        </w:rPr>
        <w:instrText xml:space="preserve"> REF _Ref101004304 \h </w:instrText>
      </w:r>
      <w:r w:rsidR="00237760" w:rsidRPr="00237760">
        <w:rPr>
          <w:rFonts w:ascii="Arial" w:hAnsi="Arial" w:cs="Arial"/>
          <w:color w:val="auto"/>
          <w:sz w:val="24"/>
          <w:szCs w:val="24"/>
          <w:lang w:eastAsia="pl-PL"/>
        </w:rPr>
        <w:instrText xml:space="preserve"> \* MERGEFORMAT </w:instrText>
      </w:r>
      <w:r w:rsidR="00080F7C" w:rsidRPr="00237760">
        <w:rPr>
          <w:rFonts w:ascii="Arial" w:hAnsi="Arial" w:cs="Arial"/>
          <w:color w:val="auto"/>
          <w:sz w:val="24"/>
          <w:szCs w:val="24"/>
          <w:lang w:eastAsia="pl-PL"/>
        </w:rPr>
      </w:r>
      <w:r w:rsidR="00080F7C" w:rsidRPr="00237760">
        <w:rPr>
          <w:rFonts w:ascii="Arial" w:hAnsi="Arial" w:cs="Arial"/>
          <w:color w:val="auto"/>
          <w:sz w:val="24"/>
          <w:szCs w:val="24"/>
          <w:lang w:eastAsia="pl-PL"/>
        </w:rPr>
        <w:fldChar w:fldCharType="separate"/>
      </w:r>
      <w:r w:rsidR="00DA6050" w:rsidRPr="00237760">
        <w:rPr>
          <w:rFonts w:ascii="Arial" w:hAnsi="Arial" w:cs="Arial"/>
          <w:color w:val="auto"/>
          <w:sz w:val="24"/>
          <w:szCs w:val="24"/>
        </w:rPr>
        <w:t xml:space="preserve">Tabela </w:t>
      </w:r>
      <w:r w:rsidR="00DA6050" w:rsidRPr="00237760">
        <w:rPr>
          <w:rFonts w:ascii="Arial" w:hAnsi="Arial" w:cs="Arial"/>
          <w:noProof/>
          <w:color w:val="auto"/>
          <w:sz w:val="24"/>
          <w:szCs w:val="24"/>
        </w:rPr>
        <w:t>39</w:t>
      </w:r>
      <w:r w:rsidR="00080F7C" w:rsidRPr="00237760">
        <w:rPr>
          <w:rFonts w:ascii="Arial" w:hAnsi="Arial" w:cs="Arial"/>
          <w:color w:val="auto"/>
          <w:sz w:val="24"/>
          <w:szCs w:val="24"/>
          <w:lang w:eastAsia="pl-PL"/>
        </w:rPr>
        <w:fldChar w:fldCharType="end"/>
      </w:r>
      <w:r w:rsidR="00080F7C" w:rsidRPr="00237760">
        <w:rPr>
          <w:rFonts w:ascii="Arial" w:hAnsi="Arial" w:cs="Arial"/>
          <w:color w:val="auto"/>
          <w:sz w:val="24"/>
          <w:szCs w:val="24"/>
          <w:lang w:eastAsia="pl-PL"/>
        </w:rPr>
        <w:t>)</w:t>
      </w:r>
      <w:r w:rsidRPr="00237760">
        <w:rPr>
          <w:rFonts w:ascii="Arial" w:hAnsi="Arial" w:cs="Arial"/>
          <w:color w:val="auto"/>
          <w:sz w:val="24"/>
          <w:szCs w:val="24"/>
          <w:lang w:eastAsia="pl-PL"/>
        </w:rPr>
        <w:t>.</w:t>
      </w:r>
    </w:p>
    <w:p w14:paraId="268CFBAE" w14:textId="0A21463E" w:rsidR="006C1479" w:rsidRPr="00237760" w:rsidRDefault="00080F7C" w:rsidP="009367B4">
      <w:pPr>
        <w:pStyle w:val="Legenda"/>
        <w:jc w:val="left"/>
        <w:rPr>
          <w:rFonts w:ascii="Arial" w:hAnsi="Arial" w:cs="Arial"/>
          <w:color w:val="auto"/>
          <w:sz w:val="24"/>
          <w:szCs w:val="24"/>
        </w:rPr>
      </w:pPr>
      <w:bookmarkStart w:id="242" w:name="_Ref101004304"/>
      <w:bookmarkStart w:id="243" w:name="_Toc101904280"/>
      <w:r w:rsidRPr="00237760">
        <w:rPr>
          <w:rFonts w:ascii="Arial" w:hAnsi="Arial" w:cs="Arial"/>
          <w:color w:val="auto"/>
          <w:sz w:val="24"/>
          <w:szCs w:val="24"/>
        </w:rPr>
        <w:t xml:space="preserve">Tabela </w:t>
      </w:r>
      <w:r w:rsidR="00D4562C" w:rsidRPr="00237760">
        <w:rPr>
          <w:rFonts w:ascii="Arial" w:hAnsi="Arial" w:cs="Arial"/>
          <w:noProof/>
          <w:color w:val="auto"/>
          <w:sz w:val="24"/>
          <w:szCs w:val="24"/>
        </w:rPr>
        <w:fldChar w:fldCharType="begin"/>
      </w:r>
      <w:r w:rsidR="00D4562C" w:rsidRPr="00237760">
        <w:rPr>
          <w:rFonts w:ascii="Arial" w:hAnsi="Arial" w:cs="Arial"/>
          <w:noProof/>
          <w:color w:val="auto"/>
          <w:sz w:val="24"/>
          <w:szCs w:val="24"/>
        </w:rPr>
        <w:instrText xml:space="preserve"> SEQ Tabela \* ARABIC </w:instrText>
      </w:r>
      <w:r w:rsidR="00D4562C" w:rsidRPr="00237760">
        <w:rPr>
          <w:rFonts w:ascii="Arial" w:hAnsi="Arial" w:cs="Arial"/>
          <w:noProof/>
          <w:color w:val="auto"/>
          <w:sz w:val="24"/>
          <w:szCs w:val="24"/>
        </w:rPr>
        <w:fldChar w:fldCharType="separate"/>
      </w:r>
      <w:r w:rsidR="00762B20" w:rsidRPr="00237760">
        <w:rPr>
          <w:rFonts w:ascii="Arial" w:hAnsi="Arial" w:cs="Arial"/>
          <w:noProof/>
          <w:color w:val="auto"/>
          <w:sz w:val="24"/>
          <w:szCs w:val="24"/>
        </w:rPr>
        <w:t>39</w:t>
      </w:r>
      <w:r w:rsidR="00D4562C" w:rsidRPr="00237760">
        <w:rPr>
          <w:rFonts w:ascii="Arial" w:hAnsi="Arial" w:cs="Arial"/>
          <w:noProof/>
          <w:color w:val="auto"/>
          <w:sz w:val="24"/>
          <w:szCs w:val="24"/>
        </w:rPr>
        <w:fldChar w:fldCharType="end"/>
      </w:r>
      <w:bookmarkEnd w:id="242"/>
      <w:r w:rsidRPr="00237760">
        <w:rPr>
          <w:rFonts w:ascii="Arial" w:hAnsi="Arial" w:cs="Arial"/>
          <w:color w:val="auto"/>
          <w:sz w:val="24"/>
          <w:szCs w:val="24"/>
        </w:rPr>
        <w:t xml:space="preserve">. </w:t>
      </w:r>
      <w:r w:rsidR="006C1479" w:rsidRPr="00237760">
        <w:rPr>
          <w:rFonts w:ascii="Arial" w:hAnsi="Arial" w:cs="Arial"/>
          <w:color w:val="auto"/>
          <w:sz w:val="24"/>
          <w:szCs w:val="24"/>
        </w:rPr>
        <w:t xml:space="preserve">Ocena spójności PSRT WP z </w:t>
      </w:r>
      <w:r w:rsidRPr="00237760">
        <w:rPr>
          <w:rFonts w:ascii="Arial" w:hAnsi="Arial" w:cs="Arial"/>
          <w:color w:val="auto"/>
          <w:sz w:val="24"/>
          <w:szCs w:val="24"/>
        </w:rPr>
        <w:t>krajowymi programami operacyjnymi na lata 2021-2027.</w:t>
      </w:r>
      <w:bookmarkEnd w:id="243"/>
    </w:p>
    <w:tbl>
      <w:tblPr>
        <w:tblStyle w:val="Tabela-Siatka6"/>
        <w:tblW w:w="9085" w:type="dxa"/>
        <w:tblInd w:w="-5"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57" w:type="dxa"/>
          <w:right w:w="57" w:type="dxa"/>
        </w:tblCellMar>
        <w:tblLook w:val="04A0" w:firstRow="1" w:lastRow="0" w:firstColumn="1" w:lastColumn="0" w:noHBand="0" w:noVBand="1"/>
        <w:tblCaption w:val="Tabela 39. Ocena spójności PSRT WP z krajowymi programami operacyjnymi na lata 2021-2027."/>
        <w:tblDescription w:val="Tabela zawiera Priorytety, Cele podstawowe PSRT WP, Cele horyzontalne PSRT WP"/>
      </w:tblPr>
      <w:tblGrid>
        <w:gridCol w:w="5108"/>
        <w:gridCol w:w="566"/>
        <w:gridCol w:w="571"/>
        <w:gridCol w:w="567"/>
        <w:gridCol w:w="567"/>
        <w:gridCol w:w="567"/>
        <w:gridCol w:w="567"/>
        <w:gridCol w:w="572"/>
      </w:tblGrid>
      <w:tr w:rsidR="00237760" w:rsidRPr="00237760" w14:paraId="5E6C6FE0" w14:textId="77777777" w:rsidTr="00060509">
        <w:trPr>
          <w:trHeight w:val="84"/>
          <w:tblHeader/>
        </w:trPr>
        <w:tc>
          <w:tcPr>
            <w:tcW w:w="9085" w:type="dxa"/>
            <w:gridSpan w:val="8"/>
            <w:tcBorders>
              <w:top w:val="single" w:sz="12" w:space="0" w:color="002060"/>
              <w:left w:val="nil"/>
              <w:bottom w:val="single" w:sz="4" w:space="0" w:color="BDD6EE" w:themeColor="accent1" w:themeTint="66"/>
            </w:tcBorders>
            <w:shd w:val="clear" w:color="auto" w:fill="auto"/>
            <w:vAlign w:val="center"/>
          </w:tcPr>
          <w:p w14:paraId="09A01C5A" w14:textId="74F41C97" w:rsidR="006C1479" w:rsidRPr="00237760" w:rsidRDefault="006C1479"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 xml:space="preserve">Fundusze Europejskie na Rozwój Cyfrowy 2021-2027 </w:t>
            </w:r>
          </w:p>
        </w:tc>
      </w:tr>
      <w:tr w:rsidR="00237760" w:rsidRPr="00237760" w14:paraId="5A9E9021" w14:textId="77777777" w:rsidTr="00060509">
        <w:trPr>
          <w:trHeight w:val="70"/>
          <w:tblHeader/>
        </w:trPr>
        <w:tc>
          <w:tcPr>
            <w:tcW w:w="5108" w:type="dxa"/>
            <w:vMerge w:val="restart"/>
            <w:tcBorders>
              <w:top w:val="nil"/>
              <w:left w:val="nil"/>
              <w:bottom w:val="single" w:sz="4" w:space="0" w:color="BDD6EE" w:themeColor="accent1" w:themeTint="66"/>
              <w:right w:val="nil"/>
            </w:tcBorders>
            <w:shd w:val="clear" w:color="auto" w:fill="auto"/>
            <w:vAlign w:val="center"/>
            <w:hideMark/>
          </w:tcPr>
          <w:p w14:paraId="010CD3A6" w14:textId="77777777" w:rsidR="006C1479" w:rsidRPr="00237760" w:rsidRDefault="006C1479" w:rsidP="009367B4">
            <w:pPr>
              <w:spacing w:after="0" w:line="240" w:lineRule="auto"/>
              <w:jc w:val="left"/>
              <w:rPr>
                <w:rFonts w:ascii="Arial" w:hAnsi="Arial" w:cs="Arial"/>
                <w:b/>
                <w:color w:val="auto"/>
                <w:sz w:val="24"/>
                <w:szCs w:val="24"/>
              </w:rPr>
            </w:pPr>
            <w:r w:rsidRPr="00237760">
              <w:rPr>
                <w:rFonts w:ascii="Arial" w:eastAsia="MS Gothic" w:hAnsi="Arial" w:cs="Arial"/>
                <w:b/>
                <w:color w:val="auto"/>
                <w:sz w:val="24"/>
                <w:szCs w:val="24"/>
              </w:rPr>
              <w:t>Priorytety</w:t>
            </w:r>
          </w:p>
        </w:tc>
        <w:tc>
          <w:tcPr>
            <w:tcW w:w="1704" w:type="dxa"/>
            <w:gridSpan w:val="3"/>
            <w:tcBorders>
              <w:top w:val="nil"/>
              <w:left w:val="nil"/>
              <w:bottom w:val="single" w:sz="4" w:space="0" w:color="BDD6EE" w:themeColor="accent1" w:themeTint="66"/>
            </w:tcBorders>
            <w:shd w:val="clear" w:color="auto" w:fill="auto"/>
          </w:tcPr>
          <w:p w14:paraId="642030AA" w14:textId="77777777" w:rsidR="006C1479" w:rsidRPr="00237760" w:rsidRDefault="006C1479"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podstawowe PSRT WP</w:t>
            </w:r>
          </w:p>
        </w:tc>
        <w:tc>
          <w:tcPr>
            <w:tcW w:w="2271" w:type="dxa"/>
            <w:gridSpan w:val="4"/>
            <w:tcBorders>
              <w:top w:val="nil"/>
              <w:left w:val="nil"/>
              <w:bottom w:val="single" w:sz="4" w:space="0" w:color="BDD6EE" w:themeColor="accent1" w:themeTint="66"/>
            </w:tcBorders>
            <w:shd w:val="clear" w:color="auto" w:fill="auto"/>
            <w:vAlign w:val="center"/>
          </w:tcPr>
          <w:p w14:paraId="41F7CDCA" w14:textId="77777777" w:rsidR="006C1479" w:rsidRPr="00237760" w:rsidRDefault="006C1479"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horyzontalne PSRT WP</w:t>
            </w:r>
          </w:p>
        </w:tc>
      </w:tr>
      <w:tr w:rsidR="00237760" w:rsidRPr="00237760" w14:paraId="5D693D29" w14:textId="77777777" w:rsidTr="00060509">
        <w:trPr>
          <w:trHeight w:val="50"/>
          <w:tblHeader/>
        </w:trPr>
        <w:tc>
          <w:tcPr>
            <w:tcW w:w="5108" w:type="dxa"/>
            <w:vMerge/>
            <w:tcBorders>
              <w:top w:val="nil"/>
              <w:left w:val="nil"/>
              <w:bottom w:val="single" w:sz="4" w:space="0" w:color="BDD6EE" w:themeColor="accent1" w:themeTint="66"/>
              <w:right w:val="nil"/>
            </w:tcBorders>
            <w:shd w:val="clear" w:color="auto" w:fill="auto"/>
            <w:vAlign w:val="center"/>
            <w:hideMark/>
          </w:tcPr>
          <w:p w14:paraId="100C2259" w14:textId="77777777" w:rsidR="006C1479" w:rsidRPr="00237760" w:rsidRDefault="006C1479" w:rsidP="009367B4">
            <w:pPr>
              <w:spacing w:after="0" w:line="240" w:lineRule="auto"/>
              <w:jc w:val="left"/>
              <w:rPr>
                <w:rFonts w:ascii="Arial" w:hAnsi="Arial" w:cs="Arial"/>
                <w:b/>
                <w:color w:val="auto"/>
                <w:sz w:val="24"/>
                <w:szCs w:val="24"/>
              </w:rPr>
            </w:pPr>
          </w:p>
        </w:tc>
        <w:tc>
          <w:tcPr>
            <w:tcW w:w="56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3C8E7A70" w14:textId="77777777" w:rsidR="006C1479" w:rsidRPr="00237760" w:rsidRDefault="006C1479"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57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40FBE6D1" w14:textId="77777777" w:rsidR="006C1479" w:rsidRPr="00237760" w:rsidRDefault="006C1479"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1AD2A862" w14:textId="77777777" w:rsidR="006C1479" w:rsidRPr="00237760" w:rsidRDefault="006C1479"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1E9283E2" w14:textId="77777777" w:rsidR="006C1479" w:rsidRPr="00237760" w:rsidRDefault="006C1479"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75DA2521" w14:textId="77777777" w:rsidR="006C1479" w:rsidRPr="00237760" w:rsidRDefault="006C1479"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nil"/>
            </w:tcBorders>
            <w:shd w:val="clear" w:color="auto" w:fill="auto"/>
          </w:tcPr>
          <w:p w14:paraId="4CCF4D63" w14:textId="77777777" w:rsidR="006C1479" w:rsidRPr="00237760" w:rsidRDefault="006C1479"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570" w:type="dxa"/>
            <w:tcBorders>
              <w:top w:val="single" w:sz="4" w:space="0" w:color="BDD6EE" w:themeColor="accent1" w:themeTint="66"/>
              <w:left w:val="single" w:sz="4" w:space="0" w:color="BDD6EE" w:themeColor="accent1" w:themeTint="66"/>
              <w:bottom w:val="single" w:sz="4" w:space="0" w:color="BDD6EE" w:themeColor="accent1" w:themeTint="66"/>
              <w:right w:val="nil"/>
            </w:tcBorders>
            <w:shd w:val="clear" w:color="auto" w:fill="auto"/>
          </w:tcPr>
          <w:p w14:paraId="47D8A61B" w14:textId="77777777" w:rsidR="006C1479" w:rsidRPr="00237760" w:rsidRDefault="006C1479"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4.</w:t>
            </w:r>
          </w:p>
        </w:tc>
      </w:tr>
      <w:tr w:rsidR="00237760" w:rsidRPr="00237760" w14:paraId="75D66CFA" w14:textId="77777777" w:rsidTr="00A15DF0">
        <w:trPr>
          <w:trHeight w:val="137"/>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295C488E" w14:textId="77777777" w:rsidR="006C1479" w:rsidRPr="00237760" w:rsidRDefault="006C1479"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Priorytet II: Zaawansowane usługi cyfrowe</w:t>
            </w:r>
          </w:p>
        </w:tc>
        <w:tc>
          <w:tcPr>
            <w:tcW w:w="56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54583053" w14:textId="77777777" w:rsidR="006C1479" w:rsidRPr="00237760" w:rsidRDefault="006C1479" w:rsidP="009367B4">
            <w:pPr>
              <w:spacing w:after="0" w:line="240" w:lineRule="auto"/>
              <w:jc w:val="left"/>
              <w:rPr>
                <w:rFonts w:ascii="Arial" w:hAnsi="Arial" w:cs="Arial"/>
                <w:color w:val="auto"/>
                <w:sz w:val="24"/>
                <w:szCs w:val="24"/>
              </w:rPr>
            </w:pPr>
          </w:p>
        </w:tc>
        <w:tc>
          <w:tcPr>
            <w:tcW w:w="57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5642B798"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588A1B15"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453DDECD"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71994712" w14:textId="77777777" w:rsidR="006C1479" w:rsidRPr="00237760" w:rsidRDefault="006C1479"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20486D42" w14:textId="77777777" w:rsidR="006C1479" w:rsidRPr="00237760" w:rsidRDefault="006C1479" w:rsidP="009367B4">
            <w:pPr>
              <w:spacing w:after="0" w:line="240" w:lineRule="auto"/>
              <w:jc w:val="left"/>
              <w:rPr>
                <w:rFonts w:ascii="Arial" w:hAnsi="Arial" w:cs="Arial"/>
                <w:color w:val="auto"/>
                <w:sz w:val="24"/>
                <w:szCs w:val="24"/>
              </w:rPr>
            </w:pPr>
          </w:p>
        </w:tc>
        <w:tc>
          <w:tcPr>
            <w:tcW w:w="57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1594503A" w14:textId="77777777" w:rsidR="006C1479" w:rsidRPr="00237760" w:rsidRDefault="006C1479" w:rsidP="009367B4">
            <w:pPr>
              <w:spacing w:after="0" w:line="240" w:lineRule="auto"/>
              <w:jc w:val="left"/>
              <w:rPr>
                <w:rFonts w:ascii="Arial" w:hAnsi="Arial" w:cs="Arial"/>
                <w:color w:val="auto"/>
                <w:sz w:val="24"/>
                <w:szCs w:val="24"/>
              </w:rPr>
            </w:pPr>
          </w:p>
        </w:tc>
      </w:tr>
      <w:tr w:rsidR="00237760" w:rsidRPr="00237760" w14:paraId="44ED5D60" w14:textId="77777777" w:rsidTr="009F6BD4">
        <w:trPr>
          <w:trHeight w:val="137"/>
        </w:trPr>
        <w:tc>
          <w:tcPr>
            <w:tcW w:w="9085" w:type="dxa"/>
            <w:gridSpan w:val="8"/>
            <w:tcBorders>
              <w:top w:val="nil"/>
              <w:left w:val="nil"/>
              <w:bottom w:val="single" w:sz="4" w:space="0" w:color="BDD6EE" w:themeColor="accent1" w:themeTint="66"/>
              <w:right w:val="single" w:sz="4" w:space="0" w:color="BDD6EE" w:themeColor="accent1" w:themeTint="66"/>
            </w:tcBorders>
            <w:shd w:val="clear" w:color="auto" w:fill="auto"/>
            <w:vAlign w:val="center"/>
          </w:tcPr>
          <w:p w14:paraId="11CB7252" w14:textId="2E7EC944" w:rsidR="00080F7C" w:rsidRPr="00237760" w:rsidRDefault="00080F7C" w:rsidP="009367B4">
            <w:pPr>
              <w:spacing w:after="0" w:line="240" w:lineRule="auto"/>
              <w:jc w:val="left"/>
              <w:rPr>
                <w:rFonts w:ascii="Arial" w:hAnsi="Arial" w:cs="Arial"/>
                <w:color w:val="auto"/>
                <w:sz w:val="24"/>
                <w:szCs w:val="24"/>
              </w:rPr>
            </w:pPr>
            <w:r w:rsidRPr="00237760">
              <w:rPr>
                <w:rFonts w:ascii="Arial" w:hAnsi="Arial" w:cs="Arial"/>
                <w:b/>
                <w:color w:val="auto"/>
                <w:sz w:val="24"/>
                <w:szCs w:val="24"/>
              </w:rPr>
              <w:t xml:space="preserve">Fundusze Europejskie dla Rozwoju Społecznego Program na lata 2021-2027 </w:t>
            </w:r>
          </w:p>
        </w:tc>
      </w:tr>
      <w:tr w:rsidR="00237760" w:rsidRPr="00237760" w14:paraId="4430473C" w14:textId="77777777" w:rsidTr="009F6BD4">
        <w:trPr>
          <w:trHeight w:val="70"/>
        </w:trPr>
        <w:tc>
          <w:tcPr>
            <w:tcW w:w="5108" w:type="dxa"/>
            <w:vMerge w:val="restart"/>
            <w:tcBorders>
              <w:top w:val="nil"/>
              <w:left w:val="nil"/>
              <w:right w:val="nil"/>
            </w:tcBorders>
            <w:shd w:val="clear" w:color="auto" w:fill="auto"/>
            <w:vAlign w:val="center"/>
          </w:tcPr>
          <w:p w14:paraId="3F7DC340" w14:textId="55066AFB" w:rsidR="00080F7C" w:rsidRPr="00237760" w:rsidRDefault="00080F7C" w:rsidP="009367B4">
            <w:pPr>
              <w:spacing w:after="0" w:line="240" w:lineRule="auto"/>
              <w:jc w:val="left"/>
              <w:rPr>
                <w:rFonts w:ascii="Arial" w:eastAsia="MS Gothic" w:hAnsi="Arial" w:cs="Arial"/>
                <w:b/>
                <w:color w:val="auto"/>
                <w:sz w:val="24"/>
                <w:szCs w:val="24"/>
              </w:rPr>
            </w:pPr>
            <w:r w:rsidRPr="00237760">
              <w:rPr>
                <w:rFonts w:ascii="Arial" w:eastAsia="MS Gothic" w:hAnsi="Arial" w:cs="Arial"/>
                <w:b/>
                <w:color w:val="auto"/>
                <w:sz w:val="24"/>
                <w:szCs w:val="24"/>
              </w:rPr>
              <w:t>Cele szczegółowe</w:t>
            </w:r>
          </w:p>
        </w:tc>
        <w:tc>
          <w:tcPr>
            <w:tcW w:w="1704" w:type="dxa"/>
            <w:gridSpan w:val="3"/>
            <w:tcBorders>
              <w:top w:val="nil"/>
              <w:left w:val="nil"/>
              <w:bottom w:val="single" w:sz="4" w:space="0" w:color="BDD6EE" w:themeColor="accent1" w:themeTint="66"/>
            </w:tcBorders>
            <w:shd w:val="clear" w:color="auto" w:fill="auto"/>
          </w:tcPr>
          <w:p w14:paraId="56B83402" w14:textId="57C9D374" w:rsidR="00080F7C" w:rsidRPr="00237760" w:rsidRDefault="00080F7C"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podstawowe PSRT WP</w:t>
            </w:r>
          </w:p>
        </w:tc>
        <w:tc>
          <w:tcPr>
            <w:tcW w:w="2271" w:type="dxa"/>
            <w:gridSpan w:val="4"/>
            <w:tcBorders>
              <w:top w:val="nil"/>
              <w:left w:val="nil"/>
              <w:bottom w:val="single" w:sz="4" w:space="0" w:color="BDD6EE" w:themeColor="accent1" w:themeTint="66"/>
            </w:tcBorders>
            <w:shd w:val="clear" w:color="auto" w:fill="auto"/>
            <w:vAlign w:val="center"/>
          </w:tcPr>
          <w:p w14:paraId="73B00EAF" w14:textId="74C1F542" w:rsidR="00080F7C" w:rsidRPr="00237760" w:rsidRDefault="00080F7C"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horyzontalne PSRT WP</w:t>
            </w:r>
          </w:p>
        </w:tc>
      </w:tr>
      <w:tr w:rsidR="00237760" w:rsidRPr="00237760" w14:paraId="448D64B2" w14:textId="77777777" w:rsidTr="009F6BD4">
        <w:trPr>
          <w:trHeight w:val="50"/>
        </w:trPr>
        <w:tc>
          <w:tcPr>
            <w:tcW w:w="5108" w:type="dxa"/>
            <w:vMerge/>
            <w:tcBorders>
              <w:left w:val="nil"/>
              <w:bottom w:val="single" w:sz="4" w:space="0" w:color="BDD6EE" w:themeColor="accent1" w:themeTint="66"/>
              <w:right w:val="nil"/>
            </w:tcBorders>
            <w:shd w:val="clear" w:color="auto" w:fill="auto"/>
            <w:vAlign w:val="center"/>
          </w:tcPr>
          <w:p w14:paraId="661B953B" w14:textId="33AB5F14" w:rsidR="00080F7C" w:rsidRPr="00237760" w:rsidRDefault="00080F7C" w:rsidP="009367B4">
            <w:pPr>
              <w:spacing w:after="0" w:line="240" w:lineRule="auto"/>
              <w:jc w:val="left"/>
              <w:rPr>
                <w:rFonts w:ascii="Arial" w:hAnsi="Arial" w:cs="Arial"/>
                <w:b/>
                <w:color w:val="auto"/>
                <w:sz w:val="24"/>
                <w:szCs w:val="24"/>
              </w:rPr>
            </w:pPr>
          </w:p>
        </w:tc>
        <w:tc>
          <w:tcPr>
            <w:tcW w:w="56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4B38EC0C" w14:textId="7F5CDCE6" w:rsidR="00080F7C" w:rsidRPr="00237760" w:rsidRDefault="00080F7C"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57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61C46C9D" w14:textId="28935466" w:rsidR="00080F7C" w:rsidRPr="00237760" w:rsidRDefault="00080F7C"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47879E39" w14:textId="371995D0" w:rsidR="00080F7C" w:rsidRPr="00237760" w:rsidRDefault="00080F7C"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38CDCCB8" w14:textId="6B950E59" w:rsidR="00080F7C" w:rsidRPr="00237760" w:rsidRDefault="00080F7C"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4A338AC8" w14:textId="5054589A" w:rsidR="00080F7C" w:rsidRPr="00237760" w:rsidRDefault="00080F7C"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nil"/>
            </w:tcBorders>
            <w:shd w:val="clear" w:color="auto" w:fill="auto"/>
          </w:tcPr>
          <w:p w14:paraId="365FEFA0" w14:textId="4ED7F7EB" w:rsidR="00080F7C" w:rsidRPr="00237760" w:rsidRDefault="00080F7C"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570" w:type="dxa"/>
            <w:tcBorders>
              <w:top w:val="single" w:sz="4" w:space="0" w:color="BDD6EE" w:themeColor="accent1" w:themeTint="66"/>
              <w:left w:val="single" w:sz="4" w:space="0" w:color="BDD6EE" w:themeColor="accent1" w:themeTint="66"/>
              <w:bottom w:val="single" w:sz="4" w:space="0" w:color="BDD6EE" w:themeColor="accent1" w:themeTint="66"/>
              <w:right w:val="nil"/>
            </w:tcBorders>
            <w:shd w:val="clear" w:color="auto" w:fill="auto"/>
          </w:tcPr>
          <w:p w14:paraId="1978A638" w14:textId="4E4EC265" w:rsidR="00080F7C" w:rsidRPr="00237760" w:rsidRDefault="00080F7C"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4.</w:t>
            </w:r>
          </w:p>
        </w:tc>
      </w:tr>
      <w:tr w:rsidR="00237760" w:rsidRPr="00237760" w14:paraId="367B0D0E" w14:textId="77777777" w:rsidTr="00A15DF0">
        <w:trPr>
          <w:trHeight w:val="55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1796BBC0" w14:textId="29B0A256" w:rsidR="00080F7C" w:rsidRPr="00237760" w:rsidRDefault="00080F7C"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Cel szczegółowy d) wspieranie dostosowania pracowników, przedsiębiorstw i przedsiębiorców do zmian, wspieranie aktywnego i zdrowego starzenia się oraz zdrowego i dobrze dostosowanego środowiska pracy, które uwzględnia zagrożenia dla zdrowia</w:t>
            </w:r>
          </w:p>
        </w:tc>
        <w:tc>
          <w:tcPr>
            <w:tcW w:w="56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0CAD6336" w14:textId="77777777" w:rsidR="00080F7C" w:rsidRPr="00237760" w:rsidRDefault="00080F7C" w:rsidP="009367B4">
            <w:pPr>
              <w:spacing w:after="0" w:line="240" w:lineRule="auto"/>
              <w:jc w:val="left"/>
              <w:rPr>
                <w:rFonts w:ascii="Arial" w:hAnsi="Arial" w:cs="Arial"/>
                <w:color w:val="auto"/>
                <w:sz w:val="24"/>
                <w:szCs w:val="24"/>
              </w:rPr>
            </w:pPr>
          </w:p>
        </w:tc>
        <w:tc>
          <w:tcPr>
            <w:tcW w:w="57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72C3B367" w14:textId="77777777" w:rsidR="00080F7C" w:rsidRPr="00237760" w:rsidRDefault="00080F7C"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58C67DBD" w14:textId="77777777" w:rsidR="00080F7C" w:rsidRPr="00237760" w:rsidRDefault="00080F7C"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51D2974C" w14:textId="77777777" w:rsidR="00080F7C" w:rsidRPr="00237760" w:rsidRDefault="00080F7C"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17031E12" w14:textId="77777777" w:rsidR="00080F7C" w:rsidRPr="00237760" w:rsidRDefault="00080F7C"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6DA55BBF" w14:textId="77777777" w:rsidR="00080F7C" w:rsidRPr="00237760" w:rsidRDefault="00080F7C" w:rsidP="009367B4">
            <w:pPr>
              <w:spacing w:after="0" w:line="240" w:lineRule="auto"/>
              <w:jc w:val="left"/>
              <w:rPr>
                <w:rFonts w:ascii="Arial" w:hAnsi="Arial" w:cs="Arial"/>
                <w:color w:val="auto"/>
                <w:sz w:val="24"/>
                <w:szCs w:val="24"/>
              </w:rPr>
            </w:pPr>
          </w:p>
        </w:tc>
        <w:tc>
          <w:tcPr>
            <w:tcW w:w="57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7BBDABF7" w14:textId="77777777" w:rsidR="00080F7C" w:rsidRPr="00237760" w:rsidRDefault="00080F7C" w:rsidP="009367B4">
            <w:pPr>
              <w:spacing w:after="0" w:line="240" w:lineRule="auto"/>
              <w:jc w:val="left"/>
              <w:rPr>
                <w:rFonts w:ascii="Arial" w:hAnsi="Arial" w:cs="Arial"/>
                <w:color w:val="auto"/>
                <w:sz w:val="24"/>
                <w:szCs w:val="24"/>
              </w:rPr>
            </w:pPr>
          </w:p>
        </w:tc>
      </w:tr>
      <w:tr w:rsidR="00237760" w:rsidRPr="00237760" w14:paraId="0CF46626" w14:textId="77777777" w:rsidTr="009F6BD4">
        <w:trPr>
          <w:trHeight w:val="50"/>
        </w:trPr>
        <w:tc>
          <w:tcPr>
            <w:tcW w:w="9085" w:type="dxa"/>
            <w:gridSpan w:val="8"/>
            <w:tcBorders>
              <w:top w:val="nil"/>
              <w:left w:val="nil"/>
              <w:bottom w:val="single" w:sz="4" w:space="0" w:color="BDD6EE" w:themeColor="accent1" w:themeTint="66"/>
            </w:tcBorders>
            <w:shd w:val="clear" w:color="auto" w:fill="auto"/>
            <w:vAlign w:val="center"/>
          </w:tcPr>
          <w:p w14:paraId="73152334" w14:textId="77777777" w:rsidR="00080F7C" w:rsidRPr="00237760" w:rsidRDefault="00080F7C"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Projekt Programu Fundusze Europejskie na Infrastrukturę, Klimat, Środowisko 2021-2027</w:t>
            </w:r>
          </w:p>
        </w:tc>
      </w:tr>
      <w:tr w:rsidR="00237760" w:rsidRPr="00237760" w14:paraId="01890011" w14:textId="77777777" w:rsidTr="009F6BD4">
        <w:trPr>
          <w:trHeight w:val="70"/>
        </w:trPr>
        <w:tc>
          <w:tcPr>
            <w:tcW w:w="5108" w:type="dxa"/>
            <w:vMerge w:val="restart"/>
            <w:tcBorders>
              <w:top w:val="nil"/>
              <w:left w:val="nil"/>
              <w:bottom w:val="single" w:sz="4" w:space="0" w:color="BDD6EE" w:themeColor="accent1" w:themeTint="66"/>
              <w:right w:val="nil"/>
            </w:tcBorders>
            <w:shd w:val="clear" w:color="auto" w:fill="auto"/>
            <w:vAlign w:val="center"/>
            <w:hideMark/>
          </w:tcPr>
          <w:p w14:paraId="16FF74C8" w14:textId="77777777" w:rsidR="00080F7C" w:rsidRPr="00237760" w:rsidRDefault="00080F7C" w:rsidP="009367B4">
            <w:pPr>
              <w:spacing w:after="0" w:line="240" w:lineRule="auto"/>
              <w:jc w:val="left"/>
              <w:rPr>
                <w:rFonts w:ascii="Arial" w:hAnsi="Arial" w:cs="Arial"/>
                <w:b/>
                <w:color w:val="auto"/>
                <w:sz w:val="24"/>
                <w:szCs w:val="24"/>
              </w:rPr>
            </w:pPr>
            <w:r w:rsidRPr="00237760">
              <w:rPr>
                <w:rFonts w:ascii="Arial" w:eastAsia="MS Gothic" w:hAnsi="Arial" w:cs="Arial"/>
                <w:b/>
                <w:color w:val="auto"/>
                <w:sz w:val="24"/>
                <w:szCs w:val="24"/>
              </w:rPr>
              <w:t>Priorytety</w:t>
            </w:r>
          </w:p>
        </w:tc>
        <w:tc>
          <w:tcPr>
            <w:tcW w:w="1704" w:type="dxa"/>
            <w:gridSpan w:val="3"/>
            <w:tcBorders>
              <w:top w:val="nil"/>
              <w:left w:val="nil"/>
              <w:bottom w:val="single" w:sz="4" w:space="0" w:color="BDD6EE" w:themeColor="accent1" w:themeTint="66"/>
            </w:tcBorders>
            <w:shd w:val="clear" w:color="auto" w:fill="auto"/>
          </w:tcPr>
          <w:p w14:paraId="612FE03D" w14:textId="77777777" w:rsidR="00080F7C" w:rsidRPr="00237760" w:rsidRDefault="00080F7C"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podstawowe PSRT WP</w:t>
            </w:r>
          </w:p>
        </w:tc>
        <w:tc>
          <w:tcPr>
            <w:tcW w:w="2271" w:type="dxa"/>
            <w:gridSpan w:val="4"/>
            <w:tcBorders>
              <w:top w:val="nil"/>
              <w:left w:val="nil"/>
              <w:bottom w:val="single" w:sz="4" w:space="0" w:color="BDD6EE" w:themeColor="accent1" w:themeTint="66"/>
            </w:tcBorders>
            <w:shd w:val="clear" w:color="auto" w:fill="auto"/>
            <w:vAlign w:val="center"/>
          </w:tcPr>
          <w:p w14:paraId="04BA7E39" w14:textId="77777777" w:rsidR="00080F7C" w:rsidRPr="00237760" w:rsidRDefault="00080F7C"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horyzontalne PSRT WP</w:t>
            </w:r>
          </w:p>
        </w:tc>
      </w:tr>
      <w:tr w:rsidR="00237760" w:rsidRPr="00237760" w14:paraId="6708F143" w14:textId="77777777" w:rsidTr="009F6BD4">
        <w:trPr>
          <w:trHeight w:val="50"/>
        </w:trPr>
        <w:tc>
          <w:tcPr>
            <w:tcW w:w="5108" w:type="dxa"/>
            <w:vMerge/>
            <w:tcBorders>
              <w:top w:val="nil"/>
              <w:left w:val="nil"/>
              <w:bottom w:val="single" w:sz="4" w:space="0" w:color="BDD6EE" w:themeColor="accent1" w:themeTint="66"/>
              <w:right w:val="nil"/>
            </w:tcBorders>
            <w:shd w:val="clear" w:color="auto" w:fill="auto"/>
            <w:vAlign w:val="center"/>
            <w:hideMark/>
          </w:tcPr>
          <w:p w14:paraId="7FD437DB" w14:textId="77777777" w:rsidR="00080F7C" w:rsidRPr="00237760" w:rsidRDefault="00080F7C" w:rsidP="009367B4">
            <w:pPr>
              <w:spacing w:after="0" w:line="240" w:lineRule="auto"/>
              <w:jc w:val="left"/>
              <w:rPr>
                <w:rFonts w:ascii="Arial" w:hAnsi="Arial" w:cs="Arial"/>
                <w:b/>
                <w:color w:val="auto"/>
                <w:sz w:val="24"/>
                <w:szCs w:val="24"/>
              </w:rPr>
            </w:pPr>
          </w:p>
        </w:tc>
        <w:tc>
          <w:tcPr>
            <w:tcW w:w="56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0B6FC8CB" w14:textId="77777777" w:rsidR="00080F7C" w:rsidRPr="00237760" w:rsidRDefault="00080F7C"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57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5A76D8E7" w14:textId="77777777" w:rsidR="00080F7C" w:rsidRPr="00237760" w:rsidRDefault="00080F7C"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1C6C08DC" w14:textId="77777777" w:rsidR="00080F7C" w:rsidRPr="00237760" w:rsidRDefault="00080F7C"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779CABD2" w14:textId="77777777" w:rsidR="00080F7C" w:rsidRPr="00237760" w:rsidRDefault="00080F7C"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50789791" w14:textId="77777777" w:rsidR="00080F7C" w:rsidRPr="00237760" w:rsidRDefault="00080F7C"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nil"/>
            </w:tcBorders>
            <w:shd w:val="clear" w:color="auto" w:fill="auto"/>
          </w:tcPr>
          <w:p w14:paraId="3D5B6E51" w14:textId="77777777" w:rsidR="00080F7C" w:rsidRPr="00237760" w:rsidRDefault="00080F7C"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570" w:type="dxa"/>
            <w:tcBorders>
              <w:top w:val="single" w:sz="4" w:space="0" w:color="BDD6EE" w:themeColor="accent1" w:themeTint="66"/>
              <w:left w:val="single" w:sz="4" w:space="0" w:color="BDD6EE" w:themeColor="accent1" w:themeTint="66"/>
              <w:bottom w:val="single" w:sz="4" w:space="0" w:color="BDD6EE" w:themeColor="accent1" w:themeTint="66"/>
              <w:right w:val="nil"/>
            </w:tcBorders>
            <w:shd w:val="clear" w:color="auto" w:fill="auto"/>
          </w:tcPr>
          <w:p w14:paraId="77A3EEB1" w14:textId="77777777" w:rsidR="00080F7C" w:rsidRPr="00237760" w:rsidRDefault="00080F7C"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4.</w:t>
            </w:r>
          </w:p>
        </w:tc>
      </w:tr>
      <w:tr w:rsidR="00237760" w:rsidRPr="00237760" w14:paraId="5C4C4E4C" w14:textId="77777777" w:rsidTr="00A15DF0">
        <w:trPr>
          <w:trHeight w:val="55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5D1C8602" w14:textId="77777777" w:rsidR="00080F7C" w:rsidRPr="00237760" w:rsidRDefault="00080F7C"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PRIORYTET I: Wsparcie sektorów energetyka i środowisko z Funduszu Spójności</w:t>
            </w:r>
          </w:p>
        </w:tc>
        <w:tc>
          <w:tcPr>
            <w:tcW w:w="56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2A4DDF6F" w14:textId="77777777" w:rsidR="00080F7C" w:rsidRPr="00237760" w:rsidRDefault="00080F7C" w:rsidP="009367B4">
            <w:pPr>
              <w:spacing w:after="0" w:line="240" w:lineRule="auto"/>
              <w:jc w:val="left"/>
              <w:rPr>
                <w:rFonts w:ascii="Arial" w:hAnsi="Arial" w:cs="Arial"/>
                <w:color w:val="auto"/>
                <w:sz w:val="24"/>
                <w:szCs w:val="24"/>
              </w:rPr>
            </w:pPr>
          </w:p>
        </w:tc>
        <w:tc>
          <w:tcPr>
            <w:tcW w:w="57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08815D99" w14:textId="77777777" w:rsidR="00080F7C" w:rsidRPr="00237760" w:rsidRDefault="00080F7C"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65F079DE" w14:textId="77777777" w:rsidR="00080F7C" w:rsidRPr="00237760" w:rsidRDefault="00080F7C"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558017D5" w14:textId="77777777" w:rsidR="00080F7C" w:rsidRPr="00237760" w:rsidRDefault="00080F7C"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2E1F2C95" w14:textId="77777777" w:rsidR="00080F7C" w:rsidRPr="00237760" w:rsidRDefault="00080F7C"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7CFE20AC" w14:textId="77777777" w:rsidR="00080F7C" w:rsidRPr="00237760" w:rsidRDefault="00080F7C" w:rsidP="009367B4">
            <w:pPr>
              <w:spacing w:after="0" w:line="240" w:lineRule="auto"/>
              <w:jc w:val="left"/>
              <w:rPr>
                <w:rFonts w:ascii="Arial" w:hAnsi="Arial" w:cs="Arial"/>
                <w:color w:val="auto"/>
                <w:sz w:val="24"/>
                <w:szCs w:val="24"/>
              </w:rPr>
            </w:pPr>
          </w:p>
        </w:tc>
        <w:tc>
          <w:tcPr>
            <w:tcW w:w="57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3C3870CD" w14:textId="77777777" w:rsidR="00080F7C" w:rsidRPr="00237760" w:rsidRDefault="00080F7C" w:rsidP="009367B4">
            <w:pPr>
              <w:spacing w:after="0" w:line="240" w:lineRule="auto"/>
              <w:jc w:val="left"/>
              <w:rPr>
                <w:rFonts w:ascii="Arial" w:hAnsi="Arial" w:cs="Arial"/>
                <w:color w:val="auto"/>
                <w:sz w:val="24"/>
                <w:szCs w:val="24"/>
              </w:rPr>
            </w:pPr>
          </w:p>
        </w:tc>
      </w:tr>
      <w:tr w:rsidR="00237760" w:rsidRPr="00237760" w14:paraId="509EC1F5" w14:textId="77777777" w:rsidTr="00C84EDE">
        <w:trPr>
          <w:trHeight w:val="18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7664B40A" w14:textId="5F341FFF" w:rsidR="00080F7C" w:rsidRPr="00237760" w:rsidRDefault="00080F7C"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PRIORYTET II: Wsparcie sek</w:t>
            </w:r>
            <w:r w:rsidR="00C84EDE" w:rsidRPr="00237760">
              <w:rPr>
                <w:rFonts w:ascii="Arial" w:hAnsi="Arial" w:cs="Arial"/>
                <w:color w:val="auto"/>
                <w:sz w:val="24"/>
                <w:szCs w:val="24"/>
              </w:rPr>
              <w:t>t</w:t>
            </w:r>
            <w:r w:rsidRPr="00237760">
              <w:rPr>
                <w:rFonts w:ascii="Arial" w:hAnsi="Arial" w:cs="Arial"/>
                <w:color w:val="auto"/>
                <w:sz w:val="24"/>
                <w:szCs w:val="24"/>
              </w:rPr>
              <w:t>orów energetyka i środowisko z EFRR</w:t>
            </w:r>
          </w:p>
        </w:tc>
        <w:tc>
          <w:tcPr>
            <w:tcW w:w="56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105BDC32" w14:textId="77777777" w:rsidR="00080F7C" w:rsidRPr="00237760" w:rsidRDefault="00080F7C" w:rsidP="009367B4">
            <w:pPr>
              <w:spacing w:after="0" w:line="240" w:lineRule="auto"/>
              <w:jc w:val="left"/>
              <w:rPr>
                <w:rFonts w:ascii="Arial" w:hAnsi="Arial" w:cs="Arial"/>
                <w:color w:val="auto"/>
                <w:sz w:val="24"/>
                <w:szCs w:val="24"/>
              </w:rPr>
            </w:pPr>
          </w:p>
        </w:tc>
        <w:tc>
          <w:tcPr>
            <w:tcW w:w="57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2F1B27AE" w14:textId="77777777" w:rsidR="00080F7C" w:rsidRPr="00237760" w:rsidRDefault="00080F7C"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3FCE1CEC" w14:textId="77777777" w:rsidR="00080F7C" w:rsidRPr="00237760" w:rsidRDefault="00080F7C"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613853FD" w14:textId="77777777" w:rsidR="00080F7C" w:rsidRPr="00237760" w:rsidRDefault="00080F7C"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48FAEAF9" w14:textId="77777777" w:rsidR="00080F7C" w:rsidRPr="00237760" w:rsidRDefault="00080F7C"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5D153908" w14:textId="77777777" w:rsidR="00080F7C" w:rsidRPr="00237760" w:rsidRDefault="00080F7C" w:rsidP="009367B4">
            <w:pPr>
              <w:spacing w:after="0" w:line="240" w:lineRule="auto"/>
              <w:jc w:val="left"/>
              <w:rPr>
                <w:rFonts w:ascii="Arial" w:hAnsi="Arial" w:cs="Arial"/>
                <w:color w:val="auto"/>
                <w:sz w:val="24"/>
                <w:szCs w:val="24"/>
              </w:rPr>
            </w:pPr>
          </w:p>
        </w:tc>
        <w:tc>
          <w:tcPr>
            <w:tcW w:w="57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1239DB4D" w14:textId="77777777" w:rsidR="00080F7C" w:rsidRPr="00237760" w:rsidRDefault="00080F7C" w:rsidP="009367B4">
            <w:pPr>
              <w:spacing w:after="0" w:line="240" w:lineRule="auto"/>
              <w:jc w:val="left"/>
              <w:rPr>
                <w:rFonts w:ascii="Arial" w:hAnsi="Arial" w:cs="Arial"/>
                <w:color w:val="auto"/>
                <w:sz w:val="24"/>
                <w:szCs w:val="24"/>
              </w:rPr>
            </w:pPr>
          </w:p>
        </w:tc>
      </w:tr>
      <w:tr w:rsidR="00237760" w:rsidRPr="00237760" w14:paraId="6E1E5E6C" w14:textId="77777777" w:rsidTr="00A15DF0">
        <w:trPr>
          <w:trHeight w:val="1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7583BB8D" w14:textId="77777777" w:rsidR="00080F7C" w:rsidRPr="00237760" w:rsidRDefault="00080F7C"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PRIORYTET III: Transport miejski</w:t>
            </w:r>
          </w:p>
        </w:tc>
        <w:tc>
          <w:tcPr>
            <w:tcW w:w="56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59BF1179" w14:textId="77777777" w:rsidR="00080F7C" w:rsidRPr="00237760" w:rsidRDefault="00080F7C" w:rsidP="009367B4">
            <w:pPr>
              <w:spacing w:after="0" w:line="240" w:lineRule="auto"/>
              <w:jc w:val="left"/>
              <w:rPr>
                <w:rFonts w:ascii="Arial" w:hAnsi="Arial" w:cs="Arial"/>
                <w:color w:val="auto"/>
                <w:sz w:val="24"/>
                <w:szCs w:val="24"/>
              </w:rPr>
            </w:pPr>
          </w:p>
        </w:tc>
        <w:tc>
          <w:tcPr>
            <w:tcW w:w="57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120E3589" w14:textId="77777777" w:rsidR="00080F7C" w:rsidRPr="00237760" w:rsidRDefault="00080F7C"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462895CC" w14:textId="77777777" w:rsidR="00080F7C" w:rsidRPr="00237760" w:rsidRDefault="00080F7C"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1E078276" w14:textId="77777777" w:rsidR="00080F7C" w:rsidRPr="00237760" w:rsidRDefault="00080F7C"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2124AA0F" w14:textId="77777777" w:rsidR="00080F7C" w:rsidRPr="00237760" w:rsidRDefault="00080F7C"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169CB5FA" w14:textId="77777777" w:rsidR="00080F7C" w:rsidRPr="00237760" w:rsidRDefault="00080F7C" w:rsidP="009367B4">
            <w:pPr>
              <w:spacing w:after="0" w:line="240" w:lineRule="auto"/>
              <w:jc w:val="left"/>
              <w:rPr>
                <w:rFonts w:ascii="Arial" w:hAnsi="Arial" w:cs="Arial"/>
                <w:color w:val="auto"/>
                <w:sz w:val="24"/>
                <w:szCs w:val="24"/>
              </w:rPr>
            </w:pPr>
          </w:p>
        </w:tc>
        <w:tc>
          <w:tcPr>
            <w:tcW w:w="57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14FDF7F6" w14:textId="77777777" w:rsidR="00080F7C" w:rsidRPr="00237760" w:rsidRDefault="00080F7C" w:rsidP="009367B4">
            <w:pPr>
              <w:spacing w:after="0" w:line="240" w:lineRule="auto"/>
              <w:jc w:val="left"/>
              <w:rPr>
                <w:rFonts w:ascii="Arial" w:hAnsi="Arial" w:cs="Arial"/>
                <w:color w:val="auto"/>
                <w:sz w:val="24"/>
                <w:szCs w:val="24"/>
              </w:rPr>
            </w:pPr>
          </w:p>
        </w:tc>
      </w:tr>
      <w:tr w:rsidR="00237760" w:rsidRPr="00237760" w14:paraId="05E7E46A" w14:textId="77777777" w:rsidTr="00A15DF0">
        <w:trPr>
          <w:trHeight w:val="1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1E194F12" w14:textId="77777777" w:rsidR="00080F7C" w:rsidRPr="00237760" w:rsidRDefault="00080F7C"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PRIORYTET IV: Wsparcie sektora transportu z Funduszu Spójności</w:t>
            </w:r>
          </w:p>
        </w:tc>
        <w:tc>
          <w:tcPr>
            <w:tcW w:w="56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4BFB2680" w14:textId="77777777" w:rsidR="00080F7C" w:rsidRPr="00237760" w:rsidRDefault="00080F7C" w:rsidP="009367B4">
            <w:pPr>
              <w:spacing w:after="0" w:line="240" w:lineRule="auto"/>
              <w:jc w:val="left"/>
              <w:rPr>
                <w:rFonts w:ascii="Arial" w:hAnsi="Arial" w:cs="Arial"/>
                <w:color w:val="auto"/>
                <w:sz w:val="24"/>
                <w:szCs w:val="24"/>
              </w:rPr>
            </w:pPr>
          </w:p>
        </w:tc>
        <w:tc>
          <w:tcPr>
            <w:tcW w:w="57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7D00E8D8" w14:textId="77777777" w:rsidR="00080F7C" w:rsidRPr="00237760" w:rsidRDefault="00080F7C"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26F19956" w14:textId="77777777" w:rsidR="00080F7C" w:rsidRPr="00237760" w:rsidRDefault="00080F7C"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1D943D41" w14:textId="77777777" w:rsidR="00080F7C" w:rsidRPr="00237760" w:rsidRDefault="00080F7C"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5AFEA541" w14:textId="77777777" w:rsidR="00080F7C" w:rsidRPr="00237760" w:rsidRDefault="00080F7C"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761682C1" w14:textId="77777777" w:rsidR="00080F7C" w:rsidRPr="00237760" w:rsidRDefault="00080F7C" w:rsidP="009367B4">
            <w:pPr>
              <w:spacing w:after="0" w:line="240" w:lineRule="auto"/>
              <w:jc w:val="left"/>
              <w:rPr>
                <w:rFonts w:ascii="Arial" w:hAnsi="Arial" w:cs="Arial"/>
                <w:color w:val="auto"/>
                <w:sz w:val="24"/>
                <w:szCs w:val="24"/>
              </w:rPr>
            </w:pPr>
          </w:p>
        </w:tc>
        <w:tc>
          <w:tcPr>
            <w:tcW w:w="57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58A325A4" w14:textId="77777777" w:rsidR="00080F7C" w:rsidRPr="00237760" w:rsidRDefault="00080F7C" w:rsidP="009367B4">
            <w:pPr>
              <w:spacing w:after="0" w:line="240" w:lineRule="auto"/>
              <w:jc w:val="left"/>
              <w:rPr>
                <w:rFonts w:ascii="Arial" w:hAnsi="Arial" w:cs="Arial"/>
                <w:color w:val="auto"/>
                <w:sz w:val="24"/>
                <w:szCs w:val="24"/>
              </w:rPr>
            </w:pPr>
          </w:p>
        </w:tc>
      </w:tr>
      <w:tr w:rsidR="00237760" w:rsidRPr="00237760" w14:paraId="29921432" w14:textId="77777777" w:rsidTr="00A15DF0">
        <w:trPr>
          <w:trHeight w:val="1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2C327633" w14:textId="77777777" w:rsidR="00080F7C" w:rsidRPr="00237760" w:rsidRDefault="00080F7C"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PRIORYTET V: Wsparcie sektora transportu z EFR</w:t>
            </w:r>
          </w:p>
        </w:tc>
        <w:tc>
          <w:tcPr>
            <w:tcW w:w="56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26ED4524" w14:textId="77777777" w:rsidR="00080F7C" w:rsidRPr="00237760" w:rsidRDefault="00080F7C" w:rsidP="009367B4">
            <w:pPr>
              <w:spacing w:after="0" w:line="240" w:lineRule="auto"/>
              <w:jc w:val="left"/>
              <w:rPr>
                <w:rFonts w:ascii="Arial" w:hAnsi="Arial" w:cs="Arial"/>
                <w:color w:val="auto"/>
                <w:sz w:val="24"/>
                <w:szCs w:val="24"/>
              </w:rPr>
            </w:pPr>
          </w:p>
        </w:tc>
        <w:tc>
          <w:tcPr>
            <w:tcW w:w="57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77823BE9" w14:textId="77777777" w:rsidR="00080F7C" w:rsidRPr="00237760" w:rsidRDefault="00080F7C"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5A413E92" w14:textId="77777777" w:rsidR="00080F7C" w:rsidRPr="00237760" w:rsidRDefault="00080F7C"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140A5AA8" w14:textId="77777777" w:rsidR="00080F7C" w:rsidRPr="00237760" w:rsidRDefault="00080F7C"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6C449CEB" w14:textId="77777777" w:rsidR="00080F7C" w:rsidRPr="00237760" w:rsidRDefault="00080F7C"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1F44E4ED" w14:textId="77777777" w:rsidR="00080F7C" w:rsidRPr="00237760" w:rsidRDefault="00080F7C" w:rsidP="009367B4">
            <w:pPr>
              <w:spacing w:after="0" w:line="240" w:lineRule="auto"/>
              <w:jc w:val="left"/>
              <w:rPr>
                <w:rFonts w:ascii="Arial" w:hAnsi="Arial" w:cs="Arial"/>
                <w:color w:val="auto"/>
                <w:sz w:val="24"/>
                <w:szCs w:val="24"/>
              </w:rPr>
            </w:pPr>
          </w:p>
        </w:tc>
        <w:tc>
          <w:tcPr>
            <w:tcW w:w="57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310F0DD3" w14:textId="77777777" w:rsidR="00080F7C" w:rsidRPr="00237760" w:rsidRDefault="00080F7C" w:rsidP="009367B4">
            <w:pPr>
              <w:spacing w:after="0" w:line="240" w:lineRule="auto"/>
              <w:jc w:val="left"/>
              <w:rPr>
                <w:rFonts w:ascii="Arial" w:hAnsi="Arial" w:cs="Arial"/>
                <w:color w:val="auto"/>
                <w:sz w:val="24"/>
                <w:szCs w:val="24"/>
              </w:rPr>
            </w:pPr>
          </w:p>
        </w:tc>
      </w:tr>
      <w:tr w:rsidR="00237760" w:rsidRPr="00237760" w14:paraId="0E88FDC0" w14:textId="77777777" w:rsidTr="00A15DF0">
        <w:trPr>
          <w:trHeight w:val="1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641D9303" w14:textId="77777777" w:rsidR="00080F7C" w:rsidRPr="00237760" w:rsidRDefault="00080F7C"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PRIORYTET VII: Kultura</w:t>
            </w:r>
          </w:p>
        </w:tc>
        <w:tc>
          <w:tcPr>
            <w:tcW w:w="56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5D9DB38E" w14:textId="77777777" w:rsidR="00080F7C" w:rsidRPr="00237760" w:rsidRDefault="00080F7C" w:rsidP="009367B4">
            <w:pPr>
              <w:spacing w:after="0" w:line="240" w:lineRule="auto"/>
              <w:jc w:val="left"/>
              <w:rPr>
                <w:rFonts w:ascii="Arial" w:hAnsi="Arial" w:cs="Arial"/>
                <w:color w:val="auto"/>
                <w:sz w:val="24"/>
                <w:szCs w:val="24"/>
              </w:rPr>
            </w:pPr>
          </w:p>
        </w:tc>
        <w:tc>
          <w:tcPr>
            <w:tcW w:w="57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05FE23C9" w14:textId="77777777" w:rsidR="00080F7C" w:rsidRPr="00237760" w:rsidRDefault="00080F7C"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01AF774B" w14:textId="77777777" w:rsidR="00080F7C" w:rsidRPr="00237760" w:rsidRDefault="00080F7C"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43801E3C" w14:textId="77777777" w:rsidR="00080F7C" w:rsidRPr="00237760" w:rsidRDefault="00080F7C"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2514C129" w14:textId="77777777" w:rsidR="00080F7C" w:rsidRPr="00237760" w:rsidRDefault="00080F7C"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284318D0" w14:textId="77777777" w:rsidR="00080F7C" w:rsidRPr="00237760" w:rsidRDefault="00080F7C" w:rsidP="009367B4">
            <w:pPr>
              <w:spacing w:after="0" w:line="240" w:lineRule="auto"/>
              <w:jc w:val="left"/>
              <w:rPr>
                <w:rFonts w:ascii="Arial" w:hAnsi="Arial" w:cs="Arial"/>
                <w:color w:val="auto"/>
                <w:sz w:val="24"/>
                <w:szCs w:val="24"/>
              </w:rPr>
            </w:pPr>
          </w:p>
        </w:tc>
        <w:tc>
          <w:tcPr>
            <w:tcW w:w="57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311BB203" w14:textId="77777777" w:rsidR="00080F7C" w:rsidRPr="00237760" w:rsidRDefault="00080F7C" w:rsidP="009367B4">
            <w:pPr>
              <w:spacing w:after="0" w:line="240" w:lineRule="auto"/>
              <w:jc w:val="left"/>
              <w:rPr>
                <w:rFonts w:ascii="Arial" w:hAnsi="Arial" w:cs="Arial"/>
                <w:color w:val="auto"/>
                <w:sz w:val="24"/>
                <w:szCs w:val="24"/>
              </w:rPr>
            </w:pPr>
          </w:p>
        </w:tc>
      </w:tr>
      <w:tr w:rsidR="00237760" w:rsidRPr="00237760" w14:paraId="44462F2A" w14:textId="77777777" w:rsidTr="009F6BD4">
        <w:trPr>
          <w:trHeight w:val="60"/>
        </w:trPr>
        <w:tc>
          <w:tcPr>
            <w:tcW w:w="9085" w:type="dxa"/>
            <w:gridSpan w:val="8"/>
            <w:tcBorders>
              <w:top w:val="nil"/>
              <w:left w:val="nil"/>
              <w:bottom w:val="single" w:sz="4" w:space="0" w:color="BDD6EE" w:themeColor="accent1" w:themeTint="66"/>
            </w:tcBorders>
            <w:shd w:val="clear" w:color="auto" w:fill="auto"/>
            <w:vAlign w:val="center"/>
          </w:tcPr>
          <w:p w14:paraId="1E5BD6A5" w14:textId="77777777" w:rsidR="00080F7C" w:rsidRPr="00237760" w:rsidRDefault="00080F7C"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Fundusze Europejskie dla Polski Wschodniej 2021-2027 (projekt)</w:t>
            </w:r>
          </w:p>
        </w:tc>
      </w:tr>
      <w:tr w:rsidR="00237760" w:rsidRPr="00237760" w14:paraId="0F5FDE82" w14:textId="77777777" w:rsidTr="009F6BD4">
        <w:trPr>
          <w:trHeight w:val="70"/>
        </w:trPr>
        <w:tc>
          <w:tcPr>
            <w:tcW w:w="5108" w:type="dxa"/>
            <w:vMerge w:val="restart"/>
            <w:tcBorders>
              <w:top w:val="nil"/>
              <w:left w:val="nil"/>
              <w:bottom w:val="single" w:sz="4" w:space="0" w:color="BDD6EE" w:themeColor="accent1" w:themeTint="66"/>
              <w:right w:val="nil"/>
            </w:tcBorders>
            <w:shd w:val="clear" w:color="auto" w:fill="auto"/>
            <w:vAlign w:val="center"/>
            <w:hideMark/>
          </w:tcPr>
          <w:p w14:paraId="538C3313" w14:textId="77777777" w:rsidR="00080F7C" w:rsidRPr="00237760" w:rsidRDefault="00080F7C" w:rsidP="009367B4">
            <w:pPr>
              <w:spacing w:after="0" w:line="240" w:lineRule="auto"/>
              <w:jc w:val="left"/>
              <w:rPr>
                <w:rFonts w:ascii="Arial" w:hAnsi="Arial" w:cs="Arial"/>
                <w:b/>
                <w:color w:val="auto"/>
                <w:sz w:val="24"/>
                <w:szCs w:val="24"/>
              </w:rPr>
            </w:pPr>
            <w:r w:rsidRPr="00237760">
              <w:rPr>
                <w:rFonts w:ascii="Arial" w:eastAsia="MS Gothic" w:hAnsi="Arial" w:cs="Arial"/>
                <w:b/>
                <w:color w:val="auto"/>
                <w:sz w:val="24"/>
                <w:szCs w:val="24"/>
              </w:rPr>
              <w:t>Priorytety</w:t>
            </w:r>
          </w:p>
        </w:tc>
        <w:tc>
          <w:tcPr>
            <w:tcW w:w="1704" w:type="dxa"/>
            <w:gridSpan w:val="3"/>
            <w:tcBorders>
              <w:top w:val="nil"/>
              <w:left w:val="nil"/>
              <w:bottom w:val="single" w:sz="4" w:space="0" w:color="BDD6EE" w:themeColor="accent1" w:themeTint="66"/>
            </w:tcBorders>
            <w:shd w:val="clear" w:color="auto" w:fill="auto"/>
          </w:tcPr>
          <w:p w14:paraId="4490516B" w14:textId="77777777" w:rsidR="00080F7C" w:rsidRPr="00237760" w:rsidRDefault="00080F7C"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podstawowe PSRT WP</w:t>
            </w:r>
          </w:p>
        </w:tc>
        <w:tc>
          <w:tcPr>
            <w:tcW w:w="2271" w:type="dxa"/>
            <w:gridSpan w:val="4"/>
            <w:tcBorders>
              <w:top w:val="nil"/>
              <w:left w:val="nil"/>
              <w:bottom w:val="single" w:sz="4" w:space="0" w:color="BDD6EE" w:themeColor="accent1" w:themeTint="66"/>
            </w:tcBorders>
            <w:shd w:val="clear" w:color="auto" w:fill="auto"/>
            <w:vAlign w:val="center"/>
          </w:tcPr>
          <w:p w14:paraId="6F9056D3" w14:textId="77777777" w:rsidR="00080F7C" w:rsidRPr="00237760" w:rsidRDefault="00080F7C"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Cele horyzontalne PSRT WP</w:t>
            </w:r>
          </w:p>
        </w:tc>
      </w:tr>
      <w:tr w:rsidR="00237760" w:rsidRPr="00237760" w14:paraId="2CF8ABDE" w14:textId="77777777" w:rsidTr="009F6BD4">
        <w:trPr>
          <w:trHeight w:val="115"/>
        </w:trPr>
        <w:tc>
          <w:tcPr>
            <w:tcW w:w="5108" w:type="dxa"/>
            <w:vMerge/>
            <w:tcBorders>
              <w:top w:val="nil"/>
              <w:left w:val="nil"/>
              <w:bottom w:val="single" w:sz="4" w:space="0" w:color="BDD6EE" w:themeColor="accent1" w:themeTint="66"/>
              <w:right w:val="nil"/>
            </w:tcBorders>
            <w:shd w:val="clear" w:color="auto" w:fill="auto"/>
            <w:vAlign w:val="center"/>
            <w:hideMark/>
          </w:tcPr>
          <w:p w14:paraId="6BE7CC75" w14:textId="77777777" w:rsidR="00080F7C" w:rsidRPr="00237760" w:rsidRDefault="00080F7C" w:rsidP="009367B4">
            <w:pPr>
              <w:spacing w:after="0" w:line="240" w:lineRule="auto"/>
              <w:jc w:val="left"/>
              <w:rPr>
                <w:rFonts w:ascii="Arial" w:hAnsi="Arial" w:cs="Arial"/>
                <w:b/>
                <w:color w:val="auto"/>
                <w:sz w:val="24"/>
                <w:szCs w:val="24"/>
              </w:rPr>
            </w:pPr>
          </w:p>
        </w:tc>
        <w:tc>
          <w:tcPr>
            <w:tcW w:w="56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369B9D4A" w14:textId="77777777" w:rsidR="00080F7C" w:rsidRPr="00237760" w:rsidRDefault="00080F7C"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57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0AEDF23C" w14:textId="77777777" w:rsidR="00080F7C" w:rsidRPr="00237760" w:rsidRDefault="00080F7C"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65728CCF" w14:textId="77777777" w:rsidR="00080F7C" w:rsidRPr="00237760" w:rsidRDefault="00080F7C"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7690D70F" w14:textId="77777777" w:rsidR="00080F7C" w:rsidRPr="00237760" w:rsidRDefault="00080F7C"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1.</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2D974FF0" w14:textId="77777777" w:rsidR="00080F7C" w:rsidRPr="00237760" w:rsidRDefault="00080F7C"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2.</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nil"/>
            </w:tcBorders>
            <w:shd w:val="clear" w:color="auto" w:fill="auto"/>
          </w:tcPr>
          <w:p w14:paraId="20E27CD6" w14:textId="77777777" w:rsidR="00080F7C" w:rsidRPr="00237760" w:rsidRDefault="00080F7C"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3.</w:t>
            </w:r>
          </w:p>
        </w:tc>
        <w:tc>
          <w:tcPr>
            <w:tcW w:w="570" w:type="dxa"/>
            <w:tcBorders>
              <w:top w:val="single" w:sz="4" w:space="0" w:color="BDD6EE" w:themeColor="accent1" w:themeTint="66"/>
              <w:left w:val="single" w:sz="4" w:space="0" w:color="BDD6EE" w:themeColor="accent1" w:themeTint="66"/>
              <w:bottom w:val="single" w:sz="4" w:space="0" w:color="BDD6EE" w:themeColor="accent1" w:themeTint="66"/>
              <w:right w:val="nil"/>
            </w:tcBorders>
            <w:shd w:val="clear" w:color="auto" w:fill="auto"/>
          </w:tcPr>
          <w:p w14:paraId="2BDBDEA2" w14:textId="77777777" w:rsidR="00080F7C" w:rsidRPr="00237760" w:rsidRDefault="00080F7C"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4.</w:t>
            </w:r>
          </w:p>
        </w:tc>
      </w:tr>
      <w:tr w:rsidR="00237760" w:rsidRPr="00237760" w14:paraId="19D1E8CC" w14:textId="77777777" w:rsidTr="00A15DF0">
        <w:trPr>
          <w:trHeight w:val="227"/>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5AE63445" w14:textId="77777777" w:rsidR="00080F7C" w:rsidRPr="00237760" w:rsidRDefault="00080F7C"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Cel szczegółowy I. Wzmacnianie konkurencyjności i innowacyjności przedsiębiorstw</w:t>
            </w:r>
          </w:p>
        </w:tc>
        <w:tc>
          <w:tcPr>
            <w:tcW w:w="56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4C7025FD" w14:textId="77777777" w:rsidR="00080F7C" w:rsidRPr="00237760" w:rsidRDefault="00080F7C" w:rsidP="009367B4">
            <w:pPr>
              <w:spacing w:after="0" w:line="240" w:lineRule="auto"/>
              <w:jc w:val="left"/>
              <w:rPr>
                <w:rFonts w:ascii="Arial" w:hAnsi="Arial" w:cs="Arial"/>
                <w:color w:val="auto"/>
                <w:sz w:val="24"/>
                <w:szCs w:val="24"/>
              </w:rPr>
            </w:pPr>
          </w:p>
        </w:tc>
        <w:tc>
          <w:tcPr>
            <w:tcW w:w="57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056E3C78" w14:textId="77777777" w:rsidR="00080F7C" w:rsidRPr="00237760" w:rsidRDefault="00080F7C"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71128E19" w14:textId="77777777" w:rsidR="00080F7C" w:rsidRPr="00237760" w:rsidRDefault="00080F7C"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6FE2525C" w14:textId="77777777" w:rsidR="00080F7C" w:rsidRPr="00237760" w:rsidRDefault="00080F7C"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587E883C" w14:textId="77777777" w:rsidR="00080F7C" w:rsidRPr="00237760" w:rsidRDefault="00080F7C"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093D4688" w14:textId="77777777" w:rsidR="00080F7C" w:rsidRPr="00237760" w:rsidRDefault="00080F7C" w:rsidP="009367B4">
            <w:pPr>
              <w:spacing w:after="0" w:line="240" w:lineRule="auto"/>
              <w:jc w:val="left"/>
              <w:rPr>
                <w:rFonts w:ascii="Arial" w:hAnsi="Arial" w:cs="Arial"/>
                <w:color w:val="auto"/>
                <w:sz w:val="24"/>
                <w:szCs w:val="24"/>
              </w:rPr>
            </w:pPr>
          </w:p>
        </w:tc>
        <w:tc>
          <w:tcPr>
            <w:tcW w:w="57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0EC795FE" w14:textId="77777777" w:rsidR="00080F7C" w:rsidRPr="00237760" w:rsidRDefault="00080F7C" w:rsidP="009367B4">
            <w:pPr>
              <w:spacing w:after="0" w:line="240" w:lineRule="auto"/>
              <w:jc w:val="left"/>
              <w:rPr>
                <w:rFonts w:ascii="Arial" w:hAnsi="Arial" w:cs="Arial"/>
                <w:color w:val="auto"/>
                <w:sz w:val="24"/>
                <w:szCs w:val="24"/>
              </w:rPr>
            </w:pPr>
          </w:p>
        </w:tc>
      </w:tr>
      <w:tr w:rsidR="00237760" w:rsidRPr="00237760" w14:paraId="1E0A281A" w14:textId="77777777" w:rsidTr="00A15DF0">
        <w:trPr>
          <w:trHeight w:val="47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24DCA471" w14:textId="77777777" w:rsidR="00080F7C" w:rsidRPr="00237760" w:rsidRDefault="00080F7C"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lastRenderedPageBreak/>
              <w:t>Cel szczegółowy II. Wzmacnianie atrakcyjności osadniczej miast i podniesienie jakości życia mieszkańców w dobie zmian klimatu</w:t>
            </w:r>
          </w:p>
        </w:tc>
        <w:tc>
          <w:tcPr>
            <w:tcW w:w="56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3F9D3DB8" w14:textId="77777777" w:rsidR="00080F7C" w:rsidRPr="00237760" w:rsidRDefault="00080F7C" w:rsidP="009367B4">
            <w:pPr>
              <w:spacing w:after="0" w:line="240" w:lineRule="auto"/>
              <w:jc w:val="left"/>
              <w:rPr>
                <w:rFonts w:ascii="Arial" w:hAnsi="Arial" w:cs="Arial"/>
                <w:color w:val="auto"/>
                <w:sz w:val="24"/>
                <w:szCs w:val="24"/>
              </w:rPr>
            </w:pPr>
          </w:p>
        </w:tc>
        <w:tc>
          <w:tcPr>
            <w:tcW w:w="57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0E559E4E" w14:textId="77777777" w:rsidR="00080F7C" w:rsidRPr="00237760" w:rsidRDefault="00080F7C"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05A6BD61" w14:textId="77777777" w:rsidR="00080F7C" w:rsidRPr="00237760" w:rsidRDefault="00080F7C"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68BBD7B3" w14:textId="77777777" w:rsidR="00080F7C" w:rsidRPr="00237760" w:rsidRDefault="00080F7C"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094EE757" w14:textId="77777777" w:rsidR="00080F7C" w:rsidRPr="00237760" w:rsidRDefault="00080F7C"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330DAB01" w14:textId="77777777" w:rsidR="00080F7C" w:rsidRPr="00237760" w:rsidRDefault="00080F7C" w:rsidP="009367B4">
            <w:pPr>
              <w:spacing w:after="0" w:line="240" w:lineRule="auto"/>
              <w:jc w:val="left"/>
              <w:rPr>
                <w:rFonts w:ascii="Arial" w:hAnsi="Arial" w:cs="Arial"/>
                <w:color w:val="auto"/>
                <w:sz w:val="24"/>
                <w:szCs w:val="24"/>
              </w:rPr>
            </w:pPr>
          </w:p>
        </w:tc>
        <w:tc>
          <w:tcPr>
            <w:tcW w:w="57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2E661A42" w14:textId="77777777" w:rsidR="00080F7C" w:rsidRPr="00237760" w:rsidRDefault="00080F7C" w:rsidP="009367B4">
            <w:pPr>
              <w:spacing w:after="0" w:line="240" w:lineRule="auto"/>
              <w:jc w:val="left"/>
              <w:rPr>
                <w:rFonts w:ascii="Arial" w:hAnsi="Arial" w:cs="Arial"/>
                <w:color w:val="auto"/>
                <w:sz w:val="24"/>
                <w:szCs w:val="24"/>
              </w:rPr>
            </w:pPr>
          </w:p>
        </w:tc>
      </w:tr>
      <w:tr w:rsidR="00237760" w:rsidRPr="00237760" w14:paraId="6BC780C2" w14:textId="77777777" w:rsidTr="00A15DF0">
        <w:trPr>
          <w:trHeight w:val="1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06B123EC" w14:textId="77777777" w:rsidR="00080F7C" w:rsidRPr="00237760" w:rsidRDefault="00080F7C"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Cel szczegółowy III. Zwiększenie dostępności transportowej makroregionu</w:t>
            </w:r>
          </w:p>
        </w:tc>
        <w:tc>
          <w:tcPr>
            <w:tcW w:w="56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54BBCA3B" w14:textId="77777777" w:rsidR="00080F7C" w:rsidRPr="00237760" w:rsidRDefault="00080F7C" w:rsidP="009367B4">
            <w:pPr>
              <w:spacing w:after="0" w:line="240" w:lineRule="auto"/>
              <w:jc w:val="left"/>
              <w:rPr>
                <w:rFonts w:ascii="Arial" w:hAnsi="Arial" w:cs="Arial"/>
                <w:color w:val="auto"/>
                <w:sz w:val="24"/>
                <w:szCs w:val="24"/>
              </w:rPr>
            </w:pPr>
          </w:p>
        </w:tc>
        <w:tc>
          <w:tcPr>
            <w:tcW w:w="57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434A2DCC" w14:textId="77777777" w:rsidR="00080F7C" w:rsidRPr="00237760" w:rsidRDefault="00080F7C"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0FCBC853" w14:textId="77777777" w:rsidR="00080F7C" w:rsidRPr="00237760" w:rsidRDefault="00080F7C"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17D0CA22" w14:textId="77777777" w:rsidR="00080F7C" w:rsidRPr="00237760" w:rsidRDefault="00080F7C"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3FE733BF" w14:textId="77777777" w:rsidR="00080F7C" w:rsidRPr="00237760" w:rsidRDefault="00080F7C"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23B90579" w14:textId="77777777" w:rsidR="00080F7C" w:rsidRPr="00237760" w:rsidRDefault="00080F7C" w:rsidP="009367B4">
            <w:pPr>
              <w:spacing w:after="0" w:line="240" w:lineRule="auto"/>
              <w:jc w:val="left"/>
              <w:rPr>
                <w:rFonts w:ascii="Arial" w:hAnsi="Arial" w:cs="Arial"/>
                <w:color w:val="auto"/>
                <w:sz w:val="24"/>
                <w:szCs w:val="24"/>
              </w:rPr>
            </w:pPr>
          </w:p>
        </w:tc>
        <w:tc>
          <w:tcPr>
            <w:tcW w:w="57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0C13B9B1" w14:textId="77777777" w:rsidR="00080F7C" w:rsidRPr="00237760" w:rsidRDefault="00080F7C" w:rsidP="009367B4">
            <w:pPr>
              <w:spacing w:after="0" w:line="240" w:lineRule="auto"/>
              <w:jc w:val="left"/>
              <w:rPr>
                <w:rFonts w:ascii="Arial" w:hAnsi="Arial" w:cs="Arial"/>
                <w:color w:val="auto"/>
                <w:sz w:val="24"/>
                <w:szCs w:val="24"/>
              </w:rPr>
            </w:pPr>
          </w:p>
        </w:tc>
      </w:tr>
      <w:tr w:rsidR="00237760" w:rsidRPr="00237760" w14:paraId="19E27729" w14:textId="77777777" w:rsidTr="00A15DF0">
        <w:trPr>
          <w:trHeight w:val="1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5FA37AED" w14:textId="77777777" w:rsidR="00080F7C" w:rsidRPr="00237760" w:rsidRDefault="00080F7C"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Cel szczegółowy IV. Wzrost wykorzystania potencjału turystyki i uzdrowisk dla rozwoju</w:t>
            </w:r>
          </w:p>
        </w:tc>
        <w:tc>
          <w:tcPr>
            <w:tcW w:w="56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tcPr>
          <w:p w14:paraId="1DAFB808" w14:textId="77777777" w:rsidR="00080F7C" w:rsidRPr="00237760" w:rsidRDefault="00080F7C" w:rsidP="009367B4">
            <w:pPr>
              <w:spacing w:after="0" w:line="240" w:lineRule="auto"/>
              <w:jc w:val="left"/>
              <w:rPr>
                <w:rFonts w:ascii="Arial" w:hAnsi="Arial" w:cs="Arial"/>
                <w:color w:val="auto"/>
                <w:sz w:val="24"/>
                <w:szCs w:val="24"/>
              </w:rPr>
            </w:pPr>
          </w:p>
        </w:tc>
        <w:tc>
          <w:tcPr>
            <w:tcW w:w="57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7933CDE4" w14:textId="77777777" w:rsidR="00080F7C" w:rsidRPr="00237760" w:rsidRDefault="00080F7C"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536E8C81" w14:textId="77777777" w:rsidR="00080F7C" w:rsidRPr="00237760" w:rsidRDefault="00080F7C"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53110143" w14:textId="77777777" w:rsidR="00080F7C" w:rsidRPr="00237760" w:rsidRDefault="00080F7C"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4E6A3D5B" w14:textId="77777777" w:rsidR="00080F7C" w:rsidRPr="00237760" w:rsidRDefault="00080F7C"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5CC0B9FA" w14:textId="77777777" w:rsidR="00080F7C" w:rsidRPr="00237760" w:rsidRDefault="00080F7C" w:rsidP="009367B4">
            <w:pPr>
              <w:spacing w:after="0" w:line="240" w:lineRule="auto"/>
              <w:jc w:val="left"/>
              <w:rPr>
                <w:rFonts w:ascii="Arial" w:hAnsi="Arial" w:cs="Arial"/>
                <w:color w:val="auto"/>
                <w:sz w:val="24"/>
                <w:szCs w:val="24"/>
              </w:rPr>
            </w:pPr>
          </w:p>
        </w:tc>
        <w:tc>
          <w:tcPr>
            <w:tcW w:w="57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68AB9791" w14:textId="77777777" w:rsidR="00080F7C" w:rsidRPr="00237760" w:rsidRDefault="00080F7C" w:rsidP="009367B4">
            <w:pPr>
              <w:spacing w:after="0" w:line="240" w:lineRule="auto"/>
              <w:jc w:val="left"/>
              <w:rPr>
                <w:rFonts w:ascii="Arial" w:hAnsi="Arial" w:cs="Arial"/>
                <w:color w:val="auto"/>
                <w:sz w:val="24"/>
                <w:szCs w:val="24"/>
              </w:rPr>
            </w:pPr>
          </w:p>
        </w:tc>
      </w:tr>
      <w:tr w:rsidR="00237760" w:rsidRPr="00237760" w14:paraId="5F24A09F" w14:textId="77777777" w:rsidTr="00A15DF0">
        <w:trPr>
          <w:trHeight w:val="14"/>
        </w:trPr>
        <w:tc>
          <w:tcPr>
            <w:tcW w:w="5108" w:type="dxa"/>
            <w:tcBorders>
              <w:top w:val="single" w:sz="4" w:space="0" w:color="BDD6EE" w:themeColor="accent1" w:themeTint="66"/>
              <w:left w:val="nil"/>
              <w:bottom w:val="single" w:sz="4" w:space="0" w:color="BDD6EE" w:themeColor="accent1" w:themeTint="66"/>
              <w:right w:val="single" w:sz="4" w:space="0" w:color="BDD6EE" w:themeColor="accent1" w:themeTint="66"/>
            </w:tcBorders>
          </w:tcPr>
          <w:p w14:paraId="20021F70" w14:textId="6D79D473" w:rsidR="00080F7C" w:rsidRPr="00237760" w:rsidRDefault="00080F7C"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Cel szczegółowy V. Zapewnienie efektywnego systemu zarządzania i wdrażania Programem</w:t>
            </w:r>
          </w:p>
        </w:tc>
        <w:tc>
          <w:tcPr>
            <w:tcW w:w="566"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0C7CC05E" w14:textId="77777777" w:rsidR="00080F7C" w:rsidRPr="00237760" w:rsidRDefault="00080F7C" w:rsidP="009367B4">
            <w:pPr>
              <w:spacing w:after="0" w:line="240" w:lineRule="auto"/>
              <w:jc w:val="left"/>
              <w:rPr>
                <w:rFonts w:ascii="Arial" w:hAnsi="Arial" w:cs="Arial"/>
                <w:color w:val="auto"/>
                <w:sz w:val="24"/>
                <w:szCs w:val="24"/>
              </w:rPr>
            </w:pPr>
          </w:p>
        </w:tc>
        <w:tc>
          <w:tcPr>
            <w:tcW w:w="57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28EC7DDD" w14:textId="77777777" w:rsidR="00080F7C" w:rsidRPr="00237760" w:rsidRDefault="00080F7C"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13A5451B" w14:textId="77777777" w:rsidR="00080F7C" w:rsidRPr="00237760" w:rsidRDefault="00080F7C"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4658CAAA" w14:textId="77777777" w:rsidR="00080F7C" w:rsidRPr="00237760" w:rsidRDefault="00080F7C"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9CC2E5" w:themeFill="accent1" w:themeFillTint="99"/>
            <w:vAlign w:val="center"/>
          </w:tcPr>
          <w:p w14:paraId="5763BBE4" w14:textId="77777777" w:rsidR="00080F7C" w:rsidRPr="00237760" w:rsidRDefault="00080F7C" w:rsidP="009367B4">
            <w:pPr>
              <w:spacing w:after="0" w:line="240" w:lineRule="auto"/>
              <w:jc w:val="left"/>
              <w:rPr>
                <w:rFonts w:ascii="Arial" w:hAnsi="Arial" w:cs="Arial"/>
                <w:color w:val="auto"/>
                <w:sz w:val="24"/>
                <w:szCs w:val="24"/>
              </w:rPr>
            </w:pP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14:paraId="282BF564" w14:textId="77777777" w:rsidR="00080F7C" w:rsidRPr="00237760" w:rsidRDefault="00080F7C" w:rsidP="009367B4">
            <w:pPr>
              <w:spacing w:after="0" w:line="240" w:lineRule="auto"/>
              <w:jc w:val="left"/>
              <w:rPr>
                <w:rFonts w:ascii="Arial" w:hAnsi="Arial" w:cs="Arial"/>
                <w:color w:val="auto"/>
                <w:sz w:val="24"/>
                <w:szCs w:val="24"/>
              </w:rPr>
            </w:pPr>
          </w:p>
        </w:tc>
        <w:tc>
          <w:tcPr>
            <w:tcW w:w="57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14:paraId="3971D5D2" w14:textId="77777777" w:rsidR="00080F7C" w:rsidRPr="00237760" w:rsidRDefault="00080F7C" w:rsidP="009367B4">
            <w:pPr>
              <w:spacing w:after="0" w:line="240" w:lineRule="auto"/>
              <w:jc w:val="left"/>
              <w:rPr>
                <w:rFonts w:ascii="Arial" w:hAnsi="Arial" w:cs="Arial"/>
                <w:color w:val="auto"/>
                <w:sz w:val="24"/>
                <w:szCs w:val="24"/>
              </w:rPr>
            </w:pPr>
          </w:p>
        </w:tc>
      </w:tr>
    </w:tbl>
    <w:p w14:paraId="5BD1E573" w14:textId="74F7CEE2" w:rsidR="00080F7C" w:rsidRPr="00237760" w:rsidRDefault="00080F7C" w:rsidP="009367B4">
      <w:pPr>
        <w:spacing w:before="240" w:line="259" w:lineRule="auto"/>
        <w:contextualSpacing/>
        <w:jc w:val="left"/>
        <w:rPr>
          <w:rFonts w:ascii="Arial" w:hAnsi="Arial" w:cs="Arial"/>
          <w:color w:val="auto"/>
          <w:sz w:val="24"/>
          <w:szCs w:val="24"/>
        </w:rPr>
      </w:pPr>
      <w:r w:rsidRPr="00237760">
        <w:rPr>
          <w:rFonts w:ascii="Arial" w:hAnsi="Arial" w:cs="Arial"/>
          <w:color w:val="auto"/>
          <w:sz w:val="24"/>
          <w:szCs w:val="24"/>
        </w:rPr>
        <w:t xml:space="preserve">Źródło: opracowanie własne na podstawie </w:t>
      </w:r>
      <w:r w:rsidR="00F311FF" w:rsidRPr="00237760">
        <w:rPr>
          <w:rFonts w:ascii="Arial" w:hAnsi="Arial" w:cs="Arial"/>
          <w:color w:val="auto"/>
          <w:sz w:val="24"/>
          <w:szCs w:val="24"/>
        </w:rPr>
        <w:t>PSRT WP</w:t>
      </w:r>
      <w:r w:rsidRPr="00237760">
        <w:rPr>
          <w:rFonts w:ascii="Arial" w:hAnsi="Arial" w:cs="Arial"/>
          <w:color w:val="auto"/>
          <w:sz w:val="24"/>
          <w:szCs w:val="24"/>
        </w:rPr>
        <w:t xml:space="preserve"> oraz krajowych programów operacyjnych na lata 2021-2027.</w:t>
      </w:r>
    </w:p>
    <w:p w14:paraId="3D50DCF5" w14:textId="77777777" w:rsidR="006C1479" w:rsidRPr="00237760" w:rsidRDefault="006C1479" w:rsidP="009367B4">
      <w:pPr>
        <w:pStyle w:val="Nagwek3"/>
        <w:rPr>
          <w:rFonts w:ascii="Arial" w:hAnsi="Arial" w:cs="Arial"/>
          <w:color w:val="auto"/>
          <w:sz w:val="24"/>
          <w:szCs w:val="24"/>
        </w:rPr>
      </w:pPr>
      <w:bookmarkStart w:id="244" w:name="_Toc101904161"/>
      <w:r w:rsidRPr="00237760">
        <w:rPr>
          <w:rFonts w:ascii="Arial" w:hAnsi="Arial" w:cs="Arial"/>
          <w:color w:val="auto"/>
          <w:sz w:val="24"/>
          <w:szCs w:val="24"/>
        </w:rPr>
        <w:t>Polska 2030. Wyzwania rozwojowe</w:t>
      </w:r>
      <w:bookmarkEnd w:id="244"/>
    </w:p>
    <w:p w14:paraId="62397293" w14:textId="2D805C82" w:rsidR="006C1479" w:rsidRPr="00237760" w:rsidRDefault="006C1479" w:rsidP="009367B4">
      <w:pPr>
        <w:spacing w:before="240"/>
        <w:jc w:val="left"/>
        <w:rPr>
          <w:rFonts w:ascii="Arial" w:hAnsi="Arial" w:cs="Arial"/>
          <w:color w:val="auto"/>
          <w:sz w:val="24"/>
          <w:szCs w:val="24"/>
        </w:rPr>
      </w:pPr>
      <w:r w:rsidRPr="00237760">
        <w:rPr>
          <w:rFonts w:ascii="Arial" w:hAnsi="Arial" w:cs="Arial"/>
          <w:color w:val="auto"/>
          <w:sz w:val="24"/>
          <w:szCs w:val="24"/>
        </w:rPr>
        <w:t xml:space="preserve">Dokument „Polska 2030. Wyzwania rozwojowe” nie został ujęty w niniejszej analizie, ponieważ </w:t>
      </w:r>
      <w:r w:rsidR="00AE4790" w:rsidRPr="00237760">
        <w:rPr>
          <w:rFonts w:ascii="Arial" w:hAnsi="Arial" w:cs="Arial"/>
          <w:color w:val="auto"/>
          <w:sz w:val="24"/>
          <w:szCs w:val="24"/>
        </w:rPr>
        <w:t xml:space="preserve">ze względu na swoją niską aktualność, nie pełni </w:t>
      </w:r>
      <w:r w:rsidR="00196900" w:rsidRPr="00237760">
        <w:rPr>
          <w:rFonts w:ascii="Arial" w:hAnsi="Arial" w:cs="Arial"/>
          <w:color w:val="auto"/>
          <w:sz w:val="24"/>
          <w:szCs w:val="24"/>
        </w:rPr>
        <w:t>obecnie</w:t>
      </w:r>
      <w:r w:rsidR="00AE4790" w:rsidRPr="00237760">
        <w:rPr>
          <w:rFonts w:ascii="Arial" w:hAnsi="Arial" w:cs="Arial"/>
          <w:color w:val="auto"/>
          <w:sz w:val="24"/>
          <w:szCs w:val="24"/>
        </w:rPr>
        <w:t xml:space="preserve"> istotnej roli </w:t>
      </w:r>
      <w:r w:rsidRPr="00237760">
        <w:rPr>
          <w:rFonts w:ascii="Arial" w:hAnsi="Arial" w:cs="Arial"/>
          <w:color w:val="auto"/>
          <w:sz w:val="24"/>
          <w:szCs w:val="24"/>
        </w:rPr>
        <w:t>w systemie dokumentów strategicznych na poziomie krajowym i unijnym.</w:t>
      </w:r>
    </w:p>
    <w:p w14:paraId="50ED6DDC" w14:textId="77777777" w:rsidR="006C1479" w:rsidRPr="00237760" w:rsidRDefault="006C1479" w:rsidP="009367B4">
      <w:pPr>
        <w:jc w:val="left"/>
        <w:rPr>
          <w:rFonts w:ascii="Arial" w:hAnsi="Arial" w:cs="Arial"/>
          <w:color w:val="auto"/>
          <w:sz w:val="24"/>
          <w:szCs w:val="24"/>
          <w:lang w:eastAsia="pl-PL"/>
        </w:rPr>
      </w:pPr>
    </w:p>
    <w:p w14:paraId="4D09E8DC" w14:textId="77777777" w:rsidR="00710815" w:rsidRPr="00237760" w:rsidRDefault="00710815" w:rsidP="009367B4">
      <w:pPr>
        <w:spacing w:after="160" w:line="259" w:lineRule="auto"/>
        <w:jc w:val="left"/>
        <w:rPr>
          <w:rFonts w:ascii="Arial" w:hAnsi="Arial" w:cs="Arial"/>
          <w:color w:val="auto"/>
          <w:sz w:val="24"/>
          <w:szCs w:val="24"/>
          <w:lang w:eastAsia="pl-PL"/>
        </w:rPr>
      </w:pPr>
      <w:r w:rsidRPr="00237760">
        <w:rPr>
          <w:rFonts w:ascii="Arial" w:hAnsi="Arial" w:cs="Arial"/>
          <w:color w:val="auto"/>
          <w:sz w:val="24"/>
          <w:szCs w:val="24"/>
          <w:lang w:eastAsia="pl-PL"/>
        </w:rPr>
        <w:br w:type="page"/>
      </w:r>
    </w:p>
    <w:p w14:paraId="23C5CF1A" w14:textId="4CD6D13C" w:rsidR="00710815" w:rsidRPr="00237760" w:rsidRDefault="00710815" w:rsidP="009367B4">
      <w:pPr>
        <w:pStyle w:val="Nagwek2"/>
        <w:rPr>
          <w:rFonts w:ascii="Arial" w:hAnsi="Arial" w:cs="Arial"/>
          <w:color w:val="auto"/>
          <w:sz w:val="24"/>
          <w:szCs w:val="24"/>
        </w:rPr>
      </w:pPr>
      <w:bookmarkStart w:id="245" w:name="_Ref100829766"/>
      <w:bookmarkStart w:id="246" w:name="_Ref100844864"/>
      <w:bookmarkStart w:id="247" w:name="_Ref100849300"/>
      <w:bookmarkStart w:id="248" w:name="_Toc101904162"/>
      <w:r w:rsidRPr="00237760">
        <w:rPr>
          <w:rFonts w:ascii="Arial" w:hAnsi="Arial" w:cs="Arial"/>
          <w:color w:val="auto"/>
          <w:sz w:val="24"/>
          <w:szCs w:val="24"/>
        </w:rPr>
        <w:lastRenderedPageBreak/>
        <w:t>Ocena spójności ze strategią województwa i programem operacyjnym</w:t>
      </w:r>
      <w:bookmarkEnd w:id="245"/>
      <w:bookmarkEnd w:id="246"/>
      <w:bookmarkEnd w:id="247"/>
      <w:bookmarkEnd w:id="248"/>
    </w:p>
    <w:p w14:paraId="76A6DE6D" w14:textId="77777777" w:rsidR="00710815" w:rsidRPr="00D352FD" w:rsidRDefault="00710815" w:rsidP="00D352FD">
      <w:pPr>
        <w:pStyle w:val="Nagwek3"/>
        <w:numPr>
          <w:ilvl w:val="0"/>
          <w:numId w:val="0"/>
        </w:numPr>
        <w:ind w:left="851" w:hanging="851"/>
        <w:rPr>
          <w:rFonts w:ascii="Arial" w:hAnsi="Arial" w:cs="Arial"/>
          <w:color w:val="000000" w:themeColor="text1"/>
          <w:sz w:val="24"/>
          <w:szCs w:val="24"/>
        </w:rPr>
      </w:pPr>
      <w:bookmarkStart w:id="249" w:name="_Toc101904163"/>
      <w:r w:rsidRPr="00D352FD">
        <w:rPr>
          <w:rFonts w:ascii="Arial" w:hAnsi="Arial" w:cs="Arial"/>
          <w:color w:val="000000" w:themeColor="text1"/>
          <w:sz w:val="24"/>
          <w:szCs w:val="24"/>
        </w:rPr>
        <w:t>Synteza</w:t>
      </w:r>
      <w:bookmarkEnd w:id="249"/>
    </w:p>
    <w:p w14:paraId="7AAFEE76" w14:textId="77777777" w:rsidR="00710815" w:rsidRPr="00237760" w:rsidRDefault="00710815" w:rsidP="009367B4">
      <w:pPr>
        <w:jc w:val="left"/>
        <w:rPr>
          <w:rFonts w:ascii="Arial" w:hAnsi="Arial" w:cs="Arial"/>
          <w:bCs/>
          <w:iCs/>
          <w:color w:val="auto"/>
          <w:sz w:val="24"/>
          <w:szCs w:val="24"/>
        </w:rPr>
      </w:pPr>
      <w:r w:rsidRPr="00237760">
        <w:rPr>
          <w:rFonts w:ascii="Arial" w:hAnsi="Arial" w:cs="Arial"/>
          <w:color w:val="auto"/>
          <w:sz w:val="24"/>
          <w:szCs w:val="24"/>
        </w:rPr>
        <w:t>Pytanie ewaluacyjne:</w:t>
      </w:r>
      <w:r w:rsidRPr="00237760">
        <w:rPr>
          <w:rFonts w:ascii="Arial" w:hAnsi="Arial" w:cs="Arial"/>
          <w:bCs/>
          <w:iCs/>
          <w:color w:val="auto"/>
          <w:sz w:val="24"/>
          <w:szCs w:val="24"/>
        </w:rPr>
        <w:t xml:space="preserve"> </w:t>
      </w:r>
    </w:p>
    <w:p w14:paraId="4A5C103D" w14:textId="4081C19F" w:rsidR="00710815" w:rsidRPr="00237760" w:rsidRDefault="00710815" w:rsidP="009367B4">
      <w:pPr>
        <w:jc w:val="left"/>
        <w:rPr>
          <w:rFonts w:ascii="Arial" w:hAnsi="Arial" w:cs="Arial"/>
          <w:b/>
          <w:i/>
          <w:color w:val="auto"/>
          <w:sz w:val="24"/>
          <w:szCs w:val="24"/>
        </w:rPr>
      </w:pPr>
      <w:r w:rsidRPr="00237760">
        <w:rPr>
          <w:rFonts w:ascii="Arial" w:hAnsi="Arial" w:cs="Arial"/>
          <w:b/>
          <w:i/>
          <w:color w:val="auto"/>
          <w:sz w:val="24"/>
          <w:szCs w:val="24"/>
        </w:rPr>
        <w:t xml:space="preserve">Czy cele i kierunki rozwoju przyjęte w projekcie Programu są zgodne z zapisami Strategii rozwoju województwa </w:t>
      </w:r>
      <w:r w:rsidR="00C06FB1" w:rsidRPr="00237760">
        <w:rPr>
          <w:rFonts w:ascii="Arial" w:hAnsi="Arial" w:cs="Arial"/>
          <w:b/>
          <w:i/>
          <w:color w:val="auto"/>
          <w:sz w:val="24"/>
          <w:szCs w:val="24"/>
        </w:rPr>
        <w:t>–</w:t>
      </w:r>
      <w:r w:rsidRPr="00237760">
        <w:rPr>
          <w:rFonts w:ascii="Arial" w:hAnsi="Arial" w:cs="Arial"/>
          <w:b/>
          <w:i/>
          <w:color w:val="auto"/>
          <w:sz w:val="24"/>
          <w:szCs w:val="24"/>
        </w:rPr>
        <w:t xml:space="preserve"> Podkarpackie 2030 oraz programu regionalnego Fundusze Europejskie dla Podkarpacia 2021-2027 (projekt)? </w:t>
      </w:r>
    </w:p>
    <w:p w14:paraId="48E7D93D" w14:textId="77777777" w:rsidR="00710815" w:rsidRPr="00237760" w:rsidRDefault="00710815" w:rsidP="009367B4">
      <w:pPr>
        <w:jc w:val="left"/>
        <w:rPr>
          <w:rFonts w:ascii="Arial" w:hAnsi="Arial" w:cs="Arial"/>
          <w:color w:val="auto"/>
          <w:sz w:val="24"/>
          <w:szCs w:val="24"/>
        </w:rPr>
      </w:pPr>
      <w:r w:rsidRPr="00237760">
        <w:rPr>
          <w:rFonts w:ascii="Arial" w:hAnsi="Arial" w:cs="Arial"/>
          <w:color w:val="auto"/>
          <w:sz w:val="24"/>
          <w:szCs w:val="24"/>
        </w:rPr>
        <w:t>Syntetyczna odpowiedź:</w:t>
      </w:r>
    </w:p>
    <w:p w14:paraId="0185D447" w14:textId="4B45CD4B" w:rsidR="00710815" w:rsidRPr="00237760" w:rsidRDefault="00710815" w:rsidP="009367B4">
      <w:pPr>
        <w:jc w:val="left"/>
        <w:rPr>
          <w:rFonts w:ascii="Arial" w:hAnsi="Arial" w:cs="Arial"/>
          <w:color w:val="auto"/>
          <w:sz w:val="24"/>
          <w:szCs w:val="24"/>
        </w:rPr>
      </w:pPr>
      <w:r w:rsidRPr="00237760">
        <w:rPr>
          <w:rFonts w:ascii="Arial" w:hAnsi="Arial" w:cs="Arial"/>
          <w:b/>
          <w:i/>
          <w:color w:val="auto"/>
          <w:sz w:val="24"/>
          <w:szCs w:val="24"/>
        </w:rPr>
        <w:t xml:space="preserve">Tak, cele i kierunki rozwoju przyjęte w projekcie Programu są zgodne z zapisami Strategii rozwoju województwa – Podkarpackie 2030 oraz z projektem Fundusze Europejskie dla Podkarpacia 2021-2027. Nie występują </w:t>
      </w:r>
      <w:r w:rsidR="00C06FB1" w:rsidRPr="00237760">
        <w:rPr>
          <w:rFonts w:ascii="Arial" w:hAnsi="Arial" w:cs="Arial"/>
          <w:b/>
          <w:i/>
          <w:color w:val="auto"/>
          <w:sz w:val="24"/>
          <w:szCs w:val="24"/>
        </w:rPr>
        <w:t>żadne</w:t>
      </w:r>
      <w:r w:rsidRPr="00237760">
        <w:rPr>
          <w:rFonts w:ascii="Arial" w:hAnsi="Arial" w:cs="Arial"/>
          <w:b/>
          <w:i/>
          <w:color w:val="auto"/>
          <w:sz w:val="24"/>
          <w:szCs w:val="24"/>
        </w:rPr>
        <w:t xml:space="preserve"> za</w:t>
      </w:r>
      <w:r w:rsidR="00C06FB1" w:rsidRPr="00237760">
        <w:rPr>
          <w:rFonts w:ascii="Arial" w:hAnsi="Arial" w:cs="Arial"/>
          <w:b/>
          <w:i/>
          <w:color w:val="auto"/>
          <w:sz w:val="24"/>
          <w:szCs w:val="24"/>
        </w:rPr>
        <w:t>pisy wzajemnie wykluczające się, a w</w:t>
      </w:r>
      <w:r w:rsidRPr="00237760">
        <w:rPr>
          <w:rFonts w:ascii="Arial" w:hAnsi="Arial" w:cs="Arial"/>
          <w:b/>
          <w:i/>
          <w:color w:val="auto"/>
          <w:sz w:val="24"/>
          <w:szCs w:val="24"/>
        </w:rPr>
        <w:t xml:space="preserve">szelkie wskazania dotyczące transportu są w pełni spójne z </w:t>
      </w:r>
      <w:r w:rsidR="00F311FF" w:rsidRPr="00237760">
        <w:rPr>
          <w:rFonts w:ascii="Arial" w:hAnsi="Arial" w:cs="Arial"/>
          <w:b/>
          <w:i/>
          <w:color w:val="auto"/>
          <w:sz w:val="24"/>
          <w:szCs w:val="24"/>
        </w:rPr>
        <w:t>analizowany</w:t>
      </w:r>
      <w:r w:rsidRPr="00237760">
        <w:rPr>
          <w:rFonts w:ascii="Arial" w:hAnsi="Arial" w:cs="Arial"/>
          <w:b/>
          <w:i/>
          <w:color w:val="auto"/>
          <w:sz w:val="24"/>
          <w:szCs w:val="24"/>
        </w:rPr>
        <w:t>mi dokumentami.</w:t>
      </w:r>
    </w:p>
    <w:p w14:paraId="062D567A" w14:textId="6BA17B59" w:rsidR="00710815" w:rsidRPr="00D352FD" w:rsidRDefault="00710815" w:rsidP="00D352FD">
      <w:pPr>
        <w:pStyle w:val="Nagwek3"/>
        <w:numPr>
          <w:ilvl w:val="0"/>
          <w:numId w:val="0"/>
        </w:numPr>
        <w:ind w:left="851" w:hanging="851"/>
        <w:rPr>
          <w:rFonts w:ascii="Arial" w:hAnsi="Arial" w:cs="Arial"/>
          <w:color w:val="auto"/>
          <w:sz w:val="24"/>
          <w:szCs w:val="24"/>
        </w:rPr>
      </w:pPr>
      <w:bookmarkStart w:id="250" w:name="_Toc101904164"/>
      <w:r w:rsidRPr="00D352FD">
        <w:rPr>
          <w:rFonts w:ascii="Arial" w:hAnsi="Arial" w:cs="Arial"/>
          <w:color w:val="auto"/>
          <w:sz w:val="24"/>
          <w:szCs w:val="24"/>
        </w:rPr>
        <w:t>Analiza</w:t>
      </w:r>
      <w:bookmarkEnd w:id="250"/>
    </w:p>
    <w:p w14:paraId="145B4005" w14:textId="2F6A6BF1" w:rsidR="00710815" w:rsidRPr="00237760" w:rsidRDefault="005911C8" w:rsidP="009367B4">
      <w:pPr>
        <w:jc w:val="left"/>
        <w:rPr>
          <w:rFonts w:ascii="Arial" w:hAnsi="Arial" w:cs="Arial"/>
          <w:color w:val="auto"/>
          <w:sz w:val="24"/>
          <w:szCs w:val="24"/>
        </w:rPr>
      </w:pPr>
      <w:r w:rsidRPr="00237760">
        <w:rPr>
          <w:rFonts w:ascii="Arial" w:hAnsi="Arial" w:cs="Arial"/>
          <w:color w:val="auto"/>
          <w:sz w:val="24"/>
          <w:szCs w:val="24"/>
        </w:rPr>
        <w:t xml:space="preserve">W ramach analizy zgodności zapisów </w:t>
      </w:r>
      <w:r w:rsidR="00F311FF" w:rsidRPr="00237760">
        <w:rPr>
          <w:rFonts w:ascii="Arial" w:hAnsi="Arial" w:cs="Arial"/>
          <w:color w:val="auto"/>
          <w:sz w:val="24"/>
          <w:szCs w:val="24"/>
        </w:rPr>
        <w:t>PSRT WP</w:t>
      </w:r>
      <w:r w:rsidRPr="00237760">
        <w:rPr>
          <w:rFonts w:ascii="Arial" w:hAnsi="Arial" w:cs="Arial"/>
          <w:color w:val="auto"/>
          <w:sz w:val="24"/>
          <w:szCs w:val="24"/>
        </w:rPr>
        <w:t xml:space="preserve"> ze </w:t>
      </w:r>
      <w:r w:rsidRPr="00237760">
        <w:rPr>
          <w:rFonts w:ascii="Arial" w:hAnsi="Arial" w:cs="Arial"/>
          <w:i/>
          <w:color w:val="auto"/>
          <w:sz w:val="24"/>
          <w:szCs w:val="24"/>
        </w:rPr>
        <w:t>Strategią Rozwoju Województwa,</w:t>
      </w:r>
      <w:r w:rsidRPr="00237760">
        <w:rPr>
          <w:rFonts w:ascii="Arial" w:hAnsi="Arial" w:cs="Arial"/>
          <w:color w:val="auto"/>
          <w:sz w:val="24"/>
          <w:szCs w:val="24"/>
        </w:rPr>
        <w:t xml:space="preserve"> zestawiono</w:t>
      </w:r>
      <w:r w:rsidR="00710815" w:rsidRPr="00237760">
        <w:rPr>
          <w:rFonts w:ascii="Arial" w:hAnsi="Arial" w:cs="Arial"/>
          <w:color w:val="auto"/>
          <w:sz w:val="24"/>
          <w:szCs w:val="24"/>
        </w:rPr>
        <w:t xml:space="preserve"> ze sobą zostały cele podstawowe i horyzontalne projektu </w:t>
      </w:r>
      <w:r w:rsidR="00CE46FE" w:rsidRPr="00237760">
        <w:rPr>
          <w:rFonts w:ascii="Arial" w:hAnsi="Arial" w:cs="Arial"/>
          <w:color w:val="auto"/>
          <w:sz w:val="24"/>
          <w:szCs w:val="24"/>
        </w:rPr>
        <w:t xml:space="preserve">Programu z priorytetami wskazanymi </w:t>
      </w:r>
      <w:r w:rsidR="00710815" w:rsidRPr="00237760">
        <w:rPr>
          <w:rFonts w:ascii="Arial" w:hAnsi="Arial" w:cs="Arial"/>
          <w:color w:val="auto"/>
          <w:sz w:val="24"/>
          <w:szCs w:val="24"/>
        </w:rPr>
        <w:t>w SRWP (</w:t>
      </w:r>
      <w:r w:rsidR="003C0471" w:rsidRPr="00237760">
        <w:rPr>
          <w:rFonts w:ascii="Arial" w:hAnsi="Arial" w:cs="Arial"/>
          <w:color w:val="auto"/>
          <w:sz w:val="24"/>
          <w:szCs w:val="24"/>
        </w:rPr>
        <w:fldChar w:fldCharType="begin"/>
      </w:r>
      <w:r w:rsidR="003C0471" w:rsidRPr="00237760">
        <w:rPr>
          <w:rFonts w:ascii="Arial" w:hAnsi="Arial" w:cs="Arial"/>
          <w:color w:val="auto"/>
          <w:sz w:val="24"/>
          <w:szCs w:val="24"/>
        </w:rPr>
        <w:instrText xml:space="preserve"> REF _Ref101005235 \h  \* MERGEFORMAT </w:instrText>
      </w:r>
      <w:r w:rsidR="003C0471" w:rsidRPr="00237760">
        <w:rPr>
          <w:rFonts w:ascii="Arial" w:hAnsi="Arial" w:cs="Arial"/>
          <w:color w:val="auto"/>
          <w:sz w:val="24"/>
          <w:szCs w:val="24"/>
        </w:rPr>
      </w:r>
      <w:r w:rsidR="003C0471" w:rsidRPr="00237760">
        <w:rPr>
          <w:rFonts w:ascii="Arial" w:hAnsi="Arial" w:cs="Arial"/>
          <w:color w:val="auto"/>
          <w:sz w:val="24"/>
          <w:szCs w:val="24"/>
        </w:rPr>
        <w:fldChar w:fldCharType="separate"/>
      </w:r>
      <w:r w:rsidR="00DA6050" w:rsidRPr="00237760">
        <w:rPr>
          <w:rFonts w:ascii="Arial" w:hAnsi="Arial" w:cs="Arial"/>
          <w:color w:val="auto"/>
          <w:sz w:val="24"/>
          <w:szCs w:val="24"/>
        </w:rPr>
        <w:t>Tabela 40</w:t>
      </w:r>
      <w:r w:rsidR="003C0471" w:rsidRPr="00237760">
        <w:rPr>
          <w:rFonts w:ascii="Arial" w:hAnsi="Arial" w:cs="Arial"/>
          <w:color w:val="auto"/>
          <w:sz w:val="24"/>
          <w:szCs w:val="24"/>
        </w:rPr>
        <w:fldChar w:fldCharType="end"/>
      </w:r>
      <w:r w:rsidR="00710815" w:rsidRPr="00237760">
        <w:rPr>
          <w:rFonts w:ascii="Arial" w:hAnsi="Arial" w:cs="Arial"/>
          <w:color w:val="auto"/>
          <w:sz w:val="24"/>
          <w:szCs w:val="24"/>
        </w:rPr>
        <w:t>).</w:t>
      </w:r>
      <w:r w:rsidR="0079118C" w:rsidRPr="00237760">
        <w:rPr>
          <w:rFonts w:ascii="Arial" w:hAnsi="Arial" w:cs="Arial"/>
          <w:color w:val="auto"/>
          <w:sz w:val="24"/>
          <w:szCs w:val="24"/>
        </w:rPr>
        <w:t xml:space="preserve"> </w:t>
      </w:r>
    </w:p>
    <w:p w14:paraId="48118598" w14:textId="244AD70D" w:rsidR="00F311FF" w:rsidRPr="00237760" w:rsidRDefault="00F311FF" w:rsidP="009367B4">
      <w:pPr>
        <w:jc w:val="left"/>
        <w:rPr>
          <w:rFonts w:ascii="Arial" w:hAnsi="Arial" w:cs="Arial"/>
          <w:color w:val="auto"/>
          <w:sz w:val="24"/>
          <w:szCs w:val="24"/>
        </w:rPr>
      </w:pPr>
      <w:r w:rsidRPr="00237760">
        <w:rPr>
          <w:rFonts w:ascii="Arial" w:hAnsi="Arial" w:cs="Arial"/>
          <w:color w:val="auto"/>
          <w:sz w:val="24"/>
          <w:szCs w:val="24"/>
        </w:rPr>
        <w:t xml:space="preserve">Przeprowadzona analiza wykazała, że cele ustalone w projekcie </w:t>
      </w:r>
      <w:r w:rsidRPr="00237760">
        <w:rPr>
          <w:rFonts w:ascii="Arial" w:hAnsi="Arial" w:cs="Arial"/>
          <w:i/>
          <w:color w:val="auto"/>
          <w:sz w:val="24"/>
          <w:szCs w:val="24"/>
        </w:rPr>
        <w:t>Programu Strategicznego Rozwoju Transportu Województwa Podkarpackiego do roku 2030</w:t>
      </w:r>
      <w:r w:rsidRPr="00237760">
        <w:rPr>
          <w:rFonts w:ascii="Arial" w:hAnsi="Arial" w:cs="Arial"/>
          <w:color w:val="auto"/>
          <w:sz w:val="24"/>
          <w:szCs w:val="24"/>
        </w:rPr>
        <w:t xml:space="preserve"> są zgodne z zapisami Strategii Rozwoju Województwa do 2030. Każdy z celów podstawowych i horyzontalnych jest silnie w nich umocowany w sposób bezpośredni (częściej) lub pośredni (rzadziej). Cele PSRT WP najszerzej odnoszą się do trzeciego obszaru tematycznego Strategii (Infrastruktura dla zrównoważonego rozwoju i środowiska) i do celu głównego tego obszaru, jakim jest: </w:t>
      </w:r>
      <w:r w:rsidRPr="00237760">
        <w:rPr>
          <w:rFonts w:ascii="Arial" w:hAnsi="Arial" w:cs="Arial"/>
          <w:i/>
          <w:color w:val="auto"/>
          <w:sz w:val="24"/>
          <w:szCs w:val="24"/>
        </w:rPr>
        <w:t>Rozbudowa infrastruktury służącej rozwojowi oraz optymalizacja wykorzystania zasobów naturalnych i energii przy zachowaniu dbałości o stan środowiska przyrodniczego</w:t>
      </w:r>
      <w:r w:rsidRPr="00237760">
        <w:rPr>
          <w:rFonts w:ascii="Arial" w:hAnsi="Arial" w:cs="Arial"/>
          <w:iCs/>
          <w:color w:val="auto"/>
          <w:sz w:val="24"/>
          <w:szCs w:val="24"/>
        </w:rPr>
        <w:t>. N</w:t>
      </w:r>
      <w:r w:rsidRPr="00237760">
        <w:rPr>
          <w:rFonts w:ascii="Arial" w:hAnsi="Arial" w:cs="Arial"/>
          <w:color w:val="auto"/>
          <w:sz w:val="24"/>
          <w:szCs w:val="24"/>
        </w:rPr>
        <w:t xml:space="preserve">ajczęściej przywoływanym priorytetem jest </w:t>
      </w:r>
      <w:r w:rsidRPr="00237760">
        <w:rPr>
          <w:rFonts w:ascii="Arial" w:hAnsi="Arial" w:cs="Arial"/>
          <w:i/>
          <w:color w:val="auto"/>
          <w:sz w:val="24"/>
          <w:szCs w:val="24"/>
        </w:rPr>
        <w:t>Rozwój infrastruktury transportowej oraz integracji międzygałęziowej transportu</w:t>
      </w:r>
      <w:r w:rsidRPr="00237760">
        <w:rPr>
          <w:rFonts w:ascii="Arial" w:hAnsi="Arial" w:cs="Arial"/>
          <w:color w:val="auto"/>
          <w:sz w:val="24"/>
          <w:szCs w:val="24"/>
        </w:rPr>
        <w:t>. Zapisy projektu Programu</w:t>
      </w:r>
      <w:r w:rsidRPr="00237760">
        <w:rPr>
          <w:rFonts w:ascii="Arial" w:hAnsi="Arial" w:cs="Arial"/>
          <w:i/>
          <w:color w:val="auto"/>
          <w:sz w:val="24"/>
          <w:szCs w:val="24"/>
        </w:rPr>
        <w:t xml:space="preserve"> </w:t>
      </w:r>
      <w:r w:rsidRPr="00237760">
        <w:rPr>
          <w:rFonts w:ascii="Arial" w:hAnsi="Arial" w:cs="Arial"/>
          <w:color w:val="auto"/>
          <w:sz w:val="24"/>
          <w:szCs w:val="24"/>
        </w:rPr>
        <w:t xml:space="preserve">są wyczerpującym odzwierciedleniem zapisów z trzeciego obszaru tematycznego. </w:t>
      </w:r>
    </w:p>
    <w:p w14:paraId="34EB75C3" w14:textId="6628CB63" w:rsidR="00F311FF" w:rsidRPr="00237760" w:rsidRDefault="00F311FF" w:rsidP="009367B4">
      <w:pPr>
        <w:jc w:val="left"/>
        <w:rPr>
          <w:rFonts w:ascii="Arial" w:eastAsiaTheme="minorEastAsia" w:hAnsi="Arial" w:cs="Arial"/>
          <w:color w:val="auto"/>
          <w:sz w:val="24"/>
          <w:szCs w:val="24"/>
        </w:rPr>
      </w:pPr>
      <w:r w:rsidRPr="00237760">
        <w:rPr>
          <w:rFonts w:ascii="Arial" w:hAnsi="Arial" w:cs="Arial"/>
          <w:color w:val="auto"/>
          <w:sz w:val="24"/>
          <w:szCs w:val="24"/>
        </w:rPr>
        <w:t>Zapisy PSRT WP są zgodne z celami głównymi oraz z obszarem horyzontalnym Strategii</w:t>
      </w:r>
      <w:r w:rsidRPr="00237760">
        <w:rPr>
          <w:rFonts w:ascii="Arial" w:hAnsi="Arial" w:cs="Arial"/>
          <w:i/>
          <w:color w:val="auto"/>
          <w:sz w:val="24"/>
          <w:szCs w:val="24"/>
        </w:rPr>
        <w:t xml:space="preserve"> </w:t>
      </w:r>
      <w:r w:rsidRPr="00237760">
        <w:rPr>
          <w:rFonts w:ascii="Arial" w:hAnsi="Arial" w:cs="Arial"/>
          <w:color w:val="auto"/>
          <w:sz w:val="24"/>
          <w:szCs w:val="24"/>
        </w:rPr>
        <w:t xml:space="preserve">mówiącym o wzmocnieniu terytorialnej spójności województwa podkarpackiego. Dominującym w tym zakresie jest priorytet </w:t>
      </w:r>
      <w:r w:rsidRPr="00237760">
        <w:rPr>
          <w:rFonts w:ascii="Arial" w:hAnsi="Arial" w:cs="Arial"/>
          <w:i/>
          <w:color w:val="auto"/>
          <w:sz w:val="24"/>
          <w:szCs w:val="24"/>
        </w:rPr>
        <w:t>Funkcje metropolitalne Rzeszowa oraz jego obszaru funkcjonalnego</w:t>
      </w:r>
      <w:r w:rsidRPr="00237760">
        <w:rPr>
          <w:rFonts w:ascii="Arial" w:hAnsi="Arial" w:cs="Arial"/>
          <w:color w:val="auto"/>
          <w:sz w:val="24"/>
          <w:szCs w:val="24"/>
        </w:rPr>
        <w:t xml:space="preserve">, mówiący o rozwoju Rzeszowa i jego obszaru funkcjonalnego jako obszaru metropolitalnego o znaczeniu międzynarodowym. Oprócz niego wyróżniono priorytet pn. </w:t>
      </w:r>
      <w:r w:rsidRPr="00237760">
        <w:rPr>
          <w:rFonts w:ascii="Arial" w:hAnsi="Arial" w:cs="Arial"/>
          <w:i/>
          <w:color w:val="auto"/>
          <w:sz w:val="24"/>
          <w:szCs w:val="24"/>
        </w:rPr>
        <w:t>Obszary wymagające szczególnego wsparcia w kontekście równoważenia rozwoju</w:t>
      </w:r>
      <w:r w:rsidRPr="00237760">
        <w:rPr>
          <w:rFonts w:ascii="Arial" w:hAnsi="Arial" w:cs="Arial"/>
          <w:color w:val="auto"/>
          <w:sz w:val="24"/>
          <w:szCs w:val="24"/>
        </w:rPr>
        <w:t>,</w:t>
      </w:r>
      <w:r w:rsidRPr="00237760">
        <w:rPr>
          <w:rFonts w:ascii="Arial" w:eastAsiaTheme="minorEastAsia" w:hAnsi="Arial" w:cs="Arial"/>
          <w:b/>
          <w:bCs/>
          <w:color w:val="auto"/>
          <w:sz w:val="24"/>
          <w:szCs w:val="24"/>
        </w:rPr>
        <w:t xml:space="preserve"> </w:t>
      </w:r>
      <w:r w:rsidRPr="00237760">
        <w:rPr>
          <w:rFonts w:ascii="Arial" w:eastAsiaTheme="minorEastAsia" w:hAnsi="Arial" w:cs="Arial"/>
          <w:color w:val="auto"/>
          <w:sz w:val="24"/>
          <w:szCs w:val="24"/>
        </w:rPr>
        <w:t xml:space="preserve">mówiącym o konieczności zmniejszenia dysproporcji między rozwiniętymi gospodarczo i </w:t>
      </w:r>
      <w:r w:rsidRPr="00237760">
        <w:rPr>
          <w:rFonts w:ascii="Arial" w:eastAsiaTheme="minorEastAsia" w:hAnsi="Arial" w:cs="Arial"/>
          <w:color w:val="auto"/>
          <w:sz w:val="24"/>
          <w:szCs w:val="24"/>
        </w:rPr>
        <w:lastRenderedPageBreak/>
        <w:t>społecznie ośrodkami województwa, a obszarami zagrożonymi marginalizacją. Powyższe wskazania sugerują, że szczególnie istotne jest wyrównywanie szans, wzrost istotności funkcjonalności metropolii i wyniesienie usprawnień na poziom międzynarodowy.</w:t>
      </w:r>
    </w:p>
    <w:p w14:paraId="0BB3B98C" w14:textId="7A6FBE52" w:rsidR="00710815" w:rsidRPr="00237760" w:rsidRDefault="00710815" w:rsidP="009367B4">
      <w:pPr>
        <w:pStyle w:val="Legenda"/>
        <w:jc w:val="left"/>
        <w:rPr>
          <w:rFonts w:ascii="Arial" w:hAnsi="Arial" w:cs="Arial"/>
          <w:color w:val="auto"/>
          <w:sz w:val="24"/>
          <w:szCs w:val="24"/>
        </w:rPr>
      </w:pPr>
      <w:bookmarkStart w:id="251" w:name="_Ref96853123"/>
      <w:bookmarkStart w:id="252" w:name="_Ref101005235"/>
      <w:bookmarkStart w:id="253" w:name="_Toc101904281"/>
      <w:r w:rsidRPr="00237760">
        <w:rPr>
          <w:rFonts w:ascii="Arial" w:hAnsi="Arial" w:cs="Arial"/>
          <w:color w:val="auto"/>
          <w:sz w:val="24"/>
          <w:szCs w:val="24"/>
        </w:rPr>
        <w:t xml:space="preserve">Tabela </w:t>
      </w:r>
      <w:bookmarkEnd w:id="251"/>
      <w:r w:rsidRPr="00237760">
        <w:rPr>
          <w:rFonts w:ascii="Arial" w:hAnsi="Arial" w:cs="Arial"/>
          <w:color w:val="auto"/>
          <w:sz w:val="24"/>
          <w:szCs w:val="24"/>
        </w:rPr>
        <w:fldChar w:fldCharType="begin"/>
      </w:r>
      <w:r w:rsidRPr="00237760">
        <w:rPr>
          <w:rFonts w:ascii="Arial" w:hAnsi="Arial" w:cs="Arial"/>
          <w:color w:val="auto"/>
          <w:sz w:val="24"/>
          <w:szCs w:val="24"/>
        </w:rPr>
        <w:instrText xml:space="preserve"> SEQ Tabela \* ARABIC </w:instrText>
      </w:r>
      <w:r w:rsidRPr="00237760">
        <w:rPr>
          <w:rFonts w:ascii="Arial" w:hAnsi="Arial" w:cs="Arial"/>
          <w:color w:val="auto"/>
          <w:sz w:val="24"/>
          <w:szCs w:val="24"/>
        </w:rPr>
        <w:fldChar w:fldCharType="separate"/>
      </w:r>
      <w:r w:rsidR="00762B20" w:rsidRPr="00237760">
        <w:rPr>
          <w:rFonts w:ascii="Arial" w:hAnsi="Arial" w:cs="Arial"/>
          <w:noProof/>
          <w:color w:val="auto"/>
          <w:sz w:val="24"/>
          <w:szCs w:val="24"/>
        </w:rPr>
        <w:t>40</w:t>
      </w:r>
      <w:r w:rsidRPr="00237760">
        <w:rPr>
          <w:rFonts w:ascii="Arial" w:hAnsi="Arial" w:cs="Arial"/>
          <w:color w:val="auto"/>
          <w:sz w:val="24"/>
          <w:szCs w:val="24"/>
        </w:rPr>
        <w:fldChar w:fldCharType="end"/>
      </w:r>
      <w:bookmarkEnd w:id="252"/>
      <w:r w:rsidRPr="00237760">
        <w:rPr>
          <w:rFonts w:ascii="Arial" w:hAnsi="Arial" w:cs="Arial"/>
          <w:color w:val="auto"/>
          <w:sz w:val="24"/>
          <w:szCs w:val="24"/>
        </w:rPr>
        <w:t xml:space="preserve">. Ocena zgodności celów podstawowych i horyzontalnych projektu </w:t>
      </w:r>
      <w:r w:rsidR="00F311FF" w:rsidRPr="00237760">
        <w:rPr>
          <w:rFonts w:ascii="Arial" w:hAnsi="Arial" w:cs="Arial"/>
          <w:color w:val="auto"/>
          <w:sz w:val="24"/>
          <w:szCs w:val="24"/>
        </w:rPr>
        <w:t>PSRT WP</w:t>
      </w:r>
      <w:r w:rsidRPr="00237760">
        <w:rPr>
          <w:rFonts w:ascii="Arial" w:hAnsi="Arial" w:cs="Arial"/>
          <w:color w:val="auto"/>
          <w:sz w:val="24"/>
          <w:szCs w:val="24"/>
        </w:rPr>
        <w:t xml:space="preserve"> z priorytetami SRW 2030</w:t>
      </w:r>
      <w:bookmarkEnd w:id="253"/>
    </w:p>
    <w:tbl>
      <w:tblPr>
        <w:tblStyle w:val="Tabela-Siatka"/>
        <w:tblW w:w="0" w:type="auto"/>
        <w:tblLayout w:type="fixed"/>
        <w:tblLook w:val="04A0" w:firstRow="1" w:lastRow="0" w:firstColumn="1" w:lastColumn="0" w:noHBand="0" w:noVBand="1"/>
        <w:tblCaption w:val="Tabela 40. Ocena zgodności celów podstawowych i horyzontalnych projektu PSRT WP z priorytetami SRW 2030"/>
        <w:tblDescription w:val="Tabela zawiera Cele podstawowe i horyzontalne projektu Strategii Rozwoju Transportu Województwa Podkarpackiego do 2030, Cele szczegółowe dla priorytetów zapisane w Strategii Rozwoju Województwa - Podkarpackie 2030 Podkarpackiego do 2030"/>
      </w:tblPr>
      <w:tblGrid>
        <w:gridCol w:w="3261"/>
        <w:gridCol w:w="5811"/>
      </w:tblGrid>
      <w:tr w:rsidR="00237760" w:rsidRPr="00237760" w14:paraId="29AEDA30" w14:textId="77777777" w:rsidTr="00060509">
        <w:trPr>
          <w:trHeight w:val="300"/>
          <w:tblHeader/>
        </w:trPr>
        <w:tc>
          <w:tcPr>
            <w:tcW w:w="3261" w:type="dxa"/>
            <w:tcBorders>
              <w:top w:val="single" w:sz="12" w:space="0" w:color="002060"/>
              <w:left w:val="nil"/>
              <w:bottom w:val="single" w:sz="8" w:space="0" w:color="9CC2E5" w:themeColor="accent1" w:themeTint="99"/>
              <w:right w:val="nil"/>
            </w:tcBorders>
            <w:shd w:val="clear" w:color="auto" w:fill="auto"/>
            <w:vAlign w:val="center"/>
          </w:tcPr>
          <w:p w14:paraId="08E1ED23" w14:textId="77777777" w:rsidR="00710815" w:rsidRPr="00237760" w:rsidRDefault="00710815" w:rsidP="009367B4">
            <w:pPr>
              <w:spacing w:after="0"/>
              <w:jc w:val="left"/>
              <w:rPr>
                <w:rFonts w:ascii="Arial" w:hAnsi="Arial" w:cs="Arial"/>
                <w:color w:val="auto"/>
                <w:sz w:val="24"/>
                <w:szCs w:val="24"/>
              </w:rPr>
            </w:pPr>
            <w:r w:rsidRPr="00237760">
              <w:rPr>
                <w:rFonts w:ascii="Arial" w:hAnsi="Arial" w:cs="Arial"/>
                <w:b/>
                <w:color w:val="auto"/>
                <w:sz w:val="24"/>
                <w:szCs w:val="24"/>
              </w:rPr>
              <w:t>Cele podstawowe i horyzontalne projektu Strategii Rozwoju Transportu Województwa Podkarpackiego do 2030</w:t>
            </w:r>
          </w:p>
        </w:tc>
        <w:tc>
          <w:tcPr>
            <w:tcW w:w="5811" w:type="dxa"/>
            <w:tcBorders>
              <w:top w:val="single" w:sz="12" w:space="0" w:color="002060"/>
              <w:left w:val="nil"/>
              <w:bottom w:val="single" w:sz="8" w:space="0" w:color="9CC2E5" w:themeColor="accent1" w:themeTint="99"/>
              <w:right w:val="nil"/>
            </w:tcBorders>
            <w:shd w:val="clear" w:color="auto" w:fill="auto"/>
            <w:vAlign w:val="center"/>
          </w:tcPr>
          <w:p w14:paraId="0B9D3960" w14:textId="79C1A224" w:rsidR="00710815" w:rsidRPr="00237760" w:rsidRDefault="00EC62E5" w:rsidP="009367B4">
            <w:pPr>
              <w:spacing w:after="0"/>
              <w:jc w:val="left"/>
              <w:rPr>
                <w:rFonts w:ascii="Arial" w:hAnsi="Arial" w:cs="Arial"/>
                <w:color w:val="auto"/>
                <w:sz w:val="24"/>
                <w:szCs w:val="24"/>
              </w:rPr>
            </w:pPr>
            <w:r w:rsidRPr="00237760">
              <w:rPr>
                <w:rFonts w:ascii="Arial" w:hAnsi="Arial" w:cs="Arial"/>
                <w:b/>
                <w:color w:val="auto"/>
                <w:sz w:val="24"/>
                <w:szCs w:val="24"/>
              </w:rPr>
              <w:t xml:space="preserve">Cele szczegółowe dla priorytetów zapisane w Strategii Rozwoju Województwa - Podkarpackie 2030 </w:t>
            </w:r>
            <w:r w:rsidR="00710815" w:rsidRPr="00237760">
              <w:rPr>
                <w:rFonts w:ascii="Arial" w:hAnsi="Arial" w:cs="Arial"/>
                <w:b/>
                <w:color w:val="auto"/>
                <w:sz w:val="24"/>
                <w:szCs w:val="24"/>
              </w:rPr>
              <w:t>Podkarpackiego do 2030</w:t>
            </w:r>
          </w:p>
        </w:tc>
      </w:tr>
      <w:tr w:rsidR="00237760" w:rsidRPr="00237760" w14:paraId="52ECA29E" w14:textId="77777777" w:rsidTr="00F311FF">
        <w:trPr>
          <w:trHeight w:val="925"/>
        </w:trPr>
        <w:tc>
          <w:tcPr>
            <w:tcW w:w="3261" w:type="dxa"/>
            <w:tcBorders>
              <w:top w:val="single" w:sz="8" w:space="0" w:color="9CC2E5" w:themeColor="accent1" w:themeTint="99"/>
              <w:left w:val="nil"/>
              <w:bottom w:val="single" w:sz="8" w:space="0" w:color="9CC2E5" w:themeColor="accent1" w:themeTint="99"/>
              <w:right w:val="nil"/>
            </w:tcBorders>
            <w:vAlign w:val="center"/>
          </w:tcPr>
          <w:p w14:paraId="33F533C3" w14:textId="77777777" w:rsidR="00710815" w:rsidRPr="00237760" w:rsidRDefault="00710815" w:rsidP="009367B4">
            <w:pPr>
              <w:spacing w:after="0" w:line="240" w:lineRule="auto"/>
              <w:jc w:val="left"/>
              <w:rPr>
                <w:rFonts w:ascii="Arial" w:hAnsi="Arial" w:cs="Arial"/>
                <w:b/>
                <w:bCs/>
                <w:color w:val="auto"/>
                <w:sz w:val="24"/>
                <w:szCs w:val="24"/>
              </w:rPr>
            </w:pPr>
            <w:r w:rsidRPr="00237760">
              <w:rPr>
                <w:rFonts w:ascii="Arial" w:hAnsi="Arial" w:cs="Arial"/>
                <w:b/>
                <w:color w:val="auto"/>
                <w:sz w:val="24"/>
                <w:szCs w:val="24"/>
              </w:rPr>
              <w:t xml:space="preserve">Cel podstawowy 1. </w:t>
            </w:r>
          </w:p>
          <w:p w14:paraId="15A98C82" w14:textId="2CE1DC4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b/>
                <w:color w:val="auto"/>
                <w:sz w:val="24"/>
                <w:szCs w:val="24"/>
              </w:rPr>
              <w:t>Dostępność zewnętrzna</w:t>
            </w:r>
            <w:r w:rsidR="00FE32CF" w:rsidRPr="00237760">
              <w:rPr>
                <w:rFonts w:ascii="Arial" w:hAnsi="Arial" w:cs="Arial"/>
                <w:color w:val="auto"/>
                <w:sz w:val="24"/>
                <w:szCs w:val="24"/>
              </w:rPr>
              <w:t xml:space="preserve">. </w:t>
            </w:r>
            <w:r w:rsidRPr="00237760">
              <w:rPr>
                <w:rFonts w:ascii="Arial" w:hAnsi="Arial" w:cs="Arial"/>
                <w:color w:val="auto"/>
                <w:sz w:val="24"/>
                <w:szCs w:val="24"/>
              </w:rPr>
              <w:t>Zwiększenie dostępności zewnętrznej regionu (krajowej i zagranicznej) wynikającej z peryferyjnego położenia województwa</w:t>
            </w:r>
          </w:p>
        </w:tc>
        <w:tc>
          <w:tcPr>
            <w:tcW w:w="5811" w:type="dxa"/>
            <w:tcBorders>
              <w:top w:val="single" w:sz="8" w:space="0" w:color="9CC2E5" w:themeColor="accent1" w:themeTint="99"/>
              <w:left w:val="nil"/>
              <w:bottom w:val="single" w:sz="8" w:space="0" w:color="9CC2E5" w:themeColor="accent1" w:themeTint="99"/>
              <w:right w:val="nil"/>
            </w:tcBorders>
            <w:vAlign w:val="center"/>
          </w:tcPr>
          <w:p w14:paraId="24801C3D"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b/>
                <w:color w:val="auto"/>
                <w:sz w:val="24"/>
                <w:szCs w:val="24"/>
              </w:rPr>
              <w:t>3.2. Rozwój infrastruktury transportowej oraz integracji międzygałęziowej transportu</w:t>
            </w:r>
          </w:p>
          <w:p w14:paraId="61C80ECC" w14:textId="77777777" w:rsidR="00710815" w:rsidRPr="00237760" w:rsidRDefault="00710815" w:rsidP="009367B4">
            <w:pPr>
              <w:spacing w:after="0" w:line="240" w:lineRule="auto"/>
              <w:jc w:val="left"/>
              <w:rPr>
                <w:rFonts w:ascii="Arial" w:eastAsiaTheme="minorEastAsia" w:hAnsi="Arial" w:cs="Arial"/>
                <w:color w:val="auto"/>
                <w:sz w:val="24"/>
                <w:szCs w:val="24"/>
              </w:rPr>
            </w:pPr>
            <w:r w:rsidRPr="00237760">
              <w:rPr>
                <w:rFonts w:ascii="Arial" w:eastAsiaTheme="minorEastAsia" w:hAnsi="Arial" w:cs="Arial"/>
                <w:color w:val="auto"/>
                <w:sz w:val="24"/>
                <w:szCs w:val="24"/>
              </w:rPr>
              <w:t>Poprawa zewnętrznej dostępności komunikacyjnej oraz zrównoważenie struktury komunikacyjnej na obszarze województwa.</w:t>
            </w:r>
          </w:p>
        </w:tc>
      </w:tr>
      <w:tr w:rsidR="00237760" w:rsidRPr="00237760" w14:paraId="7FB9D72E" w14:textId="77777777" w:rsidTr="00F311FF">
        <w:trPr>
          <w:trHeight w:val="405"/>
        </w:trPr>
        <w:tc>
          <w:tcPr>
            <w:tcW w:w="3261" w:type="dxa"/>
            <w:tcBorders>
              <w:top w:val="single" w:sz="8" w:space="0" w:color="9CC2E5" w:themeColor="accent1" w:themeTint="99"/>
              <w:left w:val="nil"/>
              <w:bottom w:val="single" w:sz="8" w:space="0" w:color="9CC2E5" w:themeColor="accent1" w:themeTint="99"/>
              <w:right w:val="nil"/>
            </w:tcBorders>
            <w:vAlign w:val="center"/>
          </w:tcPr>
          <w:p w14:paraId="5B276090"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Cel podstawowy 2.</w:t>
            </w:r>
          </w:p>
          <w:p w14:paraId="579335C0" w14:textId="743671B2"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b/>
                <w:color w:val="auto"/>
                <w:sz w:val="24"/>
                <w:szCs w:val="24"/>
              </w:rPr>
              <w:t>Transportowa spójność wewnętrzna</w:t>
            </w:r>
            <w:r w:rsidR="00FE32CF" w:rsidRPr="00237760">
              <w:rPr>
                <w:rFonts w:ascii="Arial" w:hAnsi="Arial" w:cs="Arial"/>
                <w:color w:val="auto"/>
                <w:sz w:val="24"/>
                <w:szCs w:val="24"/>
              </w:rPr>
              <w:t xml:space="preserve">. </w:t>
            </w:r>
            <w:r w:rsidRPr="00237760">
              <w:rPr>
                <w:rFonts w:ascii="Arial" w:hAnsi="Arial" w:cs="Arial"/>
                <w:color w:val="auto"/>
                <w:sz w:val="24"/>
                <w:szCs w:val="24"/>
              </w:rPr>
              <w:t>Zwiększenie powiązań transportowych w regionie, w tym likwidowanie obszarów wykluczenia transportowego spowodowanego niskim zaludnieniem, obszarami górzystymi, obszarami o niskiej skali zatrudniania.</w:t>
            </w:r>
          </w:p>
        </w:tc>
        <w:tc>
          <w:tcPr>
            <w:tcW w:w="5811" w:type="dxa"/>
            <w:tcBorders>
              <w:top w:val="single" w:sz="8" w:space="0" w:color="9CC2E5" w:themeColor="accent1" w:themeTint="99"/>
              <w:left w:val="nil"/>
              <w:bottom w:val="single" w:sz="8" w:space="0" w:color="9CC2E5" w:themeColor="accent1" w:themeTint="99"/>
              <w:right w:val="nil"/>
            </w:tcBorders>
            <w:vAlign w:val="center"/>
          </w:tcPr>
          <w:p w14:paraId="4581F7F7"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b/>
                <w:color w:val="auto"/>
                <w:sz w:val="24"/>
                <w:szCs w:val="24"/>
              </w:rPr>
              <w:t>3.4. Rozwój infrastruktury informacyjno-komunikacyjnej w regionie</w:t>
            </w:r>
          </w:p>
          <w:p w14:paraId="2612AA2E" w14:textId="77777777" w:rsidR="00710815" w:rsidRPr="00237760" w:rsidRDefault="00710815" w:rsidP="009367B4">
            <w:pPr>
              <w:spacing w:after="0" w:line="240" w:lineRule="auto"/>
              <w:jc w:val="left"/>
              <w:rPr>
                <w:rFonts w:ascii="Arial" w:eastAsiaTheme="minorEastAsia" w:hAnsi="Arial" w:cs="Arial"/>
                <w:color w:val="auto"/>
                <w:sz w:val="24"/>
                <w:szCs w:val="24"/>
              </w:rPr>
            </w:pPr>
            <w:r w:rsidRPr="00237760">
              <w:rPr>
                <w:rFonts w:ascii="Arial" w:eastAsiaTheme="minorEastAsia" w:hAnsi="Arial" w:cs="Arial"/>
                <w:color w:val="auto"/>
                <w:sz w:val="24"/>
                <w:szCs w:val="24"/>
              </w:rPr>
              <w:t>Rozbudowa wysokiej jakości sieci informacyjno-komunikacyjnej dla zapewnienia możliwości rozwojowych województwa oraz dostępności do usług.</w:t>
            </w:r>
          </w:p>
          <w:p w14:paraId="35176C52" w14:textId="77777777" w:rsidR="00710815" w:rsidRPr="00237760" w:rsidRDefault="00710815" w:rsidP="009367B4">
            <w:pPr>
              <w:spacing w:after="0" w:line="240" w:lineRule="auto"/>
              <w:jc w:val="left"/>
              <w:rPr>
                <w:rFonts w:ascii="Arial" w:eastAsiaTheme="minorEastAsia" w:hAnsi="Arial" w:cs="Arial"/>
                <w:b/>
                <w:bCs/>
                <w:color w:val="auto"/>
                <w:sz w:val="24"/>
                <w:szCs w:val="24"/>
              </w:rPr>
            </w:pPr>
            <w:r w:rsidRPr="00237760">
              <w:rPr>
                <w:rFonts w:ascii="Arial" w:eastAsiaTheme="minorEastAsia" w:hAnsi="Arial" w:cs="Arial"/>
                <w:b/>
                <w:bCs/>
                <w:color w:val="auto"/>
                <w:sz w:val="24"/>
                <w:szCs w:val="24"/>
              </w:rPr>
              <w:t>7.1. Wykorzystanie policentrycznego miejskiego układu osadniczego</w:t>
            </w:r>
          </w:p>
          <w:p w14:paraId="5EA355D0" w14:textId="77777777" w:rsidR="00710815" w:rsidRPr="00237760" w:rsidRDefault="00710815" w:rsidP="009367B4">
            <w:pPr>
              <w:spacing w:after="0" w:line="240" w:lineRule="auto"/>
              <w:jc w:val="left"/>
              <w:rPr>
                <w:rFonts w:ascii="Arial" w:eastAsiaTheme="minorEastAsia" w:hAnsi="Arial" w:cs="Arial"/>
                <w:color w:val="auto"/>
                <w:sz w:val="24"/>
                <w:szCs w:val="24"/>
              </w:rPr>
            </w:pPr>
            <w:r w:rsidRPr="00237760">
              <w:rPr>
                <w:rFonts w:ascii="Arial" w:eastAsiaTheme="minorEastAsia" w:hAnsi="Arial" w:cs="Arial"/>
                <w:color w:val="auto"/>
                <w:sz w:val="24"/>
                <w:szCs w:val="24"/>
              </w:rPr>
              <w:t>Rozwój miejskich obszarów funkcjonalnych oraz powiązań obszarów wiejskich z miastami, umożliwiające rozprzestrzenianie procesów rozwojowych w całym regionie</w:t>
            </w:r>
          </w:p>
          <w:p w14:paraId="3B1FE61A" w14:textId="77777777" w:rsidR="00710815" w:rsidRPr="00237760" w:rsidRDefault="00710815" w:rsidP="009367B4">
            <w:pPr>
              <w:spacing w:after="0" w:line="240" w:lineRule="auto"/>
              <w:jc w:val="left"/>
              <w:rPr>
                <w:rFonts w:ascii="Arial" w:eastAsiaTheme="minorEastAsia" w:hAnsi="Arial" w:cs="Arial"/>
                <w:b/>
                <w:bCs/>
                <w:color w:val="auto"/>
                <w:sz w:val="24"/>
                <w:szCs w:val="24"/>
              </w:rPr>
            </w:pPr>
            <w:r w:rsidRPr="00237760">
              <w:rPr>
                <w:rFonts w:ascii="Arial" w:eastAsiaTheme="minorEastAsia" w:hAnsi="Arial" w:cs="Arial"/>
                <w:b/>
                <w:bCs/>
                <w:color w:val="auto"/>
                <w:sz w:val="24"/>
                <w:szCs w:val="24"/>
              </w:rPr>
              <w:t>7.3. Obszary wymagające szczególnego wsparcia w kontekście równoważenia rozwoju</w:t>
            </w:r>
          </w:p>
          <w:p w14:paraId="51CB4F9B" w14:textId="77777777" w:rsidR="00710815" w:rsidRPr="00237760" w:rsidRDefault="00710815" w:rsidP="009367B4">
            <w:pPr>
              <w:spacing w:after="0" w:line="240" w:lineRule="auto"/>
              <w:jc w:val="left"/>
              <w:rPr>
                <w:rFonts w:ascii="Arial" w:eastAsiaTheme="minorEastAsia" w:hAnsi="Arial" w:cs="Arial"/>
                <w:color w:val="auto"/>
                <w:sz w:val="24"/>
                <w:szCs w:val="24"/>
              </w:rPr>
            </w:pPr>
            <w:r w:rsidRPr="00237760">
              <w:rPr>
                <w:rFonts w:ascii="Arial" w:eastAsiaTheme="minorEastAsia" w:hAnsi="Arial" w:cs="Arial"/>
                <w:color w:val="auto"/>
                <w:sz w:val="24"/>
                <w:szCs w:val="24"/>
              </w:rPr>
              <w:t xml:space="preserve">Zmniejszenie poziomu dysproporcji pomiędzy rozwiniętymi gospodarczo i społecznie ośrodkami województwa a obszarami zagrożonymi marginalizacją  </w:t>
            </w:r>
          </w:p>
        </w:tc>
      </w:tr>
      <w:tr w:rsidR="00237760" w:rsidRPr="00237760" w14:paraId="10BCCB12" w14:textId="77777777" w:rsidTr="00F311FF">
        <w:trPr>
          <w:trHeight w:val="405"/>
        </w:trPr>
        <w:tc>
          <w:tcPr>
            <w:tcW w:w="3261" w:type="dxa"/>
            <w:tcBorders>
              <w:top w:val="single" w:sz="8" w:space="0" w:color="9CC2E5" w:themeColor="accent1" w:themeTint="99"/>
              <w:left w:val="nil"/>
              <w:bottom w:val="single" w:sz="8" w:space="0" w:color="9CC2E5" w:themeColor="accent1" w:themeTint="99"/>
              <w:right w:val="nil"/>
            </w:tcBorders>
            <w:vAlign w:val="center"/>
          </w:tcPr>
          <w:p w14:paraId="1780F2CE"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 xml:space="preserve">Cel podstawowy 3. </w:t>
            </w:r>
          </w:p>
          <w:p w14:paraId="48EF7C50" w14:textId="4CB8641C" w:rsidR="00710815" w:rsidRPr="00237760" w:rsidRDefault="00FE32CF"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 xml:space="preserve">Integracja MOF. </w:t>
            </w:r>
            <w:r w:rsidR="00710815" w:rsidRPr="00237760">
              <w:rPr>
                <w:rFonts w:ascii="Arial" w:hAnsi="Arial" w:cs="Arial"/>
                <w:color w:val="auto"/>
                <w:sz w:val="24"/>
                <w:szCs w:val="24"/>
              </w:rPr>
              <w:t>Integracja wewnętrzna Rzeszowskiego Obszaru Funkcjonalnego i miejskich obszarów funkcjonalnych biegunów wzrostu, uwzględniająca policentryczny układ województwa i umożliwiająca integrację głównych rynków pracy</w:t>
            </w:r>
          </w:p>
        </w:tc>
        <w:tc>
          <w:tcPr>
            <w:tcW w:w="5811" w:type="dxa"/>
            <w:tcBorders>
              <w:top w:val="single" w:sz="8" w:space="0" w:color="9CC2E5" w:themeColor="accent1" w:themeTint="99"/>
              <w:left w:val="nil"/>
              <w:bottom w:val="single" w:sz="8" w:space="0" w:color="9CC2E5" w:themeColor="accent1" w:themeTint="99"/>
              <w:right w:val="nil"/>
            </w:tcBorders>
            <w:vAlign w:val="center"/>
          </w:tcPr>
          <w:p w14:paraId="2680DABC"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b/>
                <w:color w:val="auto"/>
                <w:sz w:val="24"/>
                <w:szCs w:val="24"/>
              </w:rPr>
              <w:t>3.3 Poprawa dostępności komunikacyjnej wewnątrz regionu oraz rozwój transportu publicznego</w:t>
            </w:r>
          </w:p>
          <w:p w14:paraId="385437B0"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Poprawa wewnętrznej dostępności komunikacyjnej zapewniającej spójność przestrzenną regionu oraz integrację obszarów funkcjonalnych.</w:t>
            </w:r>
          </w:p>
          <w:p w14:paraId="11E9292A" w14:textId="77777777" w:rsidR="00710815" w:rsidRPr="00237760" w:rsidRDefault="00710815" w:rsidP="009367B4">
            <w:pPr>
              <w:spacing w:after="0" w:line="240" w:lineRule="auto"/>
              <w:jc w:val="left"/>
              <w:rPr>
                <w:rFonts w:ascii="Arial" w:eastAsiaTheme="minorEastAsia" w:hAnsi="Arial" w:cs="Arial"/>
                <w:b/>
                <w:bCs/>
                <w:color w:val="auto"/>
                <w:sz w:val="24"/>
                <w:szCs w:val="24"/>
              </w:rPr>
            </w:pPr>
            <w:r w:rsidRPr="00237760">
              <w:rPr>
                <w:rFonts w:ascii="Arial" w:eastAsiaTheme="minorEastAsia" w:hAnsi="Arial" w:cs="Arial"/>
                <w:b/>
                <w:bCs/>
                <w:color w:val="auto"/>
                <w:sz w:val="24"/>
                <w:szCs w:val="24"/>
              </w:rPr>
              <w:t>7.2. Funkcje metropolitalne Rzeszowa oraz jego obszaru funkcjonalnego</w:t>
            </w:r>
          </w:p>
          <w:p w14:paraId="38DCFC03" w14:textId="77777777" w:rsidR="00710815" w:rsidRPr="00237760" w:rsidRDefault="00710815" w:rsidP="009367B4">
            <w:pPr>
              <w:spacing w:after="0" w:line="240" w:lineRule="auto"/>
              <w:jc w:val="left"/>
              <w:rPr>
                <w:rFonts w:ascii="Arial" w:eastAsiaTheme="minorEastAsia" w:hAnsi="Arial" w:cs="Arial"/>
                <w:color w:val="auto"/>
                <w:sz w:val="24"/>
                <w:szCs w:val="24"/>
              </w:rPr>
            </w:pPr>
            <w:r w:rsidRPr="00237760">
              <w:rPr>
                <w:rFonts w:ascii="Arial" w:eastAsiaTheme="minorEastAsia" w:hAnsi="Arial" w:cs="Arial"/>
                <w:color w:val="auto"/>
                <w:sz w:val="24"/>
                <w:szCs w:val="24"/>
              </w:rPr>
              <w:t>Rozwój miasta Rzeszowa i jego obszaru funkcjonalnego jako obszaru metropolitalnego o znaczeniu międzynarodowym</w:t>
            </w:r>
          </w:p>
        </w:tc>
      </w:tr>
      <w:tr w:rsidR="00237760" w:rsidRPr="00237760" w14:paraId="195D37A7" w14:textId="77777777" w:rsidTr="00F311FF">
        <w:trPr>
          <w:trHeight w:val="1065"/>
        </w:trPr>
        <w:tc>
          <w:tcPr>
            <w:tcW w:w="3261" w:type="dxa"/>
            <w:tcBorders>
              <w:top w:val="single" w:sz="8" w:space="0" w:color="9CC2E5" w:themeColor="accent1" w:themeTint="99"/>
              <w:left w:val="nil"/>
              <w:bottom w:val="single" w:sz="8" w:space="0" w:color="9CC2E5" w:themeColor="accent1" w:themeTint="99"/>
              <w:right w:val="nil"/>
            </w:tcBorders>
            <w:vAlign w:val="center"/>
          </w:tcPr>
          <w:p w14:paraId="35C72C0F"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lastRenderedPageBreak/>
              <w:t>Cel horyzontalny 1.</w:t>
            </w:r>
          </w:p>
          <w:p w14:paraId="34F20FF8"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Ograniczenie negatywnego oddziaływania sektora transportu na klimat oraz na regionalne środowisko naturalne</w:t>
            </w:r>
          </w:p>
        </w:tc>
        <w:tc>
          <w:tcPr>
            <w:tcW w:w="5811" w:type="dxa"/>
            <w:tcBorders>
              <w:top w:val="single" w:sz="8" w:space="0" w:color="9CC2E5" w:themeColor="accent1" w:themeTint="99"/>
              <w:left w:val="nil"/>
              <w:bottom w:val="single" w:sz="8" w:space="0" w:color="9CC2E5" w:themeColor="accent1" w:themeTint="99"/>
              <w:right w:val="nil"/>
            </w:tcBorders>
            <w:vAlign w:val="center"/>
          </w:tcPr>
          <w:p w14:paraId="455B72BD"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b/>
                <w:color w:val="auto"/>
                <w:sz w:val="24"/>
                <w:szCs w:val="24"/>
              </w:rPr>
              <w:t>3.7 Zapobieganie i minimalizowanie skutków zagrożeń antropogenicznych</w:t>
            </w:r>
          </w:p>
          <w:p w14:paraId="604D87BD"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Ograniczenie negatywnych skutków rozwoju cywilizacyjnego na stan środowiska.</w:t>
            </w:r>
          </w:p>
        </w:tc>
      </w:tr>
      <w:tr w:rsidR="00237760" w:rsidRPr="00237760" w14:paraId="771BFEA4" w14:textId="77777777" w:rsidTr="00F311FF">
        <w:trPr>
          <w:trHeight w:val="1225"/>
        </w:trPr>
        <w:tc>
          <w:tcPr>
            <w:tcW w:w="3261" w:type="dxa"/>
            <w:tcBorders>
              <w:top w:val="single" w:sz="8" w:space="0" w:color="9CC2E5" w:themeColor="accent1" w:themeTint="99"/>
              <w:left w:val="nil"/>
              <w:bottom w:val="single" w:sz="8" w:space="0" w:color="9CC2E5" w:themeColor="accent1" w:themeTint="99"/>
              <w:right w:val="nil"/>
            </w:tcBorders>
            <w:vAlign w:val="center"/>
          </w:tcPr>
          <w:p w14:paraId="282CBAEA"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 xml:space="preserve">Cel horyzontalny 2. </w:t>
            </w:r>
          </w:p>
          <w:p w14:paraId="570B7427"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Wzmocnienie rozwiązań multimodalnych</w:t>
            </w:r>
          </w:p>
        </w:tc>
        <w:tc>
          <w:tcPr>
            <w:tcW w:w="5811" w:type="dxa"/>
            <w:tcBorders>
              <w:top w:val="single" w:sz="8" w:space="0" w:color="9CC2E5" w:themeColor="accent1" w:themeTint="99"/>
              <w:left w:val="nil"/>
              <w:bottom w:val="single" w:sz="8" w:space="0" w:color="9CC2E5" w:themeColor="accent1" w:themeTint="99"/>
              <w:right w:val="nil"/>
            </w:tcBorders>
            <w:vAlign w:val="center"/>
          </w:tcPr>
          <w:p w14:paraId="6D73F181"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b/>
                <w:color w:val="auto"/>
                <w:sz w:val="24"/>
                <w:szCs w:val="24"/>
              </w:rPr>
              <w:t>3.2. Rozwój infrastruktury transportowej oraz integracji międzygałęziowej transportu</w:t>
            </w:r>
          </w:p>
          <w:p w14:paraId="1404CCF0" w14:textId="77777777" w:rsidR="00710815" w:rsidRPr="00237760" w:rsidRDefault="00710815" w:rsidP="009367B4">
            <w:pPr>
              <w:spacing w:after="0" w:line="240" w:lineRule="auto"/>
              <w:jc w:val="left"/>
              <w:rPr>
                <w:rFonts w:ascii="Arial" w:eastAsiaTheme="minorEastAsia" w:hAnsi="Arial" w:cs="Arial"/>
                <w:color w:val="auto"/>
                <w:sz w:val="24"/>
                <w:szCs w:val="24"/>
              </w:rPr>
            </w:pPr>
            <w:r w:rsidRPr="00237760">
              <w:rPr>
                <w:rFonts w:ascii="Arial" w:eastAsiaTheme="minorEastAsia" w:hAnsi="Arial" w:cs="Arial"/>
                <w:color w:val="auto"/>
                <w:sz w:val="24"/>
                <w:szCs w:val="24"/>
              </w:rPr>
              <w:t>Poprawa zewnętrznej dostępności komunikacyjnej oraz zrównoważenie struktury komunikacyjnej na obszarze województwa.</w:t>
            </w:r>
          </w:p>
          <w:p w14:paraId="1736DC65" w14:textId="77777777" w:rsidR="00710815" w:rsidRPr="00237760" w:rsidRDefault="00710815" w:rsidP="009367B4">
            <w:pPr>
              <w:spacing w:after="0" w:line="240" w:lineRule="auto"/>
              <w:jc w:val="left"/>
              <w:rPr>
                <w:rFonts w:ascii="Arial" w:eastAsiaTheme="minorEastAsia" w:hAnsi="Arial" w:cs="Arial"/>
                <w:b/>
                <w:bCs/>
                <w:color w:val="auto"/>
                <w:sz w:val="24"/>
                <w:szCs w:val="24"/>
              </w:rPr>
            </w:pPr>
            <w:r w:rsidRPr="00237760">
              <w:rPr>
                <w:rFonts w:ascii="Arial" w:eastAsiaTheme="minorEastAsia" w:hAnsi="Arial" w:cs="Arial"/>
                <w:b/>
                <w:bCs/>
                <w:color w:val="auto"/>
                <w:sz w:val="24"/>
                <w:szCs w:val="24"/>
              </w:rPr>
              <w:t>7.2. Funkcje metropolitalne Rzeszowa oraz jego obszaru funkcjonalnego</w:t>
            </w:r>
          </w:p>
          <w:p w14:paraId="2EB1D3ED" w14:textId="77777777" w:rsidR="00710815" w:rsidRPr="00237760" w:rsidRDefault="00710815" w:rsidP="009367B4">
            <w:pPr>
              <w:spacing w:after="0" w:line="240" w:lineRule="auto"/>
              <w:jc w:val="left"/>
              <w:rPr>
                <w:rFonts w:ascii="Arial" w:eastAsiaTheme="minorEastAsia" w:hAnsi="Arial" w:cs="Arial"/>
                <w:color w:val="auto"/>
                <w:sz w:val="24"/>
                <w:szCs w:val="24"/>
              </w:rPr>
            </w:pPr>
            <w:r w:rsidRPr="00237760">
              <w:rPr>
                <w:rFonts w:ascii="Arial" w:eastAsiaTheme="minorEastAsia" w:hAnsi="Arial" w:cs="Arial"/>
                <w:color w:val="auto"/>
                <w:sz w:val="24"/>
                <w:szCs w:val="24"/>
              </w:rPr>
              <w:t>Rozwój miasta Rzeszowa i jego obszaru funkcjonalnego jako obszaru metropolitalnego o znaczeniu międzynarodowym</w:t>
            </w:r>
          </w:p>
        </w:tc>
      </w:tr>
      <w:tr w:rsidR="00237760" w:rsidRPr="00237760" w14:paraId="1C6A6D5E" w14:textId="77777777" w:rsidTr="00F311FF">
        <w:trPr>
          <w:trHeight w:val="405"/>
        </w:trPr>
        <w:tc>
          <w:tcPr>
            <w:tcW w:w="3261" w:type="dxa"/>
            <w:tcBorders>
              <w:top w:val="single" w:sz="8" w:space="0" w:color="9CC2E5" w:themeColor="accent1" w:themeTint="99"/>
              <w:left w:val="nil"/>
              <w:bottom w:val="single" w:sz="8" w:space="0" w:color="9CC2E5" w:themeColor="accent1" w:themeTint="99"/>
              <w:right w:val="nil"/>
            </w:tcBorders>
            <w:vAlign w:val="center"/>
          </w:tcPr>
          <w:p w14:paraId="0804C7BA"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 xml:space="preserve">Cel horyzontalny 3. </w:t>
            </w:r>
          </w:p>
          <w:p w14:paraId="3A6EDEA5"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Transport publiczny</w:t>
            </w:r>
          </w:p>
        </w:tc>
        <w:tc>
          <w:tcPr>
            <w:tcW w:w="5811" w:type="dxa"/>
            <w:tcBorders>
              <w:top w:val="single" w:sz="8" w:space="0" w:color="9CC2E5" w:themeColor="accent1" w:themeTint="99"/>
              <w:left w:val="nil"/>
              <w:bottom w:val="single" w:sz="8" w:space="0" w:color="9CC2E5" w:themeColor="accent1" w:themeTint="99"/>
              <w:right w:val="nil"/>
            </w:tcBorders>
            <w:vAlign w:val="center"/>
          </w:tcPr>
          <w:p w14:paraId="4A6042FF"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b/>
                <w:color w:val="auto"/>
                <w:sz w:val="24"/>
                <w:szCs w:val="24"/>
              </w:rPr>
              <w:t xml:space="preserve">3.3. Poprawa dostępności komunikacyjnej wewnątrz regionu oraz rozwój transportu publicznego </w:t>
            </w:r>
          </w:p>
          <w:p w14:paraId="69F70F6B"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Poprawa wewnętrznej dostępności komunikacyjnej zapewniającej spójność przestrzenną regionu oraz integrację obszarów funkcjonalnych.</w:t>
            </w:r>
          </w:p>
          <w:p w14:paraId="46177375" w14:textId="77777777" w:rsidR="00710815" w:rsidRPr="00237760" w:rsidRDefault="00710815" w:rsidP="009367B4">
            <w:pPr>
              <w:spacing w:after="0" w:line="240" w:lineRule="auto"/>
              <w:jc w:val="left"/>
              <w:rPr>
                <w:rFonts w:ascii="Arial" w:eastAsiaTheme="minorEastAsia" w:hAnsi="Arial" w:cs="Arial"/>
                <w:b/>
                <w:bCs/>
                <w:color w:val="auto"/>
                <w:sz w:val="24"/>
                <w:szCs w:val="24"/>
              </w:rPr>
            </w:pPr>
            <w:r w:rsidRPr="00237760">
              <w:rPr>
                <w:rFonts w:ascii="Arial" w:eastAsiaTheme="minorEastAsia" w:hAnsi="Arial" w:cs="Arial"/>
                <w:b/>
                <w:bCs/>
                <w:color w:val="auto"/>
                <w:sz w:val="24"/>
                <w:szCs w:val="24"/>
              </w:rPr>
              <w:t>7.2. Funkcje metropolitalne Rzeszowa oraz jego obszaru funkcjonalnego</w:t>
            </w:r>
          </w:p>
          <w:p w14:paraId="0CB52573" w14:textId="77777777" w:rsidR="00710815" w:rsidRPr="00237760" w:rsidRDefault="00710815" w:rsidP="009367B4">
            <w:pPr>
              <w:spacing w:after="0" w:line="240" w:lineRule="auto"/>
              <w:jc w:val="left"/>
              <w:rPr>
                <w:rFonts w:ascii="Arial" w:eastAsiaTheme="minorEastAsia" w:hAnsi="Arial" w:cs="Arial"/>
                <w:color w:val="auto"/>
                <w:sz w:val="24"/>
                <w:szCs w:val="24"/>
              </w:rPr>
            </w:pPr>
            <w:r w:rsidRPr="00237760">
              <w:rPr>
                <w:rFonts w:ascii="Arial" w:eastAsiaTheme="minorEastAsia" w:hAnsi="Arial" w:cs="Arial"/>
                <w:color w:val="auto"/>
                <w:sz w:val="24"/>
                <w:szCs w:val="24"/>
              </w:rPr>
              <w:t>Rozwój miasta Rzeszowa i jego obszaru funkcjonalnego jako obszaru metropolitalnego o znaczeniu międzynarodowym</w:t>
            </w:r>
          </w:p>
        </w:tc>
      </w:tr>
      <w:tr w:rsidR="00237760" w:rsidRPr="00237760" w14:paraId="359C89CF" w14:textId="77777777" w:rsidTr="00F311FF">
        <w:trPr>
          <w:trHeight w:val="405"/>
        </w:trPr>
        <w:tc>
          <w:tcPr>
            <w:tcW w:w="3261" w:type="dxa"/>
            <w:tcBorders>
              <w:top w:val="single" w:sz="8" w:space="0" w:color="9CC2E5" w:themeColor="accent1" w:themeTint="99"/>
              <w:left w:val="nil"/>
              <w:bottom w:val="single" w:sz="12" w:space="0" w:color="002060"/>
              <w:right w:val="nil"/>
            </w:tcBorders>
            <w:vAlign w:val="center"/>
          </w:tcPr>
          <w:p w14:paraId="39F278A7"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 xml:space="preserve">Cel horyzontalny 4. </w:t>
            </w:r>
          </w:p>
          <w:p w14:paraId="260B7FC7"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Poprawa bezpieczeństwa w transporcie</w:t>
            </w:r>
          </w:p>
        </w:tc>
        <w:tc>
          <w:tcPr>
            <w:tcW w:w="5811" w:type="dxa"/>
            <w:tcBorders>
              <w:top w:val="single" w:sz="8" w:space="0" w:color="9CC2E5" w:themeColor="accent1" w:themeTint="99"/>
              <w:left w:val="nil"/>
              <w:bottom w:val="single" w:sz="12" w:space="0" w:color="002060"/>
              <w:right w:val="nil"/>
            </w:tcBorders>
            <w:vAlign w:val="center"/>
          </w:tcPr>
          <w:p w14:paraId="2231B85B" w14:textId="77777777" w:rsidR="00710815" w:rsidRPr="00237760" w:rsidRDefault="00710815" w:rsidP="009367B4">
            <w:pPr>
              <w:spacing w:after="0" w:line="240" w:lineRule="auto"/>
              <w:jc w:val="left"/>
              <w:rPr>
                <w:rFonts w:ascii="Arial" w:eastAsiaTheme="minorEastAsia" w:hAnsi="Arial" w:cs="Arial"/>
                <w:b/>
                <w:bCs/>
                <w:color w:val="auto"/>
                <w:sz w:val="24"/>
                <w:szCs w:val="24"/>
              </w:rPr>
            </w:pPr>
            <w:r w:rsidRPr="00237760">
              <w:rPr>
                <w:rFonts w:ascii="Arial" w:eastAsiaTheme="minorEastAsia" w:hAnsi="Arial" w:cs="Arial"/>
                <w:b/>
                <w:bCs/>
                <w:color w:val="auto"/>
                <w:sz w:val="24"/>
                <w:szCs w:val="24"/>
              </w:rPr>
              <w:t xml:space="preserve">3.2 Rozwój infrastruktury transportowej oraz integracji międzygałęziowej transportu  </w:t>
            </w:r>
          </w:p>
          <w:p w14:paraId="687A4456" w14:textId="77777777" w:rsidR="00710815" w:rsidRPr="00237760" w:rsidRDefault="00710815" w:rsidP="009367B4">
            <w:pPr>
              <w:spacing w:after="0" w:line="240" w:lineRule="auto"/>
              <w:jc w:val="left"/>
              <w:rPr>
                <w:rFonts w:ascii="Arial" w:eastAsiaTheme="minorEastAsia" w:hAnsi="Arial" w:cs="Arial"/>
                <w:color w:val="auto"/>
                <w:sz w:val="24"/>
                <w:szCs w:val="24"/>
              </w:rPr>
            </w:pPr>
            <w:r w:rsidRPr="00237760">
              <w:rPr>
                <w:rFonts w:ascii="Arial" w:eastAsiaTheme="minorEastAsia" w:hAnsi="Arial" w:cs="Arial"/>
                <w:color w:val="auto"/>
                <w:sz w:val="24"/>
                <w:szCs w:val="24"/>
              </w:rPr>
              <w:t>Poprawa zewnętrznej dostępności komunikacyjnej oraz zrównoważenie struktury komunikacyjnej na obszarze województwa.</w:t>
            </w:r>
          </w:p>
        </w:tc>
      </w:tr>
    </w:tbl>
    <w:p w14:paraId="515F999F" w14:textId="09E445F8" w:rsidR="00710815" w:rsidRPr="00237760" w:rsidRDefault="00710815" w:rsidP="009367B4">
      <w:pPr>
        <w:jc w:val="left"/>
        <w:rPr>
          <w:rFonts w:ascii="Arial" w:hAnsi="Arial" w:cs="Arial"/>
          <w:color w:val="auto"/>
          <w:sz w:val="24"/>
          <w:szCs w:val="24"/>
        </w:rPr>
      </w:pPr>
      <w:r w:rsidRPr="00237760">
        <w:rPr>
          <w:rFonts w:ascii="Arial" w:hAnsi="Arial" w:cs="Arial"/>
          <w:color w:val="auto"/>
          <w:sz w:val="24"/>
          <w:szCs w:val="24"/>
        </w:rPr>
        <w:t xml:space="preserve"> Źródło: opracowanie własne na podstawie projektu </w:t>
      </w:r>
      <w:r w:rsidR="00F311FF" w:rsidRPr="00237760">
        <w:rPr>
          <w:rFonts w:ascii="Arial" w:hAnsi="Arial" w:cs="Arial"/>
          <w:color w:val="auto"/>
          <w:sz w:val="24"/>
          <w:szCs w:val="24"/>
        </w:rPr>
        <w:t>PSRT WP</w:t>
      </w:r>
      <w:r w:rsidRPr="00237760">
        <w:rPr>
          <w:rFonts w:ascii="Arial" w:hAnsi="Arial" w:cs="Arial"/>
          <w:color w:val="auto"/>
          <w:sz w:val="24"/>
          <w:szCs w:val="24"/>
        </w:rPr>
        <w:t xml:space="preserve"> i SRW Podkarpackie 2030</w:t>
      </w:r>
      <w:r w:rsidR="00EC62E5" w:rsidRPr="00237760">
        <w:rPr>
          <w:rFonts w:ascii="Arial" w:hAnsi="Arial" w:cs="Arial"/>
          <w:color w:val="auto"/>
          <w:sz w:val="24"/>
          <w:szCs w:val="24"/>
        </w:rPr>
        <w:t>.</w:t>
      </w:r>
    </w:p>
    <w:p w14:paraId="28A3D645" w14:textId="184E6AF8" w:rsidR="00710815" w:rsidRPr="00237760" w:rsidRDefault="000F0E61"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 xml:space="preserve">Program </w:t>
      </w:r>
      <w:r w:rsidR="00710815" w:rsidRPr="00237760">
        <w:rPr>
          <w:rFonts w:ascii="Arial" w:hAnsi="Arial" w:cs="Arial"/>
          <w:i/>
          <w:iCs/>
          <w:color w:val="auto"/>
          <w:sz w:val="24"/>
          <w:szCs w:val="24"/>
          <w:lang w:eastAsia="pl-PL"/>
        </w:rPr>
        <w:t xml:space="preserve">Fundusze Europejskie dla Podkarpacia 2021-2027 </w:t>
      </w:r>
      <w:r w:rsidR="00F311FF" w:rsidRPr="00237760">
        <w:rPr>
          <w:rFonts w:ascii="Arial" w:hAnsi="Arial" w:cs="Arial"/>
          <w:color w:val="auto"/>
          <w:sz w:val="24"/>
          <w:szCs w:val="24"/>
          <w:lang w:eastAsia="pl-PL"/>
        </w:rPr>
        <w:t>jest</w:t>
      </w:r>
      <w:r w:rsidR="00710815" w:rsidRPr="00237760">
        <w:rPr>
          <w:rFonts w:ascii="Arial" w:hAnsi="Arial" w:cs="Arial"/>
          <w:color w:val="auto"/>
          <w:sz w:val="24"/>
          <w:szCs w:val="24"/>
          <w:lang w:eastAsia="pl-PL"/>
        </w:rPr>
        <w:t xml:space="preserve"> jedn</w:t>
      </w:r>
      <w:r w:rsidR="00F311FF" w:rsidRPr="00237760">
        <w:rPr>
          <w:rFonts w:ascii="Arial" w:hAnsi="Arial" w:cs="Arial"/>
          <w:color w:val="auto"/>
          <w:sz w:val="24"/>
          <w:szCs w:val="24"/>
          <w:lang w:eastAsia="pl-PL"/>
        </w:rPr>
        <w:t xml:space="preserve">ym ze źródeł </w:t>
      </w:r>
      <w:r w:rsidR="00710815" w:rsidRPr="00237760">
        <w:rPr>
          <w:rFonts w:ascii="Arial" w:hAnsi="Arial" w:cs="Arial"/>
          <w:color w:val="auto"/>
          <w:sz w:val="24"/>
          <w:szCs w:val="24"/>
          <w:lang w:eastAsia="pl-PL"/>
        </w:rPr>
        <w:t xml:space="preserve">unijnego finansowania PSRT WP. W projekcie dokumentu </w:t>
      </w:r>
      <w:r w:rsidR="00FC5D59" w:rsidRPr="00237760">
        <w:rPr>
          <w:rFonts w:ascii="Arial" w:hAnsi="Arial" w:cs="Arial"/>
          <w:color w:val="auto"/>
          <w:sz w:val="24"/>
          <w:szCs w:val="24"/>
          <w:lang w:eastAsia="pl-PL"/>
        </w:rPr>
        <w:t>wskazano osiem priorytetów:</w:t>
      </w:r>
    </w:p>
    <w:p w14:paraId="305FD7C1" w14:textId="77777777" w:rsidR="00710815" w:rsidRPr="00237760" w:rsidRDefault="00710815" w:rsidP="009367B4">
      <w:pPr>
        <w:pStyle w:val="Akapitzlist"/>
        <w:numPr>
          <w:ilvl w:val="0"/>
          <w:numId w:val="60"/>
        </w:numPr>
        <w:spacing w:line="240" w:lineRule="auto"/>
        <w:ind w:left="425" w:hanging="295"/>
        <w:contextualSpacing/>
        <w:jc w:val="left"/>
        <w:rPr>
          <w:rFonts w:ascii="Arial" w:hAnsi="Arial" w:cs="Arial"/>
          <w:color w:val="auto"/>
          <w:sz w:val="24"/>
          <w:szCs w:val="24"/>
        </w:rPr>
      </w:pPr>
      <w:r w:rsidRPr="00237760">
        <w:rPr>
          <w:rFonts w:ascii="Arial" w:hAnsi="Arial" w:cs="Arial"/>
          <w:color w:val="auto"/>
          <w:sz w:val="24"/>
          <w:szCs w:val="24"/>
        </w:rPr>
        <w:t xml:space="preserve">Priorytet 1 (P1) Konkurencyjna i cyfrowa gospodarka, </w:t>
      </w:r>
    </w:p>
    <w:p w14:paraId="67E4D3EA" w14:textId="77777777" w:rsidR="00710815" w:rsidRPr="00237760" w:rsidRDefault="00710815" w:rsidP="009367B4">
      <w:pPr>
        <w:pStyle w:val="Akapitzlist"/>
        <w:numPr>
          <w:ilvl w:val="0"/>
          <w:numId w:val="60"/>
        </w:numPr>
        <w:spacing w:line="240" w:lineRule="auto"/>
        <w:ind w:left="425" w:hanging="295"/>
        <w:contextualSpacing/>
        <w:jc w:val="left"/>
        <w:rPr>
          <w:rFonts w:ascii="Arial" w:hAnsi="Arial" w:cs="Arial"/>
          <w:color w:val="auto"/>
          <w:sz w:val="24"/>
          <w:szCs w:val="24"/>
        </w:rPr>
      </w:pPr>
      <w:r w:rsidRPr="00237760">
        <w:rPr>
          <w:rFonts w:ascii="Arial" w:hAnsi="Arial" w:cs="Arial"/>
          <w:color w:val="auto"/>
          <w:sz w:val="24"/>
          <w:szCs w:val="24"/>
        </w:rPr>
        <w:t xml:space="preserve">Priorytet 2 (P2) Energia i środowisko, </w:t>
      </w:r>
    </w:p>
    <w:p w14:paraId="50A298D1" w14:textId="77777777" w:rsidR="00710815" w:rsidRPr="00237760" w:rsidRDefault="00710815" w:rsidP="009367B4">
      <w:pPr>
        <w:pStyle w:val="Akapitzlist"/>
        <w:numPr>
          <w:ilvl w:val="0"/>
          <w:numId w:val="60"/>
        </w:numPr>
        <w:spacing w:line="240" w:lineRule="auto"/>
        <w:ind w:left="425" w:hanging="295"/>
        <w:contextualSpacing/>
        <w:jc w:val="left"/>
        <w:rPr>
          <w:rFonts w:ascii="Arial" w:hAnsi="Arial" w:cs="Arial"/>
          <w:color w:val="auto"/>
          <w:sz w:val="24"/>
          <w:szCs w:val="24"/>
        </w:rPr>
      </w:pPr>
      <w:r w:rsidRPr="00237760">
        <w:rPr>
          <w:rFonts w:ascii="Arial" w:hAnsi="Arial" w:cs="Arial"/>
          <w:color w:val="auto"/>
          <w:sz w:val="24"/>
          <w:szCs w:val="24"/>
        </w:rPr>
        <w:t xml:space="preserve">Priorytet 3 (P3) Mobilność miejska, </w:t>
      </w:r>
    </w:p>
    <w:p w14:paraId="08CD577B" w14:textId="77777777" w:rsidR="00710815" w:rsidRPr="00237760" w:rsidRDefault="00710815" w:rsidP="009367B4">
      <w:pPr>
        <w:pStyle w:val="Akapitzlist"/>
        <w:numPr>
          <w:ilvl w:val="0"/>
          <w:numId w:val="60"/>
        </w:numPr>
        <w:spacing w:line="240" w:lineRule="auto"/>
        <w:ind w:left="425" w:hanging="295"/>
        <w:contextualSpacing/>
        <w:jc w:val="left"/>
        <w:rPr>
          <w:rFonts w:ascii="Arial" w:hAnsi="Arial" w:cs="Arial"/>
          <w:color w:val="auto"/>
          <w:sz w:val="24"/>
          <w:szCs w:val="24"/>
        </w:rPr>
      </w:pPr>
      <w:r w:rsidRPr="00237760">
        <w:rPr>
          <w:rFonts w:ascii="Arial" w:hAnsi="Arial" w:cs="Arial"/>
          <w:color w:val="auto"/>
          <w:sz w:val="24"/>
          <w:szCs w:val="24"/>
        </w:rPr>
        <w:t>Priorytet 4 (P4) Mobilność i łączność,</w:t>
      </w:r>
    </w:p>
    <w:p w14:paraId="48A1BD16" w14:textId="77777777" w:rsidR="00710815" w:rsidRPr="00237760" w:rsidRDefault="00710815" w:rsidP="009367B4">
      <w:pPr>
        <w:pStyle w:val="Akapitzlist"/>
        <w:numPr>
          <w:ilvl w:val="0"/>
          <w:numId w:val="60"/>
        </w:numPr>
        <w:spacing w:line="240" w:lineRule="auto"/>
        <w:ind w:left="425" w:hanging="295"/>
        <w:contextualSpacing/>
        <w:jc w:val="left"/>
        <w:rPr>
          <w:rFonts w:ascii="Arial" w:hAnsi="Arial" w:cs="Arial"/>
          <w:color w:val="auto"/>
          <w:sz w:val="24"/>
          <w:szCs w:val="24"/>
        </w:rPr>
      </w:pPr>
      <w:r w:rsidRPr="00237760">
        <w:rPr>
          <w:rFonts w:ascii="Arial" w:hAnsi="Arial" w:cs="Arial"/>
          <w:color w:val="auto"/>
          <w:sz w:val="24"/>
          <w:szCs w:val="24"/>
        </w:rPr>
        <w:lastRenderedPageBreak/>
        <w:t xml:space="preserve">Priorytet 5 (P5) Infrastruktura bliżej ludzi, </w:t>
      </w:r>
    </w:p>
    <w:p w14:paraId="7FDFBFB1" w14:textId="77777777" w:rsidR="00710815" w:rsidRPr="00237760" w:rsidRDefault="00710815" w:rsidP="009367B4">
      <w:pPr>
        <w:pStyle w:val="Akapitzlist"/>
        <w:numPr>
          <w:ilvl w:val="0"/>
          <w:numId w:val="60"/>
        </w:numPr>
        <w:spacing w:line="240" w:lineRule="auto"/>
        <w:ind w:left="425" w:hanging="295"/>
        <w:contextualSpacing/>
        <w:jc w:val="left"/>
        <w:rPr>
          <w:rFonts w:ascii="Arial" w:hAnsi="Arial" w:cs="Arial"/>
          <w:color w:val="auto"/>
          <w:sz w:val="24"/>
          <w:szCs w:val="24"/>
        </w:rPr>
      </w:pPr>
      <w:r w:rsidRPr="00237760">
        <w:rPr>
          <w:rFonts w:ascii="Arial" w:hAnsi="Arial" w:cs="Arial"/>
          <w:color w:val="auto"/>
          <w:sz w:val="24"/>
          <w:szCs w:val="24"/>
        </w:rPr>
        <w:t xml:space="preserve">Priorytet 6 (P6) Rozwój zrównoważony terytorialnie, </w:t>
      </w:r>
    </w:p>
    <w:p w14:paraId="45C9ED2D" w14:textId="77777777" w:rsidR="00710815" w:rsidRPr="00237760" w:rsidRDefault="00710815" w:rsidP="009367B4">
      <w:pPr>
        <w:pStyle w:val="Akapitzlist"/>
        <w:numPr>
          <w:ilvl w:val="0"/>
          <w:numId w:val="60"/>
        </w:numPr>
        <w:spacing w:line="240" w:lineRule="auto"/>
        <w:ind w:left="425" w:hanging="295"/>
        <w:contextualSpacing/>
        <w:jc w:val="left"/>
        <w:rPr>
          <w:rFonts w:ascii="Arial" w:hAnsi="Arial" w:cs="Arial"/>
          <w:color w:val="auto"/>
          <w:sz w:val="24"/>
          <w:szCs w:val="24"/>
        </w:rPr>
      </w:pPr>
      <w:r w:rsidRPr="00237760">
        <w:rPr>
          <w:rFonts w:ascii="Arial" w:hAnsi="Arial" w:cs="Arial"/>
          <w:color w:val="auto"/>
          <w:sz w:val="24"/>
          <w:szCs w:val="24"/>
        </w:rPr>
        <w:t xml:space="preserve">Priorytet 7 (P7) Kapitał ludzki gotowy do zmian, </w:t>
      </w:r>
    </w:p>
    <w:p w14:paraId="6E9CA532" w14:textId="77777777" w:rsidR="00710815" w:rsidRPr="00237760" w:rsidRDefault="00710815" w:rsidP="009367B4">
      <w:pPr>
        <w:pStyle w:val="Akapitzlist"/>
        <w:numPr>
          <w:ilvl w:val="0"/>
          <w:numId w:val="60"/>
        </w:numPr>
        <w:spacing w:line="240" w:lineRule="auto"/>
        <w:ind w:left="425" w:hanging="295"/>
        <w:contextualSpacing/>
        <w:jc w:val="left"/>
        <w:rPr>
          <w:rFonts w:ascii="Arial" w:hAnsi="Arial" w:cs="Arial"/>
          <w:color w:val="auto"/>
          <w:sz w:val="24"/>
          <w:szCs w:val="24"/>
        </w:rPr>
      </w:pPr>
      <w:r w:rsidRPr="00237760">
        <w:rPr>
          <w:rFonts w:ascii="Arial" w:hAnsi="Arial" w:cs="Arial"/>
          <w:color w:val="auto"/>
          <w:sz w:val="24"/>
          <w:szCs w:val="24"/>
        </w:rPr>
        <w:t>Priorytet 8 (P8) Rozwój lokalny kierowany przez społeczność.</w:t>
      </w:r>
    </w:p>
    <w:p w14:paraId="0A7A64CE" w14:textId="212C1C0E" w:rsidR="00710815" w:rsidRPr="00237760" w:rsidRDefault="00FC5D59" w:rsidP="009367B4">
      <w:pPr>
        <w:jc w:val="left"/>
        <w:rPr>
          <w:rFonts w:ascii="Arial" w:hAnsi="Arial" w:cs="Arial"/>
          <w:color w:val="auto"/>
          <w:sz w:val="24"/>
          <w:szCs w:val="24"/>
        </w:rPr>
      </w:pPr>
      <w:r w:rsidRPr="00237760">
        <w:rPr>
          <w:rFonts w:ascii="Arial" w:hAnsi="Arial" w:cs="Arial"/>
          <w:color w:val="auto"/>
          <w:sz w:val="24"/>
          <w:szCs w:val="24"/>
        </w:rPr>
        <w:t>Największą</w:t>
      </w:r>
      <w:r w:rsidR="00710815" w:rsidRPr="00237760">
        <w:rPr>
          <w:rFonts w:ascii="Arial" w:hAnsi="Arial" w:cs="Arial"/>
          <w:color w:val="auto"/>
          <w:sz w:val="24"/>
          <w:szCs w:val="24"/>
        </w:rPr>
        <w:t xml:space="preserve"> </w:t>
      </w:r>
      <w:r w:rsidRPr="00237760">
        <w:rPr>
          <w:rFonts w:ascii="Arial" w:hAnsi="Arial" w:cs="Arial"/>
          <w:color w:val="auto"/>
          <w:sz w:val="24"/>
          <w:szCs w:val="24"/>
        </w:rPr>
        <w:t xml:space="preserve">spójność PSRT WP </w:t>
      </w:r>
      <w:r w:rsidR="00710815" w:rsidRPr="00237760">
        <w:rPr>
          <w:rFonts w:ascii="Arial" w:hAnsi="Arial" w:cs="Arial"/>
          <w:color w:val="auto"/>
          <w:sz w:val="24"/>
          <w:szCs w:val="24"/>
        </w:rPr>
        <w:t>wykazuje z celami szczegółowymi w obrębie priorytetów 3 oraz 4 (</w:t>
      </w:r>
      <w:r w:rsidRPr="00237760">
        <w:rPr>
          <w:rFonts w:ascii="Arial" w:hAnsi="Arial" w:cs="Arial"/>
          <w:color w:val="auto"/>
          <w:sz w:val="24"/>
          <w:szCs w:val="24"/>
        </w:rPr>
        <w:fldChar w:fldCharType="begin"/>
      </w:r>
      <w:r w:rsidRPr="00237760">
        <w:rPr>
          <w:rFonts w:ascii="Arial" w:hAnsi="Arial" w:cs="Arial"/>
          <w:color w:val="auto"/>
          <w:sz w:val="24"/>
          <w:szCs w:val="24"/>
        </w:rPr>
        <w:instrText xml:space="preserve"> REF _Ref101006256 \h </w:instrText>
      </w:r>
      <w:r w:rsidR="00237760" w:rsidRPr="00237760">
        <w:rPr>
          <w:rFonts w:ascii="Arial" w:hAnsi="Arial" w:cs="Arial"/>
          <w:color w:val="auto"/>
          <w:sz w:val="24"/>
          <w:szCs w:val="24"/>
        </w:rPr>
        <w:instrText xml:space="preserve"> \* MERGEFORMAT </w:instrText>
      </w:r>
      <w:r w:rsidRPr="00237760">
        <w:rPr>
          <w:rFonts w:ascii="Arial" w:hAnsi="Arial" w:cs="Arial"/>
          <w:color w:val="auto"/>
          <w:sz w:val="24"/>
          <w:szCs w:val="24"/>
        </w:rPr>
      </w:r>
      <w:r w:rsidRPr="00237760">
        <w:rPr>
          <w:rFonts w:ascii="Arial" w:hAnsi="Arial" w:cs="Arial"/>
          <w:color w:val="auto"/>
          <w:sz w:val="24"/>
          <w:szCs w:val="24"/>
        </w:rPr>
        <w:fldChar w:fldCharType="separate"/>
      </w:r>
      <w:r w:rsidR="00DA6050" w:rsidRPr="00237760">
        <w:rPr>
          <w:rFonts w:ascii="Arial" w:hAnsi="Arial" w:cs="Arial"/>
          <w:color w:val="auto"/>
          <w:sz w:val="24"/>
          <w:szCs w:val="24"/>
        </w:rPr>
        <w:t xml:space="preserve">Tabela </w:t>
      </w:r>
      <w:r w:rsidR="00DA6050" w:rsidRPr="00237760">
        <w:rPr>
          <w:rFonts w:ascii="Arial" w:hAnsi="Arial" w:cs="Arial"/>
          <w:noProof/>
          <w:color w:val="auto"/>
          <w:sz w:val="24"/>
          <w:szCs w:val="24"/>
        </w:rPr>
        <w:t>41</w:t>
      </w:r>
      <w:r w:rsidRPr="00237760">
        <w:rPr>
          <w:rFonts w:ascii="Arial" w:hAnsi="Arial" w:cs="Arial"/>
          <w:color w:val="auto"/>
          <w:sz w:val="24"/>
          <w:szCs w:val="24"/>
        </w:rPr>
        <w:fldChar w:fldCharType="end"/>
      </w:r>
      <w:r w:rsidR="00710815" w:rsidRPr="00237760">
        <w:rPr>
          <w:rFonts w:ascii="Arial" w:hAnsi="Arial" w:cs="Arial"/>
          <w:color w:val="auto"/>
          <w:sz w:val="24"/>
          <w:szCs w:val="24"/>
        </w:rPr>
        <w:t>). Jest to zgodne z zapisami w PSRT WP, które stanowią o tym, że finansowanie odbędzie się głównie na podstawie tych dwóch priorytetów. Ich tematyka najpełniej wpisuje się w tworzony Program. Program nawiązuje też do priorytetów 1, 2, 5 oraz 7</w:t>
      </w:r>
      <w:r w:rsidR="00F311FF" w:rsidRPr="00237760">
        <w:rPr>
          <w:rFonts w:ascii="Arial" w:hAnsi="Arial" w:cs="Arial"/>
          <w:color w:val="auto"/>
          <w:sz w:val="24"/>
          <w:szCs w:val="24"/>
        </w:rPr>
        <w:t>, jednak w znacznie mniejszym zakresie</w:t>
      </w:r>
      <w:r w:rsidR="00710815" w:rsidRPr="00237760">
        <w:rPr>
          <w:rFonts w:ascii="Arial" w:hAnsi="Arial" w:cs="Arial"/>
          <w:color w:val="auto"/>
          <w:sz w:val="24"/>
          <w:szCs w:val="24"/>
        </w:rPr>
        <w:t>.</w:t>
      </w:r>
    </w:p>
    <w:p w14:paraId="1479ED35" w14:textId="6D8A4853" w:rsidR="00710815" w:rsidRPr="00237760" w:rsidRDefault="00710815" w:rsidP="009367B4">
      <w:pPr>
        <w:pStyle w:val="Legenda"/>
        <w:jc w:val="left"/>
        <w:rPr>
          <w:rFonts w:ascii="Arial" w:hAnsi="Arial" w:cs="Arial"/>
          <w:color w:val="auto"/>
          <w:sz w:val="24"/>
          <w:szCs w:val="24"/>
        </w:rPr>
      </w:pPr>
      <w:bookmarkStart w:id="254" w:name="_Ref101006256"/>
      <w:bookmarkStart w:id="255" w:name="_Ref90244416"/>
      <w:bookmarkStart w:id="256" w:name="_Hlk96853053"/>
      <w:bookmarkStart w:id="257" w:name="_Toc90222994"/>
      <w:bookmarkStart w:id="258" w:name="_Toc90333472"/>
      <w:bookmarkStart w:id="259" w:name="_Toc101904282"/>
      <w:r w:rsidRPr="00237760">
        <w:rPr>
          <w:rFonts w:ascii="Arial" w:hAnsi="Arial" w:cs="Arial"/>
          <w:color w:val="auto"/>
          <w:sz w:val="24"/>
          <w:szCs w:val="24"/>
        </w:rPr>
        <w:t xml:space="preserve">Tabela </w:t>
      </w:r>
      <w:r w:rsidRPr="00237760">
        <w:rPr>
          <w:rFonts w:ascii="Arial" w:hAnsi="Arial" w:cs="Arial"/>
          <w:noProof/>
          <w:color w:val="auto"/>
          <w:sz w:val="24"/>
          <w:szCs w:val="24"/>
        </w:rPr>
        <w:fldChar w:fldCharType="begin"/>
      </w:r>
      <w:r w:rsidRPr="00237760">
        <w:rPr>
          <w:rFonts w:ascii="Arial" w:hAnsi="Arial" w:cs="Arial"/>
          <w:noProof/>
          <w:color w:val="auto"/>
          <w:sz w:val="24"/>
          <w:szCs w:val="24"/>
        </w:rPr>
        <w:instrText xml:space="preserve"> SEQ Tabela \* ARABIC </w:instrText>
      </w:r>
      <w:r w:rsidRPr="00237760">
        <w:rPr>
          <w:rFonts w:ascii="Arial" w:hAnsi="Arial" w:cs="Arial"/>
          <w:noProof/>
          <w:color w:val="auto"/>
          <w:sz w:val="24"/>
          <w:szCs w:val="24"/>
        </w:rPr>
        <w:fldChar w:fldCharType="separate"/>
      </w:r>
      <w:r w:rsidR="00762B20" w:rsidRPr="00237760">
        <w:rPr>
          <w:rFonts w:ascii="Arial" w:hAnsi="Arial" w:cs="Arial"/>
          <w:noProof/>
          <w:color w:val="auto"/>
          <w:sz w:val="24"/>
          <w:szCs w:val="24"/>
        </w:rPr>
        <w:t>41</w:t>
      </w:r>
      <w:r w:rsidRPr="00237760">
        <w:rPr>
          <w:rFonts w:ascii="Arial" w:hAnsi="Arial" w:cs="Arial"/>
          <w:noProof/>
          <w:color w:val="auto"/>
          <w:sz w:val="24"/>
          <w:szCs w:val="24"/>
        </w:rPr>
        <w:fldChar w:fldCharType="end"/>
      </w:r>
      <w:bookmarkEnd w:id="254"/>
      <w:r w:rsidRPr="00237760">
        <w:rPr>
          <w:rFonts w:ascii="Arial" w:hAnsi="Arial" w:cs="Arial"/>
          <w:color w:val="auto"/>
          <w:sz w:val="24"/>
          <w:szCs w:val="24"/>
        </w:rPr>
        <w:t>.</w:t>
      </w:r>
      <w:bookmarkEnd w:id="255"/>
      <w:r w:rsidRPr="00237760">
        <w:rPr>
          <w:rFonts w:ascii="Arial" w:hAnsi="Arial" w:cs="Arial"/>
          <w:color w:val="auto"/>
          <w:sz w:val="24"/>
          <w:szCs w:val="24"/>
        </w:rPr>
        <w:t xml:space="preserve"> </w:t>
      </w:r>
      <w:bookmarkEnd w:id="256"/>
      <w:r w:rsidRPr="00237760">
        <w:rPr>
          <w:rFonts w:ascii="Arial" w:hAnsi="Arial" w:cs="Arial"/>
          <w:color w:val="auto"/>
          <w:sz w:val="24"/>
          <w:szCs w:val="24"/>
        </w:rPr>
        <w:t>Ocena zgodności celów szczegółowych FEP z celami i działaniami</w:t>
      </w:r>
      <w:bookmarkEnd w:id="257"/>
      <w:bookmarkEnd w:id="258"/>
      <w:r w:rsidRPr="00237760">
        <w:rPr>
          <w:rFonts w:ascii="Arial" w:hAnsi="Arial" w:cs="Arial"/>
          <w:color w:val="auto"/>
          <w:sz w:val="24"/>
          <w:szCs w:val="24"/>
        </w:rPr>
        <w:t xml:space="preserve"> PSRT WP</w:t>
      </w:r>
      <w:bookmarkEnd w:id="259"/>
    </w:p>
    <w:tbl>
      <w:tblPr>
        <w:tblStyle w:val="Tabela-Siatka"/>
        <w:tblW w:w="9072" w:type="dxa"/>
        <w:tblBorders>
          <w:top w:val="single" w:sz="12" w:space="0" w:color="002060"/>
          <w:left w:val="none" w:sz="0" w:space="0" w:color="auto"/>
          <w:bottom w:val="single" w:sz="12" w:space="0" w:color="002060"/>
          <w:right w:val="none" w:sz="0" w:space="0" w:color="auto"/>
          <w:insideH w:val="single" w:sz="4" w:space="0" w:color="9CC2E5" w:themeColor="accent1" w:themeTint="99"/>
          <w:insideV w:val="none" w:sz="0" w:space="0" w:color="auto"/>
        </w:tblBorders>
        <w:tblLayout w:type="fixed"/>
        <w:tblLook w:val="04A0" w:firstRow="1" w:lastRow="0" w:firstColumn="1" w:lastColumn="0" w:noHBand="0" w:noVBand="1"/>
        <w:tblCaption w:val="Tabela 41. Ocena zgodności celów szczegółowych FEP z celami i działaniami PSRT WP"/>
        <w:tblDescription w:val="Tabela zawiera Cele szczegółowe projektu programu regionalnego Fundusze Europejskie dla Podkarpacia 2021-2027, Cele Programu Strategicznego Rozwoju Transportu Województwa Podkarpackiego do roku 2030"/>
      </w:tblPr>
      <w:tblGrid>
        <w:gridCol w:w="5812"/>
        <w:gridCol w:w="3260"/>
      </w:tblGrid>
      <w:tr w:rsidR="00237760" w:rsidRPr="00237760" w14:paraId="3BDA0DD1" w14:textId="77777777" w:rsidTr="009F6BD4">
        <w:trPr>
          <w:trHeight w:val="294"/>
          <w:tblHeader/>
        </w:trPr>
        <w:tc>
          <w:tcPr>
            <w:tcW w:w="5812" w:type="dxa"/>
            <w:shd w:val="clear" w:color="auto" w:fill="auto"/>
            <w:vAlign w:val="center"/>
            <w:hideMark/>
          </w:tcPr>
          <w:p w14:paraId="248DD0D7" w14:textId="77777777" w:rsidR="00710815" w:rsidRPr="00237760" w:rsidRDefault="00710815" w:rsidP="009367B4">
            <w:pPr>
              <w:spacing w:after="0"/>
              <w:jc w:val="left"/>
              <w:rPr>
                <w:rFonts w:ascii="Arial" w:hAnsi="Arial" w:cs="Arial"/>
                <w:b/>
                <w:color w:val="auto"/>
                <w:sz w:val="24"/>
                <w:szCs w:val="24"/>
                <w:lang w:eastAsia="pl-PL"/>
              </w:rPr>
            </w:pPr>
            <w:r w:rsidRPr="00237760">
              <w:rPr>
                <w:rFonts w:ascii="Arial" w:hAnsi="Arial" w:cs="Arial"/>
                <w:b/>
                <w:color w:val="auto"/>
                <w:sz w:val="24"/>
                <w:szCs w:val="24"/>
                <w:lang w:eastAsia="pl-PL"/>
              </w:rPr>
              <w:t>Cele szczegółowe projektu programu regionalnego Fundusze Europejskie dla Podkarpacia 2021-2027</w:t>
            </w:r>
          </w:p>
        </w:tc>
        <w:tc>
          <w:tcPr>
            <w:tcW w:w="3260" w:type="dxa"/>
            <w:shd w:val="clear" w:color="auto" w:fill="auto"/>
            <w:vAlign w:val="center"/>
          </w:tcPr>
          <w:p w14:paraId="6F917FA0" w14:textId="7C0D0DFC" w:rsidR="00710815" w:rsidRPr="00237760" w:rsidRDefault="00710815" w:rsidP="009367B4">
            <w:pPr>
              <w:spacing w:after="0"/>
              <w:jc w:val="left"/>
              <w:rPr>
                <w:rFonts w:ascii="Arial" w:eastAsiaTheme="minorHAnsi" w:hAnsi="Arial" w:cs="Arial"/>
                <w:b/>
                <w:color w:val="auto"/>
                <w:sz w:val="24"/>
                <w:szCs w:val="24"/>
              </w:rPr>
            </w:pPr>
            <w:r w:rsidRPr="00237760">
              <w:rPr>
                <w:rFonts w:ascii="Arial" w:eastAsiaTheme="minorHAnsi" w:hAnsi="Arial" w:cs="Arial"/>
                <w:b/>
                <w:color w:val="auto"/>
                <w:sz w:val="24"/>
                <w:szCs w:val="24"/>
              </w:rPr>
              <w:t>Cele Programu Strategicznego Rozwoju Transportu</w:t>
            </w:r>
            <w:r w:rsidR="00F311FF" w:rsidRPr="00237760">
              <w:rPr>
                <w:rFonts w:ascii="Arial" w:eastAsiaTheme="minorHAnsi" w:hAnsi="Arial" w:cs="Arial"/>
                <w:b/>
                <w:color w:val="auto"/>
                <w:sz w:val="24"/>
                <w:szCs w:val="24"/>
              </w:rPr>
              <w:t xml:space="preserve"> </w:t>
            </w:r>
            <w:r w:rsidRPr="00237760">
              <w:rPr>
                <w:rFonts w:ascii="Arial" w:eastAsiaTheme="minorHAnsi" w:hAnsi="Arial" w:cs="Arial"/>
                <w:b/>
                <w:color w:val="auto"/>
                <w:sz w:val="24"/>
                <w:szCs w:val="24"/>
              </w:rPr>
              <w:t>Województwa Podkarpackiego do roku 2030</w:t>
            </w:r>
          </w:p>
        </w:tc>
      </w:tr>
      <w:tr w:rsidR="00237760" w:rsidRPr="00237760" w14:paraId="5FEA3048" w14:textId="77777777" w:rsidTr="00931674">
        <w:trPr>
          <w:trHeight w:val="402"/>
        </w:trPr>
        <w:tc>
          <w:tcPr>
            <w:tcW w:w="5812" w:type="dxa"/>
            <w:shd w:val="clear" w:color="auto" w:fill="auto"/>
            <w:vAlign w:val="center"/>
          </w:tcPr>
          <w:p w14:paraId="7E34AE36" w14:textId="77777777" w:rsidR="00710815" w:rsidRPr="00237760" w:rsidRDefault="00710815" w:rsidP="009367B4">
            <w:pPr>
              <w:spacing w:after="0"/>
              <w:jc w:val="left"/>
              <w:rPr>
                <w:rFonts w:ascii="Arial" w:hAnsi="Arial" w:cs="Arial"/>
                <w:color w:val="auto"/>
                <w:sz w:val="24"/>
                <w:szCs w:val="24"/>
              </w:rPr>
            </w:pPr>
            <w:r w:rsidRPr="00237760">
              <w:rPr>
                <w:rFonts w:ascii="Arial" w:hAnsi="Arial" w:cs="Arial"/>
                <w:color w:val="auto"/>
                <w:sz w:val="24"/>
                <w:szCs w:val="24"/>
              </w:rPr>
              <w:t>Wzmacnianie trwałego wzrostu i konkurencyjności MŚP oraz tworzenie miejsc pracy w MŚP, w tym poprzez inwestycje produkcyjne (P1)</w:t>
            </w:r>
          </w:p>
        </w:tc>
        <w:tc>
          <w:tcPr>
            <w:tcW w:w="3260" w:type="dxa"/>
            <w:shd w:val="clear" w:color="auto" w:fill="auto"/>
            <w:vAlign w:val="center"/>
          </w:tcPr>
          <w:p w14:paraId="460C461A" w14:textId="77777777" w:rsidR="00710815" w:rsidRPr="00237760" w:rsidRDefault="00710815" w:rsidP="009367B4">
            <w:pPr>
              <w:spacing w:after="0"/>
              <w:jc w:val="left"/>
              <w:rPr>
                <w:rFonts w:ascii="Arial" w:hAnsi="Arial" w:cs="Arial"/>
                <w:color w:val="auto"/>
                <w:sz w:val="24"/>
                <w:szCs w:val="24"/>
              </w:rPr>
            </w:pPr>
            <w:r w:rsidRPr="00237760">
              <w:rPr>
                <w:rFonts w:ascii="Arial" w:hAnsi="Arial" w:cs="Arial"/>
                <w:color w:val="auto"/>
                <w:sz w:val="24"/>
                <w:szCs w:val="24"/>
              </w:rPr>
              <w:t>Częściowo Cel podstawowy 3. Integracja MOF</w:t>
            </w:r>
          </w:p>
        </w:tc>
      </w:tr>
      <w:tr w:rsidR="00237760" w:rsidRPr="00237760" w14:paraId="7A58DA35" w14:textId="77777777" w:rsidTr="00931674">
        <w:trPr>
          <w:trHeight w:val="402"/>
        </w:trPr>
        <w:tc>
          <w:tcPr>
            <w:tcW w:w="5812" w:type="dxa"/>
            <w:shd w:val="clear" w:color="auto" w:fill="auto"/>
            <w:vAlign w:val="center"/>
          </w:tcPr>
          <w:p w14:paraId="557D4D0E" w14:textId="77777777" w:rsidR="00710815" w:rsidRPr="00237760" w:rsidRDefault="00710815" w:rsidP="009367B4">
            <w:pPr>
              <w:spacing w:after="0"/>
              <w:jc w:val="left"/>
              <w:rPr>
                <w:rFonts w:ascii="Arial" w:hAnsi="Arial" w:cs="Arial"/>
                <w:color w:val="auto"/>
                <w:sz w:val="24"/>
                <w:szCs w:val="24"/>
              </w:rPr>
            </w:pPr>
            <w:r w:rsidRPr="00237760">
              <w:rPr>
                <w:rFonts w:ascii="Arial" w:hAnsi="Arial" w:cs="Arial"/>
                <w:color w:val="auto"/>
                <w:sz w:val="24"/>
                <w:szCs w:val="24"/>
              </w:rPr>
              <w:t>Wspieranie efektywności energetycznej i redukcji emisji gazów cieplarnianych (P2)</w:t>
            </w:r>
          </w:p>
        </w:tc>
        <w:tc>
          <w:tcPr>
            <w:tcW w:w="3260" w:type="dxa"/>
            <w:shd w:val="clear" w:color="auto" w:fill="auto"/>
            <w:vAlign w:val="center"/>
          </w:tcPr>
          <w:p w14:paraId="4301F1EB" w14:textId="77777777" w:rsidR="00710815" w:rsidRPr="00237760" w:rsidRDefault="00710815"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1. Ograniczenie negatywnego oddziaływania sektora transportu na klimat oraz na regionalne środowisko naturalne</w:t>
            </w:r>
          </w:p>
          <w:p w14:paraId="3CAAAA6D" w14:textId="77777777" w:rsidR="00710815" w:rsidRPr="00237760" w:rsidRDefault="00710815"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Częściowo cel horyzontalny 3. Transport publiczny</w:t>
            </w:r>
          </w:p>
        </w:tc>
      </w:tr>
      <w:tr w:rsidR="00237760" w:rsidRPr="00237760" w14:paraId="1D1934FD" w14:textId="77777777" w:rsidTr="00931674">
        <w:trPr>
          <w:trHeight w:val="402"/>
        </w:trPr>
        <w:tc>
          <w:tcPr>
            <w:tcW w:w="5812" w:type="dxa"/>
            <w:shd w:val="clear" w:color="auto" w:fill="auto"/>
            <w:vAlign w:val="center"/>
          </w:tcPr>
          <w:p w14:paraId="426EA525" w14:textId="77777777" w:rsidR="00710815" w:rsidRPr="00237760" w:rsidRDefault="00710815" w:rsidP="009367B4">
            <w:pPr>
              <w:spacing w:after="0"/>
              <w:jc w:val="left"/>
              <w:rPr>
                <w:rFonts w:ascii="Arial" w:hAnsi="Arial" w:cs="Arial"/>
                <w:color w:val="auto"/>
                <w:sz w:val="24"/>
                <w:szCs w:val="24"/>
              </w:rPr>
            </w:pPr>
            <w:r w:rsidRPr="00237760">
              <w:rPr>
                <w:rFonts w:ascii="Arial" w:hAnsi="Arial" w:cs="Arial"/>
                <w:color w:val="auto"/>
                <w:sz w:val="24"/>
                <w:szCs w:val="24"/>
              </w:rPr>
              <w:t>Wzmacnianie ochrony i zachowania przyrody, różnorodności biologicznej oraz zielonej infrastruktury, w tym na obszarach miejskich, oraz ograniczanie wszelkich rodzajów zanieczyszczenia (P2)</w:t>
            </w:r>
          </w:p>
        </w:tc>
        <w:tc>
          <w:tcPr>
            <w:tcW w:w="3260" w:type="dxa"/>
            <w:shd w:val="clear" w:color="auto" w:fill="auto"/>
            <w:vAlign w:val="center"/>
          </w:tcPr>
          <w:p w14:paraId="29C2468C" w14:textId="77777777" w:rsidR="00710815" w:rsidRPr="00237760" w:rsidRDefault="00710815"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1. Ograniczenie negatywnego oddziaływania sektora transportu na klimat oraz na regionalne środowisko naturalne</w:t>
            </w:r>
          </w:p>
        </w:tc>
      </w:tr>
      <w:tr w:rsidR="00237760" w:rsidRPr="00237760" w14:paraId="5F3E3FDD" w14:textId="77777777" w:rsidTr="00931674">
        <w:trPr>
          <w:trHeight w:val="402"/>
        </w:trPr>
        <w:tc>
          <w:tcPr>
            <w:tcW w:w="5812" w:type="dxa"/>
            <w:shd w:val="clear" w:color="auto" w:fill="auto"/>
            <w:vAlign w:val="center"/>
          </w:tcPr>
          <w:p w14:paraId="6B12965D" w14:textId="77777777" w:rsidR="00710815" w:rsidRPr="00237760" w:rsidRDefault="00710815" w:rsidP="009367B4">
            <w:pPr>
              <w:spacing w:after="0"/>
              <w:jc w:val="left"/>
              <w:rPr>
                <w:rFonts w:ascii="Arial" w:hAnsi="Arial" w:cs="Arial"/>
                <w:color w:val="auto"/>
                <w:sz w:val="24"/>
                <w:szCs w:val="24"/>
              </w:rPr>
            </w:pPr>
            <w:r w:rsidRPr="00237760">
              <w:rPr>
                <w:rFonts w:ascii="Arial" w:hAnsi="Arial" w:cs="Arial"/>
                <w:color w:val="auto"/>
                <w:sz w:val="24"/>
                <w:szCs w:val="24"/>
              </w:rPr>
              <w:t>Wspieranie zrównoważonej multimodalnej mobilności miejskiej jako elementu transformacji w kierunku gospodarki zeroemisyjnej (P3)</w:t>
            </w:r>
          </w:p>
        </w:tc>
        <w:tc>
          <w:tcPr>
            <w:tcW w:w="3260" w:type="dxa"/>
            <w:shd w:val="clear" w:color="auto" w:fill="auto"/>
            <w:vAlign w:val="center"/>
          </w:tcPr>
          <w:p w14:paraId="431F606D" w14:textId="77777777" w:rsidR="00710815" w:rsidRPr="00237760" w:rsidRDefault="00710815"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 xml:space="preserve">Cel horyzontalny 1. Ograniczenie negatywnego oddziaływania sektora transportu na klimat oraz na regionalne środowisko naturalne </w:t>
            </w:r>
          </w:p>
          <w:p w14:paraId="25C30C24" w14:textId="77777777" w:rsidR="00710815" w:rsidRPr="00237760" w:rsidRDefault="00710815"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2. Wzmocnienie rozwiązań multimodalnych</w:t>
            </w:r>
          </w:p>
          <w:p w14:paraId="46B5930D" w14:textId="77777777" w:rsidR="00710815" w:rsidRPr="00237760" w:rsidRDefault="00710815"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3. Transport publiczny</w:t>
            </w:r>
          </w:p>
          <w:p w14:paraId="3ED7289F" w14:textId="77777777" w:rsidR="00710815" w:rsidRPr="00237760" w:rsidRDefault="00710815"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lastRenderedPageBreak/>
              <w:t>Cel horyzontalny 4. Poprawa bezpieczeństwa w transporcie</w:t>
            </w:r>
          </w:p>
        </w:tc>
      </w:tr>
      <w:tr w:rsidR="00237760" w:rsidRPr="00237760" w14:paraId="3B0A8ADF" w14:textId="77777777" w:rsidTr="00931674">
        <w:trPr>
          <w:trHeight w:val="402"/>
        </w:trPr>
        <w:tc>
          <w:tcPr>
            <w:tcW w:w="5812" w:type="dxa"/>
            <w:shd w:val="clear" w:color="auto" w:fill="auto"/>
            <w:vAlign w:val="center"/>
          </w:tcPr>
          <w:p w14:paraId="7224F4E6" w14:textId="77777777" w:rsidR="00710815" w:rsidRPr="00237760" w:rsidRDefault="00710815" w:rsidP="009367B4">
            <w:pPr>
              <w:spacing w:after="0"/>
              <w:jc w:val="left"/>
              <w:rPr>
                <w:rFonts w:ascii="Arial" w:hAnsi="Arial" w:cs="Arial"/>
                <w:color w:val="auto"/>
                <w:sz w:val="24"/>
                <w:szCs w:val="24"/>
              </w:rPr>
            </w:pPr>
            <w:r w:rsidRPr="00237760">
              <w:rPr>
                <w:rFonts w:ascii="Arial" w:hAnsi="Arial" w:cs="Arial"/>
                <w:color w:val="auto"/>
                <w:sz w:val="24"/>
                <w:szCs w:val="24"/>
              </w:rPr>
              <w:lastRenderedPageBreak/>
              <w:t>Rozwój i udoskonalenie zrównoważonej, inteligentnej i intermodalnej mobilności odpornej na zmianę klimatu na szczeblu krajowym, regionalnym i lokalnym, w tym poprawa dostępu do sieci TEN-T i mobilności transgranicznej (P4)</w:t>
            </w:r>
          </w:p>
        </w:tc>
        <w:tc>
          <w:tcPr>
            <w:tcW w:w="3260" w:type="dxa"/>
            <w:shd w:val="clear" w:color="auto" w:fill="auto"/>
            <w:vAlign w:val="center"/>
          </w:tcPr>
          <w:p w14:paraId="0ED3FFD0" w14:textId="77777777" w:rsidR="00710815" w:rsidRPr="00237760" w:rsidRDefault="00710815"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1. Dostępność zewnętrzna</w:t>
            </w:r>
          </w:p>
          <w:p w14:paraId="76098389" w14:textId="77777777" w:rsidR="00710815" w:rsidRPr="00237760" w:rsidRDefault="00710815"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2. Transportowa spójność wewnętrzna</w:t>
            </w:r>
          </w:p>
          <w:p w14:paraId="660808B7" w14:textId="77777777" w:rsidR="00710815" w:rsidRPr="00237760" w:rsidRDefault="00710815"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podstawowy 3. Integracja MOF</w:t>
            </w:r>
          </w:p>
          <w:p w14:paraId="5D434EB0" w14:textId="77777777" w:rsidR="00710815" w:rsidRPr="00237760" w:rsidRDefault="00710815"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Cel horyzontalny 2. Wzmocnienie rozwiązań multimodalnych</w:t>
            </w:r>
          </w:p>
          <w:p w14:paraId="7A2E9997" w14:textId="77777777" w:rsidR="00710815" w:rsidRPr="00237760" w:rsidRDefault="00710815"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 xml:space="preserve">Częściowo cel horyzontalny 1. Ograniczenie negatywnego oddziaływania sektora transportu na klimat oraz na regionalne środowisko naturalne </w:t>
            </w:r>
          </w:p>
          <w:p w14:paraId="68C72605" w14:textId="77777777" w:rsidR="00710815" w:rsidRPr="00237760" w:rsidRDefault="00710815"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Częściowo cel horyzontalny 3. Transport publiczny</w:t>
            </w:r>
          </w:p>
        </w:tc>
      </w:tr>
      <w:tr w:rsidR="00237760" w:rsidRPr="00237760" w14:paraId="37D2EE6F" w14:textId="77777777" w:rsidTr="00931674">
        <w:trPr>
          <w:trHeight w:val="402"/>
        </w:trPr>
        <w:tc>
          <w:tcPr>
            <w:tcW w:w="5812" w:type="dxa"/>
            <w:shd w:val="clear" w:color="auto" w:fill="auto"/>
            <w:vAlign w:val="center"/>
          </w:tcPr>
          <w:p w14:paraId="1E7E6CEC" w14:textId="77777777" w:rsidR="00710815" w:rsidRPr="00237760" w:rsidRDefault="00710815" w:rsidP="009367B4">
            <w:pPr>
              <w:spacing w:after="0"/>
              <w:jc w:val="left"/>
              <w:rPr>
                <w:rFonts w:ascii="Arial" w:hAnsi="Arial" w:cs="Arial"/>
                <w:color w:val="auto"/>
                <w:sz w:val="24"/>
                <w:szCs w:val="24"/>
              </w:rPr>
            </w:pPr>
            <w:r w:rsidRPr="00237760">
              <w:rPr>
                <w:rFonts w:ascii="Arial" w:hAnsi="Arial" w:cs="Arial"/>
                <w:color w:val="auto"/>
                <w:sz w:val="24"/>
                <w:szCs w:val="24"/>
              </w:rPr>
              <w:t>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 (P5)</w:t>
            </w:r>
          </w:p>
        </w:tc>
        <w:tc>
          <w:tcPr>
            <w:tcW w:w="3260" w:type="dxa"/>
            <w:shd w:val="clear" w:color="auto" w:fill="auto"/>
            <w:vAlign w:val="center"/>
          </w:tcPr>
          <w:p w14:paraId="73256064" w14:textId="77777777" w:rsidR="00710815" w:rsidRPr="00237760" w:rsidRDefault="00710815"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Częściowo cel podstawowy 3. Integracja MOF</w:t>
            </w:r>
          </w:p>
          <w:p w14:paraId="7BEFC12E" w14:textId="77777777" w:rsidR="00710815" w:rsidRPr="00237760" w:rsidRDefault="00710815"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Częściowo cel horyzontalny 3. Transport publiczny</w:t>
            </w:r>
          </w:p>
        </w:tc>
      </w:tr>
      <w:tr w:rsidR="00237760" w:rsidRPr="00237760" w14:paraId="676E0A57" w14:textId="77777777" w:rsidTr="00931674">
        <w:trPr>
          <w:trHeight w:val="402"/>
        </w:trPr>
        <w:tc>
          <w:tcPr>
            <w:tcW w:w="5812" w:type="dxa"/>
            <w:shd w:val="clear" w:color="auto" w:fill="auto"/>
            <w:vAlign w:val="center"/>
          </w:tcPr>
          <w:p w14:paraId="3211E161" w14:textId="77777777" w:rsidR="00710815" w:rsidRPr="00237760" w:rsidRDefault="00710815" w:rsidP="009367B4">
            <w:pPr>
              <w:spacing w:after="0"/>
              <w:jc w:val="left"/>
              <w:rPr>
                <w:rFonts w:ascii="Arial" w:hAnsi="Arial" w:cs="Arial"/>
                <w:color w:val="auto"/>
                <w:sz w:val="24"/>
                <w:szCs w:val="24"/>
              </w:rPr>
            </w:pPr>
            <w:r w:rsidRPr="00237760">
              <w:rPr>
                <w:rFonts w:ascii="Arial" w:hAnsi="Arial" w:cs="Arial"/>
                <w:color w:val="auto"/>
                <w:sz w:val="24"/>
                <w:szCs w:val="24"/>
              </w:rPr>
              <w:t>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 (P5)</w:t>
            </w:r>
          </w:p>
        </w:tc>
        <w:tc>
          <w:tcPr>
            <w:tcW w:w="3260" w:type="dxa"/>
            <w:shd w:val="clear" w:color="auto" w:fill="auto"/>
            <w:vAlign w:val="center"/>
          </w:tcPr>
          <w:p w14:paraId="730023E5" w14:textId="77777777" w:rsidR="00710815" w:rsidRPr="00237760" w:rsidRDefault="00710815"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Częściowo cel horyzontalny 3. Transport publiczny</w:t>
            </w:r>
          </w:p>
        </w:tc>
      </w:tr>
      <w:tr w:rsidR="00237760" w:rsidRPr="00237760" w14:paraId="3D27DCBC" w14:textId="77777777" w:rsidTr="00931674">
        <w:trPr>
          <w:trHeight w:val="402"/>
        </w:trPr>
        <w:tc>
          <w:tcPr>
            <w:tcW w:w="5812" w:type="dxa"/>
            <w:shd w:val="clear" w:color="auto" w:fill="auto"/>
            <w:vAlign w:val="center"/>
          </w:tcPr>
          <w:p w14:paraId="038F9914" w14:textId="77777777" w:rsidR="00710815" w:rsidRPr="00237760" w:rsidRDefault="00710815" w:rsidP="009367B4">
            <w:pPr>
              <w:spacing w:after="0"/>
              <w:jc w:val="left"/>
              <w:rPr>
                <w:rFonts w:ascii="Arial" w:hAnsi="Arial" w:cs="Arial"/>
                <w:color w:val="auto"/>
                <w:sz w:val="24"/>
                <w:szCs w:val="24"/>
              </w:rPr>
            </w:pPr>
            <w:r w:rsidRPr="00237760">
              <w:rPr>
                <w:rFonts w:ascii="Arial" w:hAnsi="Arial" w:cs="Arial"/>
                <w:color w:val="auto"/>
                <w:sz w:val="24"/>
                <w:szCs w:val="24"/>
              </w:rPr>
              <w:t xml:space="preserve">Zapewnianie równego dostępu do opieki zdrowotnej i wspieranie odporności systemów opieki zdrowotnej, w tym podstawowej opieki zdrowotnej, </w:t>
            </w:r>
            <w:r w:rsidRPr="00237760">
              <w:rPr>
                <w:rFonts w:ascii="Arial" w:hAnsi="Arial" w:cs="Arial"/>
                <w:color w:val="auto"/>
                <w:sz w:val="24"/>
                <w:szCs w:val="24"/>
              </w:rPr>
              <w:lastRenderedPageBreak/>
              <w:t>oraz wspieranie przejścia od opieki instytucjonalnej do opieki rodzinnej i środowiskowej (P5)</w:t>
            </w:r>
          </w:p>
        </w:tc>
        <w:tc>
          <w:tcPr>
            <w:tcW w:w="3260" w:type="dxa"/>
            <w:shd w:val="clear" w:color="auto" w:fill="auto"/>
            <w:vAlign w:val="center"/>
          </w:tcPr>
          <w:p w14:paraId="36F05634" w14:textId="77777777" w:rsidR="00710815" w:rsidRPr="00237760" w:rsidRDefault="00710815"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lastRenderedPageBreak/>
              <w:t>Częściowo cel horyzontalny 3. Transport publiczny</w:t>
            </w:r>
          </w:p>
        </w:tc>
      </w:tr>
      <w:tr w:rsidR="00237760" w:rsidRPr="00237760" w14:paraId="363CCBD2" w14:textId="77777777" w:rsidTr="00931674">
        <w:trPr>
          <w:trHeight w:val="402"/>
        </w:trPr>
        <w:tc>
          <w:tcPr>
            <w:tcW w:w="5812" w:type="dxa"/>
            <w:shd w:val="clear" w:color="auto" w:fill="auto"/>
            <w:vAlign w:val="center"/>
          </w:tcPr>
          <w:p w14:paraId="7F9A0E42" w14:textId="77777777" w:rsidR="00710815" w:rsidRPr="00237760" w:rsidRDefault="00710815" w:rsidP="009367B4">
            <w:pPr>
              <w:spacing w:after="0"/>
              <w:jc w:val="left"/>
              <w:rPr>
                <w:rFonts w:ascii="Arial" w:hAnsi="Arial" w:cs="Arial"/>
                <w:bCs/>
                <w:noProof/>
                <w:color w:val="auto"/>
                <w:sz w:val="24"/>
                <w:szCs w:val="24"/>
              </w:rPr>
            </w:pPr>
            <w:r w:rsidRPr="00237760">
              <w:rPr>
                <w:rFonts w:ascii="Arial" w:hAnsi="Arial" w:cs="Arial"/>
                <w:bCs/>
                <w:noProof/>
                <w:color w:val="auto"/>
                <w:sz w:val="24"/>
                <w:szCs w:val="24"/>
              </w:rPr>
              <w:t>Wspieranie aktywnego włączenia społecznego w celu promowania równości szans, niedyskryminacji i aktywnego uczestnictwa, oraz zwiększanie zdolności do zatrudnienia, w szczególności grup w niekorzystnej sytuacji (P7)</w:t>
            </w:r>
          </w:p>
        </w:tc>
        <w:tc>
          <w:tcPr>
            <w:tcW w:w="3260" w:type="dxa"/>
            <w:shd w:val="clear" w:color="auto" w:fill="auto"/>
            <w:vAlign w:val="center"/>
          </w:tcPr>
          <w:p w14:paraId="5421F83B" w14:textId="77777777" w:rsidR="00710815" w:rsidRPr="00237760" w:rsidRDefault="00710815"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Częściowo cel horyzontalny 3. Transport publiczny</w:t>
            </w:r>
          </w:p>
        </w:tc>
      </w:tr>
      <w:tr w:rsidR="00237760" w:rsidRPr="00237760" w14:paraId="69FAC8FC" w14:textId="77777777" w:rsidTr="00931674">
        <w:trPr>
          <w:trHeight w:val="402"/>
        </w:trPr>
        <w:tc>
          <w:tcPr>
            <w:tcW w:w="5812" w:type="dxa"/>
            <w:shd w:val="clear" w:color="auto" w:fill="auto"/>
            <w:vAlign w:val="center"/>
          </w:tcPr>
          <w:p w14:paraId="1A0C658B" w14:textId="77777777" w:rsidR="00710815" w:rsidRPr="00237760" w:rsidRDefault="00710815" w:rsidP="009367B4">
            <w:pPr>
              <w:spacing w:after="0"/>
              <w:jc w:val="left"/>
              <w:rPr>
                <w:rFonts w:ascii="Arial" w:hAnsi="Arial" w:cs="Arial"/>
                <w:bCs/>
                <w:noProof/>
                <w:color w:val="auto"/>
                <w:sz w:val="24"/>
                <w:szCs w:val="24"/>
              </w:rPr>
            </w:pPr>
            <w:r w:rsidRPr="00237760">
              <w:rPr>
                <w:rFonts w:ascii="Arial" w:hAnsi="Arial" w:cs="Arial"/>
                <w:bCs/>
                <w:noProof/>
                <w:color w:val="auto"/>
                <w:sz w:val="24"/>
                <w:szCs w:val="24"/>
              </w:rPr>
              <w:t>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 (P7)</w:t>
            </w:r>
          </w:p>
        </w:tc>
        <w:tc>
          <w:tcPr>
            <w:tcW w:w="3260" w:type="dxa"/>
            <w:shd w:val="clear" w:color="auto" w:fill="auto"/>
            <w:vAlign w:val="center"/>
          </w:tcPr>
          <w:p w14:paraId="68A05571" w14:textId="77777777" w:rsidR="00710815" w:rsidRPr="00237760" w:rsidRDefault="00710815" w:rsidP="009367B4">
            <w:pPr>
              <w:spacing w:after="0" w:line="240" w:lineRule="auto"/>
              <w:ind w:right="57"/>
              <w:jc w:val="left"/>
              <w:rPr>
                <w:rFonts w:ascii="Arial" w:hAnsi="Arial" w:cs="Arial"/>
                <w:color w:val="auto"/>
                <w:sz w:val="24"/>
                <w:szCs w:val="24"/>
              </w:rPr>
            </w:pPr>
            <w:r w:rsidRPr="00237760">
              <w:rPr>
                <w:rFonts w:ascii="Arial" w:hAnsi="Arial" w:cs="Arial"/>
                <w:color w:val="auto"/>
                <w:sz w:val="24"/>
                <w:szCs w:val="24"/>
              </w:rPr>
              <w:t>Częściowo cel horyzontalny 3. Transport publiczny</w:t>
            </w:r>
          </w:p>
        </w:tc>
      </w:tr>
    </w:tbl>
    <w:p w14:paraId="3D381850" w14:textId="77777777" w:rsidR="00710815" w:rsidRPr="00237760" w:rsidRDefault="00710815"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Źródło: opracowanie własne na podstawie PSRT WP oraz projektu programu FEP.</w:t>
      </w:r>
    </w:p>
    <w:p w14:paraId="2C098B15" w14:textId="147EFDC0" w:rsidR="00710815" w:rsidRPr="00237760" w:rsidRDefault="00710815" w:rsidP="009367B4">
      <w:pPr>
        <w:jc w:val="left"/>
        <w:rPr>
          <w:rFonts w:ascii="Arial" w:hAnsi="Arial" w:cs="Arial"/>
          <w:color w:val="auto"/>
          <w:sz w:val="24"/>
          <w:szCs w:val="24"/>
        </w:rPr>
      </w:pPr>
      <w:r w:rsidRPr="00237760">
        <w:rPr>
          <w:rFonts w:ascii="Arial" w:hAnsi="Arial" w:cs="Arial"/>
          <w:i/>
          <w:color w:val="auto"/>
          <w:sz w:val="24"/>
          <w:szCs w:val="24"/>
        </w:rPr>
        <w:t>Priorytet 3. Mobilność miejska</w:t>
      </w:r>
      <w:r w:rsidRPr="00237760">
        <w:rPr>
          <w:rFonts w:ascii="Arial" w:hAnsi="Arial" w:cs="Arial"/>
          <w:color w:val="auto"/>
          <w:sz w:val="24"/>
          <w:szCs w:val="24"/>
        </w:rPr>
        <w:t xml:space="preserve"> wskazuje na działania, które miałyby nie tylko poprawić dostępność mieszkańców do usług, dbać o środowisko i zapewnić transport neutralny klimatycznie, ale również zapewnić bezpieczeństwo transportowe. Założenia wyznaczone przez FEP oraz PSRT WP w znacznej większości pokrywają się. Do tego priorytetu nawiązują wszystkie cele horyzontalne </w:t>
      </w:r>
      <w:r w:rsidR="00F311FF" w:rsidRPr="00237760">
        <w:rPr>
          <w:rFonts w:ascii="Arial" w:hAnsi="Arial" w:cs="Arial"/>
          <w:color w:val="auto"/>
          <w:sz w:val="24"/>
          <w:szCs w:val="24"/>
        </w:rPr>
        <w:t xml:space="preserve">określone </w:t>
      </w:r>
      <w:r w:rsidRPr="00237760">
        <w:rPr>
          <w:rFonts w:ascii="Arial" w:hAnsi="Arial" w:cs="Arial"/>
          <w:color w:val="auto"/>
          <w:sz w:val="24"/>
          <w:szCs w:val="24"/>
        </w:rPr>
        <w:t>w PSRT WP. Wskazane działania dotyczą m.in. lepszej organizacji transportu publicznego z wykorzystaniem rozwiązań cyfrowych i systemu integracji, wykorzystani</w:t>
      </w:r>
      <w:r w:rsidR="00F311FF" w:rsidRPr="00237760">
        <w:rPr>
          <w:rFonts w:ascii="Arial" w:hAnsi="Arial" w:cs="Arial"/>
          <w:color w:val="auto"/>
          <w:sz w:val="24"/>
          <w:szCs w:val="24"/>
        </w:rPr>
        <w:t>a</w:t>
      </w:r>
      <w:r w:rsidRPr="00237760">
        <w:rPr>
          <w:rFonts w:ascii="Arial" w:hAnsi="Arial" w:cs="Arial"/>
          <w:color w:val="auto"/>
          <w:sz w:val="24"/>
          <w:szCs w:val="24"/>
        </w:rPr>
        <w:t xml:space="preserve"> nowych form transportu, dopasowania systemu dla osób o ograniczonej mobilności, dostosowania taborów do aktualnej polityki klimatycznej oraz zadbania o bezpieczeństwo osób biorących udział w ruchu drogowym. Podkreślana jest istota tworzenia węzłów przesiadkowych, które ułatwiłyby komunikację między poszczególnymi obszarami, a także możliwość przeniesienia się z transportu osobowego na zbiorowy bez dużej utraty komfortu oraz czasu. </w:t>
      </w:r>
    </w:p>
    <w:p w14:paraId="05296C30" w14:textId="39E07B93" w:rsidR="00710815" w:rsidRPr="00237760" w:rsidRDefault="00710815" w:rsidP="009367B4">
      <w:pPr>
        <w:jc w:val="left"/>
        <w:rPr>
          <w:rFonts w:ascii="Arial" w:hAnsi="Arial" w:cs="Arial"/>
          <w:color w:val="auto"/>
          <w:sz w:val="24"/>
          <w:szCs w:val="24"/>
        </w:rPr>
      </w:pPr>
      <w:r w:rsidRPr="00237760">
        <w:rPr>
          <w:rFonts w:ascii="Arial" w:hAnsi="Arial" w:cs="Arial"/>
          <w:i/>
          <w:iCs/>
          <w:color w:val="auto"/>
          <w:sz w:val="24"/>
          <w:szCs w:val="24"/>
        </w:rPr>
        <w:t xml:space="preserve">Priorytet 4. Mobilność i łączność </w:t>
      </w:r>
      <w:r w:rsidRPr="00237760">
        <w:rPr>
          <w:rFonts w:ascii="Arial" w:hAnsi="Arial" w:cs="Arial"/>
          <w:color w:val="auto"/>
          <w:sz w:val="24"/>
          <w:szCs w:val="24"/>
        </w:rPr>
        <w:t xml:space="preserve">nawiązuje do podobnych zagadnień jakie umieszczono w P3, natomiast obszar, który obejmuje jest znacznie szerszy. Podlega mu transport wewnątrz miast oraz </w:t>
      </w:r>
      <w:r w:rsidR="00FC5D59" w:rsidRPr="00237760">
        <w:rPr>
          <w:rFonts w:ascii="Arial" w:hAnsi="Arial" w:cs="Arial"/>
          <w:color w:val="auto"/>
          <w:sz w:val="24"/>
          <w:szCs w:val="24"/>
        </w:rPr>
        <w:t>poza nimi.</w:t>
      </w:r>
      <w:r w:rsidRPr="00237760">
        <w:rPr>
          <w:rFonts w:ascii="Arial" w:hAnsi="Arial" w:cs="Arial"/>
          <w:color w:val="auto"/>
          <w:sz w:val="24"/>
          <w:szCs w:val="24"/>
        </w:rPr>
        <w:t xml:space="preserve"> Dlatego w swoich działaniach wskazuje na rozwój infrastruktury w obrębie dróg wojewódzkich, transportu kolejowego czy rozwój systemu pozamiejskiej komunikacji. Działania, na które wskazuje FEP mają </w:t>
      </w:r>
      <w:r w:rsidRPr="00237760">
        <w:rPr>
          <w:rFonts w:ascii="Arial" w:hAnsi="Arial" w:cs="Arial"/>
          <w:color w:val="auto"/>
          <w:sz w:val="24"/>
          <w:szCs w:val="24"/>
        </w:rPr>
        <w:lastRenderedPageBreak/>
        <w:t xml:space="preserve">swoje odzwierciedlenie </w:t>
      </w:r>
      <w:r w:rsidR="00FC5D59" w:rsidRPr="00237760">
        <w:rPr>
          <w:rFonts w:ascii="Arial" w:hAnsi="Arial" w:cs="Arial"/>
          <w:color w:val="auto"/>
          <w:sz w:val="24"/>
          <w:szCs w:val="24"/>
        </w:rPr>
        <w:t>zarówno w celach podstawowych, jak i horyzontalnych PSRT WP</w:t>
      </w:r>
      <w:r w:rsidRPr="00237760">
        <w:rPr>
          <w:rFonts w:ascii="Arial" w:hAnsi="Arial" w:cs="Arial"/>
          <w:color w:val="auto"/>
          <w:sz w:val="24"/>
          <w:szCs w:val="24"/>
        </w:rPr>
        <w:t xml:space="preserve">. Głównym problemem wydaje się być nieatrakcyjność kolei, która skutecznie zniechęca pasażerów do korzystania z tego rodzaju komunikacji. Istotne są więc </w:t>
      </w:r>
      <w:r w:rsidR="00F311FF" w:rsidRPr="00237760">
        <w:rPr>
          <w:rFonts w:ascii="Arial" w:hAnsi="Arial" w:cs="Arial"/>
          <w:color w:val="auto"/>
          <w:sz w:val="24"/>
          <w:szCs w:val="24"/>
        </w:rPr>
        <w:t>działania</w:t>
      </w:r>
      <w:r w:rsidRPr="00237760">
        <w:rPr>
          <w:rFonts w:ascii="Arial" w:hAnsi="Arial" w:cs="Arial"/>
          <w:color w:val="auto"/>
          <w:sz w:val="24"/>
          <w:szCs w:val="24"/>
        </w:rPr>
        <w:t>, które pozwoliłyby zapewnić szybkie i wygodne połączenia pomiędzy najważniejszymi ośrodkami, jednocześnie nie wykluczając obszarów peryferyjnych. Inwestycje w tym zakresie powinny dotyczyć lepszego połączenia drogowego z koleją (za pomocą transportu zbiorowego, car-sharingu, bike-sharingu), rozwoju przestrzennego samej kolei, a także wdrożenia rozwiązań cyfrowych, które usprawniłyby działanie kolei. Nie można zapomnieć o unowocześnianiu samego taboru, tak aby odpowiadał polityce klimatycznej oraz posiadał odpowiedni poziom komfortu przejazdu. Istotnym aspektem jest zapewnianie bezpieczeństwa – zagadnienie to pojawia się kilkukrotnie w FEP.</w:t>
      </w:r>
    </w:p>
    <w:p w14:paraId="212832D3" w14:textId="73F18C58" w:rsidR="00710815" w:rsidRPr="00237760" w:rsidRDefault="00710815" w:rsidP="009367B4">
      <w:pPr>
        <w:jc w:val="left"/>
        <w:rPr>
          <w:rFonts w:ascii="Arial" w:hAnsi="Arial" w:cs="Arial"/>
          <w:color w:val="auto"/>
          <w:sz w:val="24"/>
          <w:szCs w:val="24"/>
        </w:rPr>
      </w:pPr>
      <w:r w:rsidRPr="00237760">
        <w:rPr>
          <w:rFonts w:ascii="Arial" w:hAnsi="Arial" w:cs="Arial"/>
          <w:color w:val="auto"/>
          <w:sz w:val="24"/>
          <w:szCs w:val="24"/>
        </w:rPr>
        <w:t>Wykraczając poza tematykę samych celów warto również podkreślić zgodność innych elementów, które pojawiły się w FEP. Jednym z nich są interesariusze (lub inaczej beneficjenci, gdyż tym mianem określa się interesariuszy w projekcie FEP). Są to jednostki samorządu terytorialnego, organizatorzy transportu miejskiego oraz przedsiębiorstwa. PSRT WP definiuje te grupy poprzez ich jasne sprecyzowanie w rozdziale dot. systemu realizacji. W tymże rozdziale można zapoznać się z oczekiwanymi rezultatami programu, które pokrywają się z założeniami FEP. Po przeprowadzeniu programu województwo podkarpackie powinno doświadczyć zmniejszenia emisji CO</w:t>
      </w:r>
      <w:r w:rsidRPr="00237760">
        <w:rPr>
          <w:rFonts w:ascii="Arial" w:hAnsi="Arial" w:cs="Arial"/>
          <w:color w:val="auto"/>
          <w:sz w:val="24"/>
          <w:szCs w:val="24"/>
          <w:vertAlign w:val="subscript"/>
        </w:rPr>
        <w:t>2</w:t>
      </w:r>
      <w:r w:rsidRPr="00237760">
        <w:rPr>
          <w:rFonts w:ascii="Arial" w:hAnsi="Arial" w:cs="Arial"/>
          <w:color w:val="auto"/>
          <w:sz w:val="24"/>
          <w:szCs w:val="24"/>
        </w:rPr>
        <w:t>, poprawy bezpieczeństwa w transporcie, większego zainteresowania korzystaniem z kolei, większej dostępności dla osób o ograniczonej mobilności oraz lepszej organizacji transportu zbiorowego.</w:t>
      </w:r>
    </w:p>
    <w:p w14:paraId="657A1521" w14:textId="17896F61" w:rsidR="00F311FF" w:rsidRPr="00237760" w:rsidRDefault="00F311FF" w:rsidP="009367B4">
      <w:pPr>
        <w:spacing w:after="160" w:line="259" w:lineRule="auto"/>
        <w:jc w:val="left"/>
        <w:rPr>
          <w:rFonts w:ascii="Arial" w:hAnsi="Arial" w:cs="Arial"/>
          <w:color w:val="auto"/>
          <w:sz w:val="24"/>
          <w:szCs w:val="24"/>
        </w:rPr>
      </w:pPr>
      <w:r w:rsidRPr="00237760">
        <w:rPr>
          <w:rFonts w:ascii="Arial" w:hAnsi="Arial" w:cs="Arial"/>
          <w:color w:val="auto"/>
          <w:sz w:val="24"/>
          <w:szCs w:val="24"/>
        </w:rPr>
        <w:br w:type="page"/>
      </w:r>
    </w:p>
    <w:p w14:paraId="35903EB1" w14:textId="73906E33" w:rsidR="00710815" w:rsidRPr="00237760" w:rsidRDefault="00710815" w:rsidP="009367B4">
      <w:pPr>
        <w:pStyle w:val="Nagwek2"/>
        <w:rPr>
          <w:rFonts w:ascii="Arial" w:hAnsi="Arial" w:cs="Arial"/>
          <w:color w:val="auto"/>
          <w:sz w:val="24"/>
          <w:szCs w:val="24"/>
        </w:rPr>
      </w:pPr>
      <w:bookmarkStart w:id="260" w:name="_Ref100996813"/>
      <w:bookmarkStart w:id="261" w:name="_Toc101904165"/>
      <w:r w:rsidRPr="00237760">
        <w:rPr>
          <w:rFonts w:ascii="Arial" w:hAnsi="Arial" w:cs="Arial"/>
          <w:color w:val="auto"/>
          <w:sz w:val="24"/>
          <w:szCs w:val="24"/>
        </w:rPr>
        <w:lastRenderedPageBreak/>
        <w:t>Ocena spójności analizy SWOT, diagnozy i celów</w:t>
      </w:r>
      <w:bookmarkEnd w:id="260"/>
      <w:bookmarkEnd w:id="261"/>
    </w:p>
    <w:p w14:paraId="79C1DFB1" w14:textId="77777777" w:rsidR="00710815" w:rsidRPr="00D352FD" w:rsidRDefault="00710815" w:rsidP="00D352FD">
      <w:pPr>
        <w:pStyle w:val="Nagwek3"/>
        <w:numPr>
          <w:ilvl w:val="0"/>
          <w:numId w:val="0"/>
        </w:numPr>
        <w:ind w:left="851" w:hanging="851"/>
        <w:rPr>
          <w:rFonts w:ascii="Arial" w:hAnsi="Arial" w:cs="Arial"/>
          <w:color w:val="auto"/>
          <w:sz w:val="24"/>
          <w:szCs w:val="24"/>
        </w:rPr>
      </w:pPr>
      <w:bookmarkStart w:id="262" w:name="_Toc101904166"/>
      <w:r w:rsidRPr="00D352FD">
        <w:rPr>
          <w:rFonts w:ascii="Arial" w:hAnsi="Arial" w:cs="Arial"/>
          <w:color w:val="auto"/>
          <w:sz w:val="24"/>
          <w:szCs w:val="24"/>
        </w:rPr>
        <w:t>Synteza</w:t>
      </w:r>
      <w:bookmarkEnd w:id="262"/>
    </w:p>
    <w:p w14:paraId="1DAF8FE0" w14:textId="77777777" w:rsidR="00710815" w:rsidRPr="00237760" w:rsidRDefault="00710815" w:rsidP="009367B4">
      <w:pPr>
        <w:jc w:val="left"/>
        <w:rPr>
          <w:rFonts w:ascii="Arial" w:hAnsi="Arial" w:cs="Arial"/>
          <w:bCs/>
          <w:iCs/>
          <w:color w:val="auto"/>
          <w:sz w:val="24"/>
          <w:szCs w:val="24"/>
        </w:rPr>
      </w:pPr>
      <w:r w:rsidRPr="00237760">
        <w:rPr>
          <w:rFonts w:ascii="Arial" w:hAnsi="Arial" w:cs="Arial"/>
          <w:color w:val="auto"/>
          <w:sz w:val="24"/>
          <w:szCs w:val="24"/>
        </w:rPr>
        <w:t>Pytanie ewaluacyjne:</w:t>
      </w:r>
      <w:r w:rsidRPr="00237760">
        <w:rPr>
          <w:rFonts w:ascii="Arial" w:hAnsi="Arial" w:cs="Arial"/>
          <w:bCs/>
          <w:iCs/>
          <w:color w:val="auto"/>
          <w:sz w:val="24"/>
          <w:szCs w:val="24"/>
        </w:rPr>
        <w:t xml:space="preserve"> </w:t>
      </w:r>
    </w:p>
    <w:p w14:paraId="732F408A" w14:textId="77777777" w:rsidR="00710815" w:rsidRPr="00237760" w:rsidRDefault="00710815" w:rsidP="009367B4">
      <w:pPr>
        <w:jc w:val="left"/>
        <w:rPr>
          <w:rFonts w:ascii="Arial" w:hAnsi="Arial" w:cs="Arial"/>
          <w:color w:val="auto"/>
          <w:sz w:val="24"/>
          <w:szCs w:val="24"/>
        </w:rPr>
      </w:pPr>
      <w:r w:rsidRPr="00237760">
        <w:rPr>
          <w:rFonts w:ascii="Arial" w:hAnsi="Arial" w:cs="Arial"/>
          <w:b/>
          <w:i/>
          <w:color w:val="auto"/>
          <w:sz w:val="24"/>
          <w:szCs w:val="24"/>
        </w:rPr>
        <w:t xml:space="preserve">Czy występuje zgodność pomiędzy analizą SWOT a diagnozą i celami wskazanymi w Programie? </w:t>
      </w:r>
    </w:p>
    <w:p w14:paraId="76CBE8DD" w14:textId="77777777" w:rsidR="00710815" w:rsidRPr="00237760" w:rsidRDefault="00710815" w:rsidP="009367B4">
      <w:pPr>
        <w:jc w:val="left"/>
        <w:rPr>
          <w:rFonts w:ascii="Arial" w:hAnsi="Arial" w:cs="Arial"/>
          <w:color w:val="auto"/>
          <w:sz w:val="24"/>
          <w:szCs w:val="24"/>
        </w:rPr>
      </w:pPr>
      <w:r w:rsidRPr="00237760">
        <w:rPr>
          <w:rFonts w:ascii="Arial" w:hAnsi="Arial" w:cs="Arial"/>
          <w:color w:val="auto"/>
          <w:sz w:val="24"/>
          <w:szCs w:val="24"/>
        </w:rPr>
        <w:t>Syntetyczna odpowiedź:</w:t>
      </w:r>
    </w:p>
    <w:p w14:paraId="07B15482" w14:textId="14A1F2EC" w:rsidR="00710815" w:rsidRPr="00237760" w:rsidRDefault="00710815" w:rsidP="009367B4">
      <w:pPr>
        <w:jc w:val="left"/>
        <w:rPr>
          <w:rFonts w:ascii="Arial" w:hAnsi="Arial" w:cs="Arial"/>
          <w:b/>
          <w:i/>
          <w:color w:val="auto"/>
          <w:sz w:val="24"/>
          <w:szCs w:val="24"/>
        </w:rPr>
      </w:pPr>
      <w:bookmarkStart w:id="263" w:name="_Ref87393189"/>
      <w:bookmarkStart w:id="264" w:name="_Ref89546334"/>
      <w:bookmarkStart w:id="265" w:name="_Ref89595958"/>
      <w:bookmarkStart w:id="266" w:name="_Ref90249790"/>
      <w:bookmarkStart w:id="267" w:name="_Toc90223018"/>
      <w:bookmarkStart w:id="268" w:name="_Toc90333500"/>
      <w:r w:rsidRPr="00237760">
        <w:rPr>
          <w:rFonts w:ascii="Arial" w:hAnsi="Arial" w:cs="Arial"/>
          <w:b/>
          <w:i/>
          <w:color w:val="auto"/>
          <w:sz w:val="24"/>
          <w:szCs w:val="24"/>
        </w:rPr>
        <w:t>Tak, analiza SWOT wykazuje wysoką spójność zarówno z zapisami diagnozy, jak i celami podstawowymi i horyzontalnymi. W efekcie zapisy PSRT WP tworzą spójną, wynikową całość – czynniki zidentyfikowane w analizie SWOT bezpośrednio wynikają z zapisów diagnozy, a na każdy z nich oddziałują odpowiednie cele podstawowe i horyzontalne.</w:t>
      </w:r>
    </w:p>
    <w:p w14:paraId="3903BA32" w14:textId="77777777" w:rsidR="00710815" w:rsidRPr="00237760" w:rsidRDefault="00710815" w:rsidP="009367B4">
      <w:pPr>
        <w:pStyle w:val="Nagwek4"/>
        <w:shd w:val="clear" w:color="auto" w:fill="auto"/>
        <w:rPr>
          <w:rFonts w:ascii="Arial" w:hAnsi="Arial" w:cs="Arial"/>
          <w:color w:val="auto"/>
        </w:rPr>
      </w:pPr>
      <w:r w:rsidRPr="00237760">
        <w:rPr>
          <w:rFonts w:ascii="Arial" w:hAnsi="Arial" w:cs="Arial"/>
          <w:color w:val="auto"/>
        </w:rPr>
        <w:t xml:space="preserve"> </w:t>
      </w:r>
      <w:bookmarkStart w:id="269" w:name="_Toc101904167"/>
      <w:r w:rsidRPr="00237760">
        <w:rPr>
          <w:rFonts w:ascii="Arial" w:hAnsi="Arial" w:cs="Arial"/>
          <w:color w:val="auto"/>
        </w:rPr>
        <w:t>Analiza</w:t>
      </w:r>
      <w:bookmarkEnd w:id="269"/>
    </w:p>
    <w:p w14:paraId="40781D45" w14:textId="32D5FB44" w:rsidR="00710815" w:rsidRPr="00237760" w:rsidRDefault="001E5627" w:rsidP="009367B4">
      <w:pPr>
        <w:jc w:val="left"/>
        <w:rPr>
          <w:rFonts w:ascii="Arial" w:hAnsi="Arial" w:cs="Arial"/>
          <w:color w:val="auto"/>
          <w:sz w:val="24"/>
          <w:szCs w:val="24"/>
          <w:lang w:eastAsia="pl-PL"/>
        </w:rPr>
      </w:pPr>
      <w:r w:rsidRPr="00237760">
        <w:rPr>
          <w:rFonts w:ascii="Arial" w:hAnsi="Arial" w:cs="Arial"/>
          <w:color w:val="auto"/>
          <w:sz w:val="24"/>
          <w:szCs w:val="24"/>
        </w:rPr>
        <w:t xml:space="preserve">Analiza spójności części diagnostycznej została przeprowadzona pomiędzy analizą SWOT zawartą </w:t>
      </w:r>
      <w:r w:rsidR="00C605B2" w:rsidRPr="00237760">
        <w:rPr>
          <w:rFonts w:ascii="Arial" w:hAnsi="Arial" w:cs="Arial"/>
          <w:color w:val="auto"/>
          <w:sz w:val="24"/>
          <w:szCs w:val="24"/>
        </w:rPr>
        <w:br/>
      </w:r>
      <w:r w:rsidRPr="00237760">
        <w:rPr>
          <w:rFonts w:ascii="Arial" w:hAnsi="Arial" w:cs="Arial"/>
          <w:color w:val="auto"/>
          <w:sz w:val="24"/>
          <w:szCs w:val="24"/>
        </w:rPr>
        <w:t xml:space="preserve">w Programie a </w:t>
      </w:r>
      <w:r w:rsidRPr="00237760">
        <w:rPr>
          <w:rFonts w:ascii="Arial" w:hAnsi="Arial" w:cs="Arial"/>
          <w:i/>
          <w:color w:val="auto"/>
          <w:sz w:val="24"/>
          <w:szCs w:val="24"/>
        </w:rPr>
        <w:t xml:space="preserve">Diagnozą Stanu Systemu Transportowego w Województwie Podkarpackim </w:t>
      </w:r>
      <w:r w:rsidRPr="00237760">
        <w:rPr>
          <w:rFonts w:ascii="Arial" w:hAnsi="Arial" w:cs="Arial"/>
          <w:color w:val="auto"/>
          <w:sz w:val="24"/>
          <w:szCs w:val="24"/>
        </w:rPr>
        <w:t xml:space="preserve">(dalej zwana </w:t>
      </w:r>
      <w:r w:rsidRPr="00237760">
        <w:rPr>
          <w:rFonts w:ascii="Arial" w:hAnsi="Arial" w:cs="Arial"/>
          <w:i/>
          <w:color w:val="auto"/>
          <w:sz w:val="24"/>
          <w:szCs w:val="24"/>
        </w:rPr>
        <w:t>Diagnozą</w:t>
      </w:r>
      <w:r w:rsidRPr="00237760">
        <w:rPr>
          <w:rFonts w:ascii="Arial" w:hAnsi="Arial" w:cs="Arial"/>
          <w:color w:val="auto"/>
          <w:sz w:val="24"/>
          <w:szCs w:val="24"/>
        </w:rPr>
        <w:t xml:space="preserve">) stanowiącą odrębny dokument. </w:t>
      </w:r>
    </w:p>
    <w:p w14:paraId="5B07AD64" w14:textId="4A00913D" w:rsidR="00710815" w:rsidRPr="00237760" w:rsidRDefault="00927FAA"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W wyniku przeprowadzonej analizy</w:t>
      </w:r>
      <w:r w:rsidR="00710815" w:rsidRPr="00237760">
        <w:rPr>
          <w:rFonts w:ascii="Arial" w:hAnsi="Arial" w:cs="Arial"/>
          <w:color w:val="auto"/>
          <w:sz w:val="24"/>
          <w:szCs w:val="24"/>
          <w:lang w:eastAsia="pl-PL"/>
        </w:rPr>
        <w:t xml:space="preserve"> stwierdzono, że zdecydowana większość zagadnień i obszarów tematycznych diagnozy ma odzwierciedlenie w analizie SWOT (</w:t>
      </w:r>
      <w:r w:rsidR="00710815" w:rsidRPr="00237760">
        <w:rPr>
          <w:rFonts w:ascii="Arial" w:hAnsi="Arial" w:cs="Arial"/>
          <w:color w:val="auto"/>
          <w:sz w:val="24"/>
          <w:szCs w:val="24"/>
          <w:lang w:eastAsia="pl-PL"/>
        </w:rPr>
        <w:fldChar w:fldCharType="begin"/>
      </w:r>
      <w:r w:rsidR="00710815" w:rsidRPr="00237760">
        <w:rPr>
          <w:rFonts w:ascii="Arial" w:hAnsi="Arial" w:cs="Arial"/>
          <w:color w:val="auto"/>
          <w:sz w:val="24"/>
          <w:szCs w:val="24"/>
          <w:lang w:eastAsia="pl-PL"/>
        </w:rPr>
        <w:instrText xml:space="preserve"> REF _Ref100082033 \h  \* MERGEFORMAT </w:instrText>
      </w:r>
      <w:r w:rsidR="00710815" w:rsidRPr="00237760">
        <w:rPr>
          <w:rFonts w:ascii="Arial" w:hAnsi="Arial" w:cs="Arial"/>
          <w:color w:val="auto"/>
          <w:sz w:val="24"/>
          <w:szCs w:val="24"/>
          <w:lang w:eastAsia="pl-PL"/>
        </w:rPr>
      </w:r>
      <w:r w:rsidR="00710815" w:rsidRPr="00237760">
        <w:rPr>
          <w:rFonts w:ascii="Arial" w:hAnsi="Arial" w:cs="Arial"/>
          <w:color w:val="auto"/>
          <w:sz w:val="24"/>
          <w:szCs w:val="24"/>
          <w:lang w:eastAsia="pl-PL"/>
        </w:rPr>
        <w:fldChar w:fldCharType="separate"/>
      </w:r>
      <w:r w:rsidR="00DA6050" w:rsidRPr="00237760">
        <w:rPr>
          <w:rFonts w:ascii="Arial" w:hAnsi="Arial" w:cs="Arial"/>
          <w:color w:val="auto"/>
          <w:sz w:val="24"/>
          <w:szCs w:val="24"/>
        </w:rPr>
        <w:t xml:space="preserve">Tabela </w:t>
      </w:r>
      <w:r w:rsidR="00DA6050" w:rsidRPr="00237760">
        <w:rPr>
          <w:rFonts w:ascii="Arial" w:hAnsi="Arial" w:cs="Arial"/>
          <w:noProof/>
          <w:color w:val="auto"/>
          <w:sz w:val="24"/>
          <w:szCs w:val="24"/>
        </w:rPr>
        <w:t>42</w:t>
      </w:r>
      <w:r w:rsidR="00710815" w:rsidRPr="00237760">
        <w:rPr>
          <w:rFonts w:ascii="Arial" w:hAnsi="Arial" w:cs="Arial"/>
          <w:color w:val="auto"/>
          <w:sz w:val="24"/>
          <w:szCs w:val="24"/>
          <w:lang w:eastAsia="pl-PL"/>
        </w:rPr>
        <w:fldChar w:fldCharType="end"/>
      </w:r>
      <w:r w:rsidR="00710815" w:rsidRPr="00237760">
        <w:rPr>
          <w:rFonts w:ascii="Arial" w:hAnsi="Arial" w:cs="Arial"/>
          <w:color w:val="auto"/>
          <w:sz w:val="24"/>
          <w:szCs w:val="24"/>
          <w:lang w:eastAsia="pl-PL"/>
        </w:rPr>
        <w:t xml:space="preserve">). </w:t>
      </w:r>
      <w:r w:rsidR="00122CF4" w:rsidRPr="00237760">
        <w:rPr>
          <w:rFonts w:ascii="Arial" w:hAnsi="Arial" w:cs="Arial"/>
          <w:color w:val="auto"/>
          <w:sz w:val="24"/>
          <w:szCs w:val="24"/>
          <w:lang w:eastAsia="pl-PL"/>
        </w:rPr>
        <w:t>W mocnych i słabych stronach nie odnaleziono odniesienia do</w:t>
      </w:r>
      <w:r w:rsidR="00710815" w:rsidRPr="00237760">
        <w:rPr>
          <w:rFonts w:ascii="Arial" w:hAnsi="Arial" w:cs="Arial"/>
          <w:color w:val="auto"/>
          <w:sz w:val="24"/>
          <w:szCs w:val="24"/>
          <w:lang w:eastAsia="pl-PL"/>
        </w:rPr>
        <w:t xml:space="preserve"> dwóch obszarów tematycznych diagnozy – „Koszty eksploatacji i konserwacji istniejącej infrastruktury”</w:t>
      </w:r>
      <w:r w:rsidR="009B125E" w:rsidRPr="00237760">
        <w:rPr>
          <w:rStyle w:val="Odwoanieprzypisudolnego"/>
          <w:rFonts w:ascii="Arial" w:hAnsi="Arial" w:cs="Arial"/>
          <w:color w:val="auto"/>
          <w:sz w:val="24"/>
          <w:szCs w:val="24"/>
          <w:lang w:eastAsia="pl-PL"/>
        </w:rPr>
        <w:footnoteReference w:id="53"/>
      </w:r>
      <w:r w:rsidR="00710815" w:rsidRPr="00237760">
        <w:rPr>
          <w:rFonts w:ascii="Arial" w:hAnsi="Arial" w:cs="Arial"/>
          <w:color w:val="auto"/>
          <w:sz w:val="24"/>
          <w:szCs w:val="24"/>
          <w:lang w:eastAsia="pl-PL"/>
        </w:rPr>
        <w:t xml:space="preserve"> oraz „Inwestycje infrastrukturalne”. Są to jednak krótkie rozdziały diagnozy, traktujące głównie o kwestiach finansowych i uwarunkowaniach prawnych inwestycji, a więc w dużej mierze elementów stanowiących zewnętrzne czynniki rozwoju systemu transportowego w regionie. Z tego powodu brak spójności tych obszarów tematycznych nie wpływa na ogólną ocenę spójności diagnozy i analizy SWOT.</w:t>
      </w:r>
    </w:p>
    <w:p w14:paraId="5093C08D" w14:textId="26786AE0" w:rsidR="00710815" w:rsidRPr="00237760" w:rsidRDefault="00710815" w:rsidP="009367B4">
      <w:pPr>
        <w:pStyle w:val="Legenda"/>
        <w:jc w:val="left"/>
        <w:rPr>
          <w:rFonts w:ascii="Arial" w:hAnsi="Arial" w:cs="Arial"/>
          <w:color w:val="auto"/>
          <w:sz w:val="24"/>
          <w:szCs w:val="24"/>
        </w:rPr>
      </w:pPr>
      <w:bookmarkStart w:id="270" w:name="_Ref99496115"/>
      <w:bookmarkStart w:id="271" w:name="_Ref100082033"/>
      <w:bookmarkStart w:id="272" w:name="_Toc101904283"/>
      <w:bookmarkEnd w:id="263"/>
      <w:bookmarkEnd w:id="264"/>
      <w:bookmarkEnd w:id="265"/>
      <w:bookmarkEnd w:id="266"/>
      <w:bookmarkEnd w:id="267"/>
      <w:bookmarkEnd w:id="268"/>
      <w:r w:rsidRPr="00237760">
        <w:rPr>
          <w:rFonts w:ascii="Arial" w:hAnsi="Arial" w:cs="Arial"/>
          <w:color w:val="auto"/>
          <w:sz w:val="24"/>
          <w:szCs w:val="24"/>
        </w:rPr>
        <w:t xml:space="preserve">Tabela </w:t>
      </w:r>
      <w:bookmarkEnd w:id="270"/>
      <w:r w:rsidRPr="00237760">
        <w:rPr>
          <w:rFonts w:ascii="Arial" w:hAnsi="Arial" w:cs="Arial"/>
          <w:color w:val="auto"/>
          <w:sz w:val="24"/>
          <w:szCs w:val="24"/>
        </w:rPr>
        <w:fldChar w:fldCharType="begin"/>
      </w:r>
      <w:r w:rsidRPr="00237760">
        <w:rPr>
          <w:rFonts w:ascii="Arial" w:hAnsi="Arial" w:cs="Arial"/>
          <w:color w:val="auto"/>
          <w:sz w:val="24"/>
          <w:szCs w:val="24"/>
        </w:rPr>
        <w:instrText xml:space="preserve"> SEQ Tabela \* ARABIC </w:instrText>
      </w:r>
      <w:r w:rsidRPr="00237760">
        <w:rPr>
          <w:rFonts w:ascii="Arial" w:hAnsi="Arial" w:cs="Arial"/>
          <w:color w:val="auto"/>
          <w:sz w:val="24"/>
          <w:szCs w:val="24"/>
        </w:rPr>
        <w:fldChar w:fldCharType="separate"/>
      </w:r>
      <w:r w:rsidR="00762B20" w:rsidRPr="00237760">
        <w:rPr>
          <w:rFonts w:ascii="Arial" w:hAnsi="Arial" w:cs="Arial"/>
          <w:noProof/>
          <w:color w:val="auto"/>
          <w:sz w:val="24"/>
          <w:szCs w:val="24"/>
        </w:rPr>
        <w:t>42</w:t>
      </w:r>
      <w:r w:rsidRPr="00237760">
        <w:rPr>
          <w:rFonts w:ascii="Arial" w:hAnsi="Arial" w:cs="Arial"/>
          <w:color w:val="auto"/>
          <w:sz w:val="24"/>
          <w:szCs w:val="24"/>
        </w:rPr>
        <w:fldChar w:fldCharType="end"/>
      </w:r>
      <w:bookmarkEnd w:id="271"/>
      <w:r w:rsidRPr="00237760">
        <w:rPr>
          <w:rFonts w:ascii="Arial" w:hAnsi="Arial" w:cs="Arial"/>
          <w:color w:val="auto"/>
          <w:sz w:val="24"/>
          <w:szCs w:val="24"/>
        </w:rPr>
        <w:t>. Osadzenie wyników diagnozy PSRT WP w mocnych i słabych stronach analizy SWOT</w:t>
      </w:r>
      <w:r w:rsidR="00C21856" w:rsidRPr="00237760">
        <w:rPr>
          <w:rStyle w:val="Odwoanieprzypisudolnego"/>
          <w:rFonts w:ascii="Arial" w:hAnsi="Arial" w:cs="Arial"/>
          <w:color w:val="auto"/>
          <w:sz w:val="24"/>
          <w:szCs w:val="24"/>
        </w:rPr>
        <w:footnoteReference w:id="54"/>
      </w:r>
      <w:bookmarkEnd w:id="272"/>
    </w:p>
    <w:tbl>
      <w:tblPr>
        <w:tblStyle w:val="Tabela-Siatka"/>
        <w:tblW w:w="9077" w:type="dxa"/>
        <w:tblInd w:w="-5"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ook w:val="04A0" w:firstRow="1" w:lastRow="0" w:firstColumn="1" w:lastColumn="0" w:noHBand="0" w:noVBand="1"/>
        <w:tblCaption w:val="Tabela 42. Osadzenie wyników diagnozy PSRT WP w mocnych i słabych stronach analizy SWOT "/>
        <w:tblDescription w:val="Tabela zawiera Obszar tematyczny diagnozy, Mocne strony, Słabe strony, Element analizy SWOT "/>
      </w:tblPr>
      <w:tblGrid>
        <w:gridCol w:w="1937"/>
        <w:gridCol w:w="977"/>
        <w:gridCol w:w="950"/>
        <w:gridCol w:w="5213"/>
      </w:tblGrid>
      <w:tr w:rsidR="00237760" w:rsidRPr="00237760" w14:paraId="019F561D" w14:textId="77777777" w:rsidTr="002350B5">
        <w:trPr>
          <w:trHeight w:val="111"/>
          <w:tblHeader/>
        </w:trPr>
        <w:tc>
          <w:tcPr>
            <w:tcW w:w="1565" w:type="dxa"/>
            <w:tcBorders>
              <w:top w:val="single" w:sz="12" w:space="0" w:color="002060"/>
              <w:left w:val="nil"/>
              <w:bottom w:val="single" w:sz="4" w:space="0" w:color="BDD6EE" w:themeColor="accent1" w:themeTint="66"/>
              <w:right w:val="nil"/>
            </w:tcBorders>
            <w:shd w:val="clear" w:color="auto" w:fill="auto"/>
            <w:vAlign w:val="center"/>
            <w:hideMark/>
          </w:tcPr>
          <w:p w14:paraId="4F4EB84A" w14:textId="155D558F" w:rsidR="00710815" w:rsidRPr="00237760" w:rsidRDefault="00710815" w:rsidP="009367B4">
            <w:pPr>
              <w:spacing w:after="0" w:line="240" w:lineRule="auto"/>
              <w:jc w:val="left"/>
              <w:rPr>
                <w:rFonts w:ascii="Arial" w:eastAsiaTheme="minorHAnsi" w:hAnsi="Arial" w:cs="Arial"/>
                <w:b/>
                <w:color w:val="auto"/>
                <w:sz w:val="24"/>
                <w:szCs w:val="24"/>
              </w:rPr>
            </w:pPr>
            <w:r w:rsidRPr="00237760">
              <w:rPr>
                <w:rFonts w:ascii="Arial" w:hAnsi="Arial" w:cs="Arial"/>
                <w:b/>
                <w:color w:val="auto"/>
                <w:sz w:val="24"/>
                <w:szCs w:val="24"/>
              </w:rPr>
              <w:t>Obszar tematyczny diagnozy</w:t>
            </w:r>
          </w:p>
        </w:tc>
        <w:tc>
          <w:tcPr>
            <w:tcW w:w="734" w:type="dxa"/>
            <w:tcBorders>
              <w:top w:val="single" w:sz="12" w:space="0" w:color="002060"/>
              <w:left w:val="nil"/>
              <w:bottom w:val="single" w:sz="4" w:space="0" w:color="BDD6EE" w:themeColor="accent1" w:themeTint="66"/>
              <w:right w:val="nil"/>
            </w:tcBorders>
            <w:shd w:val="clear" w:color="auto" w:fill="auto"/>
            <w:vAlign w:val="center"/>
            <w:hideMark/>
          </w:tcPr>
          <w:p w14:paraId="1A00CB46"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Mocne strony</w:t>
            </w:r>
          </w:p>
        </w:tc>
        <w:tc>
          <w:tcPr>
            <w:tcW w:w="825" w:type="dxa"/>
            <w:tcBorders>
              <w:top w:val="single" w:sz="12" w:space="0" w:color="002060"/>
              <w:left w:val="nil"/>
              <w:bottom w:val="single" w:sz="4" w:space="0" w:color="BDD6EE" w:themeColor="accent1" w:themeTint="66"/>
              <w:right w:val="nil"/>
            </w:tcBorders>
            <w:shd w:val="clear" w:color="auto" w:fill="auto"/>
            <w:vAlign w:val="center"/>
            <w:hideMark/>
          </w:tcPr>
          <w:p w14:paraId="2B82EE7C"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Słabe strony</w:t>
            </w:r>
          </w:p>
        </w:tc>
        <w:tc>
          <w:tcPr>
            <w:tcW w:w="5953" w:type="dxa"/>
            <w:tcBorders>
              <w:top w:val="single" w:sz="12" w:space="0" w:color="002060"/>
              <w:left w:val="nil"/>
              <w:bottom w:val="single" w:sz="4" w:space="0" w:color="BDD6EE" w:themeColor="accent1" w:themeTint="66"/>
              <w:right w:val="nil"/>
            </w:tcBorders>
            <w:shd w:val="clear" w:color="auto" w:fill="auto"/>
            <w:vAlign w:val="center"/>
            <w:hideMark/>
          </w:tcPr>
          <w:p w14:paraId="5903CB69"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 xml:space="preserve">Element analizy SWOT </w:t>
            </w:r>
          </w:p>
        </w:tc>
      </w:tr>
      <w:tr w:rsidR="00237760" w:rsidRPr="00237760" w14:paraId="45A1E72B" w14:textId="77777777" w:rsidTr="00F311FF">
        <w:trPr>
          <w:trHeight w:val="151"/>
        </w:trPr>
        <w:tc>
          <w:tcPr>
            <w:tcW w:w="1565"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58B73747"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Uwarunkowania dla rozwoju </w:t>
            </w:r>
            <w:r w:rsidRPr="00237760">
              <w:rPr>
                <w:rFonts w:ascii="Arial" w:hAnsi="Arial" w:cs="Arial"/>
                <w:color w:val="auto"/>
                <w:sz w:val="24"/>
                <w:szCs w:val="24"/>
              </w:rPr>
              <w:lastRenderedPageBreak/>
              <w:t>transportu w województwie</w:t>
            </w:r>
          </w:p>
        </w:tc>
        <w:tc>
          <w:tcPr>
            <w:tcW w:w="734"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07D08719"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lastRenderedPageBreak/>
              <w:t>+</w:t>
            </w:r>
          </w:p>
        </w:tc>
        <w:tc>
          <w:tcPr>
            <w:tcW w:w="825"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65DB8307"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w:t>
            </w:r>
          </w:p>
        </w:tc>
        <w:tc>
          <w:tcPr>
            <w:tcW w:w="5953"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54804E85" w14:textId="6808C80A" w:rsidR="00F311FF" w:rsidRPr="00237760" w:rsidRDefault="00F311FF" w:rsidP="009367B4">
            <w:pPr>
              <w:spacing w:after="0" w:line="240" w:lineRule="auto"/>
              <w:jc w:val="left"/>
              <w:rPr>
                <w:rFonts w:ascii="Arial" w:hAnsi="Arial" w:cs="Arial"/>
                <w:color w:val="auto"/>
                <w:sz w:val="24"/>
                <w:szCs w:val="24"/>
              </w:rPr>
            </w:pPr>
            <w:r w:rsidRPr="00237760">
              <w:rPr>
                <w:rFonts w:ascii="Arial" w:hAnsi="Arial" w:cs="Arial"/>
                <w:b/>
                <w:bCs/>
                <w:color w:val="auto"/>
                <w:sz w:val="24"/>
                <w:szCs w:val="24"/>
              </w:rPr>
              <w:t>Mocne strony</w:t>
            </w:r>
            <w:r w:rsidRPr="00237760">
              <w:rPr>
                <w:rFonts w:ascii="Arial" w:hAnsi="Arial" w:cs="Arial"/>
                <w:color w:val="auto"/>
                <w:sz w:val="24"/>
                <w:szCs w:val="24"/>
              </w:rPr>
              <w:t xml:space="preserve">: </w:t>
            </w:r>
            <w:r w:rsidR="00710815" w:rsidRPr="00237760">
              <w:rPr>
                <w:rFonts w:ascii="Arial" w:hAnsi="Arial" w:cs="Arial"/>
                <w:color w:val="auto"/>
                <w:sz w:val="24"/>
                <w:szCs w:val="24"/>
              </w:rPr>
              <w:t>Policentryczny układ sieci osadniczej województwa podkarpackiego</w:t>
            </w:r>
            <w:r w:rsidRPr="00237760">
              <w:rPr>
                <w:rFonts w:ascii="Arial" w:hAnsi="Arial" w:cs="Arial"/>
                <w:color w:val="auto"/>
                <w:sz w:val="24"/>
                <w:szCs w:val="24"/>
              </w:rPr>
              <w:t>;</w:t>
            </w:r>
            <w:r w:rsidR="00710815" w:rsidRPr="00237760">
              <w:rPr>
                <w:rFonts w:ascii="Arial" w:hAnsi="Arial" w:cs="Arial"/>
                <w:color w:val="auto"/>
                <w:sz w:val="24"/>
                <w:szCs w:val="24"/>
              </w:rPr>
              <w:t xml:space="preserve"> </w:t>
            </w:r>
            <w:r w:rsidR="00710815" w:rsidRPr="00237760">
              <w:rPr>
                <w:rFonts w:ascii="Arial" w:hAnsi="Arial" w:cs="Arial"/>
                <w:color w:val="auto"/>
                <w:sz w:val="24"/>
                <w:szCs w:val="24"/>
              </w:rPr>
              <w:lastRenderedPageBreak/>
              <w:t>Rozwój demograficzny i gospodarczy ośrodka wojewódzkiego z obszarem powiązanym funkcjonalnie (ROF)</w:t>
            </w:r>
            <w:r w:rsidRPr="00237760">
              <w:rPr>
                <w:rFonts w:ascii="Arial" w:hAnsi="Arial" w:cs="Arial"/>
                <w:color w:val="auto"/>
                <w:sz w:val="24"/>
                <w:szCs w:val="24"/>
              </w:rPr>
              <w:t>;</w:t>
            </w:r>
            <w:r w:rsidR="00710815" w:rsidRPr="00237760">
              <w:rPr>
                <w:rFonts w:ascii="Arial" w:hAnsi="Arial" w:cs="Arial"/>
                <w:color w:val="auto"/>
                <w:sz w:val="24"/>
                <w:szCs w:val="24"/>
              </w:rPr>
              <w:t xml:space="preserve"> Autostrada A4 oraz magistrala kolejowa E30, stanowiące główną oś komunikacyjną na kierunku wschód-zachód</w:t>
            </w:r>
            <w:r w:rsidRPr="00237760">
              <w:rPr>
                <w:rFonts w:ascii="Arial" w:hAnsi="Arial" w:cs="Arial"/>
                <w:color w:val="auto"/>
                <w:sz w:val="24"/>
                <w:szCs w:val="24"/>
              </w:rPr>
              <w:t>;</w:t>
            </w:r>
            <w:r w:rsidR="00710815" w:rsidRPr="00237760">
              <w:rPr>
                <w:rFonts w:ascii="Arial" w:hAnsi="Arial" w:cs="Arial"/>
                <w:color w:val="auto"/>
                <w:sz w:val="24"/>
                <w:szCs w:val="24"/>
              </w:rPr>
              <w:t xml:space="preserve"> Dostępność transportowa biegunów wzrostu położonych wzdłuż autostrady A4 (Dębica, Rzeszów, Przeworsk-Jarosław, Przemyśl)</w:t>
            </w:r>
            <w:r w:rsidRPr="00237760">
              <w:rPr>
                <w:rFonts w:ascii="Arial" w:hAnsi="Arial" w:cs="Arial"/>
                <w:color w:val="auto"/>
                <w:sz w:val="24"/>
                <w:szCs w:val="24"/>
              </w:rPr>
              <w:t>;</w:t>
            </w:r>
          </w:p>
          <w:p w14:paraId="313E7F2E" w14:textId="7234F201" w:rsidR="00710815" w:rsidRPr="00237760" w:rsidRDefault="00F311FF" w:rsidP="009367B4">
            <w:pPr>
              <w:spacing w:after="0" w:line="240" w:lineRule="auto"/>
              <w:jc w:val="left"/>
              <w:rPr>
                <w:rFonts w:ascii="Arial" w:hAnsi="Arial" w:cs="Arial"/>
                <w:color w:val="auto"/>
                <w:sz w:val="24"/>
                <w:szCs w:val="24"/>
              </w:rPr>
            </w:pPr>
            <w:r w:rsidRPr="00237760">
              <w:rPr>
                <w:rFonts w:ascii="Arial" w:hAnsi="Arial" w:cs="Arial"/>
                <w:b/>
                <w:bCs/>
                <w:color w:val="auto"/>
                <w:sz w:val="24"/>
                <w:szCs w:val="24"/>
              </w:rPr>
              <w:t>Słabe strony</w:t>
            </w:r>
            <w:r w:rsidRPr="00237760">
              <w:rPr>
                <w:rFonts w:ascii="Arial" w:hAnsi="Arial" w:cs="Arial"/>
                <w:color w:val="auto"/>
                <w:sz w:val="24"/>
                <w:szCs w:val="24"/>
              </w:rPr>
              <w:t xml:space="preserve">: </w:t>
            </w:r>
            <w:r w:rsidR="00710815" w:rsidRPr="00237760">
              <w:rPr>
                <w:rFonts w:ascii="Arial" w:hAnsi="Arial" w:cs="Arial"/>
                <w:color w:val="auto"/>
                <w:sz w:val="24"/>
                <w:szCs w:val="24"/>
              </w:rPr>
              <w:t>Starzenie się społeczeństwa i rosnąca liczba osób w wieku poprodukcyjnym</w:t>
            </w:r>
            <w:r w:rsidRPr="00237760">
              <w:rPr>
                <w:rFonts w:ascii="Arial" w:hAnsi="Arial" w:cs="Arial"/>
                <w:color w:val="auto"/>
                <w:sz w:val="24"/>
                <w:szCs w:val="24"/>
              </w:rPr>
              <w:t>;</w:t>
            </w:r>
            <w:r w:rsidR="00710815" w:rsidRPr="00237760">
              <w:rPr>
                <w:rFonts w:ascii="Arial" w:hAnsi="Arial" w:cs="Arial"/>
                <w:color w:val="auto"/>
                <w:sz w:val="24"/>
                <w:szCs w:val="24"/>
              </w:rPr>
              <w:t xml:space="preserve"> Rozproszenie zabudowy, głównie na terenach wiejskich</w:t>
            </w:r>
            <w:r w:rsidRPr="00237760">
              <w:rPr>
                <w:rFonts w:ascii="Arial" w:hAnsi="Arial" w:cs="Arial"/>
                <w:color w:val="auto"/>
                <w:sz w:val="24"/>
                <w:szCs w:val="24"/>
              </w:rPr>
              <w:t>;</w:t>
            </w:r>
            <w:r w:rsidR="00710815" w:rsidRPr="00237760">
              <w:rPr>
                <w:rFonts w:ascii="Arial" w:hAnsi="Arial" w:cs="Arial"/>
                <w:color w:val="auto"/>
                <w:sz w:val="24"/>
                <w:szCs w:val="24"/>
              </w:rPr>
              <w:t xml:space="preserve"> Obszary peryferyjne wewnątrz województwa (w szczególności południowe i północno-wschodnie części województwa)</w:t>
            </w:r>
            <w:r w:rsidRPr="00237760">
              <w:rPr>
                <w:rFonts w:ascii="Arial" w:hAnsi="Arial" w:cs="Arial"/>
                <w:color w:val="auto"/>
                <w:sz w:val="24"/>
                <w:szCs w:val="24"/>
              </w:rPr>
              <w:t>;</w:t>
            </w:r>
            <w:r w:rsidR="00710815" w:rsidRPr="00237760">
              <w:rPr>
                <w:rFonts w:ascii="Arial" w:hAnsi="Arial" w:cs="Arial"/>
                <w:color w:val="auto"/>
                <w:sz w:val="24"/>
                <w:szCs w:val="24"/>
              </w:rPr>
              <w:t xml:space="preserve"> Niedostateczne powiązanie południowej i północno-wschodniej części regionu, infrastrukturą drogową o wysokich parametrach technicznych z Rzeszowem</w:t>
            </w:r>
            <w:r w:rsidRPr="00237760">
              <w:rPr>
                <w:rFonts w:ascii="Arial" w:hAnsi="Arial" w:cs="Arial"/>
                <w:color w:val="auto"/>
                <w:sz w:val="24"/>
                <w:szCs w:val="24"/>
              </w:rPr>
              <w:t>;</w:t>
            </w:r>
            <w:r w:rsidR="00710815" w:rsidRPr="00237760">
              <w:rPr>
                <w:rFonts w:ascii="Arial" w:hAnsi="Arial" w:cs="Arial"/>
                <w:color w:val="auto"/>
                <w:sz w:val="24"/>
                <w:szCs w:val="24"/>
              </w:rPr>
              <w:t xml:space="preserve"> Konieczność adaptacji już istniejącej infrastruktury transportowej do potrzeb wynikających </w:t>
            </w:r>
            <w:r w:rsidR="00C605B2" w:rsidRPr="00237760">
              <w:rPr>
                <w:rFonts w:ascii="Arial" w:hAnsi="Arial" w:cs="Arial"/>
                <w:color w:val="auto"/>
                <w:sz w:val="24"/>
                <w:szCs w:val="24"/>
              </w:rPr>
              <w:br/>
            </w:r>
            <w:r w:rsidR="00710815" w:rsidRPr="00237760">
              <w:rPr>
                <w:rFonts w:ascii="Arial" w:hAnsi="Arial" w:cs="Arial"/>
                <w:color w:val="auto"/>
                <w:sz w:val="24"/>
                <w:szCs w:val="24"/>
              </w:rPr>
              <w:t>z pojawiających się lub stwierdzonych uwarunkowań (wody powierzchniowe, występowanie osuwisk, zagrożenie powodziowe, obszary chronione, etc.)</w:t>
            </w:r>
            <w:r w:rsidRPr="00237760">
              <w:rPr>
                <w:rFonts w:ascii="Arial" w:hAnsi="Arial" w:cs="Arial"/>
                <w:color w:val="auto"/>
                <w:sz w:val="24"/>
                <w:szCs w:val="24"/>
              </w:rPr>
              <w:t>;</w:t>
            </w:r>
            <w:r w:rsidR="00710815" w:rsidRPr="00237760">
              <w:rPr>
                <w:rFonts w:ascii="Arial" w:hAnsi="Arial" w:cs="Arial"/>
                <w:color w:val="auto"/>
                <w:sz w:val="24"/>
                <w:szCs w:val="24"/>
              </w:rPr>
              <w:t xml:space="preserve"> Uwarunkowania przyrodnicze województwa podkarpackiego znacząco podnoszące koszty budowy nowej sieci transportowej</w:t>
            </w:r>
            <w:r w:rsidRPr="00237760">
              <w:rPr>
                <w:rFonts w:ascii="Arial" w:hAnsi="Arial" w:cs="Arial"/>
                <w:color w:val="auto"/>
                <w:sz w:val="24"/>
                <w:szCs w:val="24"/>
              </w:rPr>
              <w:t>;</w:t>
            </w:r>
          </w:p>
        </w:tc>
      </w:tr>
      <w:tr w:rsidR="00237760" w:rsidRPr="00237760" w14:paraId="06A8EA87" w14:textId="77777777" w:rsidTr="00F311FF">
        <w:trPr>
          <w:trHeight w:val="151"/>
        </w:trPr>
        <w:tc>
          <w:tcPr>
            <w:tcW w:w="1565"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6F2E4631"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lastRenderedPageBreak/>
              <w:t>Generatory ruchu jako punktowe miejska wymagające obsługi w transporcie pasażerskim i towarowym</w:t>
            </w:r>
          </w:p>
        </w:tc>
        <w:tc>
          <w:tcPr>
            <w:tcW w:w="734"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5D47C361"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w:t>
            </w:r>
          </w:p>
        </w:tc>
        <w:tc>
          <w:tcPr>
            <w:tcW w:w="825"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251F4A90"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w:t>
            </w:r>
          </w:p>
        </w:tc>
        <w:tc>
          <w:tcPr>
            <w:tcW w:w="5953"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72E6676D" w14:textId="0F0D5433" w:rsidR="00F311FF" w:rsidRPr="00237760" w:rsidRDefault="00F311FF" w:rsidP="009367B4">
            <w:pPr>
              <w:spacing w:after="0" w:line="240" w:lineRule="auto"/>
              <w:jc w:val="left"/>
              <w:rPr>
                <w:rFonts w:ascii="Arial" w:hAnsi="Arial" w:cs="Arial"/>
                <w:color w:val="auto"/>
                <w:sz w:val="24"/>
                <w:szCs w:val="24"/>
              </w:rPr>
            </w:pPr>
            <w:r w:rsidRPr="00237760">
              <w:rPr>
                <w:rFonts w:ascii="Arial" w:hAnsi="Arial" w:cs="Arial"/>
                <w:b/>
                <w:bCs/>
                <w:color w:val="auto"/>
                <w:sz w:val="24"/>
                <w:szCs w:val="24"/>
              </w:rPr>
              <w:t>Mocne strony</w:t>
            </w:r>
            <w:r w:rsidRPr="00237760">
              <w:rPr>
                <w:rFonts w:ascii="Arial" w:hAnsi="Arial" w:cs="Arial"/>
                <w:color w:val="auto"/>
                <w:sz w:val="24"/>
                <w:szCs w:val="24"/>
              </w:rPr>
              <w:t xml:space="preserve">: </w:t>
            </w:r>
            <w:r w:rsidR="00710815" w:rsidRPr="00237760">
              <w:rPr>
                <w:rFonts w:ascii="Arial" w:hAnsi="Arial" w:cs="Arial"/>
                <w:color w:val="auto"/>
                <w:sz w:val="24"/>
                <w:szCs w:val="24"/>
              </w:rPr>
              <w:t>Policentryczny układ sieci osadniczej województwa podkarpackiego</w:t>
            </w:r>
            <w:r w:rsidRPr="00237760">
              <w:rPr>
                <w:rFonts w:ascii="Arial" w:hAnsi="Arial" w:cs="Arial"/>
                <w:color w:val="auto"/>
                <w:sz w:val="24"/>
                <w:szCs w:val="24"/>
              </w:rPr>
              <w:t>;</w:t>
            </w:r>
            <w:r w:rsidR="00710815" w:rsidRPr="00237760">
              <w:rPr>
                <w:rFonts w:ascii="Arial" w:hAnsi="Arial" w:cs="Arial"/>
                <w:color w:val="auto"/>
                <w:sz w:val="24"/>
                <w:szCs w:val="24"/>
              </w:rPr>
              <w:t xml:space="preserve"> Rozwój demograficzny i gospodarczy ośrodka wojewódzkiego z obszarem powiązanym funkcjonalnie (ROF)</w:t>
            </w:r>
            <w:r w:rsidRPr="00237760">
              <w:rPr>
                <w:rFonts w:ascii="Arial" w:hAnsi="Arial" w:cs="Arial"/>
                <w:color w:val="auto"/>
                <w:sz w:val="24"/>
                <w:szCs w:val="24"/>
              </w:rPr>
              <w:t>;</w:t>
            </w:r>
            <w:r w:rsidR="00710815" w:rsidRPr="00237760">
              <w:rPr>
                <w:rFonts w:ascii="Arial" w:hAnsi="Arial" w:cs="Arial"/>
                <w:color w:val="auto"/>
                <w:sz w:val="24"/>
                <w:szCs w:val="24"/>
              </w:rPr>
              <w:t xml:space="preserve"> Powiązanie układu komunikacyjnego województwa podkarpackiego z krajową i międzynarodową siecią TEN-T</w:t>
            </w:r>
            <w:r w:rsidRPr="00237760">
              <w:rPr>
                <w:rFonts w:ascii="Arial" w:hAnsi="Arial" w:cs="Arial"/>
                <w:color w:val="auto"/>
                <w:sz w:val="24"/>
                <w:szCs w:val="24"/>
              </w:rPr>
              <w:t>;</w:t>
            </w:r>
            <w:r w:rsidR="00710815" w:rsidRPr="00237760">
              <w:rPr>
                <w:rFonts w:ascii="Arial" w:hAnsi="Arial" w:cs="Arial"/>
                <w:color w:val="auto"/>
                <w:sz w:val="24"/>
                <w:szCs w:val="24"/>
              </w:rPr>
              <w:t xml:space="preserve"> Autostrada A4 oraz magistrala kolejowa E30, stanowiące główną oś komunikacyjną na kierunku wschód-zachód</w:t>
            </w:r>
            <w:r w:rsidRPr="00237760">
              <w:rPr>
                <w:rFonts w:ascii="Arial" w:hAnsi="Arial" w:cs="Arial"/>
                <w:color w:val="auto"/>
                <w:sz w:val="24"/>
                <w:szCs w:val="24"/>
              </w:rPr>
              <w:t>;</w:t>
            </w:r>
            <w:r w:rsidR="00710815" w:rsidRPr="00237760">
              <w:rPr>
                <w:rFonts w:ascii="Arial" w:hAnsi="Arial" w:cs="Arial"/>
                <w:color w:val="auto"/>
                <w:sz w:val="24"/>
                <w:szCs w:val="24"/>
              </w:rPr>
              <w:t xml:space="preserve"> Rozbudowana sieć międzypowiatowych połączeń autobusowych</w:t>
            </w:r>
            <w:r w:rsidRPr="00237760">
              <w:rPr>
                <w:rFonts w:ascii="Arial" w:hAnsi="Arial" w:cs="Arial"/>
                <w:color w:val="auto"/>
                <w:sz w:val="24"/>
                <w:szCs w:val="24"/>
              </w:rPr>
              <w:t>;</w:t>
            </w:r>
            <w:r w:rsidR="00710815" w:rsidRPr="00237760">
              <w:rPr>
                <w:rFonts w:ascii="Arial" w:hAnsi="Arial" w:cs="Arial"/>
                <w:color w:val="auto"/>
                <w:sz w:val="24"/>
                <w:szCs w:val="24"/>
              </w:rPr>
              <w:t xml:space="preserve"> Wysoka atrakcyjność turystyczna województwa</w:t>
            </w:r>
            <w:r w:rsidRPr="00237760">
              <w:rPr>
                <w:rFonts w:ascii="Arial" w:hAnsi="Arial" w:cs="Arial"/>
                <w:color w:val="auto"/>
                <w:sz w:val="24"/>
                <w:szCs w:val="24"/>
              </w:rPr>
              <w:t>;</w:t>
            </w:r>
          </w:p>
          <w:p w14:paraId="3C7C467C" w14:textId="743517E8" w:rsidR="00710815" w:rsidRPr="00237760" w:rsidRDefault="00F311FF" w:rsidP="009367B4">
            <w:pPr>
              <w:spacing w:after="0" w:line="240" w:lineRule="auto"/>
              <w:jc w:val="left"/>
              <w:rPr>
                <w:rFonts w:ascii="Arial" w:hAnsi="Arial" w:cs="Arial"/>
                <w:color w:val="auto"/>
                <w:sz w:val="24"/>
                <w:szCs w:val="24"/>
              </w:rPr>
            </w:pPr>
            <w:r w:rsidRPr="00237760">
              <w:rPr>
                <w:rFonts w:ascii="Arial" w:hAnsi="Arial" w:cs="Arial"/>
                <w:b/>
                <w:bCs/>
                <w:color w:val="auto"/>
                <w:sz w:val="24"/>
                <w:szCs w:val="24"/>
              </w:rPr>
              <w:t>Słabe strony</w:t>
            </w:r>
            <w:r w:rsidRPr="00237760">
              <w:rPr>
                <w:rFonts w:ascii="Arial" w:hAnsi="Arial" w:cs="Arial"/>
                <w:color w:val="auto"/>
                <w:sz w:val="24"/>
                <w:szCs w:val="24"/>
              </w:rPr>
              <w:t xml:space="preserve">: </w:t>
            </w:r>
            <w:r w:rsidR="00710815" w:rsidRPr="00237760">
              <w:rPr>
                <w:rFonts w:ascii="Arial" w:hAnsi="Arial" w:cs="Arial"/>
                <w:color w:val="auto"/>
                <w:sz w:val="24"/>
                <w:szCs w:val="24"/>
              </w:rPr>
              <w:t>Obszary peryferyjne wewnątrz województwa (w szczególności południowe i północno-wschodnie części województwa)</w:t>
            </w:r>
            <w:r w:rsidRPr="00237760">
              <w:rPr>
                <w:rFonts w:ascii="Arial" w:hAnsi="Arial" w:cs="Arial"/>
                <w:color w:val="auto"/>
                <w:sz w:val="24"/>
                <w:szCs w:val="24"/>
              </w:rPr>
              <w:t>;</w:t>
            </w:r>
            <w:r w:rsidR="00710815" w:rsidRPr="00237760">
              <w:rPr>
                <w:rFonts w:ascii="Arial" w:hAnsi="Arial" w:cs="Arial"/>
                <w:color w:val="auto"/>
                <w:sz w:val="24"/>
                <w:szCs w:val="24"/>
              </w:rPr>
              <w:t xml:space="preserve"> Starzenie się społeczeństwa i rosnąca liczba </w:t>
            </w:r>
            <w:r w:rsidR="00710815" w:rsidRPr="00237760">
              <w:rPr>
                <w:rFonts w:ascii="Arial" w:hAnsi="Arial" w:cs="Arial"/>
                <w:color w:val="auto"/>
                <w:sz w:val="24"/>
                <w:szCs w:val="24"/>
              </w:rPr>
              <w:lastRenderedPageBreak/>
              <w:t>osób w wieku poprodukcyjnym</w:t>
            </w:r>
            <w:r w:rsidRPr="00237760">
              <w:rPr>
                <w:rFonts w:ascii="Arial" w:hAnsi="Arial" w:cs="Arial"/>
                <w:color w:val="auto"/>
                <w:sz w:val="24"/>
                <w:szCs w:val="24"/>
              </w:rPr>
              <w:t>;</w:t>
            </w:r>
            <w:r w:rsidR="00710815" w:rsidRPr="00237760">
              <w:rPr>
                <w:rFonts w:ascii="Arial" w:hAnsi="Arial" w:cs="Arial"/>
                <w:color w:val="auto"/>
                <w:sz w:val="24"/>
                <w:szCs w:val="24"/>
              </w:rPr>
              <w:t xml:space="preserve"> Niedostateczne powiązanie południowej części regionu z infrastrukturą kolejową z Rzeszowem i z resztą kraju</w:t>
            </w:r>
            <w:r w:rsidRPr="00237760">
              <w:rPr>
                <w:rFonts w:ascii="Arial" w:hAnsi="Arial" w:cs="Arial"/>
                <w:color w:val="auto"/>
                <w:sz w:val="24"/>
                <w:szCs w:val="24"/>
              </w:rPr>
              <w:t>;</w:t>
            </w:r>
            <w:r w:rsidR="00710815" w:rsidRPr="00237760">
              <w:rPr>
                <w:rFonts w:ascii="Arial" w:hAnsi="Arial" w:cs="Arial"/>
                <w:color w:val="auto"/>
                <w:sz w:val="24"/>
                <w:szCs w:val="24"/>
              </w:rPr>
              <w:t xml:space="preserve"> Konieczność adaptacji już istniejącej infrastruktury transportowej do potrzeb wynikających z pojawiających się lub stwierdzonych uwarunkowań (wody powierzchniowe, występowanie osuwisk, zagrożenie powodziowe, obszary chronione, etc.)</w:t>
            </w:r>
            <w:r w:rsidRPr="00237760">
              <w:rPr>
                <w:rFonts w:ascii="Arial" w:hAnsi="Arial" w:cs="Arial"/>
                <w:color w:val="auto"/>
                <w:sz w:val="24"/>
                <w:szCs w:val="24"/>
              </w:rPr>
              <w:t>;</w:t>
            </w:r>
            <w:r w:rsidR="00710815" w:rsidRPr="00237760">
              <w:rPr>
                <w:rFonts w:ascii="Arial" w:hAnsi="Arial" w:cs="Arial"/>
                <w:color w:val="auto"/>
                <w:sz w:val="24"/>
                <w:szCs w:val="24"/>
              </w:rPr>
              <w:t xml:space="preserve"> Uwarunkowania przyrodnicze województwa podkarpackiego znacząco podnoszące koszty budowy nowej sieci transportowej</w:t>
            </w:r>
            <w:r w:rsidRPr="00237760">
              <w:rPr>
                <w:rFonts w:ascii="Arial" w:hAnsi="Arial" w:cs="Arial"/>
                <w:color w:val="auto"/>
                <w:sz w:val="24"/>
                <w:szCs w:val="24"/>
              </w:rPr>
              <w:t>;</w:t>
            </w:r>
            <w:r w:rsidR="00710815" w:rsidRPr="00237760">
              <w:rPr>
                <w:rFonts w:ascii="Arial" w:hAnsi="Arial" w:cs="Arial"/>
                <w:color w:val="auto"/>
                <w:sz w:val="24"/>
                <w:szCs w:val="24"/>
              </w:rPr>
              <w:t xml:space="preserve"> Duży odsetek dróg krajowych, wojewódzkich i powiatowych nie spełniających normatywu nośności</w:t>
            </w:r>
            <w:r w:rsidRPr="00237760">
              <w:rPr>
                <w:rFonts w:ascii="Arial" w:hAnsi="Arial" w:cs="Arial"/>
                <w:color w:val="auto"/>
                <w:sz w:val="24"/>
                <w:szCs w:val="24"/>
              </w:rPr>
              <w:t>;</w:t>
            </w:r>
            <w:r w:rsidR="00710815" w:rsidRPr="00237760">
              <w:rPr>
                <w:rFonts w:ascii="Arial" w:hAnsi="Arial" w:cs="Arial"/>
                <w:color w:val="auto"/>
                <w:sz w:val="24"/>
                <w:szCs w:val="24"/>
              </w:rPr>
              <w:t xml:space="preserve"> Rozproszenie zabudowy, głównie na terenach wiejskich </w:t>
            </w:r>
          </w:p>
        </w:tc>
      </w:tr>
      <w:tr w:rsidR="00237760" w:rsidRPr="00237760" w14:paraId="47E4B834" w14:textId="77777777" w:rsidTr="00F311FF">
        <w:trPr>
          <w:trHeight w:val="151"/>
        </w:trPr>
        <w:tc>
          <w:tcPr>
            <w:tcW w:w="1565"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1939EA9A"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lastRenderedPageBreak/>
              <w:t>Infrastruktura transportowa</w:t>
            </w:r>
          </w:p>
        </w:tc>
        <w:tc>
          <w:tcPr>
            <w:tcW w:w="734"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5DE9DA34"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w:t>
            </w:r>
          </w:p>
        </w:tc>
        <w:tc>
          <w:tcPr>
            <w:tcW w:w="825"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6F64E8EF"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w:t>
            </w:r>
          </w:p>
        </w:tc>
        <w:tc>
          <w:tcPr>
            <w:tcW w:w="5953"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3101BB7E" w14:textId="3BCAF28B" w:rsidR="00F311FF" w:rsidRPr="00237760" w:rsidRDefault="00F311FF" w:rsidP="009367B4">
            <w:pPr>
              <w:spacing w:after="0" w:line="240" w:lineRule="auto"/>
              <w:jc w:val="left"/>
              <w:rPr>
                <w:rFonts w:ascii="Arial" w:hAnsi="Arial" w:cs="Arial"/>
                <w:color w:val="auto"/>
                <w:sz w:val="24"/>
                <w:szCs w:val="24"/>
              </w:rPr>
            </w:pPr>
            <w:r w:rsidRPr="00237760">
              <w:rPr>
                <w:rFonts w:ascii="Arial" w:hAnsi="Arial" w:cs="Arial"/>
                <w:b/>
                <w:bCs/>
                <w:color w:val="auto"/>
                <w:sz w:val="24"/>
                <w:szCs w:val="24"/>
              </w:rPr>
              <w:t>Mocne strony</w:t>
            </w:r>
            <w:r w:rsidRPr="00237760">
              <w:rPr>
                <w:rFonts w:ascii="Arial" w:hAnsi="Arial" w:cs="Arial"/>
                <w:color w:val="auto"/>
                <w:sz w:val="24"/>
                <w:szCs w:val="24"/>
              </w:rPr>
              <w:t xml:space="preserve">: </w:t>
            </w:r>
            <w:r w:rsidR="00710815" w:rsidRPr="00237760">
              <w:rPr>
                <w:rFonts w:ascii="Arial" w:hAnsi="Arial" w:cs="Arial"/>
                <w:color w:val="auto"/>
                <w:sz w:val="24"/>
                <w:szCs w:val="24"/>
              </w:rPr>
              <w:t>Powiązanie układu komunikacyjnego województwa podkarpackiego z krajową i międzynarodową siecią TEN-T</w:t>
            </w:r>
            <w:r w:rsidRPr="00237760">
              <w:rPr>
                <w:rFonts w:ascii="Arial" w:hAnsi="Arial" w:cs="Arial"/>
                <w:color w:val="auto"/>
                <w:sz w:val="24"/>
                <w:szCs w:val="24"/>
              </w:rPr>
              <w:t>;</w:t>
            </w:r>
            <w:r w:rsidR="00710815" w:rsidRPr="00237760">
              <w:rPr>
                <w:rFonts w:ascii="Arial" w:hAnsi="Arial" w:cs="Arial"/>
                <w:color w:val="auto"/>
                <w:sz w:val="24"/>
                <w:szCs w:val="24"/>
              </w:rPr>
              <w:t xml:space="preserve"> Rozbudowana sieć międzypowiatowych połączeń autobusowych</w:t>
            </w:r>
            <w:r w:rsidRPr="00237760">
              <w:rPr>
                <w:rFonts w:ascii="Arial" w:hAnsi="Arial" w:cs="Arial"/>
                <w:color w:val="auto"/>
                <w:sz w:val="24"/>
                <w:szCs w:val="24"/>
              </w:rPr>
              <w:t>;</w:t>
            </w:r>
            <w:r w:rsidR="00710815" w:rsidRPr="00237760">
              <w:rPr>
                <w:rFonts w:ascii="Arial" w:hAnsi="Arial" w:cs="Arial"/>
                <w:color w:val="auto"/>
                <w:sz w:val="24"/>
                <w:szCs w:val="24"/>
              </w:rPr>
              <w:t xml:space="preserve"> Autostrada A4 oraz magistrala kolejowa E30, stanowiące główną oś komunikacyjną na kierunku wschód-zachód</w:t>
            </w:r>
            <w:r w:rsidRPr="00237760">
              <w:rPr>
                <w:rFonts w:ascii="Arial" w:hAnsi="Arial" w:cs="Arial"/>
                <w:color w:val="auto"/>
                <w:sz w:val="24"/>
                <w:szCs w:val="24"/>
              </w:rPr>
              <w:t>;</w:t>
            </w:r>
            <w:r w:rsidR="00710815" w:rsidRPr="00237760">
              <w:rPr>
                <w:rFonts w:ascii="Arial" w:hAnsi="Arial" w:cs="Arial"/>
                <w:color w:val="auto"/>
                <w:sz w:val="24"/>
                <w:szCs w:val="24"/>
              </w:rPr>
              <w:t xml:space="preserve"> Posiadanie międzynarodowego portu lotniczego Rzeszów-Jasionka</w:t>
            </w:r>
            <w:r w:rsidRPr="00237760">
              <w:rPr>
                <w:rFonts w:ascii="Arial" w:hAnsi="Arial" w:cs="Arial"/>
                <w:color w:val="auto"/>
                <w:sz w:val="24"/>
                <w:szCs w:val="24"/>
              </w:rPr>
              <w:t>;</w:t>
            </w:r>
            <w:r w:rsidR="00710815" w:rsidRPr="00237760">
              <w:rPr>
                <w:rFonts w:ascii="Arial" w:hAnsi="Arial" w:cs="Arial"/>
                <w:color w:val="auto"/>
                <w:sz w:val="24"/>
                <w:szCs w:val="24"/>
              </w:rPr>
              <w:t xml:space="preserve"> Potencjał portu lotniczego Rzeszów – Jasionka</w:t>
            </w:r>
            <w:r w:rsidRPr="00237760">
              <w:rPr>
                <w:rFonts w:ascii="Arial" w:hAnsi="Arial" w:cs="Arial"/>
                <w:color w:val="auto"/>
                <w:sz w:val="24"/>
                <w:szCs w:val="24"/>
              </w:rPr>
              <w:t>;</w:t>
            </w:r>
            <w:r w:rsidR="00710815" w:rsidRPr="00237760">
              <w:rPr>
                <w:rFonts w:ascii="Arial" w:hAnsi="Arial" w:cs="Arial"/>
                <w:color w:val="auto"/>
                <w:sz w:val="24"/>
                <w:szCs w:val="24"/>
              </w:rPr>
              <w:t xml:space="preserve"> Wysoka atrakcyjność turystyczna województwa</w:t>
            </w:r>
            <w:r w:rsidRPr="00237760">
              <w:rPr>
                <w:rFonts w:ascii="Arial" w:hAnsi="Arial" w:cs="Arial"/>
                <w:color w:val="auto"/>
                <w:sz w:val="24"/>
                <w:szCs w:val="24"/>
              </w:rPr>
              <w:t>;</w:t>
            </w:r>
            <w:r w:rsidR="00710815" w:rsidRPr="00237760">
              <w:rPr>
                <w:rFonts w:ascii="Arial" w:hAnsi="Arial" w:cs="Arial"/>
                <w:color w:val="auto"/>
                <w:sz w:val="24"/>
                <w:szCs w:val="24"/>
              </w:rPr>
              <w:t xml:space="preserve"> Rozwój demograficzny i gospodarczy ośrodka wojewódzkiego z obszarem powiązanym funkcjonalnie (ROF)</w:t>
            </w:r>
            <w:r w:rsidRPr="00237760">
              <w:rPr>
                <w:rFonts w:ascii="Arial" w:hAnsi="Arial" w:cs="Arial"/>
                <w:color w:val="auto"/>
                <w:sz w:val="24"/>
                <w:szCs w:val="24"/>
              </w:rPr>
              <w:t>;</w:t>
            </w:r>
          </w:p>
          <w:p w14:paraId="0D49162F" w14:textId="33E30FC0" w:rsidR="00710815" w:rsidRPr="00237760" w:rsidRDefault="00F311FF" w:rsidP="009367B4">
            <w:pPr>
              <w:spacing w:after="0" w:line="240" w:lineRule="auto"/>
              <w:jc w:val="left"/>
              <w:rPr>
                <w:rFonts w:ascii="Arial" w:hAnsi="Arial" w:cs="Arial"/>
                <w:color w:val="auto"/>
                <w:sz w:val="24"/>
                <w:szCs w:val="24"/>
              </w:rPr>
            </w:pPr>
            <w:r w:rsidRPr="00237760">
              <w:rPr>
                <w:rFonts w:ascii="Arial" w:hAnsi="Arial" w:cs="Arial"/>
                <w:b/>
                <w:bCs/>
                <w:color w:val="auto"/>
                <w:sz w:val="24"/>
                <w:szCs w:val="24"/>
              </w:rPr>
              <w:t>Słabe strony</w:t>
            </w:r>
            <w:r w:rsidRPr="00237760">
              <w:rPr>
                <w:rFonts w:ascii="Arial" w:hAnsi="Arial" w:cs="Arial"/>
                <w:color w:val="auto"/>
                <w:sz w:val="24"/>
                <w:szCs w:val="24"/>
              </w:rPr>
              <w:t xml:space="preserve">: </w:t>
            </w:r>
            <w:r w:rsidR="00710815" w:rsidRPr="00237760">
              <w:rPr>
                <w:rFonts w:ascii="Arial" w:hAnsi="Arial" w:cs="Arial"/>
                <w:color w:val="auto"/>
                <w:sz w:val="24"/>
                <w:szCs w:val="24"/>
              </w:rPr>
              <w:t>Jedna linia kolejowa o znaczeniu międzynarodowym</w:t>
            </w:r>
            <w:r w:rsidRPr="00237760">
              <w:rPr>
                <w:rFonts w:ascii="Arial" w:hAnsi="Arial" w:cs="Arial"/>
                <w:color w:val="auto"/>
                <w:sz w:val="24"/>
                <w:szCs w:val="24"/>
              </w:rPr>
              <w:t>;</w:t>
            </w:r>
            <w:r w:rsidR="00710815" w:rsidRPr="00237760">
              <w:rPr>
                <w:rFonts w:ascii="Arial" w:hAnsi="Arial" w:cs="Arial"/>
                <w:color w:val="auto"/>
                <w:sz w:val="24"/>
                <w:szCs w:val="24"/>
              </w:rPr>
              <w:t xml:space="preserve"> Niski poziom innowacyjności sieci i zastosowania inteligentnych systemów transportowych</w:t>
            </w:r>
            <w:r w:rsidRPr="00237760">
              <w:rPr>
                <w:rFonts w:ascii="Arial" w:hAnsi="Arial" w:cs="Arial"/>
                <w:color w:val="auto"/>
                <w:sz w:val="24"/>
                <w:szCs w:val="24"/>
              </w:rPr>
              <w:t>;</w:t>
            </w:r>
            <w:r w:rsidR="00710815" w:rsidRPr="00237760">
              <w:rPr>
                <w:rFonts w:ascii="Arial" w:hAnsi="Arial" w:cs="Arial"/>
                <w:color w:val="auto"/>
                <w:sz w:val="24"/>
                <w:szCs w:val="24"/>
              </w:rPr>
              <w:t xml:space="preserve"> Jedna linia kolejowa o znaczeniu międzynarodowym</w:t>
            </w:r>
            <w:r w:rsidRPr="00237760">
              <w:rPr>
                <w:rFonts w:ascii="Arial" w:hAnsi="Arial" w:cs="Arial"/>
                <w:color w:val="auto"/>
                <w:sz w:val="24"/>
                <w:szCs w:val="24"/>
              </w:rPr>
              <w:t>;</w:t>
            </w:r>
            <w:r w:rsidR="00710815" w:rsidRPr="00237760">
              <w:rPr>
                <w:rFonts w:ascii="Arial" w:hAnsi="Arial" w:cs="Arial"/>
                <w:color w:val="auto"/>
                <w:sz w:val="24"/>
                <w:szCs w:val="24"/>
              </w:rPr>
              <w:t xml:space="preserve"> Niewystarczająca obsługa transportowa (kolejowa i drogowa) północnej i północno-zachodniej części województwa, skupiających największą produkcję przemysłową, w tym eksportową</w:t>
            </w:r>
            <w:r w:rsidRPr="00237760">
              <w:rPr>
                <w:rFonts w:ascii="Arial" w:hAnsi="Arial" w:cs="Arial"/>
                <w:color w:val="auto"/>
                <w:sz w:val="24"/>
                <w:szCs w:val="24"/>
              </w:rPr>
              <w:t>;</w:t>
            </w:r>
            <w:r w:rsidR="00710815" w:rsidRPr="00237760">
              <w:rPr>
                <w:rFonts w:ascii="Arial" w:hAnsi="Arial" w:cs="Arial"/>
                <w:color w:val="auto"/>
                <w:sz w:val="24"/>
                <w:szCs w:val="24"/>
              </w:rPr>
              <w:t xml:space="preserve"> Starzenie się społeczeństwa i rosnąca liczba osób w wieku poprodukcyjnym</w:t>
            </w:r>
            <w:r w:rsidRPr="00237760">
              <w:rPr>
                <w:rFonts w:ascii="Arial" w:hAnsi="Arial" w:cs="Arial"/>
                <w:color w:val="auto"/>
                <w:sz w:val="24"/>
                <w:szCs w:val="24"/>
              </w:rPr>
              <w:t>;</w:t>
            </w:r>
            <w:r w:rsidR="00710815" w:rsidRPr="00237760">
              <w:rPr>
                <w:rFonts w:ascii="Arial" w:hAnsi="Arial" w:cs="Arial"/>
                <w:color w:val="auto"/>
                <w:sz w:val="24"/>
                <w:szCs w:val="24"/>
              </w:rPr>
              <w:t xml:space="preserve"> Obszary peryferyjne wewnątrz województwa (w szczególności południowe i północno-wschodnie części województwa)</w:t>
            </w:r>
            <w:r w:rsidRPr="00237760">
              <w:rPr>
                <w:rFonts w:ascii="Arial" w:hAnsi="Arial" w:cs="Arial"/>
                <w:color w:val="auto"/>
                <w:sz w:val="24"/>
                <w:szCs w:val="24"/>
              </w:rPr>
              <w:t>;</w:t>
            </w:r>
            <w:r w:rsidR="00710815" w:rsidRPr="00237760">
              <w:rPr>
                <w:rFonts w:ascii="Arial" w:hAnsi="Arial" w:cs="Arial"/>
                <w:color w:val="auto"/>
                <w:sz w:val="24"/>
                <w:szCs w:val="24"/>
              </w:rPr>
              <w:t xml:space="preserve"> Niedostateczne powiązanie </w:t>
            </w:r>
            <w:r w:rsidR="00710815" w:rsidRPr="00237760">
              <w:rPr>
                <w:rFonts w:ascii="Arial" w:hAnsi="Arial" w:cs="Arial"/>
                <w:color w:val="auto"/>
                <w:sz w:val="24"/>
                <w:szCs w:val="24"/>
              </w:rPr>
              <w:lastRenderedPageBreak/>
              <w:t>południowej i północno-wschodniej części regionu, infrastrukturą drogową o wysokich parametrach technicznych z Rzeszowem</w:t>
            </w:r>
            <w:r w:rsidRPr="00237760">
              <w:rPr>
                <w:rFonts w:ascii="Arial" w:hAnsi="Arial" w:cs="Arial"/>
                <w:color w:val="auto"/>
                <w:sz w:val="24"/>
                <w:szCs w:val="24"/>
              </w:rPr>
              <w:t>;</w:t>
            </w:r>
            <w:r w:rsidR="00710815" w:rsidRPr="00237760">
              <w:rPr>
                <w:rFonts w:ascii="Arial" w:hAnsi="Arial" w:cs="Arial"/>
                <w:color w:val="auto"/>
                <w:sz w:val="24"/>
                <w:szCs w:val="24"/>
              </w:rPr>
              <w:t xml:space="preserve"> Duży odsetek dróg krajowych, wojewódzkich i powiatowych nie spełniających normatywu nośności</w:t>
            </w:r>
            <w:r w:rsidRPr="00237760">
              <w:rPr>
                <w:rFonts w:ascii="Arial" w:hAnsi="Arial" w:cs="Arial"/>
                <w:color w:val="auto"/>
                <w:sz w:val="24"/>
                <w:szCs w:val="24"/>
              </w:rPr>
              <w:t>;</w:t>
            </w:r>
            <w:r w:rsidR="00710815" w:rsidRPr="00237760">
              <w:rPr>
                <w:rFonts w:ascii="Arial" w:hAnsi="Arial" w:cs="Arial"/>
                <w:color w:val="auto"/>
                <w:sz w:val="24"/>
                <w:szCs w:val="24"/>
              </w:rPr>
              <w:t xml:space="preserve"> Peryferyjne położenie województwa względem centralnej Polski</w:t>
            </w:r>
            <w:r w:rsidRPr="00237760">
              <w:rPr>
                <w:rFonts w:ascii="Arial" w:hAnsi="Arial" w:cs="Arial"/>
                <w:color w:val="auto"/>
                <w:sz w:val="24"/>
                <w:szCs w:val="24"/>
              </w:rPr>
              <w:t>;</w:t>
            </w:r>
            <w:r w:rsidR="00710815" w:rsidRPr="00237760">
              <w:rPr>
                <w:rFonts w:ascii="Arial" w:hAnsi="Arial" w:cs="Arial"/>
                <w:color w:val="auto"/>
                <w:sz w:val="24"/>
                <w:szCs w:val="24"/>
              </w:rPr>
              <w:t xml:space="preserve"> Brak spójnej sieci połączonych ze sobą tras rowerowych województwa o jednolitych parametrach</w:t>
            </w:r>
            <w:r w:rsidRPr="00237760">
              <w:rPr>
                <w:rFonts w:ascii="Arial" w:hAnsi="Arial" w:cs="Arial"/>
                <w:color w:val="auto"/>
                <w:sz w:val="24"/>
                <w:szCs w:val="24"/>
              </w:rPr>
              <w:t>;</w:t>
            </w:r>
            <w:r w:rsidR="00710815" w:rsidRPr="00237760">
              <w:rPr>
                <w:rFonts w:ascii="Arial" w:hAnsi="Arial" w:cs="Arial"/>
                <w:color w:val="auto"/>
                <w:sz w:val="24"/>
                <w:szCs w:val="24"/>
              </w:rPr>
              <w:t xml:space="preserve"> Niedostateczne powiązanie południowo-zachodniej części regionu infrastrukturą drogową wyższego rzędu z autostradą A4, a tym samym z resztą kraju (węzeł Pilzno na A4)</w:t>
            </w:r>
            <w:r w:rsidRPr="00237760">
              <w:rPr>
                <w:rFonts w:ascii="Arial" w:hAnsi="Arial" w:cs="Arial"/>
                <w:color w:val="auto"/>
                <w:sz w:val="24"/>
                <w:szCs w:val="24"/>
              </w:rPr>
              <w:t>;</w:t>
            </w:r>
            <w:r w:rsidR="00710815" w:rsidRPr="00237760">
              <w:rPr>
                <w:rFonts w:ascii="Arial" w:hAnsi="Arial" w:cs="Arial"/>
                <w:color w:val="auto"/>
                <w:sz w:val="24"/>
                <w:szCs w:val="24"/>
              </w:rPr>
              <w:t xml:space="preserve"> Niekorzystna i utrzymująca się struktura gałęziowa przewozów z dominującym i wciąż rosnącym udziałem transportu drogowego</w:t>
            </w:r>
            <w:r w:rsidRPr="00237760">
              <w:rPr>
                <w:rFonts w:ascii="Arial" w:hAnsi="Arial" w:cs="Arial"/>
                <w:color w:val="auto"/>
                <w:sz w:val="24"/>
                <w:szCs w:val="24"/>
              </w:rPr>
              <w:t>;</w:t>
            </w:r>
            <w:r w:rsidR="00710815" w:rsidRPr="00237760">
              <w:rPr>
                <w:rFonts w:ascii="Arial" w:hAnsi="Arial" w:cs="Arial"/>
                <w:color w:val="auto"/>
                <w:sz w:val="24"/>
                <w:szCs w:val="24"/>
              </w:rPr>
              <w:t xml:space="preserve"> Asymetria popytu na transport (głównie transport samochodowy)</w:t>
            </w:r>
            <w:r w:rsidRPr="00237760">
              <w:rPr>
                <w:rFonts w:ascii="Arial" w:hAnsi="Arial" w:cs="Arial"/>
                <w:color w:val="auto"/>
                <w:sz w:val="24"/>
                <w:szCs w:val="24"/>
              </w:rPr>
              <w:t>;</w:t>
            </w:r>
            <w:r w:rsidR="00710815" w:rsidRPr="00237760">
              <w:rPr>
                <w:rFonts w:ascii="Arial" w:hAnsi="Arial" w:cs="Arial"/>
                <w:color w:val="auto"/>
                <w:sz w:val="24"/>
                <w:szCs w:val="24"/>
              </w:rPr>
              <w:t xml:space="preserve"> Wysokie obciążenie dla środowiska naturalnego zwłaszcza ze strony transportu samochodowego</w:t>
            </w:r>
            <w:r w:rsidRPr="00237760">
              <w:rPr>
                <w:rFonts w:ascii="Arial" w:hAnsi="Arial" w:cs="Arial"/>
                <w:color w:val="auto"/>
                <w:sz w:val="24"/>
                <w:szCs w:val="24"/>
              </w:rPr>
              <w:t>;</w:t>
            </w:r>
            <w:r w:rsidR="00710815" w:rsidRPr="00237760">
              <w:rPr>
                <w:rFonts w:ascii="Arial" w:hAnsi="Arial" w:cs="Arial"/>
                <w:color w:val="auto"/>
                <w:sz w:val="24"/>
                <w:szCs w:val="24"/>
              </w:rPr>
              <w:t xml:space="preserve"> </w:t>
            </w:r>
          </w:p>
        </w:tc>
      </w:tr>
      <w:tr w:rsidR="00237760" w:rsidRPr="00237760" w14:paraId="7440E6F7" w14:textId="77777777" w:rsidTr="00F311FF">
        <w:trPr>
          <w:trHeight w:val="151"/>
        </w:trPr>
        <w:tc>
          <w:tcPr>
            <w:tcW w:w="1565"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2C7B8666"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lastRenderedPageBreak/>
              <w:t>System transportowy województwa podkarpackiego w układach przestrzennych</w:t>
            </w:r>
          </w:p>
        </w:tc>
        <w:tc>
          <w:tcPr>
            <w:tcW w:w="734"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19DFB2ED"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w:t>
            </w:r>
          </w:p>
        </w:tc>
        <w:tc>
          <w:tcPr>
            <w:tcW w:w="825"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35DFE698"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w:t>
            </w:r>
          </w:p>
        </w:tc>
        <w:tc>
          <w:tcPr>
            <w:tcW w:w="5953"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0064FD35" w14:textId="20FF5B86" w:rsidR="00F311FF" w:rsidRPr="00237760" w:rsidRDefault="00F311FF" w:rsidP="009367B4">
            <w:pPr>
              <w:spacing w:after="0" w:line="240" w:lineRule="auto"/>
              <w:jc w:val="left"/>
              <w:rPr>
                <w:rFonts w:ascii="Arial" w:hAnsi="Arial" w:cs="Arial"/>
                <w:color w:val="auto"/>
                <w:sz w:val="24"/>
                <w:szCs w:val="24"/>
              </w:rPr>
            </w:pPr>
            <w:r w:rsidRPr="00237760">
              <w:rPr>
                <w:rFonts w:ascii="Arial" w:hAnsi="Arial" w:cs="Arial"/>
                <w:b/>
                <w:bCs/>
                <w:color w:val="auto"/>
                <w:sz w:val="24"/>
                <w:szCs w:val="24"/>
              </w:rPr>
              <w:t>Mocne strony</w:t>
            </w:r>
            <w:r w:rsidRPr="00237760">
              <w:rPr>
                <w:rFonts w:ascii="Arial" w:hAnsi="Arial" w:cs="Arial"/>
                <w:color w:val="auto"/>
                <w:sz w:val="24"/>
                <w:szCs w:val="24"/>
              </w:rPr>
              <w:t xml:space="preserve">: </w:t>
            </w:r>
            <w:r w:rsidR="00710815" w:rsidRPr="00237760">
              <w:rPr>
                <w:rFonts w:ascii="Arial" w:hAnsi="Arial" w:cs="Arial"/>
                <w:color w:val="auto"/>
                <w:sz w:val="24"/>
                <w:szCs w:val="24"/>
              </w:rPr>
              <w:t>Powiązanie układu komunikacyjnego województwa podkarpackiego z krajową i międzynarodową siecią TEN-T</w:t>
            </w:r>
            <w:r w:rsidRPr="00237760">
              <w:rPr>
                <w:rFonts w:ascii="Arial" w:hAnsi="Arial" w:cs="Arial"/>
                <w:color w:val="auto"/>
                <w:sz w:val="24"/>
                <w:szCs w:val="24"/>
              </w:rPr>
              <w:t>;</w:t>
            </w:r>
            <w:r w:rsidR="00710815" w:rsidRPr="00237760">
              <w:rPr>
                <w:rFonts w:ascii="Arial" w:hAnsi="Arial" w:cs="Arial"/>
                <w:color w:val="auto"/>
                <w:sz w:val="24"/>
                <w:szCs w:val="24"/>
              </w:rPr>
              <w:t xml:space="preserve"> Policentryczny układ sieci osadniczej województwa podkarpackiego</w:t>
            </w:r>
            <w:r w:rsidRPr="00237760">
              <w:rPr>
                <w:rFonts w:ascii="Arial" w:hAnsi="Arial" w:cs="Arial"/>
                <w:color w:val="auto"/>
                <w:sz w:val="24"/>
                <w:szCs w:val="24"/>
              </w:rPr>
              <w:t>;</w:t>
            </w:r>
            <w:r w:rsidR="00710815" w:rsidRPr="00237760">
              <w:rPr>
                <w:rFonts w:ascii="Arial" w:hAnsi="Arial" w:cs="Arial"/>
                <w:color w:val="auto"/>
                <w:sz w:val="24"/>
                <w:szCs w:val="24"/>
              </w:rPr>
              <w:t xml:space="preserve"> Autostrada A4 oraz magistrala kolejowa E30, stanowiące główną oś komunikacyjną na kierunku wschód-zachód</w:t>
            </w:r>
            <w:r w:rsidRPr="00237760">
              <w:rPr>
                <w:rFonts w:ascii="Arial" w:hAnsi="Arial" w:cs="Arial"/>
                <w:color w:val="auto"/>
                <w:sz w:val="24"/>
                <w:szCs w:val="24"/>
              </w:rPr>
              <w:t>;</w:t>
            </w:r>
            <w:r w:rsidR="00710815" w:rsidRPr="00237760">
              <w:rPr>
                <w:rFonts w:ascii="Arial" w:hAnsi="Arial" w:cs="Arial"/>
                <w:color w:val="auto"/>
                <w:sz w:val="24"/>
                <w:szCs w:val="24"/>
              </w:rPr>
              <w:t xml:space="preserve"> Dostępność transportowa biegunów wzrostu położonych wzdłuż autostrady A4 (Dębica, Rzeszów, Przeworsk-Jarosław, Przemyśl)</w:t>
            </w:r>
            <w:r w:rsidRPr="00237760">
              <w:rPr>
                <w:rFonts w:ascii="Arial" w:hAnsi="Arial" w:cs="Arial"/>
                <w:color w:val="auto"/>
                <w:sz w:val="24"/>
                <w:szCs w:val="24"/>
              </w:rPr>
              <w:t>;</w:t>
            </w:r>
            <w:r w:rsidR="00710815" w:rsidRPr="00237760">
              <w:rPr>
                <w:rFonts w:ascii="Arial" w:hAnsi="Arial" w:cs="Arial"/>
                <w:color w:val="auto"/>
                <w:sz w:val="24"/>
                <w:szCs w:val="24"/>
              </w:rPr>
              <w:t xml:space="preserve"> Wysoka atrakcyjność turystyczna województwa </w:t>
            </w:r>
            <w:r w:rsidRPr="00237760">
              <w:rPr>
                <w:rFonts w:ascii="Arial" w:hAnsi="Arial" w:cs="Arial"/>
                <w:color w:val="auto"/>
                <w:sz w:val="24"/>
                <w:szCs w:val="24"/>
              </w:rPr>
              <w:t>;</w:t>
            </w:r>
            <w:r w:rsidR="00710815" w:rsidRPr="00237760">
              <w:rPr>
                <w:rFonts w:ascii="Arial" w:hAnsi="Arial" w:cs="Arial"/>
                <w:color w:val="auto"/>
                <w:sz w:val="24"/>
                <w:szCs w:val="24"/>
              </w:rPr>
              <w:t xml:space="preserve"> Posiadanie międzynarodowego portu lotniczego Rzeszów-Jasionka</w:t>
            </w:r>
            <w:r w:rsidRPr="00237760">
              <w:rPr>
                <w:rFonts w:ascii="Arial" w:hAnsi="Arial" w:cs="Arial"/>
                <w:color w:val="auto"/>
                <w:sz w:val="24"/>
                <w:szCs w:val="24"/>
              </w:rPr>
              <w:t>;</w:t>
            </w:r>
            <w:r w:rsidR="00710815" w:rsidRPr="00237760">
              <w:rPr>
                <w:rFonts w:ascii="Arial" w:hAnsi="Arial" w:cs="Arial"/>
                <w:color w:val="auto"/>
                <w:sz w:val="24"/>
                <w:szCs w:val="24"/>
              </w:rPr>
              <w:t xml:space="preserve"> Potencjał portu lotniczego Rzeszów – Jasionka</w:t>
            </w:r>
            <w:r w:rsidRPr="00237760">
              <w:rPr>
                <w:rFonts w:ascii="Arial" w:hAnsi="Arial" w:cs="Arial"/>
                <w:color w:val="auto"/>
                <w:sz w:val="24"/>
                <w:szCs w:val="24"/>
              </w:rPr>
              <w:t>;</w:t>
            </w:r>
            <w:r w:rsidR="00710815" w:rsidRPr="00237760">
              <w:rPr>
                <w:rFonts w:ascii="Arial" w:hAnsi="Arial" w:cs="Arial"/>
                <w:color w:val="auto"/>
                <w:sz w:val="24"/>
                <w:szCs w:val="24"/>
              </w:rPr>
              <w:t xml:space="preserve"> Rozwój demograficzny i gospodarczy ośrodka wojewódzkiego z obszarem powiązanym funkcjonalnie (ROF)</w:t>
            </w:r>
            <w:r w:rsidRPr="00237760">
              <w:rPr>
                <w:rFonts w:ascii="Arial" w:hAnsi="Arial" w:cs="Arial"/>
                <w:color w:val="auto"/>
                <w:sz w:val="24"/>
                <w:szCs w:val="24"/>
              </w:rPr>
              <w:t>;</w:t>
            </w:r>
          </w:p>
          <w:p w14:paraId="699E2D68" w14:textId="3F478BA5" w:rsidR="00710815" w:rsidRPr="00237760" w:rsidRDefault="00F311FF" w:rsidP="009367B4">
            <w:pPr>
              <w:spacing w:after="0" w:line="240" w:lineRule="auto"/>
              <w:jc w:val="left"/>
              <w:rPr>
                <w:rFonts w:ascii="Arial" w:hAnsi="Arial" w:cs="Arial"/>
                <w:color w:val="auto"/>
                <w:sz w:val="24"/>
                <w:szCs w:val="24"/>
              </w:rPr>
            </w:pPr>
            <w:r w:rsidRPr="00237760">
              <w:rPr>
                <w:rFonts w:ascii="Arial" w:hAnsi="Arial" w:cs="Arial"/>
                <w:b/>
                <w:bCs/>
                <w:color w:val="auto"/>
                <w:sz w:val="24"/>
                <w:szCs w:val="24"/>
              </w:rPr>
              <w:t>Słabe strony</w:t>
            </w:r>
            <w:r w:rsidRPr="00237760">
              <w:rPr>
                <w:rFonts w:ascii="Arial" w:hAnsi="Arial" w:cs="Arial"/>
                <w:color w:val="auto"/>
                <w:sz w:val="24"/>
                <w:szCs w:val="24"/>
              </w:rPr>
              <w:t xml:space="preserve">: </w:t>
            </w:r>
            <w:r w:rsidR="00710815" w:rsidRPr="00237760">
              <w:rPr>
                <w:rFonts w:ascii="Arial" w:hAnsi="Arial" w:cs="Arial"/>
                <w:color w:val="auto"/>
                <w:sz w:val="24"/>
                <w:szCs w:val="24"/>
              </w:rPr>
              <w:t>Peryferyjne położenie województwa względem centralnej Polski</w:t>
            </w:r>
            <w:r w:rsidRPr="00237760">
              <w:rPr>
                <w:rFonts w:ascii="Arial" w:hAnsi="Arial" w:cs="Arial"/>
                <w:color w:val="auto"/>
                <w:sz w:val="24"/>
                <w:szCs w:val="24"/>
              </w:rPr>
              <w:t>;</w:t>
            </w:r>
            <w:r w:rsidR="00710815" w:rsidRPr="00237760">
              <w:rPr>
                <w:rFonts w:ascii="Arial" w:hAnsi="Arial" w:cs="Arial"/>
                <w:color w:val="auto"/>
                <w:sz w:val="24"/>
                <w:szCs w:val="24"/>
              </w:rPr>
              <w:t xml:space="preserve"> Uwarunkowania przyrodnicze województwa podkarpackiego znacząco podnoszące koszty budowy nowej sieci transportowej</w:t>
            </w:r>
            <w:r w:rsidRPr="00237760">
              <w:rPr>
                <w:rFonts w:ascii="Arial" w:hAnsi="Arial" w:cs="Arial"/>
                <w:color w:val="auto"/>
                <w:sz w:val="24"/>
                <w:szCs w:val="24"/>
              </w:rPr>
              <w:t>;</w:t>
            </w:r>
            <w:r w:rsidR="00710815" w:rsidRPr="00237760">
              <w:rPr>
                <w:rFonts w:ascii="Arial" w:hAnsi="Arial" w:cs="Arial"/>
                <w:color w:val="auto"/>
                <w:sz w:val="24"/>
                <w:szCs w:val="24"/>
              </w:rPr>
              <w:t xml:space="preserve"> Jedna linia kolejowa </w:t>
            </w:r>
            <w:r w:rsidR="00C605B2" w:rsidRPr="00237760">
              <w:rPr>
                <w:rFonts w:ascii="Arial" w:hAnsi="Arial" w:cs="Arial"/>
                <w:color w:val="auto"/>
                <w:sz w:val="24"/>
                <w:szCs w:val="24"/>
              </w:rPr>
              <w:br/>
            </w:r>
            <w:r w:rsidR="00710815" w:rsidRPr="00237760">
              <w:rPr>
                <w:rFonts w:ascii="Arial" w:hAnsi="Arial" w:cs="Arial"/>
                <w:color w:val="auto"/>
                <w:sz w:val="24"/>
                <w:szCs w:val="24"/>
              </w:rPr>
              <w:t>o znaczeniu międzynarodowym</w:t>
            </w:r>
            <w:r w:rsidRPr="00237760">
              <w:rPr>
                <w:rFonts w:ascii="Arial" w:hAnsi="Arial" w:cs="Arial"/>
                <w:color w:val="auto"/>
                <w:sz w:val="24"/>
                <w:szCs w:val="24"/>
              </w:rPr>
              <w:t>;</w:t>
            </w:r>
            <w:r w:rsidR="00710815" w:rsidRPr="00237760">
              <w:rPr>
                <w:rFonts w:ascii="Arial" w:hAnsi="Arial" w:cs="Arial"/>
                <w:color w:val="auto"/>
                <w:sz w:val="24"/>
                <w:szCs w:val="24"/>
              </w:rPr>
              <w:t xml:space="preserve">  Niedostateczne powiązanie południowo-</w:t>
            </w:r>
            <w:r w:rsidR="00710815" w:rsidRPr="00237760">
              <w:rPr>
                <w:rFonts w:ascii="Arial" w:hAnsi="Arial" w:cs="Arial"/>
                <w:color w:val="auto"/>
                <w:sz w:val="24"/>
                <w:szCs w:val="24"/>
              </w:rPr>
              <w:lastRenderedPageBreak/>
              <w:t>zachodniej części regionu infrastrukturą drogową wyższego rzędu z autostradą A4, a tym samym z resztą kraju (węzeł Pilzno na A4)</w:t>
            </w:r>
            <w:r w:rsidRPr="00237760">
              <w:rPr>
                <w:rFonts w:ascii="Arial" w:hAnsi="Arial" w:cs="Arial"/>
                <w:color w:val="auto"/>
                <w:sz w:val="24"/>
                <w:szCs w:val="24"/>
              </w:rPr>
              <w:t>;</w:t>
            </w:r>
            <w:r w:rsidR="00710815" w:rsidRPr="00237760">
              <w:rPr>
                <w:rFonts w:ascii="Arial" w:hAnsi="Arial" w:cs="Arial"/>
                <w:color w:val="auto"/>
                <w:sz w:val="24"/>
                <w:szCs w:val="24"/>
              </w:rPr>
              <w:t xml:space="preserve"> Obszary peryferyjne wewnątrz województwa (w szczególności południowe i północno-wschodnie części województwa)</w:t>
            </w:r>
            <w:r w:rsidRPr="00237760">
              <w:rPr>
                <w:rFonts w:ascii="Arial" w:hAnsi="Arial" w:cs="Arial"/>
                <w:color w:val="auto"/>
                <w:sz w:val="24"/>
                <w:szCs w:val="24"/>
              </w:rPr>
              <w:t>;</w:t>
            </w:r>
            <w:r w:rsidR="00710815" w:rsidRPr="00237760">
              <w:rPr>
                <w:rFonts w:ascii="Arial" w:hAnsi="Arial" w:cs="Arial"/>
                <w:color w:val="auto"/>
                <w:sz w:val="24"/>
                <w:szCs w:val="24"/>
              </w:rPr>
              <w:t xml:space="preserve"> Niedostateczne powiązanie południowej części regionu</w:t>
            </w:r>
            <w:r w:rsidR="00931674">
              <w:rPr>
                <w:rFonts w:ascii="Arial" w:hAnsi="Arial" w:cs="Arial"/>
                <w:color w:val="auto"/>
                <w:sz w:val="24"/>
                <w:szCs w:val="24"/>
              </w:rPr>
              <w:t xml:space="preserve"> </w:t>
            </w:r>
            <w:r w:rsidR="00710815" w:rsidRPr="00237760">
              <w:rPr>
                <w:rFonts w:ascii="Arial" w:hAnsi="Arial" w:cs="Arial"/>
                <w:color w:val="auto"/>
                <w:sz w:val="24"/>
                <w:szCs w:val="24"/>
              </w:rPr>
              <w:t>z infrastrukturą kolejową z Rzeszowem i z resztą kraju</w:t>
            </w:r>
            <w:r w:rsidRPr="00237760">
              <w:rPr>
                <w:rFonts w:ascii="Arial" w:hAnsi="Arial" w:cs="Arial"/>
                <w:color w:val="auto"/>
                <w:sz w:val="24"/>
                <w:szCs w:val="24"/>
              </w:rPr>
              <w:t>;</w:t>
            </w:r>
            <w:r w:rsidR="00710815" w:rsidRPr="00237760">
              <w:rPr>
                <w:rFonts w:ascii="Arial" w:hAnsi="Arial" w:cs="Arial"/>
                <w:color w:val="auto"/>
                <w:sz w:val="24"/>
                <w:szCs w:val="24"/>
              </w:rPr>
              <w:t xml:space="preserve"> Niekorzystna i utrzymująca się struktura gałęziowa przewozów z dominującym i wciąż rosnącym udziałem transportu drogowego</w:t>
            </w:r>
            <w:r w:rsidRPr="00237760">
              <w:rPr>
                <w:rFonts w:ascii="Arial" w:hAnsi="Arial" w:cs="Arial"/>
                <w:color w:val="auto"/>
                <w:sz w:val="24"/>
                <w:szCs w:val="24"/>
              </w:rPr>
              <w:t>;</w:t>
            </w:r>
            <w:r w:rsidR="00710815" w:rsidRPr="00237760">
              <w:rPr>
                <w:rFonts w:ascii="Arial" w:hAnsi="Arial" w:cs="Arial"/>
                <w:color w:val="auto"/>
                <w:sz w:val="24"/>
                <w:szCs w:val="24"/>
              </w:rPr>
              <w:t xml:space="preserve"> Asymetria popytu na transport (głównie transport samochodowy)</w:t>
            </w:r>
            <w:r w:rsidRPr="00237760">
              <w:rPr>
                <w:rFonts w:ascii="Arial" w:hAnsi="Arial" w:cs="Arial"/>
                <w:color w:val="auto"/>
                <w:sz w:val="24"/>
                <w:szCs w:val="24"/>
              </w:rPr>
              <w:t>;</w:t>
            </w:r>
            <w:r w:rsidR="00710815" w:rsidRPr="00237760">
              <w:rPr>
                <w:rFonts w:ascii="Arial" w:hAnsi="Arial" w:cs="Arial"/>
                <w:color w:val="auto"/>
                <w:sz w:val="24"/>
                <w:szCs w:val="24"/>
              </w:rPr>
              <w:t xml:space="preserve"> Niski poziom innowacyjności sieci i zastosowania inteligentnych systemów transportowych</w:t>
            </w:r>
            <w:r w:rsidRPr="00237760">
              <w:rPr>
                <w:rFonts w:ascii="Arial" w:hAnsi="Arial" w:cs="Arial"/>
                <w:color w:val="auto"/>
                <w:sz w:val="24"/>
                <w:szCs w:val="24"/>
              </w:rPr>
              <w:t>;</w:t>
            </w:r>
            <w:r w:rsidR="00710815" w:rsidRPr="00237760">
              <w:rPr>
                <w:rFonts w:ascii="Arial" w:hAnsi="Arial" w:cs="Arial"/>
                <w:color w:val="auto"/>
                <w:sz w:val="24"/>
                <w:szCs w:val="24"/>
              </w:rPr>
              <w:t xml:space="preserve"> Brak spójnej sieci połączonych ze sobą tras rowerowych województwa o jednolitych parametrach</w:t>
            </w:r>
            <w:r w:rsidRPr="00237760">
              <w:rPr>
                <w:rFonts w:ascii="Arial" w:hAnsi="Arial" w:cs="Arial"/>
                <w:color w:val="auto"/>
                <w:sz w:val="24"/>
                <w:szCs w:val="24"/>
              </w:rPr>
              <w:t>;</w:t>
            </w:r>
            <w:r w:rsidR="00710815" w:rsidRPr="00237760">
              <w:rPr>
                <w:rFonts w:ascii="Arial" w:hAnsi="Arial" w:cs="Arial"/>
                <w:color w:val="auto"/>
                <w:sz w:val="24"/>
                <w:szCs w:val="24"/>
              </w:rPr>
              <w:t xml:space="preserve"> Starzenie się społeczeństwa i rosnąca liczba osób w wieku poprodukcyjnym</w:t>
            </w:r>
            <w:r w:rsidRPr="00237760">
              <w:rPr>
                <w:rFonts w:ascii="Arial" w:hAnsi="Arial" w:cs="Arial"/>
                <w:color w:val="auto"/>
                <w:sz w:val="24"/>
                <w:szCs w:val="24"/>
              </w:rPr>
              <w:t>;</w:t>
            </w:r>
            <w:r w:rsidR="00710815" w:rsidRPr="00237760">
              <w:rPr>
                <w:rFonts w:ascii="Arial" w:hAnsi="Arial" w:cs="Arial"/>
                <w:color w:val="auto"/>
                <w:sz w:val="24"/>
                <w:szCs w:val="24"/>
              </w:rPr>
              <w:t xml:space="preserve"> </w:t>
            </w:r>
          </w:p>
        </w:tc>
      </w:tr>
      <w:tr w:rsidR="00237760" w:rsidRPr="00237760" w14:paraId="47170768" w14:textId="77777777" w:rsidTr="00F311FF">
        <w:trPr>
          <w:trHeight w:val="151"/>
        </w:trPr>
        <w:tc>
          <w:tcPr>
            <w:tcW w:w="1565"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78E9790E"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lastRenderedPageBreak/>
              <w:t>Przepływy w sieci transportowej</w:t>
            </w:r>
          </w:p>
        </w:tc>
        <w:tc>
          <w:tcPr>
            <w:tcW w:w="734"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2FD5FA82"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w:t>
            </w:r>
          </w:p>
        </w:tc>
        <w:tc>
          <w:tcPr>
            <w:tcW w:w="825"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3EF820C6"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w:t>
            </w:r>
          </w:p>
        </w:tc>
        <w:tc>
          <w:tcPr>
            <w:tcW w:w="5953"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507286CA" w14:textId="19A9486C" w:rsidR="00F311FF" w:rsidRPr="00237760" w:rsidRDefault="00F311FF" w:rsidP="009367B4">
            <w:pPr>
              <w:spacing w:after="0" w:line="240" w:lineRule="auto"/>
              <w:jc w:val="left"/>
              <w:rPr>
                <w:rFonts w:ascii="Arial" w:hAnsi="Arial" w:cs="Arial"/>
                <w:color w:val="auto"/>
                <w:sz w:val="24"/>
                <w:szCs w:val="24"/>
              </w:rPr>
            </w:pPr>
            <w:r w:rsidRPr="00237760">
              <w:rPr>
                <w:rFonts w:ascii="Arial" w:hAnsi="Arial" w:cs="Arial"/>
                <w:b/>
                <w:bCs/>
                <w:color w:val="auto"/>
                <w:sz w:val="24"/>
                <w:szCs w:val="24"/>
              </w:rPr>
              <w:t>Mocne strony</w:t>
            </w:r>
            <w:r w:rsidRPr="00237760">
              <w:rPr>
                <w:rFonts w:ascii="Arial" w:hAnsi="Arial" w:cs="Arial"/>
                <w:color w:val="auto"/>
                <w:sz w:val="24"/>
                <w:szCs w:val="24"/>
              </w:rPr>
              <w:t xml:space="preserve">: </w:t>
            </w:r>
            <w:r w:rsidR="00710815" w:rsidRPr="00237760">
              <w:rPr>
                <w:rFonts w:ascii="Arial" w:hAnsi="Arial" w:cs="Arial"/>
                <w:color w:val="auto"/>
                <w:sz w:val="24"/>
                <w:szCs w:val="24"/>
              </w:rPr>
              <w:t>Policentryczny układ sieci osadniczej województwa podkarpackiego</w:t>
            </w:r>
            <w:r w:rsidRPr="00237760">
              <w:rPr>
                <w:rFonts w:ascii="Arial" w:hAnsi="Arial" w:cs="Arial"/>
                <w:color w:val="auto"/>
                <w:sz w:val="24"/>
                <w:szCs w:val="24"/>
              </w:rPr>
              <w:t>;</w:t>
            </w:r>
            <w:r w:rsidR="00710815" w:rsidRPr="00237760">
              <w:rPr>
                <w:rFonts w:ascii="Arial" w:hAnsi="Arial" w:cs="Arial"/>
                <w:color w:val="auto"/>
                <w:sz w:val="24"/>
                <w:szCs w:val="24"/>
              </w:rPr>
              <w:t xml:space="preserve"> Rozwój demograficzny i gospodarczy ośrodka wojewódzkiego z obszarem powiązanym funkcjonalnie (ROF)</w:t>
            </w:r>
            <w:r w:rsidRPr="00237760">
              <w:rPr>
                <w:rFonts w:ascii="Arial" w:hAnsi="Arial" w:cs="Arial"/>
                <w:color w:val="auto"/>
                <w:sz w:val="24"/>
                <w:szCs w:val="24"/>
              </w:rPr>
              <w:t>;</w:t>
            </w:r>
            <w:r w:rsidR="00710815" w:rsidRPr="00237760">
              <w:rPr>
                <w:rFonts w:ascii="Arial" w:hAnsi="Arial" w:cs="Arial"/>
                <w:color w:val="auto"/>
                <w:sz w:val="24"/>
                <w:szCs w:val="24"/>
              </w:rPr>
              <w:t xml:space="preserve"> Wysoka atrakcyjność turystyczna województwa</w:t>
            </w:r>
            <w:r w:rsidRPr="00237760">
              <w:rPr>
                <w:rFonts w:ascii="Arial" w:hAnsi="Arial" w:cs="Arial"/>
                <w:color w:val="auto"/>
                <w:sz w:val="24"/>
                <w:szCs w:val="24"/>
              </w:rPr>
              <w:t>;</w:t>
            </w:r>
            <w:r w:rsidR="00710815" w:rsidRPr="00237760">
              <w:rPr>
                <w:rFonts w:ascii="Arial" w:hAnsi="Arial" w:cs="Arial"/>
                <w:color w:val="auto"/>
                <w:sz w:val="24"/>
                <w:szCs w:val="24"/>
              </w:rPr>
              <w:t xml:space="preserve"> Autostrada A4 oraz magistrala kolejowa E30, stanowiące główną oś komunikacyjną na kierunku wschód-zachód</w:t>
            </w:r>
            <w:r w:rsidRPr="00237760">
              <w:rPr>
                <w:rFonts w:ascii="Arial" w:hAnsi="Arial" w:cs="Arial"/>
                <w:color w:val="auto"/>
                <w:sz w:val="24"/>
                <w:szCs w:val="24"/>
              </w:rPr>
              <w:t>;</w:t>
            </w:r>
            <w:r w:rsidR="00710815" w:rsidRPr="00237760">
              <w:rPr>
                <w:rFonts w:ascii="Arial" w:hAnsi="Arial" w:cs="Arial"/>
                <w:color w:val="auto"/>
                <w:sz w:val="24"/>
                <w:szCs w:val="24"/>
              </w:rPr>
              <w:t xml:space="preserve"> Rozbudowana sieć międzypowiatowych połączeń autobusowych</w:t>
            </w:r>
            <w:r w:rsidRPr="00237760">
              <w:rPr>
                <w:rFonts w:ascii="Arial" w:hAnsi="Arial" w:cs="Arial"/>
                <w:color w:val="auto"/>
                <w:sz w:val="24"/>
                <w:szCs w:val="24"/>
              </w:rPr>
              <w:t>;</w:t>
            </w:r>
            <w:r w:rsidR="00710815" w:rsidRPr="00237760">
              <w:rPr>
                <w:rFonts w:ascii="Arial" w:hAnsi="Arial" w:cs="Arial"/>
                <w:color w:val="auto"/>
                <w:sz w:val="24"/>
                <w:szCs w:val="24"/>
              </w:rPr>
              <w:t xml:space="preserve"> Potencjał portu lotniczego Rzeszów – Jasionka</w:t>
            </w:r>
            <w:r w:rsidRPr="00237760">
              <w:rPr>
                <w:rFonts w:ascii="Arial" w:hAnsi="Arial" w:cs="Arial"/>
                <w:color w:val="auto"/>
                <w:sz w:val="24"/>
                <w:szCs w:val="24"/>
              </w:rPr>
              <w:t>;</w:t>
            </w:r>
            <w:r w:rsidR="00710815" w:rsidRPr="00237760">
              <w:rPr>
                <w:rFonts w:ascii="Arial" w:hAnsi="Arial" w:cs="Arial"/>
                <w:color w:val="auto"/>
                <w:sz w:val="24"/>
                <w:szCs w:val="24"/>
              </w:rPr>
              <w:t xml:space="preserve"> Posiadanie międzynarodowego portu lotniczego Rzeszów-Jasionka</w:t>
            </w:r>
            <w:r w:rsidRPr="00237760">
              <w:rPr>
                <w:rFonts w:ascii="Arial" w:hAnsi="Arial" w:cs="Arial"/>
                <w:color w:val="auto"/>
                <w:sz w:val="24"/>
                <w:szCs w:val="24"/>
              </w:rPr>
              <w:t>;</w:t>
            </w:r>
          </w:p>
          <w:p w14:paraId="500E13B6" w14:textId="36C51FD2" w:rsidR="00710815" w:rsidRPr="00237760" w:rsidRDefault="00F311FF" w:rsidP="009367B4">
            <w:pPr>
              <w:spacing w:after="0" w:line="240" w:lineRule="auto"/>
              <w:jc w:val="left"/>
              <w:rPr>
                <w:rFonts w:ascii="Arial" w:hAnsi="Arial" w:cs="Arial"/>
                <w:color w:val="auto"/>
                <w:sz w:val="24"/>
                <w:szCs w:val="24"/>
              </w:rPr>
            </w:pPr>
            <w:r w:rsidRPr="00237760">
              <w:rPr>
                <w:rFonts w:ascii="Arial" w:hAnsi="Arial" w:cs="Arial"/>
                <w:b/>
                <w:bCs/>
                <w:color w:val="auto"/>
                <w:sz w:val="24"/>
                <w:szCs w:val="24"/>
              </w:rPr>
              <w:t>Słabe strony</w:t>
            </w:r>
            <w:r w:rsidRPr="00237760">
              <w:rPr>
                <w:rFonts w:ascii="Arial" w:hAnsi="Arial" w:cs="Arial"/>
                <w:color w:val="auto"/>
                <w:sz w:val="24"/>
                <w:szCs w:val="24"/>
              </w:rPr>
              <w:t xml:space="preserve">: </w:t>
            </w:r>
            <w:r w:rsidR="00710815" w:rsidRPr="00237760">
              <w:rPr>
                <w:rFonts w:ascii="Arial" w:hAnsi="Arial" w:cs="Arial"/>
                <w:color w:val="auto"/>
                <w:sz w:val="24"/>
                <w:szCs w:val="24"/>
              </w:rPr>
              <w:t>Starzenie się społeczeństwa i rosnąca liczba osób w wieku poprodukcyjnym</w:t>
            </w:r>
            <w:r w:rsidRPr="00237760">
              <w:rPr>
                <w:rFonts w:ascii="Arial" w:hAnsi="Arial" w:cs="Arial"/>
                <w:color w:val="auto"/>
                <w:sz w:val="24"/>
                <w:szCs w:val="24"/>
              </w:rPr>
              <w:t>;</w:t>
            </w:r>
            <w:r w:rsidR="00710815" w:rsidRPr="00237760">
              <w:rPr>
                <w:rFonts w:ascii="Arial" w:hAnsi="Arial" w:cs="Arial"/>
                <w:color w:val="auto"/>
                <w:sz w:val="24"/>
                <w:szCs w:val="24"/>
              </w:rPr>
              <w:t xml:space="preserve"> Asymetria popytu na transport (głównie transport samochodowy)</w:t>
            </w:r>
            <w:r w:rsidRPr="00237760">
              <w:rPr>
                <w:rFonts w:ascii="Arial" w:hAnsi="Arial" w:cs="Arial"/>
                <w:color w:val="auto"/>
                <w:sz w:val="24"/>
                <w:szCs w:val="24"/>
              </w:rPr>
              <w:t>;</w:t>
            </w:r>
            <w:r w:rsidR="00710815" w:rsidRPr="00237760">
              <w:rPr>
                <w:rFonts w:ascii="Arial" w:hAnsi="Arial" w:cs="Arial"/>
                <w:color w:val="auto"/>
                <w:sz w:val="24"/>
                <w:szCs w:val="24"/>
              </w:rPr>
              <w:t xml:space="preserve"> Niekorzystna i utrzymująca się struktura gałęziowa przewozów z dominującym i wciąż rosnącym udziałem transportu drogowego</w:t>
            </w:r>
            <w:r w:rsidRPr="00237760">
              <w:rPr>
                <w:rFonts w:ascii="Arial" w:hAnsi="Arial" w:cs="Arial"/>
                <w:color w:val="auto"/>
                <w:sz w:val="24"/>
                <w:szCs w:val="24"/>
              </w:rPr>
              <w:t>;</w:t>
            </w:r>
            <w:r w:rsidR="00710815" w:rsidRPr="00237760">
              <w:rPr>
                <w:rFonts w:ascii="Arial" w:hAnsi="Arial" w:cs="Arial"/>
                <w:color w:val="auto"/>
                <w:sz w:val="24"/>
                <w:szCs w:val="24"/>
              </w:rPr>
              <w:t xml:space="preserve"> Rozproszenie zabudowy, głównie na terenach wiejskich</w:t>
            </w:r>
            <w:r w:rsidRPr="00237760">
              <w:rPr>
                <w:rFonts w:ascii="Arial" w:hAnsi="Arial" w:cs="Arial"/>
                <w:color w:val="auto"/>
                <w:sz w:val="24"/>
                <w:szCs w:val="24"/>
              </w:rPr>
              <w:t>;</w:t>
            </w:r>
            <w:r w:rsidR="00710815" w:rsidRPr="00237760">
              <w:rPr>
                <w:rFonts w:ascii="Arial" w:hAnsi="Arial" w:cs="Arial"/>
                <w:color w:val="auto"/>
                <w:sz w:val="24"/>
                <w:szCs w:val="24"/>
              </w:rPr>
              <w:t xml:space="preserve"> Obszary peryferyjne wewnątrz województwa (w szczególności południowe i północno-wschodnie części województwa)</w:t>
            </w:r>
            <w:r w:rsidRPr="00237760">
              <w:rPr>
                <w:rFonts w:ascii="Arial" w:hAnsi="Arial" w:cs="Arial"/>
                <w:color w:val="auto"/>
                <w:sz w:val="24"/>
                <w:szCs w:val="24"/>
              </w:rPr>
              <w:t>;</w:t>
            </w:r>
            <w:r w:rsidR="00710815" w:rsidRPr="00237760">
              <w:rPr>
                <w:rFonts w:ascii="Arial" w:hAnsi="Arial" w:cs="Arial"/>
                <w:color w:val="auto"/>
                <w:sz w:val="24"/>
                <w:szCs w:val="24"/>
              </w:rPr>
              <w:t xml:space="preserve"> Niedostateczne powiązanie południowej części regionu z infrastrukturą kolejową z </w:t>
            </w:r>
            <w:r w:rsidR="00710815" w:rsidRPr="00237760">
              <w:rPr>
                <w:rFonts w:ascii="Arial" w:hAnsi="Arial" w:cs="Arial"/>
                <w:color w:val="auto"/>
                <w:sz w:val="24"/>
                <w:szCs w:val="24"/>
              </w:rPr>
              <w:lastRenderedPageBreak/>
              <w:t>Rzeszowem i z resztą kraju</w:t>
            </w:r>
            <w:r w:rsidRPr="00237760">
              <w:rPr>
                <w:rFonts w:ascii="Arial" w:hAnsi="Arial" w:cs="Arial"/>
                <w:color w:val="auto"/>
                <w:sz w:val="24"/>
                <w:szCs w:val="24"/>
              </w:rPr>
              <w:t>;</w:t>
            </w:r>
            <w:r w:rsidR="00710815" w:rsidRPr="00237760">
              <w:rPr>
                <w:rFonts w:ascii="Arial" w:hAnsi="Arial" w:cs="Arial"/>
                <w:color w:val="auto"/>
                <w:sz w:val="24"/>
                <w:szCs w:val="24"/>
              </w:rPr>
              <w:t xml:space="preserve"> Wysokie obciążenie dla środowiska naturalnego zwłaszcza ze strony transportu samochodowego</w:t>
            </w:r>
            <w:r w:rsidRPr="00237760">
              <w:rPr>
                <w:rFonts w:ascii="Arial" w:hAnsi="Arial" w:cs="Arial"/>
                <w:color w:val="auto"/>
                <w:sz w:val="24"/>
                <w:szCs w:val="24"/>
              </w:rPr>
              <w:t>;</w:t>
            </w:r>
            <w:r w:rsidR="00710815" w:rsidRPr="00237760">
              <w:rPr>
                <w:rFonts w:ascii="Arial" w:hAnsi="Arial" w:cs="Arial"/>
                <w:color w:val="auto"/>
                <w:sz w:val="24"/>
                <w:szCs w:val="24"/>
              </w:rPr>
              <w:t xml:space="preserve"> Rozproszenie zabudowy, głównie na terenach wiejskich</w:t>
            </w:r>
            <w:r w:rsidRPr="00237760">
              <w:rPr>
                <w:rFonts w:ascii="Arial" w:hAnsi="Arial" w:cs="Arial"/>
                <w:color w:val="auto"/>
                <w:sz w:val="24"/>
                <w:szCs w:val="24"/>
              </w:rPr>
              <w:t>;</w:t>
            </w:r>
            <w:r w:rsidR="00710815" w:rsidRPr="00237760">
              <w:rPr>
                <w:rFonts w:ascii="Arial" w:hAnsi="Arial" w:cs="Arial"/>
                <w:color w:val="auto"/>
                <w:sz w:val="24"/>
                <w:szCs w:val="24"/>
              </w:rPr>
              <w:t xml:space="preserve"> </w:t>
            </w:r>
          </w:p>
        </w:tc>
      </w:tr>
      <w:tr w:rsidR="00237760" w:rsidRPr="00237760" w14:paraId="38B4E343" w14:textId="77777777" w:rsidTr="00F311FF">
        <w:trPr>
          <w:trHeight w:val="151"/>
        </w:trPr>
        <w:tc>
          <w:tcPr>
            <w:tcW w:w="1565"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5983F5E6"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lastRenderedPageBreak/>
              <w:t>Wpływ transportu na bezpieczeństwo i środowisko</w:t>
            </w:r>
          </w:p>
        </w:tc>
        <w:tc>
          <w:tcPr>
            <w:tcW w:w="734"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367D5F95"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w:t>
            </w:r>
          </w:p>
        </w:tc>
        <w:tc>
          <w:tcPr>
            <w:tcW w:w="825"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02C8A79B"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w:t>
            </w:r>
          </w:p>
        </w:tc>
        <w:tc>
          <w:tcPr>
            <w:tcW w:w="5953"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1FD21440" w14:textId="4AB47CD7" w:rsidR="00F311FF" w:rsidRPr="00237760" w:rsidRDefault="00F311FF" w:rsidP="009367B4">
            <w:pPr>
              <w:spacing w:after="0" w:line="240" w:lineRule="auto"/>
              <w:jc w:val="left"/>
              <w:rPr>
                <w:rFonts w:ascii="Arial" w:hAnsi="Arial" w:cs="Arial"/>
                <w:color w:val="auto"/>
                <w:sz w:val="24"/>
                <w:szCs w:val="24"/>
              </w:rPr>
            </w:pPr>
            <w:r w:rsidRPr="00237760">
              <w:rPr>
                <w:rFonts w:ascii="Arial" w:hAnsi="Arial" w:cs="Arial"/>
                <w:b/>
                <w:bCs/>
                <w:color w:val="auto"/>
                <w:sz w:val="24"/>
                <w:szCs w:val="24"/>
              </w:rPr>
              <w:t>Mocne strony</w:t>
            </w:r>
            <w:r w:rsidRPr="00237760">
              <w:rPr>
                <w:rFonts w:ascii="Arial" w:hAnsi="Arial" w:cs="Arial"/>
                <w:color w:val="auto"/>
                <w:sz w:val="24"/>
                <w:szCs w:val="24"/>
              </w:rPr>
              <w:t xml:space="preserve">: </w:t>
            </w:r>
            <w:r w:rsidR="00710815" w:rsidRPr="00237760">
              <w:rPr>
                <w:rFonts w:ascii="Arial" w:hAnsi="Arial" w:cs="Arial"/>
                <w:color w:val="auto"/>
                <w:sz w:val="24"/>
                <w:szCs w:val="24"/>
              </w:rPr>
              <w:t>Wysoka atrakcyjność turystyczna województwa</w:t>
            </w:r>
            <w:r w:rsidRPr="00237760">
              <w:rPr>
                <w:rFonts w:ascii="Arial" w:hAnsi="Arial" w:cs="Arial"/>
                <w:color w:val="auto"/>
                <w:sz w:val="24"/>
                <w:szCs w:val="24"/>
              </w:rPr>
              <w:t>;</w:t>
            </w:r>
          </w:p>
          <w:p w14:paraId="66D29BEE" w14:textId="43627DD3" w:rsidR="00710815" w:rsidRPr="00237760" w:rsidRDefault="00F311FF" w:rsidP="009367B4">
            <w:pPr>
              <w:spacing w:after="0" w:line="240" w:lineRule="auto"/>
              <w:jc w:val="left"/>
              <w:rPr>
                <w:rFonts w:ascii="Arial" w:hAnsi="Arial" w:cs="Arial"/>
                <w:color w:val="auto"/>
                <w:sz w:val="24"/>
                <w:szCs w:val="24"/>
              </w:rPr>
            </w:pPr>
            <w:r w:rsidRPr="00237760">
              <w:rPr>
                <w:rFonts w:ascii="Arial" w:hAnsi="Arial" w:cs="Arial"/>
                <w:b/>
                <w:bCs/>
                <w:color w:val="auto"/>
                <w:sz w:val="24"/>
                <w:szCs w:val="24"/>
              </w:rPr>
              <w:t>Słabe strony</w:t>
            </w:r>
            <w:r w:rsidRPr="00237760">
              <w:rPr>
                <w:rFonts w:ascii="Arial" w:hAnsi="Arial" w:cs="Arial"/>
                <w:color w:val="auto"/>
                <w:sz w:val="24"/>
                <w:szCs w:val="24"/>
              </w:rPr>
              <w:t xml:space="preserve">: </w:t>
            </w:r>
            <w:r w:rsidR="00710815" w:rsidRPr="00237760">
              <w:rPr>
                <w:rFonts w:ascii="Arial" w:hAnsi="Arial" w:cs="Arial"/>
                <w:color w:val="auto"/>
                <w:sz w:val="24"/>
                <w:szCs w:val="24"/>
              </w:rPr>
              <w:t>Wysokie obciążenie dla środowiska naturalnego zwłaszcza ze strony transportu samochodowego</w:t>
            </w:r>
            <w:r w:rsidRPr="00237760">
              <w:rPr>
                <w:rFonts w:ascii="Arial" w:hAnsi="Arial" w:cs="Arial"/>
                <w:color w:val="auto"/>
                <w:sz w:val="24"/>
                <w:szCs w:val="24"/>
              </w:rPr>
              <w:t>;</w:t>
            </w:r>
            <w:r w:rsidR="00710815" w:rsidRPr="00237760">
              <w:rPr>
                <w:rFonts w:ascii="Arial" w:hAnsi="Arial" w:cs="Arial"/>
                <w:color w:val="auto"/>
                <w:sz w:val="24"/>
                <w:szCs w:val="24"/>
              </w:rPr>
              <w:t xml:space="preserve"> Ruch tranzytowy przebiegający przez obszary zurbanizowane</w:t>
            </w:r>
            <w:r w:rsidRPr="00237760">
              <w:rPr>
                <w:rFonts w:ascii="Arial" w:hAnsi="Arial" w:cs="Arial"/>
                <w:color w:val="auto"/>
                <w:sz w:val="24"/>
                <w:szCs w:val="24"/>
              </w:rPr>
              <w:t>;</w:t>
            </w:r>
            <w:r w:rsidR="00710815" w:rsidRPr="00237760">
              <w:rPr>
                <w:rFonts w:ascii="Arial" w:hAnsi="Arial" w:cs="Arial"/>
                <w:color w:val="auto"/>
                <w:sz w:val="24"/>
                <w:szCs w:val="24"/>
              </w:rPr>
              <w:t xml:space="preserve"> Konieczność adaptacji już istniejącej infrastruktury transportowej do potrzeb wynikających z pojawiających się lub stwierdzonych uwarunkowań (wody powierzchniowe, występowanie osuwisk, zagrożenie powodziowe, obszary chronione, etc.)</w:t>
            </w:r>
            <w:r w:rsidRPr="00237760">
              <w:rPr>
                <w:rFonts w:ascii="Arial" w:hAnsi="Arial" w:cs="Arial"/>
                <w:color w:val="auto"/>
                <w:sz w:val="24"/>
                <w:szCs w:val="24"/>
              </w:rPr>
              <w:t>;</w:t>
            </w:r>
            <w:r w:rsidR="00710815" w:rsidRPr="00237760">
              <w:rPr>
                <w:rFonts w:ascii="Arial" w:hAnsi="Arial" w:cs="Arial"/>
                <w:color w:val="auto"/>
                <w:sz w:val="24"/>
                <w:szCs w:val="24"/>
              </w:rPr>
              <w:t xml:space="preserve"> Uwarunkowania przyrodnicze województwa podkarpackiego znacząco podnoszące koszty budowy nowej sieci transportowej</w:t>
            </w:r>
            <w:r w:rsidRPr="00237760">
              <w:rPr>
                <w:rFonts w:ascii="Arial" w:hAnsi="Arial" w:cs="Arial"/>
                <w:color w:val="auto"/>
                <w:sz w:val="24"/>
                <w:szCs w:val="24"/>
              </w:rPr>
              <w:t>;</w:t>
            </w:r>
            <w:r w:rsidR="00710815" w:rsidRPr="00237760">
              <w:rPr>
                <w:rFonts w:ascii="Arial" w:hAnsi="Arial" w:cs="Arial"/>
                <w:color w:val="auto"/>
                <w:sz w:val="24"/>
                <w:szCs w:val="24"/>
              </w:rPr>
              <w:t xml:space="preserve"> Duży odsetek dróg krajowych, wojewódzkich i powiatowych nie spełniających normatywu nośności</w:t>
            </w:r>
            <w:r w:rsidRPr="00237760">
              <w:rPr>
                <w:rFonts w:ascii="Arial" w:hAnsi="Arial" w:cs="Arial"/>
                <w:color w:val="auto"/>
                <w:sz w:val="24"/>
                <w:szCs w:val="24"/>
              </w:rPr>
              <w:t>;</w:t>
            </w:r>
            <w:r w:rsidR="00710815" w:rsidRPr="00237760">
              <w:rPr>
                <w:rFonts w:ascii="Arial" w:hAnsi="Arial" w:cs="Arial"/>
                <w:color w:val="auto"/>
                <w:sz w:val="24"/>
                <w:szCs w:val="24"/>
              </w:rPr>
              <w:t xml:space="preserve"> Ograniczenie kompetencyjne Samorządu Województwa wobec elementów rozbudowanego systemu transportu regionu</w:t>
            </w:r>
            <w:r w:rsidRPr="00237760">
              <w:rPr>
                <w:rFonts w:ascii="Arial" w:hAnsi="Arial" w:cs="Arial"/>
                <w:color w:val="auto"/>
                <w:sz w:val="24"/>
                <w:szCs w:val="24"/>
              </w:rPr>
              <w:t>;</w:t>
            </w:r>
            <w:r w:rsidR="00710815" w:rsidRPr="00237760">
              <w:rPr>
                <w:rFonts w:ascii="Arial" w:hAnsi="Arial" w:cs="Arial"/>
                <w:color w:val="auto"/>
                <w:sz w:val="24"/>
                <w:szCs w:val="24"/>
              </w:rPr>
              <w:t xml:space="preserve"> </w:t>
            </w:r>
          </w:p>
        </w:tc>
      </w:tr>
      <w:tr w:rsidR="00237760" w:rsidRPr="00237760" w14:paraId="033E10B9" w14:textId="77777777" w:rsidTr="00F311FF">
        <w:trPr>
          <w:trHeight w:val="151"/>
        </w:trPr>
        <w:tc>
          <w:tcPr>
            <w:tcW w:w="1565"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0E7F5E1B" w14:textId="77777777" w:rsidR="00710815" w:rsidRPr="00237760" w:rsidRDefault="00710815" w:rsidP="009367B4">
            <w:pPr>
              <w:spacing w:after="0" w:line="240" w:lineRule="auto"/>
              <w:jc w:val="left"/>
              <w:rPr>
                <w:rFonts w:ascii="Arial" w:hAnsi="Arial" w:cs="Arial"/>
                <w:color w:val="auto"/>
                <w:sz w:val="24"/>
                <w:szCs w:val="24"/>
              </w:rPr>
            </w:pPr>
            <w:bookmarkStart w:id="273" w:name="_Hlk101364769"/>
            <w:r w:rsidRPr="00237760">
              <w:rPr>
                <w:rFonts w:ascii="Arial" w:hAnsi="Arial" w:cs="Arial"/>
                <w:color w:val="auto"/>
                <w:sz w:val="24"/>
                <w:szCs w:val="24"/>
              </w:rPr>
              <w:t>Koszty eksploatacji i konserwacji istniejącej infrastruktury</w:t>
            </w:r>
          </w:p>
        </w:tc>
        <w:tc>
          <w:tcPr>
            <w:tcW w:w="734"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4749E057"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w:t>
            </w:r>
          </w:p>
        </w:tc>
        <w:tc>
          <w:tcPr>
            <w:tcW w:w="825"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78303BB9"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w:t>
            </w:r>
          </w:p>
        </w:tc>
        <w:tc>
          <w:tcPr>
            <w:tcW w:w="5953"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6D702B67"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Brak odniesienia w SWOT (w mocnych i/lub słabych stronach)</w:t>
            </w:r>
          </w:p>
        </w:tc>
      </w:tr>
      <w:bookmarkEnd w:id="273"/>
      <w:tr w:rsidR="00237760" w:rsidRPr="00237760" w14:paraId="5E25D147" w14:textId="77777777" w:rsidTr="00F311FF">
        <w:trPr>
          <w:trHeight w:val="151"/>
        </w:trPr>
        <w:tc>
          <w:tcPr>
            <w:tcW w:w="1565" w:type="dxa"/>
            <w:tcBorders>
              <w:top w:val="single" w:sz="4" w:space="0" w:color="BDD6EE" w:themeColor="accent1" w:themeTint="66"/>
              <w:left w:val="nil"/>
              <w:bottom w:val="single" w:sz="12" w:space="0" w:color="002060"/>
              <w:right w:val="nil"/>
            </w:tcBorders>
            <w:shd w:val="clear" w:color="auto" w:fill="auto"/>
            <w:vAlign w:val="center"/>
          </w:tcPr>
          <w:p w14:paraId="7F1437E2"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Inwestycje infrastrukturalne</w:t>
            </w:r>
          </w:p>
        </w:tc>
        <w:tc>
          <w:tcPr>
            <w:tcW w:w="734" w:type="dxa"/>
            <w:tcBorders>
              <w:top w:val="single" w:sz="4" w:space="0" w:color="BDD6EE" w:themeColor="accent1" w:themeTint="66"/>
              <w:left w:val="nil"/>
              <w:bottom w:val="single" w:sz="12" w:space="0" w:color="002060"/>
              <w:right w:val="nil"/>
            </w:tcBorders>
            <w:shd w:val="clear" w:color="auto" w:fill="auto"/>
            <w:vAlign w:val="center"/>
          </w:tcPr>
          <w:p w14:paraId="45B0DF86"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w:t>
            </w:r>
          </w:p>
        </w:tc>
        <w:tc>
          <w:tcPr>
            <w:tcW w:w="825" w:type="dxa"/>
            <w:tcBorders>
              <w:top w:val="single" w:sz="4" w:space="0" w:color="BDD6EE" w:themeColor="accent1" w:themeTint="66"/>
              <w:left w:val="nil"/>
              <w:bottom w:val="single" w:sz="12" w:space="0" w:color="002060"/>
              <w:right w:val="nil"/>
            </w:tcBorders>
            <w:shd w:val="clear" w:color="auto" w:fill="auto"/>
            <w:vAlign w:val="center"/>
          </w:tcPr>
          <w:p w14:paraId="2D7C035A"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w:t>
            </w:r>
          </w:p>
        </w:tc>
        <w:tc>
          <w:tcPr>
            <w:tcW w:w="5953" w:type="dxa"/>
            <w:tcBorders>
              <w:top w:val="single" w:sz="4" w:space="0" w:color="BDD6EE" w:themeColor="accent1" w:themeTint="66"/>
              <w:left w:val="nil"/>
              <w:bottom w:val="single" w:sz="12" w:space="0" w:color="002060"/>
              <w:right w:val="nil"/>
            </w:tcBorders>
            <w:shd w:val="clear" w:color="auto" w:fill="auto"/>
            <w:vAlign w:val="center"/>
          </w:tcPr>
          <w:p w14:paraId="09996E36"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Brak odniesienia w SWOT (w mocnych i/lub słabych stronach)</w:t>
            </w:r>
          </w:p>
        </w:tc>
      </w:tr>
    </w:tbl>
    <w:p w14:paraId="6BDA6B74" w14:textId="77777777" w:rsidR="00710815" w:rsidRPr="00237760" w:rsidRDefault="00710815" w:rsidP="009367B4">
      <w:pPr>
        <w:jc w:val="left"/>
        <w:rPr>
          <w:rFonts w:ascii="Arial" w:hAnsi="Arial" w:cs="Arial"/>
          <w:color w:val="auto"/>
          <w:sz w:val="24"/>
          <w:szCs w:val="24"/>
          <w:lang w:eastAsia="pl-PL"/>
        </w:rPr>
      </w:pPr>
      <w:r w:rsidRPr="00237760">
        <w:rPr>
          <w:rFonts w:ascii="Arial" w:hAnsi="Arial" w:cs="Arial"/>
          <w:color w:val="auto"/>
          <w:sz w:val="24"/>
          <w:szCs w:val="24"/>
        </w:rPr>
        <w:t>Źródło: opracowanie własne na podstawie PSRT WP.</w:t>
      </w:r>
    </w:p>
    <w:p w14:paraId="3559391A" w14:textId="09B8F165" w:rsidR="00710815" w:rsidRPr="00237760" w:rsidRDefault="00A81E78" w:rsidP="009367B4">
      <w:pPr>
        <w:jc w:val="left"/>
        <w:rPr>
          <w:rFonts w:ascii="Arial" w:hAnsi="Arial" w:cs="Arial"/>
          <w:color w:val="auto"/>
          <w:sz w:val="24"/>
          <w:szCs w:val="24"/>
        </w:rPr>
      </w:pPr>
      <w:r w:rsidRPr="00237760">
        <w:rPr>
          <w:rFonts w:ascii="Arial" w:hAnsi="Arial" w:cs="Arial"/>
          <w:color w:val="auto"/>
          <w:sz w:val="24"/>
          <w:szCs w:val="24"/>
        </w:rPr>
        <w:t>W kolejnym etapie zweryfikowano</w:t>
      </w:r>
      <w:r w:rsidR="00710815" w:rsidRPr="00237760">
        <w:rPr>
          <w:rFonts w:ascii="Arial" w:hAnsi="Arial" w:cs="Arial"/>
          <w:color w:val="auto"/>
          <w:sz w:val="24"/>
          <w:szCs w:val="24"/>
        </w:rPr>
        <w:t>, czy wszystkie elementy analizy SWOT wynikają z zapisów sformułowanych w diagnozie strategicznej (</w:t>
      </w:r>
      <w:r w:rsidR="00710815" w:rsidRPr="00237760">
        <w:rPr>
          <w:rFonts w:ascii="Arial" w:hAnsi="Arial" w:cs="Arial"/>
          <w:color w:val="auto"/>
          <w:sz w:val="24"/>
          <w:szCs w:val="24"/>
        </w:rPr>
        <w:fldChar w:fldCharType="begin"/>
      </w:r>
      <w:r w:rsidR="00710815" w:rsidRPr="00237760">
        <w:rPr>
          <w:rFonts w:ascii="Arial" w:hAnsi="Arial" w:cs="Arial"/>
          <w:color w:val="auto"/>
          <w:sz w:val="24"/>
          <w:szCs w:val="24"/>
        </w:rPr>
        <w:instrText xml:space="preserve"> REF _Ref100082206 \h  \* MERGEFORMAT </w:instrText>
      </w:r>
      <w:r w:rsidR="00710815" w:rsidRPr="00237760">
        <w:rPr>
          <w:rFonts w:ascii="Arial" w:hAnsi="Arial" w:cs="Arial"/>
          <w:color w:val="auto"/>
          <w:sz w:val="24"/>
          <w:szCs w:val="24"/>
        </w:rPr>
      </w:r>
      <w:r w:rsidR="00710815" w:rsidRPr="00237760">
        <w:rPr>
          <w:rFonts w:ascii="Arial" w:hAnsi="Arial" w:cs="Arial"/>
          <w:color w:val="auto"/>
          <w:sz w:val="24"/>
          <w:szCs w:val="24"/>
        </w:rPr>
        <w:fldChar w:fldCharType="separate"/>
      </w:r>
      <w:r w:rsidR="00DA6050" w:rsidRPr="00237760">
        <w:rPr>
          <w:rFonts w:ascii="Arial" w:hAnsi="Arial" w:cs="Arial"/>
          <w:color w:val="auto"/>
          <w:sz w:val="24"/>
          <w:szCs w:val="24"/>
        </w:rPr>
        <w:t xml:space="preserve">Tabela </w:t>
      </w:r>
      <w:r w:rsidR="00DA6050" w:rsidRPr="00237760">
        <w:rPr>
          <w:rFonts w:ascii="Arial" w:hAnsi="Arial" w:cs="Arial"/>
          <w:noProof/>
          <w:color w:val="auto"/>
          <w:sz w:val="24"/>
          <w:szCs w:val="24"/>
        </w:rPr>
        <w:t>43</w:t>
      </w:r>
      <w:r w:rsidR="00710815" w:rsidRPr="00237760">
        <w:rPr>
          <w:rFonts w:ascii="Arial" w:hAnsi="Arial" w:cs="Arial"/>
          <w:color w:val="auto"/>
          <w:sz w:val="24"/>
          <w:szCs w:val="24"/>
        </w:rPr>
        <w:fldChar w:fldCharType="end"/>
      </w:r>
      <w:r w:rsidR="00710815" w:rsidRPr="00237760">
        <w:rPr>
          <w:rFonts w:ascii="Arial" w:hAnsi="Arial" w:cs="Arial"/>
          <w:color w:val="auto"/>
          <w:sz w:val="24"/>
          <w:szCs w:val="24"/>
        </w:rPr>
        <w:t xml:space="preserve">). </w:t>
      </w:r>
      <w:r w:rsidRPr="00237760">
        <w:rPr>
          <w:rFonts w:ascii="Arial" w:hAnsi="Arial" w:cs="Arial"/>
          <w:color w:val="auto"/>
          <w:sz w:val="24"/>
          <w:szCs w:val="24"/>
        </w:rPr>
        <w:t>Przeprowadzona analiza wykazała, że w</w:t>
      </w:r>
      <w:r w:rsidR="00710815" w:rsidRPr="00237760">
        <w:rPr>
          <w:rFonts w:ascii="Arial" w:hAnsi="Arial" w:cs="Arial"/>
          <w:color w:val="auto"/>
          <w:sz w:val="24"/>
          <w:szCs w:val="24"/>
        </w:rPr>
        <w:t xml:space="preserve">szystkie czynniki bezpośrednio lub pośrednio wynikają z zapisów diagnozy. </w:t>
      </w:r>
    </w:p>
    <w:p w14:paraId="3AF06CF1" w14:textId="4EF4CC51" w:rsidR="00710815" w:rsidRPr="00237760" w:rsidRDefault="00710815" w:rsidP="009367B4">
      <w:pPr>
        <w:pStyle w:val="Legenda"/>
        <w:jc w:val="left"/>
        <w:rPr>
          <w:rFonts w:ascii="Arial" w:hAnsi="Arial" w:cs="Arial"/>
          <w:color w:val="auto"/>
          <w:sz w:val="24"/>
          <w:szCs w:val="24"/>
        </w:rPr>
      </w:pPr>
      <w:bookmarkStart w:id="274" w:name="_Ref99496561"/>
      <w:bookmarkStart w:id="275" w:name="_Ref100082206"/>
      <w:bookmarkStart w:id="276" w:name="_Toc101904284"/>
      <w:r w:rsidRPr="00237760">
        <w:rPr>
          <w:rFonts w:ascii="Arial" w:hAnsi="Arial" w:cs="Arial"/>
          <w:color w:val="auto"/>
          <w:sz w:val="24"/>
          <w:szCs w:val="24"/>
        </w:rPr>
        <w:t xml:space="preserve">Tabela </w:t>
      </w:r>
      <w:bookmarkEnd w:id="274"/>
      <w:r w:rsidRPr="00237760">
        <w:rPr>
          <w:rFonts w:ascii="Arial" w:hAnsi="Arial" w:cs="Arial"/>
          <w:color w:val="auto"/>
          <w:sz w:val="24"/>
          <w:szCs w:val="24"/>
        </w:rPr>
        <w:fldChar w:fldCharType="begin"/>
      </w:r>
      <w:r w:rsidRPr="00237760">
        <w:rPr>
          <w:rFonts w:ascii="Arial" w:hAnsi="Arial" w:cs="Arial"/>
          <w:color w:val="auto"/>
          <w:sz w:val="24"/>
          <w:szCs w:val="24"/>
        </w:rPr>
        <w:instrText xml:space="preserve"> SEQ Tabela \* ARABIC </w:instrText>
      </w:r>
      <w:r w:rsidRPr="00237760">
        <w:rPr>
          <w:rFonts w:ascii="Arial" w:hAnsi="Arial" w:cs="Arial"/>
          <w:color w:val="auto"/>
          <w:sz w:val="24"/>
          <w:szCs w:val="24"/>
        </w:rPr>
        <w:fldChar w:fldCharType="separate"/>
      </w:r>
      <w:r w:rsidR="00762B20" w:rsidRPr="00237760">
        <w:rPr>
          <w:rFonts w:ascii="Arial" w:hAnsi="Arial" w:cs="Arial"/>
          <w:noProof/>
          <w:color w:val="auto"/>
          <w:sz w:val="24"/>
          <w:szCs w:val="24"/>
        </w:rPr>
        <w:t>43</w:t>
      </w:r>
      <w:r w:rsidRPr="00237760">
        <w:rPr>
          <w:rFonts w:ascii="Arial" w:hAnsi="Arial" w:cs="Arial"/>
          <w:color w:val="auto"/>
          <w:sz w:val="24"/>
          <w:szCs w:val="24"/>
        </w:rPr>
        <w:fldChar w:fldCharType="end"/>
      </w:r>
      <w:bookmarkEnd w:id="275"/>
      <w:r w:rsidRPr="00237760">
        <w:rPr>
          <w:rFonts w:ascii="Arial" w:hAnsi="Arial" w:cs="Arial"/>
          <w:color w:val="auto"/>
          <w:sz w:val="24"/>
          <w:szCs w:val="24"/>
        </w:rPr>
        <w:t>. Powiązanie mocnych i słabych stron analizy SWOT z zapisami diagnozy PSRT WP</w:t>
      </w:r>
      <w:bookmarkEnd w:id="276"/>
    </w:p>
    <w:tbl>
      <w:tblPr>
        <w:tblStyle w:val="Tabela-Siatka"/>
        <w:tblW w:w="9090" w:type="dxa"/>
        <w:tblInd w:w="-5"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0" w:type="dxa"/>
          <w:right w:w="0" w:type="dxa"/>
        </w:tblCellMar>
        <w:tblLook w:val="04A0" w:firstRow="1" w:lastRow="0" w:firstColumn="1" w:lastColumn="0" w:noHBand="0" w:noVBand="1"/>
        <w:tblCaption w:val="Tabela 43. Powiązanie mocnych i słabych stron analizy SWOT z zapisami diagnozy PSRT WP"/>
      </w:tblPr>
      <w:tblGrid>
        <w:gridCol w:w="7666"/>
        <w:gridCol w:w="1424"/>
      </w:tblGrid>
      <w:tr w:rsidR="00237760" w:rsidRPr="00237760" w14:paraId="58ACD527" w14:textId="77777777" w:rsidTr="002350B5">
        <w:tc>
          <w:tcPr>
            <w:tcW w:w="7666" w:type="dxa"/>
            <w:tcBorders>
              <w:top w:val="single" w:sz="12" w:space="0" w:color="002060"/>
              <w:left w:val="nil"/>
              <w:bottom w:val="single" w:sz="4" w:space="0" w:color="BDD6EE" w:themeColor="accent1" w:themeTint="66"/>
              <w:right w:val="nil"/>
            </w:tcBorders>
            <w:shd w:val="clear" w:color="auto" w:fill="auto"/>
            <w:vAlign w:val="center"/>
            <w:hideMark/>
          </w:tcPr>
          <w:p w14:paraId="349032DE" w14:textId="77777777" w:rsidR="00710815" w:rsidRPr="00237760" w:rsidRDefault="00710815" w:rsidP="009367B4">
            <w:pPr>
              <w:spacing w:after="0"/>
              <w:jc w:val="left"/>
              <w:rPr>
                <w:rFonts w:ascii="Arial" w:eastAsiaTheme="minorHAnsi" w:hAnsi="Arial" w:cs="Arial"/>
                <w:b/>
                <w:color w:val="auto"/>
                <w:sz w:val="24"/>
                <w:szCs w:val="24"/>
              </w:rPr>
            </w:pPr>
            <w:r w:rsidRPr="00237760">
              <w:rPr>
                <w:rFonts w:ascii="Arial" w:hAnsi="Arial" w:cs="Arial"/>
                <w:b/>
                <w:color w:val="auto"/>
                <w:sz w:val="24"/>
                <w:szCs w:val="24"/>
              </w:rPr>
              <w:t>MOCNE STRONY</w:t>
            </w:r>
          </w:p>
        </w:tc>
        <w:tc>
          <w:tcPr>
            <w:tcW w:w="1424" w:type="dxa"/>
            <w:tcBorders>
              <w:top w:val="single" w:sz="12" w:space="0" w:color="002060"/>
              <w:left w:val="nil"/>
              <w:bottom w:val="single" w:sz="4" w:space="0" w:color="BDD6EE" w:themeColor="accent1" w:themeTint="66"/>
              <w:right w:val="nil"/>
            </w:tcBorders>
            <w:shd w:val="clear" w:color="auto" w:fill="auto"/>
            <w:vAlign w:val="center"/>
            <w:hideMark/>
          </w:tcPr>
          <w:p w14:paraId="1AFC35E8" w14:textId="77777777" w:rsidR="00710815" w:rsidRPr="00237760" w:rsidRDefault="00710815" w:rsidP="009367B4">
            <w:pPr>
              <w:spacing w:after="0"/>
              <w:jc w:val="left"/>
              <w:rPr>
                <w:rFonts w:ascii="Arial" w:hAnsi="Arial" w:cs="Arial"/>
                <w:b/>
                <w:color w:val="auto"/>
                <w:sz w:val="24"/>
                <w:szCs w:val="24"/>
              </w:rPr>
            </w:pPr>
            <w:r w:rsidRPr="00237760">
              <w:rPr>
                <w:rFonts w:ascii="Arial" w:hAnsi="Arial" w:cs="Arial"/>
                <w:b/>
                <w:color w:val="auto"/>
                <w:sz w:val="24"/>
                <w:szCs w:val="24"/>
              </w:rPr>
              <w:t xml:space="preserve">Czy wskazany czynnik jest </w:t>
            </w:r>
            <w:r w:rsidRPr="00237760">
              <w:rPr>
                <w:rFonts w:ascii="Arial" w:hAnsi="Arial" w:cs="Arial"/>
                <w:b/>
                <w:color w:val="auto"/>
                <w:sz w:val="24"/>
                <w:szCs w:val="24"/>
              </w:rPr>
              <w:lastRenderedPageBreak/>
              <w:t>osadzony w diagnozie</w:t>
            </w:r>
          </w:p>
        </w:tc>
      </w:tr>
      <w:tr w:rsidR="00237760" w:rsidRPr="00237760" w14:paraId="43C5243D" w14:textId="77777777" w:rsidTr="00F24505">
        <w:tc>
          <w:tcPr>
            <w:tcW w:w="7666" w:type="dxa"/>
            <w:tcBorders>
              <w:top w:val="single" w:sz="4" w:space="0" w:color="BDD6EE" w:themeColor="accent1" w:themeTint="66"/>
              <w:left w:val="nil"/>
              <w:bottom w:val="single" w:sz="4" w:space="0" w:color="BDD6EE" w:themeColor="accent1" w:themeTint="66"/>
              <w:right w:val="nil"/>
            </w:tcBorders>
            <w:vAlign w:val="center"/>
          </w:tcPr>
          <w:p w14:paraId="797A2B21"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lastRenderedPageBreak/>
              <w:t>Policentryczny układ sieci osadniczej województwa podkarpackiego</w:t>
            </w:r>
          </w:p>
        </w:tc>
        <w:tc>
          <w:tcPr>
            <w:tcW w:w="1424" w:type="dxa"/>
            <w:tcBorders>
              <w:top w:val="single" w:sz="4" w:space="0" w:color="BDD6EE" w:themeColor="accent1" w:themeTint="66"/>
              <w:left w:val="nil"/>
              <w:bottom w:val="single" w:sz="4" w:space="0" w:color="BDD6EE" w:themeColor="accent1" w:themeTint="66"/>
              <w:right w:val="nil"/>
            </w:tcBorders>
            <w:vAlign w:val="center"/>
          </w:tcPr>
          <w:p w14:paraId="5ED59BC1"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77512DCD" w14:textId="77777777" w:rsidTr="00F24505">
        <w:tc>
          <w:tcPr>
            <w:tcW w:w="7666" w:type="dxa"/>
            <w:tcBorders>
              <w:top w:val="single" w:sz="4" w:space="0" w:color="BDD6EE" w:themeColor="accent1" w:themeTint="66"/>
              <w:left w:val="nil"/>
              <w:bottom w:val="single" w:sz="4" w:space="0" w:color="BDD6EE" w:themeColor="accent1" w:themeTint="66"/>
              <w:right w:val="nil"/>
            </w:tcBorders>
            <w:vAlign w:val="center"/>
          </w:tcPr>
          <w:p w14:paraId="7D0C0BED"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Rozwój demograficzny i gospodarczy ośrodka wojewódzkiego z obszarem powiązanym funkcjonalnie (ROF)</w:t>
            </w:r>
          </w:p>
        </w:tc>
        <w:tc>
          <w:tcPr>
            <w:tcW w:w="1424" w:type="dxa"/>
            <w:tcBorders>
              <w:top w:val="single" w:sz="4" w:space="0" w:color="BDD6EE" w:themeColor="accent1" w:themeTint="66"/>
              <w:left w:val="nil"/>
              <w:bottom w:val="single" w:sz="4" w:space="0" w:color="BDD6EE" w:themeColor="accent1" w:themeTint="66"/>
              <w:right w:val="nil"/>
            </w:tcBorders>
            <w:vAlign w:val="center"/>
          </w:tcPr>
          <w:p w14:paraId="52328625"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55B1C3C9" w14:textId="77777777" w:rsidTr="00F24505">
        <w:tc>
          <w:tcPr>
            <w:tcW w:w="7666" w:type="dxa"/>
            <w:tcBorders>
              <w:top w:val="single" w:sz="4" w:space="0" w:color="BDD6EE" w:themeColor="accent1" w:themeTint="66"/>
              <w:left w:val="nil"/>
              <w:bottom w:val="single" w:sz="4" w:space="0" w:color="BDD6EE" w:themeColor="accent1" w:themeTint="66"/>
              <w:right w:val="nil"/>
            </w:tcBorders>
            <w:vAlign w:val="center"/>
          </w:tcPr>
          <w:p w14:paraId="0057150D"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Powiązanie układu komunikacyjnego województwa podkarpackiego z krajową i międzynarodową siecią TEN-T</w:t>
            </w:r>
          </w:p>
        </w:tc>
        <w:tc>
          <w:tcPr>
            <w:tcW w:w="1424" w:type="dxa"/>
            <w:tcBorders>
              <w:top w:val="single" w:sz="4" w:space="0" w:color="BDD6EE" w:themeColor="accent1" w:themeTint="66"/>
              <w:left w:val="nil"/>
              <w:bottom w:val="single" w:sz="4" w:space="0" w:color="BDD6EE" w:themeColor="accent1" w:themeTint="66"/>
              <w:right w:val="nil"/>
            </w:tcBorders>
            <w:vAlign w:val="center"/>
          </w:tcPr>
          <w:p w14:paraId="27CF45B4"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7E518BF5" w14:textId="77777777" w:rsidTr="00F24505">
        <w:tc>
          <w:tcPr>
            <w:tcW w:w="7666" w:type="dxa"/>
            <w:tcBorders>
              <w:top w:val="single" w:sz="4" w:space="0" w:color="BDD6EE" w:themeColor="accent1" w:themeTint="66"/>
              <w:left w:val="nil"/>
              <w:bottom w:val="single" w:sz="4" w:space="0" w:color="BDD6EE" w:themeColor="accent1" w:themeTint="66"/>
              <w:right w:val="nil"/>
            </w:tcBorders>
            <w:vAlign w:val="center"/>
          </w:tcPr>
          <w:p w14:paraId="1FB0E37E"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Autostrada A4 oraz magistrala kolejowa E30, stanowiące główną oś komunikacyjną na kierunku wschód-zachód</w:t>
            </w:r>
          </w:p>
        </w:tc>
        <w:tc>
          <w:tcPr>
            <w:tcW w:w="1424"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60141AB5" w14:textId="6FB53C87" w:rsidR="00710815" w:rsidRPr="00237760" w:rsidRDefault="00710815" w:rsidP="009367B4">
            <w:pPr>
              <w:spacing w:after="0" w:line="240" w:lineRule="auto"/>
              <w:jc w:val="left"/>
              <w:rPr>
                <w:rFonts w:ascii="Arial" w:hAnsi="Arial" w:cs="Arial"/>
                <w:bCs/>
                <w:color w:val="auto"/>
                <w:sz w:val="24"/>
                <w:szCs w:val="24"/>
              </w:rPr>
            </w:pPr>
            <w:r w:rsidRPr="00237760">
              <w:rPr>
                <w:rFonts w:ascii="Arial" w:hAnsi="Arial" w:cs="Arial"/>
                <w:bCs/>
                <w:color w:val="auto"/>
                <w:sz w:val="24"/>
                <w:szCs w:val="24"/>
              </w:rPr>
              <w:t>Tak</w:t>
            </w:r>
          </w:p>
        </w:tc>
      </w:tr>
      <w:tr w:rsidR="00237760" w:rsidRPr="00237760" w14:paraId="48E82CE8" w14:textId="77777777" w:rsidTr="00F24505">
        <w:tc>
          <w:tcPr>
            <w:tcW w:w="7666" w:type="dxa"/>
            <w:tcBorders>
              <w:top w:val="single" w:sz="4" w:space="0" w:color="BDD6EE" w:themeColor="accent1" w:themeTint="66"/>
              <w:left w:val="nil"/>
              <w:bottom w:val="single" w:sz="4" w:space="0" w:color="BDD6EE" w:themeColor="accent1" w:themeTint="66"/>
              <w:right w:val="nil"/>
            </w:tcBorders>
            <w:vAlign w:val="center"/>
          </w:tcPr>
          <w:p w14:paraId="19734006"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Potencjał portu lotniczego Rzeszów – Jasionka</w:t>
            </w:r>
          </w:p>
        </w:tc>
        <w:tc>
          <w:tcPr>
            <w:tcW w:w="1424" w:type="dxa"/>
            <w:tcBorders>
              <w:top w:val="single" w:sz="4" w:space="0" w:color="BDD6EE" w:themeColor="accent1" w:themeTint="66"/>
              <w:left w:val="nil"/>
              <w:bottom w:val="single" w:sz="4" w:space="0" w:color="BDD6EE" w:themeColor="accent1" w:themeTint="66"/>
              <w:right w:val="nil"/>
            </w:tcBorders>
            <w:vAlign w:val="center"/>
          </w:tcPr>
          <w:p w14:paraId="756BF022"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4BFCCF55" w14:textId="77777777" w:rsidTr="00F24505">
        <w:tc>
          <w:tcPr>
            <w:tcW w:w="7666" w:type="dxa"/>
            <w:tcBorders>
              <w:top w:val="single" w:sz="4" w:space="0" w:color="BDD6EE" w:themeColor="accent1" w:themeTint="66"/>
              <w:left w:val="nil"/>
              <w:bottom w:val="single" w:sz="4" w:space="0" w:color="BDD6EE" w:themeColor="accent1" w:themeTint="66"/>
              <w:right w:val="nil"/>
            </w:tcBorders>
            <w:vAlign w:val="center"/>
          </w:tcPr>
          <w:p w14:paraId="0E0F9122"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Dostępność transportowa biegunów wzrostu położonych wzdłuż autostrady A4 (Dębica, Rzeszów, Przeworsk-Jarosław, Przemyśl)</w:t>
            </w:r>
          </w:p>
        </w:tc>
        <w:tc>
          <w:tcPr>
            <w:tcW w:w="1424" w:type="dxa"/>
            <w:tcBorders>
              <w:top w:val="single" w:sz="4" w:space="0" w:color="BDD6EE" w:themeColor="accent1" w:themeTint="66"/>
              <w:left w:val="nil"/>
              <w:bottom w:val="single" w:sz="4" w:space="0" w:color="BDD6EE" w:themeColor="accent1" w:themeTint="66"/>
              <w:right w:val="nil"/>
            </w:tcBorders>
            <w:vAlign w:val="center"/>
          </w:tcPr>
          <w:p w14:paraId="063F7875"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071F0AEF" w14:textId="77777777" w:rsidTr="00F24505">
        <w:tc>
          <w:tcPr>
            <w:tcW w:w="7666" w:type="dxa"/>
            <w:tcBorders>
              <w:top w:val="single" w:sz="4" w:space="0" w:color="BDD6EE" w:themeColor="accent1" w:themeTint="66"/>
              <w:left w:val="nil"/>
              <w:bottom w:val="single" w:sz="4" w:space="0" w:color="BDD6EE" w:themeColor="accent1" w:themeTint="66"/>
              <w:right w:val="nil"/>
            </w:tcBorders>
            <w:vAlign w:val="center"/>
          </w:tcPr>
          <w:p w14:paraId="3CAADDE0"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Rozbudowana sieć międzypowiatowych połączeń autobusowych</w:t>
            </w:r>
          </w:p>
        </w:tc>
        <w:tc>
          <w:tcPr>
            <w:tcW w:w="1424" w:type="dxa"/>
            <w:tcBorders>
              <w:top w:val="single" w:sz="4" w:space="0" w:color="BDD6EE" w:themeColor="accent1" w:themeTint="66"/>
              <w:left w:val="nil"/>
              <w:bottom w:val="single" w:sz="4" w:space="0" w:color="BDD6EE" w:themeColor="accent1" w:themeTint="66"/>
              <w:right w:val="nil"/>
            </w:tcBorders>
            <w:vAlign w:val="center"/>
          </w:tcPr>
          <w:p w14:paraId="020EA6BB"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5D923E77" w14:textId="77777777" w:rsidTr="00F24505">
        <w:tc>
          <w:tcPr>
            <w:tcW w:w="7666" w:type="dxa"/>
            <w:tcBorders>
              <w:top w:val="single" w:sz="4" w:space="0" w:color="BDD6EE" w:themeColor="accent1" w:themeTint="66"/>
              <w:left w:val="nil"/>
              <w:bottom w:val="single" w:sz="4" w:space="0" w:color="BDD6EE" w:themeColor="accent1" w:themeTint="66"/>
              <w:right w:val="nil"/>
            </w:tcBorders>
            <w:vAlign w:val="center"/>
          </w:tcPr>
          <w:p w14:paraId="4CF332BD"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Wysoka atrakcyjność turystyczna województwa</w:t>
            </w:r>
          </w:p>
        </w:tc>
        <w:tc>
          <w:tcPr>
            <w:tcW w:w="1424" w:type="dxa"/>
            <w:tcBorders>
              <w:top w:val="single" w:sz="4" w:space="0" w:color="BDD6EE" w:themeColor="accent1" w:themeTint="66"/>
              <w:left w:val="nil"/>
              <w:bottom w:val="single" w:sz="4" w:space="0" w:color="BDD6EE" w:themeColor="accent1" w:themeTint="66"/>
              <w:right w:val="nil"/>
            </w:tcBorders>
            <w:vAlign w:val="center"/>
          </w:tcPr>
          <w:p w14:paraId="28EE6B2C"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530DE60B" w14:textId="77777777" w:rsidTr="00F24505">
        <w:tc>
          <w:tcPr>
            <w:tcW w:w="7666" w:type="dxa"/>
            <w:tcBorders>
              <w:top w:val="single" w:sz="4" w:space="0" w:color="BDD6EE" w:themeColor="accent1" w:themeTint="66"/>
              <w:left w:val="nil"/>
              <w:bottom w:val="single" w:sz="4" w:space="0" w:color="BDD6EE" w:themeColor="accent1" w:themeTint="66"/>
              <w:right w:val="nil"/>
            </w:tcBorders>
            <w:vAlign w:val="center"/>
          </w:tcPr>
          <w:p w14:paraId="4E734002"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Opracowane map akustycznych identyfikujących obszary najbardziej zagrożone hałasem i programów ochrony środowiska przed hałasem</w:t>
            </w:r>
          </w:p>
        </w:tc>
        <w:tc>
          <w:tcPr>
            <w:tcW w:w="1424" w:type="dxa"/>
            <w:tcBorders>
              <w:top w:val="single" w:sz="4" w:space="0" w:color="BDD6EE" w:themeColor="accent1" w:themeTint="66"/>
              <w:left w:val="nil"/>
              <w:bottom w:val="single" w:sz="4" w:space="0" w:color="BDD6EE" w:themeColor="accent1" w:themeTint="66"/>
              <w:right w:val="nil"/>
            </w:tcBorders>
            <w:vAlign w:val="center"/>
          </w:tcPr>
          <w:p w14:paraId="366B7255"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r w:rsidRPr="00237760">
              <w:rPr>
                <w:rFonts w:ascii="Arial" w:hAnsi="Arial" w:cs="Arial"/>
                <w:b/>
                <w:bCs/>
                <w:color w:val="auto"/>
                <w:sz w:val="24"/>
                <w:szCs w:val="24"/>
              </w:rPr>
              <w:t>*</w:t>
            </w:r>
          </w:p>
        </w:tc>
      </w:tr>
      <w:tr w:rsidR="00237760" w:rsidRPr="00237760" w14:paraId="078B7703" w14:textId="77777777" w:rsidTr="00F24505">
        <w:trPr>
          <w:trHeight w:val="50"/>
        </w:trPr>
        <w:tc>
          <w:tcPr>
            <w:tcW w:w="7666" w:type="dxa"/>
            <w:tcBorders>
              <w:top w:val="single" w:sz="4" w:space="0" w:color="BDD6EE" w:themeColor="accent1" w:themeTint="66"/>
              <w:left w:val="nil"/>
              <w:bottom w:val="single" w:sz="4" w:space="0" w:color="BDD6EE" w:themeColor="accent1" w:themeTint="66"/>
              <w:right w:val="nil"/>
            </w:tcBorders>
            <w:vAlign w:val="center"/>
          </w:tcPr>
          <w:p w14:paraId="573F128E"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Wybudowane drogi obwodowe eliminujące hałas z centrów miast</w:t>
            </w:r>
          </w:p>
        </w:tc>
        <w:tc>
          <w:tcPr>
            <w:tcW w:w="1424" w:type="dxa"/>
            <w:tcBorders>
              <w:top w:val="single" w:sz="4" w:space="0" w:color="BDD6EE" w:themeColor="accent1" w:themeTint="66"/>
              <w:left w:val="nil"/>
              <w:bottom w:val="single" w:sz="4" w:space="0" w:color="BDD6EE" w:themeColor="accent1" w:themeTint="66"/>
              <w:right w:val="nil"/>
            </w:tcBorders>
            <w:vAlign w:val="center"/>
          </w:tcPr>
          <w:p w14:paraId="29B7B445"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r w:rsidRPr="00237760">
              <w:rPr>
                <w:rFonts w:ascii="Arial" w:hAnsi="Arial" w:cs="Arial"/>
                <w:b/>
                <w:bCs/>
                <w:color w:val="auto"/>
                <w:sz w:val="24"/>
                <w:szCs w:val="24"/>
              </w:rPr>
              <w:t>*</w:t>
            </w:r>
          </w:p>
        </w:tc>
      </w:tr>
      <w:tr w:rsidR="00237760" w:rsidRPr="00237760" w14:paraId="7F836339" w14:textId="77777777" w:rsidTr="00F24505">
        <w:tc>
          <w:tcPr>
            <w:tcW w:w="7666" w:type="dxa"/>
            <w:tcBorders>
              <w:top w:val="single" w:sz="4" w:space="0" w:color="BDD6EE" w:themeColor="accent1" w:themeTint="66"/>
              <w:left w:val="nil"/>
              <w:bottom w:val="single" w:sz="4" w:space="0" w:color="BDD6EE" w:themeColor="accent1" w:themeTint="66"/>
              <w:right w:val="nil"/>
            </w:tcBorders>
            <w:vAlign w:val="center"/>
          </w:tcPr>
          <w:p w14:paraId="0C616D8F"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Posiadanie międzynarodowego portu lotniczego Rzeszów-Jasionka</w:t>
            </w:r>
          </w:p>
        </w:tc>
        <w:tc>
          <w:tcPr>
            <w:tcW w:w="1424" w:type="dxa"/>
            <w:tcBorders>
              <w:top w:val="single" w:sz="4" w:space="0" w:color="BDD6EE" w:themeColor="accent1" w:themeTint="66"/>
              <w:left w:val="nil"/>
              <w:bottom w:val="single" w:sz="4" w:space="0" w:color="BDD6EE" w:themeColor="accent1" w:themeTint="66"/>
              <w:right w:val="nil"/>
            </w:tcBorders>
            <w:vAlign w:val="center"/>
          </w:tcPr>
          <w:p w14:paraId="10B4B4A9"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38A19559" w14:textId="77777777" w:rsidTr="009F6BD4">
        <w:tc>
          <w:tcPr>
            <w:tcW w:w="7666" w:type="dxa"/>
            <w:tcBorders>
              <w:top w:val="nil"/>
              <w:left w:val="nil"/>
              <w:bottom w:val="single" w:sz="4" w:space="0" w:color="BDD6EE" w:themeColor="accent1" w:themeTint="66"/>
              <w:right w:val="nil"/>
            </w:tcBorders>
            <w:shd w:val="clear" w:color="auto" w:fill="auto"/>
            <w:vAlign w:val="center"/>
            <w:hideMark/>
          </w:tcPr>
          <w:p w14:paraId="6E828BDF" w14:textId="77777777" w:rsidR="00710815" w:rsidRPr="00237760" w:rsidRDefault="00710815" w:rsidP="009367B4">
            <w:pPr>
              <w:spacing w:after="0"/>
              <w:jc w:val="left"/>
              <w:rPr>
                <w:rFonts w:ascii="Arial" w:eastAsiaTheme="minorHAnsi" w:hAnsi="Arial" w:cs="Arial"/>
                <w:b/>
                <w:color w:val="auto"/>
                <w:sz w:val="24"/>
                <w:szCs w:val="24"/>
              </w:rPr>
            </w:pPr>
            <w:r w:rsidRPr="00237760">
              <w:rPr>
                <w:rFonts w:ascii="Arial" w:hAnsi="Arial" w:cs="Arial"/>
                <w:b/>
                <w:color w:val="auto"/>
                <w:sz w:val="24"/>
                <w:szCs w:val="24"/>
              </w:rPr>
              <w:t>SŁABE STRONY</w:t>
            </w:r>
          </w:p>
        </w:tc>
        <w:tc>
          <w:tcPr>
            <w:tcW w:w="1424" w:type="dxa"/>
            <w:tcBorders>
              <w:top w:val="nil"/>
              <w:left w:val="nil"/>
              <w:bottom w:val="single" w:sz="4" w:space="0" w:color="BDD6EE" w:themeColor="accent1" w:themeTint="66"/>
              <w:right w:val="nil"/>
            </w:tcBorders>
            <w:shd w:val="clear" w:color="auto" w:fill="auto"/>
            <w:vAlign w:val="center"/>
            <w:hideMark/>
          </w:tcPr>
          <w:p w14:paraId="213CE81E" w14:textId="77777777" w:rsidR="00710815" w:rsidRPr="00237760" w:rsidRDefault="00710815" w:rsidP="009367B4">
            <w:pPr>
              <w:spacing w:after="0"/>
              <w:jc w:val="left"/>
              <w:rPr>
                <w:rFonts w:ascii="Arial" w:hAnsi="Arial" w:cs="Arial"/>
                <w:b/>
                <w:color w:val="auto"/>
                <w:sz w:val="24"/>
                <w:szCs w:val="24"/>
              </w:rPr>
            </w:pPr>
            <w:r w:rsidRPr="00237760">
              <w:rPr>
                <w:rFonts w:ascii="Arial" w:hAnsi="Arial" w:cs="Arial"/>
                <w:b/>
                <w:color w:val="auto"/>
                <w:sz w:val="24"/>
                <w:szCs w:val="24"/>
              </w:rPr>
              <w:t>Czy wskazany czynnik jest osadzony w diagnozie</w:t>
            </w:r>
          </w:p>
        </w:tc>
      </w:tr>
      <w:tr w:rsidR="00237760" w:rsidRPr="00237760" w14:paraId="19606879" w14:textId="77777777" w:rsidTr="00F24505">
        <w:tc>
          <w:tcPr>
            <w:tcW w:w="7666" w:type="dxa"/>
            <w:tcBorders>
              <w:top w:val="single" w:sz="4" w:space="0" w:color="BDD6EE" w:themeColor="accent1" w:themeTint="66"/>
              <w:left w:val="nil"/>
              <w:bottom w:val="single" w:sz="4" w:space="0" w:color="BDD6EE" w:themeColor="accent1" w:themeTint="66"/>
              <w:right w:val="nil"/>
            </w:tcBorders>
            <w:vAlign w:val="center"/>
          </w:tcPr>
          <w:p w14:paraId="29EB57FE"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Ograniczenie kompetencyjne Samorządu Województwa wobec elementów rozbudowanego systemu transportu regionu</w:t>
            </w:r>
          </w:p>
        </w:tc>
        <w:tc>
          <w:tcPr>
            <w:tcW w:w="1424" w:type="dxa"/>
            <w:tcBorders>
              <w:top w:val="single" w:sz="4" w:space="0" w:color="BDD6EE" w:themeColor="accent1" w:themeTint="66"/>
              <w:left w:val="nil"/>
              <w:bottom w:val="single" w:sz="4" w:space="0" w:color="BDD6EE" w:themeColor="accent1" w:themeTint="66"/>
              <w:right w:val="nil"/>
            </w:tcBorders>
            <w:vAlign w:val="center"/>
          </w:tcPr>
          <w:p w14:paraId="449B6AE3"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1014333A" w14:textId="77777777" w:rsidTr="00F24505">
        <w:tc>
          <w:tcPr>
            <w:tcW w:w="7666" w:type="dxa"/>
            <w:tcBorders>
              <w:top w:val="single" w:sz="4" w:space="0" w:color="BDD6EE" w:themeColor="accent1" w:themeTint="66"/>
              <w:left w:val="nil"/>
              <w:bottom w:val="single" w:sz="4" w:space="0" w:color="BDD6EE" w:themeColor="accent1" w:themeTint="66"/>
              <w:right w:val="nil"/>
            </w:tcBorders>
            <w:vAlign w:val="center"/>
          </w:tcPr>
          <w:p w14:paraId="2294B3EA"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Peryferyjne położenie województwa względem centralnej Polski</w:t>
            </w:r>
          </w:p>
        </w:tc>
        <w:tc>
          <w:tcPr>
            <w:tcW w:w="1424" w:type="dxa"/>
            <w:tcBorders>
              <w:top w:val="single" w:sz="4" w:space="0" w:color="BDD6EE" w:themeColor="accent1" w:themeTint="66"/>
              <w:left w:val="nil"/>
              <w:bottom w:val="single" w:sz="4" w:space="0" w:color="BDD6EE" w:themeColor="accent1" w:themeTint="66"/>
              <w:right w:val="nil"/>
            </w:tcBorders>
            <w:vAlign w:val="center"/>
          </w:tcPr>
          <w:p w14:paraId="3DC6D633"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0CD7A0C7" w14:textId="77777777" w:rsidTr="00F24505">
        <w:tc>
          <w:tcPr>
            <w:tcW w:w="7666" w:type="dxa"/>
            <w:tcBorders>
              <w:top w:val="single" w:sz="4" w:space="0" w:color="BDD6EE" w:themeColor="accent1" w:themeTint="66"/>
              <w:left w:val="nil"/>
              <w:bottom w:val="single" w:sz="4" w:space="0" w:color="BDD6EE" w:themeColor="accent1" w:themeTint="66"/>
              <w:right w:val="nil"/>
            </w:tcBorders>
            <w:vAlign w:val="center"/>
          </w:tcPr>
          <w:p w14:paraId="71FE0398"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Rozproszenie zabudowy, głównie na terenach wiejskich</w:t>
            </w:r>
          </w:p>
        </w:tc>
        <w:tc>
          <w:tcPr>
            <w:tcW w:w="1424" w:type="dxa"/>
            <w:tcBorders>
              <w:top w:val="single" w:sz="4" w:space="0" w:color="BDD6EE" w:themeColor="accent1" w:themeTint="66"/>
              <w:left w:val="nil"/>
              <w:bottom w:val="single" w:sz="4" w:space="0" w:color="BDD6EE" w:themeColor="accent1" w:themeTint="66"/>
              <w:right w:val="nil"/>
            </w:tcBorders>
            <w:vAlign w:val="center"/>
          </w:tcPr>
          <w:p w14:paraId="38DCE205"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4F180AC9" w14:textId="77777777" w:rsidTr="00F24505">
        <w:tc>
          <w:tcPr>
            <w:tcW w:w="7666" w:type="dxa"/>
            <w:tcBorders>
              <w:top w:val="single" w:sz="4" w:space="0" w:color="BDD6EE" w:themeColor="accent1" w:themeTint="66"/>
              <w:left w:val="nil"/>
              <w:bottom w:val="single" w:sz="4" w:space="0" w:color="BDD6EE" w:themeColor="accent1" w:themeTint="66"/>
              <w:right w:val="nil"/>
            </w:tcBorders>
            <w:vAlign w:val="center"/>
          </w:tcPr>
          <w:p w14:paraId="473FA64B"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Starzenie się społeczeństwa i rosnąca liczba osób w wieku poprodukcyjnym</w:t>
            </w:r>
          </w:p>
        </w:tc>
        <w:tc>
          <w:tcPr>
            <w:tcW w:w="1424" w:type="dxa"/>
            <w:tcBorders>
              <w:top w:val="single" w:sz="4" w:space="0" w:color="BDD6EE" w:themeColor="accent1" w:themeTint="66"/>
              <w:left w:val="nil"/>
              <w:bottom w:val="single" w:sz="4" w:space="0" w:color="BDD6EE" w:themeColor="accent1" w:themeTint="66"/>
              <w:right w:val="nil"/>
            </w:tcBorders>
            <w:vAlign w:val="center"/>
          </w:tcPr>
          <w:p w14:paraId="6FDB6755"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3CB6ECBB" w14:textId="77777777" w:rsidTr="00F24505">
        <w:tc>
          <w:tcPr>
            <w:tcW w:w="7666" w:type="dxa"/>
            <w:tcBorders>
              <w:top w:val="single" w:sz="4" w:space="0" w:color="BDD6EE" w:themeColor="accent1" w:themeTint="66"/>
              <w:left w:val="nil"/>
              <w:bottom w:val="single" w:sz="4" w:space="0" w:color="BDD6EE" w:themeColor="accent1" w:themeTint="66"/>
              <w:right w:val="nil"/>
            </w:tcBorders>
            <w:vAlign w:val="center"/>
          </w:tcPr>
          <w:p w14:paraId="686291DD"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Obszary peryferyjne wewnątrz województwa (w szczególności południowe i północno-wschodnie części województwa)</w:t>
            </w:r>
          </w:p>
        </w:tc>
        <w:tc>
          <w:tcPr>
            <w:tcW w:w="1424" w:type="dxa"/>
            <w:tcBorders>
              <w:top w:val="single" w:sz="4" w:space="0" w:color="BDD6EE" w:themeColor="accent1" w:themeTint="66"/>
              <w:left w:val="nil"/>
              <w:bottom w:val="single" w:sz="4" w:space="0" w:color="BDD6EE" w:themeColor="accent1" w:themeTint="66"/>
              <w:right w:val="nil"/>
            </w:tcBorders>
            <w:vAlign w:val="center"/>
          </w:tcPr>
          <w:p w14:paraId="2882CB1D"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17F785E8" w14:textId="77777777" w:rsidTr="00F24505">
        <w:tc>
          <w:tcPr>
            <w:tcW w:w="7666" w:type="dxa"/>
            <w:tcBorders>
              <w:top w:val="single" w:sz="4" w:space="0" w:color="BDD6EE" w:themeColor="accent1" w:themeTint="66"/>
              <w:left w:val="nil"/>
              <w:bottom w:val="single" w:sz="4" w:space="0" w:color="BDD6EE" w:themeColor="accent1" w:themeTint="66"/>
              <w:right w:val="nil"/>
            </w:tcBorders>
            <w:vAlign w:val="center"/>
          </w:tcPr>
          <w:p w14:paraId="50A48990"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Niedostateczne powiązanie południowej i północno-wschodniej części regionu, infrastrukturą drogową o wysokich parametrach technicznych z Rzeszowem</w:t>
            </w:r>
          </w:p>
        </w:tc>
        <w:tc>
          <w:tcPr>
            <w:tcW w:w="1424" w:type="dxa"/>
            <w:tcBorders>
              <w:top w:val="single" w:sz="4" w:space="0" w:color="BDD6EE" w:themeColor="accent1" w:themeTint="66"/>
              <w:left w:val="nil"/>
              <w:bottom w:val="single" w:sz="4" w:space="0" w:color="BDD6EE" w:themeColor="accent1" w:themeTint="66"/>
              <w:right w:val="nil"/>
            </w:tcBorders>
            <w:vAlign w:val="center"/>
          </w:tcPr>
          <w:p w14:paraId="533E4C07"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55A8110B" w14:textId="77777777" w:rsidTr="00F24505">
        <w:tc>
          <w:tcPr>
            <w:tcW w:w="7666" w:type="dxa"/>
            <w:tcBorders>
              <w:top w:val="single" w:sz="4" w:space="0" w:color="BDD6EE" w:themeColor="accent1" w:themeTint="66"/>
              <w:left w:val="nil"/>
              <w:bottom w:val="single" w:sz="4" w:space="0" w:color="BDD6EE" w:themeColor="accent1" w:themeTint="66"/>
              <w:right w:val="nil"/>
            </w:tcBorders>
            <w:vAlign w:val="center"/>
          </w:tcPr>
          <w:p w14:paraId="0DD8D533"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Niedostateczne powiązanie południowo-zachodniej części regionu infrastrukturą drogową wyższego rzędu z autostradą A4, a tym samym z resztą kraju (węzeł Pilzno na A4)</w:t>
            </w:r>
          </w:p>
        </w:tc>
        <w:tc>
          <w:tcPr>
            <w:tcW w:w="1424"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5277B6AE" w14:textId="77777777" w:rsidR="00710815" w:rsidRPr="00237760" w:rsidRDefault="00710815" w:rsidP="009367B4">
            <w:pPr>
              <w:spacing w:after="0" w:line="240" w:lineRule="auto"/>
              <w:jc w:val="left"/>
              <w:rPr>
                <w:rFonts w:ascii="Arial" w:hAnsi="Arial" w:cs="Arial"/>
                <w:bCs/>
                <w:color w:val="auto"/>
                <w:sz w:val="24"/>
                <w:szCs w:val="24"/>
              </w:rPr>
            </w:pPr>
            <w:r w:rsidRPr="00237760">
              <w:rPr>
                <w:rFonts w:ascii="Arial" w:hAnsi="Arial" w:cs="Arial"/>
                <w:bCs/>
                <w:color w:val="auto"/>
                <w:sz w:val="24"/>
                <w:szCs w:val="24"/>
              </w:rPr>
              <w:t>Tak</w:t>
            </w:r>
          </w:p>
        </w:tc>
      </w:tr>
      <w:tr w:rsidR="00237760" w:rsidRPr="00237760" w14:paraId="0AA7AB14" w14:textId="77777777" w:rsidTr="00F24505">
        <w:tc>
          <w:tcPr>
            <w:tcW w:w="7666" w:type="dxa"/>
            <w:tcBorders>
              <w:top w:val="single" w:sz="4" w:space="0" w:color="BDD6EE" w:themeColor="accent1" w:themeTint="66"/>
              <w:left w:val="nil"/>
              <w:bottom w:val="single" w:sz="4" w:space="0" w:color="BDD6EE" w:themeColor="accent1" w:themeTint="66"/>
              <w:right w:val="nil"/>
            </w:tcBorders>
            <w:vAlign w:val="center"/>
          </w:tcPr>
          <w:p w14:paraId="2BA2B90D"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Niedostateczne powiązanie południowej części regionu z infrastrukturą kolejową z Rzeszowem i z resztą kraju</w:t>
            </w:r>
          </w:p>
        </w:tc>
        <w:tc>
          <w:tcPr>
            <w:tcW w:w="1424"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1CA1EA56" w14:textId="77777777" w:rsidR="00710815" w:rsidRPr="00237760" w:rsidRDefault="00710815" w:rsidP="009367B4">
            <w:pPr>
              <w:spacing w:after="0" w:line="240" w:lineRule="auto"/>
              <w:jc w:val="left"/>
              <w:rPr>
                <w:rFonts w:ascii="Arial" w:hAnsi="Arial" w:cs="Arial"/>
                <w:bCs/>
                <w:color w:val="auto"/>
                <w:sz w:val="24"/>
                <w:szCs w:val="24"/>
              </w:rPr>
            </w:pPr>
            <w:r w:rsidRPr="00237760">
              <w:rPr>
                <w:rFonts w:ascii="Arial" w:hAnsi="Arial" w:cs="Arial"/>
                <w:bCs/>
                <w:color w:val="auto"/>
                <w:sz w:val="24"/>
                <w:szCs w:val="24"/>
              </w:rPr>
              <w:t>Tak</w:t>
            </w:r>
          </w:p>
        </w:tc>
      </w:tr>
      <w:tr w:rsidR="00237760" w:rsidRPr="00237760" w14:paraId="2273B8E0" w14:textId="77777777" w:rsidTr="00F24505">
        <w:tc>
          <w:tcPr>
            <w:tcW w:w="7666" w:type="dxa"/>
            <w:tcBorders>
              <w:top w:val="single" w:sz="4" w:space="0" w:color="BDD6EE" w:themeColor="accent1" w:themeTint="66"/>
              <w:left w:val="nil"/>
              <w:bottom w:val="single" w:sz="4" w:space="0" w:color="BDD6EE" w:themeColor="accent1" w:themeTint="66"/>
              <w:right w:val="nil"/>
            </w:tcBorders>
            <w:vAlign w:val="center"/>
          </w:tcPr>
          <w:p w14:paraId="5D5ADCD4"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Niewystarczająca obsługa transportowa (kolejowa i drogowa) północnej i północno-zachodniej części województwa, skupiających największą produkcję przemysłową, w tym eksportową</w:t>
            </w:r>
          </w:p>
        </w:tc>
        <w:tc>
          <w:tcPr>
            <w:tcW w:w="1424" w:type="dxa"/>
            <w:tcBorders>
              <w:top w:val="single" w:sz="4" w:space="0" w:color="BDD6EE" w:themeColor="accent1" w:themeTint="66"/>
              <w:left w:val="nil"/>
              <w:bottom w:val="single" w:sz="4" w:space="0" w:color="BDD6EE" w:themeColor="accent1" w:themeTint="66"/>
              <w:right w:val="nil"/>
            </w:tcBorders>
            <w:vAlign w:val="center"/>
          </w:tcPr>
          <w:p w14:paraId="01D6A48F"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282CD05B" w14:textId="77777777" w:rsidTr="00F24505">
        <w:tc>
          <w:tcPr>
            <w:tcW w:w="7666" w:type="dxa"/>
            <w:tcBorders>
              <w:top w:val="single" w:sz="4" w:space="0" w:color="BDD6EE" w:themeColor="accent1" w:themeTint="66"/>
              <w:left w:val="nil"/>
              <w:bottom w:val="single" w:sz="4" w:space="0" w:color="BDD6EE" w:themeColor="accent1" w:themeTint="66"/>
              <w:right w:val="nil"/>
            </w:tcBorders>
            <w:vAlign w:val="center"/>
          </w:tcPr>
          <w:p w14:paraId="4C882253"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Jedna linia kolejowa o znaczeniu międzynarodowym</w:t>
            </w:r>
          </w:p>
        </w:tc>
        <w:tc>
          <w:tcPr>
            <w:tcW w:w="1424" w:type="dxa"/>
            <w:tcBorders>
              <w:top w:val="single" w:sz="4" w:space="0" w:color="BDD6EE" w:themeColor="accent1" w:themeTint="66"/>
              <w:left w:val="nil"/>
              <w:bottom w:val="single" w:sz="4" w:space="0" w:color="BDD6EE" w:themeColor="accent1" w:themeTint="66"/>
              <w:right w:val="nil"/>
            </w:tcBorders>
            <w:vAlign w:val="center"/>
          </w:tcPr>
          <w:p w14:paraId="1D99966F"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3AC61D47" w14:textId="77777777" w:rsidTr="00F24505">
        <w:tc>
          <w:tcPr>
            <w:tcW w:w="7666" w:type="dxa"/>
            <w:tcBorders>
              <w:top w:val="single" w:sz="4" w:space="0" w:color="BDD6EE" w:themeColor="accent1" w:themeTint="66"/>
              <w:left w:val="nil"/>
              <w:bottom w:val="single" w:sz="4" w:space="0" w:color="BDD6EE" w:themeColor="accent1" w:themeTint="66"/>
              <w:right w:val="nil"/>
            </w:tcBorders>
            <w:vAlign w:val="center"/>
          </w:tcPr>
          <w:p w14:paraId="5A41F718"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Duży odsetek dróg krajowych, wojewódzkich i powiatowych niespełniających normatywu nośności</w:t>
            </w:r>
          </w:p>
        </w:tc>
        <w:tc>
          <w:tcPr>
            <w:tcW w:w="1424" w:type="dxa"/>
            <w:tcBorders>
              <w:top w:val="single" w:sz="4" w:space="0" w:color="BDD6EE" w:themeColor="accent1" w:themeTint="66"/>
              <w:left w:val="nil"/>
              <w:bottom w:val="single" w:sz="4" w:space="0" w:color="BDD6EE" w:themeColor="accent1" w:themeTint="66"/>
              <w:right w:val="nil"/>
            </w:tcBorders>
            <w:vAlign w:val="center"/>
          </w:tcPr>
          <w:p w14:paraId="2FB12ADD"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4C10C029" w14:textId="77777777" w:rsidTr="00F24505">
        <w:tc>
          <w:tcPr>
            <w:tcW w:w="7666" w:type="dxa"/>
            <w:tcBorders>
              <w:top w:val="single" w:sz="4" w:space="0" w:color="BDD6EE" w:themeColor="accent1" w:themeTint="66"/>
              <w:left w:val="nil"/>
              <w:bottom w:val="single" w:sz="4" w:space="0" w:color="BDD6EE" w:themeColor="accent1" w:themeTint="66"/>
              <w:right w:val="nil"/>
            </w:tcBorders>
            <w:vAlign w:val="center"/>
          </w:tcPr>
          <w:p w14:paraId="5D5E0116"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Asymetria popytu na transport (głównie transport samochodowy)</w:t>
            </w:r>
          </w:p>
        </w:tc>
        <w:tc>
          <w:tcPr>
            <w:tcW w:w="1424" w:type="dxa"/>
            <w:tcBorders>
              <w:top w:val="single" w:sz="4" w:space="0" w:color="BDD6EE" w:themeColor="accent1" w:themeTint="66"/>
              <w:left w:val="nil"/>
              <w:bottom w:val="single" w:sz="4" w:space="0" w:color="BDD6EE" w:themeColor="accent1" w:themeTint="66"/>
              <w:right w:val="nil"/>
            </w:tcBorders>
            <w:vAlign w:val="center"/>
          </w:tcPr>
          <w:p w14:paraId="7A5C9017"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7F1A23CB" w14:textId="77777777" w:rsidTr="00F24505">
        <w:tc>
          <w:tcPr>
            <w:tcW w:w="7666" w:type="dxa"/>
            <w:tcBorders>
              <w:top w:val="single" w:sz="4" w:space="0" w:color="BDD6EE" w:themeColor="accent1" w:themeTint="66"/>
              <w:left w:val="nil"/>
              <w:bottom w:val="single" w:sz="4" w:space="0" w:color="BDD6EE" w:themeColor="accent1" w:themeTint="66"/>
              <w:right w:val="nil"/>
            </w:tcBorders>
            <w:vAlign w:val="center"/>
          </w:tcPr>
          <w:p w14:paraId="39A8BDD6"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Niekorzystna i utrzymująca się struktura gałęziowa przewozów z </w:t>
            </w:r>
            <w:r w:rsidRPr="00237760">
              <w:rPr>
                <w:rFonts w:ascii="Arial" w:hAnsi="Arial" w:cs="Arial"/>
                <w:color w:val="auto"/>
                <w:sz w:val="24"/>
                <w:szCs w:val="24"/>
              </w:rPr>
              <w:lastRenderedPageBreak/>
              <w:t>dominującym i wciąż rosnącym udziałem transportu drogowego</w:t>
            </w:r>
          </w:p>
        </w:tc>
        <w:tc>
          <w:tcPr>
            <w:tcW w:w="1424" w:type="dxa"/>
            <w:tcBorders>
              <w:top w:val="single" w:sz="4" w:space="0" w:color="BDD6EE" w:themeColor="accent1" w:themeTint="66"/>
              <w:left w:val="nil"/>
              <w:bottom w:val="single" w:sz="4" w:space="0" w:color="BDD6EE" w:themeColor="accent1" w:themeTint="66"/>
              <w:right w:val="nil"/>
            </w:tcBorders>
            <w:vAlign w:val="center"/>
          </w:tcPr>
          <w:p w14:paraId="19878586"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lastRenderedPageBreak/>
              <w:t>Tak</w:t>
            </w:r>
          </w:p>
        </w:tc>
      </w:tr>
      <w:tr w:rsidR="00237760" w:rsidRPr="00237760" w14:paraId="25A3762D" w14:textId="77777777" w:rsidTr="00F24505">
        <w:tc>
          <w:tcPr>
            <w:tcW w:w="7666" w:type="dxa"/>
            <w:tcBorders>
              <w:top w:val="single" w:sz="4" w:space="0" w:color="BDD6EE" w:themeColor="accent1" w:themeTint="66"/>
              <w:left w:val="nil"/>
              <w:bottom w:val="single" w:sz="4" w:space="0" w:color="BDD6EE" w:themeColor="accent1" w:themeTint="66"/>
              <w:right w:val="nil"/>
            </w:tcBorders>
            <w:vAlign w:val="center"/>
          </w:tcPr>
          <w:p w14:paraId="28DC12D7"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Ruch tranzytowy przebiegający przez obszary zurbanizowane</w:t>
            </w:r>
          </w:p>
        </w:tc>
        <w:tc>
          <w:tcPr>
            <w:tcW w:w="1424" w:type="dxa"/>
            <w:tcBorders>
              <w:top w:val="single" w:sz="4" w:space="0" w:color="BDD6EE" w:themeColor="accent1" w:themeTint="66"/>
              <w:left w:val="nil"/>
              <w:bottom w:val="single" w:sz="4" w:space="0" w:color="BDD6EE" w:themeColor="accent1" w:themeTint="66"/>
              <w:right w:val="nil"/>
            </w:tcBorders>
            <w:vAlign w:val="center"/>
          </w:tcPr>
          <w:p w14:paraId="1DCB91C2"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011A9317" w14:textId="77777777" w:rsidTr="00F24505">
        <w:tc>
          <w:tcPr>
            <w:tcW w:w="7666" w:type="dxa"/>
            <w:tcBorders>
              <w:top w:val="single" w:sz="4" w:space="0" w:color="BDD6EE" w:themeColor="accent1" w:themeTint="66"/>
              <w:left w:val="nil"/>
              <w:bottom w:val="single" w:sz="4" w:space="0" w:color="BDD6EE" w:themeColor="accent1" w:themeTint="66"/>
              <w:right w:val="nil"/>
            </w:tcBorders>
            <w:vAlign w:val="center"/>
          </w:tcPr>
          <w:p w14:paraId="0AF966C1"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Niski poziom innowacyjności sieci i zastosowania inteligentnych systemów transportowych</w:t>
            </w:r>
          </w:p>
        </w:tc>
        <w:tc>
          <w:tcPr>
            <w:tcW w:w="1424" w:type="dxa"/>
            <w:tcBorders>
              <w:top w:val="single" w:sz="4" w:space="0" w:color="BDD6EE" w:themeColor="accent1" w:themeTint="66"/>
              <w:left w:val="nil"/>
              <w:bottom w:val="single" w:sz="4" w:space="0" w:color="BDD6EE" w:themeColor="accent1" w:themeTint="66"/>
              <w:right w:val="nil"/>
            </w:tcBorders>
            <w:vAlign w:val="center"/>
          </w:tcPr>
          <w:p w14:paraId="1CE7BBC1"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7B6FD453" w14:textId="77777777" w:rsidTr="00F24505">
        <w:tc>
          <w:tcPr>
            <w:tcW w:w="7666" w:type="dxa"/>
            <w:tcBorders>
              <w:top w:val="single" w:sz="4" w:space="0" w:color="BDD6EE" w:themeColor="accent1" w:themeTint="66"/>
              <w:left w:val="nil"/>
              <w:bottom w:val="single" w:sz="4" w:space="0" w:color="BDD6EE" w:themeColor="accent1" w:themeTint="66"/>
              <w:right w:val="nil"/>
            </w:tcBorders>
            <w:vAlign w:val="center"/>
          </w:tcPr>
          <w:p w14:paraId="738980C4"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Brak spójnej sieci połączonych ze sobą tras rowerowych województwa o jednolitych parametrach</w:t>
            </w:r>
          </w:p>
        </w:tc>
        <w:tc>
          <w:tcPr>
            <w:tcW w:w="1424" w:type="dxa"/>
            <w:tcBorders>
              <w:top w:val="single" w:sz="4" w:space="0" w:color="BDD6EE" w:themeColor="accent1" w:themeTint="66"/>
              <w:left w:val="nil"/>
              <w:bottom w:val="single" w:sz="4" w:space="0" w:color="BDD6EE" w:themeColor="accent1" w:themeTint="66"/>
              <w:right w:val="nil"/>
            </w:tcBorders>
            <w:vAlign w:val="center"/>
          </w:tcPr>
          <w:p w14:paraId="7D1DCDDF"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0A138774" w14:textId="77777777" w:rsidTr="00F24505">
        <w:tc>
          <w:tcPr>
            <w:tcW w:w="7666" w:type="dxa"/>
            <w:tcBorders>
              <w:top w:val="single" w:sz="4" w:space="0" w:color="BDD6EE" w:themeColor="accent1" w:themeTint="66"/>
              <w:left w:val="nil"/>
              <w:bottom w:val="single" w:sz="4" w:space="0" w:color="BDD6EE" w:themeColor="accent1" w:themeTint="66"/>
              <w:right w:val="nil"/>
            </w:tcBorders>
            <w:vAlign w:val="center"/>
          </w:tcPr>
          <w:p w14:paraId="0C317F26"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Uwarunkowania przyrodnicze województwa podkarpackiego znacząco podnoszące koszty budowy nowej sieci transportowej</w:t>
            </w:r>
          </w:p>
        </w:tc>
        <w:tc>
          <w:tcPr>
            <w:tcW w:w="1424" w:type="dxa"/>
            <w:tcBorders>
              <w:top w:val="single" w:sz="4" w:space="0" w:color="BDD6EE" w:themeColor="accent1" w:themeTint="66"/>
              <w:left w:val="nil"/>
              <w:bottom w:val="single" w:sz="4" w:space="0" w:color="BDD6EE" w:themeColor="accent1" w:themeTint="66"/>
              <w:right w:val="nil"/>
            </w:tcBorders>
            <w:vAlign w:val="center"/>
          </w:tcPr>
          <w:p w14:paraId="61E7862E"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6997FB25" w14:textId="77777777" w:rsidTr="00F311FF">
        <w:tc>
          <w:tcPr>
            <w:tcW w:w="7666" w:type="dxa"/>
            <w:tcBorders>
              <w:top w:val="single" w:sz="4" w:space="0" w:color="BDD6EE" w:themeColor="accent1" w:themeTint="66"/>
              <w:left w:val="nil"/>
              <w:bottom w:val="single" w:sz="4" w:space="0" w:color="BDD6EE" w:themeColor="accent1" w:themeTint="66"/>
              <w:right w:val="nil"/>
            </w:tcBorders>
            <w:vAlign w:val="center"/>
          </w:tcPr>
          <w:p w14:paraId="2A402078"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Konieczność adaptacji już istniejącej infrastruktury transportowej do potrzeb wynikających z pojawiających się lub stwierdzonych uwarunkowań (wody powierzchniowe, występowanie osuwisk, zagrożenie powodziowe, obszary chronione, etc.)</w:t>
            </w:r>
          </w:p>
        </w:tc>
        <w:tc>
          <w:tcPr>
            <w:tcW w:w="1424"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792A5F53" w14:textId="77777777" w:rsidR="00710815" w:rsidRPr="00237760" w:rsidRDefault="00710815" w:rsidP="009367B4">
            <w:pPr>
              <w:spacing w:after="0" w:line="240" w:lineRule="auto"/>
              <w:jc w:val="left"/>
              <w:rPr>
                <w:rFonts w:ascii="Arial" w:hAnsi="Arial" w:cs="Arial"/>
                <w:bCs/>
                <w:color w:val="auto"/>
                <w:sz w:val="24"/>
                <w:szCs w:val="24"/>
              </w:rPr>
            </w:pPr>
            <w:r w:rsidRPr="00237760">
              <w:rPr>
                <w:rFonts w:ascii="Arial" w:hAnsi="Arial" w:cs="Arial"/>
                <w:bCs/>
                <w:color w:val="auto"/>
                <w:sz w:val="24"/>
                <w:szCs w:val="24"/>
              </w:rPr>
              <w:t>Tak</w:t>
            </w:r>
          </w:p>
        </w:tc>
      </w:tr>
      <w:tr w:rsidR="00237760" w:rsidRPr="00237760" w14:paraId="398C135B" w14:textId="77777777" w:rsidTr="00F311FF">
        <w:tc>
          <w:tcPr>
            <w:tcW w:w="7666" w:type="dxa"/>
            <w:tcBorders>
              <w:top w:val="single" w:sz="4" w:space="0" w:color="BDD6EE" w:themeColor="accent1" w:themeTint="66"/>
              <w:left w:val="nil"/>
              <w:bottom w:val="single" w:sz="12" w:space="0" w:color="002060"/>
              <w:right w:val="nil"/>
            </w:tcBorders>
            <w:vAlign w:val="center"/>
          </w:tcPr>
          <w:p w14:paraId="068AAE5C"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Wysokie obciążenie dla środowiska naturalnego zwłaszcza ze strony transportu samochodowego</w:t>
            </w:r>
          </w:p>
        </w:tc>
        <w:tc>
          <w:tcPr>
            <w:tcW w:w="1424" w:type="dxa"/>
            <w:tcBorders>
              <w:top w:val="single" w:sz="4" w:space="0" w:color="BDD6EE" w:themeColor="accent1" w:themeTint="66"/>
              <w:left w:val="nil"/>
              <w:bottom w:val="single" w:sz="12" w:space="0" w:color="002060"/>
              <w:right w:val="nil"/>
            </w:tcBorders>
            <w:vAlign w:val="center"/>
          </w:tcPr>
          <w:p w14:paraId="114FB2D3"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bl>
    <w:p w14:paraId="4DCF6792" w14:textId="5BD7EA9A" w:rsidR="00710815" w:rsidRPr="00237760" w:rsidRDefault="00710815" w:rsidP="009367B4">
      <w:pPr>
        <w:jc w:val="left"/>
        <w:rPr>
          <w:rFonts w:ascii="Arial" w:hAnsi="Arial" w:cs="Arial"/>
          <w:color w:val="auto"/>
          <w:sz w:val="24"/>
          <w:szCs w:val="24"/>
        </w:rPr>
      </w:pPr>
      <w:r w:rsidRPr="00237760">
        <w:rPr>
          <w:rFonts w:ascii="Arial" w:hAnsi="Arial" w:cs="Arial"/>
          <w:color w:val="auto"/>
          <w:sz w:val="24"/>
          <w:szCs w:val="24"/>
        </w:rPr>
        <w:t xml:space="preserve">* Zapis znajduje się w osobnym opracowaniu </w:t>
      </w:r>
      <w:r w:rsidRPr="00237760">
        <w:rPr>
          <w:rFonts w:ascii="Arial" w:hAnsi="Arial" w:cs="Arial"/>
          <w:i/>
          <w:iCs/>
          <w:color w:val="auto"/>
          <w:sz w:val="24"/>
          <w:szCs w:val="24"/>
        </w:rPr>
        <w:t>Diagnoza...</w:t>
      </w:r>
      <w:r w:rsidRPr="00237760">
        <w:rPr>
          <w:rFonts w:ascii="Arial" w:hAnsi="Arial" w:cs="Arial"/>
          <w:color w:val="auto"/>
          <w:sz w:val="24"/>
          <w:szCs w:val="24"/>
        </w:rPr>
        <w:t>, ale w PSRT WP nie występuje.</w:t>
      </w:r>
    </w:p>
    <w:p w14:paraId="28C519E4" w14:textId="77777777" w:rsidR="00710815" w:rsidRPr="00237760" w:rsidRDefault="00710815" w:rsidP="009367B4">
      <w:pPr>
        <w:jc w:val="left"/>
        <w:rPr>
          <w:rFonts w:ascii="Arial" w:hAnsi="Arial" w:cs="Arial"/>
          <w:color w:val="auto"/>
          <w:sz w:val="24"/>
          <w:szCs w:val="24"/>
        </w:rPr>
      </w:pPr>
      <w:r w:rsidRPr="00237760">
        <w:rPr>
          <w:rFonts w:ascii="Arial" w:hAnsi="Arial" w:cs="Arial"/>
          <w:color w:val="auto"/>
          <w:sz w:val="24"/>
          <w:szCs w:val="24"/>
        </w:rPr>
        <w:t xml:space="preserve">Źródło: opracowanie własne na podstawie PSRT WP oraz Diagnozy Stanu Systemu Transportowego w Województwie Podkarpackim. </w:t>
      </w:r>
    </w:p>
    <w:p w14:paraId="2C7F0F1B" w14:textId="2B730216" w:rsidR="00710815" w:rsidRPr="00237760" w:rsidRDefault="00710815" w:rsidP="009367B4">
      <w:pPr>
        <w:jc w:val="left"/>
        <w:rPr>
          <w:rFonts w:ascii="Arial" w:hAnsi="Arial" w:cs="Arial"/>
          <w:color w:val="auto"/>
          <w:sz w:val="24"/>
          <w:szCs w:val="24"/>
        </w:rPr>
      </w:pPr>
      <w:r w:rsidRPr="00237760">
        <w:rPr>
          <w:rFonts w:ascii="Arial" w:hAnsi="Arial" w:cs="Arial"/>
          <w:color w:val="auto"/>
          <w:sz w:val="24"/>
          <w:szCs w:val="24"/>
        </w:rPr>
        <w:t>Przeprowadzona ocena wykazała</w:t>
      </w:r>
      <w:r w:rsidR="00F24505" w:rsidRPr="00237760">
        <w:rPr>
          <w:rFonts w:ascii="Arial" w:hAnsi="Arial" w:cs="Arial"/>
          <w:color w:val="auto"/>
          <w:sz w:val="24"/>
          <w:szCs w:val="24"/>
        </w:rPr>
        <w:t xml:space="preserve"> także</w:t>
      </w:r>
      <w:r w:rsidRPr="00237760">
        <w:rPr>
          <w:rFonts w:ascii="Arial" w:hAnsi="Arial" w:cs="Arial"/>
          <w:color w:val="auto"/>
          <w:sz w:val="24"/>
          <w:szCs w:val="24"/>
        </w:rPr>
        <w:t xml:space="preserve"> wysoką spójność pomiędzy analizą SWOT </w:t>
      </w:r>
      <w:r w:rsidR="00EA7E1F" w:rsidRPr="00237760">
        <w:rPr>
          <w:rFonts w:ascii="Arial" w:hAnsi="Arial" w:cs="Arial"/>
          <w:color w:val="auto"/>
          <w:sz w:val="24"/>
          <w:szCs w:val="24"/>
        </w:rPr>
        <w:t>a</w:t>
      </w:r>
      <w:r w:rsidRPr="00237760">
        <w:rPr>
          <w:rFonts w:ascii="Arial" w:hAnsi="Arial" w:cs="Arial"/>
          <w:color w:val="auto"/>
          <w:sz w:val="24"/>
          <w:szCs w:val="24"/>
        </w:rPr>
        <w:t xml:space="preserve"> celami podstawowymi i horyzontalnymi PSRT WP (</w:t>
      </w:r>
      <w:r w:rsidRPr="00237760">
        <w:rPr>
          <w:rFonts w:ascii="Arial" w:hAnsi="Arial" w:cs="Arial"/>
          <w:color w:val="auto"/>
          <w:sz w:val="24"/>
          <w:szCs w:val="24"/>
        </w:rPr>
        <w:fldChar w:fldCharType="begin"/>
      </w:r>
      <w:r w:rsidRPr="00237760">
        <w:rPr>
          <w:rFonts w:ascii="Arial" w:hAnsi="Arial" w:cs="Arial"/>
          <w:color w:val="auto"/>
          <w:sz w:val="24"/>
          <w:szCs w:val="24"/>
        </w:rPr>
        <w:instrText xml:space="preserve"> REF _Ref100082325 \h  \* MERGEFORMAT </w:instrText>
      </w:r>
      <w:r w:rsidRPr="00237760">
        <w:rPr>
          <w:rFonts w:ascii="Arial" w:hAnsi="Arial" w:cs="Arial"/>
          <w:color w:val="auto"/>
          <w:sz w:val="24"/>
          <w:szCs w:val="24"/>
        </w:rPr>
      </w:r>
      <w:r w:rsidRPr="00237760">
        <w:rPr>
          <w:rFonts w:ascii="Arial" w:hAnsi="Arial" w:cs="Arial"/>
          <w:color w:val="auto"/>
          <w:sz w:val="24"/>
          <w:szCs w:val="24"/>
        </w:rPr>
        <w:fldChar w:fldCharType="separate"/>
      </w:r>
      <w:r w:rsidR="00DA6050" w:rsidRPr="00237760">
        <w:rPr>
          <w:rFonts w:ascii="Arial" w:hAnsi="Arial" w:cs="Arial"/>
          <w:color w:val="auto"/>
          <w:sz w:val="24"/>
          <w:szCs w:val="24"/>
        </w:rPr>
        <w:t xml:space="preserve">Tabela </w:t>
      </w:r>
      <w:r w:rsidR="00DA6050" w:rsidRPr="00237760">
        <w:rPr>
          <w:rFonts w:ascii="Arial" w:hAnsi="Arial" w:cs="Arial"/>
          <w:noProof/>
          <w:color w:val="auto"/>
          <w:sz w:val="24"/>
          <w:szCs w:val="24"/>
        </w:rPr>
        <w:t>44</w:t>
      </w:r>
      <w:r w:rsidRPr="00237760">
        <w:rPr>
          <w:rFonts w:ascii="Arial" w:hAnsi="Arial" w:cs="Arial"/>
          <w:color w:val="auto"/>
          <w:sz w:val="24"/>
          <w:szCs w:val="24"/>
        </w:rPr>
        <w:fldChar w:fldCharType="end"/>
      </w:r>
      <w:r w:rsidRPr="00237760">
        <w:rPr>
          <w:rFonts w:ascii="Arial" w:hAnsi="Arial" w:cs="Arial"/>
          <w:color w:val="auto"/>
          <w:sz w:val="24"/>
          <w:szCs w:val="24"/>
        </w:rPr>
        <w:t xml:space="preserve">). Każdy z celów </w:t>
      </w:r>
      <w:r w:rsidR="00F24505" w:rsidRPr="00237760">
        <w:rPr>
          <w:rFonts w:ascii="Arial" w:hAnsi="Arial" w:cs="Arial"/>
          <w:color w:val="auto"/>
          <w:sz w:val="24"/>
          <w:szCs w:val="24"/>
        </w:rPr>
        <w:t xml:space="preserve">odnosi się </w:t>
      </w:r>
      <w:r w:rsidRPr="00237760">
        <w:rPr>
          <w:rFonts w:ascii="Arial" w:hAnsi="Arial" w:cs="Arial"/>
          <w:color w:val="auto"/>
          <w:sz w:val="24"/>
          <w:szCs w:val="24"/>
        </w:rPr>
        <w:t xml:space="preserve">przynajmniej </w:t>
      </w:r>
      <w:r w:rsidR="00F24505" w:rsidRPr="00237760">
        <w:rPr>
          <w:rFonts w:ascii="Arial" w:hAnsi="Arial" w:cs="Arial"/>
          <w:color w:val="auto"/>
          <w:sz w:val="24"/>
          <w:szCs w:val="24"/>
        </w:rPr>
        <w:t>do kilkunastu</w:t>
      </w:r>
      <w:r w:rsidRPr="00237760">
        <w:rPr>
          <w:rFonts w:ascii="Arial" w:hAnsi="Arial" w:cs="Arial"/>
          <w:color w:val="auto"/>
          <w:sz w:val="24"/>
          <w:szCs w:val="24"/>
        </w:rPr>
        <w:t xml:space="preserve"> czynników zidentyfikowanych w analizie SWOT. </w:t>
      </w:r>
    </w:p>
    <w:p w14:paraId="21733908" w14:textId="26D2D46B" w:rsidR="00710815" w:rsidRPr="00237760" w:rsidRDefault="00710815" w:rsidP="009367B4">
      <w:pPr>
        <w:pStyle w:val="Legenda"/>
        <w:jc w:val="left"/>
        <w:rPr>
          <w:rFonts w:ascii="Arial" w:hAnsi="Arial" w:cs="Arial"/>
          <w:color w:val="auto"/>
          <w:sz w:val="24"/>
          <w:szCs w:val="24"/>
        </w:rPr>
      </w:pPr>
      <w:bookmarkStart w:id="277" w:name="_Ref99497107"/>
      <w:bookmarkStart w:id="278" w:name="_Ref100082325"/>
      <w:bookmarkStart w:id="279" w:name="_Toc101904285"/>
      <w:r w:rsidRPr="00237760">
        <w:rPr>
          <w:rFonts w:ascii="Arial" w:hAnsi="Arial" w:cs="Arial"/>
          <w:color w:val="auto"/>
          <w:sz w:val="24"/>
          <w:szCs w:val="24"/>
        </w:rPr>
        <w:t xml:space="preserve">Tabela </w:t>
      </w:r>
      <w:bookmarkEnd w:id="277"/>
      <w:r w:rsidRPr="00237760">
        <w:rPr>
          <w:rFonts w:ascii="Arial" w:hAnsi="Arial" w:cs="Arial"/>
          <w:color w:val="auto"/>
          <w:sz w:val="24"/>
          <w:szCs w:val="24"/>
        </w:rPr>
        <w:fldChar w:fldCharType="begin"/>
      </w:r>
      <w:r w:rsidRPr="00237760">
        <w:rPr>
          <w:rFonts w:ascii="Arial" w:hAnsi="Arial" w:cs="Arial"/>
          <w:color w:val="auto"/>
          <w:sz w:val="24"/>
          <w:szCs w:val="24"/>
        </w:rPr>
        <w:instrText xml:space="preserve"> SEQ Tabela \* ARABIC </w:instrText>
      </w:r>
      <w:r w:rsidRPr="00237760">
        <w:rPr>
          <w:rFonts w:ascii="Arial" w:hAnsi="Arial" w:cs="Arial"/>
          <w:color w:val="auto"/>
          <w:sz w:val="24"/>
          <w:szCs w:val="24"/>
        </w:rPr>
        <w:fldChar w:fldCharType="separate"/>
      </w:r>
      <w:r w:rsidR="00762B20" w:rsidRPr="00237760">
        <w:rPr>
          <w:rFonts w:ascii="Arial" w:hAnsi="Arial" w:cs="Arial"/>
          <w:noProof/>
          <w:color w:val="auto"/>
          <w:sz w:val="24"/>
          <w:szCs w:val="24"/>
        </w:rPr>
        <w:t>44</w:t>
      </w:r>
      <w:r w:rsidRPr="00237760">
        <w:rPr>
          <w:rFonts w:ascii="Arial" w:hAnsi="Arial" w:cs="Arial"/>
          <w:color w:val="auto"/>
          <w:sz w:val="24"/>
          <w:szCs w:val="24"/>
        </w:rPr>
        <w:fldChar w:fldCharType="end"/>
      </w:r>
      <w:bookmarkEnd w:id="278"/>
      <w:r w:rsidRPr="00237760">
        <w:rPr>
          <w:rFonts w:ascii="Arial" w:hAnsi="Arial" w:cs="Arial"/>
          <w:color w:val="auto"/>
          <w:sz w:val="24"/>
          <w:szCs w:val="24"/>
        </w:rPr>
        <w:t>. Oddziaływanie celów podstawowych i horyzontalnych na mocne i słabe strony analizy SWOT</w:t>
      </w:r>
      <w:bookmarkEnd w:id="279"/>
    </w:p>
    <w:tbl>
      <w:tblPr>
        <w:tblStyle w:val="Tabela-Siatka"/>
        <w:tblW w:w="9077" w:type="dxa"/>
        <w:tblInd w:w="-5"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ook w:val="04A0" w:firstRow="1" w:lastRow="0" w:firstColumn="1" w:lastColumn="0" w:noHBand="0" w:noVBand="1"/>
        <w:tblCaption w:val="Tabela 44. Oddziaływanie celów podstawowych i horyzontalnych na mocne i słabe strony analizy SWOT"/>
        <w:tblDescription w:val="Tabela zawiera Cel podstawowy, Elementy analizy SWOT na jakie oddziałuje"/>
      </w:tblPr>
      <w:tblGrid>
        <w:gridCol w:w="2018"/>
        <w:gridCol w:w="7059"/>
      </w:tblGrid>
      <w:tr w:rsidR="00237760" w:rsidRPr="00237760" w14:paraId="03B57147" w14:textId="77777777" w:rsidTr="002350B5">
        <w:trPr>
          <w:trHeight w:val="111"/>
          <w:tblHeader/>
        </w:trPr>
        <w:tc>
          <w:tcPr>
            <w:tcW w:w="1990" w:type="dxa"/>
            <w:tcBorders>
              <w:top w:val="single" w:sz="12" w:space="0" w:color="002060"/>
              <w:left w:val="nil"/>
              <w:bottom w:val="single" w:sz="4" w:space="0" w:color="BDD6EE" w:themeColor="accent1" w:themeTint="66"/>
              <w:right w:val="nil"/>
            </w:tcBorders>
            <w:shd w:val="clear" w:color="auto" w:fill="auto"/>
            <w:vAlign w:val="center"/>
            <w:hideMark/>
          </w:tcPr>
          <w:p w14:paraId="5C5FA08D" w14:textId="77777777" w:rsidR="00710815" w:rsidRPr="00237760" w:rsidRDefault="00710815" w:rsidP="009367B4">
            <w:pPr>
              <w:spacing w:after="0" w:line="240" w:lineRule="auto"/>
              <w:jc w:val="left"/>
              <w:rPr>
                <w:rFonts w:ascii="Arial" w:eastAsiaTheme="minorHAnsi" w:hAnsi="Arial" w:cs="Arial"/>
                <w:b/>
                <w:color w:val="auto"/>
                <w:sz w:val="24"/>
                <w:szCs w:val="24"/>
              </w:rPr>
            </w:pPr>
            <w:r w:rsidRPr="00237760">
              <w:rPr>
                <w:rFonts w:ascii="Arial" w:hAnsi="Arial" w:cs="Arial"/>
                <w:b/>
                <w:color w:val="auto"/>
                <w:sz w:val="24"/>
                <w:szCs w:val="24"/>
              </w:rPr>
              <w:t xml:space="preserve">Cel podstawowy </w:t>
            </w:r>
          </w:p>
        </w:tc>
        <w:tc>
          <w:tcPr>
            <w:tcW w:w="7087" w:type="dxa"/>
            <w:tcBorders>
              <w:top w:val="single" w:sz="12" w:space="0" w:color="002060"/>
              <w:left w:val="nil"/>
              <w:bottom w:val="single" w:sz="4" w:space="0" w:color="BDD6EE" w:themeColor="accent1" w:themeTint="66"/>
              <w:right w:val="nil"/>
            </w:tcBorders>
            <w:shd w:val="clear" w:color="auto" w:fill="auto"/>
            <w:vAlign w:val="center"/>
            <w:hideMark/>
          </w:tcPr>
          <w:p w14:paraId="5B9F2759"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Elementy analizy SWOT na jakie oddziałuje</w:t>
            </w:r>
          </w:p>
        </w:tc>
      </w:tr>
      <w:tr w:rsidR="00237760" w:rsidRPr="00237760" w14:paraId="25621D1C" w14:textId="77777777" w:rsidTr="00F311FF">
        <w:trPr>
          <w:trHeight w:val="151"/>
        </w:trPr>
        <w:tc>
          <w:tcPr>
            <w:tcW w:w="1990" w:type="dxa"/>
            <w:tcBorders>
              <w:top w:val="single" w:sz="4" w:space="0" w:color="BDD6EE" w:themeColor="accent1" w:themeTint="66"/>
              <w:left w:val="nil"/>
              <w:bottom w:val="single" w:sz="4" w:space="0" w:color="BDD6EE" w:themeColor="accent1" w:themeTint="66"/>
              <w:right w:val="nil"/>
            </w:tcBorders>
            <w:shd w:val="clear" w:color="auto" w:fill="auto"/>
            <w:vAlign w:val="center"/>
            <w:hideMark/>
          </w:tcPr>
          <w:p w14:paraId="62C77281"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CP1. Dostępność zewnętrzna</w:t>
            </w:r>
          </w:p>
          <w:p w14:paraId="1880A42B" w14:textId="77777777" w:rsidR="00710815" w:rsidRPr="00237760" w:rsidRDefault="00710815" w:rsidP="009367B4">
            <w:pPr>
              <w:spacing w:after="0" w:line="240" w:lineRule="auto"/>
              <w:jc w:val="left"/>
              <w:rPr>
                <w:rFonts w:ascii="Arial" w:hAnsi="Arial" w:cs="Arial"/>
                <w:color w:val="auto"/>
                <w:sz w:val="24"/>
                <w:szCs w:val="24"/>
              </w:rPr>
            </w:pPr>
          </w:p>
          <w:p w14:paraId="1A26CF47"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Zwiększenie dostępności zewnętrznej regionu (krajowej i zagranicznej) wynikającej z peryferyjnego położenia województwa</w:t>
            </w:r>
          </w:p>
          <w:p w14:paraId="5DEA9F79" w14:textId="77777777" w:rsidR="00710815" w:rsidRPr="00237760" w:rsidRDefault="00710815" w:rsidP="009367B4">
            <w:pPr>
              <w:spacing w:after="0" w:line="240" w:lineRule="auto"/>
              <w:jc w:val="left"/>
              <w:rPr>
                <w:rFonts w:ascii="Arial" w:hAnsi="Arial" w:cs="Arial"/>
                <w:color w:val="auto"/>
                <w:sz w:val="24"/>
                <w:szCs w:val="24"/>
              </w:rPr>
            </w:pPr>
          </w:p>
        </w:tc>
        <w:tc>
          <w:tcPr>
            <w:tcW w:w="7087" w:type="dxa"/>
            <w:tcBorders>
              <w:top w:val="single" w:sz="4" w:space="0" w:color="BDD6EE" w:themeColor="accent1" w:themeTint="66"/>
              <w:left w:val="nil"/>
              <w:bottom w:val="single" w:sz="4" w:space="0" w:color="BDD6EE" w:themeColor="accent1" w:themeTint="66"/>
              <w:right w:val="nil"/>
            </w:tcBorders>
            <w:shd w:val="clear" w:color="auto" w:fill="auto"/>
            <w:vAlign w:val="center"/>
            <w:hideMark/>
          </w:tcPr>
          <w:p w14:paraId="4A8E1BE1" w14:textId="6FA4DBC3" w:rsidR="00F311FF" w:rsidRPr="00237760" w:rsidRDefault="00F311FF" w:rsidP="009367B4">
            <w:pPr>
              <w:spacing w:after="0" w:line="240" w:lineRule="auto"/>
              <w:jc w:val="left"/>
              <w:rPr>
                <w:rFonts w:ascii="Arial" w:hAnsi="Arial" w:cs="Arial"/>
                <w:color w:val="auto"/>
                <w:sz w:val="24"/>
                <w:szCs w:val="24"/>
              </w:rPr>
            </w:pPr>
            <w:r w:rsidRPr="00237760">
              <w:rPr>
                <w:rFonts w:ascii="Arial" w:hAnsi="Arial" w:cs="Arial"/>
                <w:b/>
                <w:bCs/>
                <w:color w:val="auto"/>
                <w:sz w:val="24"/>
                <w:szCs w:val="24"/>
              </w:rPr>
              <w:t>Mocne strony</w:t>
            </w:r>
            <w:r w:rsidRPr="00237760">
              <w:rPr>
                <w:rFonts w:ascii="Arial" w:hAnsi="Arial" w:cs="Arial"/>
                <w:color w:val="auto"/>
                <w:sz w:val="24"/>
                <w:szCs w:val="24"/>
              </w:rPr>
              <w:t xml:space="preserve">: </w:t>
            </w:r>
            <w:r w:rsidR="00710815" w:rsidRPr="00237760">
              <w:rPr>
                <w:rFonts w:ascii="Arial" w:hAnsi="Arial" w:cs="Arial"/>
                <w:color w:val="auto"/>
                <w:sz w:val="24"/>
                <w:szCs w:val="24"/>
              </w:rPr>
              <w:t>Policentryczny układ sieci osadniczej województwa podkarpackiego</w:t>
            </w:r>
            <w:r w:rsidRPr="00237760">
              <w:rPr>
                <w:rFonts w:ascii="Arial" w:hAnsi="Arial" w:cs="Arial"/>
                <w:color w:val="auto"/>
                <w:sz w:val="24"/>
                <w:szCs w:val="24"/>
              </w:rPr>
              <w:t>;</w:t>
            </w:r>
            <w:r w:rsidR="00710815" w:rsidRPr="00237760">
              <w:rPr>
                <w:rFonts w:ascii="Arial" w:hAnsi="Arial" w:cs="Arial"/>
                <w:color w:val="auto"/>
                <w:sz w:val="24"/>
                <w:szCs w:val="24"/>
              </w:rPr>
              <w:t xml:space="preserve"> Budowa dróg obwodowych eliminujących hałas z centrów miast</w:t>
            </w:r>
            <w:r w:rsidRPr="00237760">
              <w:rPr>
                <w:rFonts w:ascii="Arial" w:hAnsi="Arial" w:cs="Arial"/>
                <w:color w:val="auto"/>
                <w:sz w:val="24"/>
                <w:szCs w:val="24"/>
              </w:rPr>
              <w:t>;</w:t>
            </w:r>
            <w:r w:rsidR="00710815" w:rsidRPr="00237760">
              <w:rPr>
                <w:rFonts w:ascii="Arial" w:hAnsi="Arial" w:cs="Arial"/>
                <w:color w:val="auto"/>
                <w:sz w:val="24"/>
                <w:szCs w:val="24"/>
              </w:rPr>
              <w:t xml:space="preserve"> Rozwój demograficzny i gospodarczy ośrodka wojewódzkiego z obszarem powiązanym funkcjonalnie (ROF)</w:t>
            </w:r>
            <w:r w:rsidRPr="00237760">
              <w:rPr>
                <w:rFonts w:ascii="Arial" w:hAnsi="Arial" w:cs="Arial"/>
                <w:color w:val="auto"/>
                <w:sz w:val="24"/>
                <w:szCs w:val="24"/>
              </w:rPr>
              <w:t>;</w:t>
            </w:r>
            <w:r w:rsidR="00710815" w:rsidRPr="00237760">
              <w:rPr>
                <w:rFonts w:ascii="Arial" w:hAnsi="Arial" w:cs="Arial"/>
                <w:color w:val="auto"/>
                <w:sz w:val="24"/>
                <w:szCs w:val="24"/>
              </w:rPr>
              <w:t xml:space="preserve"> Powiązanie układu komunikacyjnego województwa podkarpackiego z krajową i międzynarodową siecią TEN-T</w:t>
            </w:r>
            <w:r w:rsidRPr="00237760">
              <w:rPr>
                <w:rFonts w:ascii="Arial" w:hAnsi="Arial" w:cs="Arial"/>
                <w:color w:val="auto"/>
                <w:sz w:val="24"/>
                <w:szCs w:val="24"/>
              </w:rPr>
              <w:t>;</w:t>
            </w:r>
            <w:r w:rsidR="00710815" w:rsidRPr="00237760">
              <w:rPr>
                <w:rFonts w:ascii="Arial" w:hAnsi="Arial" w:cs="Arial"/>
                <w:color w:val="auto"/>
                <w:sz w:val="24"/>
                <w:szCs w:val="24"/>
              </w:rPr>
              <w:t xml:space="preserve"> Wysoka atrakcyjność turystyczna województwa</w:t>
            </w:r>
            <w:r w:rsidRPr="00237760">
              <w:rPr>
                <w:rFonts w:ascii="Arial" w:hAnsi="Arial" w:cs="Arial"/>
                <w:color w:val="auto"/>
                <w:sz w:val="24"/>
                <w:szCs w:val="24"/>
              </w:rPr>
              <w:t>;</w:t>
            </w:r>
            <w:r w:rsidR="00710815" w:rsidRPr="00237760">
              <w:rPr>
                <w:rFonts w:ascii="Arial" w:hAnsi="Arial" w:cs="Arial"/>
                <w:color w:val="auto"/>
                <w:sz w:val="24"/>
                <w:szCs w:val="24"/>
              </w:rPr>
              <w:t xml:space="preserve"> Posiadanie międzynarodowego portu lotniczego Rzeszów-Jasionka</w:t>
            </w:r>
            <w:r w:rsidRPr="00237760">
              <w:rPr>
                <w:rFonts w:ascii="Arial" w:hAnsi="Arial" w:cs="Arial"/>
                <w:color w:val="auto"/>
                <w:sz w:val="24"/>
                <w:szCs w:val="24"/>
              </w:rPr>
              <w:t>;</w:t>
            </w:r>
            <w:r w:rsidR="00710815" w:rsidRPr="00237760">
              <w:rPr>
                <w:rFonts w:ascii="Arial" w:hAnsi="Arial" w:cs="Arial"/>
                <w:color w:val="auto"/>
                <w:sz w:val="24"/>
                <w:szCs w:val="24"/>
              </w:rPr>
              <w:t xml:space="preserve"> Potencjał portu lotniczego Rzeszów – Jasionka</w:t>
            </w:r>
            <w:r w:rsidRPr="00237760">
              <w:rPr>
                <w:rFonts w:ascii="Arial" w:hAnsi="Arial" w:cs="Arial"/>
                <w:color w:val="auto"/>
                <w:sz w:val="24"/>
                <w:szCs w:val="24"/>
              </w:rPr>
              <w:t>;</w:t>
            </w:r>
            <w:r w:rsidR="00710815" w:rsidRPr="00237760">
              <w:rPr>
                <w:rFonts w:ascii="Arial" w:hAnsi="Arial" w:cs="Arial"/>
                <w:color w:val="auto"/>
                <w:sz w:val="24"/>
                <w:szCs w:val="24"/>
              </w:rPr>
              <w:t xml:space="preserve"> Dostępność transportowa biegunów wzrostu położonych wzdłuż autostrady A4 (Dębica, Rzeszów, Przeworsk-Jarosław, Przemyśl)</w:t>
            </w:r>
            <w:r w:rsidRPr="00237760">
              <w:rPr>
                <w:rFonts w:ascii="Arial" w:hAnsi="Arial" w:cs="Arial"/>
                <w:color w:val="auto"/>
                <w:sz w:val="24"/>
                <w:szCs w:val="24"/>
              </w:rPr>
              <w:t>;</w:t>
            </w:r>
            <w:r w:rsidR="00710815" w:rsidRPr="00237760">
              <w:rPr>
                <w:rFonts w:ascii="Arial" w:hAnsi="Arial" w:cs="Arial"/>
                <w:color w:val="auto"/>
                <w:sz w:val="24"/>
                <w:szCs w:val="24"/>
              </w:rPr>
              <w:t xml:space="preserve"> Autostrada A4 oraz magistrala kolejowa E30, stanowiące główną oś komunikacyjną na kierunku wschód-zachód</w:t>
            </w:r>
            <w:r w:rsidRPr="00237760">
              <w:rPr>
                <w:rFonts w:ascii="Arial" w:hAnsi="Arial" w:cs="Arial"/>
                <w:color w:val="auto"/>
                <w:sz w:val="24"/>
                <w:szCs w:val="24"/>
              </w:rPr>
              <w:t>;</w:t>
            </w:r>
            <w:r w:rsidR="00710815" w:rsidRPr="00237760">
              <w:rPr>
                <w:rFonts w:ascii="Arial" w:hAnsi="Arial" w:cs="Arial"/>
                <w:color w:val="auto"/>
                <w:sz w:val="24"/>
                <w:szCs w:val="24"/>
              </w:rPr>
              <w:t xml:space="preserve"> Opracowanie map akustycznych identyfikujących obszary najbardziej zagrożone hałasem i programów ochrony środowiska przed hałasem</w:t>
            </w:r>
            <w:r w:rsidRPr="00237760">
              <w:rPr>
                <w:rFonts w:ascii="Arial" w:hAnsi="Arial" w:cs="Arial"/>
                <w:color w:val="auto"/>
                <w:sz w:val="24"/>
                <w:szCs w:val="24"/>
              </w:rPr>
              <w:t>;</w:t>
            </w:r>
          </w:p>
          <w:p w14:paraId="0CF4C624" w14:textId="3481ECE2" w:rsidR="00710815" w:rsidRPr="00237760" w:rsidRDefault="00F311FF" w:rsidP="009367B4">
            <w:pPr>
              <w:spacing w:after="0" w:line="240" w:lineRule="auto"/>
              <w:jc w:val="left"/>
              <w:rPr>
                <w:rFonts w:ascii="Arial" w:hAnsi="Arial" w:cs="Arial"/>
                <w:color w:val="auto"/>
                <w:sz w:val="24"/>
                <w:szCs w:val="24"/>
              </w:rPr>
            </w:pPr>
            <w:r w:rsidRPr="00237760">
              <w:rPr>
                <w:rFonts w:ascii="Arial" w:hAnsi="Arial" w:cs="Arial"/>
                <w:b/>
                <w:bCs/>
                <w:color w:val="auto"/>
                <w:sz w:val="24"/>
                <w:szCs w:val="24"/>
              </w:rPr>
              <w:t>Słabe strony</w:t>
            </w:r>
            <w:r w:rsidRPr="00237760">
              <w:rPr>
                <w:rFonts w:ascii="Arial" w:hAnsi="Arial" w:cs="Arial"/>
                <w:color w:val="auto"/>
                <w:sz w:val="24"/>
                <w:szCs w:val="24"/>
              </w:rPr>
              <w:t xml:space="preserve">: </w:t>
            </w:r>
            <w:r w:rsidR="00710815" w:rsidRPr="00237760">
              <w:rPr>
                <w:rFonts w:ascii="Arial" w:hAnsi="Arial" w:cs="Arial"/>
                <w:color w:val="auto"/>
                <w:sz w:val="24"/>
                <w:szCs w:val="24"/>
              </w:rPr>
              <w:t>Niedostateczne powiązanie południowozachodniej części regionu infrastrukturą drogową wyższego rzędu z autostradą A4, a tym samym z resztą kraju (węzeł Pilzno na A4)</w:t>
            </w:r>
            <w:r w:rsidRPr="00237760">
              <w:rPr>
                <w:rFonts w:ascii="Arial" w:hAnsi="Arial" w:cs="Arial"/>
                <w:color w:val="auto"/>
                <w:sz w:val="24"/>
                <w:szCs w:val="24"/>
              </w:rPr>
              <w:t>;</w:t>
            </w:r>
            <w:r w:rsidR="00710815" w:rsidRPr="00237760">
              <w:rPr>
                <w:rFonts w:ascii="Arial" w:hAnsi="Arial" w:cs="Arial"/>
                <w:color w:val="auto"/>
                <w:sz w:val="24"/>
                <w:szCs w:val="24"/>
              </w:rPr>
              <w:t xml:space="preserve"> Peryferyjne położenie województwa względem centralnej Polski</w:t>
            </w:r>
            <w:r w:rsidRPr="00237760">
              <w:rPr>
                <w:rFonts w:ascii="Arial" w:hAnsi="Arial" w:cs="Arial"/>
                <w:color w:val="auto"/>
                <w:sz w:val="24"/>
                <w:szCs w:val="24"/>
              </w:rPr>
              <w:t>;</w:t>
            </w:r>
            <w:r w:rsidR="00710815" w:rsidRPr="00237760">
              <w:rPr>
                <w:rFonts w:ascii="Arial" w:hAnsi="Arial" w:cs="Arial"/>
                <w:color w:val="auto"/>
                <w:sz w:val="24"/>
                <w:szCs w:val="24"/>
              </w:rPr>
              <w:t xml:space="preserve"> Starzenie się społeczeństwa </w:t>
            </w:r>
            <w:r w:rsidR="00C605B2" w:rsidRPr="00237760">
              <w:rPr>
                <w:rFonts w:ascii="Arial" w:hAnsi="Arial" w:cs="Arial"/>
                <w:color w:val="auto"/>
                <w:sz w:val="24"/>
                <w:szCs w:val="24"/>
              </w:rPr>
              <w:br/>
            </w:r>
            <w:r w:rsidR="00710815" w:rsidRPr="00237760">
              <w:rPr>
                <w:rFonts w:ascii="Arial" w:hAnsi="Arial" w:cs="Arial"/>
                <w:color w:val="auto"/>
                <w:sz w:val="24"/>
                <w:szCs w:val="24"/>
              </w:rPr>
              <w:lastRenderedPageBreak/>
              <w:t>i rosnąca liczba osób w wieku poprodukcyjnym</w:t>
            </w:r>
            <w:r w:rsidRPr="00237760">
              <w:rPr>
                <w:rFonts w:ascii="Arial" w:hAnsi="Arial" w:cs="Arial"/>
                <w:color w:val="auto"/>
                <w:sz w:val="24"/>
                <w:szCs w:val="24"/>
              </w:rPr>
              <w:t>;</w:t>
            </w:r>
            <w:r w:rsidR="00710815" w:rsidRPr="00237760">
              <w:rPr>
                <w:rFonts w:ascii="Arial" w:hAnsi="Arial" w:cs="Arial"/>
                <w:color w:val="auto"/>
                <w:sz w:val="24"/>
                <w:szCs w:val="24"/>
              </w:rPr>
              <w:t xml:space="preserve"> Zaznaczające się coraz wyraźniej peryferie wewnętrzne województwa (w szczególności południowe i północnowschodnie części województwa)</w:t>
            </w:r>
            <w:r w:rsidRPr="00237760">
              <w:rPr>
                <w:rFonts w:ascii="Arial" w:hAnsi="Arial" w:cs="Arial"/>
                <w:color w:val="auto"/>
                <w:sz w:val="24"/>
                <w:szCs w:val="24"/>
              </w:rPr>
              <w:t>;</w:t>
            </w:r>
            <w:r w:rsidR="00710815" w:rsidRPr="00237760">
              <w:rPr>
                <w:rFonts w:ascii="Arial" w:hAnsi="Arial" w:cs="Arial"/>
                <w:color w:val="auto"/>
                <w:sz w:val="24"/>
                <w:szCs w:val="24"/>
              </w:rPr>
              <w:t xml:space="preserve"> Niedostateczne powiązanie południowej i północno-wschodniej części regionu, infrastrukturą drogową o wysokich parametrach technicznych z Rzeszowem</w:t>
            </w:r>
            <w:r w:rsidRPr="00237760">
              <w:rPr>
                <w:rFonts w:ascii="Arial" w:hAnsi="Arial" w:cs="Arial"/>
                <w:color w:val="auto"/>
                <w:sz w:val="24"/>
                <w:szCs w:val="24"/>
              </w:rPr>
              <w:t>;</w:t>
            </w:r>
            <w:r w:rsidR="00710815" w:rsidRPr="00237760">
              <w:rPr>
                <w:rFonts w:ascii="Arial" w:hAnsi="Arial" w:cs="Arial"/>
                <w:color w:val="auto"/>
                <w:sz w:val="24"/>
                <w:szCs w:val="24"/>
              </w:rPr>
              <w:t xml:space="preserve"> Niewystarczająca obsługa transportowa (kolejowa i drogowa) północnej i północnozachodniej części województwa, skupiających największą produkcję przemysłową, w tym eksportową</w:t>
            </w:r>
            <w:r w:rsidRPr="00237760">
              <w:rPr>
                <w:rFonts w:ascii="Arial" w:hAnsi="Arial" w:cs="Arial"/>
                <w:color w:val="auto"/>
                <w:sz w:val="24"/>
                <w:szCs w:val="24"/>
              </w:rPr>
              <w:t>;</w:t>
            </w:r>
            <w:r w:rsidR="00710815" w:rsidRPr="00237760">
              <w:rPr>
                <w:rFonts w:ascii="Arial" w:hAnsi="Arial" w:cs="Arial"/>
                <w:color w:val="auto"/>
                <w:sz w:val="24"/>
                <w:szCs w:val="24"/>
              </w:rPr>
              <w:t xml:space="preserve"> Duży odsetek dróg krajowych, wojewódzkich i powiatowych nie spełniających normatywu nośności</w:t>
            </w:r>
            <w:r w:rsidRPr="00237760">
              <w:rPr>
                <w:rFonts w:ascii="Arial" w:hAnsi="Arial" w:cs="Arial"/>
                <w:color w:val="auto"/>
                <w:sz w:val="24"/>
                <w:szCs w:val="24"/>
              </w:rPr>
              <w:t>;</w:t>
            </w:r>
            <w:r w:rsidR="00710815" w:rsidRPr="00237760">
              <w:rPr>
                <w:rFonts w:ascii="Arial" w:hAnsi="Arial" w:cs="Arial"/>
                <w:color w:val="auto"/>
                <w:sz w:val="24"/>
                <w:szCs w:val="24"/>
              </w:rPr>
              <w:t xml:space="preserve"> Ruch tranzytowy przebiegający przez obszary zurbanizowane</w:t>
            </w:r>
            <w:r w:rsidRPr="00237760">
              <w:rPr>
                <w:rFonts w:ascii="Arial" w:hAnsi="Arial" w:cs="Arial"/>
                <w:color w:val="auto"/>
                <w:sz w:val="24"/>
                <w:szCs w:val="24"/>
              </w:rPr>
              <w:t>;</w:t>
            </w:r>
            <w:r w:rsidR="00710815" w:rsidRPr="00237760">
              <w:rPr>
                <w:rFonts w:ascii="Arial" w:hAnsi="Arial" w:cs="Arial"/>
                <w:color w:val="auto"/>
                <w:sz w:val="24"/>
                <w:szCs w:val="24"/>
              </w:rPr>
              <w:t xml:space="preserve"> Niedostateczne powiązanie południowej części regionu z infrastrukturą kolejową z Rzeszowem i z resztą kraju</w:t>
            </w:r>
            <w:r w:rsidRPr="00237760">
              <w:rPr>
                <w:rFonts w:ascii="Arial" w:hAnsi="Arial" w:cs="Arial"/>
                <w:color w:val="auto"/>
                <w:sz w:val="24"/>
                <w:szCs w:val="24"/>
              </w:rPr>
              <w:t>;</w:t>
            </w:r>
            <w:r w:rsidR="00710815" w:rsidRPr="00237760">
              <w:rPr>
                <w:rFonts w:ascii="Arial" w:hAnsi="Arial" w:cs="Arial"/>
                <w:color w:val="auto"/>
                <w:sz w:val="24"/>
                <w:szCs w:val="24"/>
              </w:rPr>
              <w:t xml:space="preserve"> Niewystarczająca obsługa transportowa (kolejowa i drogowa) północnej i północnozachodniej części województwa, skupiających największą produkcję przemysłową, w tym eksportową</w:t>
            </w:r>
            <w:r w:rsidRPr="00237760">
              <w:rPr>
                <w:rFonts w:ascii="Arial" w:hAnsi="Arial" w:cs="Arial"/>
                <w:color w:val="auto"/>
                <w:sz w:val="24"/>
                <w:szCs w:val="24"/>
              </w:rPr>
              <w:t>;</w:t>
            </w:r>
            <w:r w:rsidR="00710815" w:rsidRPr="00237760">
              <w:rPr>
                <w:rFonts w:ascii="Arial" w:hAnsi="Arial" w:cs="Arial"/>
                <w:color w:val="auto"/>
                <w:sz w:val="24"/>
                <w:szCs w:val="24"/>
              </w:rPr>
              <w:t xml:space="preserve"> Wysokie obciążenie dla środowiska naturalnego, zwłaszcza ze strony transportu samochodowego</w:t>
            </w:r>
            <w:r w:rsidRPr="00237760">
              <w:rPr>
                <w:rFonts w:ascii="Arial" w:hAnsi="Arial" w:cs="Arial"/>
                <w:color w:val="auto"/>
                <w:sz w:val="24"/>
                <w:szCs w:val="24"/>
              </w:rPr>
              <w:t>;</w:t>
            </w:r>
            <w:r w:rsidR="00710815" w:rsidRPr="00237760">
              <w:rPr>
                <w:rFonts w:ascii="Arial" w:hAnsi="Arial" w:cs="Arial"/>
                <w:color w:val="auto"/>
                <w:sz w:val="24"/>
                <w:szCs w:val="24"/>
              </w:rPr>
              <w:t xml:space="preserve"> Asymetria popytu na transport skierowanego głównie na transport samochodowy</w:t>
            </w:r>
            <w:r w:rsidRPr="00237760">
              <w:rPr>
                <w:rFonts w:ascii="Arial" w:hAnsi="Arial" w:cs="Arial"/>
                <w:color w:val="auto"/>
                <w:sz w:val="24"/>
                <w:szCs w:val="24"/>
              </w:rPr>
              <w:t>;</w:t>
            </w:r>
            <w:r w:rsidR="00710815" w:rsidRPr="00237760">
              <w:rPr>
                <w:rFonts w:ascii="Arial" w:hAnsi="Arial" w:cs="Arial"/>
                <w:color w:val="auto"/>
                <w:sz w:val="24"/>
                <w:szCs w:val="24"/>
              </w:rPr>
              <w:t xml:space="preserve"> Niekorzystna i utrzymująca się struktura gałęziowa przewozów z dominującym i wciąż rosnącym udziałem transportu drogowego</w:t>
            </w:r>
            <w:r w:rsidRPr="00237760">
              <w:rPr>
                <w:rFonts w:ascii="Arial" w:hAnsi="Arial" w:cs="Arial"/>
                <w:color w:val="auto"/>
                <w:sz w:val="24"/>
                <w:szCs w:val="24"/>
              </w:rPr>
              <w:t>;</w:t>
            </w:r>
            <w:r w:rsidR="00710815" w:rsidRPr="00237760">
              <w:rPr>
                <w:rFonts w:ascii="Arial" w:hAnsi="Arial" w:cs="Arial"/>
                <w:color w:val="auto"/>
                <w:sz w:val="24"/>
                <w:szCs w:val="24"/>
              </w:rPr>
              <w:t xml:space="preserve"> Niski poziom innowacyjności sieci i zastosowania inteligentnych systemów transportowych</w:t>
            </w:r>
            <w:r w:rsidRPr="00237760">
              <w:rPr>
                <w:rFonts w:ascii="Arial" w:hAnsi="Arial" w:cs="Arial"/>
                <w:color w:val="auto"/>
                <w:sz w:val="24"/>
                <w:szCs w:val="24"/>
              </w:rPr>
              <w:t>;</w:t>
            </w:r>
            <w:r w:rsidR="00710815" w:rsidRPr="00237760">
              <w:rPr>
                <w:rFonts w:ascii="Arial" w:hAnsi="Arial" w:cs="Arial"/>
                <w:color w:val="auto"/>
                <w:sz w:val="24"/>
                <w:szCs w:val="24"/>
              </w:rPr>
              <w:t xml:space="preserve"> Brak spójnej sieci połączonych ze sobą tras rowerowych województwa o jednolitych parametrach</w:t>
            </w:r>
            <w:r w:rsidRPr="00237760">
              <w:rPr>
                <w:rFonts w:ascii="Arial" w:hAnsi="Arial" w:cs="Arial"/>
                <w:color w:val="auto"/>
                <w:sz w:val="24"/>
                <w:szCs w:val="24"/>
              </w:rPr>
              <w:t>;</w:t>
            </w:r>
            <w:r w:rsidR="00710815" w:rsidRPr="00237760">
              <w:rPr>
                <w:rFonts w:ascii="Arial" w:hAnsi="Arial" w:cs="Arial"/>
                <w:color w:val="auto"/>
                <w:sz w:val="24"/>
                <w:szCs w:val="24"/>
              </w:rPr>
              <w:t xml:space="preserve">  Jedna linia kolejowa </w:t>
            </w:r>
            <w:r w:rsidR="00C605B2" w:rsidRPr="00237760">
              <w:rPr>
                <w:rFonts w:ascii="Arial" w:hAnsi="Arial" w:cs="Arial"/>
                <w:color w:val="auto"/>
                <w:sz w:val="24"/>
                <w:szCs w:val="24"/>
              </w:rPr>
              <w:br/>
            </w:r>
            <w:r w:rsidR="00710815" w:rsidRPr="00237760">
              <w:rPr>
                <w:rFonts w:ascii="Arial" w:hAnsi="Arial" w:cs="Arial"/>
                <w:color w:val="auto"/>
                <w:sz w:val="24"/>
                <w:szCs w:val="24"/>
              </w:rPr>
              <w:t>o znaczeniu międzynarodowym (słabe)</w:t>
            </w:r>
          </w:p>
        </w:tc>
      </w:tr>
      <w:tr w:rsidR="00237760" w:rsidRPr="00237760" w14:paraId="3EE4FA9B" w14:textId="77777777" w:rsidTr="00F311FF">
        <w:trPr>
          <w:trHeight w:val="151"/>
        </w:trPr>
        <w:tc>
          <w:tcPr>
            <w:tcW w:w="199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40038055"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lastRenderedPageBreak/>
              <w:t>CP2. Transportowa spójność wewnętrzna</w:t>
            </w:r>
          </w:p>
          <w:p w14:paraId="615F0974" w14:textId="77777777" w:rsidR="00710815" w:rsidRPr="00237760" w:rsidRDefault="00710815" w:rsidP="009367B4">
            <w:pPr>
              <w:spacing w:after="0" w:line="240" w:lineRule="auto"/>
              <w:jc w:val="left"/>
              <w:rPr>
                <w:rFonts w:ascii="Arial" w:hAnsi="Arial" w:cs="Arial"/>
                <w:color w:val="auto"/>
                <w:sz w:val="24"/>
                <w:szCs w:val="24"/>
              </w:rPr>
            </w:pPr>
          </w:p>
          <w:p w14:paraId="15FA9969"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Zwiększenie powiązań transportowych w regionie, w tym likwidowanie obszarów wykluczenia transportowego spowodowanego niskim zaludnieniem / obszarami górzystymi / obszarami o </w:t>
            </w:r>
            <w:r w:rsidRPr="00237760">
              <w:rPr>
                <w:rFonts w:ascii="Arial" w:hAnsi="Arial" w:cs="Arial"/>
                <w:color w:val="auto"/>
                <w:sz w:val="24"/>
                <w:szCs w:val="24"/>
              </w:rPr>
              <w:lastRenderedPageBreak/>
              <w:t>niskiej skali zatrudniania</w:t>
            </w:r>
          </w:p>
          <w:p w14:paraId="49DC04B2" w14:textId="77777777" w:rsidR="00710815" w:rsidRPr="00237760" w:rsidRDefault="00710815" w:rsidP="009367B4">
            <w:pPr>
              <w:spacing w:after="0" w:line="240" w:lineRule="auto"/>
              <w:jc w:val="left"/>
              <w:rPr>
                <w:rFonts w:ascii="Arial" w:hAnsi="Arial" w:cs="Arial"/>
                <w:color w:val="auto"/>
                <w:sz w:val="24"/>
                <w:szCs w:val="24"/>
              </w:rPr>
            </w:pPr>
          </w:p>
        </w:tc>
        <w:tc>
          <w:tcPr>
            <w:tcW w:w="7087"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13E5639C" w14:textId="12317BD7" w:rsidR="00F311FF" w:rsidRPr="00237760" w:rsidRDefault="00F311FF" w:rsidP="009367B4">
            <w:pPr>
              <w:spacing w:after="0" w:line="240" w:lineRule="auto"/>
              <w:jc w:val="left"/>
              <w:rPr>
                <w:rFonts w:ascii="Arial" w:hAnsi="Arial" w:cs="Arial"/>
                <w:color w:val="auto"/>
                <w:sz w:val="24"/>
                <w:szCs w:val="24"/>
              </w:rPr>
            </w:pPr>
            <w:r w:rsidRPr="00237760">
              <w:rPr>
                <w:rFonts w:ascii="Arial" w:hAnsi="Arial" w:cs="Arial"/>
                <w:b/>
                <w:bCs/>
                <w:color w:val="auto"/>
                <w:sz w:val="24"/>
                <w:szCs w:val="24"/>
              </w:rPr>
              <w:lastRenderedPageBreak/>
              <w:t>Mocne strony</w:t>
            </w:r>
            <w:r w:rsidRPr="00237760">
              <w:rPr>
                <w:rFonts w:ascii="Arial" w:hAnsi="Arial" w:cs="Arial"/>
                <w:color w:val="auto"/>
                <w:sz w:val="24"/>
                <w:szCs w:val="24"/>
              </w:rPr>
              <w:t xml:space="preserve">: </w:t>
            </w:r>
            <w:r w:rsidR="00710815" w:rsidRPr="00237760">
              <w:rPr>
                <w:rFonts w:ascii="Arial" w:hAnsi="Arial" w:cs="Arial"/>
                <w:color w:val="auto"/>
                <w:sz w:val="24"/>
                <w:szCs w:val="24"/>
              </w:rPr>
              <w:t>Opracowanie map akustycznych identyfikujących obszary najbardziej zagrożone hałasem i programów ochrony środowiska przed hałasem</w:t>
            </w:r>
            <w:r w:rsidRPr="00237760">
              <w:rPr>
                <w:rFonts w:ascii="Arial" w:hAnsi="Arial" w:cs="Arial"/>
                <w:color w:val="auto"/>
                <w:sz w:val="24"/>
                <w:szCs w:val="24"/>
              </w:rPr>
              <w:t>;</w:t>
            </w:r>
            <w:r w:rsidR="00710815" w:rsidRPr="00237760">
              <w:rPr>
                <w:rFonts w:ascii="Arial" w:hAnsi="Arial" w:cs="Arial"/>
                <w:color w:val="auto"/>
                <w:sz w:val="24"/>
                <w:szCs w:val="24"/>
              </w:rPr>
              <w:t xml:space="preserve"> Policentryczny układ sieci osadniczej województwa podkarpackiego</w:t>
            </w:r>
            <w:r w:rsidRPr="00237760">
              <w:rPr>
                <w:rFonts w:ascii="Arial" w:hAnsi="Arial" w:cs="Arial"/>
                <w:color w:val="auto"/>
                <w:sz w:val="24"/>
                <w:szCs w:val="24"/>
              </w:rPr>
              <w:t>;</w:t>
            </w:r>
            <w:r w:rsidR="00710815" w:rsidRPr="00237760">
              <w:rPr>
                <w:rFonts w:ascii="Arial" w:hAnsi="Arial" w:cs="Arial"/>
                <w:color w:val="auto"/>
                <w:sz w:val="24"/>
                <w:szCs w:val="24"/>
              </w:rPr>
              <w:t xml:space="preserve"> Rozwój demograficzny i gospodarczy ośrodka wojewódzkiego z obszarem powiązanym funkcjonalnie (ROF)</w:t>
            </w:r>
            <w:r w:rsidRPr="00237760">
              <w:rPr>
                <w:rFonts w:ascii="Arial" w:hAnsi="Arial" w:cs="Arial"/>
                <w:color w:val="auto"/>
                <w:sz w:val="24"/>
                <w:szCs w:val="24"/>
              </w:rPr>
              <w:t>;</w:t>
            </w:r>
          </w:p>
          <w:p w14:paraId="18ACF94F" w14:textId="20197E30" w:rsidR="00710815" w:rsidRPr="00237760" w:rsidRDefault="00F311FF" w:rsidP="009367B4">
            <w:pPr>
              <w:spacing w:after="0" w:line="240" w:lineRule="auto"/>
              <w:jc w:val="left"/>
              <w:rPr>
                <w:rFonts w:ascii="Arial" w:hAnsi="Arial" w:cs="Arial"/>
                <w:color w:val="auto"/>
                <w:sz w:val="24"/>
                <w:szCs w:val="24"/>
              </w:rPr>
            </w:pPr>
            <w:r w:rsidRPr="00237760">
              <w:rPr>
                <w:rFonts w:ascii="Arial" w:hAnsi="Arial" w:cs="Arial"/>
                <w:b/>
                <w:bCs/>
                <w:color w:val="auto"/>
                <w:sz w:val="24"/>
                <w:szCs w:val="24"/>
              </w:rPr>
              <w:t>Słabe strony</w:t>
            </w:r>
            <w:r w:rsidRPr="00237760">
              <w:rPr>
                <w:rFonts w:ascii="Arial" w:hAnsi="Arial" w:cs="Arial"/>
                <w:color w:val="auto"/>
                <w:sz w:val="24"/>
                <w:szCs w:val="24"/>
              </w:rPr>
              <w:t xml:space="preserve">: </w:t>
            </w:r>
            <w:r w:rsidR="00710815" w:rsidRPr="00237760">
              <w:rPr>
                <w:rFonts w:ascii="Arial" w:hAnsi="Arial" w:cs="Arial"/>
                <w:color w:val="auto"/>
                <w:sz w:val="24"/>
                <w:szCs w:val="24"/>
              </w:rPr>
              <w:t>Peryferyjne położenie województwa względem centralnej Polski</w:t>
            </w:r>
            <w:r w:rsidRPr="00237760">
              <w:rPr>
                <w:rFonts w:ascii="Arial" w:hAnsi="Arial" w:cs="Arial"/>
                <w:color w:val="auto"/>
                <w:sz w:val="24"/>
                <w:szCs w:val="24"/>
              </w:rPr>
              <w:t>;</w:t>
            </w:r>
            <w:r w:rsidR="00710815" w:rsidRPr="00237760">
              <w:rPr>
                <w:rFonts w:ascii="Arial" w:hAnsi="Arial" w:cs="Arial"/>
                <w:color w:val="auto"/>
                <w:sz w:val="24"/>
                <w:szCs w:val="24"/>
              </w:rPr>
              <w:t xml:space="preserve">  Wysoka atrakcyjność turystyczna województwa</w:t>
            </w:r>
            <w:r w:rsidRPr="00237760">
              <w:rPr>
                <w:rFonts w:ascii="Arial" w:hAnsi="Arial" w:cs="Arial"/>
                <w:color w:val="auto"/>
                <w:sz w:val="24"/>
                <w:szCs w:val="24"/>
              </w:rPr>
              <w:t>;</w:t>
            </w:r>
            <w:r w:rsidR="00710815" w:rsidRPr="00237760">
              <w:rPr>
                <w:rFonts w:ascii="Arial" w:hAnsi="Arial" w:cs="Arial"/>
                <w:color w:val="auto"/>
                <w:sz w:val="24"/>
                <w:szCs w:val="24"/>
              </w:rPr>
              <w:t xml:space="preserve"> Posiadanie międzynarodowego portu lotniczego Rzeszów-Jasionka</w:t>
            </w:r>
            <w:r w:rsidRPr="00237760">
              <w:rPr>
                <w:rFonts w:ascii="Arial" w:hAnsi="Arial" w:cs="Arial"/>
                <w:color w:val="auto"/>
                <w:sz w:val="24"/>
                <w:szCs w:val="24"/>
              </w:rPr>
              <w:t>;</w:t>
            </w:r>
            <w:r w:rsidR="00710815" w:rsidRPr="00237760">
              <w:rPr>
                <w:rFonts w:ascii="Arial" w:hAnsi="Arial" w:cs="Arial"/>
                <w:color w:val="auto"/>
                <w:sz w:val="24"/>
                <w:szCs w:val="24"/>
              </w:rPr>
              <w:t xml:space="preserve"> Potencjał portu lotniczego Rzeszów – Jasionka</w:t>
            </w:r>
            <w:r w:rsidRPr="00237760">
              <w:rPr>
                <w:rFonts w:ascii="Arial" w:hAnsi="Arial" w:cs="Arial"/>
                <w:color w:val="auto"/>
                <w:sz w:val="24"/>
                <w:szCs w:val="24"/>
              </w:rPr>
              <w:t>;</w:t>
            </w:r>
            <w:r w:rsidR="00710815" w:rsidRPr="00237760">
              <w:rPr>
                <w:rFonts w:ascii="Arial" w:hAnsi="Arial" w:cs="Arial"/>
                <w:color w:val="auto"/>
                <w:sz w:val="24"/>
                <w:szCs w:val="24"/>
              </w:rPr>
              <w:t xml:space="preserve"> Dostępność transportowa biegunów wzrostu położonych wzdłuż autostrady A4 (Dębica, Rzeszów, Przeworsk-Jarosław, Przemyśl)</w:t>
            </w:r>
            <w:r w:rsidRPr="00237760">
              <w:rPr>
                <w:rFonts w:ascii="Arial" w:hAnsi="Arial" w:cs="Arial"/>
                <w:color w:val="auto"/>
                <w:sz w:val="24"/>
                <w:szCs w:val="24"/>
              </w:rPr>
              <w:t>;</w:t>
            </w:r>
            <w:r w:rsidR="00710815" w:rsidRPr="00237760">
              <w:rPr>
                <w:rFonts w:ascii="Arial" w:hAnsi="Arial" w:cs="Arial"/>
                <w:color w:val="auto"/>
                <w:sz w:val="24"/>
                <w:szCs w:val="24"/>
              </w:rPr>
              <w:t xml:space="preserve"> Budowa dróg obwodowych eliminujących hałas z centrów miast</w:t>
            </w:r>
            <w:r w:rsidRPr="00237760">
              <w:rPr>
                <w:rFonts w:ascii="Arial" w:hAnsi="Arial" w:cs="Arial"/>
                <w:color w:val="auto"/>
                <w:sz w:val="24"/>
                <w:szCs w:val="24"/>
              </w:rPr>
              <w:t>;</w:t>
            </w:r>
            <w:r w:rsidR="00710815" w:rsidRPr="00237760">
              <w:rPr>
                <w:rFonts w:ascii="Arial" w:hAnsi="Arial" w:cs="Arial"/>
                <w:color w:val="auto"/>
                <w:sz w:val="24"/>
                <w:szCs w:val="24"/>
              </w:rPr>
              <w:t xml:space="preserve"> Zaznaczające się coraz wyraźniej peryferie wewnętrzne województwa (w szczególności południowe i północnowschodnie części województwa)</w:t>
            </w:r>
            <w:r w:rsidRPr="00237760">
              <w:rPr>
                <w:rFonts w:ascii="Arial" w:hAnsi="Arial" w:cs="Arial"/>
                <w:color w:val="auto"/>
                <w:sz w:val="24"/>
                <w:szCs w:val="24"/>
              </w:rPr>
              <w:t>;</w:t>
            </w:r>
            <w:r w:rsidR="00710815" w:rsidRPr="00237760">
              <w:rPr>
                <w:rFonts w:ascii="Arial" w:hAnsi="Arial" w:cs="Arial"/>
                <w:color w:val="auto"/>
                <w:sz w:val="24"/>
                <w:szCs w:val="24"/>
              </w:rPr>
              <w:t xml:space="preserve"> Rozproszenie zabudowy, głównie na terenach wiejskich</w:t>
            </w:r>
            <w:r w:rsidRPr="00237760">
              <w:rPr>
                <w:rFonts w:ascii="Arial" w:hAnsi="Arial" w:cs="Arial"/>
                <w:color w:val="auto"/>
                <w:sz w:val="24"/>
                <w:szCs w:val="24"/>
              </w:rPr>
              <w:t>;</w:t>
            </w:r>
            <w:r w:rsidR="00710815" w:rsidRPr="00237760">
              <w:rPr>
                <w:rFonts w:ascii="Arial" w:hAnsi="Arial" w:cs="Arial"/>
                <w:color w:val="auto"/>
                <w:sz w:val="24"/>
                <w:szCs w:val="24"/>
              </w:rPr>
              <w:t xml:space="preserve"> Ruch tranzytowy przebiegający przez obszary zurbanizowane</w:t>
            </w:r>
            <w:r w:rsidRPr="00237760">
              <w:rPr>
                <w:rFonts w:ascii="Arial" w:hAnsi="Arial" w:cs="Arial"/>
                <w:color w:val="auto"/>
                <w:sz w:val="24"/>
                <w:szCs w:val="24"/>
              </w:rPr>
              <w:t>;</w:t>
            </w:r>
            <w:r w:rsidR="00710815" w:rsidRPr="00237760">
              <w:rPr>
                <w:rFonts w:ascii="Arial" w:hAnsi="Arial" w:cs="Arial"/>
                <w:color w:val="auto"/>
                <w:sz w:val="24"/>
                <w:szCs w:val="24"/>
              </w:rPr>
              <w:t xml:space="preserve"> Niski poziom innowacyjności sieci i zastosowania inteligentnych systemów transportowych</w:t>
            </w:r>
            <w:r w:rsidRPr="00237760">
              <w:rPr>
                <w:rFonts w:ascii="Arial" w:hAnsi="Arial" w:cs="Arial"/>
                <w:color w:val="auto"/>
                <w:sz w:val="24"/>
                <w:szCs w:val="24"/>
              </w:rPr>
              <w:t>;</w:t>
            </w:r>
            <w:r w:rsidR="00710815" w:rsidRPr="00237760">
              <w:rPr>
                <w:rFonts w:ascii="Arial" w:hAnsi="Arial" w:cs="Arial"/>
                <w:color w:val="auto"/>
                <w:sz w:val="24"/>
                <w:szCs w:val="24"/>
              </w:rPr>
              <w:t xml:space="preserve"> Duży odsetek dróg krajowych, </w:t>
            </w:r>
            <w:r w:rsidR="00710815" w:rsidRPr="00237760">
              <w:rPr>
                <w:rFonts w:ascii="Arial" w:hAnsi="Arial" w:cs="Arial"/>
                <w:color w:val="auto"/>
                <w:sz w:val="24"/>
                <w:szCs w:val="24"/>
              </w:rPr>
              <w:lastRenderedPageBreak/>
              <w:t>wojewódzkich i powiatowych nie spełniających normatywu nośności</w:t>
            </w:r>
            <w:r w:rsidRPr="00237760">
              <w:rPr>
                <w:rFonts w:ascii="Arial" w:hAnsi="Arial" w:cs="Arial"/>
                <w:color w:val="auto"/>
                <w:sz w:val="24"/>
                <w:szCs w:val="24"/>
              </w:rPr>
              <w:t>;</w:t>
            </w:r>
            <w:r w:rsidR="00710815" w:rsidRPr="00237760">
              <w:rPr>
                <w:rFonts w:ascii="Arial" w:hAnsi="Arial" w:cs="Arial"/>
                <w:color w:val="auto"/>
                <w:sz w:val="24"/>
                <w:szCs w:val="24"/>
              </w:rPr>
              <w:t xml:space="preserve"> Niewystarczająca obsługa transportowa (kolejowa i drogowa) północnej i północnozachodniej części województwa, skupiających największą produkcję przemysłową, w tym eksportową</w:t>
            </w:r>
            <w:r w:rsidRPr="00237760">
              <w:rPr>
                <w:rFonts w:ascii="Arial" w:hAnsi="Arial" w:cs="Arial"/>
                <w:color w:val="auto"/>
                <w:sz w:val="24"/>
                <w:szCs w:val="24"/>
              </w:rPr>
              <w:t>;</w:t>
            </w:r>
            <w:r w:rsidR="00710815" w:rsidRPr="00237760">
              <w:rPr>
                <w:rFonts w:ascii="Arial" w:hAnsi="Arial" w:cs="Arial"/>
                <w:color w:val="auto"/>
                <w:sz w:val="24"/>
                <w:szCs w:val="24"/>
              </w:rPr>
              <w:t xml:space="preserve">  Niedostateczne powiązanie południowej i północno-wschodniej części regionu, infrastrukturą drogową o wysokich parametrach technicznych z Rzeszowem</w:t>
            </w:r>
            <w:r w:rsidRPr="00237760">
              <w:rPr>
                <w:rFonts w:ascii="Arial" w:hAnsi="Arial" w:cs="Arial"/>
                <w:color w:val="auto"/>
                <w:sz w:val="24"/>
                <w:szCs w:val="24"/>
              </w:rPr>
              <w:t>;</w:t>
            </w:r>
            <w:r w:rsidR="00710815" w:rsidRPr="00237760">
              <w:rPr>
                <w:rFonts w:ascii="Arial" w:hAnsi="Arial" w:cs="Arial"/>
                <w:color w:val="auto"/>
                <w:sz w:val="24"/>
                <w:szCs w:val="24"/>
              </w:rPr>
              <w:t xml:space="preserve"> Starzenie się społeczeństwa i rosnąca liczba osób w wieku poprodukcyjnym</w:t>
            </w:r>
            <w:r w:rsidRPr="00237760">
              <w:rPr>
                <w:rFonts w:ascii="Arial" w:hAnsi="Arial" w:cs="Arial"/>
                <w:color w:val="auto"/>
                <w:sz w:val="24"/>
                <w:szCs w:val="24"/>
              </w:rPr>
              <w:t>;</w:t>
            </w:r>
            <w:r w:rsidR="00710815" w:rsidRPr="00237760">
              <w:rPr>
                <w:rFonts w:ascii="Arial" w:hAnsi="Arial" w:cs="Arial"/>
                <w:color w:val="auto"/>
                <w:sz w:val="24"/>
                <w:szCs w:val="24"/>
              </w:rPr>
              <w:t xml:space="preserve"> Jedna linia kolejowa o znaczeniu międzynarodowym</w:t>
            </w:r>
            <w:r w:rsidRPr="00237760">
              <w:rPr>
                <w:rFonts w:ascii="Arial" w:hAnsi="Arial" w:cs="Arial"/>
                <w:color w:val="auto"/>
                <w:sz w:val="24"/>
                <w:szCs w:val="24"/>
              </w:rPr>
              <w:t>;</w:t>
            </w:r>
            <w:r w:rsidR="00710815" w:rsidRPr="00237760">
              <w:rPr>
                <w:rFonts w:ascii="Arial" w:hAnsi="Arial" w:cs="Arial"/>
                <w:color w:val="auto"/>
                <w:sz w:val="24"/>
                <w:szCs w:val="24"/>
              </w:rPr>
              <w:t xml:space="preserve"> Wysokie obciążenie dla środowiska naturalnego, zwłaszcza ze strony transportu samochodowego</w:t>
            </w:r>
            <w:r w:rsidRPr="00237760">
              <w:rPr>
                <w:rFonts w:ascii="Arial" w:hAnsi="Arial" w:cs="Arial"/>
                <w:color w:val="auto"/>
                <w:sz w:val="24"/>
                <w:szCs w:val="24"/>
              </w:rPr>
              <w:t>;</w:t>
            </w:r>
            <w:r w:rsidR="00710815" w:rsidRPr="00237760">
              <w:rPr>
                <w:rFonts w:ascii="Arial" w:hAnsi="Arial" w:cs="Arial"/>
                <w:color w:val="auto"/>
                <w:sz w:val="24"/>
                <w:szCs w:val="24"/>
              </w:rPr>
              <w:t xml:space="preserve"> Asymetria popytu na transport skierowanego głównie na transport samochodowy</w:t>
            </w:r>
            <w:r w:rsidRPr="00237760">
              <w:rPr>
                <w:rFonts w:ascii="Arial" w:hAnsi="Arial" w:cs="Arial"/>
                <w:color w:val="auto"/>
                <w:sz w:val="24"/>
                <w:szCs w:val="24"/>
              </w:rPr>
              <w:t>;</w:t>
            </w:r>
            <w:r w:rsidR="00710815" w:rsidRPr="00237760">
              <w:rPr>
                <w:rFonts w:ascii="Arial" w:hAnsi="Arial" w:cs="Arial"/>
                <w:color w:val="auto"/>
                <w:sz w:val="24"/>
                <w:szCs w:val="24"/>
              </w:rPr>
              <w:t xml:space="preserve"> Wysokie obciążenie dla środowiska naturalnego zwłaszcza ze strony transportu samochodowego</w:t>
            </w:r>
            <w:r w:rsidRPr="00237760">
              <w:rPr>
                <w:rFonts w:ascii="Arial" w:hAnsi="Arial" w:cs="Arial"/>
                <w:color w:val="auto"/>
                <w:sz w:val="24"/>
                <w:szCs w:val="24"/>
              </w:rPr>
              <w:t>;</w:t>
            </w:r>
            <w:r w:rsidR="00710815" w:rsidRPr="00237760">
              <w:rPr>
                <w:rFonts w:ascii="Arial" w:hAnsi="Arial" w:cs="Arial"/>
                <w:color w:val="auto"/>
                <w:sz w:val="24"/>
                <w:szCs w:val="24"/>
              </w:rPr>
              <w:t xml:space="preserve"> Brak spójnej sieci połączonych ze sobą tras rowerowych województwa o jednolitych parametrach (słabe)</w:t>
            </w:r>
          </w:p>
        </w:tc>
      </w:tr>
      <w:tr w:rsidR="00237760" w:rsidRPr="00237760" w14:paraId="035BEBB5" w14:textId="77777777" w:rsidTr="00F311FF">
        <w:trPr>
          <w:trHeight w:val="151"/>
        </w:trPr>
        <w:tc>
          <w:tcPr>
            <w:tcW w:w="199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716EDAE8"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lastRenderedPageBreak/>
              <w:t>CP3. Integracja MOF</w:t>
            </w:r>
          </w:p>
          <w:p w14:paraId="44D0E4E0" w14:textId="77777777" w:rsidR="00710815" w:rsidRPr="00237760" w:rsidRDefault="00710815" w:rsidP="009367B4">
            <w:pPr>
              <w:spacing w:after="0" w:line="240" w:lineRule="auto"/>
              <w:jc w:val="left"/>
              <w:rPr>
                <w:rFonts w:ascii="Arial" w:hAnsi="Arial" w:cs="Arial"/>
                <w:color w:val="auto"/>
                <w:sz w:val="24"/>
                <w:szCs w:val="24"/>
              </w:rPr>
            </w:pPr>
          </w:p>
          <w:p w14:paraId="1CE9431D"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Integracja wewnętrzna Rzeszowskiego Obszaru Funkcjonalnego i miejskich</w:t>
            </w:r>
          </w:p>
          <w:p w14:paraId="3BC06BEE"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obszarów funkcjonalnych biegunów</w:t>
            </w:r>
          </w:p>
          <w:p w14:paraId="5FF94C5F"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wzrostu, uwzględniająca</w:t>
            </w:r>
          </w:p>
          <w:p w14:paraId="2DC3CC85" w14:textId="33BE0DAC"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policentryczny układ województwa i umożliwiająca integrację głównych rynków pracy.</w:t>
            </w:r>
          </w:p>
        </w:tc>
        <w:tc>
          <w:tcPr>
            <w:tcW w:w="7087"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2BAC1E57" w14:textId="617F6498" w:rsidR="00F311FF" w:rsidRPr="00237760" w:rsidRDefault="00F311FF" w:rsidP="009367B4">
            <w:pPr>
              <w:spacing w:after="0" w:line="240" w:lineRule="auto"/>
              <w:jc w:val="left"/>
              <w:rPr>
                <w:rFonts w:ascii="Arial" w:hAnsi="Arial" w:cs="Arial"/>
                <w:color w:val="auto"/>
                <w:sz w:val="24"/>
                <w:szCs w:val="24"/>
              </w:rPr>
            </w:pPr>
            <w:r w:rsidRPr="00237760">
              <w:rPr>
                <w:rFonts w:ascii="Arial" w:hAnsi="Arial" w:cs="Arial"/>
                <w:b/>
                <w:bCs/>
                <w:color w:val="auto"/>
                <w:sz w:val="24"/>
                <w:szCs w:val="24"/>
              </w:rPr>
              <w:t>Mocne strony</w:t>
            </w:r>
            <w:r w:rsidRPr="00237760">
              <w:rPr>
                <w:rFonts w:ascii="Arial" w:hAnsi="Arial" w:cs="Arial"/>
                <w:color w:val="auto"/>
                <w:sz w:val="24"/>
                <w:szCs w:val="24"/>
              </w:rPr>
              <w:t xml:space="preserve">: </w:t>
            </w:r>
            <w:r w:rsidR="00710815" w:rsidRPr="00237760">
              <w:rPr>
                <w:rFonts w:ascii="Arial" w:hAnsi="Arial" w:cs="Arial"/>
                <w:color w:val="auto"/>
                <w:sz w:val="24"/>
                <w:szCs w:val="24"/>
              </w:rPr>
              <w:t>Policentryczny układ sieci osadniczej województwa podkarpackiego</w:t>
            </w:r>
            <w:r w:rsidRPr="00237760">
              <w:rPr>
                <w:rFonts w:ascii="Arial" w:hAnsi="Arial" w:cs="Arial"/>
                <w:color w:val="auto"/>
                <w:sz w:val="24"/>
                <w:szCs w:val="24"/>
              </w:rPr>
              <w:t>;</w:t>
            </w:r>
            <w:r w:rsidR="00710815" w:rsidRPr="00237760">
              <w:rPr>
                <w:rFonts w:ascii="Arial" w:hAnsi="Arial" w:cs="Arial"/>
                <w:color w:val="auto"/>
                <w:sz w:val="24"/>
                <w:szCs w:val="24"/>
              </w:rPr>
              <w:t xml:space="preserve"> Budowa dróg obwodowych eliminujących hałas z centrów miast</w:t>
            </w:r>
            <w:r w:rsidRPr="00237760">
              <w:rPr>
                <w:rFonts w:ascii="Arial" w:hAnsi="Arial" w:cs="Arial"/>
                <w:color w:val="auto"/>
                <w:sz w:val="24"/>
                <w:szCs w:val="24"/>
              </w:rPr>
              <w:t>;</w:t>
            </w:r>
            <w:r w:rsidR="00710815" w:rsidRPr="00237760">
              <w:rPr>
                <w:rFonts w:ascii="Arial" w:hAnsi="Arial" w:cs="Arial"/>
                <w:color w:val="auto"/>
                <w:sz w:val="24"/>
                <w:szCs w:val="24"/>
              </w:rPr>
              <w:t xml:space="preserve"> Rozwój demograficzny i gospodarczy ośrodka wojewódzkiego z obszarem powiązanym funkcjonalnie (ROF)</w:t>
            </w:r>
            <w:r w:rsidRPr="00237760">
              <w:rPr>
                <w:rFonts w:ascii="Arial" w:hAnsi="Arial" w:cs="Arial"/>
                <w:color w:val="auto"/>
                <w:sz w:val="24"/>
                <w:szCs w:val="24"/>
              </w:rPr>
              <w:t>;</w:t>
            </w:r>
            <w:r w:rsidR="00710815" w:rsidRPr="00237760">
              <w:rPr>
                <w:rFonts w:ascii="Arial" w:hAnsi="Arial" w:cs="Arial"/>
                <w:color w:val="auto"/>
                <w:sz w:val="24"/>
                <w:szCs w:val="24"/>
              </w:rPr>
              <w:t xml:space="preserve">  Dostępność transportowa biegunów wzrostu położonych wzdłuż autostrady A4 (Dębica, Rzeszów, Przeworsk-Jarosław, Przemyśl)</w:t>
            </w:r>
            <w:r w:rsidRPr="00237760">
              <w:rPr>
                <w:rFonts w:ascii="Arial" w:hAnsi="Arial" w:cs="Arial"/>
                <w:color w:val="auto"/>
                <w:sz w:val="24"/>
                <w:szCs w:val="24"/>
              </w:rPr>
              <w:t>;</w:t>
            </w:r>
            <w:r w:rsidR="00710815" w:rsidRPr="00237760">
              <w:rPr>
                <w:rFonts w:ascii="Arial" w:hAnsi="Arial" w:cs="Arial"/>
                <w:color w:val="auto"/>
                <w:sz w:val="24"/>
                <w:szCs w:val="24"/>
              </w:rPr>
              <w:t xml:space="preserve"> Opracowanie map akustycznych identyfikujących obszary najbardziej zagrożone hałasem i programów ochrony środowiska przed hałasem</w:t>
            </w:r>
            <w:r w:rsidRPr="00237760">
              <w:rPr>
                <w:rFonts w:ascii="Arial" w:hAnsi="Arial" w:cs="Arial"/>
                <w:color w:val="auto"/>
                <w:sz w:val="24"/>
                <w:szCs w:val="24"/>
              </w:rPr>
              <w:t>;</w:t>
            </w:r>
            <w:r w:rsidR="00710815" w:rsidRPr="00237760">
              <w:rPr>
                <w:rFonts w:ascii="Arial" w:hAnsi="Arial" w:cs="Arial"/>
                <w:color w:val="auto"/>
                <w:sz w:val="24"/>
                <w:szCs w:val="24"/>
              </w:rPr>
              <w:t xml:space="preserve"> Wysoka atrakcyjność turystyczna województwa</w:t>
            </w:r>
            <w:r w:rsidRPr="00237760">
              <w:rPr>
                <w:rFonts w:ascii="Arial" w:hAnsi="Arial" w:cs="Arial"/>
                <w:color w:val="auto"/>
                <w:sz w:val="24"/>
                <w:szCs w:val="24"/>
              </w:rPr>
              <w:t>;</w:t>
            </w:r>
          </w:p>
          <w:p w14:paraId="4B89DFCF" w14:textId="7D62AAC7" w:rsidR="00710815" w:rsidRPr="00237760" w:rsidRDefault="00F311FF" w:rsidP="009367B4">
            <w:pPr>
              <w:spacing w:after="0" w:line="240" w:lineRule="auto"/>
              <w:jc w:val="left"/>
              <w:rPr>
                <w:rFonts w:ascii="Arial" w:hAnsi="Arial" w:cs="Arial"/>
                <w:color w:val="auto"/>
                <w:sz w:val="24"/>
                <w:szCs w:val="24"/>
              </w:rPr>
            </w:pPr>
            <w:r w:rsidRPr="00237760">
              <w:rPr>
                <w:rFonts w:ascii="Arial" w:hAnsi="Arial" w:cs="Arial"/>
                <w:b/>
                <w:bCs/>
                <w:color w:val="auto"/>
                <w:sz w:val="24"/>
                <w:szCs w:val="24"/>
              </w:rPr>
              <w:t>Słabe strony</w:t>
            </w:r>
            <w:r w:rsidRPr="00237760">
              <w:rPr>
                <w:rFonts w:ascii="Arial" w:hAnsi="Arial" w:cs="Arial"/>
                <w:color w:val="auto"/>
                <w:sz w:val="24"/>
                <w:szCs w:val="24"/>
              </w:rPr>
              <w:t xml:space="preserve">: </w:t>
            </w:r>
            <w:r w:rsidR="00710815" w:rsidRPr="00237760">
              <w:rPr>
                <w:rFonts w:ascii="Arial" w:hAnsi="Arial" w:cs="Arial"/>
                <w:color w:val="auto"/>
                <w:sz w:val="24"/>
                <w:szCs w:val="24"/>
              </w:rPr>
              <w:t>Peryferyjne położenie województwa względem centralnej Polski</w:t>
            </w:r>
            <w:r w:rsidRPr="00237760">
              <w:rPr>
                <w:rFonts w:ascii="Arial" w:hAnsi="Arial" w:cs="Arial"/>
                <w:color w:val="auto"/>
                <w:sz w:val="24"/>
                <w:szCs w:val="24"/>
              </w:rPr>
              <w:t>;</w:t>
            </w:r>
            <w:r w:rsidR="00710815" w:rsidRPr="00237760">
              <w:rPr>
                <w:rFonts w:ascii="Arial" w:hAnsi="Arial" w:cs="Arial"/>
                <w:color w:val="auto"/>
                <w:sz w:val="24"/>
                <w:szCs w:val="24"/>
              </w:rPr>
              <w:t xml:space="preserve"> Rozproszenie zabudowy, głównie na terenach wiejskich</w:t>
            </w:r>
            <w:r w:rsidRPr="00237760">
              <w:rPr>
                <w:rFonts w:ascii="Arial" w:hAnsi="Arial" w:cs="Arial"/>
                <w:color w:val="auto"/>
                <w:sz w:val="24"/>
                <w:szCs w:val="24"/>
              </w:rPr>
              <w:t>;</w:t>
            </w:r>
            <w:r w:rsidR="00710815" w:rsidRPr="00237760">
              <w:rPr>
                <w:rFonts w:ascii="Arial" w:hAnsi="Arial" w:cs="Arial"/>
                <w:color w:val="auto"/>
                <w:sz w:val="24"/>
                <w:szCs w:val="24"/>
              </w:rPr>
              <w:t xml:space="preserve"> Starzenie się społeczeństwa i rosnąca liczba osób </w:t>
            </w:r>
            <w:r w:rsidR="00C605B2" w:rsidRPr="00237760">
              <w:rPr>
                <w:rFonts w:ascii="Arial" w:hAnsi="Arial" w:cs="Arial"/>
                <w:color w:val="auto"/>
                <w:sz w:val="24"/>
                <w:szCs w:val="24"/>
              </w:rPr>
              <w:br/>
            </w:r>
            <w:r w:rsidR="00710815" w:rsidRPr="00237760">
              <w:rPr>
                <w:rFonts w:ascii="Arial" w:hAnsi="Arial" w:cs="Arial"/>
                <w:color w:val="auto"/>
                <w:sz w:val="24"/>
                <w:szCs w:val="24"/>
              </w:rPr>
              <w:t>w wieku poprodukcyjnym</w:t>
            </w:r>
            <w:r w:rsidRPr="00237760">
              <w:rPr>
                <w:rFonts w:ascii="Arial" w:hAnsi="Arial" w:cs="Arial"/>
                <w:color w:val="auto"/>
                <w:sz w:val="24"/>
                <w:szCs w:val="24"/>
              </w:rPr>
              <w:t>;</w:t>
            </w:r>
            <w:r w:rsidR="00710815" w:rsidRPr="00237760">
              <w:rPr>
                <w:rFonts w:ascii="Arial" w:hAnsi="Arial" w:cs="Arial"/>
                <w:color w:val="auto"/>
                <w:sz w:val="24"/>
                <w:szCs w:val="24"/>
              </w:rPr>
              <w:t xml:space="preserve"> Niski poziom innowacyjności sieci i zastosowania inteligentnych systemów transportowych</w:t>
            </w:r>
            <w:r w:rsidRPr="00237760">
              <w:rPr>
                <w:rFonts w:ascii="Arial" w:hAnsi="Arial" w:cs="Arial"/>
                <w:color w:val="auto"/>
                <w:sz w:val="24"/>
                <w:szCs w:val="24"/>
              </w:rPr>
              <w:t>;</w:t>
            </w:r>
            <w:r w:rsidR="00710815" w:rsidRPr="00237760">
              <w:rPr>
                <w:rFonts w:ascii="Arial" w:hAnsi="Arial" w:cs="Arial"/>
                <w:color w:val="auto"/>
                <w:sz w:val="24"/>
                <w:szCs w:val="24"/>
              </w:rPr>
              <w:t xml:space="preserve"> Wysokie obciążenie dla środowiska naturalnego zwłaszcza ze strony transportu samochodowego</w:t>
            </w:r>
            <w:r w:rsidRPr="00237760">
              <w:rPr>
                <w:rFonts w:ascii="Arial" w:hAnsi="Arial" w:cs="Arial"/>
                <w:color w:val="auto"/>
                <w:sz w:val="24"/>
                <w:szCs w:val="24"/>
              </w:rPr>
              <w:t>;</w:t>
            </w:r>
            <w:r w:rsidR="00710815" w:rsidRPr="00237760">
              <w:rPr>
                <w:rFonts w:ascii="Arial" w:hAnsi="Arial" w:cs="Arial"/>
                <w:color w:val="auto"/>
                <w:sz w:val="24"/>
                <w:szCs w:val="24"/>
              </w:rPr>
              <w:t xml:space="preserve"> Brak spójnej sieci połączonych ze sobą tras rowerowych województwa o jednolitych parametrach</w:t>
            </w:r>
            <w:r w:rsidRPr="00237760">
              <w:rPr>
                <w:rFonts w:ascii="Arial" w:hAnsi="Arial" w:cs="Arial"/>
                <w:color w:val="auto"/>
                <w:sz w:val="24"/>
                <w:szCs w:val="24"/>
              </w:rPr>
              <w:t>;</w:t>
            </w:r>
            <w:r w:rsidR="00710815" w:rsidRPr="00237760">
              <w:rPr>
                <w:rFonts w:ascii="Arial" w:hAnsi="Arial" w:cs="Arial"/>
                <w:color w:val="auto"/>
                <w:sz w:val="24"/>
                <w:szCs w:val="24"/>
              </w:rPr>
              <w:t xml:space="preserve"> Jedna linia kolejowa o znaczeniu międzynarodowym (słabe)</w:t>
            </w:r>
          </w:p>
        </w:tc>
      </w:tr>
      <w:tr w:rsidR="00237760" w:rsidRPr="00237760" w14:paraId="1F42E01B" w14:textId="77777777" w:rsidTr="009F6BD4">
        <w:trPr>
          <w:trHeight w:val="111"/>
        </w:trPr>
        <w:tc>
          <w:tcPr>
            <w:tcW w:w="1990" w:type="dxa"/>
            <w:tcBorders>
              <w:top w:val="nil"/>
              <w:left w:val="nil"/>
              <w:bottom w:val="single" w:sz="4" w:space="0" w:color="BDD6EE" w:themeColor="accent1" w:themeTint="66"/>
              <w:right w:val="nil"/>
            </w:tcBorders>
            <w:shd w:val="clear" w:color="auto" w:fill="auto"/>
            <w:vAlign w:val="center"/>
            <w:hideMark/>
          </w:tcPr>
          <w:p w14:paraId="786E3A9E" w14:textId="77777777" w:rsidR="00710815" w:rsidRPr="00237760" w:rsidRDefault="00710815" w:rsidP="009367B4">
            <w:pPr>
              <w:spacing w:after="0" w:line="240" w:lineRule="auto"/>
              <w:jc w:val="left"/>
              <w:rPr>
                <w:rFonts w:ascii="Arial" w:eastAsiaTheme="minorHAnsi" w:hAnsi="Arial" w:cs="Arial"/>
                <w:b/>
                <w:color w:val="auto"/>
                <w:sz w:val="24"/>
                <w:szCs w:val="24"/>
              </w:rPr>
            </w:pPr>
            <w:r w:rsidRPr="00237760">
              <w:rPr>
                <w:rFonts w:ascii="Arial" w:hAnsi="Arial" w:cs="Arial"/>
                <w:b/>
                <w:color w:val="auto"/>
                <w:sz w:val="24"/>
                <w:szCs w:val="24"/>
              </w:rPr>
              <w:t>Cel horyzontalny</w:t>
            </w:r>
          </w:p>
        </w:tc>
        <w:tc>
          <w:tcPr>
            <w:tcW w:w="7087" w:type="dxa"/>
            <w:tcBorders>
              <w:top w:val="nil"/>
              <w:left w:val="nil"/>
              <w:bottom w:val="single" w:sz="4" w:space="0" w:color="BDD6EE" w:themeColor="accent1" w:themeTint="66"/>
              <w:right w:val="nil"/>
            </w:tcBorders>
            <w:shd w:val="clear" w:color="auto" w:fill="auto"/>
            <w:vAlign w:val="center"/>
            <w:hideMark/>
          </w:tcPr>
          <w:p w14:paraId="37CBC49F" w14:textId="77777777" w:rsidR="00710815" w:rsidRPr="00237760" w:rsidRDefault="00710815"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Elementy analizy SWOT na jakie oddziałuje</w:t>
            </w:r>
          </w:p>
        </w:tc>
      </w:tr>
      <w:tr w:rsidR="00237760" w:rsidRPr="00237760" w14:paraId="34A2AE72" w14:textId="77777777" w:rsidTr="00F311FF">
        <w:trPr>
          <w:trHeight w:val="151"/>
        </w:trPr>
        <w:tc>
          <w:tcPr>
            <w:tcW w:w="199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639C2534"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CH1. Ograniczenie negatywnego</w:t>
            </w:r>
          </w:p>
          <w:p w14:paraId="784C1AF9"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oddziaływania sektora transportu na klimat oraz na regionalne </w:t>
            </w:r>
            <w:r w:rsidRPr="00237760">
              <w:rPr>
                <w:rFonts w:ascii="Arial" w:hAnsi="Arial" w:cs="Arial"/>
                <w:color w:val="auto"/>
                <w:sz w:val="24"/>
                <w:szCs w:val="24"/>
              </w:rPr>
              <w:lastRenderedPageBreak/>
              <w:t>środowisko naturalne</w:t>
            </w:r>
          </w:p>
          <w:p w14:paraId="1AB3AF8E" w14:textId="77777777" w:rsidR="00710815" w:rsidRPr="00237760" w:rsidRDefault="00710815" w:rsidP="009367B4">
            <w:pPr>
              <w:spacing w:after="0" w:line="240" w:lineRule="auto"/>
              <w:jc w:val="left"/>
              <w:rPr>
                <w:rFonts w:ascii="Arial" w:hAnsi="Arial" w:cs="Arial"/>
                <w:color w:val="auto"/>
                <w:sz w:val="24"/>
                <w:szCs w:val="24"/>
              </w:rPr>
            </w:pPr>
          </w:p>
        </w:tc>
        <w:tc>
          <w:tcPr>
            <w:tcW w:w="7087"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6BE11D98" w14:textId="235D1626" w:rsidR="00F311FF" w:rsidRPr="00237760" w:rsidRDefault="00F311FF" w:rsidP="009367B4">
            <w:pPr>
              <w:spacing w:after="0" w:line="240" w:lineRule="auto"/>
              <w:jc w:val="left"/>
              <w:rPr>
                <w:rFonts w:ascii="Arial" w:hAnsi="Arial" w:cs="Arial"/>
                <w:color w:val="auto"/>
                <w:sz w:val="24"/>
                <w:szCs w:val="24"/>
              </w:rPr>
            </w:pPr>
            <w:r w:rsidRPr="00237760">
              <w:rPr>
                <w:rFonts w:ascii="Arial" w:hAnsi="Arial" w:cs="Arial"/>
                <w:b/>
                <w:bCs/>
                <w:color w:val="auto"/>
                <w:sz w:val="24"/>
                <w:szCs w:val="24"/>
              </w:rPr>
              <w:lastRenderedPageBreak/>
              <w:t>Mocne strony</w:t>
            </w:r>
            <w:r w:rsidRPr="00237760">
              <w:rPr>
                <w:rFonts w:ascii="Arial" w:hAnsi="Arial" w:cs="Arial"/>
                <w:color w:val="auto"/>
                <w:sz w:val="24"/>
                <w:szCs w:val="24"/>
              </w:rPr>
              <w:t xml:space="preserve">: </w:t>
            </w:r>
            <w:r w:rsidR="00710815" w:rsidRPr="00237760">
              <w:rPr>
                <w:rFonts w:ascii="Arial" w:hAnsi="Arial" w:cs="Arial"/>
                <w:color w:val="auto"/>
                <w:sz w:val="24"/>
                <w:szCs w:val="24"/>
              </w:rPr>
              <w:t>Opracowanie map akustycznych identyfikujących obszary najbardziej zagrożone hałasem i programów ochrony środowiska przed hałasem</w:t>
            </w:r>
            <w:r w:rsidRPr="00237760">
              <w:rPr>
                <w:rFonts w:ascii="Arial" w:hAnsi="Arial" w:cs="Arial"/>
                <w:color w:val="auto"/>
                <w:sz w:val="24"/>
                <w:szCs w:val="24"/>
              </w:rPr>
              <w:t>;</w:t>
            </w:r>
            <w:r w:rsidR="00710815" w:rsidRPr="00237760">
              <w:rPr>
                <w:rFonts w:ascii="Arial" w:hAnsi="Arial" w:cs="Arial"/>
                <w:color w:val="auto"/>
                <w:sz w:val="24"/>
                <w:szCs w:val="24"/>
              </w:rPr>
              <w:t xml:space="preserve"> Potencjał portu lotniczego Rzeszów – Jasionka</w:t>
            </w:r>
            <w:r w:rsidRPr="00237760">
              <w:rPr>
                <w:rFonts w:ascii="Arial" w:hAnsi="Arial" w:cs="Arial"/>
                <w:color w:val="auto"/>
                <w:sz w:val="24"/>
                <w:szCs w:val="24"/>
              </w:rPr>
              <w:t>;</w:t>
            </w:r>
          </w:p>
          <w:p w14:paraId="7A62A00B" w14:textId="0D0AB1F6" w:rsidR="00710815" w:rsidRPr="00237760" w:rsidRDefault="00F311FF" w:rsidP="009367B4">
            <w:pPr>
              <w:spacing w:after="0" w:line="240" w:lineRule="auto"/>
              <w:jc w:val="left"/>
              <w:rPr>
                <w:rFonts w:ascii="Arial" w:hAnsi="Arial" w:cs="Arial"/>
                <w:color w:val="auto"/>
                <w:sz w:val="24"/>
                <w:szCs w:val="24"/>
              </w:rPr>
            </w:pPr>
            <w:r w:rsidRPr="00237760">
              <w:rPr>
                <w:rFonts w:ascii="Arial" w:hAnsi="Arial" w:cs="Arial"/>
                <w:b/>
                <w:bCs/>
                <w:color w:val="auto"/>
                <w:sz w:val="24"/>
                <w:szCs w:val="24"/>
              </w:rPr>
              <w:t>Słabe strony</w:t>
            </w:r>
            <w:r w:rsidRPr="00237760">
              <w:rPr>
                <w:rFonts w:ascii="Arial" w:hAnsi="Arial" w:cs="Arial"/>
                <w:color w:val="auto"/>
                <w:sz w:val="24"/>
                <w:szCs w:val="24"/>
              </w:rPr>
              <w:t xml:space="preserve">: </w:t>
            </w:r>
            <w:r w:rsidR="00710815" w:rsidRPr="00237760">
              <w:rPr>
                <w:rFonts w:ascii="Arial" w:hAnsi="Arial" w:cs="Arial"/>
                <w:color w:val="auto"/>
                <w:sz w:val="24"/>
                <w:szCs w:val="24"/>
              </w:rPr>
              <w:t>Niski poziom innowacyjności sieci i zastosowania inteligentnych systemów transportowych</w:t>
            </w:r>
            <w:r w:rsidRPr="00237760">
              <w:rPr>
                <w:rFonts w:ascii="Arial" w:hAnsi="Arial" w:cs="Arial"/>
                <w:color w:val="auto"/>
                <w:sz w:val="24"/>
                <w:szCs w:val="24"/>
              </w:rPr>
              <w:t>;</w:t>
            </w:r>
            <w:r w:rsidR="00710815" w:rsidRPr="00237760">
              <w:rPr>
                <w:rFonts w:ascii="Arial" w:hAnsi="Arial" w:cs="Arial"/>
                <w:color w:val="auto"/>
                <w:sz w:val="24"/>
                <w:szCs w:val="24"/>
              </w:rPr>
              <w:t xml:space="preserve"> Wysokie obciążenie dla środowiska naturalnego zwłaszcza ze strony transportu samochodowego</w:t>
            </w:r>
            <w:r w:rsidRPr="00237760">
              <w:rPr>
                <w:rFonts w:ascii="Arial" w:hAnsi="Arial" w:cs="Arial"/>
                <w:color w:val="auto"/>
                <w:sz w:val="24"/>
                <w:szCs w:val="24"/>
              </w:rPr>
              <w:t>;</w:t>
            </w:r>
            <w:r w:rsidR="00710815" w:rsidRPr="00237760">
              <w:rPr>
                <w:rFonts w:ascii="Arial" w:hAnsi="Arial" w:cs="Arial"/>
                <w:color w:val="auto"/>
                <w:sz w:val="24"/>
                <w:szCs w:val="24"/>
              </w:rPr>
              <w:t xml:space="preserve"> Niekorzystna i utrzymująca się struktura </w:t>
            </w:r>
            <w:r w:rsidR="00710815" w:rsidRPr="00237760">
              <w:rPr>
                <w:rFonts w:ascii="Arial" w:hAnsi="Arial" w:cs="Arial"/>
                <w:color w:val="auto"/>
                <w:sz w:val="24"/>
                <w:szCs w:val="24"/>
              </w:rPr>
              <w:lastRenderedPageBreak/>
              <w:t>gałęziowa przewozów z dominującym i wciąż rosnącym udziałem transportu drogowego</w:t>
            </w:r>
            <w:r w:rsidRPr="00237760">
              <w:rPr>
                <w:rFonts w:ascii="Arial" w:hAnsi="Arial" w:cs="Arial"/>
                <w:color w:val="auto"/>
                <w:sz w:val="24"/>
                <w:szCs w:val="24"/>
              </w:rPr>
              <w:t>;</w:t>
            </w:r>
            <w:r w:rsidR="00710815" w:rsidRPr="00237760">
              <w:rPr>
                <w:rFonts w:ascii="Arial" w:hAnsi="Arial" w:cs="Arial"/>
                <w:color w:val="auto"/>
                <w:sz w:val="24"/>
                <w:szCs w:val="24"/>
              </w:rPr>
              <w:t xml:space="preserve"> Brak spójnej sieci połączonych ze sobą tras rowerowych województwa o jednolitych parametrach</w:t>
            </w:r>
            <w:r w:rsidRPr="00237760">
              <w:rPr>
                <w:rFonts w:ascii="Arial" w:hAnsi="Arial" w:cs="Arial"/>
                <w:color w:val="auto"/>
                <w:sz w:val="24"/>
                <w:szCs w:val="24"/>
              </w:rPr>
              <w:t>;</w:t>
            </w:r>
            <w:r w:rsidR="00710815" w:rsidRPr="00237760">
              <w:rPr>
                <w:rFonts w:ascii="Arial" w:hAnsi="Arial" w:cs="Arial"/>
                <w:color w:val="auto"/>
                <w:sz w:val="24"/>
                <w:szCs w:val="24"/>
              </w:rPr>
              <w:t xml:space="preserve"> Konieczność adaptacji już istniejącej infrastruktury transportowej do potrzeb wynikających z pojawiających się lub stwierdzonych uwarunkowań (wody powierzchniowe, występowanie osuwisk, zagrożenie powodziowe, obszary chronione, etc.)</w:t>
            </w:r>
            <w:r w:rsidRPr="00237760">
              <w:rPr>
                <w:rFonts w:ascii="Arial" w:hAnsi="Arial" w:cs="Arial"/>
                <w:color w:val="auto"/>
                <w:sz w:val="24"/>
                <w:szCs w:val="24"/>
              </w:rPr>
              <w:t>;</w:t>
            </w:r>
            <w:r w:rsidR="00710815" w:rsidRPr="00237760">
              <w:rPr>
                <w:rFonts w:ascii="Arial" w:hAnsi="Arial" w:cs="Arial"/>
                <w:color w:val="auto"/>
                <w:sz w:val="24"/>
                <w:szCs w:val="24"/>
              </w:rPr>
              <w:t xml:space="preserve"> Uwarunkowania przyrodnicze województwa podkarpackiego znacząco podnoszące koszty budowy nowej sieci transportowej (słabe)</w:t>
            </w:r>
          </w:p>
        </w:tc>
      </w:tr>
      <w:tr w:rsidR="00237760" w:rsidRPr="00237760" w14:paraId="104493C6" w14:textId="77777777" w:rsidTr="00F311FF">
        <w:trPr>
          <w:trHeight w:val="151"/>
        </w:trPr>
        <w:tc>
          <w:tcPr>
            <w:tcW w:w="1990"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27D77252" w14:textId="23274625"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lastRenderedPageBreak/>
              <w:t>CH2. Wzmocnienie rozwiązań multimodalnych</w:t>
            </w:r>
          </w:p>
        </w:tc>
        <w:tc>
          <w:tcPr>
            <w:tcW w:w="7087"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7AF77263" w14:textId="7B82A675" w:rsidR="00F311FF" w:rsidRPr="00237760" w:rsidRDefault="00F311FF" w:rsidP="009367B4">
            <w:pPr>
              <w:spacing w:after="0" w:line="240" w:lineRule="auto"/>
              <w:jc w:val="left"/>
              <w:rPr>
                <w:rFonts w:ascii="Arial" w:hAnsi="Arial" w:cs="Arial"/>
                <w:color w:val="auto"/>
                <w:sz w:val="24"/>
                <w:szCs w:val="24"/>
              </w:rPr>
            </w:pPr>
            <w:r w:rsidRPr="00237760">
              <w:rPr>
                <w:rFonts w:ascii="Arial" w:hAnsi="Arial" w:cs="Arial"/>
                <w:b/>
                <w:bCs/>
                <w:color w:val="auto"/>
                <w:sz w:val="24"/>
                <w:szCs w:val="24"/>
              </w:rPr>
              <w:t>Mocne strony</w:t>
            </w:r>
            <w:r w:rsidRPr="00237760">
              <w:rPr>
                <w:rFonts w:ascii="Arial" w:hAnsi="Arial" w:cs="Arial"/>
                <w:color w:val="auto"/>
                <w:sz w:val="24"/>
                <w:szCs w:val="24"/>
              </w:rPr>
              <w:t xml:space="preserve">: </w:t>
            </w:r>
            <w:r w:rsidR="00710815" w:rsidRPr="00237760">
              <w:rPr>
                <w:rFonts w:ascii="Arial" w:hAnsi="Arial" w:cs="Arial"/>
                <w:color w:val="auto"/>
                <w:sz w:val="24"/>
                <w:szCs w:val="24"/>
              </w:rPr>
              <w:t>Autostrada A4 oraz magistrala kolejowa E30, stanowiące główną oś komunikacyjną na kierunku wschód-zachód</w:t>
            </w:r>
            <w:r w:rsidRPr="00237760">
              <w:rPr>
                <w:rFonts w:ascii="Arial" w:hAnsi="Arial" w:cs="Arial"/>
                <w:color w:val="auto"/>
                <w:sz w:val="24"/>
                <w:szCs w:val="24"/>
              </w:rPr>
              <w:t>;</w:t>
            </w:r>
            <w:r w:rsidR="00710815" w:rsidRPr="00237760">
              <w:rPr>
                <w:rFonts w:ascii="Arial" w:hAnsi="Arial" w:cs="Arial"/>
                <w:color w:val="auto"/>
                <w:sz w:val="24"/>
                <w:szCs w:val="24"/>
              </w:rPr>
              <w:t xml:space="preserve"> Rozwój demograficzny i gospodarczy ośrodka wojewódzkiego z obszarem powiązanym funkcjonalnie (ROF)</w:t>
            </w:r>
            <w:r w:rsidRPr="00237760">
              <w:rPr>
                <w:rFonts w:ascii="Arial" w:hAnsi="Arial" w:cs="Arial"/>
                <w:color w:val="auto"/>
                <w:sz w:val="24"/>
                <w:szCs w:val="24"/>
              </w:rPr>
              <w:t>;</w:t>
            </w:r>
            <w:r w:rsidR="00710815" w:rsidRPr="00237760">
              <w:rPr>
                <w:rFonts w:ascii="Arial" w:hAnsi="Arial" w:cs="Arial"/>
                <w:color w:val="auto"/>
                <w:sz w:val="24"/>
                <w:szCs w:val="24"/>
              </w:rPr>
              <w:t xml:space="preserve"> Dostępność transportowa biegunów wzrostu położonych wzdłuż autostrady A4 (Dębica, Rzeszów, Przeworsk-Jarosław, Przemyśl)</w:t>
            </w:r>
            <w:r w:rsidRPr="00237760">
              <w:rPr>
                <w:rFonts w:ascii="Arial" w:hAnsi="Arial" w:cs="Arial"/>
                <w:color w:val="auto"/>
                <w:sz w:val="24"/>
                <w:szCs w:val="24"/>
              </w:rPr>
              <w:t>;</w:t>
            </w:r>
            <w:r w:rsidR="00710815" w:rsidRPr="00237760">
              <w:rPr>
                <w:rFonts w:ascii="Arial" w:hAnsi="Arial" w:cs="Arial"/>
                <w:color w:val="auto"/>
                <w:sz w:val="24"/>
                <w:szCs w:val="24"/>
              </w:rPr>
              <w:t xml:space="preserve"> Policentryczny układ sieci osadniczej województwa podkarpackiego</w:t>
            </w:r>
            <w:r w:rsidRPr="00237760">
              <w:rPr>
                <w:rFonts w:ascii="Arial" w:hAnsi="Arial" w:cs="Arial"/>
                <w:color w:val="auto"/>
                <w:sz w:val="24"/>
                <w:szCs w:val="24"/>
              </w:rPr>
              <w:t>;</w:t>
            </w:r>
            <w:r w:rsidR="00710815" w:rsidRPr="00237760">
              <w:rPr>
                <w:rFonts w:ascii="Arial" w:hAnsi="Arial" w:cs="Arial"/>
                <w:color w:val="auto"/>
                <w:sz w:val="24"/>
                <w:szCs w:val="24"/>
              </w:rPr>
              <w:t xml:space="preserve"> Potencjał portu lotniczego Rzeszów – Jasionka</w:t>
            </w:r>
            <w:r w:rsidRPr="00237760">
              <w:rPr>
                <w:rFonts w:ascii="Arial" w:hAnsi="Arial" w:cs="Arial"/>
                <w:color w:val="auto"/>
                <w:sz w:val="24"/>
                <w:szCs w:val="24"/>
              </w:rPr>
              <w:t>;</w:t>
            </w:r>
            <w:r w:rsidR="00710815" w:rsidRPr="00237760">
              <w:rPr>
                <w:rFonts w:ascii="Arial" w:hAnsi="Arial" w:cs="Arial"/>
                <w:color w:val="auto"/>
                <w:sz w:val="24"/>
                <w:szCs w:val="24"/>
              </w:rPr>
              <w:t xml:space="preserve"> Posiadanie międzynarodowego portu lotniczego Rzeszów-Jasionka</w:t>
            </w:r>
            <w:r w:rsidRPr="00237760">
              <w:rPr>
                <w:rFonts w:ascii="Arial" w:hAnsi="Arial" w:cs="Arial"/>
                <w:color w:val="auto"/>
                <w:sz w:val="24"/>
                <w:szCs w:val="24"/>
              </w:rPr>
              <w:t>;</w:t>
            </w:r>
          </w:p>
          <w:p w14:paraId="0F49761B" w14:textId="32683E14" w:rsidR="00710815" w:rsidRPr="00237760" w:rsidRDefault="00F311FF" w:rsidP="009367B4">
            <w:pPr>
              <w:spacing w:after="0" w:line="240" w:lineRule="auto"/>
              <w:jc w:val="left"/>
              <w:rPr>
                <w:rFonts w:ascii="Arial" w:hAnsi="Arial" w:cs="Arial"/>
                <w:color w:val="auto"/>
                <w:sz w:val="24"/>
                <w:szCs w:val="24"/>
              </w:rPr>
            </w:pPr>
            <w:r w:rsidRPr="00237760">
              <w:rPr>
                <w:rFonts w:ascii="Arial" w:hAnsi="Arial" w:cs="Arial"/>
                <w:b/>
                <w:bCs/>
                <w:color w:val="auto"/>
                <w:sz w:val="24"/>
                <w:szCs w:val="24"/>
              </w:rPr>
              <w:t>Słabe strony</w:t>
            </w:r>
            <w:r w:rsidRPr="00237760">
              <w:rPr>
                <w:rFonts w:ascii="Arial" w:hAnsi="Arial" w:cs="Arial"/>
                <w:color w:val="auto"/>
                <w:sz w:val="24"/>
                <w:szCs w:val="24"/>
              </w:rPr>
              <w:t xml:space="preserve">: </w:t>
            </w:r>
            <w:r w:rsidR="00710815" w:rsidRPr="00237760">
              <w:rPr>
                <w:rFonts w:ascii="Arial" w:hAnsi="Arial" w:cs="Arial"/>
                <w:color w:val="auto"/>
                <w:sz w:val="24"/>
                <w:szCs w:val="24"/>
              </w:rPr>
              <w:t>Wysokie obciążenie dla środowiska naturalnego zwłaszcza ze strony transportu samochodowego</w:t>
            </w:r>
            <w:r w:rsidRPr="00237760">
              <w:rPr>
                <w:rFonts w:ascii="Arial" w:hAnsi="Arial" w:cs="Arial"/>
                <w:color w:val="auto"/>
                <w:sz w:val="24"/>
                <w:szCs w:val="24"/>
              </w:rPr>
              <w:t>;</w:t>
            </w:r>
            <w:r w:rsidR="00710815" w:rsidRPr="00237760">
              <w:rPr>
                <w:rFonts w:ascii="Arial" w:hAnsi="Arial" w:cs="Arial"/>
                <w:color w:val="auto"/>
                <w:sz w:val="24"/>
                <w:szCs w:val="24"/>
              </w:rPr>
              <w:t xml:space="preserve"> Asymetria popytu na transport skierowanego głównie na transport samochodowy</w:t>
            </w:r>
            <w:r w:rsidRPr="00237760">
              <w:rPr>
                <w:rFonts w:ascii="Arial" w:hAnsi="Arial" w:cs="Arial"/>
                <w:color w:val="auto"/>
                <w:sz w:val="24"/>
                <w:szCs w:val="24"/>
              </w:rPr>
              <w:t>;</w:t>
            </w:r>
            <w:r w:rsidR="00710815" w:rsidRPr="00237760">
              <w:rPr>
                <w:rFonts w:ascii="Arial" w:hAnsi="Arial" w:cs="Arial"/>
                <w:color w:val="auto"/>
                <w:sz w:val="24"/>
                <w:szCs w:val="24"/>
              </w:rPr>
              <w:t xml:space="preserve"> Niekorzystna i utrzymująca się struktura gałęziowa przewozów z dominującym i wciąż rosnącym udziałem transportu drogowego</w:t>
            </w:r>
            <w:r w:rsidRPr="00237760">
              <w:rPr>
                <w:rFonts w:ascii="Arial" w:hAnsi="Arial" w:cs="Arial"/>
                <w:color w:val="auto"/>
                <w:sz w:val="24"/>
                <w:szCs w:val="24"/>
              </w:rPr>
              <w:t>;</w:t>
            </w:r>
            <w:r w:rsidR="00710815" w:rsidRPr="00237760">
              <w:rPr>
                <w:rFonts w:ascii="Arial" w:hAnsi="Arial" w:cs="Arial"/>
                <w:color w:val="auto"/>
                <w:sz w:val="24"/>
                <w:szCs w:val="24"/>
              </w:rPr>
              <w:t xml:space="preserve"> Ograniczenie kompetencyjne Samorządu Województwa wobec elementów rozbudowanego systemu transportu regionu</w:t>
            </w:r>
            <w:r w:rsidRPr="00237760">
              <w:rPr>
                <w:rFonts w:ascii="Arial" w:hAnsi="Arial" w:cs="Arial"/>
                <w:color w:val="auto"/>
                <w:sz w:val="24"/>
                <w:szCs w:val="24"/>
              </w:rPr>
              <w:t>;</w:t>
            </w:r>
            <w:r w:rsidR="00710815" w:rsidRPr="00237760">
              <w:rPr>
                <w:rFonts w:ascii="Arial" w:hAnsi="Arial" w:cs="Arial"/>
                <w:color w:val="auto"/>
                <w:sz w:val="24"/>
                <w:szCs w:val="24"/>
              </w:rPr>
              <w:t xml:space="preserve"> Niewystarczająca obsługa transportowa (kolejowa i drogowa) północnej i północno-zachodniej części województwa, skupiających największą produkcję przemysłową, w tym eksportową</w:t>
            </w:r>
            <w:r w:rsidRPr="00237760">
              <w:rPr>
                <w:rFonts w:ascii="Arial" w:hAnsi="Arial" w:cs="Arial"/>
                <w:color w:val="auto"/>
                <w:sz w:val="24"/>
                <w:szCs w:val="24"/>
              </w:rPr>
              <w:t>;</w:t>
            </w:r>
            <w:r w:rsidR="00710815" w:rsidRPr="00237760">
              <w:rPr>
                <w:rFonts w:ascii="Arial" w:hAnsi="Arial" w:cs="Arial"/>
                <w:color w:val="auto"/>
                <w:sz w:val="24"/>
                <w:szCs w:val="24"/>
              </w:rPr>
              <w:t xml:space="preserve"> Starzenie się społeczeństwa i rosnąca liczba osób w wieku poprodukcyjnym</w:t>
            </w:r>
            <w:r w:rsidRPr="00237760">
              <w:rPr>
                <w:rFonts w:ascii="Arial" w:hAnsi="Arial" w:cs="Arial"/>
                <w:color w:val="auto"/>
                <w:sz w:val="24"/>
                <w:szCs w:val="24"/>
              </w:rPr>
              <w:t>;</w:t>
            </w:r>
            <w:r w:rsidR="00710815" w:rsidRPr="00237760">
              <w:rPr>
                <w:rFonts w:ascii="Arial" w:hAnsi="Arial" w:cs="Arial"/>
                <w:color w:val="auto"/>
                <w:sz w:val="24"/>
                <w:szCs w:val="24"/>
              </w:rPr>
              <w:t xml:space="preserve"> Niski poziom innowacyjności sieci i zastosowania inteligentnych systemów transportowych (słabe)</w:t>
            </w:r>
          </w:p>
        </w:tc>
      </w:tr>
      <w:tr w:rsidR="00237760" w:rsidRPr="00237760" w14:paraId="5F763E6E" w14:textId="77777777" w:rsidTr="00F311FF">
        <w:trPr>
          <w:trHeight w:val="14"/>
        </w:trPr>
        <w:tc>
          <w:tcPr>
            <w:tcW w:w="1990" w:type="dxa"/>
            <w:tcBorders>
              <w:top w:val="single" w:sz="4" w:space="0" w:color="BDD6EE" w:themeColor="accent1" w:themeTint="66"/>
              <w:left w:val="nil"/>
              <w:bottom w:val="single" w:sz="4" w:space="0" w:color="BDD6EE" w:themeColor="accent1" w:themeTint="66"/>
              <w:right w:val="nil"/>
            </w:tcBorders>
            <w:shd w:val="clear" w:color="auto" w:fill="auto"/>
            <w:vAlign w:val="center"/>
            <w:hideMark/>
          </w:tcPr>
          <w:p w14:paraId="555B6813" w14:textId="1B0391FA"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CH3. Transport publiczny</w:t>
            </w:r>
          </w:p>
        </w:tc>
        <w:tc>
          <w:tcPr>
            <w:tcW w:w="7087" w:type="dxa"/>
            <w:tcBorders>
              <w:top w:val="single" w:sz="4" w:space="0" w:color="BDD6EE" w:themeColor="accent1" w:themeTint="66"/>
              <w:left w:val="nil"/>
              <w:bottom w:val="single" w:sz="4" w:space="0" w:color="BDD6EE" w:themeColor="accent1" w:themeTint="66"/>
              <w:right w:val="nil"/>
            </w:tcBorders>
            <w:shd w:val="clear" w:color="auto" w:fill="auto"/>
            <w:vAlign w:val="center"/>
            <w:hideMark/>
          </w:tcPr>
          <w:p w14:paraId="60F4C82B" w14:textId="0082B04D" w:rsidR="00F311FF" w:rsidRPr="00237760" w:rsidRDefault="00F311FF" w:rsidP="009367B4">
            <w:pPr>
              <w:spacing w:after="0" w:line="240" w:lineRule="auto"/>
              <w:jc w:val="left"/>
              <w:rPr>
                <w:rFonts w:ascii="Arial" w:hAnsi="Arial" w:cs="Arial"/>
                <w:color w:val="auto"/>
                <w:sz w:val="24"/>
                <w:szCs w:val="24"/>
              </w:rPr>
            </w:pPr>
            <w:r w:rsidRPr="00237760">
              <w:rPr>
                <w:rFonts w:ascii="Arial" w:hAnsi="Arial" w:cs="Arial"/>
                <w:b/>
                <w:bCs/>
                <w:color w:val="auto"/>
                <w:sz w:val="24"/>
                <w:szCs w:val="24"/>
              </w:rPr>
              <w:t>Mocne strony</w:t>
            </w:r>
            <w:r w:rsidRPr="00237760">
              <w:rPr>
                <w:rFonts w:ascii="Arial" w:hAnsi="Arial" w:cs="Arial"/>
                <w:color w:val="auto"/>
                <w:sz w:val="24"/>
                <w:szCs w:val="24"/>
              </w:rPr>
              <w:t xml:space="preserve">: </w:t>
            </w:r>
            <w:r w:rsidR="00710815" w:rsidRPr="00237760">
              <w:rPr>
                <w:rFonts w:ascii="Arial" w:hAnsi="Arial" w:cs="Arial"/>
                <w:color w:val="auto"/>
                <w:sz w:val="24"/>
                <w:szCs w:val="24"/>
              </w:rPr>
              <w:t>Rozbudowana sieć międzypowiatowych połączeń autobusowych</w:t>
            </w:r>
            <w:r w:rsidRPr="00237760">
              <w:rPr>
                <w:rFonts w:ascii="Arial" w:hAnsi="Arial" w:cs="Arial"/>
                <w:color w:val="auto"/>
                <w:sz w:val="24"/>
                <w:szCs w:val="24"/>
              </w:rPr>
              <w:t>;</w:t>
            </w:r>
            <w:r w:rsidR="00710815" w:rsidRPr="00237760">
              <w:rPr>
                <w:rFonts w:ascii="Arial" w:hAnsi="Arial" w:cs="Arial"/>
                <w:color w:val="auto"/>
                <w:sz w:val="24"/>
                <w:szCs w:val="24"/>
              </w:rPr>
              <w:t xml:space="preserve"> Wysoka atrakcyjność turystyczna województwa</w:t>
            </w:r>
            <w:r w:rsidRPr="00237760">
              <w:rPr>
                <w:rFonts w:ascii="Arial" w:hAnsi="Arial" w:cs="Arial"/>
                <w:color w:val="auto"/>
                <w:sz w:val="24"/>
                <w:szCs w:val="24"/>
              </w:rPr>
              <w:t>;</w:t>
            </w:r>
            <w:r w:rsidR="00710815" w:rsidRPr="00237760">
              <w:rPr>
                <w:rFonts w:ascii="Arial" w:hAnsi="Arial" w:cs="Arial"/>
                <w:color w:val="auto"/>
                <w:sz w:val="24"/>
                <w:szCs w:val="24"/>
              </w:rPr>
              <w:t xml:space="preserve"> Policentryczny układ sieci osadniczej województwa podkarpackiego</w:t>
            </w:r>
            <w:r w:rsidRPr="00237760">
              <w:rPr>
                <w:rFonts w:ascii="Arial" w:hAnsi="Arial" w:cs="Arial"/>
                <w:color w:val="auto"/>
                <w:sz w:val="24"/>
                <w:szCs w:val="24"/>
              </w:rPr>
              <w:t>;</w:t>
            </w:r>
            <w:r w:rsidR="00710815" w:rsidRPr="00237760">
              <w:rPr>
                <w:rFonts w:ascii="Arial" w:hAnsi="Arial" w:cs="Arial"/>
                <w:color w:val="auto"/>
                <w:sz w:val="24"/>
                <w:szCs w:val="24"/>
              </w:rPr>
              <w:t xml:space="preserve"> Dostępność transportowa biegunów wzrostu położonych wzdłuż autostrady A4 (Dębica, Rzeszów, Przeworsk-Jarosław, Przemyśl)</w:t>
            </w:r>
            <w:r w:rsidRPr="00237760">
              <w:rPr>
                <w:rFonts w:ascii="Arial" w:hAnsi="Arial" w:cs="Arial"/>
                <w:color w:val="auto"/>
                <w:sz w:val="24"/>
                <w:szCs w:val="24"/>
              </w:rPr>
              <w:t>;</w:t>
            </w:r>
          </w:p>
          <w:p w14:paraId="2EB48C47" w14:textId="6E59D885" w:rsidR="00710815" w:rsidRPr="00237760" w:rsidRDefault="00F311FF" w:rsidP="009367B4">
            <w:pPr>
              <w:spacing w:after="0" w:line="240" w:lineRule="auto"/>
              <w:jc w:val="left"/>
              <w:rPr>
                <w:rFonts w:ascii="Arial" w:hAnsi="Arial" w:cs="Arial"/>
                <w:color w:val="auto"/>
                <w:sz w:val="24"/>
                <w:szCs w:val="24"/>
              </w:rPr>
            </w:pPr>
            <w:r w:rsidRPr="00237760">
              <w:rPr>
                <w:rFonts w:ascii="Arial" w:hAnsi="Arial" w:cs="Arial"/>
                <w:b/>
                <w:bCs/>
                <w:color w:val="auto"/>
                <w:sz w:val="24"/>
                <w:szCs w:val="24"/>
              </w:rPr>
              <w:t>Słabe strony</w:t>
            </w:r>
            <w:r w:rsidRPr="00237760">
              <w:rPr>
                <w:rFonts w:ascii="Arial" w:hAnsi="Arial" w:cs="Arial"/>
                <w:color w:val="auto"/>
                <w:sz w:val="24"/>
                <w:szCs w:val="24"/>
              </w:rPr>
              <w:t xml:space="preserve">: </w:t>
            </w:r>
            <w:r w:rsidR="00710815" w:rsidRPr="00237760">
              <w:rPr>
                <w:rFonts w:ascii="Arial" w:hAnsi="Arial" w:cs="Arial"/>
                <w:color w:val="auto"/>
                <w:sz w:val="24"/>
                <w:szCs w:val="24"/>
              </w:rPr>
              <w:t>Wysokie obciążenie dla środowiska naturalnego zwłaszcza ze strony transportu samochodowego</w:t>
            </w:r>
            <w:r w:rsidRPr="00237760">
              <w:rPr>
                <w:rFonts w:ascii="Arial" w:hAnsi="Arial" w:cs="Arial"/>
                <w:color w:val="auto"/>
                <w:sz w:val="24"/>
                <w:szCs w:val="24"/>
              </w:rPr>
              <w:t>;</w:t>
            </w:r>
            <w:r w:rsidR="00710815" w:rsidRPr="00237760">
              <w:rPr>
                <w:rFonts w:ascii="Arial" w:hAnsi="Arial" w:cs="Arial"/>
                <w:color w:val="auto"/>
                <w:sz w:val="24"/>
                <w:szCs w:val="24"/>
              </w:rPr>
              <w:t xml:space="preserve"> Niekorzystna i utrzymująca się struktura gałęziowa przewozów z dominującym i wciąż rosnącym udziałem transportu drogowego</w:t>
            </w:r>
            <w:r w:rsidRPr="00237760">
              <w:rPr>
                <w:rFonts w:ascii="Arial" w:hAnsi="Arial" w:cs="Arial"/>
                <w:color w:val="auto"/>
                <w:sz w:val="24"/>
                <w:szCs w:val="24"/>
              </w:rPr>
              <w:t>;</w:t>
            </w:r>
            <w:r w:rsidR="00710815" w:rsidRPr="00237760">
              <w:rPr>
                <w:rFonts w:ascii="Arial" w:hAnsi="Arial" w:cs="Arial"/>
                <w:color w:val="auto"/>
                <w:sz w:val="24"/>
                <w:szCs w:val="24"/>
              </w:rPr>
              <w:t xml:space="preserve"> Niedostateczne powiązanie południowej części regionu z infrastrukturą kolejową z Rzeszowem i z resztą kraju</w:t>
            </w:r>
            <w:r w:rsidRPr="00237760">
              <w:rPr>
                <w:rFonts w:ascii="Arial" w:hAnsi="Arial" w:cs="Arial"/>
                <w:color w:val="auto"/>
                <w:sz w:val="24"/>
                <w:szCs w:val="24"/>
              </w:rPr>
              <w:t>;</w:t>
            </w:r>
            <w:r w:rsidR="00710815" w:rsidRPr="00237760">
              <w:rPr>
                <w:rFonts w:ascii="Arial" w:hAnsi="Arial" w:cs="Arial"/>
                <w:color w:val="auto"/>
                <w:sz w:val="24"/>
                <w:szCs w:val="24"/>
              </w:rPr>
              <w:t xml:space="preserve"> Asymetria popytu na transport (głównie transport samochodowy)</w:t>
            </w:r>
            <w:r w:rsidRPr="00237760">
              <w:rPr>
                <w:rFonts w:ascii="Arial" w:hAnsi="Arial" w:cs="Arial"/>
                <w:color w:val="auto"/>
                <w:sz w:val="24"/>
                <w:szCs w:val="24"/>
              </w:rPr>
              <w:t>;</w:t>
            </w:r>
            <w:r w:rsidR="00710815" w:rsidRPr="00237760">
              <w:rPr>
                <w:rFonts w:ascii="Arial" w:hAnsi="Arial" w:cs="Arial"/>
                <w:color w:val="auto"/>
                <w:sz w:val="24"/>
                <w:szCs w:val="24"/>
              </w:rPr>
              <w:t xml:space="preserve"> </w:t>
            </w:r>
            <w:r w:rsidR="00710815" w:rsidRPr="00237760">
              <w:rPr>
                <w:rFonts w:ascii="Arial" w:hAnsi="Arial" w:cs="Arial"/>
                <w:color w:val="auto"/>
                <w:sz w:val="24"/>
                <w:szCs w:val="24"/>
              </w:rPr>
              <w:lastRenderedPageBreak/>
              <w:t>Niedostateczne powiązanie południowej części regionu z infrastrukturą kolejową z Rzeszowem i z resztą kraju</w:t>
            </w:r>
            <w:r w:rsidRPr="00237760">
              <w:rPr>
                <w:rFonts w:ascii="Arial" w:hAnsi="Arial" w:cs="Arial"/>
                <w:color w:val="auto"/>
                <w:sz w:val="24"/>
                <w:szCs w:val="24"/>
              </w:rPr>
              <w:t>;</w:t>
            </w:r>
            <w:r w:rsidR="00710815" w:rsidRPr="00237760">
              <w:rPr>
                <w:rFonts w:ascii="Arial" w:hAnsi="Arial" w:cs="Arial"/>
                <w:color w:val="auto"/>
                <w:sz w:val="24"/>
                <w:szCs w:val="24"/>
              </w:rPr>
              <w:t xml:space="preserve"> Obszary peryferyjne wewnątrz województwa (w szczególności południowe i północno-wschodnie części województwa)</w:t>
            </w:r>
            <w:r w:rsidRPr="00237760">
              <w:rPr>
                <w:rFonts w:ascii="Arial" w:hAnsi="Arial" w:cs="Arial"/>
                <w:color w:val="auto"/>
                <w:sz w:val="24"/>
                <w:szCs w:val="24"/>
              </w:rPr>
              <w:t>;</w:t>
            </w:r>
            <w:r w:rsidR="00710815" w:rsidRPr="00237760">
              <w:rPr>
                <w:rFonts w:ascii="Arial" w:hAnsi="Arial" w:cs="Arial"/>
                <w:color w:val="auto"/>
                <w:sz w:val="24"/>
                <w:szCs w:val="24"/>
              </w:rPr>
              <w:t xml:space="preserve"> Starzenie się społeczeństwa i rosnąca liczba osób w wieku poprodukcyjnym</w:t>
            </w:r>
            <w:r w:rsidRPr="00237760">
              <w:rPr>
                <w:rFonts w:ascii="Arial" w:hAnsi="Arial" w:cs="Arial"/>
                <w:color w:val="auto"/>
                <w:sz w:val="24"/>
                <w:szCs w:val="24"/>
              </w:rPr>
              <w:t>;</w:t>
            </w:r>
            <w:r w:rsidR="00710815" w:rsidRPr="00237760">
              <w:rPr>
                <w:rFonts w:ascii="Arial" w:hAnsi="Arial" w:cs="Arial"/>
                <w:color w:val="auto"/>
                <w:sz w:val="24"/>
                <w:szCs w:val="24"/>
              </w:rPr>
              <w:t xml:space="preserve"> Rozproszenie zabudowy, głównie na terenach wiejskich (słabe)</w:t>
            </w:r>
          </w:p>
        </w:tc>
      </w:tr>
      <w:tr w:rsidR="00237760" w:rsidRPr="00237760" w14:paraId="0817327C" w14:textId="77777777" w:rsidTr="00F311FF">
        <w:trPr>
          <w:trHeight w:val="14"/>
        </w:trPr>
        <w:tc>
          <w:tcPr>
            <w:tcW w:w="1990" w:type="dxa"/>
            <w:tcBorders>
              <w:top w:val="single" w:sz="4" w:space="0" w:color="BDD6EE" w:themeColor="accent1" w:themeTint="66"/>
              <w:left w:val="nil"/>
              <w:bottom w:val="single" w:sz="12" w:space="0" w:color="002060"/>
              <w:right w:val="nil"/>
            </w:tcBorders>
            <w:shd w:val="clear" w:color="auto" w:fill="auto"/>
            <w:vAlign w:val="center"/>
          </w:tcPr>
          <w:p w14:paraId="0CDB08F2" w14:textId="16D3F783"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lastRenderedPageBreak/>
              <w:t>CH4. Poprawa bezpieczeństwa w transporcie</w:t>
            </w:r>
          </w:p>
        </w:tc>
        <w:tc>
          <w:tcPr>
            <w:tcW w:w="7087" w:type="dxa"/>
            <w:tcBorders>
              <w:top w:val="single" w:sz="4" w:space="0" w:color="BDD6EE" w:themeColor="accent1" w:themeTint="66"/>
              <w:left w:val="nil"/>
              <w:bottom w:val="single" w:sz="12" w:space="0" w:color="002060"/>
              <w:right w:val="nil"/>
            </w:tcBorders>
            <w:shd w:val="clear" w:color="auto" w:fill="auto"/>
          </w:tcPr>
          <w:p w14:paraId="01F9E0EB" w14:textId="40D04A7B" w:rsidR="00F311FF" w:rsidRPr="00237760" w:rsidRDefault="00F311FF" w:rsidP="009367B4">
            <w:pPr>
              <w:spacing w:after="0" w:line="240" w:lineRule="auto"/>
              <w:jc w:val="left"/>
              <w:rPr>
                <w:rFonts w:ascii="Arial" w:hAnsi="Arial" w:cs="Arial"/>
                <w:color w:val="auto"/>
                <w:sz w:val="24"/>
                <w:szCs w:val="24"/>
              </w:rPr>
            </w:pPr>
            <w:r w:rsidRPr="00237760">
              <w:rPr>
                <w:rFonts w:ascii="Arial" w:hAnsi="Arial" w:cs="Arial"/>
                <w:b/>
                <w:bCs/>
                <w:color w:val="auto"/>
                <w:sz w:val="24"/>
                <w:szCs w:val="24"/>
              </w:rPr>
              <w:t>Mocne strony</w:t>
            </w:r>
            <w:r w:rsidRPr="00237760">
              <w:rPr>
                <w:rFonts w:ascii="Arial" w:hAnsi="Arial" w:cs="Arial"/>
                <w:color w:val="auto"/>
                <w:sz w:val="24"/>
                <w:szCs w:val="24"/>
              </w:rPr>
              <w:t xml:space="preserve">: </w:t>
            </w:r>
            <w:r w:rsidR="00710815" w:rsidRPr="00237760">
              <w:rPr>
                <w:rFonts w:ascii="Arial" w:hAnsi="Arial" w:cs="Arial"/>
                <w:color w:val="auto"/>
                <w:sz w:val="24"/>
                <w:szCs w:val="24"/>
              </w:rPr>
              <w:t>Wybudowane drogi obwodowe eliminujące hałas z centrów miast</w:t>
            </w:r>
            <w:r w:rsidRPr="00237760">
              <w:rPr>
                <w:rFonts w:ascii="Arial" w:hAnsi="Arial" w:cs="Arial"/>
                <w:color w:val="auto"/>
                <w:sz w:val="24"/>
                <w:szCs w:val="24"/>
              </w:rPr>
              <w:t>;</w:t>
            </w:r>
            <w:r w:rsidR="00710815" w:rsidRPr="00237760">
              <w:rPr>
                <w:rFonts w:ascii="Arial" w:hAnsi="Arial" w:cs="Arial"/>
                <w:color w:val="auto"/>
                <w:sz w:val="24"/>
                <w:szCs w:val="24"/>
              </w:rPr>
              <w:t xml:space="preserve"> Wysoka atrakcyjność turystyczna województwa</w:t>
            </w:r>
            <w:r w:rsidRPr="00237760">
              <w:rPr>
                <w:rFonts w:ascii="Arial" w:hAnsi="Arial" w:cs="Arial"/>
                <w:color w:val="auto"/>
                <w:sz w:val="24"/>
                <w:szCs w:val="24"/>
              </w:rPr>
              <w:t>;</w:t>
            </w:r>
            <w:r w:rsidR="00710815" w:rsidRPr="00237760">
              <w:rPr>
                <w:rFonts w:ascii="Arial" w:hAnsi="Arial" w:cs="Arial"/>
                <w:color w:val="auto"/>
                <w:sz w:val="24"/>
                <w:szCs w:val="24"/>
              </w:rPr>
              <w:t xml:space="preserve"> Rozwój demograficzny i gospodarczy ośrodka wojewódzkiego z obszarem powiązanym funkcjonalnie (ROF)</w:t>
            </w:r>
            <w:r w:rsidRPr="00237760">
              <w:rPr>
                <w:rFonts w:ascii="Arial" w:hAnsi="Arial" w:cs="Arial"/>
                <w:color w:val="auto"/>
                <w:sz w:val="24"/>
                <w:szCs w:val="24"/>
              </w:rPr>
              <w:t>;</w:t>
            </w:r>
          </w:p>
          <w:p w14:paraId="49F2F113" w14:textId="07D46254" w:rsidR="00710815" w:rsidRPr="00237760" w:rsidRDefault="00F311FF" w:rsidP="009367B4">
            <w:pPr>
              <w:spacing w:after="0" w:line="240" w:lineRule="auto"/>
              <w:jc w:val="left"/>
              <w:rPr>
                <w:rFonts w:ascii="Arial" w:hAnsi="Arial" w:cs="Arial"/>
                <w:color w:val="auto"/>
                <w:sz w:val="24"/>
                <w:szCs w:val="24"/>
              </w:rPr>
            </w:pPr>
            <w:r w:rsidRPr="00237760">
              <w:rPr>
                <w:rFonts w:ascii="Arial" w:hAnsi="Arial" w:cs="Arial"/>
                <w:b/>
                <w:bCs/>
                <w:color w:val="auto"/>
                <w:sz w:val="24"/>
                <w:szCs w:val="24"/>
              </w:rPr>
              <w:t>Słabe strony</w:t>
            </w:r>
            <w:r w:rsidRPr="00237760">
              <w:rPr>
                <w:rFonts w:ascii="Arial" w:hAnsi="Arial" w:cs="Arial"/>
                <w:color w:val="auto"/>
                <w:sz w:val="24"/>
                <w:szCs w:val="24"/>
              </w:rPr>
              <w:t xml:space="preserve">: </w:t>
            </w:r>
            <w:r w:rsidR="00710815" w:rsidRPr="00237760">
              <w:rPr>
                <w:rFonts w:ascii="Arial" w:hAnsi="Arial" w:cs="Arial"/>
                <w:color w:val="auto"/>
                <w:sz w:val="24"/>
                <w:szCs w:val="24"/>
              </w:rPr>
              <w:t>Duży odsetek dróg krajowych, wojewódzkich i powiatowych nie spełniających normatywu nośności</w:t>
            </w:r>
            <w:r w:rsidRPr="00237760">
              <w:rPr>
                <w:rFonts w:ascii="Arial" w:hAnsi="Arial" w:cs="Arial"/>
                <w:color w:val="auto"/>
                <w:sz w:val="24"/>
                <w:szCs w:val="24"/>
              </w:rPr>
              <w:t>;</w:t>
            </w:r>
            <w:r w:rsidR="00710815" w:rsidRPr="00237760">
              <w:rPr>
                <w:rFonts w:ascii="Arial" w:hAnsi="Arial" w:cs="Arial"/>
                <w:color w:val="auto"/>
                <w:sz w:val="24"/>
                <w:szCs w:val="24"/>
              </w:rPr>
              <w:t xml:space="preserve"> Brak spójnej sieci połączonych ze sobą tras rowerowych województwa o jednolitych parametrach</w:t>
            </w:r>
            <w:r w:rsidRPr="00237760">
              <w:rPr>
                <w:rFonts w:ascii="Arial" w:hAnsi="Arial" w:cs="Arial"/>
                <w:color w:val="auto"/>
                <w:sz w:val="24"/>
                <w:szCs w:val="24"/>
              </w:rPr>
              <w:t>;</w:t>
            </w:r>
            <w:r w:rsidR="00710815" w:rsidRPr="00237760">
              <w:rPr>
                <w:rFonts w:ascii="Arial" w:hAnsi="Arial" w:cs="Arial"/>
                <w:color w:val="auto"/>
                <w:sz w:val="24"/>
                <w:szCs w:val="24"/>
              </w:rPr>
              <w:t xml:space="preserve"> Ruch tranzytowy przebiegający przez obszary zurbanizowane</w:t>
            </w:r>
            <w:r w:rsidRPr="00237760">
              <w:rPr>
                <w:rFonts w:ascii="Arial" w:hAnsi="Arial" w:cs="Arial"/>
                <w:color w:val="auto"/>
                <w:sz w:val="24"/>
                <w:szCs w:val="24"/>
              </w:rPr>
              <w:t>;</w:t>
            </w:r>
            <w:r w:rsidR="00710815" w:rsidRPr="00237760">
              <w:rPr>
                <w:rFonts w:ascii="Arial" w:hAnsi="Arial" w:cs="Arial"/>
                <w:color w:val="auto"/>
                <w:sz w:val="24"/>
                <w:szCs w:val="24"/>
              </w:rPr>
              <w:t xml:space="preserve"> Niski poziom innowacyjności sieci i zastosowania inteligentnych systemów transportowych</w:t>
            </w:r>
            <w:r w:rsidRPr="00237760">
              <w:rPr>
                <w:rFonts w:ascii="Arial" w:hAnsi="Arial" w:cs="Arial"/>
                <w:color w:val="auto"/>
                <w:sz w:val="24"/>
                <w:szCs w:val="24"/>
              </w:rPr>
              <w:t>;</w:t>
            </w:r>
            <w:r w:rsidR="00710815" w:rsidRPr="00237760">
              <w:rPr>
                <w:rFonts w:ascii="Arial" w:hAnsi="Arial" w:cs="Arial"/>
                <w:color w:val="auto"/>
                <w:sz w:val="24"/>
                <w:szCs w:val="24"/>
              </w:rPr>
              <w:t xml:space="preserve"> Asymetria popytu na transport (głównie transport samochodowy) (słabe) </w:t>
            </w:r>
          </w:p>
        </w:tc>
      </w:tr>
    </w:tbl>
    <w:p w14:paraId="7CF86495" w14:textId="77777777" w:rsidR="00710815" w:rsidRPr="00237760" w:rsidRDefault="00710815" w:rsidP="009367B4">
      <w:pPr>
        <w:jc w:val="left"/>
        <w:rPr>
          <w:rFonts w:ascii="Arial" w:eastAsiaTheme="minorHAnsi" w:hAnsi="Arial" w:cs="Arial"/>
          <w:color w:val="auto"/>
          <w:sz w:val="24"/>
          <w:szCs w:val="24"/>
        </w:rPr>
      </w:pPr>
      <w:r w:rsidRPr="00237760">
        <w:rPr>
          <w:rFonts w:ascii="Arial" w:hAnsi="Arial" w:cs="Arial"/>
          <w:color w:val="auto"/>
          <w:sz w:val="24"/>
          <w:szCs w:val="24"/>
        </w:rPr>
        <w:t>Źródło: opracowanie własne na podstawie PSRT WP.</w:t>
      </w:r>
    </w:p>
    <w:p w14:paraId="421FF24B" w14:textId="3B9C6C95" w:rsidR="00931674" w:rsidRDefault="00710815" w:rsidP="002350B5">
      <w:pPr>
        <w:jc w:val="left"/>
        <w:rPr>
          <w:rFonts w:ascii="Arial" w:hAnsi="Arial" w:cs="Arial"/>
          <w:color w:val="auto"/>
          <w:sz w:val="24"/>
          <w:szCs w:val="24"/>
        </w:rPr>
      </w:pPr>
      <w:r w:rsidRPr="00237760">
        <w:rPr>
          <w:rFonts w:ascii="Arial" w:hAnsi="Arial" w:cs="Arial"/>
          <w:color w:val="auto"/>
          <w:sz w:val="24"/>
          <w:szCs w:val="24"/>
        </w:rPr>
        <w:t>Ostatnim elementem oceny spójności analizy SWOT z innymi elementami PSRT WP jest analiza powiązania czynników analizy SWOT z celami strategicznymi i horyzontalnymi (</w:t>
      </w:r>
      <w:r w:rsidRPr="00237760">
        <w:rPr>
          <w:rFonts w:ascii="Arial" w:hAnsi="Arial" w:cs="Arial"/>
          <w:color w:val="auto"/>
          <w:sz w:val="24"/>
          <w:szCs w:val="24"/>
        </w:rPr>
        <w:fldChar w:fldCharType="begin"/>
      </w:r>
      <w:r w:rsidRPr="00237760">
        <w:rPr>
          <w:rFonts w:ascii="Arial" w:hAnsi="Arial" w:cs="Arial"/>
          <w:color w:val="auto"/>
          <w:sz w:val="24"/>
          <w:szCs w:val="24"/>
        </w:rPr>
        <w:instrText xml:space="preserve"> REF _Ref100082350 \h  \* MERGEFORMAT </w:instrText>
      </w:r>
      <w:r w:rsidRPr="00237760">
        <w:rPr>
          <w:rFonts w:ascii="Arial" w:hAnsi="Arial" w:cs="Arial"/>
          <w:color w:val="auto"/>
          <w:sz w:val="24"/>
          <w:szCs w:val="24"/>
        </w:rPr>
      </w:r>
      <w:r w:rsidRPr="00237760">
        <w:rPr>
          <w:rFonts w:ascii="Arial" w:hAnsi="Arial" w:cs="Arial"/>
          <w:color w:val="auto"/>
          <w:sz w:val="24"/>
          <w:szCs w:val="24"/>
        </w:rPr>
        <w:fldChar w:fldCharType="separate"/>
      </w:r>
      <w:r w:rsidR="00DA6050" w:rsidRPr="00237760">
        <w:rPr>
          <w:rFonts w:ascii="Arial" w:hAnsi="Arial" w:cs="Arial"/>
          <w:color w:val="auto"/>
          <w:sz w:val="24"/>
          <w:szCs w:val="24"/>
        </w:rPr>
        <w:t xml:space="preserve">Tabela </w:t>
      </w:r>
      <w:r w:rsidR="00DA6050" w:rsidRPr="00237760">
        <w:rPr>
          <w:rFonts w:ascii="Arial" w:hAnsi="Arial" w:cs="Arial"/>
          <w:noProof/>
          <w:color w:val="auto"/>
          <w:sz w:val="24"/>
          <w:szCs w:val="24"/>
        </w:rPr>
        <w:t>45</w:t>
      </w:r>
      <w:r w:rsidRPr="00237760">
        <w:rPr>
          <w:rFonts w:ascii="Arial" w:hAnsi="Arial" w:cs="Arial"/>
          <w:color w:val="auto"/>
          <w:sz w:val="24"/>
          <w:szCs w:val="24"/>
        </w:rPr>
        <w:fldChar w:fldCharType="end"/>
      </w:r>
      <w:r w:rsidRPr="00237760">
        <w:rPr>
          <w:rFonts w:ascii="Arial" w:hAnsi="Arial" w:cs="Arial"/>
          <w:color w:val="auto"/>
          <w:sz w:val="24"/>
          <w:szCs w:val="24"/>
        </w:rPr>
        <w:t>). Jej celem jest sprawdzenie, na jakie czynniki będą oddziaływać sformułowane w projekcie strategii cele. Ocena wykazała, że na każdy czynniki z analizy SWOT (mocne i słabe strony) oddziałuje przynajmniej jeden cel podstawowy albo horyzontalny. Należy jednak pamiętać, że oddziaływania te wykazują duże zróżnicowanie. Podczas gdy na niektóre czynniki cele oddziałują w sposób bezpośredni, na inne czynnik cele będą wpływać jedynie pośrednio.</w:t>
      </w:r>
      <w:r w:rsidR="00931674">
        <w:rPr>
          <w:rFonts w:ascii="Arial" w:hAnsi="Arial" w:cs="Arial"/>
          <w:color w:val="auto"/>
          <w:sz w:val="24"/>
          <w:szCs w:val="24"/>
        </w:rPr>
        <w:br w:type="page"/>
      </w:r>
    </w:p>
    <w:p w14:paraId="5244766C" w14:textId="1E587A23" w:rsidR="00710815" w:rsidRPr="00237760" w:rsidRDefault="00710815" w:rsidP="009367B4">
      <w:pPr>
        <w:pStyle w:val="Legenda"/>
        <w:jc w:val="left"/>
        <w:rPr>
          <w:rFonts w:ascii="Arial" w:hAnsi="Arial" w:cs="Arial"/>
          <w:color w:val="auto"/>
          <w:sz w:val="24"/>
          <w:szCs w:val="24"/>
        </w:rPr>
      </w:pPr>
      <w:bookmarkStart w:id="280" w:name="_Ref99498468"/>
      <w:bookmarkStart w:id="281" w:name="_Ref100082350"/>
      <w:bookmarkStart w:id="282" w:name="_Toc101904286"/>
      <w:r w:rsidRPr="00237760">
        <w:rPr>
          <w:rFonts w:ascii="Arial" w:hAnsi="Arial" w:cs="Arial"/>
          <w:color w:val="auto"/>
          <w:sz w:val="24"/>
          <w:szCs w:val="24"/>
        </w:rPr>
        <w:lastRenderedPageBreak/>
        <w:t xml:space="preserve">Tabela </w:t>
      </w:r>
      <w:bookmarkEnd w:id="280"/>
      <w:r w:rsidRPr="00237760">
        <w:rPr>
          <w:rFonts w:ascii="Arial" w:hAnsi="Arial" w:cs="Arial"/>
          <w:color w:val="auto"/>
          <w:sz w:val="24"/>
          <w:szCs w:val="24"/>
        </w:rPr>
        <w:fldChar w:fldCharType="begin"/>
      </w:r>
      <w:r w:rsidRPr="00237760">
        <w:rPr>
          <w:rFonts w:ascii="Arial" w:hAnsi="Arial" w:cs="Arial"/>
          <w:color w:val="auto"/>
          <w:sz w:val="24"/>
          <w:szCs w:val="24"/>
        </w:rPr>
        <w:instrText xml:space="preserve"> SEQ Tabela \* ARABIC </w:instrText>
      </w:r>
      <w:r w:rsidRPr="00237760">
        <w:rPr>
          <w:rFonts w:ascii="Arial" w:hAnsi="Arial" w:cs="Arial"/>
          <w:color w:val="auto"/>
          <w:sz w:val="24"/>
          <w:szCs w:val="24"/>
        </w:rPr>
        <w:fldChar w:fldCharType="separate"/>
      </w:r>
      <w:r w:rsidR="00762B20" w:rsidRPr="00237760">
        <w:rPr>
          <w:rFonts w:ascii="Arial" w:hAnsi="Arial" w:cs="Arial"/>
          <w:noProof/>
          <w:color w:val="auto"/>
          <w:sz w:val="24"/>
          <w:szCs w:val="24"/>
        </w:rPr>
        <w:t>45</w:t>
      </w:r>
      <w:r w:rsidRPr="00237760">
        <w:rPr>
          <w:rFonts w:ascii="Arial" w:hAnsi="Arial" w:cs="Arial"/>
          <w:color w:val="auto"/>
          <w:sz w:val="24"/>
          <w:szCs w:val="24"/>
        </w:rPr>
        <w:fldChar w:fldCharType="end"/>
      </w:r>
      <w:bookmarkEnd w:id="281"/>
      <w:r w:rsidRPr="00237760">
        <w:rPr>
          <w:rFonts w:ascii="Arial" w:hAnsi="Arial" w:cs="Arial"/>
          <w:color w:val="auto"/>
          <w:sz w:val="24"/>
          <w:szCs w:val="24"/>
        </w:rPr>
        <w:t>. Powiązanie mocnych i słabych stronach analizy SWOT z celami podstawowymi i horyzontalnymi</w:t>
      </w:r>
      <w:bookmarkEnd w:id="282"/>
    </w:p>
    <w:tbl>
      <w:tblPr>
        <w:tblStyle w:val="Tabela-Siatka"/>
        <w:tblW w:w="8936" w:type="dxa"/>
        <w:tblInd w:w="-5"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Look w:val="04A0" w:firstRow="1" w:lastRow="0" w:firstColumn="1" w:lastColumn="0" w:noHBand="0" w:noVBand="1"/>
        <w:tblCaption w:val="Tabela 45. Powiązanie mocnych i słabych stronach analizy SWOT z celami podstawowymi i horyzontalnymi"/>
      </w:tblPr>
      <w:tblGrid>
        <w:gridCol w:w="6951"/>
        <w:gridCol w:w="1985"/>
      </w:tblGrid>
      <w:tr w:rsidR="00237760" w:rsidRPr="00237760" w14:paraId="463FC676" w14:textId="77777777" w:rsidTr="002350B5">
        <w:tc>
          <w:tcPr>
            <w:tcW w:w="6951" w:type="dxa"/>
            <w:tcBorders>
              <w:top w:val="single" w:sz="12" w:space="0" w:color="002060"/>
              <w:left w:val="nil"/>
              <w:bottom w:val="single" w:sz="4" w:space="0" w:color="BDD6EE" w:themeColor="accent1" w:themeTint="66"/>
              <w:right w:val="nil"/>
            </w:tcBorders>
            <w:shd w:val="clear" w:color="auto" w:fill="auto"/>
            <w:vAlign w:val="center"/>
            <w:hideMark/>
          </w:tcPr>
          <w:p w14:paraId="277FE281" w14:textId="77777777" w:rsidR="00710815" w:rsidRPr="00237760" w:rsidRDefault="00710815" w:rsidP="009367B4">
            <w:pPr>
              <w:spacing w:after="0"/>
              <w:jc w:val="left"/>
              <w:rPr>
                <w:rFonts w:ascii="Arial" w:eastAsiaTheme="minorHAnsi" w:hAnsi="Arial" w:cs="Arial"/>
                <w:b/>
                <w:color w:val="auto"/>
                <w:sz w:val="24"/>
                <w:szCs w:val="24"/>
              </w:rPr>
            </w:pPr>
            <w:r w:rsidRPr="00237760">
              <w:rPr>
                <w:rFonts w:ascii="Arial" w:hAnsi="Arial" w:cs="Arial"/>
                <w:b/>
                <w:color w:val="auto"/>
                <w:sz w:val="24"/>
                <w:szCs w:val="24"/>
              </w:rPr>
              <w:t>MOCNE STRONY</w:t>
            </w:r>
          </w:p>
        </w:tc>
        <w:tc>
          <w:tcPr>
            <w:tcW w:w="1985" w:type="dxa"/>
            <w:tcBorders>
              <w:top w:val="single" w:sz="12" w:space="0" w:color="002060"/>
              <w:left w:val="nil"/>
              <w:bottom w:val="single" w:sz="4" w:space="0" w:color="BDD6EE" w:themeColor="accent1" w:themeTint="66"/>
              <w:right w:val="nil"/>
            </w:tcBorders>
            <w:shd w:val="clear" w:color="auto" w:fill="auto"/>
            <w:vAlign w:val="center"/>
            <w:hideMark/>
          </w:tcPr>
          <w:p w14:paraId="70213D76" w14:textId="77777777" w:rsidR="00710815" w:rsidRPr="00237760" w:rsidRDefault="00710815" w:rsidP="009367B4">
            <w:pPr>
              <w:spacing w:after="0"/>
              <w:jc w:val="left"/>
              <w:rPr>
                <w:rFonts w:ascii="Arial" w:hAnsi="Arial" w:cs="Arial"/>
                <w:b/>
                <w:color w:val="auto"/>
                <w:sz w:val="24"/>
                <w:szCs w:val="24"/>
              </w:rPr>
            </w:pPr>
            <w:r w:rsidRPr="00237760">
              <w:rPr>
                <w:rFonts w:ascii="Arial" w:hAnsi="Arial" w:cs="Arial"/>
                <w:b/>
                <w:color w:val="auto"/>
                <w:sz w:val="24"/>
                <w:szCs w:val="24"/>
              </w:rPr>
              <w:t>Czy na wskazany czynnik oddziałuje cel podstawowy albo horyzontalny?</w:t>
            </w:r>
          </w:p>
        </w:tc>
      </w:tr>
      <w:tr w:rsidR="00237760" w:rsidRPr="00237760" w14:paraId="7E02E44C" w14:textId="77777777" w:rsidTr="00931674">
        <w:tc>
          <w:tcPr>
            <w:tcW w:w="6951" w:type="dxa"/>
            <w:tcBorders>
              <w:top w:val="single" w:sz="4" w:space="0" w:color="BDD6EE" w:themeColor="accent1" w:themeTint="66"/>
              <w:left w:val="nil"/>
              <w:bottom w:val="single" w:sz="4" w:space="0" w:color="BDD6EE" w:themeColor="accent1" w:themeTint="66"/>
              <w:right w:val="nil"/>
            </w:tcBorders>
            <w:vAlign w:val="center"/>
          </w:tcPr>
          <w:p w14:paraId="17AD7A9B"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Policentryczny układ sieci osadniczej województwa podkarpackiego</w:t>
            </w:r>
          </w:p>
        </w:tc>
        <w:tc>
          <w:tcPr>
            <w:tcW w:w="1985" w:type="dxa"/>
            <w:tcBorders>
              <w:top w:val="single" w:sz="4" w:space="0" w:color="BDD6EE" w:themeColor="accent1" w:themeTint="66"/>
              <w:left w:val="nil"/>
              <w:bottom w:val="single" w:sz="4" w:space="0" w:color="BDD6EE" w:themeColor="accent1" w:themeTint="66"/>
              <w:right w:val="nil"/>
            </w:tcBorders>
            <w:vAlign w:val="center"/>
          </w:tcPr>
          <w:p w14:paraId="754548B3"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7334A777" w14:textId="77777777" w:rsidTr="00931674">
        <w:tc>
          <w:tcPr>
            <w:tcW w:w="6951" w:type="dxa"/>
            <w:tcBorders>
              <w:top w:val="single" w:sz="4" w:space="0" w:color="BDD6EE" w:themeColor="accent1" w:themeTint="66"/>
              <w:left w:val="nil"/>
              <w:bottom w:val="single" w:sz="4" w:space="0" w:color="BDD6EE" w:themeColor="accent1" w:themeTint="66"/>
              <w:right w:val="nil"/>
            </w:tcBorders>
            <w:vAlign w:val="center"/>
          </w:tcPr>
          <w:p w14:paraId="4FFD3FC1"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Rozwój demograficzny i gospodarczy ośrodka wojewódzkiego z obszarem powiązanym funkcjonalnie (ROF)</w:t>
            </w:r>
          </w:p>
        </w:tc>
        <w:tc>
          <w:tcPr>
            <w:tcW w:w="1985" w:type="dxa"/>
            <w:tcBorders>
              <w:top w:val="single" w:sz="4" w:space="0" w:color="BDD6EE" w:themeColor="accent1" w:themeTint="66"/>
              <w:left w:val="nil"/>
              <w:bottom w:val="single" w:sz="4" w:space="0" w:color="BDD6EE" w:themeColor="accent1" w:themeTint="66"/>
              <w:right w:val="nil"/>
            </w:tcBorders>
            <w:vAlign w:val="center"/>
          </w:tcPr>
          <w:p w14:paraId="4183AA9A"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2020CBE4" w14:textId="77777777" w:rsidTr="00931674">
        <w:tc>
          <w:tcPr>
            <w:tcW w:w="6951" w:type="dxa"/>
            <w:tcBorders>
              <w:top w:val="single" w:sz="4" w:space="0" w:color="BDD6EE" w:themeColor="accent1" w:themeTint="66"/>
              <w:left w:val="nil"/>
              <w:bottom w:val="single" w:sz="4" w:space="0" w:color="BDD6EE" w:themeColor="accent1" w:themeTint="66"/>
              <w:right w:val="nil"/>
            </w:tcBorders>
            <w:vAlign w:val="center"/>
          </w:tcPr>
          <w:p w14:paraId="4609720C"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Powiązanie układu komunikacyjnego województwa podkarpackiego z krajową i międzynarodową siecią TEN-T</w:t>
            </w:r>
          </w:p>
        </w:tc>
        <w:tc>
          <w:tcPr>
            <w:tcW w:w="1985" w:type="dxa"/>
            <w:tcBorders>
              <w:top w:val="single" w:sz="4" w:space="0" w:color="BDD6EE" w:themeColor="accent1" w:themeTint="66"/>
              <w:left w:val="nil"/>
              <w:bottom w:val="single" w:sz="4" w:space="0" w:color="BDD6EE" w:themeColor="accent1" w:themeTint="66"/>
              <w:right w:val="nil"/>
            </w:tcBorders>
            <w:vAlign w:val="center"/>
          </w:tcPr>
          <w:p w14:paraId="73690CE6"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3F66DCE1" w14:textId="77777777" w:rsidTr="00931674">
        <w:tc>
          <w:tcPr>
            <w:tcW w:w="6951" w:type="dxa"/>
            <w:tcBorders>
              <w:top w:val="single" w:sz="4" w:space="0" w:color="BDD6EE" w:themeColor="accent1" w:themeTint="66"/>
              <w:left w:val="nil"/>
              <w:bottom w:val="single" w:sz="4" w:space="0" w:color="BDD6EE" w:themeColor="accent1" w:themeTint="66"/>
              <w:right w:val="nil"/>
            </w:tcBorders>
            <w:vAlign w:val="center"/>
          </w:tcPr>
          <w:p w14:paraId="253AB8E1"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Autostrada A4 oraz magistrala kolejowa E30, stanowiące główną oś komunikacyjną na kierunku wschód-zachód</w:t>
            </w:r>
          </w:p>
        </w:tc>
        <w:tc>
          <w:tcPr>
            <w:tcW w:w="1985"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58D35B6A" w14:textId="77777777" w:rsidR="00710815" w:rsidRPr="00237760" w:rsidRDefault="00710815" w:rsidP="009367B4">
            <w:pPr>
              <w:spacing w:after="0" w:line="240" w:lineRule="auto"/>
              <w:jc w:val="left"/>
              <w:rPr>
                <w:rFonts w:ascii="Arial" w:hAnsi="Arial" w:cs="Arial"/>
                <w:bCs/>
                <w:color w:val="auto"/>
                <w:sz w:val="24"/>
                <w:szCs w:val="24"/>
              </w:rPr>
            </w:pPr>
            <w:r w:rsidRPr="00237760">
              <w:rPr>
                <w:rFonts w:ascii="Arial" w:hAnsi="Arial" w:cs="Arial"/>
                <w:bCs/>
                <w:color w:val="auto"/>
                <w:sz w:val="24"/>
                <w:szCs w:val="24"/>
              </w:rPr>
              <w:t xml:space="preserve">Tak </w:t>
            </w:r>
          </w:p>
        </w:tc>
      </w:tr>
      <w:tr w:rsidR="00237760" w:rsidRPr="00237760" w14:paraId="2C290BCA" w14:textId="77777777" w:rsidTr="00931674">
        <w:tc>
          <w:tcPr>
            <w:tcW w:w="6951" w:type="dxa"/>
            <w:tcBorders>
              <w:top w:val="single" w:sz="4" w:space="0" w:color="BDD6EE" w:themeColor="accent1" w:themeTint="66"/>
              <w:left w:val="nil"/>
              <w:bottom w:val="single" w:sz="4" w:space="0" w:color="BDD6EE" w:themeColor="accent1" w:themeTint="66"/>
              <w:right w:val="nil"/>
            </w:tcBorders>
            <w:vAlign w:val="center"/>
          </w:tcPr>
          <w:p w14:paraId="683488BD"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Potencjał portu lotniczego Rzeszów – Jasionka</w:t>
            </w:r>
          </w:p>
        </w:tc>
        <w:tc>
          <w:tcPr>
            <w:tcW w:w="1985" w:type="dxa"/>
            <w:tcBorders>
              <w:top w:val="single" w:sz="4" w:space="0" w:color="BDD6EE" w:themeColor="accent1" w:themeTint="66"/>
              <w:left w:val="nil"/>
              <w:bottom w:val="single" w:sz="4" w:space="0" w:color="BDD6EE" w:themeColor="accent1" w:themeTint="66"/>
              <w:right w:val="nil"/>
            </w:tcBorders>
            <w:vAlign w:val="center"/>
          </w:tcPr>
          <w:p w14:paraId="426EB52B"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7449D814" w14:textId="77777777" w:rsidTr="00931674">
        <w:tc>
          <w:tcPr>
            <w:tcW w:w="6951" w:type="dxa"/>
            <w:tcBorders>
              <w:top w:val="single" w:sz="4" w:space="0" w:color="BDD6EE" w:themeColor="accent1" w:themeTint="66"/>
              <w:left w:val="nil"/>
              <w:bottom w:val="single" w:sz="4" w:space="0" w:color="BDD6EE" w:themeColor="accent1" w:themeTint="66"/>
              <w:right w:val="nil"/>
            </w:tcBorders>
            <w:vAlign w:val="center"/>
          </w:tcPr>
          <w:p w14:paraId="3DB5FDB4"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Dostępność transportowa biegunów wzrostu położonych wzdłuż autostrady A4 (Dębica, Rzeszów, Przeworsk-Jarosław, Przemyśl)</w:t>
            </w:r>
          </w:p>
        </w:tc>
        <w:tc>
          <w:tcPr>
            <w:tcW w:w="1985" w:type="dxa"/>
            <w:tcBorders>
              <w:top w:val="single" w:sz="4" w:space="0" w:color="BDD6EE" w:themeColor="accent1" w:themeTint="66"/>
              <w:left w:val="nil"/>
              <w:bottom w:val="single" w:sz="4" w:space="0" w:color="BDD6EE" w:themeColor="accent1" w:themeTint="66"/>
              <w:right w:val="nil"/>
            </w:tcBorders>
            <w:vAlign w:val="center"/>
          </w:tcPr>
          <w:p w14:paraId="09D2BA83"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038E1E20" w14:textId="77777777" w:rsidTr="00931674">
        <w:tc>
          <w:tcPr>
            <w:tcW w:w="6951" w:type="dxa"/>
            <w:tcBorders>
              <w:top w:val="single" w:sz="4" w:space="0" w:color="BDD6EE" w:themeColor="accent1" w:themeTint="66"/>
              <w:left w:val="nil"/>
              <w:bottom w:val="single" w:sz="4" w:space="0" w:color="BDD6EE" w:themeColor="accent1" w:themeTint="66"/>
              <w:right w:val="nil"/>
            </w:tcBorders>
            <w:vAlign w:val="center"/>
          </w:tcPr>
          <w:p w14:paraId="4FF362B6"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Rozbudowana sieć międzypowiatowych połączeń autobusowych</w:t>
            </w:r>
          </w:p>
        </w:tc>
        <w:tc>
          <w:tcPr>
            <w:tcW w:w="1985" w:type="dxa"/>
            <w:tcBorders>
              <w:top w:val="single" w:sz="4" w:space="0" w:color="BDD6EE" w:themeColor="accent1" w:themeTint="66"/>
              <w:left w:val="nil"/>
              <w:bottom w:val="single" w:sz="4" w:space="0" w:color="BDD6EE" w:themeColor="accent1" w:themeTint="66"/>
              <w:right w:val="nil"/>
            </w:tcBorders>
            <w:vAlign w:val="center"/>
          </w:tcPr>
          <w:p w14:paraId="471ECC3D"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0FA8F8C1" w14:textId="77777777" w:rsidTr="00931674">
        <w:tc>
          <w:tcPr>
            <w:tcW w:w="6951" w:type="dxa"/>
            <w:tcBorders>
              <w:top w:val="single" w:sz="4" w:space="0" w:color="BDD6EE" w:themeColor="accent1" w:themeTint="66"/>
              <w:left w:val="nil"/>
              <w:bottom w:val="single" w:sz="4" w:space="0" w:color="BDD6EE" w:themeColor="accent1" w:themeTint="66"/>
              <w:right w:val="nil"/>
            </w:tcBorders>
            <w:vAlign w:val="center"/>
          </w:tcPr>
          <w:p w14:paraId="7E265C8E"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Wysoka atrakcyjność turystyczna województwa</w:t>
            </w:r>
          </w:p>
        </w:tc>
        <w:tc>
          <w:tcPr>
            <w:tcW w:w="1985" w:type="dxa"/>
            <w:tcBorders>
              <w:top w:val="single" w:sz="4" w:space="0" w:color="BDD6EE" w:themeColor="accent1" w:themeTint="66"/>
              <w:left w:val="nil"/>
              <w:bottom w:val="single" w:sz="4" w:space="0" w:color="BDD6EE" w:themeColor="accent1" w:themeTint="66"/>
              <w:right w:val="nil"/>
            </w:tcBorders>
            <w:vAlign w:val="center"/>
          </w:tcPr>
          <w:p w14:paraId="20B9B6DD"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6D48DABD" w14:textId="77777777" w:rsidTr="00931674">
        <w:tc>
          <w:tcPr>
            <w:tcW w:w="6951" w:type="dxa"/>
            <w:tcBorders>
              <w:top w:val="single" w:sz="4" w:space="0" w:color="BDD6EE" w:themeColor="accent1" w:themeTint="66"/>
              <w:left w:val="nil"/>
              <w:bottom w:val="single" w:sz="4" w:space="0" w:color="BDD6EE" w:themeColor="accent1" w:themeTint="66"/>
              <w:right w:val="nil"/>
            </w:tcBorders>
            <w:vAlign w:val="center"/>
          </w:tcPr>
          <w:p w14:paraId="605BCDFE"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Opracowanie map akustycznych identyfikujących obszary najbardziej zagrożone hałasem i programów ochrony środowiska przed hałasem</w:t>
            </w:r>
          </w:p>
        </w:tc>
        <w:tc>
          <w:tcPr>
            <w:tcW w:w="1985" w:type="dxa"/>
            <w:tcBorders>
              <w:top w:val="single" w:sz="4" w:space="0" w:color="BDD6EE" w:themeColor="accent1" w:themeTint="66"/>
              <w:left w:val="nil"/>
              <w:bottom w:val="single" w:sz="4" w:space="0" w:color="BDD6EE" w:themeColor="accent1" w:themeTint="66"/>
              <w:right w:val="nil"/>
            </w:tcBorders>
            <w:vAlign w:val="center"/>
          </w:tcPr>
          <w:p w14:paraId="3CFA66DC"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1C2CD4B2" w14:textId="77777777" w:rsidTr="00931674">
        <w:tc>
          <w:tcPr>
            <w:tcW w:w="6951" w:type="dxa"/>
            <w:tcBorders>
              <w:top w:val="single" w:sz="4" w:space="0" w:color="BDD6EE" w:themeColor="accent1" w:themeTint="66"/>
              <w:left w:val="nil"/>
              <w:bottom w:val="single" w:sz="4" w:space="0" w:color="BDD6EE" w:themeColor="accent1" w:themeTint="66"/>
              <w:right w:val="nil"/>
            </w:tcBorders>
            <w:vAlign w:val="center"/>
          </w:tcPr>
          <w:p w14:paraId="1EFC762E"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Wybudowane drogi obwodowe eliminujące hałas z centrów miast</w:t>
            </w:r>
          </w:p>
        </w:tc>
        <w:tc>
          <w:tcPr>
            <w:tcW w:w="1985" w:type="dxa"/>
            <w:tcBorders>
              <w:top w:val="single" w:sz="4" w:space="0" w:color="BDD6EE" w:themeColor="accent1" w:themeTint="66"/>
              <w:left w:val="nil"/>
              <w:bottom w:val="single" w:sz="4" w:space="0" w:color="BDD6EE" w:themeColor="accent1" w:themeTint="66"/>
              <w:right w:val="nil"/>
            </w:tcBorders>
            <w:vAlign w:val="center"/>
          </w:tcPr>
          <w:p w14:paraId="564E7D61"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0240DF50" w14:textId="77777777" w:rsidTr="00931674">
        <w:tc>
          <w:tcPr>
            <w:tcW w:w="6951" w:type="dxa"/>
            <w:tcBorders>
              <w:top w:val="single" w:sz="4" w:space="0" w:color="BDD6EE" w:themeColor="accent1" w:themeTint="66"/>
              <w:left w:val="nil"/>
              <w:bottom w:val="single" w:sz="4" w:space="0" w:color="BDD6EE" w:themeColor="accent1" w:themeTint="66"/>
              <w:right w:val="nil"/>
            </w:tcBorders>
            <w:vAlign w:val="center"/>
          </w:tcPr>
          <w:p w14:paraId="7EE87E10"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Posiadanie międzynarodowego portu lotniczego Rzeszów-Jasionka</w:t>
            </w:r>
          </w:p>
        </w:tc>
        <w:tc>
          <w:tcPr>
            <w:tcW w:w="1985" w:type="dxa"/>
            <w:tcBorders>
              <w:top w:val="single" w:sz="4" w:space="0" w:color="BDD6EE" w:themeColor="accent1" w:themeTint="66"/>
              <w:left w:val="nil"/>
              <w:bottom w:val="single" w:sz="4" w:space="0" w:color="BDD6EE" w:themeColor="accent1" w:themeTint="66"/>
              <w:right w:val="nil"/>
            </w:tcBorders>
            <w:vAlign w:val="center"/>
          </w:tcPr>
          <w:p w14:paraId="38391E01"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12B99EF8" w14:textId="77777777" w:rsidTr="009F6BD4">
        <w:tc>
          <w:tcPr>
            <w:tcW w:w="6951" w:type="dxa"/>
            <w:tcBorders>
              <w:top w:val="nil"/>
              <w:left w:val="nil"/>
              <w:bottom w:val="single" w:sz="4" w:space="0" w:color="BDD6EE" w:themeColor="accent1" w:themeTint="66"/>
              <w:right w:val="nil"/>
            </w:tcBorders>
            <w:shd w:val="clear" w:color="auto" w:fill="auto"/>
            <w:vAlign w:val="center"/>
            <w:hideMark/>
          </w:tcPr>
          <w:p w14:paraId="0DC3B677" w14:textId="77777777" w:rsidR="00710815" w:rsidRPr="00237760" w:rsidRDefault="00710815" w:rsidP="009367B4">
            <w:pPr>
              <w:spacing w:after="0"/>
              <w:jc w:val="left"/>
              <w:rPr>
                <w:rFonts w:ascii="Arial" w:eastAsiaTheme="minorHAnsi" w:hAnsi="Arial" w:cs="Arial"/>
                <w:b/>
                <w:color w:val="auto"/>
                <w:sz w:val="24"/>
                <w:szCs w:val="24"/>
              </w:rPr>
            </w:pPr>
            <w:r w:rsidRPr="00237760">
              <w:rPr>
                <w:rFonts w:ascii="Arial" w:hAnsi="Arial" w:cs="Arial"/>
                <w:b/>
                <w:color w:val="auto"/>
                <w:sz w:val="24"/>
                <w:szCs w:val="24"/>
              </w:rPr>
              <w:t>SŁABE STRONY</w:t>
            </w:r>
          </w:p>
        </w:tc>
        <w:tc>
          <w:tcPr>
            <w:tcW w:w="1985" w:type="dxa"/>
            <w:tcBorders>
              <w:top w:val="nil"/>
              <w:left w:val="nil"/>
              <w:bottom w:val="single" w:sz="4" w:space="0" w:color="BDD6EE" w:themeColor="accent1" w:themeTint="66"/>
              <w:right w:val="nil"/>
            </w:tcBorders>
            <w:shd w:val="clear" w:color="auto" w:fill="auto"/>
            <w:vAlign w:val="center"/>
            <w:hideMark/>
          </w:tcPr>
          <w:p w14:paraId="283BA1C4" w14:textId="77777777" w:rsidR="00710815" w:rsidRPr="00237760" w:rsidRDefault="00710815" w:rsidP="009367B4">
            <w:pPr>
              <w:spacing w:after="0"/>
              <w:jc w:val="left"/>
              <w:rPr>
                <w:rFonts w:ascii="Arial" w:hAnsi="Arial" w:cs="Arial"/>
                <w:b/>
                <w:color w:val="auto"/>
                <w:sz w:val="24"/>
                <w:szCs w:val="24"/>
              </w:rPr>
            </w:pPr>
            <w:r w:rsidRPr="00237760">
              <w:rPr>
                <w:rFonts w:ascii="Arial" w:hAnsi="Arial" w:cs="Arial"/>
                <w:b/>
                <w:color w:val="auto"/>
                <w:sz w:val="24"/>
                <w:szCs w:val="24"/>
              </w:rPr>
              <w:t>Czy na wskazany czynnik oddziałuje cel podstawowy albo horyzontalny?</w:t>
            </w:r>
          </w:p>
        </w:tc>
      </w:tr>
      <w:tr w:rsidR="00237760" w:rsidRPr="00237760" w14:paraId="6146E370" w14:textId="77777777" w:rsidTr="00931674">
        <w:tc>
          <w:tcPr>
            <w:tcW w:w="6951" w:type="dxa"/>
            <w:tcBorders>
              <w:top w:val="single" w:sz="4" w:space="0" w:color="BDD6EE" w:themeColor="accent1" w:themeTint="66"/>
              <w:left w:val="nil"/>
              <w:bottom w:val="single" w:sz="4" w:space="0" w:color="BDD6EE" w:themeColor="accent1" w:themeTint="66"/>
              <w:right w:val="nil"/>
            </w:tcBorders>
            <w:vAlign w:val="center"/>
          </w:tcPr>
          <w:p w14:paraId="76143D7F"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Ograniczenie kompetencyjne Samorządu Województwa wobec elementów rozbudowanego systemu transportu regionu</w:t>
            </w:r>
          </w:p>
        </w:tc>
        <w:tc>
          <w:tcPr>
            <w:tcW w:w="1985" w:type="dxa"/>
            <w:tcBorders>
              <w:top w:val="single" w:sz="4" w:space="0" w:color="BDD6EE" w:themeColor="accent1" w:themeTint="66"/>
              <w:left w:val="nil"/>
              <w:bottom w:val="single" w:sz="4" w:space="0" w:color="BDD6EE" w:themeColor="accent1" w:themeTint="66"/>
              <w:right w:val="nil"/>
            </w:tcBorders>
            <w:vAlign w:val="center"/>
          </w:tcPr>
          <w:p w14:paraId="01883431"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2BA2AC2A" w14:textId="77777777" w:rsidTr="00931674">
        <w:tc>
          <w:tcPr>
            <w:tcW w:w="6951" w:type="dxa"/>
            <w:tcBorders>
              <w:top w:val="single" w:sz="4" w:space="0" w:color="BDD6EE" w:themeColor="accent1" w:themeTint="66"/>
              <w:left w:val="nil"/>
              <w:bottom w:val="single" w:sz="4" w:space="0" w:color="BDD6EE" w:themeColor="accent1" w:themeTint="66"/>
              <w:right w:val="nil"/>
            </w:tcBorders>
            <w:vAlign w:val="center"/>
          </w:tcPr>
          <w:p w14:paraId="77901CE5"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Peryferyjne położenie województwa względem centralnej Polski</w:t>
            </w:r>
          </w:p>
        </w:tc>
        <w:tc>
          <w:tcPr>
            <w:tcW w:w="1985" w:type="dxa"/>
            <w:tcBorders>
              <w:top w:val="single" w:sz="4" w:space="0" w:color="BDD6EE" w:themeColor="accent1" w:themeTint="66"/>
              <w:left w:val="nil"/>
              <w:bottom w:val="single" w:sz="4" w:space="0" w:color="BDD6EE" w:themeColor="accent1" w:themeTint="66"/>
              <w:right w:val="nil"/>
            </w:tcBorders>
            <w:vAlign w:val="center"/>
          </w:tcPr>
          <w:p w14:paraId="6EB1875B"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1FA59F20" w14:textId="77777777" w:rsidTr="00931674">
        <w:tc>
          <w:tcPr>
            <w:tcW w:w="6951" w:type="dxa"/>
            <w:tcBorders>
              <w:top w:val="single" w:sz="4" w:space="0" w:color="BDD6EE" w:themeColor="accent1" w:themeTint="66"/>
              <w:left w:val="nil"/>
              <w:bottom w:val="single" w:sz="4" w:space="0" w:color="BDD6EE" w:themeColor="accent1" w:themeTint="66"/>
              <w:right w:val="nil"/>
            </w:tcBorders>
            <w:vAlign w:val="center"/>
          </w:tcPr>
          <w:p w14:paraId="1AB395B6"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Rozproszenie zabudowy, głównie na terenach wiejskich</w:t>
            </w:r>
          </w:p>
        </w:tc>
        <w:tc>
          <w:tcPr>
            <w:tcW w:w="1985" w:type="dxa"/>
            <w:tcBorders>
              <w:top w:val="single" w:sz="4" w:space="0" w:color="BDD6EE" w:themeColor="accent1" w:themeTint="66"/>
              <w:left w:val="nil"/>
              <w:bottom w:val="single" w:sz="4" w:space="0" w:color="BDD6EE" w:themeColor="accent1" w:themeTint="66"/>
              <w:right w:val="nil"/>
            </w:tcBorders>
            <w:vAlign w:val="center"/>
          </w:tcPr>
          <w:p w14:paraId="76832169"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49832543" w14:textId="77777777" w:rsidTr="00931674">
        <w:tc>
          <w:tcPr>
            <w:tcW w:w="6951" w:type="dxa"/>
            <w:tcBorders>
              <w:top w:val="single" w:sz="4" w:space="0" w:color="BDD6EE" w:themeColor="accent1" w:themeTint="66"/>
              <w:left w:val="nil"/>
              <w:bottom w:val="single" w:sz="4" w:space="0" w:color="BDD6EE" w:themeColor="accent1" w:themeTint="66"/>
              <w:right w:val="nil"/>
            </w:tcBorders>
            <w:vAlign w:val="center"/>
          </w:tcPr>
          <w:p w14:paraId="2FD64A58"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Starzenie się społeczeństwa i rosnąca liczba osób w wieku poprodukcyjnym</w:t>
            </w:r>
          </w:p>
        </w:tc>
        <w:tc>
          <w:tcPr>
            <w:tcW w:w="1985" w:type="dxa"/>
            <w:tcBorders>
              <w:top w:val="single" w:sz="4" w:space="0" w:color="BDD6EE" w:themeColor="accent1" w:themeTint="66"/>
              <w:left w:val="nil"/>
              <w:bottom w:val="single" w:sz="4" w:space="0" w:color="BDD6EE" w:themeColor="accent1" w:themeTint="66"/>
              <w:right w:val="nil"/>
            </w:tcBorders>
            <w:vAlign w:val="center"/>
          </w:tcPr>
          <w:p w14:paraId="4AEEE2E4"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22DEFEC9" w14:textId="77777777" w:rsidTr="00931674">
        <w:tc>
          <w:tcPr>
            <w:tcW w:w="6951" w:type="dxa"/>
            <w:tcBorders>
              <w:top w:val="single" w:sz="4" w:space="0" w:color="BDD6EE" w:themeColor="accent1" w:themeTint="66"/>
              <w:left w:val="nil"/>
              <w:bottom w:val="single" w:sz="4" w:space="0" w:color="BDD6EE" w:themeColor="accent1" w:themeTint="66"/>
              <w:right w:val="nil"/>
            </w:tcBorders>
            <w:vAlign w:val="center"/>
          </w:tcPr>
          <w:p w14:paraId="47394C6A"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Obszary peryferyjne wewnątrz województwa (w szczególności </w:t>
            </w:r>
            <w:r w:rsidRPr="00237760">
              <w:rPr>
                <w:rFonts w:ascii="Arial" w:hAnsi="Arial" w:cs="Arial"/>
                <w:color w:val="auto"/>
                <w:sz w:val="24"/>
                <w:szCs w:val="24"/>
              </w:rPr>
              <w:lastRenderedPageBreak/>
              <w:t>południowe i północno-wschodnie części województwa)</w:t>
            </w:r>
          </w:p>
        </w:tc>
        <w:tc>
          <w:tcPr>
            <w:tcW w:w="1985" w:type="dxa"/>
            <w:tcBorders>
              <w:top w:val="single" w:sz="4" w:space="0" w:color="BDD6EE" w:themeColor="accent1" w:themeTint="66"/>
              <w:left w:val="nil"/>
              <w:bottom w:val="single" w:sz="4" w:space="0" w:color="BDD6EE" w:themeColor="accent1" w:themeTint="66"/>
              <w:right w:val="nil"/>
            </w:tcBorders>
            <w:vAlign w:val="center"/>
          </w:tcPr>
          <w:p w14:paraId="7C354683"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lastRenderedPageBreak/>
              <w:t>Tak</w:t>
            </w:r>
          </w:p>
        </w:tc>
      </w:tr>
      <w:tr w:rsidR="00237760" w:rsidRPr="00237760" w14:paraId="64850489" w14:textId="77777777" w:rsidTr="00931674">
        <w:tc>
          <w:tcPr>
            <w:tcW w:w="6951" w:type="dxa"/>
            <w:tcBorders>
              <w:top w:val="single" w:sz="4" w:space="0" w:color="BDD6EE" w:themeColor="accent1" w:themeTint="66"/>
              <w:left w:val="nil"/>
              <w:bottom w:val="single" w:sz="4" w:space="0" w:color="BDD6EE" w:themeColor="accent1" w:themeTint="66"/>
              <w:right w:val="nil"/>
            </w:tcBorders>
            <w:vAlign w:val="center"/>
          </w:tcPr>
          <w:p w14:paraId="5FE12DC6"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Niedostateczne powiązanie południowej i północno-wschodniej części regionu, infrastrukturą drogową o wysokich parametrach technicznych z Rzeszowem</w:t>
            </w:r>
          </w:p>
        </w:tc>
        <w:tc>
          <w:tcPr>
            <w:tcW w:w="1985" w:type="dxa"/>
            <w:tcBorders>
              <w:top w:val="single" w:sz="4" w:space="0" w:color="BDD6EE" w:themeColor="accent1" w:themeTint="66"/>
              <w:left w:val="nil"/>
              <w:bottom w:val="single" w:sz="4" w:space="0" w:color="BDD6EE" w:themeColor="accent1" w:themeTint="66"/>
              <w:right w:val="nil"/>
            </w:tcBorders>
            <w:vAlign w:val="center"/>
          </w:tcPr>
          <w:p w14:paraId="5CA5ED14"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25812003" w14:textId="77777777" w:rsidTr="00931674">
        <w:tc>
          <w:tcPr>
            <w:tcW w:w="6951" w:type="dxa"/>
            <w:tcBorders>
              <w:top w:val="single" w:sz="4" w:space="0" w:color="BDD6EE" w:themeColor="accent1" w:themeTint="66"/>
              <w:left w:val="nil"/>
              <w:bottom w:val="single" w:sz="4" w:space="0" w:color="BDD6EE" w:themeColor="accent1" w:themeTint="66"/>
              <w:right w:val="nil"/>
            </w:tcBorders>
            <w:vAlign w:val="center"/>
          </w:tcPr>
          <w:p w14:paraId="5E0BE7AA"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Niedostateczne powiązanie południowo-zachodniej części regionu infrastrukturą drogową wyższego rzędu z autostradą A4, a tym samym z resztą kraju (węzeł Pilzno na A4)</w:t>
            </w:r>
          </w:p>
        </w:tc>
        <w:tc>
          <w:tcPr>
            <w:tcW w:w="1985"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09C3542E" w14:textId="77777777" w:rsidR="00710815" w:rsidRPr="00237760" w:rsidRDefault="00710815" w:rsidP="009367B4">
            <w:pPr>
              <w:spacing w:after="0" w:line="240" w:lineRule="auto"/>
              <w:jc w:val="left"/>
              <w:rPr>
                <w:rFonts w:ascii="Arial" w:hAnsi="Arial" w:cs="Arial"/>
                <w:bCs/>
                <w:color w:val="auto"/>
                <w:sz w:val="24"/>
                <w:szCs w:val="24"/>
              </w:rPr>
            </w:pPr>
            <w:r w:rsidRPr="00237760">
              <w:rPr>
                <w:rFonts w:ascii="Arial" w:hAnsi="Arial" w:cs="Arial"/>
                <w:bCs/>
                <w:color w:val="auto"/>
                <w:sz w:val="24"/>
                <w:szCs w:val="24"/>
              </w:rPr>
              <w:t>Tak</w:t>
            </w:r>
          </w:p>
        </w:tc>
      </w:tr>
      <w:tr w:rsidR="00237760" w:rsidRPr="00237760" w14:paraId="137C42E2" w14:textId="77777777" w:rsidTr="00931674">
        <w:tc>
          <w:tcPr>
            <w:tcW w:w="6951" w:type="dxa"/>
            <w:tcBorders>
              <w:top w:val="single" w:sz="4" w:space="0" w:color="BDD6EE" w:themeColor="accent1" w:themeTint="66"/>
              <w:left w:val="nil"/>
              <w:bottom w:val="single" w:sz="4" w:space="0" w:color="BDD6EE" w:themeColor="accent1" w:themeTint="66"/>
              <w:right w:val="nil"/>
            </w:tcBorders>
            <w:vAlign w:val="center"/>
          </w:tcPr>
          <w:p w14:paraId="65B5C883"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Niedostateczne powiązanie południowej części regionu z infrastrukturą kolejową z Rzeszowem i z resztą kraju</w:t>
            </w:r>
          </w:p>
        </w:tc>
        <w:tc>
          <w:tcPr>
            <w:tcW w:w="1985"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09DA36FD" w14:textId="77777777" w:rsidR="00710815" w:rsidRPr="00237760" w:rsidRDefault="00710815" w:rsidP="009367B4">
            <w:pPr>
              <w:spacing w:after="0" w:line="240" w:lineRule="auto"/>
              <w:jc w:val="left"/>
              <w:rPr>
                <w:rFonts w:ascii="Arial" w:hAnsi="Arial" w:cs="Arial"/>
                <w:bCs/>
                <w:color w:val="auto"/>
                <w:sz w:val="24"/>
                <w:szCs w:val="24"/>
              </w:rPr>
            </w:pPr>
            <w:r w:rsidRPr="00237760">
              <w:rPr>
                <w:rFonts w:ascii="Arial" w:hAnsi="Arial" w:cs="Arial"/>
                <w:bCs/>
                <w:color w:val="auto"/>
                <w:sz w:val="24"/>
                <w:szCs w:val="24"/>
              </w:rPr>
              <w:t>Tak</w:t>
            </w:r>
          </w:p>
        </w:tc>
      </w:tr>
      <w:tr w:rsidR="00237760" w:rsidRPr="00237760" w14:paraId="266810D0" w14:textId="77777777" w:rsidTr="00931674">
        <w:tc>
          <w:tcPr>
            <w:tcW w:w="6951" w:type="dxa"/>
            <w:tcBorders>
              <w:top w:val="single" w:sz="4" w:space="0" w:color="BDD6EE" w:themeColor="accent1" w:themeTint="66"/>
              <w:left w:val="nil"/>
              <w:bottom w:val="single" w:sz="4" w:space="0" w:color="BDD6EE" w:themeColor="accent1" w:themeTint="66"/>
              <w:right w:val="nil"/>
            </w:tcBorders>
            <w:vAlign w:val="center"/>
          </w:tcPr>
          <w:p w14:paraId="211E89B5"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Niewystarczająca obsługa transportowa (kolejowa i drogowa) północnej i północno-zachodniej części województwa, skupiających największą produkcję przemysłową, w tym eksportową</w:t>
            </w:r>
          </w:p>
        </w:tc>
        <w:tc>
          <w:tcPr>
            <w:tcW w:w="1985" w:type="dxa"/>
            <w:tcBorders>
              <w:top w:val="single" w:sz="4" w:space="0" w:color="BDD6EE" w:themeColor="accent1" w:themeTint="66"/>
              <w:left w:val="nil"/>
              <w:bottom w:val="single" w:sz="4" w:space="0" w:color="BDD6EE" w:themeColor="accent1" w:themeTint="66"/>
              <w:right w:val="nil"/>
            </w:tcBorders>
            <w:vAlign w:val="center"/>
          </w:tcPr>
          <w:p w14:paraId="2B95A1AC"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55BF545C" w14:textId="77777777" w:rsidTr="00931674">
        <w:tc>
          <w:tcPr>
            <w:tcW w:w="6951" w:type="dxa"/>
            <w:tcBorders>
              <w:top w:val="single" w:sz="4" w:space="0" w:color="BDD6EE" w:themeColor="accent1" w:themeTint="66"/>
              <w:left w:val="nil"/>
              <w:bottom w:val="single" w:sz="4" w:space="0" w:color="BDD6EE" w:themeColor="accent1" w:themeTint="66"/>
              <w:right w:val="nil"/>
            </w:tcBorders>
            <w:vAlign w:val="center"/>
          </w:tcPr>
          <w:p w14:paraId="0159C06D"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Jedna linia kolejowa o znaczeniu międzynarodowym</w:t>
            </w:r>
          </w:p>
        </w:tc>
        <w:tc>
          <w:tcPr>
            <w:tcW w:w="1985" w:type="dxa"/>
            <w:tcBorders>
              <w:top w:val="single" w:sz="4" w:space="0" w:color="BDD6EE" w:themeColor="accent1" w:themeTint="66"/>
              <w:left w:val="nil"/>
              <w:bottom w:val="single" w:sz="4" w:space="0" w:color="BDD6EE" w:themeColor="accent1" w:themeTint="66"/>
              <w:right w:val="nil"/>
            </w:tcBorders>
            <w:vAlign w:val="center"/>
          </w:tcPr>
          <w:p w14:paraId="6B37C64C"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5E09189C" w14:textId="77777777" w:rsidTr="00931674">
        <w:tc>
          <w:tcPr>
            <w:tcW w:w="6951" w:type="dxa"/>
            <w:tcBorders>
              <w:top w:val="single" w:sz="4" w:space="0" w:color="BDD6EE" w:themeColor="accent1" w:themeTint="66"/>
              <w:left w:val="nil"/>
              <w:bottom w:val="single" w:sz="4" w:space="0" w:color="BDD6EE" w:themeColor="accent1" w:themeTint="66"/>
              <w:right w:val="nil"/>
            </w:tcBorders>
            <w:vAlign w:val="center"/>
          </w:tcPr>
          <w:p w14:paraId="28143174"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Duży odsetek dróg krajowych, wojewódzkich i powiatowych niespełniających normatywu nośności</w:t>
            </w:r>
          </w:p>
        </w:tc>
        <w:tc>
          <w:tcPr>
            <w:tcW w:w="1985" w:type="dxa"/>
            <w:tcBorders>
              <w:top w:val="single" w:sz="4" w:space="0" w:color="BDD6EE" w:themeColor="accent1" w:themeTint="66"/>
              <w:left w:val="nil"/>
              <w:bottom w:val="single" w:sz="4" w:space="0" w:color="BDD6EE" w:themeColor="accent1" w:themeTint="66"/>
              <w:right w:val="nil"/>
            </w:tcBorders>
            <w:vAlign w:val="center"/>
          </w:tcPr>
          <w:p w14:paraId="29B9F56D"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6DB70D4E" w14:textId="77777777" w:rsidTr="00931674">
        <w:tc>
          <w:tcPr>
            <w:tcW w:w="6951" w:type="dxa"/>
            <w:tcBorders>
              <w:top w:val="single" w:sz="4" w:space="0" w:color="BDD6EE" w:themeColor="accent1" w:themeTint="66"/>
              <w:left w:val="nil"/>
              <w:bottom w:val="single" w:sz="4" w:space="0" w:color="BDD6EE" w:themeColor="accent1" w:themeTint="66"/>
              <w:right w:val="nil"/>
            </w:tcBorders>
            <w:vAlign w:val="center"/>
          </w:tcPr>
          <w:p w14:paraId="1E01F37D"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Asymetria popytu na transport (głównie transport samochodowy)</w:t>
            </w:r>
          </w:p>
        </w:tc>
        <w:tc>
          <w:tcPr>
            <w:tcW w:w="1985" w:type="dxa"/>
            <w:tcBorders>
              <w:top w:val="single" w:sz="4" w:space="0" w:color="BDD6EE" w:themeColor="accent1" w:themeTint="66"/>
              <w:left w:val="nil"/>
              <w:bottom w:val="single" w:sz="4" w:space="0" w:color="BDD6EE" w:themeColor="accent1" w:themeTint="66"/>
              <w:right w:val="nil"/>
            </w:tcBorders>
            <w:vAlign w:val="center"/>
          </w:tcPr>
          <w:p w14:paraId="4BE6BB94"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587FF1EF" w14:textId="77777777" w:rsidTr="00931674">
        <w:tc>
          <w:tcPr>
            <w:tcW w:w="6951" w:type="dxa"/>
            <w:tcBorders>
              <w:top w:val="single" w:sz="4" w:space="0" w:color="BDD6EE" w:themeColor="accent1" w:themeTint="66"/>
              <w:left w:val="nil"/>
              <w:bottom w:val="single" w:sz="4" w:space="0" w:color="BDD6EE" w:themeColor="accent1" w:themeTint="66"/>
              <w:right w:val="nil"/>
            </w:tcBorders>
            <w:vAlign w:val="center"/>
          </w:tcPr>
          <w:p w14:paraId="228662CC"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Niekorzystna i utrzymująca się struktura gałęziowa przewozów z dominującym i wciąż rosnącym udziałem transportu drogowego</w:t>
            </w:r>
          </w:p>
        </w:tc>
        <w:tc>
          <w:tcPr>
            <w:tcW w:w="1985" w:type="dxa"/>
            <w:tcBorders>
              <w:top w:val="single" w:sz="4" w:space="0" w:color="BDD6EE" w:themeColor="accent1" w:themeTint="66"/>
              <w:left w:val="nil"/>
              <w:bottom w:val="single" w:sz="4" w:space="0" w:color="BDD6EE" w:themeColor="accent1" w:themeTint="66"/>
              <w:right w:val="nil"/>
            </w:tcBorders>
            <w:vAlign w:val="center"/>
          </w:tcPr>
          <w:p w14:paraId="1888F086"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61C6538D" w14:textId="77777777" w:rsidTr="00931674">
        <w:tc>
          <w:tcPr>
            <w:tcW w:w="6951" w:type="dxa"/>
            <w:tcBorders>
              <w:top w:val="single" w:sz="4" w:space="0" w:color="BDD6EE" w:themeColor="accent1" w:themeTint="66"/>
              <w:left w:val="nil"/>
              <w:bottom w:val="single" w:sz="4" w:space="0" w:color="BDD6EE" w:themeColor="accent1" w:themeTint="66"/>
              <w:right w:val="nil"/>
            </w:tcBorders>
            <w:vAlign w:val="center"/>
          </w:tcPr>
          <w:p w14:paraId="3F7152F0"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Ruch tranzytowy przebiegający przez obszary zurbanizowane</w:t>
            </w:r>
          </w:p>
        </w:tc>
        <w:tc>
          <w:tcPr>
            <w:tcW w:w="1985" w:type="dxa"/>
            <w:tcBorders>
              <w:top w:val="single" w:sz="4" w:space="0" w:color="BDD6EE" w:themeColor="accent1" w:themeTint="66"/>
              <w:left w:val="nil"/>
              <w:bottom w:val="single" w:sz="4" w:space="0" w:color="BDD6EE" w:themeColor="accent1" w:themeTint="66"/>
              <w:right w:val="nil"/>
            </w:tcBorders>
            <w:vAlign w:val="center"/>
          </w:tcPr>
          <w:p w14:paraId="7987975A"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1D46E13A" w14:textId="77777777" w:rsidTr="00931674">
        <w:tc>
          <w:tcPr>
            <w:tcW w:w="6951" w:type="dxa"/>
            <w:tcBorders>
              <w:top w:val="single" w:sz="4" w:space="0" w:color="BDD6EE" w:themeColor="accent1" w:themeTint="66"/>
              <w:left w:val="nil"/>
              <w:bottom w:val="single" w:sz="4" w:space="0" w:color="BDD6EE" w:themeColor="accent1" w:themeTint="66"/>
              <w:right w:val="nil"/>
            </w:tcBorders>
            <w:vAlign w:val="center"/>
          </w:tcPr>
          <w:p w14:paraId="10802BCE"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Niski poziom innowacyjności sieci i zastosowania inteligentnych systemów transportowych</w:t>
            </w:r>
          </w:p>
        </w:tc>
        <w:tc>
          <w:tcPr>
            <w:tcW w:w="1985" w:type="dxa"/>
            <w:tcBorders>
              <w:top w:val="single" w:sz="4" w:space="0" w:color="BDD6EE" w:themeColor="accent1" w:themeTint="66"/>
              <w:left w:val="nil"/>
              <w:bottom w:val="single" w:sz="4" w:space="0" w:color="BDD6EE" w:themeColor="accent1" w:themeTint="66"/>
              <w:right w:val="nil"/>
            </w:tcBorders>
            <w:vAlign w:val="center"/>
          </w:tcPr>
          <w:p w14:paraId="201D40AD"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37CD37A8" w14:textId="77777777" w:rsidTr="00931674">
        <w:tc>
          <w:tcPr>
            <w:tcW w:w="6951" w:type="dxa"/>
            <w:tcBorders>
              <w:top w:val="single" w:sz="4" w:space="0" w:color="BDD6EE" w:themeColor="accent1" w:themeTint="66"/>
              <w:left w:val="nil"/>
              <w:bottom w:val="single" w:sz="4" w:space="0" w:color="BDD6EE" w:themeColor="accent1" w:themeTint="66"/>
              <w:right w:val="nil"/>
            </w:tcBorders>
            <w:vAlign w:val="center"/>
          </w:tcPr>
          <w:p w14:paraId="433B2046"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Brak spójnej sieci połączonych ze sobą tras rowerowych województwa o jednolitych parametrach</w:t>
            </w:r>
          </w:p>
        </w:tc>
        <w:tc>
          <w:tcPr>
            <w:tcW w:w="1985" w:type="dxa"/>
            <w:tcBorders>
              <w:top w:val="single" w:sz="4" w:space="0" w:color="BDD6EE" w:themeColor="accent1" w:themeTint="66"/>
              <w:left w:val="nil"/>
              <w:bottom w:val="single" w:sz="4" w:space="0" w:color="BDD6EE" w:themeColor="accent1" w:themeTint="66"/>
              <w:right w:val="nil"/>
            </w:tcBorders>
            <w:vAlign w:val="center"/>
          </w:tcPr>
          <w:p w14:paraId="4E51EBBB"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121A6235" w14:textId="77777777" w:rsidTr="00931674">
        <w:tc>
          <w:tcPr>
            <w:tcW w:w="6951" w:type="dxa"/>
            <w:tcBorders>
              <w:top w:val="single" w:sz="4" w:space="0" w:color="BDD6EE" w:themeColor="accent1" w:themeTint="66"/>
              <w:left w:val="nil"/>
              <w:bottom w:val="single" w:sz="4" w:space="0" w:color="BDD6EE" w:themeColor="accent1" w:themeTint="66"/>
              <w:right w:val="nil"/>
            </w:tcBorders>
            <w:vAlign w:val="center"/>
          </w:tcPr>
          <w:p w14:paraId="56DCEFE3"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Uwarunkowania przyrodnicze województwa podkarpackiego znacząco podnoszące koszty budowy nowej sieci transportowej</w:t>
            </w:r>
          </w:p>
        </w:tc>
        <w:tc>
          <w:tcPr>
            <w:tcW w:w="1985" w:type="dxa"/>
            <w:tcBorders>
              <w:top w:val="single" w:sz="4" w:space="0" w:color="BDD6EE" w:themeColor="accent1" w:themeTint="66"/>
              <w:left w:val="nil"/>
              <w:bottom w:val="single" w:sz="4" w:space="0" w:color="BDD6EE" w:themeColor="accent1" w:themeTint="66"/>
              <w:right w:val="nil"/>
            </w:tcBorders>
            <w:vAlign w:val="center"/>
          </w:tcPr>
          <w:p w14:paraId="74EBB8B8"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r w:rsidR="00237760" w:rsidRPr="00237760" w14:paraId="085024CD" w14:textId="77777777" w:rsidTr="00931674">
        <w:tc>
          <w:tcPr>
            <w:tcW w:w="6951" w:type="dxa"/>
            <w:tcBorders>
              <w:top w:val="single" w:sz="4" w:space="0" w:color="BDD6EE" w:themeColor="accent1" w:themeTint="66"/>
              <w:left w:val="nil"/>
              <w:bottom w:val="single" w:sz="4" w:space="0" w:color="BDD6EE" w:themeColor="accent1" w:themeTint="66"/>
              <w:right w:val="nil"/>
            </w:tcBorders>
            <w:vAlign w:val="center"/>
          </w:tcPr>
          <w:p w14:paraId="19364C5F"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Konieczność adaptacji już istniejącej infrastruktury transportowej do potrzeb wynikających z pojawiających się lub stwierdzonych uwarunkowań (wody powierzchniowe, występowanie osuwisk, zagrożenie powodziowe, obszary chronione, etc.)</w:t>
            </w:r>
          </w:p>
        </w:tc>
        <w:tc>
          <w:tcPr>
            <w:tcW w:w="1985" w:type="dxa"/>
            <w:tcBorders>
              <w:top w:val="single" w:sz="4" w:space="0" w:color="BDD6EE" w:themeColor="accent1" w:themeTint="66"/>
              <w:left w:val="nil"/>
              <w:bottom w:val="single" w:sz="4" w:space="0" w:color="BDD6EE" w:themeColor="accent1" w:themeTint="66"/>
              <w:right w:val="nil"/>
            </w:tcBorders>
            <w:shd w:val="clear" w:color="auto" w:fill="auto"/>
            <w:vAlign w:val="center"/>
          </w:tcPr>
          <w:p w14:paraId="531C8611" w14:textId="77777777" w:rsidR="00710815" w:rsidRPr="00237760" w:rsidRDefault="00710815" w:rsidP="009367B4">
            <w:pPr>
              <w:spacing w:after="0" w:line="240" w:lineRule="auto"/>
              <w:jc w:val="left"/>
              <w:rPr>
                <w:rFonts w:ascii="Arial" w:hAnsi="Arial" w:cs="Arial"/>
                <w:bCs/>
                <w:color w:val="auto"/>
                <w:sz w:val="24"/>
                <w:szCs w:val="24"/>
              </w:rPr>
            </w:pPr>
            <w:r w:rsidRPr="00237760">
              <w:rPr>
                <w:rFonts w:ascii="Arial" w:hAnsi="Arial" w:cs="Arial"/>
                <w:bCs/>
                <w:color w:val="auto"/>
                <w:sz w:val="24"/>
                <w:szCs w:val="24"/>
              </w:rPr>
              <w:t>Tak</w:t>
            </w:r>
          </w:p>
        </w:tc>
      </w:tr>
      <w:tr w:rsidR="00237760" w:rsidRPr="00237760" w14:paraId="2172ED1A" w14:textId="77777777" w:rsidTr="00931674">
        <w:tc>
          <w:tcPr>
            <w:tcW w:w="6951" w:type="dxa"/>
            <w:tcBorders>
              <w:top w:val="single" w:sz="4" w:space="0" w:color="BDD6EE" w:themeColor="accent1" w:themeTint="66"/>
              <w:left w:val="nil"/>
              <w:bottom w:val="single" w:sz="12" w:space="0" w:color="002060"/>
              <w:right w:val="nil"/>
            </w:tcBorders>
            <w:vAlign w:val="center"/>
          </w:tcPr>
          <w:p w14:paraId="05A09229" w14:textId="77777777" w:rsidR="00710815" w:rsidRPr="00237760" w:rsidRDefault="00710815" w:rsidP="009367B4">
            <w:pPr>
              <w:widowControl w:val="0"/>
              <w:autoSpaceDE w:val="0"/>
              <w:autoSpaceDN w:val="0"/>
              <w:spacing w:after="0" w:line="240" w:lineRule="auto"/>
              <w:jc w:val="left"/>
              <w:rPr>
                <w:rFonts w:ascii="Arial" w:hAnsi="Arial" w:cs="Arial"/>
                <w:color w:val="auto"/>
                <w:sz w:val="24"/>
                <w:szCs w:val="24"/>
              </w:rPr>
            </w:pPr>
            <w:r w:rsidRPr="00237760">
              <w:rPr>
                <w:rFonts w:ascii="Arial" w:hAnsi="Arial" w:cs="Arial"/>
                <w:color w:val="auto"/>
                <w:sz w:val="24"/>
                <w:szCs w:val="24"/>
              </w:rPr>
              <w:t>Wysokie obciążenie dla środowiska naturalnego zwłaszcza ze strony transportu samochodowego</w:t>
            </w:r>
          </w:p>
        </w:tc>
        <w:tc>
          <w:tcPr>
            <w:tcW w:w="1985" w:type="dxa"/>
            <w:tcBorders>
              <w:top w:val="single" w:sz="4" w:space="0" w:color="BDD6EE" w:themeColor="accent1" w:themeTint="66"/>
              <w:left w:val="nil"/>
              <w:bottom w:val="single" w:sz="12" w:space="0" w:color="002060"/>
              <w:right w:val="nil"/>
            </w:tcBorders>
            <w:vAlign w:val="center"/>
          </w:tcPr>
          <w:p w14:paraId="7C13DF85" w14:textId="77777777" w:rsidR="00710815" w:rsidRPr="00237760" w:rsidRDefault="00710815"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Tak</w:t>
            </w:r>
          </w:p>
        </w:tc>
      </w:tr>
    </w:tbl>
    <w:p w14:paraId="50FEB49E" w14:textId="34BAC199" w:rsidR="00710815" w:rsidRPr="00237760" w:rsidRDefault="00710815" w:rsidP="009367B4">
      <w:pPr>
        <w:jc w:val="left"/>
        <w:rPr>
          <w:rFonts w:ascii="Arial" w:hAnsi="Arial" w:cs="Arial"/>
          <w:color w:val="auto"/>
          <w:sz w:val="24"/>
          <w:szCs w:val="24"/>
        </w:rPr>
      </w:pPr>
      <w:r w:rsidRPr="00237760">
        <w:rPr>
          <w:rFonts w:ascii="Arial" w:hAnsi="Arial" w:cs="Arial"/>
          <w:color w:val="auto"/>
          <w:sz w:val="24"/>
          <w:szCs w:val="24"/>
        </w:rPr>
        <w:t>Źródło: opracowanie własne na podstawie PSRT WP</w:t>
      </w:r>
      <w:r w:rsidR="00F311FF" w:rsidRPr="00237760">
        <w:rPr>
          <w:rFonts w:ascii="Arial" w:hAnsi="Arial" w:cs="Arial"/>
          <w:color w:val="auto"/>
          <w:sz w:val="24"/>
          <w:szCs w:val="24"/>
        </w:rPr>
        <w:t>.</w:t>
      </w:r>
    </w:p>
    <w:p w14:paraId="5663F7C0" w14:textId="776BF2F9" w:rsidR="00710815" w:rsidRPr="00237760" w:rsidRDefault="00710815"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 xml:space="preserve">Podsumowując, analiza SWOT wykazuje wysoki poziom spójności i zgodności z diagnozą i celami PSRT WP. Zapisy z diagnozy znajdują odzwierciedlenie w czynnikach sformułowanych w analizie SWOT, </w:t>
      </w:r>
      <w:r w:rsidR="00C605B2" w:rsidRPr="00237760">
        <w:rPr>
          <w:rFonts w:ascii="Arial" w:hAnsi="Arial" w:cs="Arial"/>
          <w:color w:val="auto"/>
          <w:sz w:val="24"/>
          <w:szCs w:val="24"/>
          <w:lang w:eastAsia="pl-PL"/>
        </w:rPr>
        <w:br/>
      </w:r>
      <w:r w:rsidRPr="00237760">
        <w:rPr>
          <w:rFonts w:ascii="Arial" w:hAnsi="Arial" w:cs="Arial"/>
          <w:color w:val="auto"/>
          <w:sz w:val="24"/>
          <w:szCs w:val="24"/>
          <w:lang w:eastAsia="pl-PL"/>
        </w:rPr>
        <w:t>a cele sformułowane są w taki sposób, aby jak najszerzej oddziaływały na zidentyfikowane w analizie SWOT czynniki.</w:t>
      </w:r>
    </w:p>
    <w:p w14:paraId="54245F3C" w14:textId="77777777" w:rsidR="00710815" w:rsidRPr="00237760" w:rsidRDefault="00710815" w:rsidP="009367B4">
      <w:pPr>
        <w:spacing w:after="160" w:line="259" w:lineRule="auto"/>
        <w:jc w:val="left"/>
        <w:rPr>
          <w:rFonts w:ascii="Arial" w:hAnsi="Arial" w:cs="Arial"/>
          <w:color w:val="auto"/>
          <w:sz w:val="24"/>
          <w:szCs w:val="24"/>
          <w:lang w:eastAsia="pl-PL"/>
        </w:rPr>
      </w:pPr>
      <w:r w:rsidRPr="00237760">
        <w:rPr>
          <w:rFonts w:ascii="Arial" w:hAnsi="Arial" w:cs="Arial"/>
          <w:color w:val="auto"/>
          <w:sz w:val="24"/>
          <w:szCs w:val="24"/>
          <w:lang w:eastAsia="pl-PL"/>
        </w:rPr>
        <w:br w:type="page"/>
      </w:r>
    </w:p>
    <w:p w14:paraId="390850C1" w14:textId="780680CD" w:rsidR="00E01BD9" w:rsidRPr="00237760" w:rsidRDefault="00E01BD9" w:rsidP="009367B4">
      <w:pPr>
        <w:pStyle w:val="Nagwek2"/>
        <w:rPr>
          <w:rFonts w:ascii="Arial" w:hAnsi="Arial" w:cs="Arial"/>
          <w:color w:val="auto"/>
          <w:sz w:val="24"/>
          <w:szCs w:val="24"/>
        </w:rPr>
      </w:pPr>
      <w:bookmarkStart w:id="283" w:name="_Toc101904168"/>
      <w:r w:rsidRPr="00237760">
        <w:rPr>
          <w:rFonts w:ascii="Arial" w:hAnsi="Arial" w:cs="Arial"/>
          <w:color w:val="auto"/>
          <w:sz w:val="24"/>
          <w:szCs w:val="24"/>
        </w:rPr>
        <w:lastRenderedPageBreak/>
        <w:t>Ocena spójności</w:t>
      </w:r>
      <w:r w:rsidR="007170FD" w:rsidRPr="00237760">
        <w:rPr>
          <w:rFonts w:ascii="Arial" w:hAnsi="Arial" w:cs="Arial"/>
          <w:color w:val="auto"/>
          <w:sz w:val="24"/>
          <w:szCs w:val="24"/>
        </w:rPr>
        <w:t xml:space="preserve"> wewnętrznej dokumentu</w:t>
      </w:r>
      <w:bookmarkEnd w:id="283"/>
    </w:p>
    <w:p w14:paraId="0F0EDB20" w14:textId="77777777" w:rsidR="00E01BD9" w:rsidRPr="00D352FD" w:rsidRDefault="00E01BD9" w:rsidP="00D352FD">
      <w:pPr>
        <w:pStyle w:val="Nagwek3"/>
        <w:numPr>
          <w:ilvl w:val="0"/>
          <w:numId w:val="0"/>
        </w:numPr>
        <w:ind w:left="851" w:hanging="851"/>
        <w:rPr>
          <w:rFonts w:ascii="Arial" w:hAnsi="Arial" w:cs="Arial"/>
          <w:color w:val="auto"/>
          <w:sz w:val="24"/>
          <w:szCs w:val="24"/>
        </w:rPr>
      </w:pPr>
      <w:bookmarkStart w:id="284" w:name="_Toc101904169"/>
      <w:r w:rsidRPr="00D352FD">
        <w:rPr>
          <w:rFonts w:ascii="Arial" w:hAnsi="Arial" w:cs="Arial"/>
          <w:color w:val="auto"/>
          <w:sz w:val="24"/>
          <w:szCs w:val="24"/>
        </w:rPr>
        <w:t>Synteza</w:t>
      </w:r>
      <w:bookmarkEnd w:id="284"/>
    </w:p>
    <w:p w14:paraId="47F91A64" w14:textId="77777777" w:rsidR="00E01BD9" w:rsidRPr="00237760" w:rsidRDefault="00E01BD9" w:rsidP="009367B4">
      <w:pPr>
        <w:jc w:val="left"/>
        <w:rPr>
          <w:rFonts w:ascii="Arial" w:hAnsi="Arial" w:cs="Arial"/>
          <w:bCs/>
          <w:iCs/>
          <w:color w:val="auto"/>
          <w:sz w:val="24"/>
          <w:szCs w:val="24"/>
        </w:rPr>
      </w:pPr>
      <w:r w:rsidRPr="00237760">
        <w:rPr>
          <w:rFonts w:ascii="Arial" w:hAnsi="Arial" w:cs="Arial"/>
          <w:color w:val="auto"/>
          <w:sz w:val="24"/>
          <w:szCs w:val="24"/>
        </w:rPr>
        <w:t>Pytanie ewaluacyjne:</w:t>
      </w:r>
      <w:r w:rsidRPr="00237760">
        <w:rPr>
          <w:rFonts w:ascii="Arial" w:hAnsi="Arial" w:cs="Arial"/>
          <w:bCs/>
          <w:iCs/>
          <w:color w:val="auto"/>
          <w:sz w:val="24"/>
          <w:szCs w:val="24"/>
        </w:rPr>
        <w:t xml:space="preserve"> </w:t>
      </w:r>
    </w:p>
    <w:p w14:paraId="3A7637E9" w14:textId="0849E81E" w:rsidR="00E01BD9" w:rsidRPr="00237760" w:rsidRDefault="007B01EB" w:rsidP="009367B4">
      <w:pPr>
        <w:jc w:val="left"/>
        <w:rPr>
          <w:rFonts w:ascii="Arial" w:hAnsi="Arial" w:cs="Arial"/>
          <w:color w:val="auto"/>
          <w:sz w:val="24"/>
          <w:szCs w:val="24"/>
        </w:rPr>
      </w:pPr>
      <w:r w:rsidRPr="00237760">
        <w:rPr>
          <w:rFonts w:ascii="Arial" w:hAnsi="Arial" w:cs="Arial"/>
          <w:b/>
          <w:i/>
          <w:color w:val="auto"/>
          <w:sz w:val="24"/>
          <w:szCs w:val="24"/>
        </w:rPr>
        <w:t>Czy projekt Programu jest wewnętrznie spójny, czytelny, logicznie powiązany oraz napisany zrozumiałym językiem</w:t>
      </w:r>
      <w:r w:rsidR="00F3269B" w:rsidRPr="00237760">
        <w:rPr>
          <w:rFonts w:ascii="Arial" w:hAnsi="Arial" w:cs="Arial"/>
          <w:b/>
          <w:i/>
          <w:color w:val="auto"/>
          <w:sz w:val="24"/>
          <w:szCs w:val="24"/>
        </w:rPr>
        <w:t>?</w:t>
      </w:r>
    </w:p>
    <w:p w14:paraId="644BA75B" w14:textId="77777777" w:rsidR="00E01BD9" w:rsidRPr="00237760" w:rsidRDefault="00E01BD9" w:rsidP="009367B4">
      <w:pPr>
        <w:jc w:val="left"/>
        <w:rPr>
          <w:rFonts w:ascii="Arial" w:hAnsi="Arial" w:cs="Arial"/>
          <w:color w:val="auto"/>
          <w:sz w:val="24"/>
          <w:szCs w:val="24"/>
        </w:rPr>
      </w:pPr>
      <w:r w:rsidRPr="00237760">
        <w:rPr>
          <w:rFonts w:ascii="Arial" w:hAnsi="Arial" w:cs="Arial"/>
          <w:color w:val="auto"/>
          <w:sz w:val="24"/>
          <w:szCs w:val="24"/>
        </w:rPr>
        <w:t>Syntetyczna odpowiedź:</w:t>
      </w:r>
    </w:p>
    <w:p w14:paraId="169F4071" w14:textId="035534E5" w:rsidR="00E01BD9" w:rsidRPr="00237760" w:rsidRDefault="001F1F32" w:rsidP="009367B4">
      <w:pPr>
        <w:jc w:val="left"/>
        <w:rPr>
          <w:rFonts w:ascii="Arial" w:hAnsi="Arial" w:cs="Arial"/>
          <w:b/>
          <w:i/>
          <w:color w:val="auto"/>
          <w:sz w:val="24"/>
          <w:szCs w:val="24"/>
        </w:rPr>
      </w:pPr>
      <w:r w:rsidRPr="00237760">
        <w:rPr>
          <w:rFonts w:ascii="Arial" w:hAnsi="Arial" w:cs="Arial"/>
          <w:b/>
          <w:i/>
          <w:color w:val="auto"/>
          <w:sz w:val="24"/>
          <w:szCs w:val="24"/>
        </w:rPr>
        <w:t>Tak, p</w:t>
      </w:r>
      <w:r w:rsidR="008F27FB" w:rsidRPr="00237760">
        <w:rPr>
          <w:rFonts w:ascii="Arial" w:hAnsi="Arial" w:cs="Arial"/>
          <w:b/>
          <w:i/>
          <w:color w:val="auto"/>
          <w:sz w:val="24"/>
          <w:szCs w:val="24"/>
        </w:rPr>
        <w:t>od względem struktury i treści poszczególnych rozdziałów dokument jest spójny wewnętrznie</w:t>
      </w:r>
      <w:r w:rsidR="005B5DDF" w:rsidRPr="00237760">
        <w:rPr>
          <w:rFonts w:ascii="Arial" w:hAnsi="Arial" w:cs="Arial"/>
          <w:b/>
          <w:i/>
          <w:color w:val="auto"/>
          <w:sz w:val="24"/>
          <w:szCs w:val="24"/>
        </w:rPr>
        <w:t xml:space="preserve"> i</w:t>
      </w:r>
      <w:r w:rsidR="008F27FB" w:rsidRPr="00237760">
        <w:rPr>
          <w:rFonts w:ascii="Arial" w:hAnsi="Arial" w:cs="Arial"/>
          <w:b/>
          <w:i/>
          <w:color w:val="auto"/>
          <w:sz w:val="24"/>
          <w:szCs w:val="24"/>
        </w:rPr>
        <w:t xml:space="preserve"> zachowane są logiczne powiązania. </w:t>
      </w:r>
      <w:r w:rsidR="00050E78" w:rsidRPr="00237760">
        <w:rPr>
          <w:rFonts w:ascii="Arial" w:hAnsi="Arial" w:cs="Arial"/>
          <w:b/>
          <w:i/>
          <w:color w:val="auto"/>
          <w:sz w:val="24"/>
          <w:szCs w:val="24"/>
        </w:rPr>
        <w:t xml:space="preserve">Dokument jest napisany zrozumiałym językiem. Została zapewniona czytelność. Przed docelową publikacją zaleca się szczegółową redakcję dokumentu </w:t>
      </w:r>
      <w:r w:rsidR="00C605B2" w:rsidRPr="00237760">
        <w:rPr>
          <w:rFonts w:ascii="Arial" w:hAnsi="Arial" w:cs="Arial"/>
          <w:b/>
          <w:i/>
          <w:color w:val="auto"/>
          <w:sz w:val="24"/>
          <w:szCs w:val="24"/>
        </w:rPr>
        <w:br/>
      </w:r>
      <w:r w:rsidR="00050E78" w:rsidRPr="00237760">
        <w:rPr>
          <w:rFonts w:ascii="Arial" w:hAnsi="Arial" w:cs="Arial"/>
          <w:b/>
          <w:i/>
          <w:color w:val="auto"/>
          <w:sz w:val="24"/>
          <w:szCs w:val="24"/>
        </w:rPr>
        <w:t>w celu wyeliminowania pomniejszych błędów.</w:t>
      </w:r>
    </w:p>
    <w:p w14:paraId="7677F7BA" w14:textId="77777777" w:rsidR="00E01BD9" w:rsidRPr="00237760" w:rsidRDefault="00E01BD9" w:rsidP="009367B4">
      <w:pPr>
        <w:pStyle w:val="Nagwek4"/>
        <w:shd w:val="clear" w:color="auto" w:fill="auto"/>
        <w:rPr>
          <w:rFonts w:ascii="Arial" w:hAnsi="Arial" w:cs="Arial"/>
          <w:color w:val="auto"/>
        </w:rPr>
      </w:pPr>
      <w:r w:rsidRPr="00237760">
        <w:rPr>
          <w:rFonts w:ascii="Arial" w:hAnsi="Arial" w:cs="Arial"/>
          <w:color w:val="auto"/>
        </w:rPr>
        <w:t xml:space="preserve"> </w:t>
      </w:r>
      <w:bookmarkStart w:id="285" w:name="_Toc101904170"/>
      <w:r w:rsidRPr="00237760">
        <w:rPr>
          <w:rFonts w:ascii="Arial" w:hAnsi="Arial" w:cs="Arial"/>
          <w:color w:val="auto"/>
        </w:rPr>
        <w:t>Analiza</w:t>
      </w:r>
      <w:bookmarkEnd w:id="285"/>
    </w:p>
    <w:p w14:paraId="0DB61CD5" w14:textId="343D18C8" w:rsidR="00A02CA7" w:rsidRPr="00237760" w:rsidRDefault="00A02CA7" w:rsidP="009367B4">
      <w:pPr>
        <w:jc w:val="left"/>
        <w:rPr>
          <w:rFonts w:ascii="Arial" w:hAnsi="Arial" w:cs="Arial"/>
          <w:color w:val="auto"/>
          <w:sz w:val="24"/>
          <w:szCs w:val="24"/>
        </w:rPr>
      </w:pPr>
      <w:r w:rsidRPr="00237760">
        <w:rPr>
          <w:rFonts w:ascii="Arial" w:hAnsi="Arial" w:cs="Arial"/>
          <w:color w:val="auto"/>
          <w:sz w:val="24"/>
          <w:szCs w:val="24"/>
        </w:rPr>
        <w:t xml:space="preserve">Ta część ewaluacji </w:t>
      </w:r>
      <w:r w:rsidR="000D3E53" w:rsidRPr="00237760">
        <w:rPr>
          <w:rFonts w:ascii="Arial" w:hAnsi="Arial" w:cs="Arial"/>
          <w:color w:val="auto"/>
          <w:sz w:val="24"/>
          <w:szCs w:val="24"/>
        </w:rPr>
        <w:t>koncentruje się na ocenie ogólnej i warstwie redakcyjnej, ponieważ szczegółow</w:t>
      </w:r>
      <w:r w:rsidR="00C65F13" w:rsidRPr="00237760">
        <w:rPr>
          <w:rFonts w:ascii="Arial" w:hAnsi="Arial" w:cs="Arial"/>
          <w:color w:val="auto"/>
          <w:sz w:val="24"/>
          <w:szCs w:val="24"/>
        </w:rPr>
        <w:t>a</w:t>
      </w:r>
      <w:r w:rsidR="000D3E53" w:rsidRPr="00237760">
        <w:rPr>
          <w:rFonts w:ascii="Arial" w:hAnsi="Arial" w:cs="Arial"/>
          <w:color w:val="auto"/>
          <w:sz w:val="24"/>
          <w:szCs w:val="24"/>
        </w:rPr>
        <w:t xml:space="preserve"> spójność </w:t>
      </w:r>
      <w:r w:rsidR="00FA0E50" w:rsidRPr="00237760">
        <w:rPr>
          <w:rFonts w:ascii="Arial" w:hAnsi="Arial" w:cs="Arial"/>
          <w:color w:val="auto"/>
          <w:sz w:val="24"/>
          <w:szCs w:val="24"/>
        </w:rPr>
        <w:t>kluczowych elementów PSRT WP z</w:t>
      </w:r>
      <w:r w:rsidR="00C65F13" w:rsidRPr="00237760">
        <w:rPr>
          <w:rFonts w:ascii="Arial" w:hAnsi="Arial" w:cs="Arial"/>
          <w:color w:val="auto"/>
          <w:sz w:val="24"/>
          <w:szCs w:val="24"/>
        </w:rPr>
        <w:t xml:space="preserve">najduje się w </w:t>
      </w:r>
      <w:r w:rsidR="00FA0E50" w:rsidRPr="00237760">
        <w:rPr>
          <w:rFonts w:ascii="Arial" w:hAnsi="Arial" w:cs="Arial"/>
          <w:color w:val="auto"/>
          <w:sz w:val="24"/>
          <w:szCs w:val="24"/>
        </w:rPr>
        <w:t>rozdz.</w:t>
      </w:r>
      <w:r w:rsidR="00F37466" w:rsidRPr="00237760">
        <w:rPr>
          <w:rFonts w:ascii="Arial" w:hAnsi="Arial" w:cs="Arial"/>
          <w:color w:val="auto"/>
          <w:sz w:val="24"/>
          <w:szCs w:val="24"/>
        </w:rPr>
        <w:t xml:space="preserve"> </w:t>
      </w:r>
      <w:r w:rsidR="00F37466" w:rsidRPr="00237760">
        <w:rPr>
          <w:rFonts w:ascii="Arial" w:hAnsi="Arial" w:cs="Arial"/>
          <w:color w:val="auto"/>
          <w:sz w:val="24"/>
          <w:szCs w:val="24"/>
        </w:rPr>
        <w:fldChar w:fldCharType="begin"/>
      </w:r>
      <w:r w:rsidR="00F37466" w:rsidRPr="00237760">
        <w:rPr>
          <w:rFonts w:ascii="Arial" w:hAnsi="Arial" w:cs="Arial"/>
          <w:color w:val="auto"/>
          <w:sz w:val="24"/>
          <w:szCs w:val="24"/>
        </w:rPr>
        <w:instrText xml:space="preserve"> REF _Ref100996813 \n \h </w:instrText>
      </w:r>
      <w:r w:rsidR="00237760" w:rsidRPr="00237760">
        <w:rPr>
          <w:rFonts w:ascii="Arial" w:hAnsi="Arial" w:cs="Arial"/>
          <w:color w:val="auto"/>
          <w:sz w:val="24"/>
          <w:szCs w:val="24"/>
        </w:rPr>
        <w:instrText xml:space="preserve"> \* MERGEFORMAT </w:instrText>
      </w:r>
      <w:r w:rsidR="00F37466" w:rsidRPr="00237760">
        <w:rPr>
          <w:rFonts w:ascii="Arial" w:hAnsi="Arial" w:cs="Arial"/>
          <w:color w:val="auto"/>
          <w:sz w:val="24"/>
          <w:szCs w:val="24"/>
        </w:rPr>
      </w:r>
      <w:r w:rsidR="00F37466" w:rsidRPr="00237760">
        <w:rPr>
          <w:rFonts w:ascii="Arial" w:hAnsi="Arial" w:cs="Arial"/>
          <w:color w:val="auto"/>
          <w:sz w:val="24"/>
          <w:szCs w:val="24"/>
        </w:rPr>
        <w:fldChar w:fldCharType="separate"/>
      </w:r>
      <w:r w:rsidR="00E52C19" w:rsidRPr="00237760">
        <w:rPr>
          <w:rFonts w:ascii="Arial" w:hAnsi="Arial" w:cs="Arial"/>
          <w:color w:val="auto"/>
          <w:sz w:val="24"/>
          <w:szCs w:val="24"/>
        </w:rPr>
        <w:t>5.4</w:t>
      </w:r>
      <w:r w:rsidR="00F37466" w:rsidRPr="00237760">
        <w:rPr>
          <w:rFonts w:ascii="Arial" w:hAnsi="Arial" w:cs="Arial"/>
          <w:color w:val="auto"/>
          <w:sz w:val="24"/>
          <w:szCs w:val="24"/>
        </w:rPr>
        <w:fldChar w:fldCharType="end"/>
      </w:r>
      <w:r w:rsidR="00F37466" w:rsidRPr="00237760">
        <w:rPr>
          <w:rFonts w:ascii="Arial" w:hAnsi="Arial" w:cs="Arial"/>
          <w:color w:val="auto"/>
          <w:sz w:val="24"/>
          <w:szCs w:val="24"/>
        </w:rPr>
        <w:t>.</w:t>
      </w:r>
      <w:r w:rsidR="00FA0E50" w:rsidRPr="00237760">
        <w:rPr>
          <w:rFonts w:ascii="Arial" w:hAnsi="Arial" w:cs="Arial"/>
          <w:color w:val="auto"/>
          <w:sz w:val="24"/>
          <w:szCs w:val="24"/>
        </w:rPr>
        <w:t xml:space="preserve"> </w:t>
      </w:r>
    </w:p>
    <w:p w14:paraId="05E1C8FD" w14:textId="36CA65F4" w:rsidR="00884D3D" w:rsidRPr="00237760" w:rsidRDefault="00884D3D" w:rsidP="009367B4">
      <w:pPr>
        <w:jc w:val="left"/>
        <w:rPr>
          <w:rFonts w:ascii="Arial" w:hAnsi="Arial" w:cs="Arial"/>
          <w:color w:val="auto"/>
          <w:sz w:val="24"/>
          <w:szCs w:val="24"/>
        </w:rPr>
      </w:pPr>
      <w:r w:rsidRPr="00237760">
        <w:rPr>
          <w:rFonts w:ascii="Arial" w:hAnsi="Arial" w:cs="Arial"/>
          <w:color w:val="auto"/>
          <w:sz w:val="24"/>
          <w:szCs w:val="24"/>
        </w:rPr>
        <w:t>Dokument składa się z</w:t>
      </w:r>
      <w:r w:rsidR="00712BF3" w:rsidRPr="00237760">
        <w:rPr>
          <w:rFonts w:ascii="Arial" w:hAnsi="Arial" w:cs="Arial"/>
          <w:color w:val="auto"/>
          <w:sz w:val="24"/>
          <w:szCs w:val="24"/>
        </w:rPr>
        <w:t xml:space="preserve"> następujących części</w:t>
      </w:r>
      <w:r w:rsidRPr="00237760">
        <w:rPr>
          <w:rFonts w:ascii="Arial" w:hAnsi="Arial" w:cs="Arial"/>
          <w:color w:val="auto"/>
          <w:sz w:val="24"/>
          <w:szCs w:val="24"/>
        </w:rPr>
        <w:t xml:space="preserve">: </w:t>
      </w:r>
    </w:p>
    <w:p w14:paraId="41E84D07" w14:textId="54B07A55" w:rsidR="00884D3D" w:rsidRPr="00237760" w:rsidRDefault="00884D3D" w:rsidP="009367B4">
      <w:pPr>
        <w:pStyle w:val="Akapitzlist"/>
        <w:numPr>
          <w:ilvl w:val="0"/>
          <w:numId w:val="41"/>
        </w:numPr>
        <w:spacing w:line="259" w:lineRule="auto"/>
        <w:contextualSpacing/>
        <w:jc w:val="left"/>
        <w:rPr>
          <w:rFonts w:ascii="Arial" w:hAnsi="Arial" w:cs="Arial"/>
          <w:color w:val="auto"/>
          <w:sz w:val="24"/>
          <w:szCs w:val="24"/>
        </w:rPr>
      </w:pPr>
      <w:r w:rsidRPr="00237760">
        <w:rPr>
          <w:rFonts w:ascii="Arial" w:hAnsi="Arial" w:cs="Arial"/>
          <w:color w:val="auto"/>
          <w:sz w:val="24"/>
          <w:szCs w:val="24"/>
        </w:rPr>
        <w:t>syntez</w:t>
      </w:r>
      <w:r w:rsidR="00712BF3" w:rsidRPr="00237760">
        <w:rPr>
          <w:rFonts w:ascii="Arial" w:hAnsi="Arial" w:cs="Arial"/>
          <w:color w:val="auto"/>
          <w:sz w:val="24"/>
          <w:szCs w:val="24"/>
        </w:rPr>
        <w:t>a</w:t>
      </w:r>
      <w:r w:rsidRPr="00237760">
        <w:rPr>
          <w:rFonts w:ascii="Arial" w:hAnsi="Arial" w:cs="Arial"/>
          <w:color w:val="auto"/>
          <w:sz w:val="24"/>
          <w:szCs w:val="24"/>
        </w:rPr>
        <w:t xml:space="preserve"> diagnozy systemu transportowego, </w:t>
      </w:r>
    </w:p>
    <w:p w14:paraId="07DFEB73" w14:textId="2975ABD7" w:rsidR="00884D3D" w:rsidRPr="00237760" w:rsidRDefault="00884D3D" w:rsidP="009367B4">
      <w:pPr>
        <w:pStyle w:val="Akapitzlist"/>
        <w:numPr>
          <w:ilvl w:val="0"/>
          <w:numId w:val="41"/>
        </w:numPr>
        <w:spacing w:line="259" w:lineRule="auto"/>
        <w:contextualSpacing/>
        <w:jc w:val="left"/>
        <w:rPr>
          <w:rFonts w:ascii="Arial" w:hAnsi="Arial" w:cs="Arial"/>
          <w:color w:val="auto"/>
          <w:sz w:val="24"/>
          <w:szCs w:val="24"/>
        </w:rPr>
      </w:pPr>
      <w:r w:rsidRPr="00237760">
        <w:rPr>
          <w:rFonts w:ascii="Arial" w:hAnsi="Arial" w:cs="Arial"/>
          <w:color w:val="auto"/>
          <w:sz w:val="24"/>
          <w:szCs w:val="24"/>
        </w:rPr>
        <w:t>problem</w:t>
      </w:r>
      <w:r w:rsidR="0015747C" w:rsidRPr="00237760">
        <w:rPr>
          <w:rFonts w:ascii="Arial" w:hAnsi="Arial" w:cs="Arial"/>
          <w:color w:val="auto"/>
          <w:sz w:val="24"/>
          <w:szCs w:val="24"/>
        </w:rPr>
        <w:t xml:space="preserve">y </w:t>
      </w:r>
      <w:r w:rsidRPr="00237760">
        <w:rPr>
          <w:rFonts w:ascii="Arial" w:hAnsi="Arial" w:cs="Arial"/>
          <w:color w:val="auto"/>
          <w:sz w:val="24"/>
          <w:szCs w:val="24"/>
        </w:rPr>
        <w:t>wynikając</w:t>
      </w:r>
      <w:r w:rsidR="0015747C" w:rsidRPr="00237760">
        <w:rPr>
          <w:rFonts w:ascii="Arial" w:hAnsi="Arial" w:cs="Arial"/>
          <w:color w:val="auto"/>
          <w:sz w:val="24"/>
          <w:szCs w:val="24"/>
        </w:rPr>
        <w:t>e</w:t>
      </w:r>
      <w:r w:rsidRPr="00237760">
        <w:rPr>
          <w:rFonts w:ascii="Arial" w:hAnsi="Arial" w:cs="Arial"/>
          <w:color w:val="auto"/>
          <w:sz w:val="24"/>
          <w:szCs w:val="24"/>
        </w:rPr>
        <w:t xml:space="preserve"> z diagnozy, </w:t>
      </w:r>
    </w:p>
    <w:p w14:paraId="34584F74" w14:textId="4DB6A3FC" w:rsidR="00884D3D" w:rsidRPr="00237760" w:rsidRDefault="00884D3D" w:rsidP="009367B4">
      <w:pPr>
        <w:pStyle w:val="Akapitzlist"/>
        <w:numPr>
          <w:ilvl w:val="0"/>
          <w:numId w:val="41"/>
        </w:numPr>
        <w:spacing w:line="259" w:lineRule="auto"/>
        <w:contextualSpacing/>
        <w:jc w:val="left"/>
        <w:rPr>
          <w:rFonts w:ascii="Arial" w:hAnsi="Arial" w:cs="Arial"/>
          <w:color w:val="auto"/>
          <w:sz w:val="24"/>
          <w:szCs w:val="24"/>
        </w:rPr>
      </w:pPr>
      <w:r w:rsidRPr="00237760">
        <w:rPr>
          <w:rFonts w:ascii="Arial" w:hAnsi="Arial" w:cs="Arial"/>
          <w:color w:val="auto"/>
          <w:sz w:val="24"/>
          <w:szCs w:val="24"/>
        </w:rPr>
        <w:t>wariant</w:t>
      </w:r>
      <w:r w:rsidR="0015747C" w:rsidRPr="00237760">
        <w:rPr>
          <w:rFonts w:ascii="Arial" w:hAnsi="Arial" w:cs="Arial"/>
          <w:color w:val="auto"/>
          <w:sz w:val="24"/>
          <w:szCs w:val="24"/>
        </w:rPr>
        <w:t>y</w:t>
      </w:r>
      <w:r w:rsidRPr="00237760">
        <w:rPr>
          <w:rFonts w:ascii="Arial" w:hAnsi="Arial" w:cs="Arial"/>
          <w:color w:val="auto"/>
          <w:sz w:val="24"/>
          <w:szCs w:val="24"/>
        </w:rPr>
        <w:t xml:space="preserve"> planistyczn</w:t>
      </w:r>
      <w:r w:rsidR="0015747C" w:rsidRPr="00237760">
        <w:rPr>
          <w:rFonts w:ascii="Arial" w:hAnsi="Arial" w:cs="Arial"/>
          <w:color w:val="auto"/>
          <w:sz w:val="24"/>
          <w:szCs w:val="24"/>
        </w:rPr>
        <w:t>e</w:t>
      </w:r>
      <w:r w:rsidRPr="00237760">
        <w:rPr>
          <w:rFonts w:ascii="Arial" w:hAnsi="Arial" w:cs="Arial"/>
          <w:color w:val="auto"/>
          <w:sz w:val="24"/>
          <w:szCs w:val="24"/>
        </w:rPr>
        <w:t xml:space="preserve">, </w:t>
      </w:r>
    </w:p>
    <w:p w14:paraId="3AECE337" w14:textId="5BC68139" w:rsidR="00884D3D" w:rsidRPr="00237760" w:rsidRDefault="00884D3D" w:rsidP="009367B4">
      <w:pPr>
        <w:pStyle w:val="Akapitzlist"/>
        <w:numPr>
          <w:ilvl w:val="0"/>
          <w:numId w:val="41"/>
        </w:numPr>
        <w:spacing w:line="259" w:lineRule="auto"/>
        <w:contextualSpacing/>
        <w:jc w:val="left"/>
        <w:rPr>
          <w:rFonts w:ascii="Arial" w:hAnsi="Arial" w:cs="Arial"/>
          <w:color w:val="auto"/>
          <w:sz w:val="24"/>
          <w:szCs w:val="24"/>
        </w:rPr>
      </w:pPr>
      <w:r w:rsidRPr="00237760">
        <w:rPr>
          <w:rFonts w:ascii="Arial" w:hAnsi="Arial" w:cs="Arial"/>
          <w:color w:val="auto"/>
          <w:sz w:val="24"/>
          <w:szCs w:val="24"/>
        </w:rPr>
        <w:t>cel</w:t>
      </w:r>
      <w:r w:rsidR="0015747C" w:rsidRPr="00237760">
        <w:rPr>
          <w:rFonts w:ascii="Arial" w:hAnsi="Arial" w:cs="Arial"/>
          <w:color w:val="auto"/>
          <w:sz w:val="24"/>
          <w:szCs w:val="24"/>
        </w:rPr>
        <w:t>e</w:t>
      </w:r>
      <w:r w:rsidRPr="00237760">
        <w:rPr>
          <w:rFonts w:ascii="Arial" w:hAnsi="Arial" w:cs="Arial"/>
          <w:color w:val="auto"/>
          <w:sz w:val="24"/>
          <w:szCs w:val="24"/>
        </w:rPr>
        <w:t xml:space="preserve"> i kierunk</w:t>
      </w:r>
      <w:r w:rsidR="0015747C" w:rsidRPr="00237760">
        <w:rPr>
          <w:rFonts w:ascii="Arial" w:hAnsi="Arial" w:cs="Arial"/>
          <w:color w:val="auto"/>
          <w:sz w:val="24"/>
          <w:szCs w:val="24"/>
        </w:rPr>
        <w:t>i</w:t>
      </w:r>
      <w:r w:rsidRPr="00237760">
        <w:rPr>
          <w:rFonts w:ascii="Arial" w:hAnsi="Arial" w:cs="Arial"/>
          <w:color w:val="auto"/>
          <w:sz w:val="24"/>
          <w:szCs w:val="24"/>
        </w:rPr>
        <w:t xml:space="preserve"> rozwoju, </w:t>
      </w:r>
    </w:p>
    <w:p w14:paraId="2CD59929" w14:textId="77777777" w:rsidR="00884D3D" w:rsidRPr="00237760" w:rsidRDefault="00884D3D" w:rsidP="009367B4">
      <w:pPr>
        <w:pStyle w:val="Akapitzlist"/>
        <w:numPr>
          <w:ilvl w:val="0"/>
          <w:numId w:val="41"/>
        </w:numPr>
        <w:spacing w:line="259" w:lineRule="auto"/>
        <w:contextualSpacing/>
        <w:jc w:val="left"/>
        <w:rPr>
          <w:rFonts w:ascii="Arial" w:hAnsi="Arial" w:cs="Arial"/>
          <w:color w:val="auto"/>
          <w:sz w:val="24"/>
          <w:szCs w:val="24"/>
        </w:rPr>
      </w:pPr>
      <w:r w:rsidRPr="00237760">
        <w:rPr>
          <w:rFonts w:ascii="Arial" w:hAnsi="Arial" w:cs="Arial"/>
          <w:color w:val="auto"/>
          <w:sz w:val="24"/>
          <w:szCs w:val="24"/>
        </w:rPr>
        <w:t xml:space="preserve">systemy wdrażania i realizacji programu, </w:t>
      </w:r>
    </w:p>
    <w:p w14:paraId="19618E1E" w14:textId="7A58C3B5" w:rsidR="00884D3D" w:rsidRPr="00237760" w:rsidRDefault="00884D3D" w:rsidP="009367B4">
      <w:pPr>
        <w:pStyle w:val="Akapitzlist"/>
        <w:numPr>
          <w:ilvl w:val="0"/>
          <w:numId w:val="41"/>
        </w:numPr>
        <w:spacing w:line="259" w:lineRule="auto"/>
        <w:contextualSpacing/>
        <w:jc w:val="left"/>
        <w:rPr>
          <w:rFonts w:ascii="Arial" w:hAnsi="Arial" w:cs="Arial"/>
          <w:color w:val="auto"/>
          <w:sz w:val="24"/>
          <w:szCs w:val="24"/>
        </w:rPr>
      </w:pPr>
      <w:r w:rsidRPr="00237760">
        <w:rPr>
          <w:rFonts w:ascii="Arial" w:hAnsi="Arial" w:cs="Arial"/>
          <w:color w:val="auto"/>
          <w:sz w:val="24"/>
          <w:szCs w:val="24"/>
        </w:rPr>
        <w:t>podsumowani</w:t>
      </w:r>
      <w:r w:rsidR="0015747C" w:rsidRPr="00237760">
        <w:rPr>
          <w:rFonts w:ascii="Arial" w:hAnsi="Arial" w:cs="Arial"/>
          <w:color w:val="auto"/>
          <w:sz w:val="24"/>
          <w:szCs w:val="24"/>
        </w:rPr>
        <w:t>e</w:t>
      </w:r>
      <w:r w:rsidRPr="00237760">
        <w:rPr>
          <w:rFonts w:ascii="Arial" w:hAnsi="Arial" w:cs="Arial"/>
          <w:color w:val="auto"/>
          <w:sz w:val="24"/>
          <w:szCs w:val="24"/>
        </w:rPr>
        <w:t xml:space="preserve"> prognozy oddziaływania na środowisko, </w:t>
      </w:r>
    </w:p>
    <w:p w14:paraId="4E95CEAB" w14:textId="02E9FC9D" w:rsidR="00884D3D" w:rsidRPr="00237760" w:rsidRDefault="00884D3D" w:rsidP="009367B4">
      <w:pPr>
        <w:pStyle w:val="Akapitzlist"/>
        <w:numPr>
          <w:ilvl w:val="0"/>
          <w:numId w:val="41"/>
        </w:numPr>
        <w:spacing w:line="259" w:lineRule="auto"/>
        <w:contextualSpacing/>
        <w:jc w:val="left"/>
        <w:rPr>
          <w:rFonts w:ascii="Arial" w:hAnsi="Arial" w:cs="Arial"/>
          <w:color w:val="auto"/>
          <w:sz w:val="24"/>
          <w:szCs w:val="24"/>
        </w:rPr>
      </w:pPr>
      <w:r w:rsidRPr="00237760">
        <w:rPr>
          <w:rFonts w:ascii="Arial" w:hAnsi="Arial" w:cs="Arial"/>
          <w:color w:val="auto"/>
          <w:sz w:val="24"/>
          <w:szCs w:val="24"/>
        </w:rPr>
        <w:t>podsumowani</w:t>
      </w:r>
      <w:r w:rsidR="0015747C" w:rsidRPr="00237760">
        <w:rPr>
          <w:rFonts w:ascii="Arial" w:hAnsi="Arial" w:cs="Arial"/>
          <w:color w:val="auto"/>
          <w:sz w:val="24"/>
          <w:szCs w:val="24"/>
        </w:rPr>
        <w:t>e</w:t>
      </w:r>
      <w:r w:rsidRPr="00237760">
        <w:rPr>
          <w:rFonts w:ascii="Arial" w:hAnsi="Arial" w:cs="Arial"/>
          <w:color w:val="auto"/>
          <w:sz w:val="24"/>
          <w:szCs w:val="24"/>
        </w:rPr>
        <w:t xml:space="preserve"> konsultacji społecznych i analizy ryzyka. </w:t>
      </w:r>
    </w:p>
    <w:p w14:paraId="2D187F11" w14:textId="613E58B5" w:rsidR="00884D3D" w:rsidRPr="00237760" w:rsidRDefault="00884D3D" w:rsidP="009367B4">
      <w:pPr>
        <w:jc w:val="left"/>
        <w:rPr>
          <w:rFonts w:ascii="Arial" w:hAnsi="Arial" w:cs="Arial"/>
          <w:color w:val="auto"/>
          <w:sz w:val="24"/>
          <w:szCs w:val="24"/>
        </w:rPr>
      </w:pPr>
      <w:r w:rsidRPr="00237760">
        <w:rPr>
          <w:rFonts w:ascii="Arial" w:hAnsi="Arial" w:cs="Arial"/>
          <w:color w:val="auto"/>
          <w:sz w:val="24"/>
          <w:szCs w:val="24"/>
        </w:rPr>
        <w:t xml:space="preserve">Struktura dokumentu jest zasadna, a kolejne elementy wynikają z siebie nawzajem. Rozpoczęcie programu od wprowadzenia i przedstawienia układu dokumentu pozwala zrozumieć kontekst opracowania oraz jego strukturę. Kolejno opisana diagnoza, w ramach której mieści się opis uwarunkowań systemu transportowego, analiza popytowa oraz analiza SWOT, daje merytoryczną podstawę do następnych części dokumentu, głównie do identyfikacji </w:t>
      </w:r>
      <w:r w:rsidR="00A66743" w:rsidRPr="00237760">
        <w:rPr>
          <w:rFonts w:ascii="Arial" w:hAnsi="Arial" w:cs="Arial"/>
          <w:color w:val="auto"/>
          <w:sz w:val="24"/>
          <w:szCs w:val="24"/>
        </w:rPr>
        <w:t>kluczowych</w:t>
      </w:r>
      <w:r w:rsidRPr="00237760">
        <w:rPr>
          <w:rFonts w:ascii="Arial" w:hAnsi="Arial" w:cs="Arial"/>
          <w:color w:val="auto"/>
          <w:sz w:val="24"/>
          <w:szCs w:val="24"/>
        </w:rPr>
        <w:t xml:space="preserve"> problemów województwa w obszarze transportu. Przedstawione na tym etapie warianty planistyczne stanowią różne scenariusze działania w omawianej dziedzinie, wraz z oceną wynikających z nich potencjalnych korzyści i zagrożeń. </w:t>
      </w:r>
    </w:p>
    <w:p w14:paraId="6222593A" w14:textId="083B7A56" w:rsidR="007A3CE7" w:rsidRPr="00237760" w:rsidRDefault="00884D3D" w:rsidP="009367B4">
      <w:pPr>
        <w:jc w:val="left"/>
        <w:rPr>
          <w:rFonts w:ascii="Arial" w:hAnsi="Arial" w:cs="Arial"/>
          <w:color w:val="auto"/>
          <w:sz w:val="24"/>
          <w:szCs w:val="24"/>
        </w:rPr>
      </w:pPr>
      <w:r w:rsidRPr="00237760">
        <w:rPr>
          <w:rFonts w:ascii="Arial" w:hAnsi="Arial" w:cs="Arial"/>
          <w:color w:val="auto"/>
          <w:sz w:val="24"/>
          <w:szCs w:val="24"/>
        </w:rPr>
        <w:t xml:space="preserve">Po wyborze pożądanego wariantu planistycznego ustalone zostały cele podstawowe i horyzontalne, a także kierunki rozwoju w ramach celów. Bezpośredni związek wniosków z diagnozy z celami został przedstawiony w PSRT </w:t>
      </w:r>
      <w:r w:rsidR="00320A91" w:rsidRPr="00237760">
        <w:rPr>
          <w:rFonts w:ascii="Arial" w:hAnsi="Arial" w:cs="Arial"/>
          <w:color w:val="auto"/>
          <w:sz w:val="24"/>
          <w:szCs w:val="24"/>
        </w:rPr>
        <w:t xml:space="preserve">WP </w:t>
      </w:r>
      <w:r w:rsidRPr="00237760">
        <w:rPr>
          <w:rFonts w:ascii="Arial" w:hAnsi="Arial" w:cs="Arial"/>
          <w:color w:val="auto"/>
          <w:sz w:val="24"/>
          <w:szCs w:val="24"/>
        </w:rPr>
        <w:t>na stronie 10</w:t>
      </w:r>
      <w:r w:rsidR="00F54823" w:rsidRPr="00237760">
        <w:rPr>
          <w:rFonts w:ascii="Arial" w:hAnsi="Arial" w:cs="Arial"/>
          <w:color w:val="auto"/>
          <w:sz w:val="24"/>
          <w:szCs w:val="24"/>
        </w:rPr>
        <w:t>8</w:t>
      </w:r>
      <w:r w:rsidRPr="00237760">
        <w:rPr>
          <w:rFonts w:ascii="Arial" w:hAnsi="Arial" w:cs="Arial"/>
          <w:color w:val="auto"/>
          <w:sz w:val="24"/>
          <w:szCs w:val="24"/>
        </w:rPr>
        <w:t xml:space="preserve"> </w:t>
      </w:r>
      <w:r w:rsidR="00320A91" w:rsidRPr="00237760">
        <w:rPr>
          <w:rFonts w:ascii="Arial" w:hAnsi="Arial" w:cs="Arial"/>
          <w:color w:val="auto"/>
          <w:sz w:val="24"/>
          <w:szCs w:val="24"/>
        </w:rPr>
        <w:t>w t</w:t>
      </w:r>
      <w:r w:rsidRPr="00237760">
        <w:rPr>
          <w:rFonts w:ascii="Arial" w:hAnsi="Arial" w:cs="Arial"/>
          <w:color w:val="auto"/>
          <w:sz w:val="24"/>
          <w:szCs w:val="24"/>
        </w:rPr>
        <w:t>abel</w:t>
      </w:r>
      <w:r w:rsidR="00320A91" w:rsidRPr="00237760">
        <w:rPr>
          <w:rFonts w:ascii="Arial" w:hAnsi="Arial" w:cs="Arial"/>
          <w:color w:val="auto"/>
          <w:sz w:val="24"/>
          <w:szCs w:val="24"/>
        </w:rPr>
        <w:t xml:space="preserve">i </w:t>
      </w:r>
      <w:r w:rsidR="00F54823" w:rsidRPr="00237760">
        <w:rPr>
          <w:rFonts w:ascii="Arial" w:hAnsi="Arial" w:cs="Arial"/>
          <w:color w:val="auto"/>
          <w:sz w:val="24"/>
          <w:szCs w:val="24"/>
        </w:rPr>
        <w:t xml:space="preserve">22 </w:t>
      </w:r>
      <w:r w:rsidRPr="00237760">
        <w:rPr>
          <w:rFonts w:ascii="Arial" w:hAnsi="Arial" w:cs="Arial"/>
          <w:color w:val="auto"/>
          <w:sz w:val="24"/>
          <w:szCs w:val="24"/>
        </w:rPr>
        <w:t>obrazując</w:t>
      </w:r>
      <w:r w:rsidR="00F54823" w:rsidRPr="00237760">
        <w:rPr>
          <w:rFonts w:ascii="Arial" w:hAnsi="Arial" w:cs="Arial"/>
          <w:color w:val="auto"/>
          <w:sz w:val="24"/>
          <w:szCs w:val="24"/>
        </w:rPr>
        <w:t>ej</w:t>
      </w:r>
      <w:r w:rsidRPr="00237760">
        <w:rPr>
          <w:rFonts w:ascii="Arial" w:hAnsi="Arial" w:cs="Arial"/>
          <w:color w:val="auto"/>
          <w:sz w:val="24"/>
          <w:szCs w:val="24"/>
        </w:rPr>
        <w:t xml:space="preserve"> wpływ celów podstawowych i horyzontalnych na rozwiązanie problemów wynikających z diagnozy. </w:t>
      </w:r>
    </w:p>
    <w:p w14:paraId="1FCF7683" w14:textId="601E48A1" w:rsidR="00884D3D" w:rsidRPr="00237760" w:rsidRDefault="00884D3D" w:rsidP="009367B4">
      <w:pPr>
        <w:jc w:val="left"/>
        <w:rPr>
          <w:rFonts w:ascii="Arial" w:hAnsi="Arial" w:cs="Arial"/>
          <w:color w:val="auto"/>
          <w:sz w:val="24"/>
          <w:szCs w:val="24"/>
        </w:rPr>
      </w:pPr>
      <w:r w:rsidRPr="00237760">
        <w:rPr>
          <w:rFonts w:ascii="Arial" w:hAnsi="Arial" w:cs="Arial"/>
          <w:color w:val="auto"/>
          <w:sz w:val="24"/>
          <w:szCs w:val="24"/>
        </w:rPr>
        <w:lastRenderedPageBreak/>
        <w:t xml:space="preserve">Określono także relacje pomiędzy celami podstawowymi, celami horyzontalnymi i kierunkami, dzięki czemu zapewniono przejrzystość tej części. Treść celów jest w większości zrozumiała i syntetycznie ujęta. </w:t>
      </w:r>
      <w:bookmarkStart w:id="286" w:name="_Hlk101365264"/>
      <w:r w:rsidRPr="00237760">
        <w:rPr>
          <w:rFonts w:ascii="Arial" w:hAnsi="Arial" w:cs="Arial"/>
          <w:color w:val="auto"/>
          <w:sz w:val="24"/>
          <w:szCs w:val="24"/>
        </w:rPr>
        <w:t>Wyjątkiem jest cel horyzontalny „Transport publiczny”, którego nazwa powinna zostać doprecyzowana według opisu pojawiającego się na stronach 11</w:t>
      </w:r>
      <w:r w:rsidR="0040508F" w:rsidRPr="00237760">
        <w:rPr>
          <w:rFonts w:ascii="Arial" w:hAnsi="Arial" w:cs="Arial"/>
          <w:color w:val="auto"/>
          <w:sz w:val="24"/>
          <w:szCs w:val="24"/>
        </w:rPr>
        <w:t>2</w:t>
      </w:r>
      <w:r w:rsidRPr="00237760">
        <w:rPr>
          <w:rFonts w:ascii="Arial" w:hAnsi="Arial" w:cs="Arial"/>
          <w:color w:val="auto"/>
          <w:sz w:val="24"/>
          <w:szCs w:val="24"/>
        </w:rPr>
        <w:t>-11</w:t>
      </w:r>
      <w:r w:rsidR="0040508F" w:rsidRPr="00237760">
        <w:rPr>
          <w:rFonts w:ascii="Arial" w:hAnsi="Arial" w:cs="Arial"/>
          <w:color w:val="auto"/>
          <w:sz w:val="24"/>
          <w:szCs w:val="24"/>
        </w:rPr>
        <w:t>3</w:t>
      </w:r>
      <w:r w:rsidRPr="00237760">
        <w:rPr>
          <w:rFonts w:ascii="Arial" w:hAnsi="Arial" w:cs="Arial"/>
          <w:color w:val="auto"/>
          <w:sz w:val="24"/>
          <w:szCs w:val="24"/>
        </w:rPr>
        <w:t xml:space="preserve">. </w:t>
      </w:r>
      <w:bookmarkEnd w:id="286"/>
    </w:p>
    <w:p w14:paraId="75023011" w14:textId="297B45BD" w:rsidR="00884D3D" w:rsidRPr="00237760" w:rsidRDefault="00884D3D" w:rsidP="009367B4">
      <w:pPr>
        <w:jc w:val="left"/>
        <w:rPr>
          <w:rFonts w:ascii="Arial" w:hAnsi="Arial" w:cs="Arial"/>
          <w:color w:val="auto"/>
          <w:sz w:val="24"/>
          <w:szCs w:val="24"/>
        </w:rPr>
      </w:pPr>
      <w:r w:rsidRPr="00237760">
        <w:rPr>
          <w:rFonts w:ascii="Arial" w:hAnsi="Arial" w:cs="Arial"/>
          <w:color w:val="auto"/>
          <w:sz w:val="24"/>
          <w:szCs w:val="24"/>
        </w:rPr>
        <w:t>Zauważalna jest bardzo duża liczba kierunków rozwoju w ramach celów</w:t>
      </w:r>
      <w:r w:rsidR="003115D0" w:rsidRPr="00237760">
        <w:rPr>
          <w:rFonts w:ascii="Arial" w:hAnsi="Arial" w:cs="Arial"/>
          <w:color w:val="auto"/>
          <w:sz w:val="24"/>
          <w:szCs w:val="24"/>
        </w:rPr>
        <w:t xml:space="preserve"> opisanych z dużą szczegółowością</w:t>
      </w:r>
      <w:r w:rsidRPr="00237760">
        <w:rPr>
          <w:rFonts w:ascii="Arial" w:hAnsi="Arial" w:cs="Arial"/>
          <w:color w:val="auto"/>
          <w:sz w:val="24"/>
          <w:szCs w:val="24"/>
        </w:rPr>
        <w:t xml:space="preserve">. Nie jest to problem dla tak kompleksowego dokumentu jak </w:t>
      </w:r>
      <w:r w:rsidR="00F311FF" w:rsidRPr="00237760">
        <w:rPr>
          <w:rFonts w:ascii="Arial" w:hAnsi="Arial" w:cs="Arial"/>
          <w:color w:val="auto"/>
          <w:sz w:val="24"/>
          <w:szCs w:val="24"/>
        </w:rPr>
        <w:t>PSRT WP</w:t>
      </w:r>
      <w:r w:rsidRPr="00237760">
        <w:rPr>
          <w:rFonts w:ascii="Arial" w:hAnsi="Arial" w:cs="Arial"/>
          <w:color w:val="auto"/>
          <w:sz w:val="24"/>
          <w:szCs w:val="24"/>
        </w:rPr>
        <w:t xml:space="preserve">. </w:t>
      </w:r>
      <w:r w:rsidR="003115D0" w:rsidRPr="00237760">
        <w:rPr>
          <w:rFonts w:ascii="Arial" w:hAnsi="Arial" w:cs="Arial"/>
          <w:color w:val="auto"/>
          <w:sz w:val="24"/>
          <w:szCs w:val="24"/>
        </w:rPr>
        <w:t>Kierunki są ze sobą spójne</w:t>
      </w:r>
      <w:r w:rsidR="00171B2B" w:rsidRPr="00237760">
        <w:rPr>
          <w:rFonts w:ascii="Arial" w:hAnsi="Arial" w:cs="Arial"/>
          <w:color w:val="auto"/>
          <w:sz w:val="24"/>
          <w:szCs w:val="24"/>
        </w:rPr>
        <w:t>, a ich poziom ogólności jest zbliżony.</w:t>
      </w:r>
    </w:p>
    <w:p w14:paraId="6FFAEA05" w14:textId="77777777" w:rsidR="00884D3D" w:rsidRPr="00237760" w:rsidRDefault="00884D3D" w:rsidP="009367B4">
      <w:pPr>
        <w:jc w:val="left"/>
        <w:rPr>
          <w:rFonts w:ascii="Arial" w:hAnsi="Arial" w:cs="Arial"/>
          <w:color w:val="auto"/>
          <w:sz w:val="24"/>
          <w:szCs w:val="24"/>
        </w:rPr>
      </w:pPr>
      <w:r w:rsidRPr="00237760">
        <w:rPr>
          <w:rFonts w:ascii="Arial" w:hAnsi="Arial" w:cs="Arial"/>
          <w:color w:val="auto"/>
          <w:sz w:val="24"/>
          <w:szCs w:val="24"/>
        </w:rPr>
        <w:t>Następna część dokumentu, czyli system wdrażania i realizacji programu, zawiera niezbędne informacje o podmiotach angażowanych w prace nad PSRT, podmioty odpowiedzialne za realizacje programu, a także informacje o ich finansowanie razem z prognozą wydatków w perspektywie następnych lat. Przedstawione informacje uwzględniają rolę poszczególnych podmiotów w odniesieniu do rodzaju inwestycji. Kryteria wyboru projektów odnoszą się do wymagań zawartych w dokumentach unijnych, do których wcześniej nawiązywano. Perspektywa finansowa jest dostosowana bezpośrednio do poszczególnych celów. Zatem ten rozdział bezpośrednio nawiązuje do wcześniejszych ustaleń.</w:t>
      </w:r>
    </w:p>
    <w:p w14:paraId="07F0A6C0" w14:textId="77777777" w:rsidR="00884D3D" w:rsidRPr="00237760" w:rsidRDefault="00884D3D" w:rsidP="009367B4">
      <w:pPr>
        <w:jc w:val="left"/>
        <w:rPr>
          <w:rFonts w:ascii="Arial" w:hAnsi="Arial" w:cs="Arial"/>
          <w:color w:val="auto"/>
          <w:sz w:val="24"/>
          <w:szCs w:val="24"/>
        </w:rPr>
      </w:pPr>
      <w:r w:rsidRPr="00237760">
        <w:rPr>
          <w:rFonts w:ascii="Arial" w:hAnsi="Arial" w:cs="Arial"/>
          <w:color w:val="auto"/>
          <w:sz w:val="24"/>
          <w:szCs w:val="24"/>
        </w:rPr>
        <w:t>Uzupełnienie dokumentu stanowią spisy rysunków, wykresów, tabel, słowniczek, objaśnienia metodologiczne i załączniki. Spisy są zgodne ze stanem rzeczywistym w programie. Słowniczek dobrze uzupełnia dokument, tłumacząc zwroty pojawiające się w tekście lub przydatne do interpretacji dokumentu. Objaśnienia metodologiczne, aneks i załączniki stanowią pogłębienie kwestii poruszanych wcześniej w opracowaniu.</w:t>
      </w:r>
    </w:p>
    <w:p w14:paraId="3639BAA4" w14:textId="68285104" w:rsidR="00884D3D" w:rsidRPr="00237760" w:rsidRDefault="00884D3D" w:rsidP="009367B4">
      <w:pPr>
        <w:jc w:val="left"/>
        <w:rPr>
          <w:rFonts w:ascii="Arial" w:hAnsi="Arial" w:cs="Arial"/>
          <w:bCs/>
          <w:color w:val="auto"/>
          <w:sz w:val="24"/>
          <w:szCs w:val="24"/>
        </w:rPr>
      </w:pPr>
      <w:r w:rsidRPr="00237760">
        <w:rPr>
          <w:rFonts w:ascii="Arial" w:hAnsi="Arial" w:cs="Arial"/>
          <w:bCs/>
          <w:color w:val="auto"/>
          <w:sz w:val="24"/>
          <w:szCs w:val="24"/>
        </w:rPr>
        <w:t>Pod względem struktury i treści poszczególnych rozdziałów, poza nielicznymi wyjątkami, dokument jest spójny wewnętrznie</w:t>
      </w:r>
      <w:r w:rsidR="004045B8" w:rsidRPr="00237760">
        <w:rPr>
          <w:rFonts w:ascii="Arial" w:hAnsi="Arial" w:cs="Arial"/>
          <w:bCs/>
          <w:color w:val="auto"/>
          <w:sz w:val="24"/>
          <w:szCs w:val="24"/>
        </w:rPr>
        <w:t xml:space="preserve"> i</w:t>
      </w:r>
      <w:r w:rsidRPr="00237760">
        <w:rPr>
          <w:rFonts w:ascii="Arial" w:hAnsi="Arial" w:cs="Arial"/>
          <w:bCs/>
          <w:color w:val="auto"/>
          <w:sz w:val="24"/>
          <w:szCs w:val="24"/>
        </w:rPr>
        <w:t xml:space="preserve"> zachowane są logiczne powiązania</w:t>
      </w:r>
      <w:r w:rsidR="009D3D39" w:rsidRPr="00237760">
        <w:rPr>
          <w:rFonts w:ascii="Arial" w:hAnsi="Arial" w:cs="Arial"/>
          <w:bCs/>
          <w:color w:val="auto"/>
          <w:sz w:val="24"/>
          <w:szCs w:val="24"/>
        </w:rPr>
        <w:t>.</w:t>
      </w:r>
    </w:p>
    <w:p w14:paraId="79584DC7" w14:textId="77777777" w:rsidR="00884D3D" w:rsidRPr="00237760" w:rsidRDefault="00884D3D" w:rsidP="009367B4">
      <w:pPr>
        <w:jc w:val="left"/>
        <w:rPr>
          <w:rFonts w:ascii="Arial" w:hAnsi="Arial" w:cs="Arial"/>
          <w:b/>
          <w:bCs/>
          <w:color w:val="auto"/>
          <w:sz w:val="24"/>
          <w:szCs w:val="24"/>
        </w:rPr>
      </w:pPr>
      <w:bookmarkStart w:id="287" w:name="_Hlk101365384"/>
      <w:r w:rsidRPr="00237760">
        <w:rPr>
          <w:rFonts w:ascii="Arial" w:hAnsi="Arial" w:cs="Arial"/>
          <w:b/>
          <w:bCs/>
          <w:color w:val="auto"/>
          <w:sz w:val="24"/>
          <w:szCs w:val="24"/>
        </w:rPr>
        <w:t>Poprawność językowa i techniczna</w:t>
      </w:r>
    </w:p>
    <w:p w14:paraId="59D3EA5C" w14:textId="77777777" w:rsidR="00A3022D" w:rsidRPr="00237760" w:rsidRDefault="00884D3D" w:rsidP="009367B4">
      <w:pPr>
        <w:jc w:val="left"/>
        <w:rPr>
          <w:rFonts w:ascii="Arial" w:hAnsi="Arial" w:cs="Arial"/>
          <w:color w:val="auto"/>
          <w:sz w:val="24"/>
          <w:szCs w:val="24"/>
        </w:rPr>
      </w:pPr>
      <w:r w:rsidRPr="00237760">
        <w:rPr>
          <w:rFonts w:ascii="Arial" w:hAnsi="Arial" w:cs="Arial"/>
          <w:color w:val="auto"/>
          <w:sz w:val="24"/>
          <w:szCs w:val="24"/>
        </w:rPr>
        <w:t xml:space="preserve">W zakresie języka używanego w </w:t>
      </w:r>
      <w:r w:rsidR="00F311FF" w:rsidRPr="00237760">
        <w:rPr>
          <w:rFonts w:ascii="Arial" w:hAnsi="Arial" w:cs="Arial"/>
          <w:color w:val="auto"/>
          <w:sz w:val="24"/>
          <w:szCs w:val="24"/>
        </w:rPr>
        <w:t>PSRT WP</w:t>
      </w:r>
      <w:r w:rsidR="00427196" w:rsidRPr="00237760">
        <w:rPr>
          <w:rFonts w:ascii="Arial" w:hAnsi="Arial" w:cs="Arial"/>
          <w:color w:val="auto"/>
          <w:sz w:val="24"/>
          <w:szCs w:val="24"/>
        </w:rPr>
        <w:t xml:space="preserve"> </w:t>
      </w:r>
      <w:r w:rsidRPr="00237760">
        <w:rPr>
          <w:rFonts w:ascii="Arial" w:hAnsi="Arial" w:cs="Arial"/>
          <w:color w:val="auto"/>
          <w:sz w:val="24"/>
          <w:szCs w:val="24"/>
        </w:rPr>
        <w:t xml:space="preserve">można stwierdzić, że </w:t>
      </w:r>
      <w:r w:rsidRPr="00237760">
        <w:rPr>
          <w:rFonts w:ascii="Arial" w:hAnsi="Arial" w:cs="Arial"/>
          <w:bCs/>
          <w:color w:val="auto"/>
          <w:sz w:val="24"/>
          <w:szCs w:val="24"/>
        </w:rPr>
        <w:t>dokument jest napisany w sposób zrozumiały i czytelny.</w:t>
      </w:r>
      <w:r w:rsidRPr="00237760">
        <w:rPr>
          <w:rFonts w:ascii="Arial" w:hAnsi="Arial" w:cs="Arial"/>
          <w:color w:val="auto"/>
          <w:sz w:val="24"/>
          <w:szCs w:val="24"/>
        </w:rPr>
        <w:t xml:space="preserve"> </w:t>
      </w:r>
      <w:r w:rsidR="00A3022D" w:rsidRPr="00237760">
        <w:rPr>
          <w:rFonts w:ascii="Arial" w:hAnsi="Arial" w:cs="Arial"/>
          <w:color w:val="auto"/>
          <w:sz w:val="24"/>
          <w:szCs w:val="24"/>
        </w:rPr>
        <w:t>Poprawność językowa jest zapewniona, poza pewnymi wyjątkami, takimi jak:</w:t>
      </w:r>
    </w:p>
    <w:p w14:paraId="31D2B2F0" w14:textId="6CD0EFD5" w:rsidR="00A3022D" w:rsidRPr="00237760" w:rsidRDefault="00A3022D" w:rsidP="009367B4">
      <w:pPr>
        <w:pStyle w:val="Akapitzlist"/>
        <w:numPr>
          <w:ilvl w:val="0"/>
          <w:numId w:val="42"/>
        </w:numPr>
        <w:spacing w:line="259" w:lineRule="auto"/>
        <w:contextualSpacing/>
        <w:jc w:val="left"/>
        <w:rPr>
          <w:rFonts w:ascii="Arial" w:hAnsi="Arial" w:cs="Arial"/>
          <w:color w:val="auto"/>
          <w:sz w:val="24"/>
          <w:szCs w:val="24"/>
        </w:rPr>
      </w:pPr>
      <w:r w:rsidRPr="00237760">
        <w:rPr>
          <w:rFonts w:ascii="Arial" w:hAnsi="Arial" w:cs="Arial"/>
          <w:color w:val="auto"/>
          <w:sz w:val="24"/>
          <w:szCs w:val="24"/>
        </w:rPr>
        <w:t>użycie sformułowania „ilość wypadków drogowych” zamiast „liczba wypadków drogowych” (w tekście na str. 61);</w:t>
      </w:r>
    </w:p>
    <w:p w14:paraId="7B27655E" w14:textId="77777777" w:rsidR="00A3022D" w:rsidRPr="00237760" w:rsidRDefault="00A3022D" w:rsidP="009367B4">
      <w:pPr>
        <w:pStyle w:val="Akapitzlist"/>
        <w:numPr>
          <w:ilvl w:val="0"/>
          <w:numId w:val="42"/>
        </w:numPr>
        <w:spacing w:line="259" w:lineRule="auto"/>
        <w:contextualSpacing/>
        <w:jc w:val="left"/>
        <w:rPr>
          <w:rFonts w:ascii="Arial" w:hAnsi="Arial" w:cs="Arial"/>
          <w:color w:val="auto"/>
          <w:sz w:val="24"/>
          <w:szCs w:val="24"/>
        </w:rPr>
      </w:pPr>
      <w:r w:rsidRPr="00237760">
        <w:rPr>
          <w:rFonts w:ascii="Arial" w:hAnsi="Arial" w:cs="Arial"/>
          <w:color w:val="auto"/>
          <w:sz w:val="24"/>
          <w:szCs w:val="24"/>
        </w:rPr>
        <w:t>użycie sformułowania „zmiany klimatyczne” zamiast „zmiany klimatu” (w tekście na str. 94);</w:t>
      </w:r>
    </w:p>
    <w:p w14:paraId="792FA697" w14:textId="64FC79F7" w:rsidR="00884D3D" w:rsidRPr="00237760" w:rsidRDefault="00884D3D" w:rsidP="009367B4">
      <w:pPr>
        <w:jc w:val="left"/>
        <w:rPr>
          <w:rFonts w:ascii="Arial" w:hAnsi="Arial" w:cs="Arial"/>
          <w:color w:val="auto"/>
          <w:sz w:val="24"/>
          <w:szCs w:val="24"/>
        </w:rPr>
      </w:pPr>
      <w:r w:rsidRPr="00237760">
        <w:rPr>
          <w:rFonts w:ascii="Arial" w:hAnsi="Arial" w:cs="Arial"/>
          <w:bCs/>
          <w:color w:val="auto"/>
          <w:sz w:val="24"/>
          <w:szCs w:val="24"/>
        </w:rPr>
        <w:t>Technicznie dokument jest wykonany poprawnie.</w:t>
      </w:r>
      <w:r w:rsidRPr="00237760">
        <w:rPr>
          <w:rFonts w:ascii="Arial" w:hAnsi="Arial" w:cs="Arial"/>
          <w:color w:val="auto"/>
          <w:sz w:val="24"/>
          <w:szCs w:val="24"/>
        </w:rPr>
        <w:t xml:space="preserve"> Występują </w:t>
      </w:r>
      <w:r w:rsidR="002E61F0" w:rsidRPr="00237760">
        <w:rPr>
          <w:rFonts w:ascii="Arial" w:hAnsi="Arial" w:cs="Arial"/>
          <w:color w:val="auto"/>
          <w:sz w:val="24"/>
          <w:szCs w:val="24"/>
        </w:rPr>
        <w:t>pojedyncze</w:t>
      </w:r>
      <w:r w:rsidRPr="00237760">
        <w:rPr>
          <w:rFonts w:ascii="Arial" w:hAnsi="Arial" w:cs="Arial"/>
          <w:color w:val="auto"/>
          <w:sz w:val="24"/>
          <w:szCs w:val="24"/>
        </w:rPr>
        <w:t xml:space="preserve"> błędy</w:t>
      </w:r>
      <w:r w:rsidR="00DD7CAA" w:rsidRPr="00237760">
        <w:rPr>
          <w:rFonts w:ascii="Arial" w:hAnsi="Arial" w:cs="Arial"/>
          <w:color w:val="auto"/>
          <w:sz w:val="24"/>
          <w:szCs w:val="24"/>
        </w:rPr>
        <w:t xml:space="preserve"> (</w:t>
      </w:r>
      <w:r w:rsidRPr="00237760">
        <w:rPr>
          <w:rFonts w:ascii="Arial" w:hAnsi="Arial" w:cs="Arial"/>
          <w:color w:val="auto"/>
          <w:sz w:val="24"/>
          <w:szCs w:val="24"/>
        </w:rPr>
        <w:t>na przykład</w:t>
      </w:r>
      <w:r w:rsidR="002E61F0" w:rsidRPr="00237760">
        <w:rPr>
          <w:rFonts w:ascii="Arial" w:hAnsi="Arial" w:cs="Arial"/>
          <w:color w:val="auto"/>
          <w:sz w:val="24"/>
          <w:szCs w:val="24"/>
        </w:rPr>
        <w:t xml:space="preserve"> brak numeracji </w:t>
      </w:r>
      <w:r w:rsidR="00602632" w:rsidRPr="00237760">
        <w:rPr>
          <w:rFonts w:ascii="Arial" w:hAnsi="Arial" w:cs="Arial"/>
          <w:color w:val="auto"/>
          <w:sz w:val="24"/>
          <w:szCs w:val="24"/>
        </w:rPr>
        <w:t xml:space="preserve">celów horyzontalnych </w:t>
      </w:r>
      <w:r w:rsidR="00717665" w:rsidRPr="00237760">
        <w:rPr>
          <w:rFonts w:ascii="Arial" w:hAnsi="Arial" w:cs="Arial"/>
          <w:color w:val="auto"/>
          <w:sz w:val="24"/>
          <w:szCs w:val="24"/>
        </w:rPr>
        <w:t xml:space="preserve">w rysunku 48 na </w:t>
      </w:r>
      <w:r w:rsidR="00F47A0B" w:rsidRPr="00237760">
        <w:rPr>
          <w:rFonts w:ascii="Arial" w:hAnsi="Arial" w:cs="Arial"/>
          <w:color w:val="auto"/>
          <w:sz w:val="24"/>
          <w:szCs w:val="24"/>
        </w:rPr>
        <w:t>str.</w:t>
      </w:r>
      <w:r w:rsidR="00717665" w:rsidRPr="00237760">
        <w:rPr>
          <w:rFonts w:ascii="Arial" w:hAnsi="Arial" w:cs="Arial"/>
          <w:color w:val="auto"/>
          <w:sz w:val="24"/>
          <w:szCs w:val="24"/>
        </w:rPr>
        <w:t xml:space="preserve"> 107</w:t>
      </w:r>
      <w:r w:rsidR="00DD7CAA" w:rsidRPr="00237760">
        <w:rPr>
          <w:rFonts w:ascii="Arial" w:hAnsi="Arial" w:cs="Arial"/>
          <w:color w:val="auto"/>
          <w:sz w:val="24"/>
          <w:szCs w:val="24"/>
        </w:rPr>
        <w:t>)</w:t>
      </w:r>
      <w:r w:rsidR="00341086" w:rsidRPr="00237760">
        <w:rPr>
          <w:rFonts w:ascii="Arial" w:hAnsi="Arial" w:cs="Arial"/>
          <w:color w:val="auto"/>
          <w:sz w:val="24"/>
          <w:szCs w:val="24"/>
        </w:rPr>
        <w:t>,</w:t>
      </w:r>
      <w:r w:rsidR="00497A80" w:rsidRPr="00237760">
        <w:rPr>
          <w:rFonts w:ascii="Arial" w:hAnsi="Arial" w:cs="Arial"/>
          <w:color w:val="auto"/>
          <w:sz w:val="24"/>
          <w:szCs w:val="24"/>
        </w:rPr>
        <w:t xml:space="preserve"> jednak nie są</w:t>
      </w:r>
      <w:r w:rsidR="00DD7CAA" w:rsidRPr="00237760">
        <w:rPr>
          <w:rFonts w:ascii="Arial" w:hAnsi="Arial" w:cs="Arial"/>
          <w:color w:val="auto"/>
          <w:sz w:val="24"/>
          <w:szCs w:val="24"/>
        </w:rPr>
        <w:t xml:space="preserve"> one</w:t>
      </w:r>
      <w:r w:rsidR="00497A80" w:rsidRPr="00237760">
        <w:rPr>
          <w:rFonts w:ascii="Arial" w:hAnsi="Arial" w:cs="Arial"/>
          <w:color w:val="auto"/>
          <w:sz w:val="24"/>
          <w:szCs w:val="24"/>
        </w:rPr>
        <w:t xml:space="preserve"> liczne.</w:t>
      </w:r>
      <w:r w:rsidRPr="00237760">
        <w:rPr>
          <w:rFonts w:ascii="Arial" w:hAnsi="Arial" w:cs="Arial"/>
          <w:color w:val="auto"/>
          <w:sz w:val="24"/>
          <w:szCs w:val="24"/>
        </w:rPr>
        <w:t xml:space="preserve"> </w:t>
      </w:r>
    </w:p>
    <w:p w14:paraId="78E5641A" w14:textId="35ECF584" w:rsidR="00884D3D" w:rsidRPr="00237760" w:rsidRDefault="003C377C" w:rsidP="009367B4">
      <w:pPr>
        <w:jc w:val="left"/>
        <w:rPr>
          <w:rFonts w:ascii="Arial" w:hAnsi="Arial" w:cs="Arial"/>
          <w:bCs/>
          <w:color w:val="auto"/>
          <w:sz w:val="24"/>
          <w:szCs w:val="24"/>
        </w:rPr>
      </w:pPr>
      <w:r w:rsidRPr="00237760">
        <w:rPr>
          <w:rFonts w:ascii="Arial" w:hAnsi="Arial" w:cs="Arial"/>
          <w:bCs/>
          <w:color w:val="auto"/>
          <w:sz w:val="24"/>
          <w:szCs w:val="24"/>
        </w:rPr>
        <w:t>Przed docelową publikacją zaleca się szczegółową</w:t>
      </w:r>
      <w:r w:rsidR="00884D3D" w:rsidRPr="00237760">
        <w:rPr>
          <w:rFonts w:ascii="Arial" w:hAnsi="Arial" w:cs="Arial"/>
          <w:bCs/>
          <w:color w:val="auto"/>
          <w:sz w:val="24"/>
          <w:szCs w:val="24"/>
        </w:rPr>
        <w:t xml:space="preserve"> redakcję dokumentu </w:t>
      </w:r>
      <w:r w:rsidRPr="00237760">
        <w:rPr>
          <w:rFonts w:ascii="Arial" w:hAnsi="Arial" w:cs="Arial"/>
          <w:bCs/>
          <w:color w:val="auto"/>
          <w:sz w:val="24"/>
          <w:szCs w:val="24"/>
        </w:rPr>
        <w:t xml:space="preserve">w celu wyeliminowania pomniejszych </w:t>
      </w:r>
      <w:r w:rsidR="00050E78" w:rsidRPr="00237760">
        <w:rPr>
          <w:rFonts w:ascii="Arial" w:hAnsi="Arial" w:cs="Arial"/>
          <w:bCs/>
          <w:color w:val="auto"/>
          <w:sz w:val="24"/>
          <w:szCs w:val="24"/>
        </w:rPr>
        <w:t>błędów</w:t>
      </w:r>
      <w:bookmarkEnd w:id="287"/>
      <w:r w:rsidR="00884D3D" w:rsidRPr="00237760">
        <w:rPr>
          <w:rFonts w:ascii="Arial" w:hAnsi="Arial" w:cs="Arial"/>
          <w:bCs/>
          <w:color w:val="auto"/>
          <w:sz w:val="24"/>
          <w:szCs w:val="24"/>
        </w:rPr>
        <w:t>.</w:t>
      </w:r>
    </w:p>
    <w:p w14:paraId="7367A21D" w14:textId="2CF1E00C" w:rsidR="00E01BD9" w:rsidRPr="00237760" w:rsidRDefault="00A8464D" w:rsidP="009367B4">
      <w:pPr>
        <w:spacing w:after="160" w:line="259" w:lineRule="auto"/>
        <w:jc w:val="left"/>
        <w:rPr>
          <w:rFonts w:ascii="Arial" w:hAnsi="Arial" w:cs="Arial"/>
          <w:color w:val="auto"/>
          <w:sz w:val="24"/>
          <w:szCs w:val="24"/>
          <w:lang w:eastAsia="pl-PL"/>
        </w:rPr>
      </w:pPr>
      <w:r w:rsidRPr="00237760">
        <w:rPr>
          <w:rFonts w:ascii="Arial" w:hAnsi="Arial" w:cs="Arial"/>
          <w:color w:val="auto"/>
          <w:sz w:val="24"/>
          <w:szCs w:val="24"/>
          <w:lang w:eastAsia="pl-PL"/>
        </w:rPr>
        <w:br w:type="page"/>
      </w:r>
    </w:p>
    <w:p w14:paraId="18E1D71B" w14:textId="12D9E9EF" w:rsidR="00C275CA" w:rsidRPr="00237760" w:rsidRDefault="006125F5" w:rsidP="009367B4">
      <w:pPr>
        <w:pStyle w:val="Nagwek1"/>
        <w:rPr>
          <w:rFonts w:ascii="Arial" w:hAnsi="Arial" w:cs="Arial"/>
          <w:color w:val="auto"/>
          <w:sz w:val="24"/>
          <w:szCs w:val="24"/>
        </w:rPr>
      </w:pPr>
      <w:bookmarkStart w:id="288" w:name="_Toc89524206"/>
      <w:bookmarkStart w:id="289" w:name="_Toc89589800"/>
      <w:bookmarkStart w:id="290" w:name="_Toc90226517"/>
      <w:bookmarkStart w:id="291" w:name="_Toc101904171"/>
      <w:r w:rsidRPr="00237760">
        <w:rPr>
          <w:rFonts w:ascii="Arial" w:hAnsi="Arial" w:cs="Arial"/>
          <w:color w:val="auto"/>
          <w:sz w:val="24"/>
          <w:szCs w:val="24"/>
        </w:rPr>
        <w:lastRenderedPageBreak/>
        <w:t>Wnioski</w:t>
      </w:r>
      <w:r w:rsidR="002D14D8" w:rsidRPr="00237760">
        <w:rPr>
          <w:rFonts w:ascii="Arial" w:hAnsi="Arial" w:cs="Arial"/>
          <w:color w:val="auto"/>
          <w:sz w:val="24"/>
          <w:szCs w:val="24"/>
        </w:rPr>
        <w:t xml:space="preserve"> i rekomendacje</w:t>
      </w:r>
      <w:bookmarkEnd w:id="288"/>
      <w:bookmarkEnd w:id="289"/>
      <w:bookmarkEnd w:id="290"/>
      <w:bookmarkEnd w:id="291"/>
    </w:p>
    <w:p w14:paraId="6FC509C2" w14:textId="79423C33" w:rsidR="007E2A13" w:rsidRPr="00237760" w:rsidRDefault="00CC30B8"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 xml:space="preserve">Biorąc pod uwagę przeprowadzone analizy </w:t>
      </w:r>
      <w:r w:rsidR="00A20180" w:rsidRPr="00237760">
        <w:rPr>
          <w:rFonts w:ascii="Arial" w:hAnsi="Arial" w:cs="Arial"/>
          <w:color w:val="auto"/>
          <w:sz w:val="24"/>
          <w:szCs w:val="24"/>
          <w:lang w:eastAsia="pl-PL"/>
        </w:rPr>
        <w:t xml:space="preserve">oraz </w:t>
      </w:r>
      <w:r w:rsidRPr="00237760">
        <w:rPr>
          <w:rFonts w:ascii="Arial" w:hAnsi="Arial" w:cs="Arial"/>
          <w:color w:val="auto"/>
          <w:sz w:val="24"/>
          <w:szCs w:val="24"/>
          <w:lang w:eastAsia="pl-PL"/>
        </w:rPr>
        <w:t xml:space="preserve">odpowiedzi na </w:t>
      </w:r>
      <w:r w:rsidR="000C19F3" w:rsidRPr="00237760">
        <w:rPr>
          <w:rFonts w:ascii="Arial" w:hAnsi="Arial" w:cs="Arial"/>
          <w:color w:val="auto"/>
          <w:sz w:val="24"/>
          <w:szCs w:val="24"/>
          <w:lang w:eastAsia="pl-PL"/>
        </w:rPr>
        <w:t xml:space="preserve">poszczególne pytania ewaluacyjne </w:t>
      </w:r>
      <w:r w:rsidR="00A20180" w:rsidRPr="00237760">
        <w:rPr>
          <w:rFonts w:ascii="Arial" w:hAnsi="Arial" w:cs="Arial"/>
          <w:color w:val="auto"/>
          <w:sz w:val="24"/>
          <w:szCs w:val="24"/>
          <w:lang w:eastAsia="pl-PL"/>
        </w:rPr>
        <w:t xml:space="preserve">można </w:t>
      </w:r>
      <w:r w:rsidR="004155E5" w:rsidRPr="00237760">
        <w:rPr>
          <w:rFonts w:ascii="Arial" w:hAnsi="Arial" w:cs="Arial"/>
          <w:color w:val="auto"/>
          <w:sz w:val="24"/>
          <w:szCs w:val="24"/>
          <w:lang w:eastAsia="pl-PL"/>
        </w:rPr>
        <w:t xml:space="preserve">sformułować </w:t>
      </w:r>
      <w:r w:rsidR="007E2A13" w:rsidRPr="00237760">
        <w:rPr>
          <w:rFonts w:ascii="Arial" w:hAnsi="Arial" w:cs="Arial"/>
          <w:color w:val="auto"/>
          <w:sz w:val="24"/>
          <w:szCs w:val="24"/>
          <w:lang w:eastAsia="pl-PL"/>
        </w:rPr>
        <w:t>generalny wniosek, że</w:t>
      </w:r>
      <w:r w:rsidR="00C80AFE" w:rsidRPr="00237760">
        <w:rPr>
          <w:rFonts w:ascii="Arial" w:hAnsi="Arial" w:cs="Arial"/>
          <w:color w:val="auto"/>
          <w:sz w:val="24"/>
          <w:szCs w:val="24"/>
          <w:lang w:eastAsia="pl-PL"/>
        </w:rPr>
        <w:t xml:space="preserve"> </w:t>
      </w:r>
      <w:r w:rsidR="00105837" w:rsidRPr="00237760">
        <w:rPr>
          <w:rFonts w:ascii="Arial" w:hAnsi="Arial" w:cs="Arial"/>
          <w:color w:val="auto"/>
          <w:sz w:val="24"/>
          <w:szCs w:val="24"/>
          <w:lang w:eastAsia="pl-PL"/>
        </w:rPr>
        <w:t xml:space="preserve">oceniany Program stanowi wysokiej jakości dokument, przygotowany </w:t>
      </w:r>
      <w:r w:rsidR="00D1724E" w:rsidRPr="00237760">
        <w:rPr>
          <w:rFonts w:ascii="Arial" w:hAnsi="Arial" w:cs="Arial"/>
          <w:color w:val="auto"/>
          <w:sz w:val="24"/>
          <w:szCs w:val="24"/>
          <w:lang w:eastAsia="pl-PL"/>
        </w:rPr>
        <w:t xml:space="preserve">rzetelnie i zgodnie ze sztuką oraz dobrymi praktykami tworzenia </w:t>
      </w:r>
      <w:r w:rsidR="005A42B3" w:rsidRPr="00237760">
        <w:rPr>
          <w:rFonts w:ascii="Arial" w:hAnsi="Arial" w:cs="Arial"/>
          <w:color w:val="auto"/>
          <w:sz w:val="24"/>
          <w:szCs w:val="24"/>
          <w:lang w:eastAsia="pl-PL"/>
        </w:rPr>
        <w:t>tego typu dokumentów.</w:t>
      </w:r>
    </w:p>
    <w:p w14:paraId="0928F9DB" w14:textId="78866416" w:rsidR="00C80AFE" w:rsidRPr="00237760" w:rsidRDefault="00C80AFE"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Zastosowane</w:t>
      </w:r>
      <w:r w:rsidR="005A42B3" w:rsidRPr="00237760">
        <w:rPr>
          <w:rFonts w:ascii="Arial" w:hAnsi="Arial" w:cs="Arial"/>
          <w:color w:val="auto"/>
          <w:sz w:val="24"/>
          <w:szCs w:val="24"/>
          <w:lang w:eastAsia="pl-PL"/>
        </w:rPr>
        <w:t xml:space="preserve"> metody </w:t>
      </w:r>
      <w:r w:rsidRPr="00237760">
        <w:rPr>
          <w:rFonts w:ascii="Arial" w:hAnsi="Arial" w:cs="Arial"/>
          <w:color w:val="auto"/>
          <w:sz w:val="24"/>
          <w:szCs w:val="24"/>
          <w:lang w:eastAsia="pl-PL"/>
        </w:rPr>
        <w:t>badawcz</w:t>
      </w:r>
      <w:r w:rsidR="005A42B3" w:rsidRPr="00237760">
        <w:rPr>
          <w:rFonts w:ascii="Arial" w:hAnsi="Arial" w:cs="Arial"/>
          <w:color w:val="auto"/>
          <w:sz w:val="24"/>
          <w:szCs w:val="24"/>
          <w:lang w:eastAsia="pl-PL"/>
        </w:rPr>
        <w:t xml:space="preserve">e pozwoliły odpowiedzieć </w:t>
      </w:r>
      <w:r w:rsidR="006E1430" w:rsidRPr="00237760">
        <w:rPr>
          <w:rFonts w:ascii="Arial" w:hAnsi="Arial" w:cs="Arial"/>
          <w:color w:val="auto"/>
          <w:sz w:val="24"/>
          <w:szCs w:val="24"/>
          <w:lang w:eastAsia="pl-PL"/>
        </w:rPr>
        <w:t xml:space="preserve">pozytywnie na </w:t>
      </w:r>
      <w:r w:rsidRPr="00237760">
        <w:rPr>
          <w:rFonts w:ascii="Arial" w:hAnsi="Arial" w:cs="Arial"/>
          <w:color w:val="auto"/>
          <w:sz w:val="24"/>
          <w:szCs w:val="24"/>
          <w:lang w:eastAsia="pl-PL"/>
        </w:rPr>
        <w:t>wszystkie z trzynastu pytań ewaluacyjnych</w:t>
      </w:r>
      <w:r w:rsidR="006E1430" w:rsidRPr="00237760">
        <w:rPr>
          <w:rFonts w:ascii="Arial" w:hAnsi="Arial" w:cs="Arial"/>
          <w:color w:val="auto"/>
          <w:sz w:val="24"/>
          <w:szCs w:val="24"/>
          <w:lang w:eastAsia="pl-PL"/>
        </w:rPr>
        <w:t xml:space="preserve">. </w:t>
      </w:r>
      <w:r w:rsidR="00E40531" w:rsidRPr="00237760">
        <w:rPr>
          <w:rFonts w:ascii="Arial" w:hAnsi="Arial" w:cs="Arial"/>
          <w:color w:val="auto"/>
          <w:sz w:val="24"/>
          <w:szCs w:val="24"/>
          <w:lang w:eastAsia="pl-PL"/>
        </w:rPr>
        <w:t>Do k</w:t>
      </w:r>
      <w:r w:rsidRPr="00237760">
        <w:rPr>
          <w:rFonts w:ascii="Arial" w:hAnsi="Arial" w:cs="Arial"/>
          <w:color w:val="auto"/>
          <w:sz w:val="24"/>
          <w:szCs w:val="24"/>
          <w:lang w:eastAsia="pl-PL"/>
        </w:rPr>
        <w:t>luczow</w:t>
      </w:r>
      <w:r w:rsidR="00E40531" w:rsidRPr="00237760">
        <w:rPr>
          <w:rFonts w:ascii="Arial" w:hAnsi="Arial" w:cs="Arial"/>
          <w:color w:val="auto"/>
          <w:sz w:val="24"/>
          <w:szCs w:val="24"/>
          <w:lang w:eastAsia="pl-PL"/>
        </w:rPr>
        <w:t xml:space="preserve">ych </w:t>
      </w:r>
      <w:r w:rsidRPr="00237760">
        <w:rPr>
          <w:rFonts w:ascii="Arial" w:hAnsi="Arial" w:cs="Arial"/>
          <w:color w:val="auto"/>
          <w:sz w:val="24"/>
          <w:szCs w:val="24"/>
          <w:lang w:eastAsia="pl-PL"/>
        </w:rPr>
        <w:t xml:space="preserve">cech </w:t>
      </w:r>
      <w:r w:rsidRPr="00237760">
        <w:rPr>
          <w:rFonts w:ascii="Arial" w:hAnsi="Arial" w:cs="Arial"/>
          <w:i/>
          <w:color w:val="auto"/>
          <w:sz w:val="24"/>
          <w:szCs w:val="24"/>
          <w:lang w:eastAsia="pl-PL"/>
        </w:rPr>
        <w:t>Programu Strategicznego Rozwoju Transportu Województwa Podkarpackiego do roku 203</w:t>
      </w:r>
      <w:r w:rsidRPr="00237760">
        <w:rPr>
          <w:rFonts w:ascii="Arial" w:hAnsi="Arial" w:cs="Arial"/>
          <w:color w:val="auto"/>
          <w:sz w:val="24"/>
          <w:szCs w:val="24"/>
          <w:lang w:eastAsia="pl-PL"/>
        </w:rPr>
        <w:t xml:space="preserve">0 </w:t>
      </w:r>
      <w:r w:rsidR="00E40531" w:rsidRPr="00237760">
        <w:rPr>
          <w:rFonts w:ascii="Arial" w:hAnsi="Arial" w:cs="Arial"/>
          <w:color w:val="auto"/>
          <w:sz w:val="24"/>
          <w:szCs w:val="24"/>
          <w:lang w:eastAsia="pl-PL"/>
        </w:rPr>
        <w:t>zaliczyć należy</w:t>
      </w:r>
      <w:r w:rsidRPr="00237760">
        <w:rPr>
          <w:rFonts w:ascii="Arial" w:hAnsi="Arial" w:cs="Arial"/>
          <w:color w:val="auto"/>
          <w:sz w:val="24"/>
          <w:szCs w:val="24"/>
          <w:lang w:eastAsia="pl-PL"/>
        </w:rPr>
        <w:t>:</w:t>
      </w:r>
    </w:p>
    <w:p w14:paraId="04060F51" w14:textId="27146908" w:rsidR="00C80AFE" w:rsidRPr="00237760" w:rsidRDefault="00C80AFE" w:rsidP="009367B4">
      <w:pPr>
        <w:pStyle w:val="Akapitzlist"/>
        <w:numPr>
          <w:ilvl w:val="0"/>
          <w:numId w:val="61"/>
        </w:numPr>
        <w:ind w:left="426" w:hanging="294"/>
        <w:jc w:val="left"/>
        <w:rPr>
          <w:rFonts w:ascii="Arial" w:hAnsi="Arial" w:cs="Arial"/>
          <w:color w:val="auto"/>
          <w:sz w:val="24"/>
          <w:szCs w:val="24"/>
        </w:rPr>
      </w:pPr>
      <w:r w:rsidRPr="00237760">
        <w:rPr>
          <w:rFonts w:ascii="Arial" w:hAnsi="Arial" w:cs="Arial"/>
          <w:b/>
          <w:bCs/>
          <w:color w:val="auto"/>
          <w:sz w:val="24"/>
          <w:szCs w:val="24"/>
        </w:rPr>
        <w:t>Spójność z politykami i dokumentami przygotowywanymi na poziomie Unii Europejskiej i w Polsce</w:t>
      </w:r>
      <w:r w:rsidRPr="00237760">
        <w:rPr>
          <w:rFonts w:ascii="Arial" w:hAnsi="Arial" w:cs="Arial"/>
          <w:color w:val="auto"/>
          <w:sz w:val="24"/>
          <w:szCs w:val="24"/>
        </w:rPr>
        <w:t xml:space="preserve"> – analiza wykazała, że Program spełnia wymogi stawiane tego typu dokumentom powinien przyczynić się do pozyskiwania zasobów zewnętrznych na podniesienie jakości szeroko rozumianego transportu w województwie;</w:t>
      </w:r>
    </w:p>
    <w:p w14:paraId="59E7D070" w14:textId="6CB44873" w:rsidR="00E46C83" w:rsidRPr="00237760" w:rsidRDefault="00E46C83" w:rsidP="009367B4">
      <w:pPr>
        <w:pStyle w:val="Akapitzlist"/>
        <w:numPr>
          <w:ilvl w:val="0"/>
          <w:numId w:val="61"/>
        </w:numPr>
        <w:ind w:left="426" w:hanging="294"/>
        <w:jc w:val="left"/>
        <w:rPr>
          <w:rFonts w:ascii="Arial" w:hAnsi="Arial" w:cs="Arial"/>
          <w:color w:val="auto"/>
          <w:sz w:val="24"/>
          <w:szCs w:val="24"/>
        </w:rPr>
      </w:pPr>
      <w:r w:rsidRPr="00237760">
        <w:rPr>
          <w:rFonts w:ascii="Arial" w:hAnsi="Arial" w:cs="Arial"/>
          <w:b/>
          <w:bCs/>
          <w:color w:val="auto"/>
          <w:sz w:val="24"/>
          <w:szCs w:val="24"/>
        </w:rPr>
        <w:t>Pozytywna implementacja wytycznych J</w:t>
      </w:r>
      <w:r w:rsidR="001A3E63" w:rsidRPr="00237760">
        <w:rPr>
          <w:rFonts w:ascii="Arial" w:hAnsi="Arial" w:cs="Arial"/>
          <w:b/>
          <w:bCs/>
          <w:color w:val="auto"/>
          <w:sz w:val="24"/>
          <w:szCs w:val="24"/>
        </w:rPr>
        <w:t>ASPERS</w:t>
      </w:r>
      <w:r w:rsidRPr="00237760">
        <w:rPr>
          <w:rFonts w:ascii="Arial" w:hAnsi="Arial" w:cs="Arial"/>
          <w:color w:val="auto"/>
          <w:sz w:val="24"/>
          <w:szCs w:val="24"/>
        </w:rPr>
        <w:t xml:space="preserve"> – cecha wymaga szczególnego podkreślenia, ponieważ wdrożenie </w:t>
      </w:r>
      <w:r w:rsidR="00A36E93" w:rsidRPr="00237760">
        <w:rPr>
          <w:rFonts w:ascii="Arial" w:hAnsi="Arial" w:cs="Arial"/>
          <w:color w:val="auto"/>
          <w:sz w:val="24"/>
          <w:szCs w:val="24"/>
        </w:rPr>
        <w:t xml:space="preserve">wytycznych gwarantuje nie tylko właściwe podejście do planowania rozwiązań dotyczących transportu, ale </w:t>
      </w:r>
      <w:r w:rsidR="000221C4" w:rsidRPr="00237760">
        <w:rPr>
          <w:rFonts w:ascii="Arial" w:hAnsi="Arial" w:cs="Arial"/>
          <w:color w:val="auto"/>
          <w:sz w:val="24"/>
          <w:szCs w:val="24"/>
        </w:rPr>
        <w:t>również pozwala</w:t>
      </w:r>
      <w:r w:rsidR="004E4535" w:rsidRPr="00237760">
        <w:rPr>
          <w:rFonts w:ascii="Arial" w:hAnsi="Arial" w:cs="Arial"/>
          <w:color w:val="auto"/>
          <w:sz w:val="24"/>
          <w:szCs w:val="24"/>
        </w:rPr>
        <w:t xml:space="preserve"> zadbać</w:t>
      </w:r>
      <w:r w:rsidR="00EA35DE" w:rsidRPr="00237760">
        <w:rPr>
          <w:rFonts w:ascii="Arial" w:hAnsi="Arial" w:cs="Arial"/>
          <w:color w:val="auto"/>
          <w:sz w:val="24"/>
          <w:szCs w:val="24"/>
        </w:rPr>
        <w:t xml:space="preserve">, z uwzględnieniem specyfiki regionu i kraju, w którym program jest przygotowywany, </w:t>
      </w:r>
      <w:r w:rsidR="004E4535" w:rsidRPr="00237760">
        <w:rPr>
          <w:rFonts w:ascii="Arial" w:hAnsi="Arial" w:cs="Arial"/>
          <w:color w:val="auto"/>
          <w:sz w:val="24"/>
          <w:szCs w:val="24"/>
        </w:rPr>
        <w:t>o jak najlepsze pozytywne efekty oddziaływania transportu na rozwój społeczno-gospodarczy, jakość życia i stan środowiska przyrodniczego</w:t>
      </w:r>
      <w:r w:rsidR="00CB505C" w:rsidRPr="00237760">
        <w:rPr>
          <w:rFonts w:ascii="Arial" w:hAnsi="Arial" w:cs="Arial"/>
          <w:color w:val="auto"/>
          <w:sz w:val="24"/>
          <w:szCs w:val="24"/>
        </w:rPr>
        <w:t xml:space="preserve"> poprzez ograniczanie emisji</w:t>
      </w:r>
      <w:r w:rsidR="00BF67CB" w:rsidRPr="00237760">
        <w:rPr>
          <w:rFonts w:ascii="Arial" w:hAnsi="Arial" w:cs="Arial"/>
          <w:color w:val="auto"/>
          <w:sz w:val="24"/>
          <w:szCs w:val="24"/>
        </w:rPr>
        <w:t>.</w:t>
      </w:r>
      <w:r w:rsidR="00CB505C" w:rsidRPr="00237760">
        <w:rPr>
          <w:rFonts w:ascii="Arial" w:hAnsi="Arial" w:cs="Arial"/>
          <w:color w:val="auto"/>
          <w:sz w:val="24"/>
          <w:szCs w:val="24"/>
        </w:rPr>
        <w:t xml:space="preserve"> </w:t>
      </w:r>
      <w:r w:rsidR="009D3AFB" w:rsidRPr="00237760">
        <w:rPr>
          <w:rFonts w:ascii="Arial" w:hAnsi="Arial" w:cs="Arial"/>
          <w:color w:val="auto"/>
          <w:sz w:val="24"/>
          <w:szCs w:val="24"/>
        </w:rPr>
        <w:t>Zgodnie z oczekiwaniami JASPERS PSRT WP odnosi się do wszystkich wytycznych w zakresie metodyki opracowania regionalnych planów transportowych</w:t>
      </w:r>
      <w:r w:rsidR="00923880" w:rsidRPr="00237760">
        <w:rPr>
          <w:rFonts w:ascii="Arial" w:hAnsi="Arial" w:cs="Arial"/>
          <w:color w:val="auto"/>
          <w:sz w:val="24"/>
          <w:szCs w:val="24"/>
        </w:rPr>
        <w:t>;</w:t>
      </w:r>
    </w:p>
    <w:p w14:paraId="77865836" w14:textId="550E2A54" w:rsidR="00C80AFE" w:rsidRPr="00237760" w:rsidRDefault="00C80AFE" w:rsidP="009367B4">
      <w:pPr>
        <w:pStyle w:val="Akapitzlist"/>
        <w:numPr>
          <w:ilvl w:val="0"/>
          <w:numId w:val="61"/>
        </w:numPr>
        <w:ind w:left="426" w:hanging="294"/>
        <w:jc w:val="left"/>
        <w:rPr>
          <w:rFonts w:ascii="Arial" w:hAnsi="Arial" w:cs="Arial"/>
          <w:color w:val="auto"/>
          <w:sz w:val="24"/>
          <w:szCs w:val="24"/>
        </w:rPr>
      </w:pPr>
      <w:r w:rsidRPr="00237760">
        <w:rPr>
          <w:rFonts w:ascii="Arial" w:hAnsi="Arial" w:cs="Arial"/>
          <w:b/>
          <w:bCs/>
          <w:color w:val="auto"/>
          <w:sz w:val="24"/>
          <w:szCs w:val="24"/>
        </w:rPr>
        <w:t>Silny związek ze Strategią rozwoju województwa – Podkarpackie 2030</w:t>
      </w:r>
      <w:r w:rsidRPr="00237760">
        <w:rPr>
          <w:rFonts w:ascii="Arial" w:hAnsi="Arial" w:cs="Arial"/>
          <w:color w:val="auto"/>
          <w:sz w:val="24"/>
          <w:szCs w:val="24"/>
        </w:rPr>
        <w:t>. Program właściwie i szczegółowo podejmuje kluczowe zagadnienia sformułowane w najważniejszym dokumencie samorządu województwa. Realizacja programy wpłynie na ograniczanie słabości regionu wskazanych w Strategii, a jednocześnie odpowiada na zewnętrzne uwarunkowania rozwoju województwa (określone w szansach i zagrożeniach);</w:t>
      </w:r>
    </w:p>
    <w:p w14:paraId="10ADAA0D" w14:textId="0684DA56" w:rsidR="00C80AFE" w:rsidRPr="00237760" w:rsidRDefault="00C80AFE" w:rsidP="009367B4">
      <w:pPr>
        <w:pStyle w:val="Akapitzlist"/>
        <w:numPr>
          <w:ilvl w:val="0"/>
          <w:numId w:val="61"/>
        </w:numPr>
        <w:ind w:left="426" w:hanging="294"/>
        <w:jc w:val="left"/>
        <w:rPr>
          <w:rFonts w:ascii="Arial" w:hAnsi="Arial" w:cs="Arial"/>
          <w:color w:val="auto"/>
          <w:sz w:val="24"/>
          <w:szCs w:val="24"/>
        </w:rPr>
      </w:pPr>
      <w:r w:rsidRPr="00237760">
        <w:rPr>
          <w:rFonts w:ascii="Arial" w:hAnsi="Arial" w:cs="Arial"/>
          <w:b/>
          <w:bCs/>
          <w:color w:val="auto"/>
          <w:sz w:val="24"/>
          <w:szCs w:val="24"/>
        </w:rPr>
        <w:t>Wyjście naprzeciw oczekiwaniom samorządów lokalnych</w:t>
      </w:r>
      <w:r w:rsidRPr="00237760">
        <w:rPr>
          <w:rFonts w:ascii="Arial" w:hAnsi="Arial" w:cs="Arial"/>
          <w:color w:val="auto"/>
          <w:sz w:val="24"/>
          <w:szCs w:val="24"/>
        </w:rPr>
        <w:t>. Zarówno w układach miejskich obszarów funkcjonalnych, jak i innych obszarów funkcjonalnych, jak Bieszczady, czy „Błękitny San”, a także na poziomie pojedynczych gmin zagadnienia transportu jako czynnika umożliwiającego rozwój należą do kluczowych podejmowanych w strategiach rozwoju.</w:t>
      </w:r>
      <w:r w:rsidR="00C1295D" w:rsidRPr="00237760">
        <w:rPr>
          <w:rFonts w:ascii="Arial" w:hAnsi="Arial" w:cs="Arial"/>
          <w:color w:val="auto"/>
          <w:sz w:val="24"/>
          <w:szCs w:val="24"/>
        </w:rPr>
        <w:t xml:space="preserve"> Należy podkreślić, że cele Programu będą umożliwiały również realizację </w:t>
      </w:r>
      <w:r w:rsidR="00C1295D" w:rsidRPr="00237760">
        <w:rPr>
          <w:rFonts w:ascii="Arial" w:hAnsi="Arial" w:cs="Arial"/>
          <w:i/>
          <w:color w:val="auto"/>
          <w:sz w:val="24"/>
          <w:szCs w:val="24"/>
        </w:rPr>
        <w:t>Planów zrównoważonego rozwoju publicznego transportu zbiorowego</w:t>
      </w:r>
      <w:r w:rsidR="00C1295D" w:rsidRPr="00237760">
        <w:rPr>
          <w:rFonts w:ascii="Arial" w:hAnsi="Arial" w:cs="Arial"/>
          <w:color w:val="auto"/>
          <w:sz w:val="24"/>
          <w:szCs w:val="24"/>
        </w:rPr>
        <w:t xml:space="preserve"> dla powiatów województwa podkarpackiego</w:t>
      </w:r>
      <w:r w:rsidRPr="00237760">
        <w:rPr>
          <w:rFonts w:ascii="Arial" w:hAnsi="Arial" w:cs="Arial"/>
          <w:color w:val="auto"/>
          <w:sz w:val="24"/>
          <w:szCs w:val="24"/>
        </w:rPr>
        <w:t>;</w:t>
      </w:r>
    </w:p>
    <w:p w14:paraId="71616965" w14:textId="0D159788" w:rsidR="00C80AFE" w:rsidRPr="00237760" w:rsidRDefault="00C80AFE" w:rsidP="009367B4">
      <w:pPr>
        <w:pStyle w:val="Akapitzlist"/>
        <w:numPr>
          <w:ilvl w:val="0"/>
          <w:numId w:val="61"/>
        </w:numPr>
        <w:ind w:left="426" w:hanging="294"/>
        <w:jc w:val="left"/>
        <w:rPr>
          <w:rFonts w:ascii="Arial" w:hAnsi="Arial" w:cs="Arial"/>
          <w:color w:val="auto"/>
          <w:sz w:val="24"/>
          <w:szCs w:val="24"/>
        </w:rPr>
      </w:pPr>
      <w:r w:rsidRPr="00237760">
        <w:rPr>
          <w:rFonts w:ascii="Arial" w:hAnsi="Arial" w:cs="Arial"/>
          <w:b/>
          <w:bCs/>
          <w:color w:val="auto"/>
          <w:sz w:val="24"/>
          <w:szCs w:val="24"/>
        </w:rPr>
        <w:t>Zachowaną logikę interwencji uwzględniającą uwarunkowania prawne w Polsce</w:t>
      </w:r>
      <w:r w:rsidRPr="00237760">
        <w:rPr>
          <w:rFonts w:ascii="Arial" w:hAnsi="Arial" w:cs="Arial"/>
          <w:color w:val="auto"/>
          <w:sz w:val="24"/>
          <w:szCs w:val="24"/>
        </w:rPr>
        <w:t xml:space="preserve">. </w:t>
      </w:r>
      <w:r w:rsidR="00B744A8" w:rsidRPr="00237760">
        <w:rPr>
          <w:rFonts w:ascii="Arial" w:hAnsi="Arial" w:cs="Arial"/>
          <w:color w:val="auto"/>
          <w:sz w:val="24"/>
          <w:szCs w:val="24"/>
        </w:rPr>
        <w:t>Program koncentruje się na działaniach, które leżą w gestii samorządu województwa</w:t>
      </w:r>
      <w:r w:rsidR="00DB5596" w:rsidRPr="00237760">
        <w:rPr>
          <w:rFonts w:ascii="Arial" w:hAnsi="Arial" w:cs="Arial"/>
          <w:color w:val="auto"/>
          <w:sz w:val="24"/>
          <w:szCs w:val="24"/>
        </w:rPr>
        <w:t xml:space="preserve">, otwierając jednocześnie możliwości pośredniego oddziaływania na </w:t>
      </w:r>
      <w:r w:rsidR="00DD59E5" w:rsidRPr="00237760">
        <w:rPr>
          <w:rFonts w:ascii="Arial" w:hAnsi="Arial" w:cs="Arial"/>
          <w:color w:val="auto"/>
          <w:sz w:val="24"/>
          <w:szCs w:val="24"/>
        </w:rPr>
        <w:t>te działania, których realizacja zależy od instytucji centralnych;</w:t>
      </w:r>
    </w:p>
    <w:p w14:paraId="674D97C2" w14:textId="406DB2D1" w:rsidR="00A36E0D" w:rsidRPr="00237760" w:rsidRDefault="00A36E0D" w:rsidP="009367B4">
      <w:pPr>
        <w:pStyle w:val="Akapitzlist"/>
        <w:numPr>
          <w:ilvl w:val="0"/>
          <w:numId w:val="61"/>
        </w:numPr>
        <w:ind w:left="426" w:hanging="294"/>
        <w:jc w:val="left"/>
        <w:rPr>
          <w:rFonts w:ascii="Arial" w:hAnsi="Arial" w:cs="Arial"/>
          <w:color w:val="auto"/>
          <w:sz w:val="24"/>
          <w:szCs w:val="24"/>
        </w:rPr>
      </w:pPr>
      <w:r w:rsidRPr="00237760">
        <w:rPr>
          <w:rFonts w:ascii="Arial" w:hAnsi="Arial" w:cs="Arial"/>
          <w:b/>
          <w:bCs/>
          <w:color w:val="auto"/>
          <w:sz w:val="24"/>
          <w:szCs w:val="24"/>
        </w:rPr>
        <w:lastRenderedPageBreak/>
        <w:t>Jasno sprecyzowane kryteria wyboru projektów</w:t>
      </w:r>
      <w:r w:rsidRPr="00237760">
        <w:rPr>
          <w:rFonts w:ascii="Arial" w:hAnsi="Arial" w:cs="Arial"/>
          <w:color w:val="auto"/>
          <w:sz w:val="24"/>
          <w:szCs w:val="24"/>
        </w:rPr>
        <w:t xml:space="preserve"> – pomimo</w:t>
      </w:r>
      <w:r w:rsidR="00016CB5" w:rsidRPr="00237760">
        <w:rPr>
          <w:rFonts w:ascii="Arial" w:hAnsi="Arial" w:cs="Arial"/>
          <w:color w:val="auto"/>
          <w:sz w:val="24"/>
          <w:szCs w:val="24"/>
        </w:rPr>
        <w:t xml:space="preserve"> różnych ocen przyjętego systemu kryteriów wyboru projektów priorytetowych</w:t>
      </w:r>
      <w:r w:rsidR="006A0B40" w:rsidRPr="00237760">
        <w:rPr>
          <w:rFonts w:ascii="Arial" w:hAnsi="Arial" w:cs="Arial"/>
          <w:color w:val="auto"/>
          <w:sz w:val="24"/>
          <w:szCs w:val="24"/>
        </w:rPr>
        <w:t xml:space="preserve"> dokonane rozstrzygnięci</w:t>
      </w:r>
      <w:r w:rsidR="007B4E16" w:rsidRPr="00237760">
        <w:rPr>
          <w:rFonts w:ascii="Arial" w:hAnsi="Arial" w:cs="Arial"/>
          <w:color w:val="auto"/>
          <w:sz w:val="24"/>
          <w:szCs w:val="24"/>
        </w:rPr>
        <w:t>e</w:t>
      </w:r>
      <w:r w:rsidR="006A0B40" w:rsidRPr="00237760">
        <w:rPr>
          <w:rFonts w:ascii="Arial" w:hAnsi="Arial" w:cs="Arial"/>
          <w:color w:val="auto"/>
          <w:sz w:val="24"/>
          <w:szCs w:val="24"/>
        </w:rPr>
        <w:t xml:space="preserve"> preferujące projekty powiązane z siecią TEN-T oraz </w:t>
      </w:r>
      <w:r w:rsidR="005C122E" w:rsidRPr="00237760">
        <w:rPr>
          <w:rFonts w:ascii="Arial" w:hAnsi="Arial" w:cs="Arial"/>
          <w:color w:val="auto"/>
          <w:sz w:val="24"/>
          <w:szCs w:val="24"/>
        </w:rPr>
        <w:t>projekty już rozpoczęte</w:t>
      </w:r>
      <w:r w:rsidR="007B4E16" w:rsidRPr="00237760">
        <w:rPr>
          <w:rFonts w:ascii="Arial" w:hAnsi="Arial" w:cs="Arial"/>
          <w:color w:val="auto"/>
          <w:sz w:val="24"/>
          <w:szCs w:val="24"/>
        </w:rPr>
        <w:t xml:space="preserve"> jest logiczne</w:t>
      </w:r>
      <w:r w:rsidR="000679D0" w:rsidRPr="00237760">
        <w:rPr>
          <w:rFonts w:ascii="Arial" w:hAnsi="Arial" w:cs="Arial"/>
          <w:color w:val="auto"/>
          <w:sz w:val="24"/>
          <w:szCs w:val="24"/>
        </w:rPr>
        <w:t xml:space="preserve"> i uzasadnione z punktu widzenia efektywności</w:t>
      </w:r>
      <w:r w:rsidR="007F6C6F" w:rsidRPr="00237760">
        <w:rPr>
          <w:rFonts w:ascii="Arial" w:hAnsi="Arial" w:cs="Arial"/>
          <w:color w:val="auto"/>
          <w:sz w:val="24"/>
          <w:szCs w:val="24"/>
        </w:rPr>
        <w:t xml:space="preserve"> osiągania celów</w:t>
      </w:r>
      <w:r w:rsidR="000679D0" w:rsidRPr="00237760">
        <w:rPr>
          <w:rFonts w:ascii="Arial" w:hAnsi="Arial" w:cs="Arial"/>
          <w:color w:val="auto"/>
          <w:sz w:val="24"/>
          <w:szCs w:val="24"/>
        </w:rPr>
        <w:t xml:space="preserve"> i </w:t>
      </w:r>
      <w:r w:rsidR="007F6C6F" w:rsidRPr="00237760">
        <w:rPr>
          <w:rFonts w:ascii="Arial" w:hAnsi="Arial" w:cs="Arial"/>
          <w:color w:val="auto"/>
          <w:sz w:val="24"/>
          <w:szCs w:val="24"/>
        </w:rPr>
        <w:t xml:space="preserve">szerszego </w:t>
      </w:r>
      <w:r w:rsidR="000679D0" w:rsidRPr="00237760">
        <w:rPr>
          <w:rFonts w:ascii="Arial" w:hAnsi="Arial" w:cs="Arial"/>
          <w:color w:val="auto"/>
          <w:sz w:val="24"/>
          <w:szCs w:val="24"/>
        </w:rPr>
        <w:t>oddziaływania</w:t>
      </w:r>
      <w:r w:rsidR="007F6C6F" w:rsidRPr="00237760">
        <w:rPr>
          <w:rFonts w:ascii="Arial" w:hAnsi="Arial" w:cs="Arial"/>
          <w:color w:val="auto"/>
          <w:sz w:val="24"/>
          <w:szCs w:val="24"/>
        </w:rPr>
        <w:t xml:space="preserve"> Programu;</w:t>
      </w:r>
      <w:r w:rsidR="00546A70" w:rsidRPr="00237760">
        <w:rPr>
          <w:rFonts w:ascii="Arial" w:hAnsi="Arial" w:cs="Arial"/>
          <w:color w:val="auto"/>
          <w:sz w:val="24"/>
          <w:szCs w:val="24"/>
        </w:rPr>
        <w:t xml:space="preserve"> </w:t>
      </w:r>
    </w:p>
    <w:p w14:paraId="66B0A251" w14:textId="1B0CD044" w:rsidR="00C80AFE" w:rsidRPr="00237760" w:rsidRDefault="00C80AFE" w:rsidP="009367B4">
      <w:pPr>
        <w:pStyle w:val="Akapitzlist"/>
        <w:numPr>
          <w:ilvl w:val="0"/>
          <w:numId w:val="61"/>
        </w:numPr>
        <w:ind w:left="426" w:hanging="294"/>
        <w:jc w:val="left"/>
        <w:rPr>
          <w:rFonts w:ascii="Arial" w:hAnsi="Arial" w:cs="Arial"/>
          <w:color w:val="auto"/>
          <w:sz w:val="24"/>
          <w:szCs w:val="24"/>
        </w:rPr>
      </w:pPr>
      <w:r w:rsidRPr="00237760">
        <w:rPr>
          <w:rFonts w:ascii="Arial" w:hAnsi="Arial" w:cs="Arial"/>
          <w:b/>
          <w:bCs/>
          <w:color w:val="auto"/>
          <w:sz w:val="24"/>
          <w:szCs w:val="24"/>
        </w:rPr>
        <w:t>Wysoka spójność wewnętrzna dokumentu</w:t>
      </w:r>
      <w:r w:rsidRPr="00237760">
        <w:rPr>
          <w:rFonts w:ascii="Arial" w:hAnsi="Arial" w:cs="Arial"/>
          <w:color w:val="auto"/>
          <w:sz w:val="24"/>
          <w:szCs w:val="24"/>
        </w:rPr>
        <w:t xml:space="preserve">. Podkreślenia wymaga fakt, że za część Programu należy traktować dokument diagnostyczny, w którym sprecyzowano problemy i wyzwania transportowe. Te zagadnienia znalazły swoje odzwierciedlenie w dokumencie głównym. </w:t>
      </w:r>
      <w:r w:rsidR="00BB0A72" w:rsidRPr="00237760">
        <w:rPr>
          <w:rFonts w:ascii="Arial" w:hAnsi="Arial" w:cs="Arial"/>
          <w:color w:val="auto"/>
          <w:sz w:val="24"/>
          <w:szCs w:val="24"/>
        </w:rPr>
        <w:t>Odnotowano także wysoką spójność w układzie diagnoza – analiza SWOT – cele Programu.</w:t>
      </w:r>
    </w:p>
    <w:p w14:paraId="214FDF96" w14:textId="640427DE" w:rsidR="00C80AFE" w:rsidRPr="00237760" w:rsidRDefault="00C80AFE" w:rsidP="009367B4">
      <w:pPr>
        <w:pStyle w:val="Akapitzlist"/>
        <w:numPr>
          <w:ilvl w:val="0"/>
          <w:numId w:val="61"/>
        </w:numPr>
        <w:ind w:left="426" w:hanging="294"/>
        <w:jc w:val="left"/>
        <w:rPr>
          <w:rFonts w:ascii="Arial" w:hAnsi="Arial" w:cs="Arial"/>
          <w:color w:val="auto"/>
          <w:sz w:val="24"/>
          <w:szCs w:val="24"/>
        </w:rPr>
      </w:pPr>
      <w:r w:rsidRPr="00237760">
        <w:rPr>
          <w:rFonts w:ascii="Arial" w:hAnsi="Arial" w:cs="Arial"/>
          <w:b/>
          <w:bCs/>
          <w:color w:val="auto"/>
          <w:sz w:val="24"/>
          <w:szCs w:val="24"/>
        </w:rPr>
        <w:t>Właściwie określone ryzyka realizacji Programu</w:t>
      </w:r>
      <w:r w:rsidRPr="00237760">
        <w:rPr>
          <w:rFonts w:ascii="Arial" w:hAnsi="Arial" w:cs="Arial"/>
          <w:color w:val="auto"/>
          <w:sz w:val="24"/>
          <w:szCs w:val="24"/>
        </w:rPr>
        <w:t>. Z wyjątkiem kilku propozycji doprecyzowania zapisów, wszystkie ryzyka są realne</w:t>
      </w:r>
      <w:r w:rsidR="004A3ABD" w:rsidRPr="00237760">
        <w:rPr>
          <w:rFonts w:ascii="Arial" w:hAnsi="Arial" w:cs="Arial"/>
          <w:color w:val="auto"/>
          <w:sz w:val="24"/>
          <w:szCs w:val="24"/>
        </w:rPr>
        <w:t xml:space="preserve"> i uwzględniają również ostatnie wydarzenia związane z wojną w Ukrainie</w:t>
      </w:r>
      <w:r w:rsidRPr="00237760">
        <w:rPr>
          <w:rFonts w:ascii="Arial" w:hAnsi="Arial" w:cs="Arial"/>
          <w:color w:val="auto"/>
          <w:sz w:val="24"/>
          <w:szCs w:val="24"/>
        </w:rPr>
        <w:t>.</w:t>
      </w:r>
    </w:p>
    <w:p w14:paraId="7288DB5C" w14:textId="10C0A4F3" w:rsidR="00FC430C" w:rsidRPr="00237760" w:rsidRDefault="008B45D0" w:rsidP="009367B4">
      <w:pPr>
        <w:pStyle w:val="Akapitzlist"/>
        <w:numPr>
          <w:ilvl w:val="0"/>
          <w:numId w:val="61"/>
        </w:numPr>
        <w:ind w:left="426" w:hanging="294"/>
        <w:jc w:val="left"/>
        <w:rPr>
          <w:rFonts w:ascii="Arial" w:hAnsi="Arial" w:cs="Arial"/>
          <w:color w:val="auto"/>
          <w:sz w:val="24"/>
          <w:szCs w:val="24"/>
        </w:rPr>
      </w:pPr>
      <w:r w:rsidRPr="00237760">
        <w:rPr>
          <w:rFonts w:ascii="Arial" w:hAnsi="Arial" w:cs="Arial"/>
          <w:b/>
          <w:bCs/>
          <w:color w:val="auto"/>
          <w:sz w:val="24"/>
          <w:szCs w:val="24"/>
        </w:rPr>
        <w:t xml:space="preserve">Właściwe </w:t>
      </w:r>
      <w:r w:rsidR="009856B7" w:rsidRPr="00237760">
        <w:rPr>
          <w:rFonts w:ascii="Arial" w:hAnsi="Arial" w:cs="Arial"/>
          <w:b/>
          <w:bCs/>
          <w:color w:val="auto"/>
          <w:sz w:val="24"/>
          <w:szCs w:val="24"/>
        </w:rPr>
        <w:t xml:space="preserve">założenia dotyczące wdrażania </w:t>
      </w:r>
      <w:r w:rsidRPr="00237760">
        <w:rPr>
          <w:rFonts w:ascii="Arial" w:hAnsi="Arial" w:cs="Arial"/>
          <w:b/>
          <w:bCs/>
          <w:color w:val="auto"/>
          <w:sz w:val="24"/>
          <w:szCs w:val="24"/>
        </w:rPr>
        <w:t>Programu</w:t>
      </w:r>
      <w:r w:rsidR="007E5EE5" w:rsidRPr="00237760">
        <w:rPr>
          <w:rFonts w:ascii="Arial" w:hAnsi="Arial" w:cs="Arial"/>
          <w:color w:val="auto"/>
          <w:sz w:val="24"/>
          <w:szCs w:val="24"/>
        </w:rPr>
        <w:t xml:space="preserve"> – </w:t>
      </w:r>
      <w:r w:rsidR="00A86F09" w:rsidRPr="00237760">
        <w:rPr>
          <w:rFonts w:ascii="Arial" w:hAnsi="Arial" w:cs="Arial"/>
          <w:color w:val="auto"/>
          <w:sz w:val="24"/>
          <w:szCs w:val="24"/>
        </w:rPr>
        <w:t>w szczególności precyzyjnie wskazano podmiot odpowiedzialny za wdrażanie Programu</w:t>
      </w:r>
      <w:r w:rsidR="000A1818" w:rsidRPr="00237760">
        <w:rPr>
          <w:rFonts w:ascii="Arial" w:hAnsi="Arial" w:cs="Arial"/>
          <w:color w:val="auto"/>
          <w:sz w:val="24"/>
          <w:szCs w:val="24"/>
        </w:rPr>
        <w:t xml:space="preserve">, którym będzie </w:t>
      </w:r>
      <w:r w:rsidR="00A86F09" w:rsidRPr="00237760">
        <w:rPr>
          <w:rFonts w:ascii="Arial" w:hAnsi="Arial" w:cs="Arial"/>
          <w:color w:val="auto"/>
          <w:sz w:val="24"/>
          <w:szCs w:val="24"/>
        </w:rPr>
        <w:t xml:space="preserve">Zespół ds. Monitorowania </w:t>
      </w:r>
      <w:r w:rsidR="00C605B2" w:rsidRPr="00237760">
        <w:rPr>
          <w:rFonts w:ascii="Arial" w:hAnsi="Arial" w:cs="Arial"/>
          <w:color w:val="auto"/>
          <w:sz w:val="24"/>
          <w:szCs w:val="24"/>
        </w:rPr>
        <w:br/>
      </w:r>
      <w:r w:rsidR="00A86F09" w:rsidRPr="00237760">
        <w:rPr>
          <w:rFonts w:ascii="Arial" w:hAnsi="Arial" w:cs="Arial"/>
          <w:color w:val="auto"/>
          <w:sz w:val="24"/>
          <w:szCs w:val="24"/>
        </w:rPr>
        <w:t>i</w:t>
      </w:r>
      <w:r w:rsidR="00F93E2F" w:rsidRPr="00237760">
        <w:rPr>
          <w:rFonts w:ascii="Arial" w:hAnsi="Arial" w:cs="Arial"/>
          <w:color w:val="auto"/>
          <w:sz w:val="24"/>
          <w:szCs w:val="24"/>
        </w:rPr>
        <w:t xml:space="preserve"> Koordynowania Pr</w:t>
      </w:r>
      <w:r w:rsidR="00BB5BA5" w:rsidRPr="00237760">
        <w:rPr>
          <w:rFonts w:ascii="Arial" w:hAnsi="Arial" w:cs="Arial"/>
          <w:color w:val="auto"/>
          <w:sz w:val="24"/>
          <w:szCs w:val="24"/>
        </w:rPr>
        <w:t>ogramu,</w:t>
      </w:r>
      <w:r w:rsidR="000A1818" w:rsidRPr="00237760">
        <w:rPr>
          <w:rFonts w:ascii="Arial" w:hAnsi="Arial" w:cs="Arial"/>
          <w:color w:val="auto"/>
          <w:sz w:val="24"/>
          <w:szCs w:val="24"/>
        </w:rPr>
        <w:t xml:space="preserve"> w skład którego mają wejść przedstawiciele </w:t>
      </w:r>
      <w:r w:rsidR="00825280" w:rsidRPr="00237760">
        <w:rPr>
          <w:rFonts w:ascii="Arial" w:hAnsi="Arial" w:cs="Arial"/>
          <w:color w:val="auto"/>
          <w:sz w:val="24"/>
          <w:szCs w:val="24"/>
        </w:rPr>
        <w:t xml:space="preserve">podstawowych jednostek </w:t>
      </w:r>
      <w:r w:rsidR="000A1818" w:rsidRPr="00237760">
        <w:rPr>
          <w:rFonts w:ascii="Arial" w:hAnsi="Arial" w:cs="Arial"/>
          <w:color w:val="auto"/>
          <w:sz w:val="24"/>
          <w:szCs w:val="24"/>
        </w:rPr>
        <w:t>Urzędu Marszałkowskiego</w:t>
      </w:r>
      <w:r w:rsidR="00825280" w:rsidRPr="00237760">
        <w:rPr>
          <w:rFonts w:ascii="Arial" w:hAnsi="Arial" w:cs="Arial"/>
          <w:color w:val="auto"/>
          <w:sz w:val="24"/>
          <w:szCs w:val="24"/>
        </w:rPr>
        <w:t xml:space="preserve"> oraz interesariuszy zewnętrznych.</w:t>
      </w:r>
      <w:r w:rsidR="003B64BE" w:rsidRPr="00237760">
        <w:rPr>
          <w:rFonts w:ascii="Arial" w:hAnsi="Arial" w:cs="Arial"/>
          <w:color w:val="auto"/>
          <w:sz w:val="24"/>
          <w:szCs w:val="24"/>
        </w:rPr>
        <w:t xml:space="preserve"> </w:t>
      </w:r>
      <w:r w:rsidR="00451158" w:rsidRPr="00237760">
        <w:rPr>
          <w:rFonts w:ascii="Arial" w:hAnsi="Arial" w:cs="Arial"/>
          <w:color w:val="auto"/>
          <w:sz w:val="24"/>
          <w:szCs w:val="24"/>
        </w:rPr>
        <w:t xml:space="preserve">Istotne jest również połączenie monitorowania Programu z </w:t>
      </w:r>
      <w:r w:rsidR="007E5EE5" w:rsidRPr="00237760">
        <w:rPr>
          <w:rFonts w:ascii="Arial" w:hAnsi="Arial" w:cs="Arial"/>
          <w:color w:val="auto"/>
          <w:sz w:val="24"/>
          <w:szCs w:val="24"/>
        </w:rPr>
        <w:t>system</w:t>
      </w:r>
      <w:r w:rsidR="00451158" w:rsidRPr="00237760">
        <w:rPr>
          <w:rFonts w:ascii="Arial" w:hAnsi="Arial" w:cs="Arial"/>
          <w:color w:val="auto"/>
          <w:sz w:val="24"/>
          <w:szCs w:val="24"/>
        </w:rPr>
        <w:t>em</w:t>
      </w:r>
      <w:r w:rsidR="007E5EE5" w:rsidRPr="00237760">
        <w:rPr>
          <w:rFonts w:ascii="Arial" w:hAnsi="Arial" w:cs="Arial"/>
          <w:color w:val="auto"/>
          <w:sz w:val="24"/>
          <w:szCs w:val="24"/>
        </w:rPr>
        <w:t xml:space="preserve"> monitor</w:t>
      </w:r>
      <w:r w:rsidR="00451158" w:rsidRPr="00237760">
        <w:rPr>
          <w:rFonts w:ascii="Arial" w:hAnsi="Arial" w:cs="Arial"/>
          <w:color w:val="auto"/>
          <w:sz w:val="24"/>
          <w:szCs w:val="24"/>
        </w:rPr>
        <w:t>ingu funduszy europejskich w województwie.</w:t>
      </w:r>
      <w:r w:rsidR="00E42FB5" w:rsidRPr="00237760">
        <w:rPr>
          <w:rFonts w:ascii="Arial" w:hAnsi="Arial" w:cs="Arial"/>
          <w:color w:val="auto"/>
          <w:sz w:val="24"/>
          <w:szCs w:val="24"/>
        </w:rPr>
        <w:t xml:space="preserve"> </w:t>
      </w:r>
    </w:p>
    <w:p w14:paraId="234BEC30" w14:textId="26EC8660" w:rsidR="005A42B3" w:rsidRPr="00237760" w:rsidRDefault="00E609AB" w:rsidP="009367B4">
      <w:pPr>
        <w:jc w:val="left"/>
        <w:rPr>
          <w:rFonts w:ascii="Arial" w:hAnsi="Arial" w:cs="Arial"/>
          <w:color w:val="auto"/>
          <w:sz w:val="24"/>
          <w:szCs w:val="24"/>
        </w:rPr>
      </w:pPr>
      <w:r w:rsidRPr="00237760">
        <w:rPr>
          <w:rFonts w:ascii="Arial" w:hAnsi="Arial" w:cs="Arial"/>
          <w:color w:val="auto"/>
          <w:sz w:val="24"/>
          <w:szCs w:val="24"/>
          <w:lang w:eastAsia="pl-PL"/>
        </w:rPr>
        <w:t xml:space="preserve">W kontekście wysokiej oceny Programu, można wskazać tylko </w:t>
      </w:r>
      <w:r w:rsidR="005A42B3" w:rsidRPr="00237760">
        <w:rPr>
          <w:rFonts w:ascii="Arial" w:hAnsi="Arial" w:cs="Arial"/>
          <w:color w:val="auto"/>
          <w:sz w:val="24"/>
          <w:szCs w:val="24"/>
          <w:lang w:eastAsia="pl-PL"/>
        </w:rPr>
        <w:t xml:space="preserve">kilka </w:t>
      </w:r>
      <w:r w:rsidR="0094334D" w:rsidRPr="00237760">
        <w:rPr>
          <w:rFonts w:ascii="Arial" w:hAnsi="Arial" w:cs="Arial"/>
          <w:color w:val="auto"/>
          <w:sz w:val="24"/>
          <w:szCs w:val="24"/>
          <w:lang w:eastAsia="pl-PL"/>
        </w:rPr>
        <w:t xml:space="preserve">wniosków szczegółowych </w:t>
      </w:r>
      <w:r w:rsidR="00C605B2" w:rsidRPr="00237760">
        <w:rPr>
          <w:rFonts w:ascii="Arial" w:hAnsi="Arial" w:cs="Arial"/>
          <w:color w:val="auto"/>
          <w:sz w:val="24"/>
          <w:szCs w:val="24"/>
          <w:lang w:eastAsia="pl-PL"/>
        </w:rPr>
        <w:br/>
      </w:r>
      <w:r w:rsidR="0094334D" w:rsidRPr="00237760">
        <w:rPr>
          <w:rFonts w:ascii="Arial" w:hAnsi="Arial" w:cs="Arial"/>
          <w:color w:val="auto"/>
          <w:sz w:val="24"/>
          <w:szCs w:val="24"/>
          <w:lang w:eastAsia="pl-PL"/>
        </w:rPr>
        <w:t xml:space="preserve">i </w:t>
      </w:r>
      <w:r w:rsidRPr="00237760">
        <w:rPr>
          <w:rFonts w:ascii="Arial" w:hAnsi="Arial" w:cs="Arial"/>
          <w:color w:val="auto"/>
          <w:sz w:val="24"/>
          <w:szCs w:val="24"/>
          <w:lang w:eastAsia="pl-PL"/>
        </w:rPr>
        <w:t xml:space="preserve">rekomendacji, które mogą przyczynić się do ew. jego poprawy </w:t>
      </w:r>
      <w:r w:rsidR="005A42B3" w:rsidRPr="00237760">
        <w:rPr>
          <w:rFonts w:ascii="Arial" w:hAnsi="Arial" w:cs="Arial"/>
          <w:color w:val="auto"/>
          <w:sz w:val="24"/>
          <w:szCs w:val="24"/>
          <w:lang w:eastAsia="pl-PL"/>
        </w:rPr>
        <w:t>(</w:t>
      </w:r>
      <w:r w:rsidR="005A42B3" w:rsidRPr="00237760">
        <w:rPr>
          <w:rFonts w:ascii="Arial" w:hAnsi="Arial" w:cs="Arial"/>
          <w:color w:val="auto"/>
          <w:sz w:val="24"/>
          <w:szCs w:val="24"/>
          <w:lang w:eastAsia="pl-PL"/>
        </w:rPr>
        <w:fldChar w:fldCharType="begin"/>
      </w:r>
      <w:r w:rsidR="005A42B3" w:rsidRPr="00237760">
        <w:rPr>
          <w:rFonts w:ascii="Arial" w:hAnsi="Arial" w:cs="Arial"/>
          <w:color w:val="auto"/>
          <w:sz w:val="24"/>
          <w:szCs w:val="24"/>
          <w:lang w:eastAsia="pl-PL"/>
        </w:rPr>
        <w:instrText xml:space="preserve"> REF _Ref100999563 \h </w:instrText>
      </w:r>
      <w:r w:rsidR="00237760" w:rsidRPr="00237760">
        <w:rPr>
          <w:rFonts w:ascii="Arial" w:hAnsi="Arial" w:cs="Arial"/>
          <w:color w:val="auto"/>
          <w:sz w:val="24"/>
          <w:szCs w:val="24"/>
          <w:lang w:eastAsia="pl-PL"/>
        </w:rPr>
        <w:instrText xml:space="preserve"> \* MERGEFORMAT </w:instrText>
      </w:r>
      <w:r w:rsidR="005A42B3" w:rsidRPr="00237760">
        <w:rPr>
          <w:rFonts w:ascii="Arial" w:hAnsi="Arial" w:cs="Arial"/>
          <w:color w:val="auto"/>
          <w:sz w:val="24"/>
          <w:szCs w:val="24"/>
          <w:lang w:eastAsia="pl-PL"/>
        </w:rPr>
      </w:r>
      <w:r w:rsidR="005A42B3" w:rsidRPr="00237760">
        <w:rPr>
          <w:rFonts w:ascii="Arial" w:hAnsi="Arial" w:cs="Arial"/>
          <w:color w:val="auto"/>
          <w:sz w:val="24"/>
          <w:szCs w:val="24"/>
          <w:lang w:eastAsia="pl-PL"/>
        </w:rPr>
        <w:fldChar w:fldCharType="separate"/>
      </w:r>
      <w:r w:rsidR="00DA6050" w:rsidRPr="00237760">
        <w:rPr>
          <w:rFonts w:ascii="Arial" w:hAnsi="Arial" w:cs="Arial"/>
          <w:color w:val="auto"/>
          <w:sz w:val="24"/>
          <w:szCs w:val="24"/>
        </w:rPr>
        <w:t xml:space="preserve">Tabela </w:t>
      </w:r>
      <w:r w:rsidR="00DA6050" w:rsidRPr="00237760">
        <w:rPr>
          <w:rFonts w:ascii="Arial" w:hAnsi="Arial" w:cs="Arial"/>
          <w:noProof/>
          <w:color w:val="auto"/>
          <w:sz w:val="24"/>
          <w:szCs w:val="24"/>
        </w:rPr>
        <w:t>46</w:t>
      </w:r>
      <w:r w:rsidR="005A42B3" w:rsidRPr="00237760">
        <w:rPr>
          <w:rFonts w:ascii="Arial" w:hAnsi="Arial" w:cs="Arial"/>
          <w:color w:val="auto"/>
          <w:sz w:val="24"/>
          <w:szCs w:val="24"/>
          <w:lang w:eastAsia="pl-PL"/>
        </w:rPr>
        <w:fldChar w:fldCharType="end"/>
      </w:r>
      <w:r w:rsidR="005A42B3" w:rsidRPr="00237760">
        <w:rPr>
          <w:rFonts w:ascii="Arial" w:hAnsi="Arial" w:cs="Arial"/>
          <w:color w:val="auto"/>
          <w:sz w:val="24"/>
          <w:szCs w:val="24"/>
          <w:lang w:eastAsia="pl-PL"/>
        </w:rPr>
        <w:t>).</w:t>
      </w:r>
    </w:p>
    <w:p w14:paraId="3962EDDC" w14:textId="77777777" w:rsidR="005A42B3" w:rsidRPr="00237760" w:rsidRDefault="005A42B3" w:rsidP="009367B4">
      <w:pPr>
        <w:jc w:val="left"/>
        <w:rPr>
          <w:rFonts w:ascii="Arial" w:hAnsi="Arial" w:cs="Arial"/>
          <w:iCs/>
          <w:color w:val="auto"/>
          <w:sz w:val="24"/>
          <w:szCs w:val="24"/>
          <w:lang w:eastAsia="pl-PL"/>
        </w:rPr>
      </w:pPr>
    </w:p>
    <w:p w14:paraId="2060BC41" w14:textId="4B7324D0" w:rsidR="00EC7FA8" w:rsidRPr="00237760" w:rsidRDefault="00EC7FA8" w:rsidP="009367B4">
      <w:pPr>
        <w:jc w:val="left"/>
        <w:rPr>
          <w:rFonts w:ascii="Arial" w:hAnsi="Arial" w:cs="Arial"/>
          <w:iCs/>
          <w:color w:val="auto"/>
          <w:sz w:val="24"/>
          <w:szCs w:val="24"/>
          <w:lang w:eastAsia="pl-PL"/>
        </w:rPr>
      </w:pPr>
    </w:p>
    <w:p w14:paraId="3A96EF9D" w14:textId="77777777" w:rsidR="004440BA" w:rsidRPr="00237760" w:rsidRDefault="004440BA" w:rsidP="009367B4">
      <w:pPr>
        <w:jc w:val="left"/>
        <w:rPr>
          <w:rFonts w:ascii="Arial" w:hAnsi="Arial" w:cs="Arial"/>
          <w:iCs/>
          <w:color w:val="auto"/>
          <w:sz w:val="24"/>
          <w:szCs w:val="24"/>
          <w:lang w:eastAsia="pl-PL"/>
        </w:rPr>
        <w:sectPr w:rsidR="004440BA" w:rsidRPr="00237760" w:rsidSect="00FC430C">
          <w:footerReference w:type="default" r:id="rId18"/>
          <w:headerReference w:type="first" r:id="rId19"/>
          <w:pgSz w:w="11906" w:h="16838"/>
          <w:pgMar w:top="1702" w:right="1417" w:bottom="1417" w:left="1417" w:header="170" w:footer="960" w:gutter="0"/>
          <w:cols w:space="708"/>
          <w:titlePg/>
          <w:docGrid w:linePitch="360"/>
        </w:sectPr>
      </w:pPr>
    </w:p>
    <w:p w14:paraId="0245B991" w14:textId="125CB860" w:rsidR="002D14D8" w:rsidRPr="00237760" w:rsidRDefault="002D14D8" w:rsidP="009367B4">
      <w:pPr>
        <w:pStyle w:val="Legenda"/>
        <w:jc w:val="left"/>
        <w:rPr>
          <w:rFonts w:ascii="Arial" w:hAnsi="Arial" w:cs="Arial"/>
          <w:color w:val="auto"/>
          <w:sz w:val="24"/>
          <w:szCs w:val="24"/>
        </w:rPr>
      </w:pPr>
      <w:bookmarkStart w:id="292" w:name="_Ref88130449"/>
      <w:bookmarkStart w:id="293" w:name="_Ref89602764"/>
      <w:bookmarkStart w:id="294" w:name="_Ref90249916"/>
      <w:bookmarkStart w:id="295" w:name="_Ref100999563"/>
      <w:bookmarkStart w:id="296" w:name="_Toc90223023"/>
      <w:bookmarkStart w:id="297" w:name="_Toc101904287"/>
      <w:r w:rsidRPr="00237760">
        <w:rPr>
          <w:rFonts w:ascii="Arial" w:hAnsi="Arial" w:cs="Arial"/>
          <w:color w:val="auto"/>
          <w:sz w:val="24"/>
          <w:szCs w:val="24"/>
        </w:rPr>
        <w:lastRenderedPageBreak/>
        <w:t xml:space="preserve">Tabela </w:t>
      </w:r>
      <w:bookmarkEnd w:id="292"/>
      <w:bookmarkEnd w:id="293"/>
      <w:bookmarkEnd w:id="294"/>
      <w:r w:rsidRPr="00237760">
        <w:rPr>
          <w:rFonts w:ascii="Arial" w:hAnsi="Arial" w:cs="Arial"/>
          <w:noProof/>
          <w:color w:val="auto"/>
          <w:sz w:val="24"/>
          <w:szCs w:val="24"/>
        </w:rPr>
        <w:fldChar w:fldCharType="begin"/>
      </w:r>
      <w:r w:rsidRPr="00237760">
        <w:rPr>
          <w:rFonts w:ascii="Arial" w:hAnsi="Arial" w:cs="Arial"/>
          <w:noProof/>
          <w:color w:val="auto"/>
          <w:sz w:val="24"/>
          <w:szCs w:val="24"/>
        </w:rPr>
        <w:instrText xml:space="preserve"> SEQ Tabela \* ARABIC </w:instrText>
      </w:r>
      <w:r w:rsidRPr="00237760">
        <w:rPr>
          <w:rFonts w:ascii="Arial" w:hAnsi="Arial" w:cs="Arial"/>
          <w:noProof/>
          <w:color w:val="auto"/>
          <w:sz w:val="24"/>
          <w:szCs w:val="24"/>
        </w:rPr>
        <w:fldChar w:fldCharType="separate"/>
      </w:r>
      <w:r w:rsidR="00762B20" w:rsidRPr="00237760">
        <w:rPr>
          <w:rFonts w:ascii="Arial" w:hAnsi="Arial" w:cs="Arial"/>
          <w:noProof/>
          <w:color w:val="auto"/>
          <w:sz w:val="24"/>
          <w:szCs w:val="24"/>
        </w:rPr>
        <w:t>46</w:t>
      </w:r>
      <w:r w:rsidRPr="00237760">
        <w:rPr>
          <w:rFonts w:ascii="Arial" w:hAnsi="Arial" w:cs="Arial"/>
          <w:noProof/>
          <w:color w:val="auto"/>
          <w:sz w:val="24"/>
          <w:szCs w:val="24"/>
        </w:rPr>
        <w:fldChar w:fldCharType="end"/>
      </w:r>
      <w:bookmarkEnd w:id="295"/>
      <w:r w:rsidRPr="00237760">
        <w:rPr>
          <w:rFonts w:ascii="Arial" w:hAnsi="Arial" w:cs="Arial"/>
          <w:color w:val="auto"/>
          <w:sz w:val="24"/>
          <w:szCs w:val="24"/>
        </w:rPr>
        <w:t xml:space="preserve">. </w:t>
      </w:r>
      <w:r w:rsidR="00F847AA" w:rsidRPr="00237760">
        <w:rPr>
          <w:rFonts w:ascii="Arial" w:hAnsi="Arial" w:cs="Arial"/>
          <w:color w:val="auto"/>
          <w:sz w:val="24"/>
          <w:szCs w:val="24"/>
        </w:rPr>
        <w:t>Wnioski i rekomendacje</w:t>
      </w:r>
      <w:bookmarkEnd w:id="296"/>
      <w:bookmarkEnd w:id="297"/>
    </w:p>
    <w:tbl>
      <w:tblPr>
        <w:tblStyle w:val="Tabela-Siatka"/>
        <w:tblW w:w="13908" w:type="dxa"/>
        <w:tblInd w:w="-284" w:type="dxa"/>
        <w:tblBorders>
          <w:top w:val="none" w:sz="0" w:space="0" w:color="auto"/>
          <w:left w:val="none" w:sz="0" w:space="0" w:color="auto"/>
          <w:bottom w:val="single" w:sz="12" w:space="0" w:color="002060"/>
          <w:right w:val="none" w:sz="0" w:space="0" w:color="auto"/>
          <w:insideH w:val="single" w:sz="4" w:space="0" w:color="BDD6EE" w:themeColor="accent1" w:themeTint="66"/>
          <w:insideV w:val="none" w:sz="0" w:space="0" w:color="auto"/>
        </w:tblBorders>
        <w:tblLayout w:type="fixed"/>
        <w:tblCellMar>
          <w:left w:w="57" w:type="dxa"/>
          <w:right w:w="57" w:type="dxa"/>
        </w:tblCellMar>
        <w:tblLook w:val="04A0" w:firstRow="1" w:lastRow="0" w:firstColumn="1" w:lastColumn="0" w:noHBand="0" w:noVBand="1"/>
        <w:tblCaption w:val="Tabela 46. Wnioski i rekomendacje"/>
        <w:tblDescription w:val="Tabela zawiera Lp., Wniosek, Rekomendacja, Fragment projektu PSRT WP, którego dotyczy rekomendacja, Sposób wdrożenia"/>
      </w:tblPr>
      <w:tblGrid>
        <w:gridCol w:w="426"/>
        <w:gridCol w:w="4820"/>
        <w:gridCol w:w="4536"/>
        <w:gridCol w:w="2714"/>
        <w:gridCol w:w="1412"/>
      </w:tblGrid>
      <w:tr w:rsidR="00237760" w:rsidRPr="00237760" w14:paraId="50F3AC93" w14:textId="3B9ACE84" w:rsidTr="002350B5">
        <w:trPr>
          <w:trHeight w:val="502"/>
          <w:tblHeader/>
        </w:trPr>
        <w:tc>
          <w:tcPr>
            <w:tcW w:w="426" w:type="dxa"/>
            <w:tcBorders>
              <w:top w:val="single" w:sz="12" w:space="0" w:color="002060"/>
              <w:left w:val="nil"/>
              <w:bottom w:val="single" w:sz="4" w:space="0" w:color="BDD6EE" w:themeColor="accent1" w:themeTint="66"/>
              <w:right w:val="nil"/>
            </w:tcBorders>
            <w:shd w:val="clear" w:color="auto" w:fill="auto"/>
            <w:tcMar>
              <w:left w:w="28" w:type="dxa"/>
              <w:right w:w="28" w:type="dxa"/>
            </w:tcMar>
            <w:vAlign w:val="center"/>
          </w:tcPr>
          <w:p w14:paraId="47ECA1BA" w14:textId="6B02BDA6" w:rsidR="00917A47" w:rsidRPr="00237760" w:rsidRDefault="00917A47" w:rsidP="009367B4">
            <w:pPr>
              <w:spacing w:after="0"/>
              <w:jc w:val="left"/>
              <w:rPr>
                <w:rFonts w:ascii="Arial" w:hAnsi="Arial" w:cs="Arial"/>
                <w:b/>
                <w:color w:val="auto"/>
                <w:sz w:val="24"/>
                <w:szCs w:val="24"/>
              </w:rPr>
            </w:pPr>
            <w:r w:rsidRPr="00237760">
              <w:rPr>
                <w:rFonts w:ascii="Arial" w:hAnsi="Arial" w:cs="Arial"/>
                <w:b/>
                <w:color w:val="auto"/>
                <w:sz w:val="24"/>
                <w:szCs w:val="24"/>
              </w:rPr>
              <w:t>Lp.</w:t>
            </w:r>
          </w:p>
        </w:tc>
        <w:tc>
          <w:tcPr>
            <w:tcW w:w="4820" w:type="dxa"/>
            <w:tcBorders>
              <w:top w:val="single" w:sz="12" w:space="0" w:color="002060"/>
              <w:left w:val="nil"/>
              <w:bottom w:val="single" w:sz="4" w:space="0" w:color="BDD6EE" w:themeColor="accent1" w:themeTint="66"/>
              <w:right w:val="nil"/>
            </w:tcBorders>
            <w:shd w:val="clear" w:color="auto" w:fill="auto"/>
            <w:tcMar>
              <w:left w:w="28" w:type="dxa"/>
              <w:right w:w="28" w:type="dxa"/>
            </w:tcMar>
            <w:vAlign w:val="center"/>
          </w:tcPr>
          <w:p w14:paraId="5C05434C" w14:textId="7FC004BE" w:rsidR="00917A47" w:rsidRPr="00237760" w:rsidRDefault="00917A47" w:rsidP="009367B4">
            <w:pPr>
              <w:spacing w:after="0"/>
              <w:jc w:val="left"/>
              <w:rPr>
                <w:rFonts w:ascii="Arial" w:hAnsi="Arial" w:cs="Arial"/>
                <w:b/>
                <w:color w:val="auto"/>
                <w:sz w:val="24"/>
                <w:szCs w:val="24"/>
              </w:rPr>
            </w:pPr>
            <w:r w:rsidRPr="00237760">
              <w:rPr>
                <w:rFonts w:ascii="Arial" w:hAnsi="Arial" w:cs="Arial"/>
                <w:b/>
                <w:color w:val="auto"/>
                <w:sz w:val="24"/>
                <w:szCs w:val="24"/>
              </w:rPr>
              <w:t>Wniosek</w:t>
            </w:r>
          </w:p>
        </w:tc>
        <w:tc>
          <w:tcPr>
            <w:tcW w:w="4536" w:type="dxa"/>
            <w:tcBorders>
              <w:top w:val="single" w:sz="12" w:space="0" w:color="002060"/>
              <w:left w:val="nil"/>
              <w:bottom w:val="single" w:sz="4" w:space="0" w:color="BDD6EE" w:themeColor="accent1" w:themeTint="66"/>
              <w:right w:val="nil"/>
            </w:tcBorders>
            <w:shd w:val="clear" w:color="auto" w:fill="auto"/>
            <w:tcMar>
              <w:left w:w="28" w:type="dxa"/>
              <w:right w:w="28" w:type="dxa"/>
            </w:tcMar>
            <w:vAlign w:val="center"/>
          </w:tcPr>
          <w:p w14:paraId="699128A0" w14:textId="5040261A" w:rsidR="00917A47" w:rsidRPr="00237760" w:rsidRDefault="00917A47" w:rsidP="009367B4">
            <w:pPr>
              <w:spacing w:after="0"/>
              <w:jc w:val="left"/>
              <w:rPr>
                <w:rFonts w:ascii="Arial" w:hAnsi="Arial" w:cs="Arial"/>
                <w:b/>
                <w:color w:val="auto"/>
                <w:sz w:val="24"/>
                <w:szCs w:val="24"/>
              </w:rPr>
            </w:pPr>
            <w:r w:rsidRPr="00237760">
              <w:rPr>
                <w:rFonts w:ascii="Arial" w:hAnsi="Arial" w:cs="Arial"/>
                <w:b/>
                <w:color w:val="auto"/>
                <w:sz w:val="24"/>
                <w:szCs w:val="24"/>
              </w:rPr>
              <w:t>Rekomendacja</w:t>
            </w:r>
          </w:p>
        </w:tc>
        <w:tc>
          <w:tcPr>
            <w:tcW w:w="2714" w:type="dxa"/>
            <w:tcBorders>
              <w:top w:val="single" w:sz="12" w:space="0" w:color="002060"/>
              <w:left w:val="nil"/>
              <w:bottom w:val="single" w:sz="4" w:space="0" w:color="BDD6EE" w:themeColor="accent1" w:themeTint="66"/>
              <w:right w:val="nil"/>
            </w:tcBorders>
            <w:shd w:val="clear" w:color="auto" w:fill="auto"/>
            <w:tcMar>
              <w:left w:w="28" w:type="dxa"/>
              <w:right w:w="28" w:type="dxa"/>
            </w:tcMar>
            <w:vAlign w:val="center"/>
          </w:tcPr>
          <w:p w14:paraId="1E53290F" w14:textId="29690D3F" w:rsidR="00917A47" w:rsidRPr="00237760" w:rsidRDefault="00917A47" w:rsidP="009367B4">
            <w:pPr>
              <w:spacing w:after="0" w:line="240" w:lineRule="auto"/>
              <w:jc w:val="left"/>
              <w:rPr>
                <w:rFonts w:ascii="Arial" w:hAnsi="Arial" w:cs="Arial"/>
                <w:b/>
                <w:color w:val="auto"/>
                <w:sz w:val="24"/>
                <w:szCs w:val="24"/>
              </w:rPr>
            </w:pPr>
            <w:r w:rsidRPr="00237760">
              <w:rPr>
                <w:rFonts w:ascii="Arial" w:hAnsi="Arial" w:cs="Arial"/>
                <w:b/>
                <w:color w:val="auto"/>
                <w:sz w:val="24"/>
                <w:szCs w:val="24"/>
              </w:rPr>
              <w:t xml:space="preserve">Fragment projektu </w:t>
            </w:r>
            <w:r w:rsidR="48B6AADA" w:rsidRPr="00237760">
              <w:rPr>
                <w:rFonts w:ascii="Arial" w:hAnsi="Arial" w:cs="Arial"/>
                <w:b/>
                <w:bCs/>
                <w:color w:val="auto"/>
                <w:sz w:val="24"/>
                <w:szCs w:val="24"/>
              </w:rPr>
              <w:t>PSRT</w:t>
            </w:r>
            <w:r w:rsidRPr="00237760">
              <w:rPr>
                <w:rFonts w:ascii="Arial" w:hAnsi="Arial" w:cs="Arial"/>
                <w:b/>
                <w:color w:val="auto"/>
                <w:sz w:val="24"/>
                <w:szCs w:val="24"/>
              </w:rPr>
              <w:t xml:space="preserve"> WP, którego dotyczy rekomendacja</w:t>
            </w:r>
          </w:p>
        </w:tc>
        <w:tc>
          <w:tcPr>
            <w:tcW w:w="1412" w:type="dxa"/>
            <w:tcBorders>
              <w:top w:val="single" w:sz="12" w:space="0" w:color="002060"/>
              <w:left w:val="nil"/>
              <w:bottom w:val="single" w:sz="4" w:space="0" w:color="BDD6EE" w:themeColor="accent1" w:themeTint="66"/>
              <w:right w:val="nil"/>
            </w:tcBorders>
            <w:shd w:val="clear" w:color="auto" w:fill="auto"/>
            <w:tcMar>
              <w:left w:w="28" w:type="dxa"/>
              <w:right w:w="28" w:type="dxa"/>
            </w:tcMar>
            <w:vAlign w:val="center"/>
          </w:tcPr>
          <w:p w14:paraId="3CF16835" w14:textId="6F71EDAB" w:rsidR="00917A47" w:rsidRPr="00237760" w:rsidRDefault="00917A47" w:rsidP="009367B4">
            <w:pPr>
              <w:spacing w:after="0"/>
              <w:jc w:val="left"/>
              <w:rPr>
                <w:rFonts w:ascii="Arial" w:hAnsi="Arial" w:cs="Arial"/>
                <w:b/>
                <w:color w:val="auto"/>
                <w:sz w:val="24"/>
                <w:szCs w:val="24"/>
              </w:rPr>
            </w:pPr>
            <w:r w:rsidRPr="00237760">
              <w:rPr>
                <w:rFonts w:ascii="Arial" w:hAnsi="Arial" w:cs="Arial"/>
                <w:b/>
                <w:color w:val="auto"/>
                <w:sz w:val="24"/>
                <w:szCs w:val="24"/>
              </w:rPr>
              <w:t>Sposób wdrożenia</w:t>
            </w:r>
          </w:p>
        </w:tc>
      </w:tr>
      <w:tr w:rsidR="00237760" w:rsidRPr="00237760" w14:paraId="3D8AF97C" w14:textId="3ECB0064" w:rsidTr="002350B5">
        <w:trPr>
          <w:trHeight w:val="564"/>
        </w:trPr>
        <w:tc>
          <w:tcPr>
            <w:tcW w:w="426" w:type="dxa"/>
            <w:tcBorders>
              <w:top w:val="single" w:sz="4" w:space="0" w:color="BDD6EE" w:themeColor="accent1" w:themeTint="66"/>
              <w:left w:val="nil"/>
              <w:right w:val="nil"/>
            </w:tcBorders>
            <w:tcMar>
              <w:left w:w="28" w:type="dxa"/>
              <w:right w:w="28" w:type="dxa"/>
            </w:tcMar>
            <w:vAlign w:val="center"/>
          </w:tcPr>
          <w:p w14:paraId="1E19AA8E" w14:textId="571819F8" w:rsidR="001B15A8" w:rsidRPr="00237760" w:rsidRDefault="001B15A8" w:rsidP="009367B4">
            <w:pPr>
              <w:pStyle w:val="Akapitzlist"/>
              <w:numPr>
                <w:ilvl w:val="0"/>
                <w:numId w:val="14"/>
              </w:numPr>
              <w:spacing w:after="0" w:line="240" w:lineRule="auto"/>
              <w:ind w:left="258" w:hanging="178"/>
              <w:jc w:val="left"/>
              <w:rPr>
                <w:rFonts w:ascii="Arial" w:hAnsi="Arial" w:cs="Arial"/>
                <w:b/>
                <w:color w:val="auto"/>
                <w:sz w:val="24"/>
                <w:szCs w:val="24"/>
              </w:rPr>
            </w:pPr>
          </w:p>
        </w:tc>
        <w:tc>
          <w:tcPr>
            <w:tcW w:w="4820" w:type="dxa"/>
            <w:tcBorders>
              <w:top w:val="single" w:sz="4" w:space="0" w:color="BDD6EE" w:themeColor="accent1" w:themeTint="66"/>
              <w:left w:val="nil"/>
              <w:right w:val="nil"/>
            </w:tcBorders>
            <w:vAlign w:val="center"/>
          </w:tcPr>
          <w:p w14:paraId="6C9F7CFD" w14:textId="4BF9ABAA" w:rsidR="001B15A8" w:rsidRPr="00237760" w:rsidRDefault="00FC6B60" w:rsidP="009367B4">
            <w:pPr>
              <w:spacing w:after="0" w:line="240" w:lineRule="auto"/>
              <w:ind w:left="-36"/>
              <w:jc w:val="left"/>
              <w:rPr>
                <w:rFonts w:ascii="Arial" w:hAnsi="Arial" w:cs="Arial"/>
                <w:color w:val="auto"/>
                <w:sz w:val="24"/>
                <w:szCs w:val="24"/>
              </w:rPr>
            </w:pPr>
            <w:r w:rsidRPr="00237760">
              <w:rPr>
                <w:rFonts w:ascii="Arial" w:hAnsi="Arial" w:cs="Arial"/>
                <w:color w:val="auto"/>
                <w:sz w:val="24"/>
                <w:szCs w:val="24"/>
              </w:rPr>
              <w:t>W systemie celów nazwa celu „Transport</w:t>
            </w:r>
            <w:r w:rsidR="0070747D">
              <w:rPr>
                <w:rFonts w:ascii="Arial" w:hAnsi="Arial" w:cs="Arial"/>
                <w:color w:val="auto"/>
                <w:sz w:val="24"/>
                <w:szCs w:val="24"/>
              </w:rPr>
              <w:t xml:space="preserve"> </w:t>
            </w:r>
            <w:r w:rsidR="003A333D" w:rsidRPr="0070747D">
              <w:rPr>
                <w:rFonts w:ascii="Arial" w:hAnsi="Arial" w:cs="Arial"/>
                <w:color w:val="auto"/>
                <w:sz w:val="24"/>
                <w:szCs w:val="24"/>
              </w:rPr>
              <w:t>p</w:t>
            </w:r>
            <w:r w:rsidR="003A333D" w:rsidRPr="00237760">
              <w:rPr>
                <w:rFonts w:ascii="Arial" w:hAnsi="Arial" w:cs="Arial"/>
                <w:color w:val="auto"/>
                <w:sz w:val="24"/>
                <w:szCs w:val="24"/>
              </w:rPr>
              <w:t>ubliczny” jest odmienna od pozostałych (nie wskazuje kierunku zmian)</w:t>
            </w:r>
            <w:r w:rsidR="00FF3CCF" w:rsidRPr="00237760">
              <w:rPr>
                <w:rFonts w:ascii="Arial" w:hAnsi="Arial" w:cs="Arial"/>
                <w:color w:val="auto"/>
                <w:sz w:val="24"/>
                <w:szCs w:val="24"/>
              </w:rPr>
              <w:t>.</w:t>
            </w:r>
          </w:p>
        </w:tc>
        <w:tc>
          <w:tcPr>
            <w:tcW w:w="4536" w:type="dxa"/>
            <w:tcBorders>
              <w:top w:val="single" w:sz="4" w:space="0" w:color="BDD6EE" w:themeColor="accent1" w:themeTint="66"/>
              <w:left w:val="nil"/>
              <w:right w:val="nil"/>
            </w:tcBorders>
            <w:vAlign w:val="center"/>
          </w:tcPr>
          <w:p w14:paraId="335A4D5C" w14:textId="7D72B53B" w:rsidR="001B15A8" w:rsidRPr="00237760" w:rsidRDefault="00FF3CCF"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Propozycja zmiany nazwy celu na „Rozwój transportu publicznego”</w:t>
            </w:r>
            <w:r w:rsidR="001457F6" w:rsidRPr="00237760">
              <w:rPr>
                <w:rFonts w:ascii="Arial" w:hAnsi="Arial" w:cs="Arial"/>
                <w:color w:val="auto"/>
                <w:sz w:val="24"/>
                <w:szCs w:val="24"/>
              </w:rPr>
              <w:t>.</w:t>
            </w:r>
          </w:p>
        </w:tc>
        <w:tc>
          <w:tcPr>
            <w:tcW w:w="2714" w:type="dxa"/>
            <w:tcBorders>
              <w:top w:val="single" w:sz="4" w:space="0" w:color="BDD6EE" w:themeColor="accent1" w:themeTint="66"/>
              <w:left w:val="nil"/>
              <w:right w:val="nil"/>
            </w:tcBorders>
            <w:vAlign w:val="center"/>
          </w:tcPr>
          <w:p w14:paraId="2E663105" w14:textId="1CEF7B9D" w:rsidR="001B15A8" w:rsidRPr="00237760" w:rsidRDefault="00FF3CCF"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Cały dokument</w:t>
            </w:r>
          </w:p>
        </w:tc>
        <w:tc>
          <w:tcPr>
            <w:tcW w:w="1412" w:type="dxa"/>
            <w:tcBorders>
              <w:top w:val="single" w:sz="4" w:space="0" w:color="BDD6EE" w:themeColor="accent1" w:themeTint="66"/>
              <w:left w:val="nil"/>
              <w:right w:val="nil"/>
            </w:tcBorders>
            <w:vAlign w:val="center"/>
          </w:tcPr>
          <w:p w14:paraId="0CDACBAE" w14:textId="20EEF3E1" w:rsidR="001B15A8" w:rsidRPr="00237760" w:rsidRDefault="007A230E"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modyfikacja</w:t>
            </w:r>
          </w:p>
        </w:tc>
      </w:tr>
      <w:tr w:rsidR="00237760" w:rsidRPr="00237760" w14:paraId="1013D377" w14:textId="77777777" w:rsidTr="0070747D">
        <w:trPr>
          <w:trHeight w:val="564"/>
        </w:trPr>
        <w:tc>
          <w:tcPr>
            <w:tcW w:w="426" w:type="dxa"/>
            <w:tcBorders>
              <w:top w:val="single" w:sz="4" w:space="0" w:color="BDD6EE" w:themeColor="accent1" w:themeTint="66"/>
              <w:left w:val="nil"/>
              <w:right w:val="nil"/>
            </w:tcBorders>
            <w:tcMar>
              <w:left w:w="28" w:type="dxa"/>
              <w:right w:w="28" w:type="dxa"/>
            </w:tcMar>
            <w:vAlign w:val="center"/>
          </w:tcPr>
          <w:p w14:paraId="51B3D304" w14:textId="77777777" w:rsidR="00D961CB" w:rsidRPr="00237760" w:rsidRDefault="00D961CB" w:rsidP="009367B4">
            <w:pPr>
              <w:pStyle w:val="Akapitzlist"/>
              <w:numPr>
                <w:ilvl w:val="0"/>
                <w:numId w:val="14"/>
              </w:numPr>
              <w:spacing w:after="0" w:line="240" w:lineRule="auto"/>
              <w:ind w:left="258" w:hanging="178"/>
              <w:jc w:val="left"/>
              <w:rPr>
                <w:rFonts w:ascii="Arial" w:hAnsi="Arial" w:cs="Arial"/>
                <w:b/>
                <w:color w:val="auto"/>
                <w:sz w:val="24"/>
                <w:szCs w:val="24"/>
              </w:rPr>
            </w:pPr>
          </w:p>
        </w:tc>
        <w:tc>
          <w:tcPr>
            <w:tcW w:w="4820" w:type="dxa"/>
            <w:tcBorders>
              <w:top w:val="single" w:sz="4" w:space="0" w:color="BDD6EE" w:themeColor="accent1" w:themeTint="66"/>
              <w:left w:val="nil"/>
              <w:right w:val="nil"/>
            </w:tcBorders>
            <w:vAlign w:val="center"/>
          </w:tcPr>
          <w:p w14:paraId="7AB329A6" w14:textId="2E3BDD6E" w:rsidR="00D961CB" w:rsidRPr="00237760" w:rsidRDefault="00D961CB" w:rsidP="009367B4">
            <w:pPr>
              <w:spacing w:after="0" w:line="240" w:lineRule="auto"/>
              <w:ind w:left="-36"/>
              <w:jc w:val="left"/>
              <w:rPr>
                <w:rFonts w:ascii="Arial" w:hAnsi="Arial" w:cs="Arial"/>
                <w:color w:val="auto"/>
                <w:sz w:val="24"/>
                <w:szCs w:val="24"/>
              </w:rPr>
            </w:pPr>
            <w:r w:rsidRPr="00237760">
              <w:rPr>
                <w:rFonts w:ascii="Arial" w:hAnsi="Arial" w:cs="Arial"/>
                <w:bCs/>
                <w:color w:val="auto"/>
                <w:sz w:val="24"/>
                <w:szCs w:val="24"/>
              </w:rPr>
              <w:t>W PSRT WP w celach i kierunkach regionalnego systemu transportowego nie określono celu głównego.</w:t>
            </w:r>
          </w:p>
        </w:tc>
        <w:tc>
          <w:tcPr>
            <w:tcW w:w="4536" w:type="dxa"/>
            <w:tcBorders>
              <w:top w:val="single" w:sz="4" w:space="0" w:color="BDD6EE" w:themeColor="accent1" w:themeTint="66"/>
              <w:left w:val="nil"/>
              <w:right w:val="nil"/>
            </w:tcBorders>
            <w:vAlign w:val="center"/>
          </w:tcPr>
          <w:p w14:paraId="4651C668" w14:textId="49AA91FD" w:rsidR="00D961CB" w:rsidRPr="00237760" w:rsidRDefault="00D961CB"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Wprowadzenie do Programu celu głównego. Proponowany zapis to: „Efektywne i skuteczne wdrażanie działań, przyczyniających się do realizacji celów Strategii rozwoju województwa – Podkarpackie 2030, w obrębie transportu”.</w:t>
            </w:r>
          </w:p>
        </w:tc>
        <w:tc>
          <w:tcPr>
            <w:tcW w:w="2714" w:type="dxa"/>
            <w:tcBorders>
              <w:top w:val="single" w:sz="4" w:space="0" w:color="BDD6EE" w:themeColor="accent1" w:themeTint="66"/>
              <w:left w:val="nil"/>
              <w:right w:val="nil"/>
            </w:tcBorders>
            <w:vAlign w:val="center"/>
          </w:tcPr>
          <w:p w14:paraId="4A355C6C" w14:textId="2FAF6643" w:rsidR="00D961CB" w:rsidRPr="00237760" w:rsidRDefault="00D961CB" w:rsidP="009367B4">
            <w:pPr>
              <w:spacing w:after="0" w:line="240" w:lineRule="auto"/>
              <w:jc w:val="left"/>
              <w:rPr>
                <w:rFonts w:ascii="Arial" w:hAnsi="Arial" w:cs="Arial"/>
                <w:color w:val="auto"/>
                <w:sz w:val="24"/>
                <w:szCs w:val="24"/>
              </w:rPr>
            </w:pPr>
            <w:r w:rsidRPr="00237760">
              <w:rPr>
                <w:rFonts w:ascii="Arial" w:hAnsi="Arial" w:cs="Arial"/>
                <w:bCs/>
                <w:color w:val="auto"/>
                <w:sz w:val="24"/>
                <w:szCs w:val="24"/>
              </w:rPr>
              <w:t>Rozdział III. Cele i kierunki rozwoju regionalnego systemu transportowego</w:t>
            </w:r>
          </w:p>
        </w:tc>
        <w:tc>
          <w:tcPr>
            <w:tcW w:w="1412" w:type="dxa"/>
            <w:tcBorders>
              <w:top w:val="single" w:sz="4" w:space="0" w:color="BDD6EE" w:themeColor="accent1" w:themeTint="66"/>
              <w:left w:val="nil"/>
              <w:right w:val="nil"/>
            </w:tcBorders>
            <w:vAlign w:val="center"/>
          </w:tcPr>
          <w:p w14:paraId="7C277080" w14:textId="76F2D986" w:rsidR="00D961CB" w:rsidRPr="00237760" w:rsidRDefault="00D961CB" w:rsidP="009367B4">
            <w:pPr>
              <w:spacing w:after="0" w:line="240" w:lineRule="auto"/>
              <w:jc w:val="left"/>
              <w:rPr>
                <w:rFonts w:ascii="Arial" w:hAnsi="Arial" w:cs="Arial"/>
                <w:color w:val="auto"/>
                <w:sz w:val="24"/>
                <w:szCs w:val="24"/>
              </w:rPr>
            </w:pPr>
            <w:r w:rsidRPr="00237760">
              <w:rPr>
                <w:rFonts w:ascii="Arial" w:hAnsi="Arial" w:cs="Arial"/>
                <w:bCs/>
                <w:color w:val="auto"/>
                <w:sz w:val="24"/>
                <w:szCs w:val="24"/>
              </w:rPr>
              <w:t>uzupełnienie</w:t>
            </w:r>
          </w:p>
        </w:tc>
      </w:tr>
      <w:tr w:rsidR="00237760" w:rsidRPr="00237760" w14:paraId="6FB07284" w14:textId="77777777" w:rsidTr="0070747D">
        <w:trPr>
          <w:trHeight w:val="564"/>
        </w:trPr>
        <w:tc>
          <w:tcPr>
            <w:tcW w:w="426" w:type="dxa"/>
            <w:tcBorders>
              <w:top w:val="single" w:sz="4" w:space="0" w:color="BDD6EE" w:themeColor="accent1" w:themeTint="66"/>
              <w:left w:val="nil"/>
              <w:right w:val="nil"/>
            </w:tcBorders>
            <w:tcMar>
              <w:left w:w="28" w:type="dxa"/>
              <w:right w:w="28" w:type="dxa"/>
            </w:tcMar>
            <w:vAlign w:val="center"/>
          </w:tcPr>
          <w:p w14:paraId="0130D32A" w14:textId="77777777" w:rsidR="00D961CB" w:rsidRPr="00237760" w:rsidRDefault="00D961CB" w:rsidP="009367B4">
            <w:pPr>
              <w:pStyle w:val="Akapitzlist"/>
              <w:numPr>
                <w:ilvl w:val="0"/>
                <w:numId w:val="14"/>
              </w:numPr>
              <w:spacing w:after="0" w:line="240" w:lineRule="auto"/>
              <w:ind w:left="258" w:hanging="178"/>
              <w:jc w:val="left"/>
              <w:rPr>
                <w:rFonts w:ascii="Arial" w:hAnsi="Arial" w:cs="Arial"/>
                <w:b/>
                <w:color w:val="auto"/>
                <w:sz w:val="24"/>
                <w:szCs w:val="24"/>
              </w:rPr>
            </w:pPr>
          </w:p>
        </w:tc>
        <w:tc>
          <w:tcPr>
            <w:tcW w:w="4820" w:type="dxa"/>
            <w:tcBorders>
              <w:top w:val="single" w:sz="4" w:space="0" w:color="BDD6EE" w:themeColor="accent1" w:themeTint="66"/>
              <w:left w:val="nil"/>
              <w:right w:val="nil"/>
            </w:tcBorders>
            <w:vAlign w:val="center"/>
          </w:tcPr>
          <w:p w14:paraId="4921AE46" w14:textId="60DA0842" w:rsidR="00D961CB" w:rsidRPr="00237760" w:rsidRDefault="00D961CB" w:rsidP="009367B4">
            <w:pPr>
              <w:spacing w:after="0" w:line="240" w:lineRule="auto"/>
              <w:ind w:left="-36"/>
              <w:jc w:val="left"/>
              <w:rPr>
                <w:rFonts w:ascii="Arial" w:hAnsi="Arial" w:cs="Arial"/>
                <w:bCs/>
                <w:color w:val="auto"/>
                <w:sz w:val="24"/>
                <w:szCs w:val="24"/>
              </w:rPr>
            </w:pPr>
            <w:r w:rsidRPr="00237760">
              <w:rPr>
                <w:rFonts w:ascii="Arial" w:hAnsi="Arial" w:cs="Arial"/>
                <w:bCs/>
                <w:color w:val="auto"/>
                <w:sz w:val="24"/>
                <w:szCs w:val="24"/>
              </w:rPr>
              <w:t>W PSRT WP nie określono zakresu planowanej interwencji, która będzie realizowana w ujęciu terytorialnym, możliwym do objęcia kontraktem sektorowym (obowiązek wynika z Ustawy o zasadach prowadzenia polityki rozwoju).</w:t>
            </w:r>
          </w:p>
        </w:tc>
        <w:tc>
          <w:tcPr>
            <w:tcW w:w="4536" w:type="dxa"/>
            <w:tcBorders>
              <w:top w:val="single" w:sz="4" w:space="0" w:color="BDD6EE" w:themeColor="accent1" w:themeTint="66"/>
              <w:left w:val="nil"/>
              <w:right w:val="nil"/>
            </w:tcBorders>
            <w:vAlign w:val="center"/>
          </w:tcPr>
          <w:p w14:paraId="2C27A03A" w14:textId="277BB1F5" w:rsidR="00D961CB" w:rsidRPr="00237760" w:rsidRDefault="00D961CB"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Wskazanie </w:t>
            </w:r>
            <w:r w:rsidRPr="00237760">
              <w:rPr>
                <w:rFonts w:ascii="Arial" w:hAnsi="Arial" w:cs="Arial"/>
                <w:bCs/>
                <w:color w:val="auto"/>
                <w:sz w:val="24"/>
                <w:szCs w:val="24"/>
              </w:rPr>
              <w:t>zakresu planowanej interwenci (np. na poziomie celów), która może zostać objęta kontraktem sektorowym.</w:t>
            </w:r>
          </w:p>
        </w:tc>
        <w:tc>
          <w:tcPr>
            <w:tcW w:w="2714" w:type="dxa"/>
            <w:tcBorders>
              <w:top w:val="single" w:sz="4" w:space="0" w:color="BDD6EE" w:themeColor="accent1" w:themeTint="66"/>
              <w:left w:val="nil"/>
              <w:right w:val="nil"/>
            </w:tcBorders>
            <w:vAlign w:val="center"/>
          </w:tcPr>
          <w:p w14:paraId="073AAC7D" w14:textId="4F66BFA5" w:rsidR="00D961CB" w:rsidRPr="00237760" w:rsidRDefault="00D961CB" w:rsidP="009367B4">
            <w:pPr>
              <w:spacing w:after="0" w:line="240" w:lineRule="auto"/>
              <w:jc w:val="left"/>
              <w:rPr>
                <w:rFonts w:ascii="Arial" w:hAnsi="Arial" w:cs="Arial"/>
                <w:bCs/>
                <w:color w:val="auto"/>
                <w:sz w:val="24"/>
                <w:szCs w:val="24"/>
              </w:rPr>
            </w:pPr>
            <w:r w:rsidRPr="00237760">
              <w:rPr>
                <w:rFonts w:ascii="Arial" w:hAnsi="Arial" w:cs="Arial"/>
                <w:bCs/>
                <w:color w:val="auto"/>
                <w:sz w:val="24"/>
                <w:szCs w:val="24"/>
              </w:rPr>
              <w:t>Rozdział IV. System wdrażania i realizacji</w:t>
            </w:r>
          </w:p>
        </w:tc>
        <w:tc>
          <w:tcPr>
            <w:tcW w:w="1412" w:type="dxa"/>
            <w:tcBorders>
              <w:top w:val="single" w:sz="4" w:space="0" w:color="BDD6EE" w:themeColor="accent1" w:themeTint="66"/>
              <w:left w:val="nil"/>
              <w:right w:val="nil"/>
            </w:tcBorders>
            <w:vAlign w:val="center"/>
          </w:tcPr>
          <w:p w14:paraId="70F7DB99" w14:textId="33D30D43" w:rsidR="00D961CB" w:rsidRPr="00237760" w:rsidRDefault="00D961CB" w:rsidP="009367B4">
            <w:pPr>
              <w:spacing w:after="0" w:line="240" w:lineRule="auto"/>
              <w:jc w:val="left"/>
              <w:rPr>
                <w:rFonts w:ascii="Arial" w:hAnsi="Arial" w:cs="Arial"/>
                <w:bCs/>
                <w:color w:val="auto"/>
                <w:sz w:val="24"/>
                <w:szCs w:val="24"/>
              </w:rPr>
            </w:pPr>
            <w:r w:rsidRPr="00237760">
              <w:rPr>
                <w:rFonts w:ascii="Arial" w:hAnsi="Arial" w:cs="Arial"/>
                <w:bCs/>
                <w:color w:val="auto"/>
                <w:sz w:val="24"/>
                <w:szCs w:val="24"/>
              </w:rPr>
              <w:t>uzupełnienie</w:t>
            </w:r>
          </w:p>
        </w:tc>
      </w:tr>
      <w:tr w:rsidR="00237760" w:rsidRPr="00237760" w14:paraId="082DA356" w14:textId="77777777" w:rsidTr="0070747D">
        <w:trPr>
          <w:trHeight w:val="564"/>
        </w:trPr>
        <w:tc>
          <w:tcPr>
            <w:tcW w:w="426" w:type="dxa"/>
            <w:vMerge w:val="restart"/>
            <w:tcBorders>
              <w:top w:val="single" w:sz="4" w:space="0" w:color="BDD6EE" w:themeColor="accent1" w:themeTint="66"/>
              <w:left w:val="nil"/>
              <w:right w:val="nil"/>
            </w:tcBorders>
            <w:tcMar>
              <w:left w:w="28" w:type="dxa"/>
              <w:right w:w="28" w:type="dxa"/>
            </w:tcMar>
            <w:vAlign w:val="center"/>
          </w:tcPr>
          <w:p w14:paraId="449811CB" w14:textId="77777777" w:rsidR="00D961CB" w:rsidRPr="00237760" w:rsidRDefault="00D961CB" w:rsidP="009367B4">
            <w:pPr>
              <w:pStyle w:val="Akapitzlist"/>
              <w:numPr>
                <w:ilvl w:val="0"/>
                <w:numId w:val="14"/>
              </w:numPr>
              <w:spacing w:after="0" w:line="240" w:lineRule="auto"/>
              <w:ind w:left="258" w:hanging="178"/>
              <w:jc w:val="left"/>
              <w:rPr>
                <w:rFonts w:ascii="Arial" w:hAnsi="Arial" w:cs="Arial"/>
                <w:b/>
                <w:color w:val="auto"/>
                <w:sz w:val="24"/>
                <w:szCs w:val="24"/>
              </w:rPr>
            </w:pPr>
          </w:p>
        </w:tc>
        <w:tc>
          <w:tcPr>
            <w:tcW w:w="4820" w:type="dxa"/>
            <w:vMerge w:val="restart"/>
            <w:tcBorders>
              <w:top w:val="single" w:sz="4" w:space="0" w:color="BDD6EE" w:themeColor="accent1" w:themeTint="66"/>
              <w:left w:val="nil"/>
              <w:right w:val="nil"/>
            </w:tcBorders>
            <w:vAlign w:val="center"/>
          </w:tcPr>
          <w:p w14:paraId="14FF333A" w14:textId="77777777" w:rsidR="00D961CB" w:rsidRPr="00237760" w:rsidRDefault="00D961CB"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System monitorowania oparty został o wskaźniki generalnie trafnie dobrane do celów. Umożliwia on także skuteczną i efektywną ocenę realizacji Programu, jednak:</w:t>
            </w:r>
          </w:p>
          <w:p w14:paraId="1D5CE81A" w14:textId="77777777" w:rsidR="00D961CB" w:rsidRPr="00237760" w:rsidRDefault="00D961CB" w:rsidP="009367B4">
            <w:pPr>
              <w:pStyle w:val="Akapitzlist"/>
              <w:numPr>
                <w:ilvl w:val="0"/>
                <w:numId w:val="51"/>
              </w:numPr>
              <w:spacing w:after="0" w:line="240" w:lineRule="auto"/>
              <w:ind w:left="324"/>
              <w:jc w:val="left"/>
              <w:rPr>
                <w:rFonts w:ascii="Arial" w:hAnsi="Arial" w:cs="Arial"/>
                <w:color w:val="auto"/>
                <w:sz w:val="24"/>
                <w:szCs w:val="24"/>
              </w:rPr>
            </w:pPr>
            <w:r w:rsidRPr="00237760">
              <w:rPr>
                <w:rFonts w:ascii="Arial" w:hAnsi="Arial" w:cs="Arial"/>
                <w:color w:val="auto"/>
                <w:sz w:val="24"/>
                <w:szCs w:val="24"/>
              </w:rPr>
              <w:t>prezentacja systemu monitoringu nie jest w pełni czytelna (np. występuje niejasna relacja pomiędzy „wskaźnikami monitorowania” a wskaźnikami produktu i rezultatu);</w:t>
            </w:r>
          </w:p>
          <w:p w14:paraId="1040F17C" w14:textId="77777777" w:rsidR="00D961CB" w:rsidRPr="00237760" w:rsidRDefault="00D961CB" w:rsidP="009367B4">
            <w:pPr>
              <w:pStyle w:val="Akapitzlist"/>
              <w:numPr>
                <w:ilvl w:val="0"/>
                <w:numId w:val="51"/>
              </w:numPr>
              <w:spacing w:after="0" w:line="240" w:lineRule="auto"/>
              <w:ind w:left="324"/>
              <w:jc w:val="left"/>
              <w:rPr>
                <w:rFonts w:ascii="Arial" w:hAnsi="Arial" w:cs="Arial"/>
                <w:color w:val="auto"/>
                <w:sz w:val="24"/>
                <w:szCs w:val="24"/>
              </w:rPr>
            </w:pPr>
            <w:r w:rsidRPr="00237760">
              <w:rPr>
                <w:rFonts w:ascii="Arial" w:hAnsi="Arial" w:cs="Arial"/>
                <w:color w:val="auto"/>
                <w:sz w:val="24"/>
                <w:szCs w:val="24"/>
              </w:rPr>
              <w:lastRenderedPageBreak/>
              <w:t>niektóre ze wskaźników nie precyzują dokładnie, co dokładnie zostanie objęte pomiarem;</w:t>
            </w:r>
          </w:p>
          <w:p w14:paraId="6C65C76E" w14:textId="77777777" w:rsidR="00D961CB" w:rsidRPr="00237760" w:rsidRDefault="00D961CB" w:rsidP="009367B4">
            <w:pPr>
              <w:pStyle w:val="Akapitzlist"/>
              <w:numPr>
                <w:ilvl w:val="0"/>
                <w:numId w:val="51"/>
              </w:numPr>
              <w:spacing w:after="0" w:line="240" w:lineRule="auto"/>
              <w:ind w:left="324"/>
              <w:jc w:val="left"/>
              <w:rPr>
                <w:rFonts w:ascii="Arial" w:hAnsi="Arial" w:cs="Arial"/>
                <w:color w:val="auto"/>
                <w:sz w:val="24"/>
                <w:szCs w:val="24"/>
              </w:rPr>
            </w:pPr>
            <w:r w:rsidRPr="00237760">
              <w:rPr>
                <w:rFonts w:ascii="Arial" w:hAnsi="Arial" w:cs="Arial"/>
                <w:color w:val="auto"/>
                <w:sz w:val="24"/>
                <w:szCs w:val="24"/>
              </w:rPr>
              <w:t>część wartości docelowych wskaźników wymaga ponownego przemyślenia;</w:t>
            </w:r>
          </w:p>
          <w:p w14:paraId="18EF7B5B" w14:textId="17A0C0CC" w:rsidR="00D961CB" w:rsidRPr="00237760" w:rsidRDefault="00D961CB" w:rsidP="009367B4">
            <w:pPr>
              <w:pStyle w:val="Akapitzlist"/>
              <w:numPr>
                <w:ilvl w:val="0"/>
                <w:numId w:val="51"/>
              </w:numPr>
              <w:spacing w:after="0" w:line="240" w:lineRule="auto"/>
              <w:ind w:left="324"/>
              <w:jc w:val="left"/>
              <w:rPr>
                <w:rFonts w:ascii="Arial" w:hAnsi="Arial" w:cs="Arial"/>
                <w:color w:val="auto"/>
                <w:sz w:val="24"/>
                <w:szCs w:val="24"/>
              </w:rPr>
            </w:pPr>
            <w:r w:rsidRPr="00237760">
              <w:rPr>
                <w:rFonts w:ascii="Arial" w:hAnsi="Arial" w:cs="Arial"/>
                <w:color w:val="auto"/>
                <w:sz w:val="24"/>
                <w:szCs w:val="24"/>
              </w:rPr>
              <w:t>ze względu na powtarzające się zapisy części celów, niektóre wskaźniki monitoringu odpowiadają na założenia więcej niż jednego celu.</w:t>
            </w:r>
          </w:p>
        </w:tc>
        <w:tc>
          <w:tcPr>
            <w:tcW w:w="4536" w:type="dxa"/>
            <w:tcBorders>
              <w:top w:val="single" w:sz="4" w:space="0" w:color="BDD6EE" w:themeColor="accent1" w:themeTint="66"/>
              <w:left w:val="nil"/>
              <w:right w:val="nil"/>
            </w:tcBorders>
            <w:vAlign w:val="center"/>
          </w:tcPr>
          <w:p w14:paraId="365C0709" w14:textId="228F3D06" w:rsidR="00D961CB" w:rsidRPr="00237760" w:rsidRDefault="00D961CB"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lastRenderedPageBreak/>
              <w:t>Doprecyzowanie nazw i jednostek pomiaru części wskaźników i uporządkowanie wskaźników biorąc pod uwagę ich charakter: oddziaływania, produktu i rezultatu.</w:t>
            </w:r>
          </w:p>
        </w:tc>
        <w:tc>
          <w:tcPr>
            <w:tcW w:w="2714" w:type="dxa"/>
            <w:vMerge w:val="restart"/>
            <w:tcBorders>
              <w:top w:val="single" w:sz="4" w:space="0" w:color="BDD6EE" w:themeColor="accent1" w:themeTint="66"/>
              <w:left w:val="nil"/>
              <w:right w:val="nil"/>
            </w:tcBorders>
            <w:vAlign w:val="center"/>
          </w:tcPr>
          <w:p w14:paraId="6C24CFEA" w14:textId="77777777" w:rsidR="00D961CB" w:rsidRPr="00237760" w:rsidRDefault="00D961CB"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Rozdział IV. Podrozdział 6. System monitoringu i ewaluacji (oceny realizacji Programu)</w:t>
            </w:r>
          </w:p>
          <w:p w14:paraId="0386A7DC" w14:textId="31FAAFB5" w:rsidR="00D961CB" w:rsidRPr="00237760" w:rsidRDefault="00D961CB" w:rsidP="009367B4">
            <w:pPr>
              <w:spacing w:after="0" w:line="240" w:lineRule="auto"/>
              <w:jc w:val="left"/>
              <w:rPr>
                <w:rFonts w:ascii="Arial" w:hAnsi="Arial" w:cs="Arial"/>
                <w:color w:val="auto"/>
                <w:sz w:val="24"/>
                <w:szCs w:val="24"/>
              </w:rPr>
            </w:pPr>
          </w:p>
        </w:tc>
        <w:tc>
          <w:tcPr>
            <w:tcW w:w="1412" w:type="dxa"/>
            <w:tcBorders>
              <w:top w:val="single" w:sz="4" w:space="0" w:color="BDD6EE" w:themeColor="accent1" w:themeTint="66"/>
              <w:left w:val="nil"/>
              <w:right w:val="nil"/>
            </w:tcBorders>
            <w:vAlign w:val="center"/>
          </w:tcPr>
          <w:p w14:paraId="0C586E8F" w14:textId="77777777" w:rsidR="00D961CB" w:rsidRPr="00237760" w:rsidRDefault="00D961CB"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uzupełnienie/</w:t>
            </w:r>
          </w:p>
          <w:p w14:paraId="5FE25040" w14:textId="37961DCB" w:rsidR="00D961CB" w:rsidRPr="00237760" w:rsidRDefault="00D961CB"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modyfikacja</w:t>
            </w:r>
          </w:p>
        </w:tc>
      </w:tr>
      <w:tr w:rsidR="00237760" w:rsidRPr="00237760" w14:paraId="182FA865" w14:textId="77777777" w:rsidTr="0070747D">
        <w:trPr>
          <w:trHeight w:val="1367"/>
        </w:trPr>
        <w:tc>
          <w:tcPr>
            <w:tcW w:w="426" w:type="dxa"/>
            <w:vMerge/>
            <w:tcMar>
              <w:left w:w="28" w:type="dxa"/>
              <w:right w:w="28" w:type="dxa"/>
            </w:tcMar>
            <w:vAlign w:val="center"/>
          </w:tcPr>
          <w:p w14:paraId="37C29D11" w14:textId="31A9BD52" w:rsidR="00D961CB" w:rsidRPr="00237760" w:rsidRDefault="00D961CB" w:rsidP="009367B4">
            <w:pPr>
              <w:spacing w:after="0" w:line="240" w:lineRule="auto"/>
              <w:ind w:left="720" w:hanging="360"/>
              <w:jc w:val="left"/>
              <w:rPr>
                <w:rFonts w:ascii="Arial" w:hAnsi="Arial" w:cs="Arial"/>
                <w:b/>
                <w:color w:val="auto"/>
                <w:sz w:val="24"/>
                <w:szCs w:val="24"/>
              </w:rPr>
            </w:pPr>
          </w:p>
        </w:tc>
        <w:tc>
          <w:tcPr>
            <w:tcW w:w="4820" w:type="dxa"/>
            <w:vMerge/>
            <w:vAlign w:val="center"/>
          </w:tcPr>
          <w:p w14:paraId="40105B9C" w14:textId="77777777" w:rsidR="00D961CB" w:rsidRPr="00237760" w:rsidRDefault="00D961CB" w:rsidP="009367B4">
            <w:pPr>
              <w:spacing w:after="0" w:line="240" w:lineRule="auto"/>
              <w:jc w:val="left"/>
              <w:rPr>
                <w:rFonts w:ascii="Arial" w:hAnsi="Arial" w:cs="Arial"/>
                <w:color w:val="auto"/>
                <w:sz w:val="24"/>
                <w:szCs w:val="24"/>
              </w:rPr>
            </w:pPr>
          </w:p>
        </w:tc>
        <w:tc>
          <w:tcPr>
            <w:tcW w:w="4536" w:type="dxa"/>
            <w:tcBorders>
              <w:top w:val="single" w:sz="4" w:space="0" w:color="BDD6EE" w:themeColor="accent1" w:themeTint="66"/>
              <w:left w:val="nil"/>
              <w:right w:val="nil"/>
            </w:tcBorders>
            <w:vAlign w:val="center"/>
          </w:tcPr>
          <w:p w14:paraId="4E973F9F" w14:textId="7E19A79D" w:rsidR="00D961CB" w:rsidRPr="00237760" w:rsidRDefault="00D961CB"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 xml:space="preserve">Weryfikacja wartości docelowych części wskaźników monitorowania Programu, zwłaszcza tych, w przypadku których wartość docelowa została już zrealizowana w ostatnim roku dostępności danych. Dla wskaźników dla </w:t>
            </w:r>
            <w:r w:rsidRPr="00237760">
              <w:rPr>
                <w:rFonts w:ascii="Arial" w:hAnsi="Arial" w:cs="Arial"/>
                <w:color w:val="auto"/>
                <w:sz w:val="24"/>
                <w:szCs w:val="24"/>
              </w:rPr>
              <w:lastRenderedPageBreak/>
              <w:t>których nie określono wartości docelowej rekomenduje się uzupełnienie oczekiwanego w perspektywie 2030 roku kierunku trendu: wzrost/spadek.</w:t>
            </w:r>
          </w:p>
        </w:tc>
        <w:tc>
          <w:tcPr>
            <w:tcW w:w="2714" w:type="dxa"/>
            <w:vMerge/>
            <w:vAlign w:val="center"/>
          </w:tcPr>
          <w:p w14:paraId="1B708956" w14:textId="5406D7D1" w:rsidR="00D961CB" w:rsidRPr="00237760" w:rsidRDefault="00D961CB" w:rsidP="009367B4">
            <w:pPr>
              <w:spacing w:after="0" w:line="240" w:lineRule="auto"/>
              <w:jc w:val="left"/>
              <w:rPr>
                <w:rFonts w:ascii="Arial" w:hAnsi="Arial" w:cs="Arial"/>
                <w:color w:val="auto"/>
                <w:sz w:val="24"/>
                <w:szCs w:val="24"/>
              </w:rPr>
            </w:pPr>
          </w:p>
        </w:tc>
        <w:tc>
          <w:tcPr>
            <w:tcW w:w="1412" w:type="dxa"/>
            <w:tcBorders>
              <w:top w:val="single" w:sz="4" w:space="0" w:color="BDD6EE" w:themeColor="accent1" w:themeTint="66"/>
              <w:left w:val="nil"/>
              <w:right w:val="nil"/>
            </w:tcBorders>
            <w:vAlign w:val="center"/>
          </w:tcPr>
          <w:p w14:paraId="0FBC0313" w14:textId="77777777" w:rsidR="00D961CB" w:rsidRPr="00237760" w:rsidRDefault="00D961CB" w:rsidP="009367B4">
            <w:pPr>
              <w:spacing w:after="0" w:line="240" w:lineRule="auto"/>
              <w:jc w:val="left"/>
              <w:rPr>
                <w:rFonts w:ascii="Arial" w:hAnsi="Arial" w:cs="Arial"/>
                <w:color w:val="auto"/>
                <w:sz w:val="24"/>
                <w:szCs w:val="24"/>
              </w:rPr>
            </w:pPr>
          </w:p>
          <w:p w14:paraId="140D2471" w14:textId="77777777" w:rsidR="00F2057E" w:rsidRPr="00237760" w:rsidRDefault="00D961CB"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uzupełnienie/</w:t>
            </w:r>
          </w:p>
          <w:p w14:paraId="47516229" w14:textId="573BB4EA" w:rsidR="00D961CB" w:rsidRPr="00237760" w:rsidRDefault="00D961CB" w:rsidP="009367B4">
            <w:pPr>
              <w:spacing w:after="0" w:line="240" w:lineRule="auto"/>
              <w:jc w:val="left"/>
              <w:rPr>
                <w:rFonts w:ascii="Arial" w:hAnsi="Arial" w:cs="Arial"/>
                <w:color w:val="auto"/>
                <w:sz w:val="24"/>
                <w:szCs w:val="24"/>
              </w:rPr>
            </w:pPr>
            <w:r w:rsidRPr="00237760">
              <w:rPr>
                <w:rFonts w:ascii="Arial" w:hAnsi="Arial" w:cs="Arial"/>
                <w:color w:val="auto"/>
                <w:sz w:val="24"/>
                <w:szCs w:val="24"/>
              </w:rPr>
              <w:t>modyfikacja</w:t>
            </w:r>
          </w:p>
        </w:tc>
      </w:tr>
      <w:tr w:rsidR="00237760" w:rsidRPr="00237760" w14:paraId="7C32C2FA" w14:textId="497A260D" w:rsidTr="0070747D">
        <w:trPr>
          <w:trHeight w:val="151"/>
        </w:trPr>
        <w:tc>
          <w:tcPr>
            <w:tcW w:w="426" w:type="dxa"/>
            <w:tcBorders>
              <w:top w:val="single" w:sz="4" w:space="0" w:color="BDD6EE" w:themeColor="accent1" w:themeTint="66"/>
              <w:left w:val="nil"/>
              <w:right w:val="nil"/>
            </w:tcBorders>
            <w:tcMar>
              <w:left w:w="28" w:type="dxa"/>
              <w:right w:w="28" w:type="dxa"/>
            </w:tcMar>
            <w:vAlign w:val="center"/>
          </w:tcPr>
          <w:p w14:paraId="1791E264" w14:textId="60DFD26D" w:rsidR="00D961CB" w:rsidRPr="00237760" w:rsidRDefault="00D961CB" w:rsidP="009367B4">
            <w:pPr>
              <w:pStyle w:val="Akapitzlist"/>
              <w:numPr>
                <w:ilvl w:val="0"/>
                <w:numId w:val="14"/>
              </w:numPr>
              <w:spacing w:after="0" w:line="240" w:lineRule="auto"/>
              <w:ind w:left="258" w:hanging="178"/>
              <w:jc w:val="left"/>
              <w:rPr>
                <w:rFonts w:ascii="Arial" w:hAnsi="Arial" w:cs="Arial"/>
                <w:b/>
                <w:color w:val="auto"/>
                <w:sz w:val="24"/>
                <w:szCs w:val="24"/>
              </w:rPr>
            </w:pPr>
          </w:p>
        </w:tc>
        <w:tc>
          <w:tcPr>
            <w:tcW w:w="4820" w:type="dxa"/>
            <w:tcBorders>
              <w:top w:val="single" w:sz="4" w:space="0" w:color="BDD6EE" w:themeColor="accent1" w:themeTint="66"/>
              <w:left w:val="nil"/>
              <w:right w:val="nil"/>
            </w:tcBorders>
            <w:vAlign w:val="center"/>
          </w:tcPr>
          <w:p w14:paraId="647BCB4A" w14:textId="4BB06692" w:rsidR="00D961CB" w:rsidRPr="00237760" w:rsidRDefault="00D961CB" w:rsidP="009367B4">
            <w:pPr>
              <w:spacing w:after="0" w:line="240" w:lineRule="auto"/>
              <w:jc w:val="left"/>
              <w:rPr>
                <w:rFonts w:ascii="Arial" w:hAnsi="Arial" w:cs="Arial"/>
                <w:bCs/>
                <w:color w:val="auto"/>
                <w:sz w:val="24"/>
                <w:szCs w:val="24"/>
              </w:rPr>
            </w:pPr>
            <w:r w:rsidRPr="00237760">
              <w:rPr>
                <w:rFonts w:ascii="Arial" w:hAnsi="Arial" w:cs="Arial"/>
                <w:bCs/>
                <w:color w:val="auto"/>
                <w:sz w:val="24"/>
                <w:szCs w:val="24"/>
              </w:rPr>
              <w:t>Rozdział dotyczący systemu monitoringu i ewaluacji Programu nie zawiera treści związanych z procesem ewaluacji, ponadto w PSRT WP brakuje informacji o kwocie środków przeznaczonych na przygotowanie raportu ewaluacyjnego podsumowującego efekty realizacji programu (obowiązek wynika z Ustawy o zasadach prowadzenia polityki rozwoju).</w:t>
            </w:r>
          </w:p>
        </w:tc>
        <w:tc>
          <w:tcPr>
            <w:tcW w:w="4536" w:type="dxa"/>
            <w:tcBorders>
              <w:top w:val="single" w:sz="4" w:space="0" w:color="BDD6EE" w:themeColor="accent1" w:themeTint="66"/>
              <w:left w:val="nil"/>
              <w:right w:val="nil"/>
            </w:tcBorders>
            <w:vAlign w:val="center"/>
          </w:tcPr>
          <w:p w14:paraId="13BECE42" w14:textId="48C50440" w:rsidR="00D961CB" w:rsidRPr="00237760" w:rsidRDefault="00D961CB" w:rsidP="009367B4">
            <w:pPr>
              <w:spacing w:after="0" w:line="240" w:lineRule="auto"/>
              <w:jc w:val="left"/>
              <w:rPr>
                <w:rFonts w:ascii="Arial" w:hAnsi="Arial" w:cs="Arial"/>
                <w:bCs/>
                <w:color w:val="auto"/>
                <w:sz w:val="24"/>
                <w:szCs w:val="24"/>
              </w:rPr>
            </w:pPr>
            <w:r w:rsidRPr="00237760">
              <w:rPr>
                <w:rFonts w:ascii="Arial" w:hAnsi="Arial" w:cs="Arial"/>
                <w:bCs/>
                <w:color w:val="auto"/>
                <w:sz w:val="24"/>
                <w:szCs w:val="24"/>
              </w:rPr>
              <w:t>Uzupełnienie rozdziału o treści dotyczące ewaluacji oraz zawarcie informacji o kwocie środków przeznaczonych na przygotowanie raportu ewaluacyjnego podsumowującego efekty realizacji Programu.</w:t>
            </w:r>
          </w:p>
        </w:tc>
        <w:tc>
          <w:tcPr>
            <w:tcW w:w="2714" w:type="dxa"/>
            <w:vMerge/>
            <w:vAlign w:val="center"/>
          </w:tcPr>
          <w:p w14:paraId="265F9022" w14:textId="14EFB226" w:rsidR="00D961CB" w:rsidRPr="00237760" w:rsidRDefault="00D961CB" w:rsidP="009367B4">
            <w:pPr>
              <w:spacing w:after="0" w:line="240" w:lineRule="auto"/>
              <w:jc w:val="left"/>
              <w:rPr>
                <w:rFonts w:ascii="Arial" w:hAnsi="Arial" w:cs="Arial"/>
                <w:color w:val="auto"/>
                <w:sz w:val="24"/>
                <w:szCs w:val="24"/>
              </w:rPr>
            </w:pPr>
          </w:p>
        </w:tc>
        <w:tc>
          <w:tcPr>
            <w:tcW w:w="1412" w:type="dxa"/>
            <w:tcBorders>
              <w:top w:val="single" w:sz="4" w:space="0" w:color="BDD6EE" w:themeColor="accent1" w:themeTint="66"/>
              <w:left w:val="nil"/>
              <w:right w:val="nil"/>
            </w:tcBorders>
            <w:vAlign w:val="center"/>
          </w:tcPr>
          <w:p w14:paraId="6E12AD24" w14:textId="5686769F" w:rsidR="00D961CB" w:rsidRPr="00237760" w:rsidRDefault="00D961CB" w:rsidP="009367B4">
            <w:pPr>
              <w:spacing w:after="0" w:line="240" w:lineRule="auto"/>
              <w:jc w:val="left"/>
              <w:rPr>
                <w:rFonts w:ascii="Arial" w:hAnsi="Arial" w:cs="Arial"/>
                <w:bCs/>
                <w:color w:val="auto"/>
                <w:sz w:val="24"/>
                <w:szCs w:val="24"/>
              </w:rPr>
            </w:pPr>
            <w:r w:rsidRPr="00237760">
              <w:rPr>
                <w:rFonts w:ascii="Arial" w:hAnsi="Arial" w:cs="Arial"/>
                <w:bCs/>
                <w:color w:val="auto"/>
                <w:sz w:val="24"/>
                <w:szCs w:val="24"/>
              </w:rPr>
              <w:t>uzupełnienie</w:t>
            </w:r>
          </w:p>
        </w:tc>
      </w:tr>
    </w:tbl>
    <w:p w14:paraId="2F85EDA6" w14:textId="1E06ECE4" w:rsidR="002D14D8" w:rsidRPr="00237760" w:rsidRDefault="002D14D8"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 xml:space="preserve">Źródło: opracowanie własne na podstawie </w:t>
      </w:r>
      <w:r w:rsidR="00F311FF" w:rsidRPr="00237760">
        <w:rPr>
          <w:rFonts w:ascii="Arial" w:hAnsi="Arial" w:cs="Arial"/>
          <w:color w:val="auto"/>
          <w:sz w:val="24"/>
          <w:szCs w:val="24"/>
          <w:lang w:eastAsia="pl-PL"/>
        </w:rPr>
        <w:t>PSRT WP</w:t>
      </w:r>
      <w:r w:rsidRPr="00237760">
        <w:rPr>
          <w:rFonts w:ascii="Arial" w:hAnsi="Arial" w:cs="Arial"/>
          <w:color w:val="auto"/>
          <w:sz w:val="24"/>
          <w:szCs w:val="24"/>
          <w:lang w:eastAsia="pl-PL"/>
        </w:rPr>
        <w:t>.</w:t>
      </w:r>
    </w:p>
    <w:p w14:paraId="08734FB3" w14:textId="77777777" w:rsidR="00FC430C" w:rsidRPr="00237760" w:rsidRDefault="00FC430C" w:rsidP="009367B4">
      <w:pPr>
        <w:jc w:val="left"/>
        <w:rPr>
          <w:rFonts w:ascii="Arial" w:hAnsi="Arial" w:cs="Arial"/>
          <w:color w:val="auto"/>
          <w:sz w:val="24"/>
          <w:szCs w:val="24"/>
          <w:lang w:eastAsia="pl-PL"/>
        </w:rPr>
        <w:sectPr w:rsidR="00FC430C" w:rsidRPr="00237760" w:rsidSect="00F847AA">
          <w:headerReference w:type="default" r:id="rId20"/>
          <w:footerReference w:type="first" r:id="rId21"/>
          <w:pgSz w:w="16838" w:h="11906" w:orient="landscape"/>
          <w:pgMar w:top="1417" w:right="1417" w:bottom="1417" w:left="1702" w:header="170" w:footer="1134" w:gutter="0"/>
          <w:cols w:space="708"/>
          <w:docGrid w:linePitch="360"/>
        </w:sectPr>
      </w:pPr>
    </w:p>
    <w:p w14:paraId="4E929773" w14:textId="0200301D" w:rsidR="00512283" w:rsidRPr="00237760" w:rsidRDefault="00512283" w:rsidP="009367B4">
      <w:pPr>
        <w:pStyle w:val="Nagwek1"/>
        <w:rPr>
          <w:rFonts w:ascii="Arial" w:hAnsi="Arial" w:cs="Arial"/>
          <w:color w:val="auto"/>
          <w:sz w:val="24"/>
          <w:szCs w:val="24"/>
        </w:rPr>
      </w:pPr>
      <w:bookmarkStart w:id="298" w:name="_Toc101904172"/>
      <w:bookmarkStart w:id="299" w:name="_Toc89524207"/>
      <w:bookmarkStart w:id="300" w:name="_Toc89589801"/>
      <w:bookmarkStart w:id="301" w:name="_Toc90226518"/>
      <w:r w:rsidRPr="00237760">
        <w:rPr>
          <w:rFonts w:ascii="Arial" w:hAnsi="Arial" w:cs="Arial"/>
          <w:color w:val="auto"/>
          <w:sz w:val="24"/>
          <w:szCs w:val="24"/>
        </w:rPr>
        <w:lastRenderedPageBreak/>
        <w:t>Literatura</w:t>
      </w:r>
      <w:bookmarkEnd w:id="298"/>
    </w:p>
    <w:p w14:paraId="3F06C04B" w14:textId="77777777" w:rsidR="00DA6050" w:rsidRPr="00237760" w:rsidRDefault="00DA6050" w:rsidP="009367B4">
      <w:pPr>
        <w:jc w:val="left"/>
        <w:rPr>
          <w:rFonts w:ascii="Arial" w:hAnsi="Arial" w:cs="Arial"/>
          <w:color w:val="auto"/>
          <w:sz w:val="24"/>
          <w:szCs w:val="24"/>
        </w:rPr>
      </w:pPr>
      <w:bookmarkStart w:id="302" w:name="_Hlk96548278"/>
      <w:r w:rsidRPr="00237760">
        <w:rPr>
          <w:rFonts w:ascii="Arial" w:hAnsi="Arial" w:cs="Arial"/>
          <w:color w:val="auto"/>
          <w:sz w:val="24"/>
          <w:szCs w:val="24"/>
        </w:rPr>
        <w:t xml:space="preserve">Churski P., Miszczuk A., </w:t>
      </w:r>
      <w:r w:rsidRPr="00237760">
        <w:rPr>
          <w:rFonts w:ascii="Arial" w:hAnsi="Arial" w:cs="Arial"/>
          <w:i/>
          <w:iCs/>
          <w:color w:val="auto"/>
          <w:sz w:val="24"/>
          <w:szCs w:val="24"/>
        </w:rPr>
        <w:t>Program Strategiczny Błękitny San</w:t>
      </w:r>
      <w:r w:rsidRPr="00237760">
        <w:rPr>
          <w:rFonts w:ascii="Arial" w:hAnsi="Arial" w:cs="Arial"/>
          <w:color w:val="auto"/>
          <w:sz w:val="24"/>
          <w:szCs w:val="24"/>
        </w:rPr>
        <w:t xml:space="preserve">, (2013), Rzeszów. </w:t>
      </w:r>
    </w:p>
    <w:p w14:paraId="010BC242" w14:textId="77777777" w:rsidR="00DA6050" w:rsidRPr="00237760" w:rsidRDefault="00DA6050"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Churski P.</w:t>
      </w:r>
      <w:r w:rsidRPr="00237760">
        <w:rPr>
          <w:rFonts w:ascii="Arial" w:hAnsi="Arial" w:cs="Arial"/>
          <w:i/>
          <w:color w:val="auto"/>
          <w:sz w:val="24"/>
          <w:szCs w:val="24"/>
          <w:lang w:eastAsia="pl-PL"/>
        </w:rPr>
        <w:t>, Program Strategicznego Rozwoju Bieszczad</w:t>
      </w:r>
      <w:r w:rsidRPr="00237760">
        <w:rPr>
          <w:rFonts w:ascii="Arial" w:hAnsi="Arial" w:cs="Arial"/>
          <w:color w:val="auto"/>
          <w:sz w:val="24"/>
          <w:szCs w:val="24"/>
          <w:lang w:eastAsia="pl-PL"/>
        </w:rPr>
        <w:t>, (2013), Rzeszów.</w:t>
      </w:r>
    </w:p>
    <w:p w14:paraId="3B281C9E" w14:textId="77777777" w:rsidR="00DA6050" w:rsidRPr="00237760" w:rsidRDefault="00DA6050" w:rsidP="009367B4">
      <w:pPr>
        <w:jc w:val="left"/>
        <w:rPr>
          <w:rFonts w:ascii="Arial" w:hAnsi="Arial" w:cs="Arial"/>
          <w:color w:val="auto"/>
          <w:sz w:val="24"/>
          <w:szCs w:val="24"/>
        </w:rPr>
      </w:pPr>
      <w:r w:rsidRPr="00237760">
        <w:rPr>
          <w:rFonts w:ascii="Arial" w:hAnsi="Arial" w:cs="Arial"/>
          <w:i/>
          <w:iCs/>
          <w:color w:val="auto"/>
          <w:sz w:val="24"/>
          <w:szCs w:val="24"/>
        </w:rPr>
        <w:t>Czysta energia dla transportu: europejska strategia w zakresie paliw alternatywnych</w:t>
      </w:r>
      <w:r w:rsidRPr="00237760">
        <w:rPr>
          <w:rFonts w:ascii="Arial" w:hAnsi="Arial" w:cs="Arial"/>
          <w:color w:val="auto"/>
          <w:sz w:val="24"/>
          <w:szCs w:val="24"/>
        </w:rPr>
        <w:t>, (2013), Komisja Europejska, Bruksela.</w:t>
      </w:r>
    </w:p>
    <w:p w14:paraId="0CDEAD8C" w14:textId="77777777" w:rsidR="00DA6050" w:rsidRPr="00237760" w:rsidRDefault="00DA6050" w:rsidP="009367B4">
      <w:pPr>
        <w:jc w:val="left"/>
        <w:rPr>
          <w:rFonts w:ascii="Arial" w:hAnsi="Arial" w:cs="Arial"/>
          <w:color w:val="auto"/>
          <w:sz w:val="24"/>
          <w:szCs w:val="24"/>
          <w:lang w:eastAsia="pl-PL"/>
        </w:rPr>
      </w:pPr>
      <w:r w:rsidRPr="00237760">
        <w:rPr>
          <w:rFonts w:ascii="Arial" w:hAnsi="Arial" w:cs="Arial"/>
          <w:i/>
          <w:color w:val="auto"/>
          <w:sz w:val="24"/>
          <w:szCs w:val="24"/>
          <w:lang w:eastAsia="pl-PL"/>
        </w:rPr>
        <w:t xml:space="preserve">Diagnoza Stanu Systemu Transportowego w Województwie Podkarpackim, </w:t>
      </w:r>
      <w:r w:rsidRPr="00237760">
        <w:rPr>
          <w:rFonts w:ascii="Arial" w:hAnsi="Arial" w:cs="Arial"/>
          <w:color w:val="auto"/>
          <w:sz w:val="24"/>
          <w:szCs w:val="24"/>
          <w:lang w:eastAsia="pl-PL"/>
        </w:rPr>
        <w:t>(2020/2021), Podkarpackie Biuro Planowania Przestrzennego w Rzeszowie, Rzeszów.</w:t>
      </w:r>
    </w:p>
    <w:p w14:paraId="55B49220" w14:textId="77777777" w:rsidR="00DA6050" w:rsidRPr="00237760" w:rsidRDefault="00DA6050" w:rsidP="009367B4">
      <w:pPr>
        <w:jc w:val="left"/>
        <w:rPr>
          <w:rFonts w:ascii="Arial" w:hAnsi="Arial" w:cs="Arial"/>
          <w:color w:val="auto"/>
          <w:sz w:val="24"/>
          <w:szCs w:val="24"/>
        </w:rPr>
      </w:pPr>
      <w:r w:rsidRPr="00237760">
        <w:rPr>
          <w:rFonts w:ascii="Arial" w:hAnsi="Arial" w:cs="Arial"/>
          <w:i/>
          <w:iCs/>
          <w:color w:val="auto"/>
          <w:sz w:val="24"/>
          <w:szCs w:val="24"/>
        </w:rPr>
        <w:t>Dokument Implementacyjny do Strategii Rozwoju Transportu do 2020 r. (z perspektywą do 2030 r.)</w:t>
      </w:r>
      <w:r w:rsidRPr="00237760">
        <w:rPr>
          <w:rFonts w:ascii="Arial" w:hAnsi="Arial" w:cs="Arial"/>
          <w:color w:val="auto"/>
          <w:sz w:val="24"/>
          <w:szCs w:val="24"/>
        </w:rPr>
        <w:t>, (2014), Ministerstwo Infrastruktury i Rozwoju, Warszawa.</w:t>
      </w:r>
    </w:p>
    <w:p w14:paraId="0B56AD4B" w14:textId="77777777" w:rsidR="00DA6050" w:rsidRPr="00237760" w:rsidRDefault="00DA6050" w:rsidP="009367B4">
      <w:pPr>
        <w:jc w:val="left"/>
        <w:rPr>
          <w:rFonts w:ascii="Arial" w:hAnsi="Arial" w:cs="Arial"/>
          <w:i/>
          <w:color w:val="auto"/>
          <w:sz w:val="24"/>
          <w:szCs w:val="24"/>
        </w:rPr>
      </w:pPr>
      <w:r w:rsidRPr="00237760">
        <w:rPr>
          <w:rFonts w:ascii="Arial" w:hAnsi="Arial" w:cs="Arial"/>
          <w:i/>
          <w:color w:val="auto"/>
          <w:sz w:val="24"/>
          <w:szCs w:val="24"/>
        </w:rPr>
        <w:t>Europa 2020. Strategia na rzecz inteligentnego i zrównoważonego rozwoju sprzyjającego włączeniu społecznemu.</w:t>
      </w:r>
    </w:p>
    <w:p w14:paraId="1742DDA8" w14:textId="77777777" w:rsidR="00DA6050" w:rsidRPr="00237760" w:rsidRDefault="00DA6050" w:rsidP="009367B4">
      <w:pPr>
        <w:jc w:val="left"/>
        <w:rPr>
          <w:rFonts w:ascii="Arial" w:hAnsi="Arial" w:cs="Arial"/>
          <w:i/>
          <w:color w:val="auto"/>
          <w:sz w:val="24"/>
          <w:szCs w:val="24"/>
          <w:lang w:eastAsia="pl-PL"/>
        </w:rPr>
      </w:pPr>
      <w:r w:rsidRPr="00237760">
        <w:rPr>
          <w:rFonts w:ascii="Arial" w:hAnsi="Arial" w:cs="Arial"/>
          <w:i/>
          <w:color w:val="auto"/>
          <w:sz w:val="24"/>
          <w:szCs w:val="24"/>
          <w:lang w:eastAsia="pl-PL"/>
        </w:rPr>
        <w:t>Europejski Zielony Ład.</w:t>
      </w:r>
    </w:p>
    <w:p w14:paraId="7B3E2D7A" w14:textId="77777777" w:rsidR="00DA6050" w:rsidRPr="00237760" w:rsidRDefault="00DA6050" w:rsidP="009367B4">
      <w:pPr>
        <w:jc w:val="left"/>
        <w:rPr>
          <w:rFonts w:ascii="Arial" w:hAnsi="Arial" w:cs="Arial"/>
          <w:i/>
          <w:color w:val="auto"/>
          <w:sz w:val="24"/>
          <w:szCs w:val="24"/>
          <w:lang w:eastAsia="pl-PL"/>
        </w:rPr>
      </w:pPr>
      <w:r w:rsidRPr="00237760">
        <w:rPr>
          <w:rFonts w:ascii="Arial" w:hAnsi="Arial" w:cs="Arial"/>
          <w:i/>
          <w:color w:val="auto"/>
          <w:sz w:val="24"/>
          <w:szCs w:val="24"/>
          <w:lang w:eastAsia="pl-PL"/>
        </w:rPr>
        <w:t>Fundusze Europejskie dla Nowoczesnej Gospodarki.</w:t>
      </w:r>
    </w:p>
    <w:p w14:paraId="1B638B0C" w14:textId="77777777" w:rsidR="00DA6050" w:rsidRPr="00237760" w:rsidRDefault="00DA6050" w:rsidP="009367B4">
      <w:pPr>
        <w:jc w:val="left"/>
        <w:rPr>
          <w:rFonts w:ascii="Arial" w:hAnsi="Arial" w:cs="Arial"/>
          <w:i/>
          <w:color w:val="auto"/>
          <w:sz w:val="24"/>
          <w:szCs w:val="24"/>
          <w:lang w:eastAsia="pl-PL"/>
        </w:rPr>
      </w:pPr>
      <w:r w:rsidRPr="00237760">
        <w:rPr>
          <w:rFonts w:ascii="Arial" w:hAnsi="Arial" w:cs="Arial"/>
          <w:i/>
          <w:color w:val="auto"/>
          <w:sz w:val="24"/>
          <w:szCs w:val="24"/>
          <w:lang w:eastAsia="pl-PL"/>
        </w:rPr>
        <w:t>Fundusze Europejskie dla Polski Wschodniej.</w:t>
      </w:r>
    </w:p>
    <w:p w14:paraId="54DA0A39" w14:textId="77777777" w:rsidR="00DA6050" w:rsidRPr="00237760" w:rsidRDefault="00DA6050" w:rsidP="009367B4">
      <w:pPr>
        <w:jc w:val="left"/>
        <w:rPr>
          <w:rFonts w:ascii="Arial" w:hAnsi="Arial" w:cs="Arial"/>
          <w:i/>
          <w:color w:val="auto"/>
          <w:sz w:val="24"/>
          <w:szCs w:val="24"/>
          <w:lang w:eastAsia="pl-PL"/>
        </w:rPr>
      </w:pPr>
      <w:r w:rsidRPr="00237760">
        <w:rPr>
          <w:rFonts w:ascii="Arial" w:hAnsi="Arial" w:cs="Arial"/>
          <w:i/>
          <w:color w:val="auto"/>
          <w:sz w:val="24"/>
          <w:szCs w:val="24"/>
          <w:lang w:eastAsia="pl-PL"/>
        </w:rPr>
        <w:t>Fundusze Europejskie dla Rozwoju Społecznego.</w:t>
      </w:r>
    </w:p>
    <w:p w14:paraId="4BC715C2" w14:textId="77777777" w:rsidR="00DA6050" w:rsidRPr="00237760" w:rsidRDefault="00DA6050" w:rsidP="009367B4">
      <w:pPr>
        <w:jc w:val="left"/>
        <w:rPr>
          <w:rFonts w:ascii="Arial" w:hAnsi="Arial" w:cs="Arial"/>
          <w:i/>
          <w:color w:val="auto"/>
          <w:sz w:val="24"/>
          <w:szCs w:val="24"/>
          <w:lang w:eastAsia="pl-PL"/>
        </w:rPr>
      </w:pPr>
      <w:r w:rsidRPr="00237760">
        <w:rPr>
          <w:rFonts w:ascii="Arial" w:hAnsi="Arial" w:cs="Arial"/>
          <w:i/>
          <w:color w:val="auto"/>
          <w:sz w:val="24"/>
          <w:szCs w:val="24"/>
          <w:lang w:eastAsia="pl-PL"/>
        </w:rPr>
        <w:t>Fundusze Europejskie na Infrastrukturę, Klimat, Środowisko.</w:t>
      </w:r>
    </w:p>
    <w:p w14:paraId="2F9A8048" w14:textId="77777777" w:rsidR="00DA6050" w:rsidRPr="00237760" w:rsidRDefault="00DA6050" w:rsidP="009367B4">
      <w:pPr>
        <w:jc w:val="left"/>
        <w:rPr>
          <w:rFonts w:ascii="Arial" w:hAnsi="Arial" w:cs="Arial"/>
          <w:i/>
          <w:color w:val="auto"/>
          <w:sz w:val="24"/>
          <w:szCs w:val="24"/>
          <w:lang w:eastAsia="pl-PL"/>
        </w:rPr>
      </w:pPr>
      <w:r w:rsidRPr="00237760">
        <w:rPr>
          <w:rFonts w:ascii="Arial" w:hAnsi="Arial" w:cs="Arial"/>
          <w:i/>
          <w:color w:val="auto"/>
          <w:sz w:val="24"/>
          <w:szCs w:val="24"/>
          <w:lang w:eastAsia="pl-PL"/>
        </w:rPr>
        <w:t>Fundusze Europejskie na Rozwój Cyfrowy.</w:t>
      </w:r>
    </w:p>
    <w:p w14:paraId="55380499" w14:textId="77777777" w:rsidR="00DA6050" w:rsidRPr="00237760" w:rsidRDefault="00DA6050" w:rsidP="009367B4">
      <w:pPr>
        <w:jc w:val="left"/>
        <w:rPr>
          <w:rFonts w:ascii="Arial" w:hAnsi="Arial" w:cs="Arial"/>
          <w:color w:val="auto"/>
          <w:sz w:val="24"/>
          <w:szCs w:val="24"/>
          <w:lang w:val="en-US"/>
        </w:rPr>
      </w:pPr>
      <w:r w:rsidRPr="00237760">
        <w:rPr>
          <w:rFonts w:ascii="Arial" w:hAnsi="Arial" w:cs="Arial"/>
          <w:i/>
          <w:iCs/>
          <w:color w:val="auto"/>
          <w:sz w:val="24"/>
          <w:szCs w:val="24"/>
          <w:lang w:val="en-GB"/>
        </w:rPr>
        <w:t xml:space="preserve">Global Trends to 2035. </w:t>
      </w:r>
      <w:r w:rsidRPr="00237760">
        <w:rPr>
          <w:rFonts w:ascii="Arial" w:hAnsi="Arial" w:cs="Arial"/>
          <w:i/>
          <w:color w:val="auto"/>
          <w:sz w:val="24"/>
          <w:szCs w:val="24"/>
          <w:lang w:val="en-US"/>
        </w:rPr>
        <w:t>Geo-politics and international power</w:t>
      </w:r>
      <w:r w:rsidRPr="00237760">
        <w:rPr>
          <w:rFonts w:ascii="Arial" w:hAnsi="Arial" w:cs="Arial"/>
          <w:color w:val="auto"/>
          <w:sz w:val="24"/>
          <w:szCs w:val="24"/>
          <w:lang w:val="en-US"/>
        </w:rPr>
        <w:t>, (2017), European Parliamentary Research Service, Bruksela.</w:t>
      </w:r>
    </w:p>
    <w:p w14:paraId="6115557F" w14:textId="77777777" w:rsidR="00DA6050" w:rsidRPr="00237760" w:rsidRDefault="00DA6050" w:rsidP="009367B4">
      <w:pPr>
        <w:jc w:val="left"/>
        <w:rPr>
          <w:rFonts w:ascii="Arial" w:hAnsi="Arial" w:cs="Arial"/>
          <w:color w:val="auto"/>
          <w:sz w:val="24"/>
          <w:szCs w:val="24"/>
          <w:lang w:eastAsia="pl-PL"/>
        </w:rPr>
      </w:pPr>
      <w:r w:rsidRPr="00237760">
        <w:rPr>
          <w:rFonts w:ascii="Arial" w:hAnsi="Arial" w:cs="Arial"/>
          <w:i/>
          <w:color w:val="auto"/>
          <w:sz w:val="24"/>
          <w:szCs w:val="24"/>
          <w:lang w:eastAsia="pl-PL"/>
        </w:rPr>
        <w:t>Informacja o spełnieniu warunku podstawowego Celu Polityki 3 na poziomie regionalnym w zakresie opracowania Programu Strategicznego Rozwoju Transportu Województwa Podkarpackiego do roku 2030</w:t>
      </w:r>
      <w:r w:rsidRPr="00237760">
        <w:rPr>
          <w:rFonts w:ascii="Arial" w:hAnsi="Arial" w:cs="Arial"/>
          <w:color w:val="auto"/>
          <w:sz w:val="24"/>
          <w:szCs w:val="24"/>
          <w:lang w:eastAsia="pl-PL"/>
        </w:rPr>
        <w:t>, Sesja Sejmiku Województwa Podkarpackiego 30.08.2021 r. (2021).</w:t>
      </w:r>
    </w:p>
    <w:p w14:paraId="0A7DC2E8" w14:textId="77777777" w:rsidR="00DA6050" w:rsidRPr="00237760" w:rsidRDefault="00DA6050"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 xml:space="preserve">Komornicki T., Rosik P., Stępniak M., Goliszek S., Kowalczyk K., 2017, </w:t>
      </w:r>
      <w:r w:rsidRPr="00237760">
        <w:rPr>
          <w:rFonts w:ascii="Arial" w:hAnsi="Arial" w:cs="Arial"/>
          <w:i/>
          <w:color w:val="auto"/>
          <w:sz w:val="24"/>
          <w:szCs w:val="24"/>
          <w:lang w:eastAsia="pl-PL"/>
        </w:rPr>
        <w:t xml:space="preserve">Oszacowanie oczekiwanych rezultatów interwencji za pomocą miar dostępności transportowej dostosowanych do potrzeb dokumentów strategicznych i operacyjnych dot. perspektywy finansowej 2014-2020 (aktualizacja), </w:t>
      </w:r>
      <w:r w:rsidRPr="00237760">
        <w:rPr>
          <w:rFonts w:ascii="Arial" w:hAnsi="Arial" w:cs="Arial"/>
          <w:color w:val="auto"/>
          <w:sz w:val="24"/>
          <w:szCs w:val="24"/>
          <w:lang w:eastAsia="pl-PL"/>
        </w:rPr>
        <w:t>IGiPZ PAN, Warszawa.</w:t>
      </w:r>
    </w:p>
    <w:p w14:paraId="15AAE2A0" w14:textId="77777777" w:rsidR="00DA6050" w:rsidRPr="00237760" w:rsidRDefault="00DA6050" w:rsidP="009367B4">
      <w:pPr>
        <w:jc w:val="left"/>
        <w:rPr>
          <w:rFonts w:ascii="Arial" w:hAnsi="Arial" w:cs="Arial"/>
          <w:color w:val="auto"/>
          <w:sz w:val="24"/>
          <w:szCs w:val="24"/>
          <w:lang w:eastAsia="pl-PL"/>
        </w:rPr>
      </w:pPr>
      <w:r w:rsidRPr="00237760">
        <w:rPr>
          <w:rFonts w:ascii="Arial" w:hAnsi="Arial" w:cs="Arial"/>
          <w:i/>
          <w:color w:val="auto"/>
          <w:sz w:val="24"/>
          <w:szCs w:val="24"/>
          <w:lang w:eastAsia="pl-PL"/>
        </w:rPr>
        <w:t xml:space="preserve">Kontrakt Programowy dla Województwa Podkarpackiego, </w:t>
      </w:r>
      <w:r w:rsidRPr="00237760">
        <w:rPr>
          <w:rFonts w:ascii="Arial" w:hAnsi="Arial" w:cs="Arial"/>
          <w:color w:val="auto"/>
          <w:sz w:val="24"/>
          <w:szCs w:val="24"/>
          <w:lang w:eastAsia="pl-PL"/>
        </w:rPr>
        <w:t>2022</w:t>
      </w:r>
    </w:p>
    <w:p w14:paraId="57C4CB45" w14:textId="77777777" w:rsidR="00DA6050" w:rsidRPr="00237760" w:rsidRDefault="00DA6050" w:rsidP="009367B4">
      <w:pPr>
        <w:jc w:val="left"/>
        <w:rPr>
          <w:rFonts w:ascii="Arial" w:hAnsi="Arial" w:cs="Arial"/>
          <w:color w:val="auto"/>
          <w:sz w:val="24"/>
          <w:szCs w:val="24"/>
          <w:lang w:eastAsia="pl-PL"/>
        </w:rPr>
      </w:pPr>
      <w:r w:rsidRPr="00237760">
        <w:rPr>
          <w:rFonts w:ascii="Arial" w:hAnsi="Arial" w:cs="Arial"/>
          <w:i/>
          <w:color w:val="auto"/>
          <w:sz w:val="24"/>
          <w:szCs w:val="24"/>
          <w:lang w:eastAsia="pl-PL"/>
        </w:rPr>
        <w:t xml:space="preserve">Kontrakt Terytorialny dla Województwa Podkarpackiego, </w:t>
      </w:r>
      <w:r w:rsidRPr="00237760">
        <w:rPr>
          <w:rFonts w:ascii="Arial" w:hAnsi="Arial" w:cs="Arial"/>
          <w:color w:val="auto"/>
          <w:sz w:val="24"/>
          <w:szCs w:val="24"/>
          <w:lang w:eastAsia="pl-PL"/>
        </w:rPr>
        <w:t>2014</w:t>
      </w:r>
    </w:p>
    <w:p w14:paraId="33B70A48" w14:textId="77777777" w:rsidR="00DA6050" w:rsidRPr="00237760" w:rsidRDefault="00DA6050" w:rsidP="009367B4">
      <w:pPr>
        <w:jc w:val="left"/>
        <w:rPr>
          <w:rFonts w:ascii="Arial" w:hAnsi="Arial" w:cs="Arial"/>
          <w:iCs/>
          <w:color w:val="auto"/>
          <w:sz w:val="24"/>
          <w:szCs w:val="24"/>
        </w:rPr>
      </w:pPr>
      <w:r w:rsidRPr="00237760">
        <w:rPr>
          <w:rFonts w:ascii="Arial" w:hAnsi="Arial" w:cs="Arial"/>
          <w:i/>
          <w:color w:val="auto"/>
          <w:sz w:val="24"/>
          <w:szCs w:val="24"/>
        </w:rPr>
        <w:t xml:space="preserve">Krajowa Strategia Rozwoju Regionalnego 2030. Rozwój społecznie wrażliwy i terytorialnie zrównoważony, </w:t>
      </w:r>
      <w:r w:rsidRPr="00237760">
        <w:rPr>
          <w:rFonts w:ascii="Arial" w:hAnsi="Arial" w:cs="Arial"/>
          <w:iCs/>
          <w:color w:val="auto"/>
          <w:sz w:val="24"/>
          <w:szCs w:val="24"/>
        </w:rPr>
        <w:t>(2019), Warszawa.</w:t>
      </w:r>
    </w:p>
    <w:p w14:paraId="10123B6F" w14:textId="77777777" w:rsidR="00DA6050" w:rsidRPr="00237760" w:rsidRDefault="00DA6050" w:rsidP="009367B4">
      <w:pPr>
        <w:jc w:val="left"/>
        <w:rPr>
          <w:rFonts w:ascii="Arial" w:hAnsi="Arial" w:cs="Arial"/>
          <w:color w:val="auto"/>
          <w:sz w:val="24"/>
          <w:szCs w:val="24"/>
        </w:rPr>
      </w:pPr>
      <w:r w:rsidRPr="00237760">
        <w:rPr>
          <w:rFonts w:ascii="Arial" w:hAnsi="Arial" w:cs="Arial"/>
          <w:i/>
          <w:iCs/>
          <w:color w:val="auto"/>
          <w:sz w:val="24"/>
          <w:szCs w:val="24"/>
        </w:rPr>
        <w:t>Krajowy plan na rzecz energii i klimatu na lata 2021-2030</w:t>
      </w:r>
      <w:r w:rsidRPr="00237760">
        <w:rPr>
          <w:rFonts w:ascii="Arial" w:hAnsi="Arial" w:cs="Arial"/>
          <w:color w:val="auto"/>
          <w:sz w:val="24"/>
          <w:szCs w:val="24"/>
        </w:rPr>
        <w:t>, (2019), Ministerstwo Aktywów Państwowych, Warszawa.</w:t>
      </w:r>
    </w:p>
    <w:p w14:paraId="267ECB8C" w14:textId="77777777" w:rsidR="00DA6050" w:rsidRPr="00237760" w:rsidRDefault="00DA6050" w:rsidP="009367B4">
      <w:pPr>
        <w:jc w:val="left"/>
        <w:rPr>
          <w:rFonts w:ascii="Arial" w:hAnsi="Arial" w:cs="Arial"/>
          <w:color w:val="auto"/>
          <w:sz w:val="24"/>
          <w:szCs w:val="24"/>
          <w:lang w:eastAsia="pl-PL"/>
        </w:rPr>
      </w:pPr>
      <w:r w:rsidRPr="00237760">
        <w:rPr>
          <w:rFonts w:ascii="Arial" w:hAnsi="Arial" w:cs="Arial"/>
          <w:i/>
          <w:color w:val="auto"/>
          <w:sz w:val="24"/>
          <w:szCs w:val="24"/>
          <w:lang w:eastAsia="pl-PL"/>
        </w:rPr>
        <w:lastRenderedPageBreak/>
        <w:t xml:space="preserve">Krajowy Plan Odbudowy i Zwiększania Odporności, </w:t>
      </w:r>
      <w:r w:rsidRPr="00237760">
        <w:rPr>
          <w:rFonts w:ascii="Arial" w:hAnsi="Arial" w:cs="Arial"/>
          <w:color w:val="auto"/>
          <w:sz w:val="24"/>
          <w:szCs w:val="24"/>
          <w:lang w:eastAsia="pl-PL"/>
        </w:rPr>
        <w:t>(2021), Ministerstwo Funduszy i Polityki Regionalnej, Warszawa.</w:t>
      </w:r>
    </w:p>
    <w:p w14:paraId="69537281" w14:textId="77777777" w:rsidR="00DA6050" w:rsidRPr="00237760" w:rsidRDefault="00DA6050" w:rsidP="009367B4">
      <w:pPr>
        <w:jc w:val="left"/>
        <w:rPr>
          <w:rFonts w:ascii="Arial" w:hAnsi="Arial" w:cs="Arial"/>
          <w:i/>
          <w:color w:val="auto"/>
          <w:sz w:val="24"/>
          <w:szCs w:val="24"/>
          <w:lang w:eastAsia="pl-PL"/>
        </w:rPr>
      </w:pPr>
      <w:r w:rsidRPr="00237760">
        <w:rPr>
          <w:rFonts w:ascii="Arial" w:hAnsi="Arial" w:cs="Arial"/>
          <w:i/>
          <w:color w:val="auto"/>
          <w:sz w:val="24"/>
          <w:szCs w:val="24"/>
          <w:lang w:eastAsia="pl-PL"/>
        </w:rPr>
        <w:t>Krajowy Program Kolejowy do 2023 roku.</w:t>
      </w:r>
    </w:p>
    <w:p w14:paraId="415CA4FE" w14:textId="77777777" w:rsidR="00DA6050" w:rsidRPr="00237760" w:rsidRDefault="00DA6050" w:rsidP="009367B4">
      <w:pPr>
        <w:jc w:val="left"/>
        <w:rPr>
          <w:rFonts w:ascii="Arial" w:hAnsi="Arial" w:cs="Arial"/>
          <w:i/>
          <w:color w:val="auto"/>
          <w:sz w:val="24"/>
          <w:szCs w:val="24"/>
          <w:lang w:eastAsia="pl-PL"/>
        </w:rPr>
      </w:pPr>
      <w:r w:rsidRPr="00237760">
        <w:rPr>
          <w:rFonts w:ascii="Arial" w:hAnsi="Arial" w:cs="Arial"/>
          <w:i/>
          <w:color w:val="auto"/>
          <w:sz w:val="24"/>
          <w:szCs w:val="24"/>
          <w:lang w:eastAsia="pl-PL"/>
        </w:rPr>
        <w:t>Najlepsze praktyki w zakresie regionalnych planów transportowych (Polska), Wytyczne JASPERS z dnia 24 kwietnia 2020 r.</w:t>
      </w:r>
    </w:p>
    <w:p w14:paraId="1A326DDB" w14:textId="77777777" w:rsidR="00DA6050" w:rsidRPr="00237760" w:rsidRDefault="00DA6050" w:rsidP="009367B4">
      <w:pPr>
        <w:jc w:val="left"/>
        <w:rPr>
          <w:rFonts w:ascii="Arial" w:hAnsi="Arial" w:cs="Arial"/>
          <w:i/>
          <w:color w:val="auto"/>
          <w:sz w:val="24"/>
          <w:szCs w:val="24"/>
          <w:lang w:eastAsia="pl-PL"/>
        </w:rPr>
      </w:pPr>
      <w:r w:rsidRPr="00237760">
        <w:rPr>
          <w:rFonts w:ascii="Arial" w:hAnsi="Arial" w:cs="Arial"/>
          <w:i/>
          <w:color w:val="auto"/>
          <w:sz w:val="24"/>
          <w:szCs w:val="24"/>
          <w:lang w:eastAsia="pl-PL"/>
        </w:rPr>
        <w:t>Narodowy Program Bezpieczeństwa Ruchu Drogowego 2021-2030.</w:t>
      </w:r>
    </w:p>
    <w:p w14:paraId="1BAD2C46" w14:textId="77777777" w:rsidR="00DA6050" w:rsidRPr="00237760" w:rsidRDefault="00DA6050" w:rsidP="009367B4">
      <w:pPr>
        <w:jc w:val="left"/>
        <w:rPr>
          <w:rFonts w:ascii="Arial" w:hAnsi="Arial" w:cs="Arial"/>
          <w:color w:val="auto"/>
          <w:sz w:val="24"/>
          <w:szCs w:val="24"/>
          <w:lang w:val="en-US" w:eastAsia="pl-PL"/>
        </w:rPr>
      </w:pPr>
      <w:r w:rsidRPr="00237760">
        <w:rPr>
          <w:rFonts w:ascii="Arial" w:hAnsi="Arial" w:cs="Arial"/>
          <w:color w:val="auto"/>
          <w:sz w:val="24"/>
          <w:szCs w:val="24"/>
          <w:lang w:val="en-US" w:eastAsia="pl-PL"/>
        </w:rPr>
        <w:t xml:space="preserve">Pape M., </w:t>
      </w:r>
      <w:r w:rsidRPr="00237760">
        <w:rPr>
          <w:rFonts w:ascii="Arial" w:hAnsi="Arial" w:cs="Arial"/>
          <w:i/>
          <w:color w:val="auto"/>
          <w:sz w:val="24"/>
          <w:szCs w:val="24"/>
          <w:lang w:val="en-US" w:eastAsia="pl-PL"/>
        </w:rPr>
        <w:t>Transport trends in national recovery and resilience plans</w:t>
      </w:r>
      <w:r w:rsidRPr="00237760">
        <w:rPr>
          <w:rFonts w:ascii="Arial" w:hAnsi="Arial" w:cs="Arial"/>
          <w:color w:val="auto"/>
          <w:sz w:val="24"/>
          <w:szCs w:val="24"/>
          <w:lang w:val="en-US" w:eastAsia="pl-PL"/>
        </w:rPr>
        <w:t>, (2022), European Parliamentary Research Service, Bruksela.</w:t>
      </w:r>
    </w:p>
    <w:p w14:paraId="5D88385E" w14:textId="77777777" w:rsidR="00DA6050" w:rsidRPr="00237760" w:rsidRDefault="00DA6050" w:rsidP="009367B4">
      <w:pPr>
        <w:jc w:val="left"/>
        <w:rPr>
          <w:rFonts w:ascii="Arial" w:hAnsi="Arial" w:cs="Arial"/>
          <w:i/>
          <w:color w:val="auto"/>
          <w:sz w:val="24"/>
          <w:szCs w:val="24"/>
          <w:lang w:eastAsia="pl-PL"/>
        </w:rPr>
      </w:pPr>
      <w:r w:rsidRPr="00237760">
        <w:rPr>
          <w:rFonts w:ascii="Arial" w:hAnsi="Arial" w:cs="Arial"/>
          <w:i/>
          <w:color w:val="auto"/>
          <w:sz w:val="24"/>
          <w:szCs w:val="24"/>
          <w:lang w:eastAsia="pl-PL"/>
        </w:rPr>
        <w:t>Plan Zagospodarowania Przestrzennego Województwa Podkarpackiego. Perspektywa 2030,</w:t>
      </w:r>
      <w:r w:rsidRPr="00237760">
        <w:rPr>
          <w:rFonts w:ascii="Arial" w:hAnsi="Arial" w:cs="Arial"/>
          <w:color w:val="auto"/>
          <w:sz w:val="24"/>
          <w:szCs w:val="24"/>
          <w:lang w:eastAsia="pl-PL"/>
        </w:rPr>
        <w:t xml:space="preserve"> (2018), Zarząd Województwa Podkarpackiego, Rzeszów</w:t>
      </w:r>
    </w:p>
    <w:p w14:paraId="4DE75E2A" w14:textId="77777777" w:rsidR="00DA6050" w:rsidRPr="00237760" w:rsidRDefault="00DA6050" w:rsidP="009367B4">
      <w:pPr>
        <w:jc w:val="left"/>
        <w:rPr>
          <w:rFonts w:ascii="Arial" w:hAnsi="Arial" w:cs="Arial"/>
          <w:color w:val="auto"/>
          <w:sz w:val="24"/>
          <w:szCs w:val="24"/>
          <w:lang w:eastAsia="pl-PL"/>
        </w:rPr>
      </w:pPr>
      <w:r w:rsidRPr="00237760">
        <w:rPr>
          <w:rFonts w:ascii="Arial" w:hAnsi="Arial" w:cs="Arial"/>
          <w:i/>
          <w:color w:val="auto"/>
          <w:sz w:val="24"/>
          <w:szCs w:val="24"/>
          <w:lang w:eastAsia="pl-PL"/>
        </w:rPr>
        <w:t xml:space="preserve">Plan zrównoważonego rozwoju publicznego transportu zbiorowego dla Województwa Podkarpackiego, </w:t>
      </w:r>
      <w:r w:rsidRPr="00237760">
        <w:rPr>
          <w:rFonts w:ascii="Arial" w:hAnsi="Arial" w:cs="Arial"/>
          <w:color w:val="auto"/>
          <w:sz w:val="24"/>
          <w:szCs w:val="24"/>
          <w:lang w:eastAsia="pl-PL"/>
        </w:rPr>
        <w:t>(2014),</w:t>
      </w:r>
      <w:r w:rsidRPr="00237760">
        <w:rPr>
          <w:rFonts w:ascii="Arial" w:hAnsi="Arial" w:cs="Arial"/>
          <w:i/>
          <w:color w:val="auto"/>
          <w:sz w:val="24"/>
          <w:szCs w:val="24"/>
          <w:lang w:eastAsia="pl-PL"/>
        </w:rPr>
        <w:t xml:space="preserve"> </w:t>
      </w:r>
      <w:r w:rsidRPr="00237760">
        <w:rPr>
          <w:rFonts w:ascii="Arial" w:hAnsi="Arial" w:cs="Arial"/>
          <w:color w:val="auto"/>
          <w:sz w:val="24"/>
          <w:szCs w:val="24"/>
          <w:lang w:eastAsia="pl-PL"/>
        </w:rPr>
        <w:t>Marszałek Województwa Podkarpackiego.</w:t>
      </w:r>
    </w:p>
    <w:p w14:paraId="4014604D" w14:textId="77777777" w:rsidR="00DA6050" w:rsidRPr="00237760" w:rsidRDefault="00DA6050" w:rsidP="009367B4">
      <w:pPr>
        <w:spacing w:after="160"/>
        <w:jc w:val="left"/>
        <w:rPr>
          <w:rFonts w:ascii="Arial" w:hAnsi="Arial" w:cs="Arial"/>
          <w:color w:val="auto"/>
          <w:sz w:val="24"/>
          <w:szCs w:val="24"/>
        </w:rPr>
      </w:pPr>
      <w:r w:rsidRPr="00237760">
        <w:rPr>
          <w:rFonts w:ascii="Arial" w:hAnsi="Arial" w:cs="Arial"/>
          <w:i/>
          <w:iCs/>
          <w:color w:val="auto"/>
          <w:sz w:val="24"/>
          <w:szCs w:val="24"/>
        </w:rPr>
        <w:t>Plan Zrównoważonego Rozwoju Publicznego Transportu Zbiorowego dla Miasta Przemyśla na lata 2021-2030,</w:t>
      </w:r>
      <w:r w:rsidRPr="00237760">
        <w:rPr>
          <w:rFonts w:ascii="Arial" w:hAnsi="Arial" w:cs="Arial"/>
          <w:color w:val="auto"/>
          <w:sz w:val="24"/>
          <w:szCs w:val="24"/>
        </w:rPr>
        <w:t xml:space="preserve"> (2021), Wrocław – Przemyśl.</w:t>
      </w:r>
    </w:p>
    <w:p w14:paraId="68BF4B27" w14:textId="77777777" w:rsidR="00DA6050" w:rsidRPr="00237760" w:rsidRDefault="00DA6050" w:rsidP="009367B4">
      <w:pPr>
        <w:spacing w:after="160"/>
        <w:jc w:val="left"/>
        <w:rPr>
          <w:rFonts w:ascii="Arial" w:hAnsi="Arial" w:cs="Arial"/>
          <w:color w:val="auto"/>
          <w:sz w:val="24"/>
          <w:szCs w:val="24"/>
        </w:rPr>
      </w:pPr>
      <w:r w:rsidRPr="00237760">
        <w:rPr>
          <w:rFonts w:ascii="Arial" w:hAnsi="Arial" w:cs="Arial"/>
          <w:i/>
          <w:iCs/>
          <w:color w:val="auto"/>
          <w:sz w:val="24"/>
          <w:szCs w:val="24"/>
        </w:rPr>
        <w:t xml:space="preserve">Plan Zrównoważonego Rozwoju Publicznego Transportu Zbiorowego Dla Powiatu Przemyskiego, (projekt), </w:t>
      </w:r>
      <w:r w:rsidRPr="00237760">
        <w:rPr>
          <w:rFonts w:ascii="Arial" w:hAnsi="Arial" w:cs="Arial"/>
          <w:color w:val="auto"/>
          <w:sz w:val="24"/>
          <w:szCs w:val="24"/>
        </w:rPr>
        <w:t>(2014), Przemyśl.</w:t>
      </w:r>
    </w:p>
    <w:p w14:paraId="0DB30790" w14:textId="77777777" w:rsidR="00DA6050" w:rsidRPr="00237760" w:rsidRDefault="00DA6050" w:rsidP="009367B4">
      <w:pPr>
        <w:spacing w:after="160"/>
        <w:jc w:val="left"/>
        <w:rPr>
          <w:rFonts w:ascii="Arial" w:hAnsi="Arial" w:cs="Arial"/>
          <w:color w:val="auto"/>
          <w:sz w:val="24"/>
          <w:szCs w:val="24"/>
        </w:rPr>
      </w:pPr>
      <w:r w:rsidRPr="00237760">
        <w:rPr>
          <w:rFonts w:ascii="Arial" w:hAnsi="Arial" w:cs="Arial"/>
          <w:i/>
          <w:iCs/>
          <w:color w:val="auto"/>
          <w:sz w:val="24"/>
          <w:szCs w:val="24"/>
        </w:rPr>
        <w:t>Plan zrównoważonego rozwoju publicznego transportu zbiorowego dla Gmin: Chorkówka, Jedlicze, Miejsce Piastowe, Korczyna, Krościenko Wyżne, Krosno i Wojaszówka na lata 2021-2030</w:t>
      </w:r>
      <w:r w:rsidRPr="00237760">
        <w:rPr>
          <w:rFonts w:ascii="Arial" w:hAnsi="Arial" w:cs="Arial"/>
          <w:color w:val="auto"/>
          <w:sz w:val="24"/>
          <w:szCs w:val="24"/>
        </w:rPr>
        <w:t>, (2021), Gmina Miasto Krosno, Krosno.</w:t>
      </w:r>
    </w:p>
    <w:p w14:paraId="2835E479" w14:textId="77777777" w:rsidR="00DA6050" w:rsidRPr="00237760" w:rsidRDefault="00DA6050" w:rsidP="009367B4">
      <w:pPr>
        <w:spacing w:after="160"/>
        <w:jc w:val="left"/>
        <w:rPr>
          <w:rFonts w:ascii="Arial" w:hAnsi="Arial" w:cs="Arial"/>
          <w:color w:val="auto"/>
          <w:sz w:val="24"/>
          <w:szCs w:val="24"/>
        </w:rPr>
      </w:pPr>
      <w:r w:rsidRPr="00237760">
        <w:rPr>
          <w:rFonts w:ascii="Arial" w:hAnsi="Arial" w:cs="Arial"/>
          <w:i/>
          <w:iCs/>
          <w:color w:val="auto"/>
          <w:sz w:val="24"/>
          <w:szCs w:val="24"/>
        </w:rPr>
        <w:t xml:space="preserve">Plan zrównoważonego rozwoju publicznego transportu zbiorowego dla powiatu mieleckiego, (projekt), </w:t>
      </w:r>
      <w:r w:rsidRPr="00237760">
        <w:rPr>
          <w:rFonts w:ascii="Arial" w:hAnsi="Arial" w:cs="Arial"/>
          <w:color w:val="auto"/>
          <w:sz w:val="24"/>
          <w:szCs w:val="24"/>
        </w:rPr>
        <w:t>(2013), Wrocław – Mielec.</w:t>
      </w:r>
    </w:p>
    <w:p w14:paraId="368AC289" w14:textId="77777777" w:rsidR="00DA6050" w:rsidRPr="00237760" w:rsidRDefault="00DA6050" w:rsidP="009367B4">
      <w:pPr>
        <w:spacing w:after="160"/>
        <w:jc w:val="left"/>
        <w:rPr>
          <w:rFonts w:ascii="Arial" w:hAnsi="Arial" w:cs="Arial"/>
          <w:i/>
          <w:iCs/>
          <w:color w:val="auto"/>
          <w:sz w:val="24"/>
          <w:szCs w:val="24"/>
        </w:rPr>
      </w:pPr>
      <w:r w:rsidRPr="00237760">
        <w:rPr>
          <w:rFonts w:ascii="Arial" w:hAnsi="Arial" w:cs="Arial"/>
          <w:i/>
          <w:iCs/>
          <w:color w:val="auto"/>
          <w:sz w:val="24"/>
          <w:szCs w:val="24"/>
        </w:rPr>
        <w:t>Plan zrównoważonego rozwoju publicznego transportu zbiorowego dla Powiatu Dębickiego (Plan Transportowy),</w:t>
      </w:r>
      <w:r w:rsidRPr="00237760">
        <w:rPr>
          <w:rFonts w:ascii="Arial" w:hAnsi="Arial" w:cs="Arial"/>
          <w:color w:val="auto"/>
          <w:sz w:val="24"/>
          <w:szCs w:val="24"/>
        </w:rPr>
        <w:t xml:space="preserve"> (2014), Starostwo Powiatowe w Dębicy, Dębica.</w:t>
      </w:r>
    </w:p>
    <w:p w14:paraId="0455CDAD" w14:textId="77777777" w:rsidR="00DA6050" w:rsidRPr="00237760" w:rsidRDefault="00DA6050" w:rsidP="009367B4">
      <w:pPr>
        <w:spacing w:after="160"/>
        <w:jc w:val="left"/>
        <w:rPr>
          <w:rFonts w:ascii="Arial" w:hAnsi="Arial" w:cs="Arial"/>
          <w:color w:val="auto"/>
          <w:sz w:val="24"/>
          <w:szCs w:val="24"/>
        </w:rPr>
      </w:pPr>
      <w:r w:rsidRPr="00237760">
        <w:rPr>
          <w:rFonts w:ascii="Arial" w:hAnsi="Arial" w:cs="Arial"/>
          <w:i/>
          <w:iCs/>
          <w:color w:val="auto"/>
          <w:sz w:val="24"/>
          <w:szCs w:val="24"/>
        </w:rPr>
        <w:t xml:space="preserve">Plan zrównoważonego rozwoju publicznego transportu zbiorowego dla Powiatu Sanockiego, </w:t>
      </w:r>
      <w:r w:rsidRPr="00237760">
        <w:rPr>
          <w:rFonts w:ascii="Arial" w:hAnsi="Arial" w:cs="Arial"/>
          <w:color w:val="auto"/>
          <w:sz w:val="24"/>
          <w:szCs w:val="24"/>
        </w:rPr>
        <w:t>(2018), Starostwo Powiatowe w Sanoku, Bydgoszcz.</w:t>
      </w:r>
    </w:p>
    <w:p w14:paraId="6AC01965" w14:textId="77777777" w:rsidR="00DA6050" w:rsidRPr="00237760" w:rsidRDefault="00DA6050" w:rsidP="009367B4">
      <w:pPr>
        <w:spacing w:after="160"/>
        <w:jc w:val="left"/>
        <w:rPr>
          <w:rFonts w:ascii="Arial" w:hAnsi="Arial" w:cs="Arial"/>
          <w:color w:val="auto"/>
          <w:sz w:val="24"/>
          <w:szCs w:val="24"/>
        </w:rPr>
      </w:pPr>
      <w:r w:rsidRPr="00237760">
        <w:rPr>
          <w:rFonts w:ascii="Arial" w:hAnsi="Arial" w:cs="Arial"/>
          <w:i/>
          <w:iCs/>
          <w:color w:val="auto"/>
          <w:sz w:val="24"/>
          <w:szCs w:val="24"/>
        </w:rPr>
        <w:t xml:space="preserve">Plan zrównoważonego rozwoju publicznego transportu zbiorowego dla Powiatu Stalowowolskiego i Powiatu Niżańskiego, </w:t>
      </w:r>
      <w:r w:rsidRPr="00237760">
        <w:rPr>
          <w:rFonts w:ascii="Arial" w:hAnsi="Arial" w:cs="Arial"/>
          <w:color w:val="auto"/>
          <w:sz w:val="24"/>
          <w:szCs w:val="24"/>
        </w:rPr>
        <w:t>(2016), Stalowa Wola.</w:t>
      </w:r>
    </w:p>
    <w:p w14:paraId="669B36B1" w14:textId="77777777" w:rsidR="00DA6050" w:rsidRPr="00237760" w:rsidRDefault="00DA6050" w:rsidP="009367B4">
      <w:pPr>
        <w:spacing w:after="160"/>
        <w:jc w:val="left"/>
        <w:rPr>
          <w:rFonts w:ascii="Arial" w:hAnsi="Arial" w:cs="Arial"/>
          <w:color w:val="auto"/>
          <w:sz w:val="24"/>
          <w:szCs w:val="24"/>
        </w:rPr>
      </w:pPr>
      <w:r w:rsidRPr="00237760">
        <w:rPr>
          <w:rFonts w:ascii="Arial" w:hAnsi="Arial" w:cs="Arial"/>
          <w:i/>
          <w:iCs/>
          <w:color w:val="auto"/>
          <w:sz w:val="24"/>
          <w:szCs w:val="24"/>
        </w:rPr>
        <w:t xml:space="preserve">Plan zrównoważonego rozwoju publicznego transportu zbiorowego dla Powiatowo-Gminnego Związku Komunikacyjnego w Powiecie Jasielskim na lata 2020-2028, </w:t>
      </w:r>
      <w:r w:rsidRPr="00237760">
        <w:rPr>
          <w:rFonts w:ascii="Arial" w:hAnsi="Arial" w:cs="Arial"/>
          <w:color w:val="auto"/>
          <w:sz w:val="24"/>
          <w:szCs w:val="24"/>
        </w:rPr>
        <w:t>(2020), Warszawa – Jasło.</w:t>
      </w:r>
    </w:p>
    <w:p w14:paraId="6B8E1FEE" w14:textId="77777777" w:rsidR="00DA6050" w:rsidRPr="00237760" w:rsidRDefault="00DA6050" w:rsidP="009367B4">
      <w:pPr>
        <w:spacing w:after="160"/>
        <w:jc w:val="left"/>
        <w:rPr>
          <w:rFonts w:ascii="Arial" w:hAnsi="Arial" w:cs="Arial"/>
          <w:color w:val="auto"/>
          <w:sz w:val="24"/>
          <w:szCs w:val="24"/>
        </w:rPr>
      </w:pPr>
      <w:r w:rsidRPr="00237760">
        <w:rPr>
          <w:rFonts w:ascii="Arial" w:hAnsi="Arial" w:cs="Arial"/>
          <w:i/>
          <w:iCs/>
          <w:color w:val="auto"/>
          <w:sz w:val="24"/>
          <w:szCs w:val="24"/>
        </w:rPr>
        <w:t xml:space="preserve">Plan zrównoważonego rozwoju publicznego transportu zbiorowego dla Powiatu Lubaczowskiego na lata 2015 – 2025, </w:t>
      </w:r>
      <w:r w:rsidRPr="00237760">
        <w:rPr>
          <w:rFonts w:ascii="Arial" w:hAnsi="Arial" w:cs="Arial"/>
          <w:color w:val="auto"/>
          <w:sz w:val="24"/>
          <w:szCs w:val="24"/>
        </w:rPr>
        <w:t xml:space="preserve">(2015), Starostwo Powiatowe w Lubaczowie, Lubaczów. </w:t>
      </w:r>
    </w:p>
    <w:p w14:paraId="466BE26D" w14:textId="77777777" w:rsidR="00DA6050" w:rsidRPr="00237760" w:rsidRDefault="00DA6050" w:rsidP="009367B4">
      <w:pPr>
        <w:spacing w:after="160"/>
        <w:jc w:val="left"/>
        <w:rPr>
          <w:rFonts w:ascii="Arial" w:hAnsi="Arial" w:cs="Arial"/>
          <w:color w:val="auto"/>
          <w:sz w:val="24"/>
          <w:szCs w:val="24"/>
        </w:rPr>
      </w:pPr>
      <w:r w:rsidRPr="00237760">
        <w:rPr>
          <w:rFonts w:ascii="Arial" w:hAnsi="Arial" w:cs="Arial"/>
          <w:i/>
          <w:iCs/>
          <w:color w:val="auto"/>
          <w:sz w:val="24"/>
          <w:szCs w:val="24"/>
        </w:rPr>
        <w:t xml:space="preserve">Plan zrównoważonego rozwoju publicznego transportu zbiorowego dla Powiatu Łańcuckiego - Plan Transportowy, </w:t>
      </w:r>
      <w:r w:rsidRPr="00237760">
        <w:rPr>
          <w:rFonts w:ascii="Arial" w:hAnsi="Arial" w:cs="Arial"/>
          <w:color w:val="auto"/>
          <w:sz w:val="24"/>
          <w:szCs w:val="24"/>
        </w:rPr>
        <w:t xml:space="preserve">(2020), Starostwo Powiatowe w Łańcucie, Warszawa. </w:t>
      </w:r>
    </w:p>
    <w:p w14:paraId="33DA37E8" w14:textId="77777777" w:rsidR="00DA6050" w:rsidRPr="00237760" w:rsidRDefault="00DA6050" w:rsidP="009367B4">
      <w:pPr>
        <w:spacing w:after="160"/>
        <w:jc w:val="left"/>
        <w:rPr>
          <w:rFonts w:ascii="Arial" w:hAnsi="Arial" w:cs="Arial"/>
          <w:i/>
          <w:iCs/>
          <w:color w:val="auto"/>
          <w:sz w:val="24"/>
          <w:szCs w:val="24"/>
        </w:rPr>
      </w:pPr>
      <w:r w:rsidRPr="00237760">
        <w:rPr>
          <w:rFonts w:ascii="Arial" w:hAnsi="Arial" w:cs="Arial"/>
          <w:i/>
          <w:iCs/>
          <w:color w:val="auto"/>
          <w:sz w:val="24"/>
          <w:szCs w:val="24"/>
        </w:rPr>
        <w:lastRenderedPageBreak/>
        <w:t>Plan Zrównoważonego Rozwoju Publicznego Transportu Zbiorowego na lata 2021-2030 z elementami strategii rozwoju elektromobilności dla miasta Rzeszowa i gmin ościennych, które zawarły z gminą miasto Rzeszów porozumienia w zakresie organizacji transportu publicznego</w:t>
      </w:r>
      <w:r w:rsidRPr="00237760">
        <w:rPr>
          <w:rFonts w:ascii="Arial" w:hAnsi="Arial" w:cs="Arial"/>
          <w:color w:val="auto"/>
          <w:sz w:val="24"/>
          <w:szCs w:val="24"/>
        </w:rPr>
        <w:t>, (2021), Rada Miasta Rzeszowa, Rzeszów.</w:t>
      </w:r>
    </w:p>
    <w:p w14:paraId="559F7D9F" w14:textId="77777777" w:rsidR="00DA6050" w:rsidRPr="00237760" w:rsidRDefault="00DA6050" w:rsidP="009367B4">
      <w:pPr>
        <w:spacing w:after="160"/>
        <w:jc w:val="left"/>
        <w:rPr>
          <w:rFonts w:ascii="Arial" w:hAnsi="Arial" w:cs="Arial"/>
          <w:color w:val="auto"/>
          <w:sz w:val="24"/>
          <w:szCs w:val="24"/>
        </w:rPr>
      </w:pPr>
      <w:r w:rsidRPr="00237760">
        <w:rPr>
          <w:rFonts w:ascii="Arial" w:hAnsi="Arial" w:cs="Arial"/>
          <w:i/>
          <w:iCs/>
          <w:color w:val="auto"/>
          <w:sz w:val="24"/>
          <w:szCs w:val="24"/>
        </w:rPr>
        <w:t xml:space="preserve">Plan zrównoważonego rozwoju transportu zbiorowego dla Powiatu Jarosławskiego, </w:t>
      </w:r>
      <w:r w:rsidRPr="00237760">
        <w:rPr>
          <w:rFonts w:ascii="Arial" w:hAnsi="Arial" w:cs="Arial"/>
          <w:color w:val="auto"/>
          <w:sz w:val="24"/>
          <w:szCs w:val="24"/>
        </w:rPr>
        <w:t>(2014), Jarosław.</w:t>
      </w:r>
    </w:p>
    <w:p w14:paraId="62A31B65" w14:textId="77777777" w:rsidR="00DA6050" w:rsidRPr="00237760" w:rsidRDefault="00DA6050" w:rsidP="009367B4">
      <w:pPr>
        <w:jc w:val="left"/>
        <w:rPr>
          <w:rFonts w:ascii="Arial" w:hAnsi="Arial" w:cs="Arial"/>
          <w:color w:val="auto"/>
          <w:sz w:val="24"/>
          <w:szCs w:val="24"/>
        </w:rPr>
      </w:pPr>
      <w:r w:rsidRPr="00237760">
        <w:rPr>
          <w:rFonts w:ascii="Arial" w:hAnsi="Arial" w:cs="Arial"/>
          <w:i/>
          <w:iCs/>
          <w:color w:val="auto"/>
          <w:sz w:val="24"/>
          <w:szCs w:val="24"/>
        </w:rPr>
        <w:t>Polityka Ekologiczna Państwa 2030</w:t>
      </w:r>
      <w:r w:rsidRPr="00237760">
        <w:rPr>
          <w:rFonts w:ascii="Arial" w:hAnsi="Arial" w:cs="Arial"/>
          <w:color w:val="auto"/>
          <w:sz w:val="24"/>
          <w:szCs w:val="24"/>
        </w:rPr>
        <w:t>, (2019), Ministerstwo Środowiska, Warszawa.</w:t>
      </w:r>
    </w:p>
    <w:p w14:paraId="265EDB58" w14:textId="77777777" w:rsidR="00DA6050" w:rsidRPr="00237760" w:rsidRDefault="00DA6050" w:rsidP="009367B4">
      <w:pPr>
        <w:jc w:val="left"/>
        <w:rPr>
          <w:rFonts w:ascii="Arial" w:hAnsi="Arial" w:cs="Arial"/>
          <w:color w:val="auto"/>
          <w:sz w:val="24"/>
          <w:szCs w:val="24"/>
          <w:lang w:eastAsia="pl-PL"/>
        </w:rPr>
      </w:pPr>
      <w:r w:rsidRPr="00237760">
        <w:rPr>
          <w:rFonts w:ascii="Arial" w:hAnsi="Arial" w:cs="Arial"/>
          <w:i/>
          <w:color w:val="auto"/>
          <w:sz w:val="24"/>
          <w:szCs w:val="24"/>
          <w:lang w:eastAsia="pl-PL"/>
        </w:rPr>
        <w:t xml:space="preserve">Polityka Energetyczna Polski do 2040, </w:t>
      </w:r>
      <w:r w:rsidRPr="00237760">
        <w:rPr>
          <w:rFonts w:ascii="Arial" w:hAnsi="Arial" w:cs="Arial"/>
          <w:color w:val="auto"/>
          <w:sz w:val="24"/>
          <w:szCs w:val="24"/>
          <w:lang w:eastAsia="pl-PL"/>
        </w:rPr>
        <w:t xml:space="preserve">(2021), Ministerstwo Klimatu i Środowiska, Warszawa. </w:t>
      </w:r>
    </w:p>
    <w:p w14:paraId="201176CB" w14:textId="77777777" w:rsidR="00DA6050" w:rsidRPr="00237760" w:rsidRDefault="00DA6050" w:rsidP="009367B4">
      <w:pPr>
        <w:jc w:val="left"/>
        <w:rPr>
          <w:rFonts w:ascii="Arial" w:hAnsi="Arial" w:cs="Arial"/>
          <w:bCs/>
          <w:i/>
          <w:color w:val="auto"/>
          <w:sz w:val="24"/>
          <w:szCs w:val="24"/>
          <w:lang w:eastAsia="pl-PL"/>
        </w:rPr>
      </w:pPr>
      <w:r w:rsidRPr="00237760">
        <w:rPr>
          <w:rFonts w:ascii="Arial" w:hAnsi="Arial" w:cs="Arial"/>
          <w:bCs/>
          <w:i/>
          <w:color w:val="auto"/>
          <w:sz w:val="24"/>
          <w:szCs w:val="24"/>
          <w:lang w:eastAsia="pl-PL"/>
        </w:rPr>
        <w:t>Polska 2030. Wyzwania rozwojowe.</w:t>
      </w:r>
    </w:p>
    <w:p w14:paraId="59070995" w14:textId="77777777" w:rsidR="00DA6050" w:rsidRPr="00237760" w:rsidRDefault="00DA6050" w:rsidP="009367B4">
      <w:pPr>
        <w:jc w:val="left"/>
        <w:rPr>
          <w:rFonts w:ascii="Arial" w:hAnsi="Arial" w:cs="Arial"/>
          <w:iCs/>
          <w:color w:val="auto"/>
          <w:sz w:val="24"/>
          <w:szCs w:val="24"/>
          <w:lang w:eastAsia="pl-PL"/>
        </w:rPr>
      </w:pPr>
      <w:r w:rsidRPr="00237760">
        <w:rPr>
          <w:rFonts w:ascii="Arial" w:hAnsi="Arial" w:cs="Arial"/>
          <w:i/>
          <w:color w:val="auto"/>
          <w:sz w:val="24"/>
          <w:szCs w:val="24"/>
          <w:lang w:eastAsia="pl-PL"/>
        </w:rPr>
        <w:t>Pomarańczowa księga. Zarządzanie ryzykiem – zasady i koncepcje</w:t>
      </w:r>
      <w:r w:rsidRPr="00237760">
        <w:rPr>
          <w:rFonts w:ascii="Arial" w:hAnsi="Arial" w:cs="Arial"/>
          <w:iCs/>
          <w:color w:val="auto"/>
          <w:sz w:val="24"/>
          <w:szCs w:val="24"/>
          <w:lang w:eastAsia="pl-PL"/>
        </w:rPr>
        <w:t>, (2004), Ministerstwo Skarbu Jej Królewskiej Mości.</w:t>
      </w:r>
    </w:p>
    <w:p w14:paraId="7E079009" w14:textId="77777777" w:rsidR="00DA6050" w:rsidRPr="00237760" w:rsidRDefault="00DA6050" w:rsidP="009367B4">
      <w:pPr>
        <w:jc w:val="left"/>
        <w:rPr>
          <w:rFonts w:ascii="Arial" w:hAnsi="Arial" w:cs="Arial"/>
          <w:i/>
          <w:color w:val="auto"/>
          <w:sz w:val="24"/>
          <w:szCs w:val="24"/>
          <w:lang w:eastAsia="pl-PL"/>
        </w:rPr>
      </w:pPr>
      <w:r w:rsidRPr="00237760">
        <w:rPr>
          <w:rFonts w:ascii="Arial" w:hAnsi="Arial" w:cs="Arial"/>
          <w:i/>
          <w:color w:val="auto"/>
          <w:sz w:val="24"/>
          <w:szCs w:val="24"/>
          <w:lang w:eastAsia="pl-PL"/>
        </w:rPr>
        <w:t>Pomoc Techniczna dla Funduszy Europejskich.</w:t>
      </w:r>
    </w:p>
    <w:p w14:paraId="032DB397" w14:textId="77777777" w:rsidR="00DA6050" w:rsidRPr="00237760" w:rsidRDefault="00DA6050" w:rsidP="009367B4">
      <w:pPr>
        <w:jc w:val="left"/>
        <w:rPr>
          <w:rFonts w:ascii="Arial" w:hAnsi="Arial" w:cs="Arial"/>
          <w:color w:val="auto"/>
          <w:sz w:val="24"/>
          <w:szCs w:val="24"/>
        </w:rPr>
      </w:pPr>
      <w:r w:rsidRPr="00237760">
        <w:rPr>
          <w:rFonts w:ascii="Arial" w:hAnsi="Arial" w:cs="Arial"/>
          <w:color w:val="auto"/>
          <w:sz w:val="24"/>
          <w:szCs w:val="24"/>
        </w:rPr>
        <w:t>Program Budowy Dróg Krajowych do 2030 r. (z perspektywą do 2033 r.).</w:t>
      </w:r>
    </w:p>
    <w:p w14:paraId="0B4F6753" w14:textId="77777777" w:rsidR="00DA6050" w:rsidRPr="00237760" w:rsidRDefault="00DA6050" w:rsidP="009367B4">
      <w:pPr>
        <w:jc w:val="left"/>
        <w:rPr>
          <w:rFonts w:ascii="Arial" w:hAnsi="Arial" w:cs="Arial"/>
          <w:color w:val="auto"/>
          <w:sz w:val="24"/>
          <w:szCs w:val="24"/>
        </w:rPr>
      </w:pPr>
      <w:r w:rsidRPr="00237760">
        <w:rPr>
          <w:rFonts w:ascii="Arial" w:hAnsi="Arial" w:cs="Arial"/>
          <w:color w:val="auto"/>
          <w:sz w:val="24"/>
          <w:szCs w:val="24"/>
        </w:rPr>
        <w:t>Program Budowy Dróg Krajowych na lata 2014-2023 (z perspektywą do 2025 r.).</w:t>
      </w:r>
    </w:p>
    <w:p w14:paraId="003B88DD" w14:textId="77777777" w:rsidR="00DA6050" w:rsidRPr="00237760" w:rsidRDefault="00DA6050" w:rsidP="009367B4">
      <w:pPr>
        <w:jc w:val="left"/>
        <w:rPr>
          <w:rFonts w:ascii="Arial" w:hAnsi="Arial" w:cs="Arial"/>
          <w:color w:val="auto"/>
          <w:sz w:val="24"/>
          <w:szCs w:val="24"/>
        </w:rPr>
      </w:pPr>
      <w:r w:rsidRPr="00237760">
        <w:rPr>
          <w:rFonts w:ascii="Arial" w:hAnsi="Arial" w:cs="Arial"/>
          <w:i/>
          <w:color w:val="auto"/>
          <w:sz w:val="24"/>
          <w:szCs w:val="24"/>
        </w:rPr>
        <w:t xml:space="preserve">Projekt Strategii Rozwoju Kapitału Społecznego (współdziałanie, kultura, kreatywność) 2030, </w:t>
      </w:r>
      <w:r w:rsidRPr="00237760">
        <w:rPr>
          <w:rFonts w:ascii="Arial" w:hAnsi="Arial" w:cs="Arial"/>
          <w:color w:val="auto"/>
          <w:sz w:val="24"/>
          <w:szCs w:val="24"/>
        </w:rPr>
        <w:t>(2020), Warszawa.</w:t>
      </w:r>
    </w:p>
    <w:p w14:paraId="06FE491E" w14:textId="77777777" w:rsidR="00DA6050" w:rsidRPr="00237760" w:rsidRDefault="00DA6050" w:rsidP="009367B4">
      <w:pPr>
        <w:jc w:val="left"/>
        <w:rPr>
          <w:rFonts w:ascii="Arial" w:hAnsi="Arial" w:cs="Arial"/>
          <w:color w:val="auto"/>
          <w:sz w:val="24"/>
          <w:szCs w:val="24"/>
        </w:rPr>
      </w:pPr>
      <w:r w:rsidRPr="00237760">
        <w:rPr>
          <w:rFonts w:ascii="Arial" w:hAnsi="Arial" w:cs="Arial"/>
          <w:i/>
          <w:color w:val="auto"/>
          <w:sz w:val="24"/>
          <w:szCs w:val="24"/>
        </w:rPr>
        <w:t xml:space="preserve">Rocznik Statystyczny Województwa Podkarpackiego, </w:t>
      </w:r>
      <w:r w:rsidRPr="00237760">
        <w:rPr>
          <w:rFonts w:ascii="Arial" w:hAnsi="Arial" w:cs="Arial"/>
          <w:color w:val="auto"/>
          <w:sz w:val="24"/>
          <w:szCs w:val="24"/>
        </w:rPr>
        <w:t>2021, Urząd Statystyczny w Rzeszowie, Rzeszów.</w:t>
      </w:r>
    </w:p>
    <w:p w14:paraId="6447A904" w14:textId="77777777" w:rsidR="00DA6050" w:rsidRPr="00237760" w:rsidRDefault="00DA6050" w:rsidP="009367B4">
      <w:pPr>
        <w:jc w:val="left"/>
        <w:rPr>
          <w:rFonts w:ascii="Arial" w:hAnsi="Arial" w:cs="Arial"/>
          <w:color w:val="auto"/>
          <w:sz w:val="24"/>
          <w:szCs w:val="24"/>
        </w:rPr>
      </w:pPr>
      <w:r w:rsidRPr="00237760">
        <w:rPr>
          <w:rFonts w:ascii="Arial" w:hAnsi="Arial" w:cs="Arial"/>
          <w:color w:val="auto"/>
          <w:sz w:val="24"/>
          <w:szCs w:val="24"/>
        </w:rPr>
        <w:t xml:space="preserve">Rosik P., Komornicki T., 2015, </w:t>
      </w:r>
      <w:r w:rsidRPr="00237760">
        <w:rPr>
          <w:rFonts w:ascii="Arial" w:hAnsi="Arial" w:cs="Arial"/>
          <w:i/>
          <w:color w:val="auto"/>
          <w:sz w:val="24"/>
          <w:szCs w:val="24"/>
        </w:rPr>
        <w:t xml:space="preserve">Opracowanie instrukcji monitorowania zmian dostępności transportowej na potrzeby ewaluacji i sprawozdawczości z realizacji dokumentów programowych dot. polityki spójności perspektywy 2014-2020 oraz dokumentów strategicznych (krajowych i regionalnych), </w:t>
      </w:r>
      <w:r w:rsidRPr="00237760">
        <w:rPr>
          <w:rFonts w:ascii="Arial" w:hAnsi="Arial" w:cs="Arial"/>
          <w:color w:val="auto"/>
          <w:sz w:val="24"/>
          <w:szCs w:val="24"/>
        </w:rPr>
        <w:t>IGiPZ PAN, Warszawa.</w:t>
      </w:r>
    </w:p>
    <w:p w14:paraId="2C2BEAB5" w14:textId="77777777" w:rsidR="00DA6050" w:rsidRPr="00237760" w:rsidRDefault="00DA6050" w:rsidP="009367B4">
      <w:pPr>
        <w:jc w:val="left"/>
        <w:rPr>
          <w:rFonts w:ascii="Arial" w:hAnsi="Arial" w:cs="Arial"/>
          <w:i/>
          <w:color w:val="auto"/>
          <w:sz w:val="24"/>
          <w:szCs w:val="24"/>
          <w:lang w:eastAsia="pl-PL"/>
        </w:rPr>
      </w:pPr>
      <w:r w:rsidRPr="00237760">
        <w:rPr>
          <w:rFonts w:ascii="Arial" w:hAnsi="Arial" w:cs="Arial"/>
          <w:i/>
          <w:color w:val="auto"/>
          <w:sz w:val="24"/>
          <w:szCs w:val="24"/>
          <w:lang w:eastAsia="pl-PL"/>
        </w:rPr>
        <w:t>Rozporządzenie Ministra Infrastruktury z dnia 4 grudnia 2020 r. w sprawie planu zrównoważonego rozwoju publicznego transportu zbiorowego w międzywojewódzkich i międzynarodowych przewozach pasażerskich oraz w wojewódzkich przewozach pasażerskich w transporcie kolejowym.</w:t>
      </w:r>
    </w:p>
    <w:p w14:paraId="2BD7EF28" w14:textId="77777777" w:rsidR="00DA6050" w:rsidRPr="00237760" w:rsidRDefault="00DA6050" w:rsidP="009367B4">
      <w:pPr>
        <w:jc w:val="left"/>
        <w:rPr>
          <w:rFonts w:ascii="Arial" w:hAnsi="Arial" w:cs="Arial"/>
          <w:bCs/>
          <w:i/>
          <w:color w:val="auto"/>
          <w:sz w:val="24"/>
          <w:szCs w:val="24"/>
        </w:rPr>
      </w:pPr>
      <w:r w:rsidRPr="00237760">
        <w:rPr>
          <w:rFonts w:ascii="Arial" w:hAnsi="Arial" w:cs="Arial"/>
          <w:bCs/>
          <w:i/>
          <w:color w:val="auto"/>
          <w:sz w:val="24"/>
          <w:szCs w:val="24"/>
        </w:rPr>
        <w:t>Rozporządzenie Parlamentu Europejskiego i Rady (UE) 2021/1056 z dnia 24 czerwca 2021 r. ustanawiające Fundusz na rzecz Sprawiedliwej Transformacji.</w:t>
      </w:r>
    </w:p>
    <w:p w14:paraId="15FE9D5D" w14:textId="77777777" w:rsidR="00DA6050" w:rsidRPr="00237760" w:rsidRDefault="00DA6050" w:rsidP="009367B4">
      <w:pPr>
        <w:jc w:val="left"/>
        <w:rPr>
          <w:rFonts w:ascii="Arial" w:hAnsi="Arial" w:cs="Arial"/>
          <w:bCs/>
          <w:i/>
          <w:color w:val="auto"/>
          <w:sz w:val="24"/>
          <w:szCs w:val="24"/>
        </w:rPr>
      </w:pPr>
      <w:r w:rsidRPr="00237760">
        <w:rPr>
          <w:rFonts w:ascii="Arial" w:hAnsi="Arial" w:cs="Arial"/>
          <w:bCs/>
          <w:i/>
          <w:color w:val="auto"/>
          <w:sz w:val="24"/>
          <w:szCs w:val="24"/>
        </w:rPr>
        <w:t>Rozporządzenie Parlamentu Europejskiego i Rady (UE) 2021/1057 z dnia 24 czerwca 2021 r. ustanawiające Europejski Fundusz Społeczny Plus (EFS+) oraz uchylające rozporządzenie (UE) nr 1296/2013.</w:t>
      </w:r>
    </w:p>
    <w:p w14:paraId="63E7A55E" w14:textId="77777777" w:rsidR="00DA6050" w:rsidRPr="00237760" w:rsidRDefault="00DA6050" w:rsidP="009367B4">
      <w:pPr>
        <w:jc w:val="left"/>
        <w:rPr>
          <w:rFonts w:ascii="Arial" w:hAnsi="Arial" w:cs="Arial"/>
          <w:bCs/>
          <w:i/>
          <w:color w:val="auto"/>
          <w:sz w:val="24"/>
          <w:szCs w:val="24"/>
        </w:rPr>
      </w:pPr>
      <w:r w:rsidRPr="00237760">
        <w:rPr>
          <w:rFonts w:ascii="Arial" w:hAnsi="Arial" w:cs="Arial"/>
          <w:bCs/>
          <w:i/>
          <w:color w:val="auto"/>
          <w:sz w:val="24"/>
          <w:szCs w:val="24"/>
        </w:rPr>
        <w:t>Rozporządzenie Parlamentu Europejskiego i Rady (UE) 2021/1058 z dnia 24 czerwca 2021 r. w sprawie Europejskiego Funduszu Rozwoju Regionalnego i Funduszu Spójności.</w:t>
      </w:r>
    </w:p>
    <w:p w14:paraId="48BFE3E9" w14:textId="77777777" w:rsidR="00DA6050" w:rsidRPr="00237760" w:rsidRDefault="00DA6050" w:rsidP="009367B4">
      <w:pPr>
        <w:jc w:val="left"/>
        <w:rPr>
          <w:rFonts w:ascii="Arial" w:hAnsi="Arial" w:cs="Arial"/>
          <w:bCs/>
          <w:i/>
          <w:color w:val="auto"/>
          <w:sz w:val="24"/>
          <w:szCs w:val="24"/>
        </w:rPr>
      </w:pPr>
      <w:r w:rsidRPr="00237760">
        <w:rPr>
          <w:rFonts w:ascii="Arial" w:hAnsi="Arial" w:cs="Arial"/>
          <w:bCs/>
          <w:i/>
          <w:color w:val="auto"/>
          <w:sz w:val="24"/>
          <w:szCs w:val="24"/>
        </w:rPr>
        <w:t xml:space="preserve">Rozporządzenie Parlamentu Europejskiego i Rady (UE) 2021/1059 z dnia 24 czerwca 2021 r. w sprawie przepisów szczegółowych dotyczących celu „Europejska </w:t>
      </w:r>
      <w:r w:rsidRPr="00237760">
        <w:rPr>
          <w:rFonts w:ascii="Arial" w:hAnsi="Arial" w:cs="Arial"/>
          <w:bCs/>
          <w:i/>
          <w:color w:val="auto"/>
          <w:sz w:val="24"/>
          <w:szCs w:val="24"/>
        </w:rPr>
        <w:lastRenderedPageBreak/>
        <w:t>współpraca terytorialna” (Interreg) wspieranego w ramach Europejskiego Funduszu Rozwoju Regionalnego oraz instrumentów finansowania zewnętrznego.</w:t>
      </w:r>
    </w:p>
    <w:p w14:paraId="0497368B" w14:textId="77777777" w:rsidR="00DA6050" w:rsidRPr="00237760" w:rsidRDefault="00DA6050" w:rsidP="009367B4">
      <w:pPr>
        <w:jc w:val="left"/>
        <w:rPr>
          <w:rFonts w:ascii="Arial" w:hAnsi="Arial" w:cs="Arial"/>
          <w:color w:val="auto"/>
          <w:sz w:val="24"/>
          <w:szCs w:val="24"/>
          <w:lang w:eastAsia="pl-PL"/>
        </w:rPr>
      </w:pPr>
      <w:r w:rsidRPr="00237760">
        <w:rPr>
          <w:rFonts w:ascii="Arial" w:hAnsi="Arial" w:cs="Arial"/>
          <w:i/>
          <w:iCs/>
          <w:color w:val="auto"/>
          <w:sz w:val="24"/>
          <w:szCs w:val="24"/>
          <w:lang w:eastAsia="pl-PL"/>
        </w:rPr>
        <w:t>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w:t>
      </w:r>
      <w:bookmarkEnd w:id="302"/>
      <w:r w:rsidRPr="00237760">
        <w:rPr>
          <w:rFonts w:ascii="Arial" w:hAnsi="Arial" w:cs="Arial"/>
          <w:i/>
          <w:iCs/>
          <w:color w:val="auto"/>
          <w:sz w:val="24"/>
          <w:szCs w:val="24"/>
          <w:lang w:eastAsia="pl-PL"/>
        </w:rPr>
        <w:t xml:space="preserve"> a także przepisy finansowe na potrzeby tych funduszy oraz na potrzeby funduszu azylu, migracji i integracji, funduszu bezpieczeństwa wewnętrznego i instrumentu wsparcia finansowego na rzecz zarządzania granicami i polityki wizowej</w:t>
      </w:r>
      <w:r w:rsidRPr="00237760">
        <w:rPr>
          <w:rFonts w:ascii="Arial" w:hAnsi="Arial" w:cs="Arial"/>
          <w:color w:val="auto"/>
          <w:sz w:val="24"/>
          <w:szCs w:val="24"/>
          <w:lang w:eastAsia="pl-PL"/>
        </w:rPr>
        <w:t>, (2021).</w:t>
      </w:r>
    </w:p>
    <w:p w14:paraId="38141E41" w14:textId="77777777" w:rsidR="00DA6050" w:rsidRPr="00237760" w:rsidRDefault="00DA6050" w:rsidP="009367B4">
      <w:pPr>
        <w:jc w:val="left"/>
        <w:rPr>
          <w:rFonts w:ascii="Arial" w:hAnsi="Arial" w:cs="Arial"/>
          <w:i/>
          <w:color w:val="auto"/>
          <w:sz w:val="24"/>
          <w:szCs w:val="24"/>
          <w:lang w:eastAsia="pl-PL"/>
        </w:rPr>
      </w:pPr>
      <w:r w:rsidRPr="00237760">
        <w:rPr>
          <w:rFonts w:ascii="Arial" w:hAnsi="Arial" w:cs="Arial"/>
          <w:i/>
          <w:color w:val="auto"/>
          <w:sz w:val="24"/>
          <w:szCs w:val="24"/>
          <w:lang w:eastAsia="pl-PL"/>
        </w:rPr>
        <w:t>Rozporządzenie Parlamentu Europejskiego i Rady (UE) nr 1315/2013 z dnia 11 grudnia 2013 r. w sprawie unijnych wytycznych dotyczących rozwoju transeuropejskiej sieci transportowej i uchylające decyzję nr 661/2010/UE.</w:t>
      </w:r>
    </w:p>
    <w:p w14:paraId="76D98072" w14:textId="77777777" w:rsidR="00DA6050" w:rsidRPr="00237760" w:rsidRDefault="00DA6050" w:rsidP="009367B4">
      <w:pPr>
        <w:jc w:val="left"/>
        <w:rPr>
          <w:rFonts w:ascii="Arial" w:hAnsi="Arial" w:cs="Arial"/>
          <w:i/>
          <w:color w:val="auto"/>
          <w:sz w:val="24"/>
          <w:szCs w:val="24"/>
          <w:lang w:eastAsia="pl-PL"/>
        </w:rPr>
      </w:pPr>
      <w:r w:rsidRPr="00237760">
        <w:rPr>
          <w:rFonts w:ascii="Arial" w:hAnsi="Arial" w:cs="Arial"/>
          <w:i/>
          <w:color w:val="auto"/>
          <w:sz w:val="24"/>
          <w:szCs w:val="24"/>
          <w:lang w:eastAsia="pl-PL"/>
        </w:rPr>
        <w:t>Rozporządzenie Wykonawcze Komisji (UE) 2017/6 z dnia 5 stycznia 2017 r. w sprawie europejskiego planu wdrożenia europejskiego systemu zarządzania ruchem kolejowym.</w:t>
      </w:r>
    </w:p>
    <w:p w14:paraId="112197A5" w14:textId="77777777" w:rsidR="00DA6050" w:rsidRPr="00237760" w:rsidRDefault="00DA6050" w:rsidP="009367B4">
      <w:pPr>
        <w:jc w:val="left"/>
        <w:rPr>
          <w:rFonts w:ascii="Arial" w:hAnsi="Arial" w:cs="Arial"/>
          <w:color w:val="auto"/>
          <w:sz w:val="24"/>
          <w:szCs w:val="24"/>
          <w:lang w:eastAsia="pl-PL"/>
        </w:rPr>
      </w:pPr>
      <w:r w:rsidRPr="00237760">
        <w:rPr>
          <w:rFonts w:ascii="Arial" w:hAnsi="Arial" w:cs="Arial"/>
          <w:i/>
          <w:color w:val="auto"/>
          <w:sz w:val="24"/>
          <w:szCs w:val="24"/>
          <w:lang w:eastAsia="pl-PL"/>
        </w:rPr>
        <w:t xml:space="preserve">Rozwój transportu w województwie podkarpackim w perspektywie do 2030 roku. Raport końcowy, </w:t>
      </w:r>
      <w:r w:rsidRPr="00237760">
        <w:rPr>
          <w:rFonts w:ascii="Arial" w:hAnsi="Arial" w:cs="Arial"/>
          <w:color w:val="auto"/>
          <w:sz w:val="24"/>
          <w:szCs w:val="24"/>
          <w:lang w:eastAsia="pl-PL"/>
        </w:rPr>
        <w:t>(2020), IGiPZ PAN, Rzeszów.</w:t>
      </w:r>
    </w:p>
    <w:p w14:paraId="50C33CBA" w14:textId="77777777" w:rsidR="00DA6050" w:rsidRPr="00237760" w:rsidRDefault="00DA6050" w:rsidP="009367B4">
      <w:pPr>
        <w:jc w:val="left"/>
        <w:rPr>
          <w:rFonts w:ascii="Arial" w:hAnsi="Arial" w:cs="Arial"/>
          <w:color w:val="auto"/>
          <w:sz w:val="24"/>
          <w:szCs w:val="24"/>
          <w:lang w:eastAsia="pl-PL"/>
        </w:rPr>
      </w:pPr>
      <w:r w:rsidRPr="00237760">
        <w:rPr>
          <w:rFonts w:ascii="Arial" w:hAnsi="Arial" w:cs="Arial"/>
          <w:i/>
          <w:iCs/>
          <w:color w:val="auto"/>
          <w:sz w:val="24"/>
          <w:szCs w:val="24"/>
          <w:lang w:eastAsia="pl-PL"/>
        </w:rPr>
        <w:t>Scenariusze rozwojowe Polski w perspektywie roku 2050</w:t>
      </w:r>
      <w:r w:rsidRPr="00237760">
        <w:rPr>
          <w:rFonts w:ascii="Arial" w:hAnsi="Arial" w:cs="Arial"/>
          <w:color w:val="auto"/>
          <w:sz w:val="24"/>
          <w:szCs w:val="24"/>
          <w:lang w:eastAsia="pl-PL"/>
        </w:rPr>
        <w:t>, (2019), Warszawa.</w:t>
      </w:r>
    </w:p>
    <w:p w14:paraId="6CFD96B7" w14:textId="77777777" w:rsidR="00DA6050" w:rsidRPr="00237760" w:rsidRDefault="00DA6050" w:rsidP="009367B4">
      <w:pPr>
        <w:jc w:val="left"/>
        <w:rPr>
          <w:rFonts w:ascii="Arial" w:hAnsi="Arial" w:cs="Arial"/>
          <w:color w:val="auto"/>
          <w:sz w:val="24"/>
          <w:szCs w:val="24"/>
          <w:lang w:eastAsia="pl-PL"/>
        </w:rPr>
      </w:pPr>
      <w:r w:rsidRPr="00237760">
        <w:rPr>
          <w:rFonts w:ascii="Arial" w:hAnsi="Arial" w:cs="Arial"/>
          <w:i/>
          <w:color w:val="auto"/>
          <w:sz w:val="24"/>
          <w:szCs w:val="24"/>
          <w:lang w:eastAsia="pl-PL"/>
        </w:rPr>
        <w:t>Strategia Miejskiego Obszaru Funkcjonalnego Krosno</w:t>
      </w:r>
      <w:r w:rsidRPr="00237760">
        <w:rPr>
          <w:rFonts w:ascii="Arial" w:hAnsi="Arial" w:cs="Arial"/>
          <w:color w:val="auto"/>
          <w:sz w:val="24"/>
          <w:szCs w:val="24"/>
          <w:lang w:eastAsia="pl-PL"/>
        </w:rPr>
        <w:t>, (2018), Urząd Miasta Krosna, Krosno.</w:t>
      </w:r>
    </w:p>
    <w:p w14:paraId="578BE0F1" w14:textId="77777777" w:rsidR="00DA6050" w:rsidRPr="00237760" w:rsidRDefault="00DA6050" w:rsidP="009367B4">
      <w:pPr>
        <w:jc w:val="left"/>
        <w:rPr>
          <w:rFonts w:ascii="Arial" w:hAnsi="Arial" w:cs="Arial"/>
          <w:color w:val="auto"/>
          <w:sz w:val="24"/>
          <w:szCs w:val="24"/>
          <w:lang w:eastAsia="pl-PL"/>
        </w:rPr>
      </w:pPr>
      <w:r w:rsidRPr="00237760">
        <w:rPr>
          <w:rFonts w:ascii="Arial" w:hAnsi="Arial" w:cs="Arial"/>
          <w:i/>
          <w:color w:val="auto"/>
          <w:sz w:val="24"/>
          <w:szCs w:val="24"/>
          <w:lang w:eastAsia="pl-PL"/>
        </w:rPr>
        <w:t>Strategia Miejskiego Obszaru Funkcjonalnego Mielca</w:t>
      </w:r>
      <w:r w:rsidRPr="00237760">
        <w:rPr>
          <w:rFonts w:ascii="Arial" w:hAnsi="Arial" w:cs="Arial"/>
          <w:color w:val="auto"/>
          <w:sz w:val="24"/>
          <w:szCs w:val="24"/>
          <w:lang w:eastAsia="pl-PL"/>
        </w:rPr>
        <w:t>, (2015), Warszawa – Mielec.</w:t>
      </w:r>
    </w:p>
    <w:p w14:paraId="2C415E23" w14:textId="77777777" w:rsidR="00DA6050" w:rsidRPr="00237760" w:rsidRDefault="00DA6050" w:rsidP="009367B4">
      <w:pPr>
        <w:jc w:val="left"/>
        <w:rPr>
          <w:rFonts w:ascii="Arial" w:hAnsi="Arial" w:cs="Arial"/>
          <w:color w:val="auto"/>
          <w:sz w:val="24"/>
          <w:szCs w:val="24"/>
          <w:lang w:eastAsia="pl-PL"/>
        </w:rPr>
      </w:pPr>
      <w:r w:rsidRPr="00237760">
        <w:rPr>
          <w:rFonts w:ascii="Arial" w:hAnsi="Arial" w:cs="Arial"/>
          <w:i/>
          <w:color w:val="auto"/>
          <w:sz w:val="24"/>
          <w:szCs w:val="24"/>
          <w:lang w:eastAsia="pl-PL"/>
        </w:rPr>
        <w:t xml:space="preserve">Strategia Miejskiego Obszaru Funkcjonalnego Przemyśl. Aktualizacja – grudzień 2017, </w:t>
      </w:r>
      <w:r w:rsidRPr="00237760">
        <w:rPr>
          <w:rFonts w:ascii="Arial" w:hAnsi="Arial" w:cs="Arial"/>
          <w:color w:val="auto"/>
          <w:sz w:val="24"/>
          <w:szCs w:val="24"/>
          <w:lang w:eastAsia="pl-PL"/>
        </w:rPr>
        <w:t>(2017)</w:t>
      </w:r>
      <w:r w:rsidRPr="00237760">
        <w:rPr>
          <w:rFonts w:ascii="Arial" w:hAnsi="Arial" w:cs="Arial"/>
          <w:color w:val="auto"/>
          <w:sz w:val="24"/>
          <w:szCs w:val="24"/>
        </w:rPr>
        <w:t>, Przemyśl.</w:t>
      </w:r>
    </w:p>
    <w:p w14:paraId="62C51D5C" w14:textId="77777777" w:rsidR="00DA6050" w:rsidRPr="00237760" w:rsidRDefault="00DA6050" w:rsidP="009367B4">
      <w:pPr>
        <w:jc w:val="left"/>
        <w:rPr>
          <w:rFonts w:ascii="Arial" w:hAnsi="Arial" w:cs="Arial"/>
          <w:color w:val="auto"/>
          <w:sz w:val="24"/>
          <w:szCs w:val="24"/>
          <w:lang w:eastAsia="pl-PL"/>
        </w:rPr>
      </w:pPr>
      <w:r w:rsidRPr="00237760">
        <w:rPr>
          <w:rFonts w:ascii="Arial" w:hAnsi="Arial" w:cs="Arial"/>
          <w:i/>
          <w:color w:val="auto"/>
          <w:sz w:val="24"/>
          <w:szCs w:val="24"/>
          <w:lang w:eastAsia="pl-PL"/>
        </w:rPr>
        <w:t>Strategia Miejskiego Obszaru Funkcjonalnego Sanok-Lesko</w:t>
      </w:r>
      <w:r w:rsidRPr="00237760">
        <w:rPr>
          <w:rFonts w:ascii="Arial" w:hAnsi="Arial" w:cs="Arial"/>
          <w:color w:val="auto"/>
          <w:sz w:val="24"/>
          <w:szCs w:val="24"/>
          <w:lang w:eastAsia="pl-PL"/>
        </w:rPr>
        <w:t>, (2016), Sanok – Cieszyn.</w:t>
      </w:r>
    </w:p>
    <w:p w14:paraId="3F04388D" w14:textId="77777777" w:rsidR="00DA6050" w:rsidRPr="00237760" w:rsidRDefault="00DA6050" w:rsidP="009367B4">
      <w:pPr>
        <w:jc w:val="left"/>
        <w:rPr>
          <w:rFonts w:ascii="Arial" w:hAnsi="Arial" w:cs="Arial"/>
          <w:iCs/>
          <w:color w:val="auto"/>
          <w:sz w:val="24"/>
          <w:szCs w:val="24"/>
        </w:rPr>
      </w:pPr>
      <w:r w:rsidRPr="00237760">
        <w:rPr>
          <w:rFonts w:ascii="Arial" w:hAnsi="Arial" w:cs="Arial"/>
          <w:i/>
          <w:color w:val="auto"/>
          <w:sz w:val="24"/>
          <w:szCs w:val="24"/>
        </w:rPr>
        <w:t>Strategia na rzecz odpowiedzialnego Rozwoju do roku 2020 (z perspektywą do 2030 r.)</w:t>
      </w:r>
      <w:r w:rsidRPr="00237760">
        <w:rPr>
          <w:rFonts w:ascii="Arial" w:hAnsi="Arial" w:cs="Arial"/>
          <w:iCs/>
          <w:color w:val="auto"/>
          <w:sz w:val="24"/>
          <w:szCs w:val="24"/>
        </w:rPr>
        <w:t xml:space="preserve"> (2017), Warszawa.</w:t>
      </w:r>
    </w:p>
    <w:p w14:paraId="1FFA42CE" w14:textId="77777777" w:rsidR="00DA6050" w:rsidRPr="00237760" w:rsidRDefault="00DA6050" w:rsidP="009367B4">
      <w:pPr>
        <w:jc w:val="left"/>
        <w:rPr>
          <w:rFonts w:ascii="Arial" w:hAnsi="Arial" w:cs="Arial"/>
          <w:color w:val="auto"/>
          <w:sz w:val="24"/>
          <w:szCs w:val="24"/>
        </w:rPr>
      </w:pPr>
      <w:r w:rsidRPr="00237760">
        <w:rPr>
          <w:rFonts w:ascii="Arial" w:hAnsi="Arial" w:cs="Arial"/>
          <w:i/>
          <w:iCs/>
          <w:color w:val="auto"/>
          <w:sz w:val="24"/>
          <w:szCs w:val="24"/>
        </w:rPr>
        <w:t>Strategia na rzecz zrównoważonej i inteligentnej mobilności – europejski transport na drodze ku przyszłości</w:t>
      </w:r>
      <w:r w:rsidRPr="00237760">
        <w:rPr>
          <w:rFonts w:ascii="Arial" w:hAnsi="Arial" w:cs="Arial"/>
          <w:color w:val="auto"/>
          <w:sz w:val="24"/>
          <w:szCs w:val="24"/>
        </w:rPr>
        <w:t>, (2020), Komisja Europejska, Bruksela.</w:t>
      </w:r>
    </w:p>
    <w:p w14:paraId="5EE19A8C" w14:textId="77777777" w:rsidR="00DA6050" w:rsidRPr="00237760" w:rsidRDefault="00DA6050" w:rsidP="009367B4">
      <w:pPr>
        <w:jc w:val="left"/>
        <w:rPr>
          <w:rFonts w:ascii="Arial" w:hAnsi="Arial" w:cs="Arial"/>
          <w:i/>
          <w:color w:val="auto"/>
          <w:sz w:val="24"/>
          <w:szCs w:val="24"/>
          <w:lang w:eastAsia="pl-PL"/>
        </w:rPr>
      </w:pPr>
      <w:r w:rsidRPr="00237760">
        <w:rPr>
          <w:rFonts w:ascii="Arial" w:hAnsi="Arial" w:cs="Arial"/>
          <w:i/>
          <w:color w:val="auto"/>
          <w:sz w:val="24"/>
          <w:szCs w:val="24"/>
          <w:lang w:eastAsia="pl-PL"/>
        </w:rPr>
        <w:t xml:space="preserve">Strategia Produktywności 2030, </w:t>
      </w:r>
      <w:r w:rsidRPr="00237760">
        <w:rPr>
          <w:rFonts w:ascii="Arial" w:hAnsi="Arial" w:cs="Arial"/>
          <w:color w:val="auto"/>
          <w:sz w:val="24"/>
          <w:szCs w:val="24"/>
          <w:lang w:eastAsia="pl-PL"/>
        </w:rPr>
        <w:t>(2020), Ministerstwo Rozwoju, Warszawa.</w:t>
      </w:r>
    </w:p>
    <w:p w14:paraId="0FF2D22A" w14:textId="77777777" w:rsidR="00DA6050" w:rsidRPr="00237760" w:rsidRDefault="00DA6050" w:rsidP="009367B4">
      <w:pPr>
        <w:jc w:val="left"/>
        <w:rPr>
          <w:rFonts w:ascii="Arial" w:hAnsi="Arial" w:cs="Arial"/>
          <w:color w:val="auto"/>
          <w:sz w:val="24"/>
          <w:szCs w:val="24"/>
          <w:lang w:eastAsia="pl-PL"/>
        </w:rPr>
      </w:pPr>
      <w:r w:rsidRPr="00237760">
        <w:rPr>
          <w:rFonts w:ascii="Arial" w:hAnsi="Arial" w:cs="Arial"/>
          <w:i/>
          <w:color w:val="auto"/>
          <w:sz w:val="24"/>
          <w:szCs w:val="24"/>
          <w:lang w:eastAsia="pl-PL"/>
        </w:rPr>
        <w:t>Strategia Rozwoju Dębicko-Ropczyckiego Obszaru Funkcjonalnego. Aktualizacja</w:t>
      </w:r>
      <w:r w:rsidRPr="00237760">
        <w:rPr>
          <w:rFonts w:ascii="Arial" w:hAnsi="Arial" w:cs="Arial"/>
          <w:color w:val="auto"/>
          <w:sz w:val="24"/>
          <w:szCs w:val="24"/>
          <w:lang w:eastAsia="pl-PL"/>
        </w:rPr>
        <w:t>, (2018), Urząd Gminy Dębica, Dębica.</w:t>
      </w:r>
    </w:p>
    <w:p w14:paraId="71755EE9" w14:textId="77777777" w:rsidR="00DA6050" w:rsidRPr="00237760" w:rsidRDefault="00DA6050" w:rsidP="009367B4">
      <w:pPr>
        <w:jc w:val="left"/>
        <w:rPr>
          <w:rFonts w:ascii="Arial" w:hAnsi="Arial" w:cs="Arial"/>
          <w:color w:val="auto"/>
          <w:sz w:val="24"/>
          <w:szCs w:val="24"/>
          <w:lang w:eastAsia="pl-PL"/>
        </w:rPr>
      </w:pPr>
      <w:r w:rsidRPr="00237760">
        <w:rPr>
          <w:rFonts w:ascii="Arial" w:hAnsi="Arial" w:cs="Arial"/>
          <w:i/>
          <w:color w:val="auto"/>
          <w:sz w:val="24"/>
          <w:szCs w:val="24"/>
          <w:lang w:eastAsia="pl-PL"/>
        </w:rPr>
        <w:t xml:space="preserve">Strategia Rozwoju Gminy Adamówka na lata 2015-2022, </w:t>
      </w:r>
      <w:r w:rsidRPr="00237760">
        <w:rPr>
          <w:rFonts w:ascii="Arial" w:hAnsi="Arial" w:cs="Arial"/>
          <w:color w:val="auto"/>
          <w:sz w:val="24"/>
          <w:szCs w:val="24"/>
          <w:lang w:eastAsia="pl-PL"/>
        </w:rPr>
        <w:t>(2016), Urząd Gminy Adamówka, Fundacja Centrum Poradnictwa Prawnego Prawnikon, Adamówka.</w:t>
      </w:r>
    </w:p>
    <w:p w14:paraId="3EC6FFB0" w14:textId="77777777" w:rsidR="00DA6050" w:rsidRPr="00237760" w:rsidRDefault="00DA6050" w:rsidP="009367B4">
      <w:pPr>
        <w:jc w:val="left"/>
        <w:rPr>
          <w:rFonts w:ascii="Arial" w:hAnsi="Arial" w:cs="Arial"/>
          <w:color w:val="auto"/>
          <w:sz w:val="24"/>
          <w:szCs w:val="24"/>
          <w:lang w:eastAsia="pl-PL"/>
        </w:rPr>
      </w:pPr>
      <w:r w:rsidRPr="00237760">
        <w:rPr>
          <w:rFonts w:ascii="Arial" w:hAnsi="Arial" w:cs="Arial"/>
          <w:i/>
          <w:color w:val="auto"/>
          <w:sz w:val="24"/>
          <w:szCs w:val="24"/>
          <w:lang w:eastAsia="pl-PL"/>
        </w:rPr>
        <w:t>Strategia Rozwoju Gminy Cmolas na lata 2016-2022</w:t>
      </w:r>
      <w:r w:rsidRPr="00237760">
        <w:rPr>
          <w:rFonts w:ascii="Arial" w:hAnsi="Arial" w:cs="Arial"/>
          <w:color w:val="auto"/>
          <w:sz w:val="24"/>
          <w:szCs w:val="24"/>
          <w:lang w:eastAsia="pl-PL"/>
        </w:rPr>
        <w:t>, (2016), Urząd Gminy Cmolas, Cmolas.</w:t>
      </w:r>
    </w:p>
    <w:p w14:paraId="734BE444" w14:textId="77777777" w:rsidR="00DA6050" w:rsidRPr="00237760" w:rsidRDefault="00DA6050" w:rsidP="009367B4">
      <w:pPr>
        <w:jc w:val="left"/>
        <w:rPr>
          <w:rFonts w:ascii="Arial" w:hAnsi="Arial" w:cs="Arial"/>
          <w:i/>
          <w:color w:val="auto"/>
          <w:sz w:val="24"/>
          <w:szCs w:val="24"/>
          <w:lang w:eastAsia="pl-PL"/>
        </w:rPr>
      </w:pPr>
      <w:r w:rsidRPr="00237760">
        <w:rPr>
          <w:rFonts w:ascii="Arial" w:hAnsi="Arial" w:cs="Arial"/>
          <w:i/>
          <w:color w:val="auto"/>
          <w:sz w:val="24"/>
          <w:szCs w:val="24"/>
          <w:lang w:eastAsia="pl-PL"/>
        </w:rPr>
        <w:lastRenderedPageBreak/>
        <w:t xml:space="preserve">Strategia Rozwoju Gminy Dynów na lata 2016-2026, </w:t>
      </w:r>
      <w:r w:rsidRPr="00237760">
        <w:rPr>
          <w:rFonts w:ascii="Arial" w:hAnsi="Arial" w:cs="Arial"/>
          <w:color w:val="auto"/>
          <w:sz w:val="24"/>
          <w:szCs w:val="24"/>
          <w:lang w:eastAsia="pl-PL"/>
        </w:rPr>
        <w:t>(2016), Urząd Gminy Dynów, Dynów.</w:t>
      </w:r>
    </w:p>
    <w:p w14:paraId="41810308" w14:textId="77777777" w:rsidR="00DA6050" w:rsidRPr="00237760" w:rsidRDefault="00DA6050" w:rsidP="009367B4">
      <w:pPr>
        <w:jc w:val="left"/>
        <w:rPr>
          <w:rFonts w:ascii="Arial" w:hAnsi="Arial" w:cs="Arial"/>
          <w:color w:val="auto"/>
          <w:sz w:val="24"/>
          <w:szCs w:val="24"/>
          <w:lang w:eastAsia="pl-PL"/>
        </w:rPr>
      </w:pPr>
      <w:r w:rsidRPr="00237760">
        <w:rPr>
          <w:rFonts w:ascii="Arial" w:hAnsi="Arial" w:cs="Arial"/>
          <w:i/>
          <w:color w:val="auto"/>
          <w:sz w:val="24"/>
          <w:szCs w:val="24"/>
          <w:lang w:eastAsia="pl-PL"/>
        </w:rPr>
        <w:t>Strategia Rozwoju Gminy Harasiuki na lata 2015-2025,</w:t>
      </w:r>
      <w:r w:rsidRPr="00237760">
        <w:rPr>
          <w:rFonts w:ascii="Arial" w:hAnsi="Arial" w:cs="Arial"/>
          <w:color w:val="auto"/>
          <w:sz w:val="24"/>
          <w:szCs w:val="24"/>
          <w:lang w:eastAsia="pl-PL"/>
        </w:rPr>
        <w:t xml:space="preserve"> (2016), Urząd Gminy Harasiuki, Harasiuki.</w:t>
      </w:r>
    </w:p>
    <w:p w14:paraId="0D5E2D57" w14:textId="77777777" w:rsidR="00DA6050" w:rsidRPr="00237760" w:rsidRDefault="00DA6050" w:rsidP="009367B4">
      <w:pPr>
        <w:jc w:val="left"/>
        <w:rPr>
          <w:rFonts w:ascii="Arial" w:hAnsi="Arial" w:cs="Arial"/>
          <w:color w:val="auto"/>
          <w:sz w:val="24"/>
          <w:szCs w:val="24"/>
          <w:lang w:eastAsia="pl-PL"/>
        </w:rPr>
      </w:pPr>
      <w:r w:rsidRPr="00237760">
        <w:rPr>
          <w:rFonts w:ascii="Arial" w:hAnsi="Arial" w:cs="Arial"/>
          <w:i/>
          <w:color w:val="auto"/>
          <w:sz w:val="24"/>
          <w:szCs w:val="24"/>
          <w:lang w:eastAsia="pl-PL"/>
        </w:rPr>
        <w:t>Strategia Rozwoju Gminy Iwierzyce na lata 2016-2025</w:t>
      </w:r>
      <w:r w:rsidRPr="00237760">
        <w:rPr>
          <w:rFonts w:ascii="Arial" w:hAnsi="Arial" w:cs="Arial"/>
          <w:color w:val="auto"/>
          <w:sz w:val="24"/>
          <w:szCs w:val="24"/>
          <w:lang w:eastAsia="pl-PL"/>
        </w:rPr>
        <w:t>, (2017), Urząd Gminy Iwierzyce, Iwierzyce.</w:t>
      </w:r>
    </w:p>
    <w:p w14:paraId="70FE1781" w14:textId="77777777" w:rsidR="00DA6050" w:rsidRPr="00237760" w:rsidRDefault="00DA6050" w:rsidP="009367B4">
      <w:pPr>
        <w:jc w:val="left"/>
        <w:rPr>
          <w:rFonts w:ascii="Arial" w:hAnsi="Arial" w:cs="Arial"/>
          <w:i/>
          <w:color w:val="auto"/>
          <w:sz w:val="24"/>
          <w:szCs w:val="24"/>
          <w:lang w:eastAsia="pl-PL"/>
        </w:rPr>
      </w:pPr>
      <w:r w:rsidRPr="00237760">
        <w:rPr>
          <w:rFonts w:ascii="Arial" w:hAnsi="Arial" w:cs="Arial"/>
          <w:i/>
          <w:color w:val="auto"/>
          <w:sz w:val="24"/>
          <w:szCs w:val="24"/>
          <w:lang w:eastAsia="pl-PL"/>
        </w:rPr>
        <w:t xml:space="preserve">Strategia Rozwoju Gminy Jasienica Rosielna do 2024 roku, </w:t>
      </w:r>
      <w:r w:rsidRPr="00237760">
        <w:rPr>
          <w:rFonts w:ascii="Arial" w:hAnsi="Arial" w:cs="Arial"/>
          <w:color w:val="auto"/>
          <w:sz w:val="24"/>
          <w:szCs w:val="24"/>
          <w:lang w:eastAsia="pl-PL"/>
        </w:rPr>
        <w:t>(2015), Urząd Gminy Jasienica Rosielna, Jasienica Rosielna.</w:t>
      </w:r>
    </w:p>
    <w:p w14:paraId="5ED892D8" w14:textId="77777777" w:rsidR="00DA6050" w:rsidRPr="00237760" w:rsidRDefault="00DA6050" w:rsidP="009367B4">
      <w:pPr>
        <w:jc w:val="left"/>
        <w:rPr>
          <w:rFonts w:ascii="Arial" w:hAnsi="Arial" w:cs="Arial"/>
          <w:i/>
          <w:color w:val="auto"/>
          <w:sz w:val="24"/>
          <w:szCs w:val="24"/>
          <w:lang w:eastAsia="pl-PL"/>
        </w:rPr>
      </w:pPr>
      <w:r w:rsidRPr="00237760">
        <w:rPr>
          <w:rFonts w:ascii="Arial" w:hAnsi="Arial" w:cs="Arial"/>
          <w:i/>
          <w:color w:val="auto"/>
          <w:sz w:val="24"/>
          <w:szCs w:val="24"/>
          <w:lang w:eastAsia="pl-PL"/>
        </w:rPr>
        <w:t xml:space="preserve">Strategia Rozwoju Gminy Jeżowe na lata 2016 – 2022, </w:t>
      </w:r>
      <w:r w:rsidRPr="00237760">
        <w:rPr>
          <w:rFonts w:ascii="Arial" w:hAnsi="Arial" w:cs="Arial"/>
          <w:color w:val="auto"/>
          <w:sz w:val="24"/>
          <w:szCs w:val="24"/>
          <w:lang w:eastAsia="pl-PL"/>
        </w:rPr>
        <w:t>(2016), Urząd Gminy Jeżowe, hITprojekt, Jeżowe.</w:t>
      </w:r>
    </w:p>
    <w:p w14:paraId="3586405C" w14:textId="77777777" w:rsidR="00DA6050" w:rsidRPr="00237760" w:rsidRDefault="00DA6050" w:rsidP="009367B4">
      <w:pPr>
        <w:jc w:val="left"/>
        <w:rPr>
          <w:rFonts w:ascii="Arial" w:hAnsi="Arial" w:cs="Arial"/>
          <w:color w:val="auto"/>
          <w:sz w:val="24"/>
          <w:szCs w:val="24"/>
          <w:lang w:eastAsia="pl-PL"/>
        </w:rPr>
      </w:pPr>
      <w:r w:rsidRPr="00237760">
        <w:rPr>
          <w:rFonts w:ascii="Arial" w:hAnsi="Arial" w:cs="Arial"/>
          <w:i/>
          <w:color w:val="auto"/>
          <w:sz w:val="24"/>
          <w:szCs w:val="24"/>
          <w:lang w:eastAsia="pl-PL"/>
        </w:rPr>
        <w:t>Strategia Rozwoju Gminy Komańcza do roku 2030</w:t>
      </w:r>
      <w:r w:rsidRPr="00237760">
        <w:rPr>
          <w:rFonts w:ascii="Arial" w:hAnsi="Arial" w:cs="Arial"/>
          <w:color w:val="auto"/>
          <w:sz w:val="24"/>
          <w:szCs w:val="24"/>
          <w:lang w:eastAsia="pl-PL"/>
        </w:rPr>
        <w:t>, (2016), Urząd Gminy Komańcza, Komańcza.</w:t>
      </w:r>
    </w:p>
    <w:p w14:paraId="7A5FE5BB" w14:textId="77777777" w:rsidR="00DA6050" w:rsidRPr="00237760" w:rsidRDefault="00DA6050" w:rsidP="009367B4">
      <w:pPr>
        <w:jc w:val="left"/>
        <w:rPr>
          <w:rFonts w:ascii="Arial" w:hAnsi="Arial" w:cs="Arial"/>
          <w:color w:val="auto"/>
          <w:sz w:val="24"/>
          <w:szCs w:val="24"/>
          <w:lang w:eastAsia="pl-PL"/>
        </w:rPr>
      </w:pPr>
      <w:r w:rsidRPr="00237760">
        <w:rPr>
          <w:rFonts w:ascii="Arial" w:hAnsi="Arial" w:cs="Arial"/>
          <w:i/>
          <w:color w:val="auto"/>
          <w:sz w:val="24"/>
          <w:szCs w:val="24"/>
          <w:lang w:eastAsia="pl-PL"/>
        </w:rPr>
        <w:t xml:space="preserve">Strategia Rozwoju Gminy Kuryłówka na lata 2015-2022, </w:t>
      </w:r>
      <w:r w:rsidRPr="00237760">
        <w:rPr>
          <w:rFonts w:ascii="Arial" w:hAnsi="Arial" w:cs="Arial"/>
          <w:color w:val="auto"/>
          <w:sz w:val="24"/>
          <w:szCs w:val="24"/>
          <w:lang w:eastAsia="pl-PL"/>
        </w:rPr>
        <w:t>(2015/2016), Urząd Gminy Kuryłówka,</w:t>
      </w:r>
      <w:r w:rsidRPr="00237760">
        <w:rPr>
          <w:rFonts w:ascii="Arial" w:hAnsi="Arial" w:cs="Arial"/>
          <w:color w:val="auto"/>
          <w:sz w:val="24"/>
          <w:szCs w:val="24"/>
        </w:rPr>
        <w:t xml:space="preserve"> </w:t>
      </w:r>
      <w:r w:rsidRPr="00237760">
        <w:rPr>
          <w:rFonts w:ascii="Arial" w:hAnsi="Arial" w:cs="Arial"/>
          <w:color w:val="auto"/>
          <w:sz w:val="24"/>
          <w:szCs w:val="24"/>
          <w:lang w:eastAsia="pl-PL"/>
        </w:rPr>
        <w:t>Pracownia Badań Społecznych ANALITYK, Kuryłówka.</w:t>
      </w:r>
    </w:p>
    <w:p w14:paraId="4BFD2EBE" w14:textId="77777777" w:rsidR="00DA6050" w:rsidRPr="00237760" w:rsidRDefault="00DA6050" w:rsidP="009367B4">
      <w:pPr>
        <w:jc w:val="left"/>
        <w:rPr>
          <w:rFonts w:ascii="Arial" w:hAnsi="Arial" w:cs="Arial"/>
          <w:color w:val="auto"/>
          <w:sz w:val="24"/>
          <w:szCs w:val="24"/>
          <w:lang w:eastAsia="pl-PL"/>
        </w:rPr>
      </w:pPr>
      <w:r w:rsidRPr="00237760">
        <w:rPr>
          <w:rFonts w:ascii="Arial" w:hAnsi="Arial" w:cs="Arial"/>
          <w:i/>
          <w:color w:val="auto"/>
          <w:sz w:val="24"/>
          <w:szCs w:val="24"/>
          <w:lang w:eastAsia="pl-PL"/>
        </w:rPr>
        <w:t>Strategia Rozwoju Gminy Lutowiska do roku 2026</w:t>
      </w:r>
      <w:r w:rsidRPr="00237760">
        <w:rPr>
          <w:rFonts w:ascii="Arial" w:hAnsi="Arial" w:cs="Arial"/>
          <w:color w:val="auto"/>
          <w:sz w:val="24"/>
          <w:szCs w:val="24"/>
          <w:lang w:eastAsia="pl-PL"/>
        </w:rPr>
        <w:t>, (2017), Urząd Gminy Lutowiska, RES MANAGEMENT s.c. Brzozów, Lutowiska.</w:t>
      </w:r>
    </w:p>
    <w:p w14:paraId="4AF719F2" w14:textId="77777777" w:rsidR="00DA6050" w:rsidRPr="00237760" w:rsidRDefault="00DA6050" w:rsidP="009367B4">
      <w:pPr>
        <w:jc w:val="left"/>
        <w:rPr>
          <w:rFonts w:ascii="Arial" w:hAnsi="Arial" w:cs="Arial"/>
          <w:color w:val="auto"/>
          <w:sz w:val="24"/>
          <w:szCs w:val="24"/>
          <w:lang w:eastAsia="pl-PL"/>
        </w:rPr>
      </w:pPr>
      <w:r w:rsidRPr="00237760">
        <w:rPr>
          <w:rFonts w:ascii="Arial" w:hAnsi="Arial" w:cs="Arial"/>
          <w:i/>
          <w:color w:val="auto"/>
          <w:sz w:val="24"/>
          <w:szCs w:val="24"/>
          <w:lang w:eastAsia="pl-PL"/>
        </w:rPr>
        <w:t>Strategia Rozwoju Gminy Majdan Królewski na lata 2014-2022</w:t>
      </w:r>
      <w:r w:rsidRPr="00237760">
        <w:rPr>
          <w:rFonts w:ascii="Arial" w:hAnsi="Arial" w:cs="Arial"/>
          <w:color w:val="auto"/>
          <w:sz w:val="24"/>
          <w:szCs w:val="24"/>
          <w:lang w:eastAsia="pl-PL"/>
        </w:rPr>
        <w:t>, (2014), Urząd Gminy Majdan Królewski, Majdan Królewski.</w:t>
      </w:r>
    </w:p>
    <w:p w14:paraId="04AB3A7A" w14:textId="77777777" w:rsidR="00DA6050" w:rsidRPr="00237760" w:rsidRDefault="00DA6050" w:rsidP="009367B4">
      <w:pPr>
        <w:jc w:val="left"/>
        <w:rPr>
          <w:rFonts w:ascii="Arial" w:hAnsi="Arial" w:cs="Arial"/>
          <w:color w:val="auto"/>
          <w:sz w:val="24"/>
          <w:szCs w:val="24"/>
          <w:lang w:eastAsia="pl-PL"/>
        </w:rPr>
      </w:pPr>
      <w:r w:rsidRPr="00237760">
        <w:rPr>
          <w:rFonts w:ascii="Arial" w:hAnsi="Arial" w:cs="Arial"/>
          <w:i/>
          <w:color w:val="auto"/>
          <w:sz w:val="24"/>
          <w:szCs w:val="24"/>
          <w:lang w:eastAsia="pl-PL"/>
        </w:rPr>
        <w:t>Strategia Rozwoju Gminy Narol na lata 2021-2030</w:t>
      </w:r>
      <w:r w:rsidRPr="00237760">
        <w:rPr>
          <w:rFonts w:ascii="Arial" w:hAnsi="Arial" w:cs="Arial"/>
          <w:color w:val="auto"/>
          <w:sz w:val="24"/>
          <w:szCs w:val="24"/>
          <w:lang w:eastAsia="pl-PL"/>
        </w:rPr>
        <w:t>, (2021), Urząd Gminy Narol, Narol.</w:t>
      </w:r>
    </w:p>
    <w:p w14:paraId="37EEFA77" w14:textId="77777777" w:rsidR="00DA6050" w:rsidRPr="00237760" w:rsidRDefault="00DA6050" w:rsidP="009367B4">
      <w:pPr>
        <w:jc w:val="left"/>
        <w:rPr>
          <w:rFonts w:ascii="Arial" w:hAnsi="Arial" w:cs="Arial"/>
          <w:color w:val="auto"/>
          <w:sz w:val="24"/>
          <w:szCs w:val="24"/>
          <w:lang w:eastAsia="pl-PL"/>
        </w:rPr>
      </w:pPr>
      <w:r w:rsidRPr="00237760">
        <w:rPr>
          <w:rFonts w:ascii="Arial" w:hAnsi="Arial" w:cs="Arial"/>
          <w:i/>
          <w:color w:val="auto"/>
          <w:sz w:val="24"/>
          <w:szCs w:val="24"/>
          <w:lang w:eastAsia="pl-PL"/>
        </w:rPr>
        <w:t>Strategia Rozwoju Gminy Pruchnik na lata 2007-2022</w:t>
      </w:r>
      <w:r w:rsidRPr="00237760">
        <w:rPr>
          <w:rFonts w:ascii="Arial" w:hAnsi="Arial" w:cs="Arial"/>
          <w:color w:val="auto"/>
          <w:sz w:val="24"/>
          <w:szCs w:val="24"/>
          <w:lang w:eastAsia="pl-PL"/>
        </w:rPr>
        <w:t>, (2015), Urząd Gminy Pruchnik, Pruchnik.</w:t>
      </w:r>
    </w:p>
    <w:p w14:paraId="660B7E25" w14:textId="77777777" w:rsidR="00DA6050" w:rsidRPr="00237760" w:rsidRDefault="00DA6050" w:rsidP="009367B4">
      <w:pPr>
        <w:jc w:val="left"/>
        <w:rPr>
          <w:rFonts w:ascii="Arial" w:hAnsi="Arial" w:cs="Arial"/>
          <w:color w:val="auto"/>
          <w:sz w:val="24"/>
          <w:szCs w:val="24"/>
          <w:lang w:eastAsia="pl-PL"/>
        </w:rPr>
      </w:pPr>
      <w:r w:rsidRPr="00237760">
        <w:rPr>
          <w:rFonts w:ascii="Arial" w:hAnsi="Arial" w:cs="Arial"/>
          <w:i/>
          <w:color w:val="auto"/>
          <w:sz w:val="24"/>
          <w:szCs w:val="24"/>
          <w:lang w:eastAsia="pl-PL"/>
        </w:rPr>
        <w:t>Strategia Rozwoju Gminy Radomyśl nad Sanem na lata 2015 – 2022</w:t>
      </w:r>
      <w:r w:rsidRPr="00237760">
        <w:rPr>
          <w:rFonts w:ascii="Arial" w:hAnsi="Arial" w:cs="Arial"/>
          <w:color w:val="auto"/>
          <w:sz w:val="24"/>
          <w:szCs w:val="24"/>
          <w:lang w:eastAsia="pl-PL"/>
        </w:rPr>
        <w:t>, (2016), Urząd Gminy Radomyśl nad Sanem, Radomyśl nad Sanem.</w:t>
      </w:r>
    </w:p>
    <w:p w14:paraId="61F34641" w14:textId="77777777" w:rsidR="00DA6050" w:rsidRPr="00237760" w:rsidRDefault="00DA6050" w:rsidP="009367B4">
      <w:pPr>
        <w:jc w:val="left"/>
        <w:rPr>
          <w:rFonts w:ascii="Arial" w:hAnsi="Arial" w:cs="Arial"/>
          <w:color w:val="auto"/>
          <w:sz w:val="24"/>
          <w:szCs w:val="24"/>
          <w:lang w:eastAsia="pl-PL"/>
        </w:rPr>
      </w:pPr>
      <w:r w:rsidRPr="00237760">
        <w:rPr>
          <w:rFonts w:ascii="Arial" w:hAnsi="Arial" w:cs="Arial"/>
          <w:i/>
          <w:color w:val="auto"/>
          <w:sz w:val="24"/>
          <w:szCs w:val="24"/>
          <w:lang w:eastAsia="pl-PL"/>
        </w:rPr>
        <w:t>Strategia Rozwoju Gminy Radomyśl Wielki na lata 2021-2030</w:t>
      </w:r>
      <w:r w:rsidRPr="00237760">
        <w:rPr>
          <w:rFonts w:ascii="Arial" w:hAnsi="Arial" w:cs="Arial"/>
          <w:color w:val="auto"/>
          <w:sz w:val="24"/>
          <w:szCs w:val="24"/>
          <w:lang w:eastAsia="pl-PL"/>
        </w:rPr>
        <w:t>, (2021), Urząd Gminy Radomyśl Wielki, Raszkowski A., Radomyśl Wielki.</w:t>
      </w:r>
    </w:p>
    <w:p w14:paraId="4CDB0C45" w14:textId="77777777" w:rsidR="00DA6050" w:rsidRPr="00237760" w:rsidRDefault="00DA6050" w:rsidP="009367B4">
      <w:pPr>
        <w:jc w:val="left"/>
        <w:rPr>
          <w:rFonts w:ascii="Arial" w:hAnsi="Arial" w:cs="Arial"/>
          <w:color w:val="auto"/>
          <w:sz w:val="24"/>
          <w:szCs w:val="24"/>
          <w:lang w:eastAsia="pl-PL"/>
        </w:rPr>
      </w:pPr>
      <w:r w:rsidRPr="00237760">
        <w:rPr>
          <w:rFonts w:ascii="Arial" w:hAnsi="Arial" w:cs="Arial"/>
          <w:i/>
          <w:color w:val="auto"/>
          <w:sz w:val="24"/>
          <w:szCs w:val="24"/>
          <w:lang w:eastAsia="pl-PL"/>
        </w:rPr>
        <w:t xml:space="preserve">Strategia Rozwoju Gminy Solina do roku 2025, </w:t>
      </w:r>
      <w:r w:rsidRPr="00237760">
        <w:rPr>
          <w:rFonts w:ascii="Arial" w:hAnsi="Arial" w:cs="Arial"/>
          <w:color w:val="auto"/>
          <w:sz w:val="24"/>
          <w:szCs w:val="24"/>
          <w:lang w:eastAsia="pl-PL"/>
        </w:rPr>
        <w:t>(2015), Urząd Gminy Solina, Polańczyk.</w:t>
      </w:r>
    </w:p>
    <w:p w14:paraId="0A72990C" w14:textId="77777777" w:rsidR="00DA6050" w:rsidRPr="00237760" w:rsidRDefault="00DA6050" w:rsidP="009367B4">
      <w:pPr>
        <w:jc w:val="left"/>
        <w:rPr>
          <w:rFonts w:ascii="Arial" w:hAnsi="Arial" w:cs="Arial"/>
          <w:i/>
          <w:color w:val="auto"/>
          <w:sz w:val="24"/>
          <w:szCs w:val="24"/>
          <w:lang w:eastAsia="pl-PL"/>
        </w:rPr>
      </w:pPr>
      <w:r w:rsidRPr="00237760">
        <w:rPr>
          <w:rFonts w:ascii="Arial" w:hAnsi="Arial" w:cs="Arial"/>
          <w:i/>
          <w:color w:val="auto"/>
          <w:sz w:val="24"/>
          <w:szCs w:val="24"/>
          <w:lang w:eastAsia="pl-PL"/>
        </w:rPr>
        <w:t xml:space="preserve">Strategia Rozwoju Kapitału Ludzkiego 2030, </w:t>
      </w:r>
      <w:r w:rsidRPr="00237760">
        <w:rPr>
          <w:rFonts w:ascii="Arial" w:hAnsi="Arial" w:cs="Arial"/>
          <w:color w:val="auto"/>
          <w:sz w:val="24"/>
          <w:szCs w:val="24"/>
          <w:lang w:eastAsia="pl-PL"/>
        </w:rPr>
        <w:t>(2019), Ministerstwo Rodziny, Pracy i Polityki Społecznej, Warszawa.</w:t>
      </w:r>
    </w:p>
    <w:p w14:paraId="69661D00" w14:textId="77777777" w:rsidR="00DA6050" w:rsidRPr="00237760" w:rsidRDefault="00DA6050" w:rsidP="009367B4">
      <w:pPr>
        <w:jc w:val="left"/>
        <w:rPr>
          <w:rFonts w:ascii="Arial" w:hAnsi="Arial" w:cs="Arial"/>
          <w:color w:val="auto"/>
          <w:sz w:val="24"/>
          <w:szCs w:val="24"/>
          <w:lang w:eastAsia="pl-PL"/>
        </w:rPr>
      </w:pPr>
      <w:r w:rsidRPr="00237760">
        <w:rPr>
          <w:rFonts w:ascii="Arial" w:hAnsi="Arial" w:cs="Arial"/>
          <w:i/>
          <w:color w:val="auto"/>
          <w:sz w:val="24"/>
          <w:szCs w:val="24"/>
          <w:lang w:eastAsia="pl-PL"/>
        </w:rPr>
        <w:t>Strategia Rozwoju Miasta Jasła na lata 2007 -2020</w:t>
      </w:r>
      <w:r w:rsidRPr="00237760">
        <w:rPr>
          <w:rFonts w:ascii="Arial" w:hAnsi="Arial" w:cs="Arial"/>
          <w:color w:val="auto"/>
          <w:sz w:val="24"/>
          <w:szCs w:val="24"/>
          <w:lang w:eastAsia="pl-PL"/>
        </w:rPr>
        <w:t>, (2008), Urząd Miasta Jasło, Jasło.</w:t>
      </w:r>
    </w:p>
    <w:p w14:paraId="0D737952" w14:textId="77777777" w:rsidR="00DA6050" w:rsidRPr="00237760" w:rsidRDefault="00DA6050" w:rsidP="009367B4">
      <w:pPr>
        <w:jc w:val="left"/>
        <w:rPr>
          <w:rFonts w:ascii="Arial" w:hAnsi="Arial" w:cs="Arial"/>
          <w:color w:val="auto"/>
          <w:sz w:val="24"/>
          <w:szCs w:val="24"/>
          <w:lang w:eastAsia="pl-PL"/>
        </w:rPr>
      </w:pPr>
      <w:r w:rsidRPr="00237760">
        <w:rPr>
          <w:rFonts w:ascii="Arial" w:hAnsi="Arial" w:cs="Arial"/>
          <w:i/>
          <w:color w:val="auto"/>
          <w:sz w:val="24"/>
          <w:szCs w:val="24"/>
          <w:lang w:eastAsia="pl-PL"/>
        </w:rPr>
        <w:t>Strategia Rozwoju Miasta Lubaczowa na lata 2018- 2038</w:t>
      </w:r>
      <w:r w:rsidRPr="00237760">
        <w:rPr>
          <w:rFonts w:ascii="Arial" w:hAnsi="Arial" w:cs="Arial"/>
          <w:color w:val="auto"/>
          <w:sz w:val="24"/>
          <w:szCs w:val="24"/>
          <w:lang w:eastAsia="pl-PL"/>
        </w:rPr>
        <w:t>, (2018), Urząd Gminy Miejskiej Lubaczów, Lubaczów.</w:t>
      </w:r>
    </w:p>
    <w:p w14:paraId="2201FCFB" w14:textId="77777777" w:rsidR="00DA6050" w:rsidRPr="00237760" w:rsidRDefault="00DA6050" w:rsidP="009367B4">
      <w:pPr>
        <w:jc w:val="left"/>
        <w:rPr>
          <w:rFonts w:ascii="Arial" w:hAnsi="Arial" w:cs="Arial"/>
          <w:color w:val="auto"/>
          <w:sz w:val="24"/>
          <w:szCs w:val="24"/>
          <w:lang w:eastAsia="pl-PL"/>
        </w:rPr>
      </w:pPr>
      <w:r w:rsidRPr="00237760">
        <w:rPr>
          <w:rFonts w:ascii="Arial" w:hAnsi="Arial" w:cs="Arial"/>
          <w:i/>
          <w:color w:val="auto"/>
          <w:sz w:val="24"/>
          <w:szCs w:val="24"/>
          <w:lang w:eastAsia="pl-PL"/>
        </w:rPr>
        <w:lastRenderedPageBreak/>
        <w:t>Strategia Rozwoju Miejskiego Obszaru Funkcjonalnego Stalowej Woli na lata 2014-2020</w:t>
      </w:r>
      <w:r w:rsidRPr="00237760">
        <w:rPr>
          <w:rFonts w:ascii="Arial" w:hAnsi="Arial" w:cs="Arial"/>
          <w:color w:val="auto"/>
          <w:sz w:val="24"/>
          <w:szCs w:val="24"/>
          <w:lang w:eastAsia="pl-PL"/>
        </w:rPr>
        <w:t xml:space="preserve">, (2017), Urząd Miasta Stalowa Wola, </w:t>
      </w:r>
      <w:r w:rsidRPr="00237760">
        <w:rPr>
          <w:rFonts w:ascii="Arial" w:hAnsi="Arial" w:cs="Arial"/>
          <w:color w:val="auto"/>
          <w:sz w:val="24"/>
          <w:szCs w:val="24"/>
        </w:rPr>
        <w:t>Stalowa Wola – Nisko – Pysznica – Zaleszany.</w:t>
      </w:r>
    </w:p>
    <w:p w14:paraId="4152F9E2" w14:textId="77777777" w:rsidR="00DA6050" w:rsidRPr="00237760" w:rsidRDefault="00DA6050" w:rsidP="009367B4">
      <w:pPr>
        <w:jc w:val="left"/>
        <w:rPr>
          <w:rFonts w:ascii="Arial" w:hAnsi="Arial" w:cs="Arial"/>
          <w:color w:val="auto"/>
          <w:sz w:val="24"/>
          <w:szCs w:val="24"/>
          <w:lang w:eastAsia="pl-PL"/>
        </w:rPr>
      </w:pPr>
      <w:r w:rsidRPr="00237760">
        <w:rPr>
          <w:rFonts w:ascii="Arial" w:hAnsi="Arial" w:cs="Arial"/>
          <w:i/>
          <w:color w:val="auto"/>
          <w:sz w:val="24"/>
          <w:szCs w:val="24"/>
          <w:lang w:eastAsia="pl-PL"/>
        </w:rPr>
        <w:t>Strategia Rozwoju Społeczno-Gospodarczego dla Gminy Iwonicz-Zdrój na lata 2016-2022</w:t>
      </w:r>
      <w:r w:rsidRPr="00237760">
        <w:rPr>
          <w:rFonts w:ascii="Arial" w:hAnsi="Arial" w:cs="Arial"/>
          <w:color w:val="auto"/>
          <w:sz w:val="24"/>
          <w:szCs w:val="24"/>
          <w:lang w:eastAsia="pl-PL"/>
        </w:rPr>
        <w:t>, (2017),</w:t>
      </w:r>
      <w:r w:rsidRPr="00237760">
        <w:rPr>
          <w:rFonts w:ascii="Arial" w:hAnsi="Arial" w:cs="Arial"/>
          <w:color w:val="auto"/>
          <w:sz w:val="24"/>
          <w:szCs w:val="24"/>
        </w:rPr>
        <w:t xml:space="preserve"> Urząd Gminy Iwonicz-Zdrój, </w:t>
      </w:r>
      <w:r w:rsidRPr="00237760">
        <w:rPr>
          <w:rFonts w:ascii="Arial" w:hAnsi="Arial" w:cs="Arial"/>
          <w:color w:val="auto"/>
          <w:sz w:val="24"/>
          <w:szCs w:val="24"/>
          <w:lang w:eastAsia="pl-PL"/>
        </w:rPr>
        <w:t>Instytut Doradztwa Europejskiego- Innowacja s.c., Iwonicz-Zdrój.</w:t>
      </w:r>
    </w:p>
    <w:p w14:paraId="27491EA2" w14:textId="77777777" w:rsidR="00DA6050" w:rsidRPr="00237760" w:rsidRDefault="00DA6050" w:rsidP="009367B4">
      <w:pPr>
        <w:jc w:val="left"/>
        <w:rPr>
          <w:rFonts w:ascii="Arial" w:hAnsi="Arial" w:cs="Arial"/>
          <w:i/>
          <w:color w:val="auto"/>
          <w:sz w:val="24"/>
          <w:szCs w:val="24"/>
        </w:rPr>
      </w:pPr>
      <w:r w:rsidRPr="00237760">
        <w:rPr>
          <w:rFonts w:ascii="Arial" w:hAnsi="Arial" w:cs="Arial"/>
          <w:i/>
          <w:color w:val="auto"/>
          <w:sz w:val="24"/>
          <w:szCs w:val="24"/>
        </w:rPr>
        <w:t xml:space="preserve">Strategia rozwoju systemu bezpieczeństwa narodowego RP, </w:t>
      </w:r>
      <w:r w:rsidRPr="00237760">
        <w:rPr>
          <w:rFonts w:ascii="Arial" w:hAnsi="Arial" w:cs="Arial"/>
          <w:color w:val="auto"/>
          <w:sz w:val="24"/>
          <w:szCs w:val="24"/>
        </w:rPr>
        <w:t>(2020), Warszawa.</w:t>
      </w:r>
    </w:p>
    <w:p w14:paraId="3B28E3ED" w14:textId="77777777" w:rsidR="00DA6050" w:rsidRPr="00237760" w:rsidRDefault="00DA6050" w:rsidP="009367B4">
      <w:pPr>
        <w:jc w:val="left"/>
        <w:rPr>
          <w:rFonts w:ascii="Arial" w:hAnsi="Arial" w:cs="Arial"/>
          <w:color w:val="auto"/>
          <w:sz w:val="24"/>
          <w:szCs w:val="24"/>
          <w:lang w:eastAsia="pl-PL"/>
        </w:rPr>
      </w:pPr>
      <w:r w:rsidRPr="00237760">
        <w:rPr>
          <w:rFonts w:ascii="Arial" w:hAnsi="Arial" w:cs="Arial"/>
          <w:i/>
          <w:color w:val="auto"/>
          <w:sz w:val="24"/>
          <w:szCs w:val="24"/>
          <w:lang w:eastAsia="pl-PL"/>
        </w:rPr>
        <w:t>Strategia rozwoju województwa - Podkarpackie 2030, (2020</w:t>
      </w:r>
      <w:r w:rsidRPr="00237760">
        <w:rPr>
          <w:rFonts w:ascii="Arial" w:hAnsi="Arial" w:cs="Arial"/>
          <w:color w:val="auto"/>
          <w:sz w:val="24"/>
          <w:szCs w:val="24"/>
          <w:lang w:eastAsia="pl-PL"/>
        </w:rPr>
        <w:t>), Rzeszów</w:t>
      </w:r>
      <w:r w:rsidRPr="00237760">
        <w:rPr>
          <w:rFonts w:ascii="Arial" w:hAnsi="Arial" w:cs="Arial"/>
          <w:i/>
          <w:color w:val="auto"/>
          <w:sz w:val="24"/>
          <w:szCs w:val="24"/>
          <w:lang w:eastAsia="pl-PL"/>
        </w:rPr>
        <w:t>.</w:t>
      </w:r>
    </w:p>
    <w:p w14:paraId="2ABCC1FB" w14:textId="77777777" w:rsidR="00DA6050" w:rsidRPr="00237760" w:rsidRDefault="00DA6050" w:rsidP="009367B4">
      <w:pPr>
        <w:jc w:val="left"/>
        <w:rPr>
          <w:rFonts w:ascii="Arial" w:hAnsi="Arial" w:cs="Arial"/>
          <w:i/>
          <w:color w:val="auto"/>
          <w:sz w:val="24"/>
          <w:szCs w:val="24"/>
          <w:lang w:eastAsia="pl-PL"/>
        </w:rPr>
      </w:pPr>
      <w:r w:rsidRPr="00237760">
        <w:rPr>
          <w:rFonts w:ascii="Arial" w:hAnsi="Arial" w:cs="Arial"/>
          <w:i/>
          <w:color w:val="auto"/>
          <w:sz w:val="24"/>
          <w:szCs w:val="24"/>
          <w:lang w:eastAsia="pl-PL"/>
        </w:rPr>
        <w:t xml:space="preserve">Strategia Sprawne i Nowoczesne Państwo, </w:t>
      </w:r>
      <w:r w:rsidRPr="00237760">
        <w:rPr>
          <w:rFonts w:ascii="Arial" w:hAnsi="Arial" w:cs="Arial"/>
          <w:color w:val="auto"/>
          <w:sz w:val="24"/>
          <w:szCs w:val="24"/>
          <w:lang w:eastAsia="pl-PL"/>
        </w:rPr>
        <w:t>(2020), Warszawa.</w:t>
      </w:r>
    </w:p>
    <w:p w14:paraId="266A8D95" w14:textId="77777777" w:rsidR="00DA6050" w:rsidRPr="00237760" w:rsidRDefault="00DA6050" w:rsidP="009367B4">
      <w:pPr>
        <w:jc w:val="left"/>
        <w:rPr>
          <w:rFonts w:ascii="Arial" w:hAnsi="Arial" w:cs="Arial"/>
          <w:color w:val="auto"/>
          <w:sz w:val="24"/>
          <w:szCs w:val="24"/>
          <w:lang w:eastAsia="pl-PL"/>
        </w:rPr>
      </w:pPr>
      <w:r w:rsidRPr="00237760">
        <w:rPr>
          <w:rFonts w:ascii="Arial" w:hAnsi="Arial" w:cs="Arial"/>
          <w:i/>
          <w:color w:val="auto"/>
          <w:sz w:val="24"/>
          <w:szCs w:val="24"/>
          <w:lang w:eastAsia="pl-PL"/>
        </w:rPr>
        <w:t>Strategia ZIT Miejskiego Obszaru Funkcjonalnego Jarosław-Przeworsk na lata 2014 – 2020</w:t>
      </w:r>
      <w:r w:rsidRPr="00237760">
        <w:rPr>
          <w:rFonts w:ascii="Arial" w:hAnsi="Arial" w:cs="Arial"/>
          <w:color w:val="auto"/>
          <w:sz w:val="24"/>
          <w:szCs w:val="24"/>
          <w:lang w:eastAsia="pl-PL"/>
        </w:rPr>
        <w:t>, (2018), Urząd Gminy Miejskiej Jarosław, Jarosław-Przeworsk.</w:t>
      </w:r>
    </w:p>
    <w:p w14:paraId="60C646F9" w14:textId="77777777" w:rsidR="00DA6050" w:rsidRPr="00237760" w:rsidRDefault="00DA6050" w:rsidP="009367B4">
      <w:pPr>
        <w:jc w:val="left"/>
        <w:rPr>
          <w:rFonts w:ascii="Arial" w:hAnsi="Arial" w:cs="Arial"/>
          <w:color w:val="auto"/>
          <w:sz w:val="24"/>
          <w:szCs w:val="24"/>
          <w:lang w:eastAsia="pl-PL"/>
        </w:rPr>
      </w:pPr>
      <w:r w:rsidRPr="00237760">
        <w:rPr>
          <w:rFonts w:ascii="Arial" w:hAnsi="Arial" w:cs="Arial"/>
          <w:i/>
          <w:color w:val="auto"/>
          <w:sz w:val="24"/>
          <w:szCs w:val="24"/>
          <w:lang w:eastAsia="pl-PL"/>
        </w:rPr>
        <w:t>Strategia ZIT Rzeszowskiego Obszaru Funkcjonalnego</w:t>
      </w:r>
      <w:r w:rsidRPr="00237760">
        <w:rPr>
          <w:rFonts w:ascii="Arial" w:hAnsi="Arial" w:cs="Arial"/>
          <w:color w:val="auto"/>
          <w:sz w:val="24"/>
          <w:szCs w:val="24"/>
          <w:lang w:eastAsia="pl-PL"/>
        </w:rPr>
        <w:t xml:space="preserve">, (2018), Stowarzyszenie Rzeszowskiego Obszaru Funkcjonalnego, Rzeszów – Cieszyn. </w:t>
      </w:r>
    </w:p>
    <w:p w14:paraId="319DA0FD" w14:textId="77777777" w:rsidR="00DA6050" w:rsidRPr="00237760" w:rsidRDefault="00DA6050" w:rsidP="009367B4">
      <w:pPr>
        <w:jc w:val="left"/>
        <w:rPr>
          <w:rFonts w:ascii="Arial" w:hAnsi="Arial" w:cs="Arial"/>
          <w:color w:val="auto"/>
          <w:sz w:val="24"/>
          <w:szCs w:val="24"/>
          <w:lang w:eastAsia="pl-PL"/>
        </w:rPr>
      </w:pPr>
      <w:r w:rsidRPr="00237760">
        <w:rPr>
          <w:rFonts w:ascii="Arial" w:hAnsi="Arial" w:cs="Arial"/>
          <w:i/>
          <w:color w:val="auto"/>
          <w:sz w:val="24"/>
          <w:szCs w:val="24"/>
          <w:lang w:eastAsia="pl-PL"/>
        </w:rPr>
        <w:t>Strategia ZIT Tarnobrzeskiego Obszaru Funkcjonalnego na lata 2014-2020. Aktualizacja 2017</w:t>
      </w:r>
      <w:r w:rsidRPr="00237760">
        <w:rPr>
          <w:rFonts w:ascii="Arial" w:hAnsi="Arial" w:cs="Arial"/>
          <w:color w:val="auto"/>
          <w:sz w:val="24"/>
          <w:szCs w:val="24"/>
          <w:lang w:eastAsia="pl-PL"/>
        </w:rPr>
        <w:t>, (2017), Tarnobrzeg.</w:t>
      </w:r>
    </w:p>
    <w:p w14:paraId="0735DE49" w14:textId="77777777" w:rsidR="00DA6050" w:rsidRPr="00237760" w:rsidRDefault="00DA6050" w:rsidP="009367B4">
      <w:pPr>
        <w:jc w:val="left"/>
        <w:rPr>
          <w:rFonts w:ascii="Arial" w:hAnsi="Arial" w:cs="Arial"/>
          <w:color w:val="auto"/>
          <w:sz w:val="24"/>
          <w:szCs w:val="24"/>
          <w:lang w:eastAsia="pl-PL"/>
        </w:rPr>
      </w:pPr>
      <w:r w:rsidRPr="00237760">
        <w:rPr>
          <w:rFonts w:ascii="Arial" w:hAnsi="Arial" w:cs="Arial"/>
          <w:i/>
          <w:color w:val="auto"/>
          <w:sz w:val="24"/>
          <w:szCs w:val="24"/>
          <w:lang w:eastAsia="pl-PL"/>
        </w:rPr>
        <w:t>Strategia Zrównoważonego Rozwoju Gminy Jodłowa na lata 2014-2020</w:t>
      </w:r>
      <w:r w:rsidRPr="00237760">
        <w:rPr>
          <w:rFonts w:ascii="Arial" w:hAnsi="Arial" w:cs="Arial"/>
          <w:color w:val="auto"/>
          <w:sz w:val="24"/>
          <w:szCs w:val="24"/>
          <w:lang w:eastAsia="pl-PL"/>
        </w:rPr>
        <w:t xml:space="preserve">, (2014), Urząd Gminy Jodłowa, JKU Konsulting sp. z o.o., Jodłowa. </w:t>
      </w:r>
    </w:p>
    <w:p w14:paraId="389D37DD" w14:textId="77777777" w:rsidR="00DA6050" w:rsidRPr="00237760" w:rsidRDefault="00DA6050" w:rsidP="009367B4">
      <w:pPr>
        <w:jc w:val="left"/>
        <w:rPr>
          <w:rFonts w:ascii="Arial" w:hAnsi="Arial" w:cs="Arial"/>
          <w:color w:val="auto"/>
          <w:sz w:val="24"/>
          <w:szCs w:val="24"/>
          <w:lang w:eastAsia="pl-PL"/>
        </w:rPr>
      </w:pPr>
      <w:r w:rsidRPr="00237760">
        <w:rPr>
          <w:rFonts w:ascii="Arial" w:hAnsi="Arial" w:cs="Arial"/>
          <w:i/>
          <w:color w:val="auto"/>
          <w:sz w:val="24"/>
          <w:szCs w:val="24"/>
          <w:lang w:eastAsia="pl-PL"/>
        </w:rPr>
        <w:t>Strategia zrównoważonego rozwoju transportu do 2030 r</w:t>
      </w:r>
      <w:r w:rsidRPr="00237760">
        <w:rPr>
          <w:rFonts w:ascii="Arial" w:hAnsi="Arial" w:cs="Arial"/>
          <w:color w:val="auto"/>
          <w:sz w:val="24"/>
          <w:szCs w:val="24"/>
          <w:lang w:eastAsia="pl-PL"/>
        </w:rPr>
        <w:t>., (2019), Rada Ministrów, Warszawa.</w:t>
      </w:r>
    </w:p>
    <w:p w14:paraId="0274EC9C" w14:textId="77777777" w:rsidR="00DA6050" w:rsidRPr="00237760" w:rsidRDefault="00DA6050" w:rsidP="009367B4">
      <w:pPr>
        <w:jc w:val="left"/>
        <w:rPr>
          <w:rFonts w:ascii="Arial" w:hAnsi="Arial" w:cs="Arial"/>
          <w:color w:val="auto"/>
          <w:sz w:val="24"/>
          <w:szCs w:val="24"/>
          <w:lang w:eastAsia="pl-PL"/>
        </w:rPr>
      </w:pPr>
      <w:r w:rsidRPr="00237760">
        <w:rPr>
          <w:rFonts w:ascii="Arial" w:hAnsi="Arial" w:cs="Arial"/>
          <w:i/>
          <w:color w:val="auto"/>
          <w:sz w:val="24"/>
          <w:szCs w:val="24"/>
          <w:lang w:eastAsia="pl-PL"/>
        </w:rPr>
        <w:t xml:space="preserve">Strategia zrównoważonego rozwoju wsi, rolnictwa i rybactwa, </w:t>
      </w:r>
      <w:r w:rsidRPr="00237760">
        <w:rPr>
          <w:rFonts w:ascii="Arial" w:hAnsi="Arial" w:cs="Arial"/>
          <w:color w:val="auto"/>
          <w:sz w:val="24"/>
          <w:szCs w:val="24"/>
          <w:lang w:eastAsia="pl-PL"/>
        </w:rPr>
        <w:t xml:space="preserve">(2019), Warszawa. </w:t>
      </w:r>
    </w:p>
    <w:p w14:paraId="5AA5CF8C" w14:textId="77777777" w:rsidR="00DA6050" w:rsidRPr="00237760" w:rsidRDefault="00DA6050" w:rsidP="009367B4">
      <w:pPr>
        <w:jc w:val="left"/>
        <w:rPr>
          <w:rFonts w:ascii="Arial" w:hAnsi="Arial" w:cs="Arial"/>
          <w:color w:val="auto"/>
          <w:sz w:val="24"/>
          <w:szCs w:val="24"/>
          <w:lang w:eastAsia="pl-PL"/>
        </w:rPr>
      </w:pPr>
      <w:r w:rsidRPr="00237760">
        <w:rPr>
          <w:rFonts w:ascii="Arial" w:hAnsi="Arial" w:cs="Arial"/>
          <w:i/>
          <w:color w:val="auto"/>
          <w:sz w:val="24"/>
          <w:szCs w:val="24"/>
          <w:lang w:eastAsia="pl-PL"/>
        </w:rPr>
        <w:t>Transport drogowy w Polsce w latach 2018 i 2019,</w:t>
      </w:r>
      <w:r w:rsidRPr="00237760">
        <w:rPr>
          <w:rFonts w:ascii="Arial" w:hAnsi="Arial" w:cs="Arial"/>
          <w:color w:val="auto"/>
          <w:sz w:val="24"/>
          <w:szCs w:val="24"/>
          <w:lang w:eastAsia="pl-PL"/>
        </w:rPr>
        <w:t xml:space="preserve"> 2021,</w:t>
      </w:r>
      <w:r w:rsidRPr="00237760">
        <w:rPr>
          <w:rFonts w:ascii="Arial" w:hAnsi="Arial" w:cs="Arial"/>
          <w:i/>
          <w:color w:val="auto"/>
          <w:sz w:val="24"/>
          <w:szCs w:val="24"/>
          <w:lang w:eastAsia="pl-PL"/>
        </w:rPr>
        <w:t xml:space="preserve"> </w:t>
      </w:r>
      <w:r w:rsidRPr="00237760">
        <w:rPr>
          <w:rFonts w:ascii="Arial" w:hAnsi="Arial" w:cs="Arial"/>
          <w:color w:val="auto"/>
          <w:sz w:val="24"/>
          <w:szCs w:val="24"/>
          <w:lang w:eastAsia="pl-PL"/>
        </w:rPr>
        <w:t>GUS, Urząd Statystyczny w Szczecinie, Warszawa, Szczecin.</w:t>
      </w:r>
    </w:p>
    <w:p w14:paraId="26181484" w14:textId="77777777" w:rsidR="00DA6050" w:rsidRPr="00237760" w:rsidRDefault="00DA6050" w:rsidP="009367B4">
      <w:pPr>
        <w:jc w:val="left"/>
        <w:rPr>
          <w:rFonts w:ascii="Arial" w:hAnsi="Arial" w:cs="Arial"/>
          <w:color w:val="auto"/>
          <w:sz w:val="24"/>
          <w:szCs w:val="24"/>
          <w:lang w:eastAsia="pl-PL"/>
        </w:rPr>
      </w:pPr>
      <w:r w:rsidRPr="00237760">
        <w:rPr>
          <w:rFonts w:ascii="Arial" w:hAnsi="Arial" w:cs="Arial"/>
          <w:i/>
          <w:color w:val="auto"/>
          <w:sz w:val="24"/>
          <w:szCs w:val="24"/>
          <w:lang w:eastAsia="pl-PL"/>
        </w:rPr>
        <w:t xml:space="preserve">Umowa Partnerstwa na lata 2021-2027, </w:t>
      </w:r>
      <w:r w:rsidRPr="00237760">
        <w:rPr>
          <w:rFonts w:ascii="Arial" w:hAnsi="Arial" w:cs="Arial"/>
          <w:color w:val="auto"/>
          <w:sz w:val="24"/>
          <w:szCs w:val="24"/>
          <w:lang w:eastAsia="pl-PL"/>
        </w:rPr>
        <w:t>(2021), Ministerstwo Funduszy i Polityki Regionalnej, Warszawa.</w:t>
      </w:r>
    </w:p>
    <w:p w14:paraId="04D7D097" w14:textId="77777777" w:rsidR="00DA6050" w:rsidRPr="00237760" w:rsidRDefault="00DA6050" w:rsidP="009367B4">
      <w:pPr>
        <w:jc w:val="left"/>
        <w:rPr>
          <w:rFonts w:ascii="Arial" w:hAnsi="Arial" w:cs="Arial"/>
          <w:color w:val="auto"/>
          <w:sz w:val="24"/>
          <w:szCs w:val="24"/>
          <w:lang w:eastAsia="pl-PL"/>
        </w:rPr>
      </w:pPr>
      <w:r w:rsidRPr="00237760">
        <w:rPr>
          <w:rFonts w:ascii="Arial" w:hAnsi="Arial" w:cs="Arial"/>
          <w:i/>
          <w:color w:val="auto"/>
          <w:sz w:val="24"/>
          <w:szCs w:val="24"/>
          <w:lang w:eastAsia="pl-PL"/>
        </w:rPr>
        <w:t xml:space="preserve">Ustawa z dnia 15 listopada 1984 r. Prawo przewozowe, </w:t>
      </w:r>
      <w:r w:rsidRPr="00237760">
        <w:rPr>
          <w:rFonts w:ascii="Arial" w:hAnsi="Arial" w:cs="Arial"/>
          <w:color w:val="auto"/>
          <w:sz w:val="24"/>
          <w:szCs w:val="24"/>
          <w:lang w:eastAsia="pl-PL"/>
        </w:rPr>
        <w:t>Dz. U. 1984 Nr 53 poz. 272 z późn. zm.</w:t>
      </w:r>
    </w:p>
    <w:p w14:paraId="6669F304" w14:textId="77777777" w:rsidR="00DA6050" w:rsidRPr="00237760" w:rsidRDefault="00DA6050" w:rsidP="009367B4">
      <w:pPr>
        <w:jc w:val="left"/>
        <w:rPr>
          <w:rFonts w:ascii="Arial" w:hAnsi="Arial" w:cs="Arial"/>
          <w:color w:val="auto"/>
          <w:sz w:val="24"/>
          <w:szCs w:val="24"/>
          <w:lang w:eastAsia="pl-PL"/>
        </w:rPr>
      </w:pPr>
      <w:r w:rsidRPr="00237760">
        <w:rPr>
          <w:rFonts w:ascii="Arial" w:hAnsi="Arial" w:cs="Arial"/>
          <w:i/>
          <w:color w:val="auto"/>
          <w:sz w:val="24"/>
          <w:szCs w:val="24"/>
          <w:lang w:eastAsia="pl-PL"/>
        </w:rPr>
        <w:t xml:space="preserve">Ustawa z dnia 16 grudnia 2005 r. o finansowaniu infrastruktury transportu lądowego, </w:t>
      </w:r>
      <w:r w:rsidRPr="00237760">
        <w:rPr>
          <w:rFonts w:ascii="Arial" w:hAnsi="Arial" w:cs="Arial"/>
          <w:color w:val="auto"/>
          <w:sz w:val="24"/>
          <w:szCs w:val="24"/>
          <w:lang w:eastAsia="pl-PL"/>
        </w:rPr>
        <w:t>Dz.U.2021.688 z późn. zm.</w:t>
      </w:r>
    </w:p>
    <w:p w14:paraId="099CC935" w14:textId="77777777" w:rsidR="00DA6050" w:rsidRPr="00237760" w:rsidRDefault="00DA6050" w:rsidP="009367B4">
      <w:pPr>
        <w:jc w:val="left"/>
        <w:rPr>
          <w:rFonts w:ascii="Arial" w:hAnsi="Arial" w:cs="Arial"/>
          <w:i/>
          <w:color w:val="auto"/>
          <w:sz w:val="24"/>
          <w:szCs w:val="24"/>
          <w:lang w:eastAsia="pl-PL"/>
        </w:rPr>
      </w:pPr>
      <w:r w:rsidRPr="00237760">
        <w:rPr>
          <w:rFonts w:ascii="Arial" w:hAnsi="Arial" w:cs="Arial"/>
          <w:i/>
          <w:color w:val="auto"/>
          <w:sz w:val="24"/>
          <w:szCs w:val="24"/>
          <w:lang w:eastAsia="pl-PL"/>
        </w:rPr>
        <w:t>Ustawa z dnia 16 grudnia 2010 r. o publicznym transporcie zbiorowym,</w:t>
      </w:r>
      <w:r w:rsidRPr="00237760">
        <w:rPr>
          <w:rFonts w:ascii="Arial" w:hAnsi="Arial" w:cs="Arial"/>
          <w:color w:val="auto"/>
          <w:sz w:val="24"/>
          <w:szCs w:val="24"/>
        </w:rPr>
        <w:t xml:space="preserve"> </w:t>
      </w:r>
      <w:r w:rsidRPr="00237760">
        <w:rPr>
          <w:rFonts w:ascii="Arial" w:hAnsi="Arial" w:cs="Arial"/>
          <w:color w:val="auto"/>
          <w:sz w:val="24"/>
          <w:szCs w:val="24"/>
          <w:lang w:eastAsia="pl-PL"/>
        </w:rPr>
        <w:t>Dz. U. 2011 Nr 5 poz. 13</w:t>
      </w:r>
      <w:r w:rsidRPr="00237760">
        <w:rPr>
          <w:rFonts w:ascii="Arial" w:hAnsi="Arial" w:cs="Arial"/>
          <w:color w:val="auto"/>
          <w:sz w:val="24"/>
          <w:szCs w:val="24"/>
        </w:rPr>
        <w:t xml:space="preserve"> </w:t>
      </w:r>
      <w:r w:rsidRPr="00237760">
        <w:rPr>
          <w:rFonts w:ascii="Arial" w:hAnsi="Arial" w:cs="Arial"/>
          <w:color w:val="auto"/>
          <w:sz w:val="24"/>
          <w:szCs w:val="24"/>
          <w:lang w:eastAsia="pl-PL"/>
        </w:rPr>
        <w:t>z późn.</w:t>
      </w:r>
      <w:r w:rsidRPr="00237760">
        <w:rPr>
          <w:rFonts w:ascii="Arial" w:hAnsi="Arial" w:cs="Arial"/>
          <w:i/>
          <w:color w:val="auto"/>
          <w:sz w:val="24"/>
          <w:szCs w:val="24"/>
          <w:lang w:eastAsia="pl-PL"/>
        </w:rPr>
        <w:t xml:space="preserve"> zm.</w:t>
      </w:r>
    </w:p>
    <w:p w14:paraId="5EDFA72E" w14:textId="77777777" w:rsidR="00DA6050" w:rsidRPr="00237760" w:rsidRDefault="00DA6050" w:rsidP="009367B4">
      <w:pPr>
        <w:jc w:val="left"/>
        <w:rPr>
          <w:rFonts w:ascii="Arial" w:hAnsi="Arial" w:cs="Arial"/>
          <w:color w:val="auto"/>
          <w:sz w:val="24"/>
          <w:szCs w:val="24"/>
          <w:lang w:eastAsia="pl-PL"/>
        </w:rPr>
      </w:pPr>
      <w:r w:rsidRPr="00237760">
        <w:rPr>
          <w:rFonts w:ascii="Arial" w:hAnsi="Arial" w:cs="Arial"/>
          <w:i/>
          <w:color w:val="auto"/>
          <w:sz w:val="24"/>
          <w:szCs w:val="24"/>
          <w:lang w:eastAsia="pl-PL"/>
        </w:rPr>
        <w:t xml:space="preserve">Ustawa z dnia 19 sierpnia 2011 r. o przewozie towarów niebezpiecznych, </w:t>
      </w:r>
      <w:r w:rsidRPr="00237760">
        <w:rPr>
          <w:rFonts w:ascii="Arial" w:hAnsi="Arial" w:cs="Arial"/>
          <w:color w:val="auto"/>
          <w:sz w:val="24"/>
          <w:szCs w:val="24"/>
          <w:lang w:eastAsia="pl-PL"/>
        </w:rPr>
        <w:t>Dz.U.2021.756 z późn. zm.</w:t>
      </w:r>
    </w:p>
    <w:p w14:paraId="451D8101" w14:textId="77777777" w:rsidR="00DA6050" w:rsidRPr="00237760" w:rsidRDefault="00DA6050" w:rsidP="009367B4">
      <w:pPr>
        <w:jc w:val="left"/>
        <w:rPr>
          <w:rFonts w:ascii="Arial" w:hAnsi="Arial" w:cs="Arial"/>
          <w:color w:val="auto"/>
          <w:sz w:val="24"/>
          <w:szCs w:val="24"/>
          <w:lang w:eastAsia="pl-PL"/>
        </w:rPr>
      </w:pPr>
      <w:r w:rsidRPr="00237760">
        <w:rPr>
          <w:rFonts w:ascii="Arial" w:hAnsi="Arial" w:cs="Arial"/>
          <w:i/>
          <w:color w:val="auto"/>
          <w:sz w:val="24"/>
          <w:szCs w:val="24"/>
          <w:lang w:eastAsia="pl-PL"/>
        </w:rPr>
        <w:t xml:space="preserve">Ustawa z dnia 3 lipca 2002 r. Prawo lotnicze, </w:t>
      </w:r>
      <w:r w:rsidRPr="00237760">
        <w:rPr>
          <w:rFonts w:ascii="Arial" w:hAnsi="Arial" w:cs="Arial"/>
          <w:color w:val="auto"/>
          <w:sz w:val="24"/>
          <w:szCs w:val="24"/>
          <w:lang w:eastAsia="pl-PL"/>
        </w:rPr>
        <w:t>Dz. U. 2002 Nr 130 poz. 1112 z późn. zm.</w:t>
      </w:r>
    </w:p>
    <w:p w14:paraId="17EACF6B" w14:textId="77777777" w:rsidR="00DA6050" w:rsidRPr="00237760" w:rsidRDefault="00DA6050" w:rsidP="009367B4">
      <w:pPr>
        <w:jc w:val="left"/>
        <w:rPr>
          <w:rFonts w:ascii="Arial" w:hAnsi="Arial" w:cs="Arial"/>
          <w:color w:val="auto"/>
          <w:sz w:val="24"/>
          <w:szCs w:val="24"/>
          <w:lang w:eastAsia="pl-PL"/>
        </w:rPr>
      </w:pPr>
      <w:r w:rsidRPr="00237760">
        <w:rPr>
          <w:rFonts w:ascii="Arial" w:hAnsi="Arial" w:cs="Arial"/>
          <w:i/>
          <w:color w:val="auto"/>
          <w:sz w:val="24"/>
          <w:szCs w:val="24"/>
          <w:lang w:eastAsia="pl-PL"/>
        </w:rPr>
        <w:t>Ustawa z dnia 6 grudnia 2006 r. o zasadach prowadzenia polityki rozwoju</w:t>
      </w:r>
      <w:r w:rsidRPr="00237760">
        <w:rPr>
          <w:rFonts w:ascii="Arial" w:hAnsi="Arial" w:cs="Arial"/>
          <w:color w:val="auto"/>
          <w:sz w:val="24"/>
          <w:szCs w:val="24"/>
          <w:lang w:eastAsia="pl-PL"/>
        </w:rPr>
        <w:t>, Dz. U. 2006 Nr 227 poz. 1658 z późn. zm.</w:t>
      </w:r>
    </w:p>
    <w:p w14:paraId="2623FD5C" w14:textId="77777777" w:rsidR="00DA6050" w:rsidRPr="00237760" w:rsidRDefault="00DA6050" w:rsidP="009367B4">
      <w:pPr>
        <w:jc w:val="left"/>
        <w:rPr>
          <w:rFonts w:ascii="Arial" w:hAnsi="Arial" w:cs="Arial"/>
          <w:color w:val="auto"/>
          <w:sz w:val="24"/>
          <w:szCs w:val="24"/>
          <w:lang w:eastAsia="pl-PL"/>
        </w:rPr>
      </w:pPr>
      <w:r w:rsidRPr="00237760">
        <w:rPr>
          <w:rFonts w:ascii="Arial" w:hAnsi="Arial" w:cs="Arial"/>
          <w:i/>
          <w:color w:val="auto"/>
          <w:sz w:val="24"/>
          <w:szCs w:val="24"/>
          <w:lang w:eastAsia="pl-PL"/>
        </w:rPr>
        <w:lastRenderedPageBreak/>
        <w:t xml:space="preserve">Ustawa z dnia 6 września 2001 r. o transporcie drogowym, </w:t>
      </w:r>
      <w:r w:rsidRPr="00237760">
        <w:rPr>
          <w:rFonts w:ascii="Arial" w:hAnsi="Arial" w:cs="Arial"/>
          <w:color w:val="auto"/>
          <w:sz w:val="24"/>
          <w:szCs w:val="24"/>
          <w:lang w:eastAsia="pl-PL"/>
        </w:rPr>
        <w:t>Dz.U. 2001 Nr 125 poz. 1371 z późn. zm.</w:t>
      </w:r>
    </w:p>
    <w:p w14:paraId="4BF7F8EB" w14:textId="20950554" w:rsidR="0091739C" w:rsidRPr="00237760" w:rsidRDefault="0091739C"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http://www.cepik.gov.pl/ (data dostępu: 30.03.2022.).</w:t>
      </w:r>
    </w:p>
    <w:p w14:paraId="03152B89" w14:textId="501527E4" w:rsidR="0091739C" w:rsidRPr="00237760" w:rsidRDefault="0091739C"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https://www.udt.gov.pl/ (data dostępu: 30.03.2022.)</w:t>
      </w:r>
    </w:p>
    <w:p w14:paraId="7D3EE59A" w14:textId="50F529D7" w:rsidR="0091739C" w:rsidRPr="00237760" w:rsidRDefault="0091739C" w:rsidP="009367B4">
      <w:pPr>
        <w:jc w:val="left"/>
        <w:rPr>
          <w:rFonts w:ascii="Arial" w:hAnsi="Arial" w:cs="Arial"/>
          <w:color w:val="auto"/>
          <w:sz w:val="24"/>
          <w:szCs w:val="24"/>
          <w:lang w:eastAsia="pl-PL"/>
        </w:rPr>
      </w:pPr>
      <w:r w:rsidRPr="00237760">
        <w:rPr>
          <w:rFonts w:ascii="Arial" w:hAnsi="Arial" w:cs="Arial"/>
          <w:color w:val="auto"/>
          <w:sz w:val="24"/>
          <w:szCs w:val="24"/>
          <w:lang w:eastAsia="pl-PL"/>
        </w:rPr>
        <w:t>https://ec.europa.eu/eurostat/data/database (data dostępu: 30.03.2022.)</w:t>
      </w:r>
    </w:p>
    <w:p w14:paraId="0FFA22F0" w14:textId="046CC9D3" w:rsidR="0091739C" w:rsidRPr="00237760" w:rsidRDefault="0091739C" w:rsidP="009367B4">
      <w:pPr>
        <w:jc w:val="left"/>
        <w:rPr>
          <w:rFonts w:ascii="Arial" w:hAnsi="Arial" w:cs="Arial"/>
          <w:color w:val="auto"/>
          <w:sz w:val="24"/>
          <w:szCs w:val="24"/>
          <w:lang w:eastAsia="pl-PL"/>
        </w:rPr>
      </w:pPr>
      <w:r w:rsidRPr="00237760">
        <w:rPr>
          <w:rFonts w:ascii="Arial" w:hAnsi="Arial" w:cs="Arial"/>
          <w:bCs/>
          <w:color w:val="auto"/>
          <w:sz w:val="24"/>
          <w:szCs w:val="24"/>
          <w:lang w:eastAsia="pl-PL"/>
        </w:rPr>
        <w:t>https://bdl.stat.gov.pl/bdl/start</w:t>
      </w:r>
      <w:r w:rsidRPr="00237760">
        <w:rPr>
          <w:rFonts w:ascii="Arial" w:hAnsi="Arial" w:cs="Arial"/>
          <w:color w:val="auto"/>
          <w:sz w:val="24"/>
          <w:szCs w:val="24"/>
          <w:lang w:eastAsia="pl-PL"/>
        </w:rPr>
        <w:t xml:space="preserve"> (data dostępu: 30.03.2022)</w:t>
      </w:r>
    </w:p>
    <w:p w14:paraId="0F472877" w14:textId="2973E0A9" w:rsidR="007373D3" w:rsidRPr="00237760" w:rsidRDefault="00B378E2" w:rsidP="009367B4">
      <w:pPr>
        <w:jc w:val="left"/>
        <w:rPr>
          <w:rFonts w:ascii="Arial" w:hAnsi="Arial" w:cs="Arial"/>
          <w:color w:val="auto"/>
          <w:sz w:val="24"/>
          <w:szCs w:val="24"/>
          <w:lang w:eastAsia="pl-PL"/>
        </w:rPr>
      </w:pPr>
      <w:r w:rsidRPr="00237760">
        <w:rPr>
          <w:rFonts w:ascii="Arial" w:hAnsi="Arial" w:cs="Arial"/>
          <w:bCs/>
          <w:color w:val="auto"/>
          <w:sz w:val="24"/>
          <w:szCs w:val="24"/>
          <w:lang w:eastAsia="pl-PL"/>
        </w:rPr>
        <w:t>https://www.podkarpackie.pl/index.php/fundusze-eu/aktualnosci/kontrakt-programowy-dla-wojewodztwa-podkarpackiego-podpisany</w:t>
      </w:r>
      <w:r w:rsidRPr="00237760">
        <w:rPr>
          <w:rFonts w:ascii="Arial" w:hAnsi="Arial" w:cs="Arial"/>
          <w:color w:val="auto"/>
          <w:sz w:val="24"/>
          <w:szCs w:val="24"/>
          <w:lang w:eastAsia="pl-PL"/>
        </w:rPr>
        <w:t xml:space="preserve"> (data dostępu: 26.04.2022)</w:t>
      </w:r>
    </w:p>
    <w:p w14:paraId="17DD4C7E" w14:textId="1189BCB0" w:rsidR="00D8558B" w:rsidRPr="00237760" w:rsidRDefault="00D8558B" w:rsidP="009367B4">
      <w:pPr>
        <w:jc w:val="left"/>
        <w:rPr>
          <w:rFonts w:ascii="Arial" w:hAnsi="Arial" w:cs="Arial"/>
          <w:color w:val="auto"/>
          <w:sz w:val="24"/>
          <w:szCs w:val="24"/>
          <w:lang w:eastAsia="pl-PL"/>
        </w:rPr>
      </w:pPr>
      <w:r w:rsidRPr="00237760">
        <w:rPr>
          <w:rFonts w:ascii="Arial" w:hAnsi="Arial" w:cs="Arial"/>
          <w:bCs/>
          <w:color w:val="auto"/>
          <w:sz w:val="24"/>
          <w:szCs w:val="24"/>
          <w:lang w:eastAsia="pl-PL"/>
        </w:rPr>
        <w:t>https://rot.podkarpackie.pl/index.php/psrt-wp-2030</w:t>
      </w:r>
      <w:r w:rsidRPr="00237760">
        <w:rPr>
          <w:rFonts w:ascii="Arial" w:hAnsi="Arial" w:cs="Arial"/>
          <w:color w:val="auto"/>
          <w:sz w:val="24"/>
          <w:szCs w:val="24"/>
          <w:lang w:eastAsia="pl-PL"/>
        </w:rPr>
        <w:t xml:space="preserve"> (data dostępu: 30.03.2022.)</w:t>
      </w:r>
    </w:p>
    <w:p w14:paraId="5C62C699" w14:textId="77777777" w:rsidR="007373D3" w:rsidRPr="00237760" w:rsidRDefault="007373D3" w:rsidP="009367B4">
      <w:pPr>
        <w:spacing w:after="160" w:line="259" w:lineRule="auto"/>
        <w:jc w:val="left"/>
        <w:rPr>
          <w:rFonts w:ascii="Arial" w:hAnsi="Arial" w:cs="Arial"/>
          <w:color w:val="auto"/>
          <w:sz w:val="24"/>
          <w:szCs w:val="24"/>
          <w:lang w:eastAsia="pl-PL"/>
        </w:rPr>
      </w:pPr>
      <w:r w:rsidRPr="00237760">
        <w:rPr>
          <w:rFonts w:ascii="Arial" w:hAnsi="Arial" w:cs="Arial"/>
          <w:color w:val="auto"/>
          <w:sz w:val="24"/>
          <w:szCs w:val="24"/>
          <w:lang w:eastAsia="pl-PL"/>
        </w:rPr>
        <w:br w:type="page"/>
      </w:r>
    </w:p>
    <w:p w14:paraId="68AA6934" w14:textId="5B87BA19" w:rsidR="006125F5" w:rsidRPr="00237760" w:rsidRDefault="006125F5" w:rsidP="009367B4">
      <w:pPr>
        <w:pStyle w:val="Nagwek1"/>
        <w:rPr>
          <w:rFonts w:ascii="Arial" w:hAnsi="Arial" w:cs="Arial"/>
          <w:color w:val="auto"/>
          <w:sz w:val="24"/>
          <w:szCs w:val="24"/>
        </w:rPr>
      </w:pPr>
      <w:bookmarkStart w:id="303" w:name="_Toc89524208"/>
      <w:bookmarkStart w:id="304" w:name="_Toc89589802"/>
      <w:bookmarkStart w:id="305" w:name="_Toc90226519"/>
      <w:bookmarkStart w:id="306" w:name="_Toc101904173"/>
      <w:bookmarkEnd w:id="299"/>
      <w:bookmarkEnd w:id="300"/>
      <w:bookmarkEnd w:id="301"/>
      <w:r w:rsidRPr="00237760">
        <w:rPr>
          <w:rFonts w:ascii="Arial" w:hAnsi="Arial" w:cs="Arial"/>
          <w:color w:val="auto"/>
          <w:sz w:val="24"/>
          <w:szCs w:val="24"/>
        </w:rPr>
        <w:lastRenderedPageBreak/>
        <w:t>Załączniki</w:t>
      </w:r>
      <w:bookmarkEnd w:id="303"/>
      <w:bookmarkEnd w:id="304"/>
      <w:bookmarkEnd w:id="305"/>
      <w:bookmarkEnd w:id="306"/>
    </w:p>
    <w:p w14:paraId="7B28811B" w14:textId="56118E1F" w:rsidR="00633B90" w:rsidRDefault="00633B90" w:rsidP="009367B4">
      <w:pPr>
        <w:pStyle w:val="Legenda"/>
        <w:jc w:val="left"/>
        <w:rPr>
          <w:rFonts w:ascii="Arial" w:hAnsi="Arial" w:cs="Arial"/>
          <w:color w:val="auto"/>
          <w:sz w:val="24"/>
          <w:szCs w:val="24"/>
        </w:rPr>
      </w:pPr>
      <w:bookmarkStart w:id="307" w:name="_Ref99544217"/>
      <w:bookmarkStart w:id="308" w:name="_Toc101904225"/>
      <w:bookmarkStart w:id="309" w:name="_Toc90226520"/>
      <w:r w:rsidRPr="00237760">
        <w:rPr>
          <w:rFonts w:ascii="Arial" w:hAnsi="Arial" w:cs="Arial"/>
          <w:color w:val="auto"/>
          <w:sz w:val="24"/>
          <w:szCs w:val="24"/>
        </w:rPr>
        <w:t xml:space="preserve">Wykres </w:t>
      </w:r>
      <w:r w:rsidRPr="00237760">
        <w:rPr>
          <w:rFonts w:ascii="Arial" w:hAnsi="Arial" w:cs="Arial"/>
          <w:color w:val="auto"/>
          <w:sz w:val="24"/>
          <w:szCs w:val="24"/>
        </w:rPr>
        <w:fldChar w:fldCharType="begin"/>
      </w:r>
      <w:r w:rsidRPr="00237760">
        <w:rPr>
          <w:rFonts w:ascii="Arial" w:hAnsi="Arial" w:cs="Arial"/>
          <w:color w:val="auto"/>
          <w:sz w:val="24"/>
          <w:szCs w:val="24"/>
        </w:rPr>
        <w:instrText>SEQ Wykres \* ARABIC</w:instrText>
      </w:r>
      <w:r w:rsidRPr="00237760">
        <w:rPr>
          <w:rFonts w:ascii="Arial" w:hAnsi="Arial" w:cs="Arial"/>
          <w:color w:val="auto"/>
          <w:sz w:val="24"/>
          <w:szCs w:val="24"/>
        </w:rPr>
        <w:fldChar w:fldCharType="separate"/>
      </w:r>
      <w:r w:rsidR="00E52C19" w:rsidRPr="00237760">
        <w:rPr>
          <w:rFonts w:ascii="Arial" w:hAnsi="Arial" w:cs="Arial"/>
          <w:noProof/>
          <w:color w:val="auto"/>
          <w:sz w:val="24"/>
          <w:szCs w:val="24"/>
        </w:rPr>
        <w:t>3</w:t>
      </w:r>
      <w:r w:rsidRPr="00237760">
        <w:rPr>
          <w:rFonts w:ascii="Arial" w:hAnsi="Arial" w:cs="Arial"/>
          <w:color w:val="auto"/>
          <w:sz w:val="24"/>
          <w:szCs w:val="24"/>
        </w:rPr>
        <w:fldChar w:fldCharType="end"/>
      </w:r>
      <w:bookmarkEnd w:id="307"/>
      <w:r w:rsidRPr="00237760">
        <w:rPr>
          <w:rFonts w:ascii="Arial" w:hAnsi="Arial" w:cs="Arial"/>
          <w:color w:val="auto"/>
          <w:sz w:val="24"/>
          <w:szCs w:val="24"/>
        </w:rPr>
        <w:t>. Drogi ekspresowe i autostrady na 100 km</w:t>
      </w:r>
      <w:r w:rsidRPr="00237760">
        <w:rPr>
          <w:rFonts w:ascii="Arial" w:hAnsi="Arial" w:cs="Arial"/>
          <w:color w:val="auto"/>
          <w:sz w:val="24"/>
          <w:szCs w:val="24"/>
          <w:vertAlign w:val="superscript"/>
        </w:rPr>
        <w:t>2</w:t>
      </w:r>
      <w:r w:rsidRPr="00237760">
        <w:rPr>
          <w:rFonts w:ascii="Arial" w:hAnsi="Arial" w:cs="Arial"/>
          <w:color w:val="auto"/>
          <w:sz w:val="24"/>
          <w:szCs w:val="24"/>
        </w:rPr>
        <w:t xml:space="preserve"> </w:t>
      </w:r>
      <w:r w:rsidR="005E11FF" w:rsidRPr="00237760">
        <w:rPr>
          <w:rFonts w:ascii="Arial" w:hAnsi="Arial" w:cs="Arial"/>
          <w:color w:val="auto"/>
          <w:sz w:val="24"/>
          <w:szCs w:val="24"/>
        </w:rPr>
        <w:t xml:space="preserve">– trend wskaźnika </w:t>
      </w:r>
      <w:r w:rsidRPr="00237760">
        <w:rPr>
          <w:rFonts w:ascii="Arial" w:hAnsi="Arial" w:cs="Arial"/>
          <w:color w:val="auto"/>
          <w:sz w:val="24"/>
          <w:szCs w:val="24"/>
        </w:rPr>
        <w:t xml:space="preserve">w latach </w:t>
      </w:r>
      <w:r w:rsidR="005E11FF" w:rsidRPr="00237760">
        <w:rPr>
          <w:rFonts w:ascii="Arial" w:hAnsi="Arial" w:cs="Arial"/>
          <w:color w:val="auto"/>
          <w:sz w:val="24"/>
          <w:szCs w:val="24"/>
        </w:rPr>
        <w:t>20</w:t>
      </w:r>
      <w:r w:rsidR="00E00695" w:rsidRPr="00237760">
        <w:rPr>
          <w:rFonts w:ascii="Arial" w:hAnsi="Arial" w:cs="Arial"/>
          <w:color w:val="auto"/>
          <w:sz w:val="24"/>
          <w:szCs w:val="24"/>
        </w:rPr>
        <w:t>05</w:t>
      </w:r>
      <w:r w:rsidR="005E11FF" w:rsidRPr="00237760">
        <w:rPr>
          <w:rFonts w:ascii="Arial" w:hAnsi="Arial" w:cs="Arial"/>
          <w:color w:val="auto"/>
          <w:sz w:val="24"/>
          <w:szCs w:val="24"/>
        </w:rPr>
        <w:t xml:space="preserve">-2020 i prognoza do </w:t>
      </w:r>
      <w:r w:rsidRPr="00237760">
        <w:rPr>
          <w:rFonts w:ascii="Arial" w:hAnsi="Arial" w:cs="Arial"/>
          <w:color w:val="auto"/>
          <w:sz w:val="24"/>
          <w:szCs w:val="24"/>
        </w:rPr>
        <w:t>2030</w:t>
      </w:r>
      <w:r w:rsidR="005E11FF" w:rsidRPr="00237760">
        <w:rPr>
          <w:rFonts w:ascii="Arial" w:hAnsi="Arial" w:cs="Arial"/>
          <w:color w:val="auto"/>
          <w:sz w:val="24"/>
          <w:szCs w:val="24"/>
        </w:rPr>
        <w:t xml:space="preserve"> roku</w:t>
      </w:r>
      <w:bookmarkEnd w:id="308"/>
    </w:p>
    <w:p w14:paraId="74449B8B" w14:textId="7A862009" w:rsidR="00B2216D" w:rsidRPr="00B2216D" w:rsidRDefault="00B2216D" w:rsidP="009367B4">
      <w:pPr>
        <w:rPr>
          <w:lang w:eastAsia="pl-PL"/>
        </w:rPr>
      </w:pPr>
      <w:r w:rsidRPr="00237760">
        <w:rPr>
          <w:rFonts w:ascii="Arial" w:hAnsi="Arial" w:cs="Arial"/>
          <w:noProof/>
          <w:color w:val="auto"/>
          <w:sz w:val="24"/>
          <w:szCs w:val="24"/>
          <w:lang w:eastAsia="pl-PL"/>
        </w:rPr>
        <w:drawing>
          <wp:inline distT="0" distB="0" distL="0" distR="0" wp14:anchorId="29A54F8B" wp14:editId="0243D2CD">
            <wp:extent cx="5847715" cy="2797810"/>
            <wp:effectExtent l="0" t="0" r="635" b="2540"/>
            <wp:docPr id="1" name="Wykres 1" descr="Wartość docelowa wskaźnika została niemal osiągnięta już w 2017 r., ale od tego czasu nie następuje jego poprawa."/>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E36E527" w14:textId="3B7BF698" w:rsidR="00590253" w:rsidRPr="00237760" w:rsidRDefault="00633B90" w:rsidP="009367B4">
      <w:pPr>
        <w:pStyle w:val="Legenda"/>
        <w:jc w:val="left"/>
        <w:rPr>
          <w:rFonts w:ascii="Arial" w:hAnsi="Arial" w:cs="Arial"/>
          <w:b w:val="0"/>
          <w:color w:val="auto"/>
          <w:sz w:val="24"/>
          <w:szCs w:val="24"/>
        </w:rPr>
      </w:pPr>
      <w:r w:rsidRPr="00237760">
        <w:rPr>
          <w:rFonts w:ascii="Arial" w:hAnsi="Arial" w:cs="Arial"/>
          <w:b w:val="0"/>
          <w:color w:val="auto"/>
          <w:sz w:val="24"/>
          <w:szCs w:val="24"/>
        </w:rPr>
        <w:t>Źródło: opracowanie własne na podstawie danych BDL GUS.</w:t>
      </w:r>
    </w:p>
    <w:p w14:paraId="75912BFE" w14:textId="77777777" w:rsidR="00590253" w:rsidRPr="00237760" w:rsidRDefault="00590253" w:rsidP="009367B4">
      <w:pPr>
        <w:pStyle w:val="Legenda"/>
        <w:jc w:val="left"/>
        <w:rPr>
          <w:rFonts w:ascii="Arial" w:hAnsi="Arial" w:cs="Arial"/>
          <w:b w:val="0"/>
          <w:color w:val="auto"/>
          <w:sz w:val="24"/>
          <w:szCs w:val="24"/>
        </w:rPr>
      </w:pPr>
    </w:p>
    <w:p w14:paraId="593E4903" w14:textId="2727ECA6" w:rsidR="00590253" w:rsidRDefault="00590253" w:rsidP="009367B4">
      <w:pPr>
        <w:pStyle w:val="Legenda"/>
        <w:jc w:val="left"/>
        <w:rPr>
          <w:rFonts w:ascii="Arial" w:hAnsi="Arial" w:cs="Arial"/>
          <w:color w:val="auto"/>
          <w:sz w:val="24"/>
          <w:szCs w:val="24"/>
        </w:rPr>
      </w:pPr>
      <w:bookmarkStart w:id="310" w:name="_Ref99544483"/>
      <w:bookmarkStart w:id="311" w:name="_Toc101904226"/>
      <w:r w:rsidRPr="00237760">
        <w:rPr>
          <w:rFonts w:ascii="Arial" w:hAnsi="Arial" w:cs="Arial"/>
          <w:color w:val="auto"/>
          <w:sz w:val="24"/>
          <w:szCs w:val="24"/>
        </w:rPr>
        <w:t xml:space="preserve">Wykres </w:t>
      </w:r>
      <w:r w:rsidRPr="00237760">
        <w:rPr>
          <w:rFonts w:ascii="Arial" w:hAnsi="Arial" w:cs="Arial"/>
          <w:color w:val="auto"/>
          <w:sz w:val="24"/>
          <w:szCs w:val="24"/>
        </w:rPr>
        <w:fldChar w:fldCharType="begin"/>
      </w:r>
      <w:r w:rsidRPr="00237760">
        <w:rPr>
          <w:rFonts w:ascii="Arial" w:hAnsi="Arial" w:cs="Arial"/>
          <w:color w:val="auto"/>
          <w:sz w:val="24"/>
          <w:szCs w:val="24"/>
        </w:rPr>
        <w:instrText>SEQ Wykres \* ARABIC</w:instrText>
      </w:r>
      <w:r w:rsidRPr="00237760">
        <w:rPr>
          <w:rFonts w:ascii="Arial" w:hAnsi="Arial" w:cs="Arial"/>
          <w:color w:val="auto"/>
          <w:sz w:val="24"/>
          <w:szCs w:val="24"/>
        </w:rPr>
        <w:fldChar w:fldCharType="separate"/>
      </w:r>
      <w:r w:rsidR="00E52C19" w:rsidRPr="00237760">
        <w:rPr>
          <w:rFonts w:ascii="Arial" w:hAnsi="Arial" w:cs="Arial"/>
          <w:noProof/>
          <w:color w:val="auto"/>
          <w:sz w:val="24"/>
          <w:szCs w:val="24"/>
        </w:rPr>
        <w:t>4</w:t>
      </w:r>
      <w:r w:rsidRPr="00237760">
        <w:rPr>
          <w:rFonts w:ascii="Arial" w:hAnsi="Arial" w:cs="Arial"/>
          <w:color w:val="auto"/>
          <w:sz w:val="24"/>
          <w:szCs w:val="24"/>
        </w:rPr>
        <w:fldChar w:fldCharType="end"/>
      </w:r>
      <w:bookmarkEnd w:id="310"/>
      <w:r w:rsidRPr="00237760">
        <w:rPr>
          <w:rFonts w:ascii="Arial" w:hAnsi="Arial" w:cs="Arial"/>
          <w:color w:val="auto"/>
          <w:sz w:val="24"/>
          <w:szCs w:val="24"/>
        </w:rPr>
        <w:t>. Krajowe mosty i wiadukty – trend wskaźnika w latach 2001-2020 i prognoza do 2030 roku</w:t>
      </w:r>
      <w:bookmarkEnd w:id="311"/>
    </w:p>
    <w:p w14:paraId="746AAE35" w14:textId="41AE552D" w:rsidR="00B2216D" w:rsidRPr="00B2216D" w:rsidRDefault="00B2216D" w:rsidP="009367B4">
      <w:pPr>
        <w:rPr>
          <w:lang w:eastAsia="pl-PL"/>
        </w:rPr>
      </w:pPr>
      <w:r w:rsidRPr="00237760">
        <w:rPr>
          <w:rFonts w:ascii="Arial" w:hAnsi="Arial" w:cs="Arial"/>
          <w:noProof/>
          <w:color w:val="auto"/>
          <w:sz w:val="24"/>
          <w:szCs w:val="24"/>
          <w:lang w:eastAsia="pl-PL"/>
        </w:rPr>
        <w:drawing>
          <wp:inline distT="0" distB="0" distL="0" distR="0" wp14:anchorId="0A245325" wp14:editId="5BF97B8C">
            <wp:extent cx="5858510" cy="2860040"/>
            <wp:effectExtent l="0" t="0" r="8890" b="0"/>
            <wp:docPr id="2" name="Wykres 2" descr="Wartość docelowa wskaźnika została osiągnięta w 2020 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E71FF43" w14:textId="0DA65DC9" w:rsidR="00590253" w:rsidRPr="00237760" w:rsidRDefault="00590253" w:rsidP="009367B4">
      <w:pPr>
        <w:pStyle w:val="Legenda"/>
        <w:jc w:val="left"/>
        <w:rPr>
          <w:rFonts w:ascii="Arial" w:hAnsi="Arial" w:cs="Arial"/>
          <w:b w:val="0"/>
          <w:color w:val="auto"/>
          <w:sz w:val="24"/>
          <w:szCs w:val="24"/>
        </w:rPr>
      </w:pPr>
      <w:r w:rsidRPr="00237760">
        <w:rPr>
          <w:rFonts w:ascii="Arial" w:hAnsi="Arial" w:cs="Arial"/>
          <w:b w:val="0"/>
          <w:color w:val="auto"/>
          <w:sz w:val="24"/>
          <w:szCs w:val="24"/>
        </w:rPr>
        <w:t>Źródło: opracowanie własne na podstawie danych BDL GUS.</w:t>
      </w:r>
    </w:p>
    <w:p w14:paraId="3E68E722" w14:textId="368904B4" w:rsidR="00304843" w:rsidRPr="00237760" w:rsidRDefault="00304843" w:rsidP="009367B4">
      <w:pPr>
        <w:pStyle w:val="Legenda"/>
        <w:jc w:val="left"/>
        <w:rPr>
          <w:rFonts w:ascii="Arial" w:hAnsi="Arial" w:cs="Arial"/>
          <w:color w:val="auto"/>
          <w:sz w:val="24"/>
          <w:szCs w:val="24"/>
        </w:rPr>
      </w:pPr>
    </w:p>
    <w:p w14:paraId="0154AD8B" w14:textId="77777777" w:rsidR="00304843" w:rsidRPr="00237760" w:rsidRDefault="00304843" w:rsidP="009367B4">
      <w:pPr>
        <w:jc w:val="left"/>
        <w:rPr>
          <w:rFonts w:ascii="Arial" w:hAnsi="Arial" w:cs="Arial"/>
          <w:color w:val="auto"/>
          <w:sz w:val="24"/>
          <w:szCs w:val="24"/>
          <w:lang w:eastAsia="pl-PL"/>
        </w:rPr>
      </w:pPr>
    </w:p>
    <w:p w14:paraId="64999CDE" w14:textId="72F88325" w:rsidR="00304843" w:rsidRDefault="00304843" w:rsidP="009367B4">
      <w:pPr>
        <w:pStyle w:val="Legenda"/>
        <w:jc w:val="left"/>
        <w:rPr>
          <w:rFonts w:ascii="Arial" w:hAnsi="Arial" w:cs="Arial"/>
          <w:color w:val="auto"/>
          <w:sz w:val="24"/>
          <w:szCs w:val="24"/>
        </w:rPr>
      </w:pPr>
      <w:bookmarkStart w:id="312" w:name="_Ref99544802"/>
      <w:bookmarkStart w:id="313" w:name="_Toc101904227"/>
      <w:r w:rsidRPr="00237760">
        <w:rPr>
          <w:rFonts w:ascii="Arial" w:hAnsi="Arial" w:cs="Arial"/>
          <w:color w:val="auto"/>
          <w:sz w:val="24"/>
          <w:szCs w:val="24"/>
        </w:rPr>
        <w:t xml:space="preserve">Wykres </w:t>
      </w:r>
      <w:r w:rsidRPr="00237760">
        <w:rPr>
          <w:rFonts w:ascii="Arial" w:hAnsi="Arial" w:cs="Arial"/>
          <w:color w:val="auto"/>
          <w:sz w:val="24"/>
          <w:szCs w:val="24"/>
        </w:rPr>
        <w:fldChar w:fldCharType="begin"/>
      </w:r>
      <w:r w:rsidRPr="00237760">
        <w:rPr>
          <w:rFonts w:ascii="Arial" w:hAnsi="Arial" w:cs="Arial"/>
          <w:color w:val="auto"/>
          <w:sz w:val="24"/>
          <w:szCs w:val="24"/>
        </w:rPr>
        <w:instrText>SEQ Wykres \* ARABIC</w:instrText>
      </w:r>
      <w:r w:rsidRPr="00237760">
        <w:rPr>
          <w:rFonts w:ascii="Arial" w:hAnsi="Arial" w:cs="Arial"/>
          <w:color w:val="auto"/>
          <w:sz w:val="24"/>
          <w:szCs w:val="24"/>
        </w:rPr>
        <w:fldChar w:fldCharType="separate"/>
      </w:r>
      <w:r w:rsidR="00E52C19" w:rsidRPr="00237760">
        <w:rPr>
          <w:rFonts w:ascii="Arial" w:hAnsi="Arial" w:cs="Arial"/>
          <w:noProof/>
          <w:color w:val="auto"/>
          <w:sz w:val="24"/>
          <w:szCs w:val="24"/>
        </w:rPr>
        <w:t>5</w:t>
      </w:r>
      <w:r w:rsidRPr="00237760">
        <w:rPr>
          <w:rFonts w:ascii="Arial" w:hAnsi="Arial" w:cs="Arial"/>
          <w:color w:val="auto"/>
          <w:sz w:val="24"/>
          <w:szCs w:val="24"/>
        </w:rPr>
        <w:fldChar w:fldCharType="end"/>
      </w:r>
      <w:bookmarkEnd w:id="312"/>
      <w:r w:rsidRPr="00237760">
        <w:rPr>
          <w:rFonts w:ascii="Arial" w:hAnsi="Arial" w:cs="Arial"/>
          <w:color w:val="auto"/>
          <w:sz w:val="24"/>
          <w:szCs w:val="24"/>
        </w:rPr>
        <w:t xml:space="preserve">. Ruch pasażerów w portach lotniczych </w:t>
      </w:r>
      <w:r w:rsidR="001A3B6B" w:rsidRPr="00237760">
        <w:rPr>
          <w:rFonts w:ascii="Arial" w:hAnsi="Arial" w:cs="Arial"/>
          <w:color w:val="auto"/>
          <w:sz w:val="24"/>
          <w:szCs w:val="24"/>
        </w:rPr>
        <w:t>–</w:t>
      </w:r>
      <w:r w:rsidRPr="00237760">
        <w:rPr>
          <w:rFonts w:ascii="Arial" w:hAnsi="Arial" w:cs="Arial"/>
          <w:color w:val="auto"/>
          <w:sz w:val="24"/>
          <w:szCs w:val="24"/>
        </w:rPr>
        <w:t xml:space="preserve"> przyjazdy i wyjazdy – trend wskaźnika w latach 1999-2020 i prognoza do 2030 roku</w:t>
      </w:r>
      <w:bookmarkEnd w:id="313"/>
    </w:p>
    <w:p w14:paraId="27695DE6" w14:textId="42CC1861" w:rsidR="00B2216D" w:rsidRPr="00B2216D" w:rsidRDefault="00B2216D" w:rsidP="009367B4">
      <w:pPr>
        <w:rPr>
          <w:lang w:eastAsia="pl-PL"/>
        </w:rPr>
      </w:pPr>
      <w:r w:rsidRPr="00237760">
        <w:rPr>
          <w:rFonts w:ascii="Arial" w:hAnsi="Arial" w:cs="Arial"/>
          <w:noProof/>
          <w:color w:val="auto"/>
          <w:sz w:val="24"/>
          <w:szCs w:val="24"/>
          <w:lang w:eastAsia="pl-PL"/>
        </w:rPr>
        <w:lastRenderedPageBreak/>
        <w:drawing>
          <wp:inline distT="0" distB="0" distL="0" distR="0" wp14:anchorId="42CA0F98" wp14:editId="64925942">
            <wp:extent cx="5868670" cy="2945130"/>
            <wp:effectExtent l="0" t="0" r="0" b="7620"/>
            <wp:docPr id="5" name="Wykres 5" descr="W roku 2020 nastąpił drastyczny spadek ruchu pasażerskiego w portach lotniczych, spowodowany pandemią."/>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CA0E86D" w14:textId="1DCFA414" w:rsidR="00304843" w:rsidRPr="00237760" w:rsidRDefault="00304843" w:rsidP="009367B4">
      <w:pPr>
        <w:pStyle w:val="Legenda"/>
        <w:jc w:val="left"/>
        <w:rPr>
          <w:rFonts w:ascii="Arial" w:hAnsi="Arial" w:cs="Arial"/>
          <w:b w:val="0"/>
          <w:color w:val="auto"/>
          <w:sz w:val="24"/>
          <w:szCs w:val="24"/>
        </w:rPr>
      </w:pPr>
      <w:r w:rsidRPr="00237760">
        <w:rPr>
          <w:rFonts w:ascii="Arial" w:hAnsi="Arial" w:cs="Arial"/>
          <w:b w:val="0"/>
          <w:color w:val="auto"/>
          <w:sz w:val="24"/>
          <w:szCs w:val="24"/>
        </w:rPr>
        <w:t>Źródło: opracowanie własne na podstawie danych BDL GUS.</w:t>
      </w:r>
    </w:p>
    <w:p w14:paraId="2B3BFFFC" w14:textId="77777777" w:rsidR="00291F1A" w:rsidRPr="00237760" w:rsidRDefault="00291F1A" w:rsidP="009367B4">
      <w:pPr>
        <w:pStyle w:val="Legenda"/>
        <w:jc w:val="left"/>
        <w:rPr>
          <w:rFonts w:ascii="Arial" w:hAnsi="Arial" w:cs="Arial"/>
          <w:color w:val="auto"/>
          <w:sz w:val="24"/>
          <w:szCs w:val="24"/>
        </w:rPr>
      </w:pPr>
    </w:p>
    <w:p w14:paraId="3889EC5D" w14:textId="679D8ADD" w:rsidR="00291F1A" w:rsidRDefault="00291F1A" w:rsidP="009367B4">
      <w:pPr>
        <w:pStyle w:val="Legenda"/>
        <w:jc w:val="left"/>
        <w:rPr>
          <w:rFonts w:ascii="Arial" w:hAnsi="Arial" w:cs="Arial"/>
          <w:color w:val="auto"/>
          <w:sz w:val="24"/>
          <w:szCs w:val="24"/>
        </w:rPr>
      </w:pPr>
      <w:bookmarkStart w:id="314" w:name="_Ref99544823"/>
      <w:bookmarkStart w:id="315" w:name="_Toc101904228"/>
      <w:r w:rsidRPr="00237760">
        <w:rPr>
          <w:rFonts w:ascii="Arial" w:hAnsi="Arial" w:cs="Arial"/>
          <w:color w:val="auto"/>
          <w:sz w:val="24"/>
          <w:szCs w:val="24"/>
        </w:rPr>
        <w:t xml:space="preserve">Wykres </w:t>
      </w:r>
      <w:r w:rsidR="0039219E" w:rsidRPr="00237760">
        <w:rPr>
          <w:rFonts w:ascii="Arial" w:hAnsi="Arial" w:cs="Arial"/>
          <w:color w:val="auto"/>
          <w:sz w:val="24"/>
          <w:szCs w:val="24"/>
        </w:rPr>
        <w:fldChar w:fldCharType="begin"/>
      </w:r>
      <w:r w:rsidR="0039219E" w:rsidRPr="00237760">
        <w:rPr>
          <w:rFonts w:ascii="Arial" w:hAnsi="Arial" w:cs="Arial"/>
          <w:color w:val="auto"/>
          <w:sz w:val="24"/>
          <w:szCs w:val="24"/>
        </w:rPr>
        <w:instrText>SEQ Wykres \* ARABIC</w:instrText>
      </w:r>
      <w:r w:rsidR="0039219E" w:rsidRPr="00237760">
        <w:rPr>
          <w:rFonts w:ascii="Arial" w:hAnsi="Arial" w:cs="Arial"/>
          <w:color w:val="auto"/>
          <w:sz w:val="24"/>
          <w:szCs w:val="24"/>
        </w:rPr>
        <w:fldChar w:fldCharType="separate"/>
      </w:r>
      <w:r w:rsidR="00E52C19" w:rsidRPr="00237760">
        <w:rPr>
          <w:rFonts w:ascii="Arial" w:hAnsi="Arial" w:cs="Arial"/>
          <w:noProof/>
          <w:color w:val="auto"/>
          <w:sz w:val="24"/>
          <w:szCs w:val="24"/>
        </w:rPr>
        <w:t>6</w:t>
      </w:r>
      <w:r w:rsidR="0039219E" w:rsidRPr="00237760">
        <w:rPr>
          <w:rFonts w:ascii="Arial" w:hAnsi="Arial" w:cs="Arial"/>
          <w:color w:val="auto"/>
          <w:sz w:val="24"/>
          <w:szCs w:val="24"/>
        </w:rPr>
        <w:fldChar w:fldCharType="end"/>
      </w:r>
      <w:bookmarkEnd w:id="314"/>
      <w:r w:rsidRPr="00237760">
        <w:rPr>
          <w:rFonts w:ascii="Arial" w:hAnsi="Arial" w:cs="Arial"/>
          <w:color w:val="auto"/>
          <w:sz w:val="24"/>
          <w:szCs w:val="24"/>
        </w:rPr>
        <w:t>. Drogi lokalne o nawierzchni twardej ulepszonej – trend wskaźnika w latach 2001-2020 i prognoza do 2030 roku</w:t>
      </w:r>
      <w:bookmarkEnd w:id="315"/>
    </w:p>
    <w:p w14:paraId="3C534204" w14:textId="21E53F37" w:rsidR="00B2216D" w:rsidRPr="00B2216D" w:rsidRDefault="00B2216D" w:rsidP="009367B4">
      <w:pPr>
        <w:rPr>
          <w:lang w:eastAsia="pl-PL"/>
        </w:rPr>
      </w:pPr>
      <w:r w:rsidRPr="00237760">
        <w:rPr>
          <w:rFonts w:ascii="Arial" w:hAnsi="Arial" w:cs="Arial"/>
          <w:noProof/>
          <w:color w:val="auto"/>
          <w:sz w:val="24"/>
          <w:szCs w:val="24"/>
          <w:lang w:eastAsia="pl-PL"/>
        </w:rPr>
        <w:drawing>
          <wp:inline distT="0" distB="0" distL="0" distR="0" wp14:anchorId="7EE4BA55" wp14:editId="1EE1F28E">
            <wp:extent cx="5922010" cy="2707640"/>
            <wp:effectExtent l="0" t="0" r="2540" b="0"/>
            <wp:docPr id="10" name="Wykres 10" descr="Wartość docelowa wskaźnika została niemal osiągnięta w 2020 roku."/>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8C50387" w14:textId="77777777" w:rsidR="00291F1A" w:rsidRPr="00237760" w:rsidRDefault="00291F1A" w:rsidP="009367B4">
      <w:pPr>
        <w:pStyle w:val="Legenda"/>
        <w:jc w:val="left"/>
        <w:rPr>
          <w:rFonts w:ascii="Arial" w:hAnsi="Arial" w:cs="Arial"/>
          <w:b w:val="0"/>
          <w:color w:val="auto"/>
          <w:sz w:val="24"/>
          <w:szCs w:val="24"/>
        </w:rPr>
      </w:pPr>
      <w:r w:rsidRPr="00237760">
        <w:rPr>
          <w:rFonts w:ascii="Arial" w:hAnsi="Arial" w:cs="Arial"/>
          <w:b w:val="0"/>
          <w:color w:val="auto"/>
          <w:sz w:val="24"/>
          <w:szCs w:val="24"/>
        </w:rPr>
        <w:t>Źródło: opracowanie własne na podstawie danych BDL GUS.</w:t>
      </w:r>
    </w:p>
    <w:p w14:paraId="356DA8A4" w14:textId="3FB17AA1" w:rsidR="00B2216D" w:rsidRDefault="00B2216D" w:rsidP="009367B4">
      <w:pPr>
        <w:spacing w:after="160" w:line="259" w:lineRule="auto"/>
        <w:jc w:val="left"/>
        <w:rPr>
          <w:rFonts w:ascii="Arial" w:hAnsi="Arial" w:cs="Arial"/>
          <w:color w:val="auto"/>
          <w:sz w:val="24"/>
          <w:szCs w:val="24"/>
          <w:lang w:eastAsia="pl-PL"/>
        </w:rPr>
      </w:pPr>
      <w:r>
        <w:rPr>
          <w:rFonts w:ascii="Arial" w:hAnsi="Arial" w:cs="Arial"/>
          <w:color w:val="auto"/>
          <w:sz w:val="24"/>
          <w:szCs w:val="24"/>
          <w:lang w:eastAsia="pl-PL"/>
        </w:rPr>
        <w:br w:type="page"/>
      </w:r>
    </w:p>
    <w:p w14:paraId="2B579F4D" w14:textId="0D698E1D" w:rsidR="008978F0" w:rsidRDefault="001A3B6B" w:rsidP="009367B4">
      <w:pPr>
        <w:pStyle w:val="Legenda"/>
        <w:jc w:val="left"/>
        <w:rPr>
          <w:rFonts w:ascii="Arial" w:hAnsi="Arial" w:cs="Arial"/>
          <w:color w:val="auto"/>
          <w:sz w:val="24"/>
          <w:szCs w:val="24"/>
        </w:rPr>
      </w:pPr>
      <w:bookmarkStart w:id="316" w:name="_Ref99545234"/>
      <w:bookmarkStart w:id="317" w:name="_Toc101904229"/>
      <w:r w:rsidRPr="00237760">
        <w:rPr>
          <w:rFonts w:ascii="Arial" w:hAnsi="Arial" w:cs="Arial"/>
          <w:color w:val="auto"/>
          <w:sz w:val="24"/>
          <w:szCs w:val="24"/>
        </w:rPr>
        <w:lastRenderedPageBreak/>
        <w:t xml:space="preserve">Wykres </w:t>
      </w:r>
      <w:r w:rsidR="008978F0" w:rsidRPr="00237760">
        <w:rPr>
          <w:rFonts w:ascii="Arial" w:hAnsi="Arial" w:cs="Arial"/>
          <w:color w:val="auto"/>
          <w:sz w:val="24"/>
          <w:szCs w:val="24"/>
        </w:rPr>
        <w:fldChar w:fldCharType="begin"/>
      </w:r>
      <w:r w:rsidR="008978F0" w:rsidRPr="00237760">
        <w:rPr>
          <w:rFonts w:ascii="Arial" w:hAnsi="Arial" w:cs="Arial"/>
          <w:color w:val="auto"/>
          <w:sz w:val="24"/>
          <w:szCs w:val="24"/>
        </w:rPr>
        <w:instrText>SEQ Wykres \* ARABIC</w:instrText>
      </w:r>
      <w:r w:rsidR="008978F0" w:rsidRPr="00237760">
        <w:rPr>
          <w:rFonts w:ascii="Arial" w:hAnsi="Arial" w:cs="Arial"/>
          <w:color w:val="auto"/>
          <w:sz w:val="24"/>
          <w:szCs w:val="24"/>
        </w:rPr>
        <w:fldChar w:fldCharType="separate"/>
      </w:r>
      <w:r w:rsidR="00E52C19" w:rsidRPr="00237760">
        <w:rPr>
          <w:rFonts w:ascii="Arial" w:hAnsi="Arial" w:cs="Arial"/>
          <w:noProof/>
          <w:color w:val="auto"/>
          <w:sz w:val="24"/>
          <w:szCs w:val="24"/>
        </w:rPr>
        <w:t>7</w:t>
      </w:r>
      <w:r w:rsidR="008978F0" w:rsidRPr="00237760">
        <w:rPr>
          <w:rFonts w:ascii="Arial" w:hAnsi="Arial" w:cs="Arial"/>
          <w:color w:val="auto"/>
          <w:sz w:val="24"/>
          <w:szCs w:val="24"/>
        </w:rPr>
        <w:fldChar w:fldCharType="end"/>
      </w:r>
      <w:bookmarkEnd w:id="316"/>
      <w:r w:rsidRPr="00237760">
        <w:rPr>
          <w:rFonts w:ascii="Arial" w:hAnsi="Arial" w:cs="Arial"/>
          <w:color w:val="auto"/>
          <w:sz w:val="24"/>
          <w:szCs w:val="24"/>
        </w:rPr>
        <w:t>. Wojewódzkie mosty i wiadukty – trend wskaźnika w latach 2001-2020 i prognoza do 2030 roku</w:t>
      </w:r>
      <w:bookmarkEnd w:id="317"/>
    </w:p>
    <w:p w14:paraId="1E728BB8" w14:textId="257D9C05" w:rsidR="00B2216D" w:rsidRPr="00B2216D" w:rsidRDefault="00B2216D" w:rsidP="009367B4">
      <w:pPr>
        <w:rPr>
          <w:lang w:eastAsia="pl-PL"/>
        </w:rPr>
      </w:pPr>
      <w:r w:rsidRPr="00237760">
        <w:rPr>
          <w:rFonts w:ascii="Arial" w:hAnsi="Arial" w:cs="Arial"/>
          <w:noProof/>
          <w:color w:val="auto"/>
          <w:sz w:val="24"/>
          <w:szCs w:val="24"/>
          <w:lang w:eastAsia="pl-PL"/>
        </w:rPr>
        <w:drawing>
          <wp:inline distT="0" distB="0" distL="0" distR="0" wp14:anchorId="36001005" wp14:editId="5CD3AD70">
            <wp:extent cx="5911215" cy="2743200"/>
            <wp:effectExtent l="0" t="0" r="0" b="0"/>
            <wp:docPr id="9" name="Wykres 9" descr="Wartość docelowa wskaźnika została osiągnięta w 2020 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B870E16" w14:textId="77777777" w:rsidR="008978F0" w:rsidRPr="00237760" w:rsidRDefault="008978F0" w:rsidP="009367B4">
      <w:pPr>
        <w:pStyle w:val="Legenda"/>
        <w:jc w:val="left"/>
        <w:rPr>
          <w:rFonts w:ascii="Arial" w:hAnsi="Arial" w:cs="Arial"/>
          <w:b w:val="0"/>
          <w:color w:val="auto"/>
          <w:sz w:val="24"/>
          <w:szCs w:val="24"/>
        </w:rPr>
      </w:pPr>
      <w:r w:rsidRPr="00237760">
        <w:rPr>
          <w:rFonts w:ascii="Arial" w:hAnsi="Arial" w:cs="Arial"/>
          <w:b w:val="0"/>
          <w:color w:val="auto"/>
          <w:sz w:val="24"/>
          <w:szCs w:val="24"/>
        </w:rPr>
        <w:t>Źródło: opracowanie własne na podstawie danych BDL GUS.</w:t>
      </w:r>
    </w:p>
    <w:p w14:paraId="1A8AC3C7" w14:textId="7A9451CE" w:rsidR="001A3B6B" w:rsidRPr="00237760" w:rsidRDefault="001A3B6B" w:rsidP="009367B4">
      <w:pPr>
        <w:jc w:val="left"/>
        <w:rPr>
          <w:rFonts w:ascii="Arial" w:hAnsi="Arial" w:cs="Arial"/>
          <w:color w:val="auto"/>
          <w:sz w:val="24"/>
          <w:szCs w:val="24"/>
          <w:lang w:eastAsia="pl-PL"/>
        </w:rPr>
      </w:pPr>
    </w:p>
    <w:p w14:paraId="3A88CDCF" w14:textId="30A3BFDE" w:rsidR="00132A56" w:rsidRDefault="00132A56" w:rsidP="009367B4">
      <w:pPr>
        <w:pStyle w:val="Legenda"/>
        <w:jc w:val="left"/>
        <w:rPr>
          <w:rFonts w:ascii="Arial" w:hAnsi="Arial" w:cs="Arial"/>
          <w:color w:val="auto"/>
          <w:sz w:val="24"/>
          <w:szCs w:val="24"/>
        </w:rPr>
      </w:pPr>
      <w:bookmarkStart w:id="318" w:name="_Ref99545247"/>
      <w:bookmarkStart w:id="319" w:name="_Toc101904230"/>
      <w:r w:rsidRPr="00237760">
        <w:rPr>
          <w:rFonts w:ascii="Arial" w:hAnsi="Arial" w:cs="Arial"/>
          <w:color w:val="auto"/>
          <w:sz w:val="24"/>
          <w:szCs w:val="24"/>
        </w:rPr>
        <w:t xml:space="preserve">Wykres </w:t>
      </w:r>
      <w:r w:rsidR="00B2518A" w:rsidRPr="00237760">
        <w:rPr>
          <w:rFonts w:ascii="Arial" w:hAnsi="Arial" w:cs="Arial"/>
          <w:color w:val="auto"/>
          <w:sz w:val="24"/>
          <w:szCs w:val="24"/>
        </w:rPr>
        <w:fldChar w:fldCharType="begin"/>
      </w:r>
      <w:r w:rsidR="00B2518A" w:rsidRPr="00237760">
        <w:rPr>
          <w:rFonts w:ascii="Arial" w:hAnsi="Arial" w:cs="Arial"/>
          <w:color w:val="auto"/>
          <w:sz w:val="24"/>
          <w:szCs w:val="24"/>
        </w:rPr>
        <w:instrText>SEQ Wykres \* ARABIC</w:instrText>
      </w:r>
      <w:r w:rsidR="00B2518A" w:rsidRPr="00237760">
        <w:rPr>
          <w:rFonts w:ascii="Arial" w:hAnsi="Arial" w:cs="Arial"/>
          <w:color w:val="auto"/>
          <w:sz w:val="24"/>
          <w:szCs w:val="24"/>
        </w:rPr>
        <w:fldChar w:fldCharType="separate"/>
      </w:r>
      <w:r w:rsidR="00E52C19" w:rsidRPr="00237760">
        <w:rPr>
          <w:rFonts w:ascii="Arial" w:hAnsi="Arial" w:cs="Arial"/>
          <w:noProof/>
          <w:color w:val="auto"/>
          <w:sz w:val="24"/>
          <w:szCs w:val="24"/>
        </w:rPr>
        <w:t>8</w:t>
      </w:r>
      <w:r w:rsidR="00B2518A" w:rsidRPr="00237760">
        <w:rPr>
          <w:rFonts w:ascii="Arial" w:hAnsi="Arial" w:cs="Arial"/>
          <w:color w:val="auto"/>
          <w:sz w:val="24"/>
          <w:szCs w:val="24"/>
        </w:rPr>
        <w:fldChar w:fldCharType="end"/>
      </w:r>
      <w:bookmarkEnd w:id="318"/>
      <w:r w:rsidRPr="00237760">
        <w:rPr>
          <w:rFonts w:ascii="Arial" w:hAnsi="Arial" w:cs="Arial"/>
          <w:color w:val="auto"/>
          <w:sz w:val="24"/>
          <w:szCs w:val="24"/>
        </w:rPr>
        <w:t>. Lokalne mosty i wiadukty – trend wskaźnika w latach 2001-2020 i prognoza do 2030 roku</w:t>
      </w:r>
      <w:bookmarkEnd w:id="319"/>
    </w:p>
    <w:p w14:paraId="39D75ACE" w14:textId="15046DC9" w:rsidR="00B2216D" w:rsidRDefault="00B2216D" w:rsidP="009367B4">
      <w:pPr>
        <w:rPr>
          <w:lang w:eastAsia="pl-PL"/>
        </w:rPr>
      </w:pPr>
      <w:r w:rsidRPr="00237760">
        <w:rPr>
          <w:rFonts w:ascii="Arial" w:hAnsi="Arial" w:cs="Arial"/>
          <w:noProof/>
          <w:color w:val="auto"/>
          <w:sz w:val="24"/>
          <w:szCs w:val="24"/>
          <w:lang w:eastAsia="pl-PL"/>
        </w:rPr>
        <w:drawing>
          <wp:inline distT="0" distB="0" distL="0" distR="0" wp14:anchorId="21A66C8A" wp14:editId="6FFE0EC6">
            <wp:extent cx="6198235" cy="2966085"/>
            <wp:effectExtent l="0" t="0" r="0" b="5715"/>
            <wp:docPr id="12" name="Wykres 12" descr="Liczba lokalnych mostów i wiaduktów waha się. Kilka razy w latach 2001-2020 była przekroczona, jednak w ostatnich czterech latach jest poniżej wartości docelowej."/>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550D4FF" w14:textId="77777777" w:rsidR="00751D5A" w:rsidRDefault="000C1A31" w:rsidP="009367B4">
      <w:pPr>
        <w:pStyle w:val="Legenda"/>
        <w:jc w:val="left"/>
        <w:rPr>
          <w:rFonts w:ascii="Arial" w:hAnsi="Arial" w:cs="Arial"/>
          <w:color w:val="auto"/>
          <w:sz w:val="24"/>
          <w:szCs w:val="24"/>
        </w:rPr>
      </w:pPr>
      <w:r w:rsidRPr="00237760">
        <w:rPr>
          <w:rFonts w:ascii="Arial" w:hAnsi="Arial" w:cs="Arial"/>
          <w:b w:val="0"/>
          <w:color w:val="auto"/>
          <w:sz w:val="24"/>
          <w:szCs w:val="24"/>
        </w:rPr>
        <w:t>Źródło: opracowanie własne na podstawie danych BDL GUS</w:t>
      </w:r>
      <w:r w:rsidR="00BC3F2E" w:rsidRPr="00237760">
        <w:rPr>
          <w:rFonts w:ascii="Arial" w:hAnsi="Arial" w:cs="Arial"/>
          <w:b w:val="0"/>
          <w:color w:val="auto"/>
          <w:sz w:val="24"/>
          <w:szCs w:val="24"/>
        </w:rPr>
        <w:t>.</w:t>
      </w:r>
    </w:p>
    <w:p w14:paraId="0C67149D" w14:textId="77777777" w:rsidR="00751D5A" w:rsidRDefault="00751D5A">
      <w:pPr>
        <w:spacing w:after="160" w:line="259" w:lineRule="auto"/>
        <w:jc w:val="left"/>
        <w:rPr>
          <w:rFonts w:ascii="Arial" w:eastAsia="Times New Roman" w:hAnsi="Arial" w:cs="Arial"/>
          <w:b/>
          <w:bCs/>
          <w:color w:val="auto"/>
          <w:sz w:val="24"/>
          <w:szCs w:val="24"/>
          <w:lang w:eastAsia="pl-PL"/>
        </w:rPr>
      </w:pPr>
      <w:r>
        <w:rPr>
          <w:rFonts w:ascii="Arial" w:hAnsi="Arial" w:cs="Arial"/>
          <w:color w:val="auto"/>
          <w:sz w:val="24"/>
          <w:szCs w:val="24"/>
        </w:rPr>
        <w:br w:type="page"/>
      </w:r>
    </w:p>
    <w:p w14:paraId="15443376" w14:textId="52C7EDE4" w:rsidR="00BC3F2E" w:rsidRDefault="0063662D" w:rsidP="009367B4">
      <w:pPr>
        <w:pStyle w:val="Legenda"/>
        <w:jc w:val="left"/>
        <w:rPr>
          <w:rFonts w:ascii="Arial" w:hAnsi="Arial" w:cs="Arial"/>
          <w:color w:val="auto"/>
          <w:sz w:val="24"/>
          <w:szCs w:val="24"/>
        </w:rPr>
      </w:pPr>
      <w:bookmarkStart w:id="320" w:name="_Ref99545332"/>
      <w:bookmarkStart w:id="321" w:name="_Toc101904231"/>
      <w:r w:rsidRPr="00237760">
        <w:rPr>
          <w:rFonts w:ascii="Arial" w:hAnsi="Arial" w:cs="Arial"/>
          <w:color w:val="auto"/>
          <w:sz w:val="24"/>
          <w:szCs w:val="24"/>
        </w:rPr>
        <w:lastRenderedPageBreak/>
        <w:t xml:space="preserve">Wykres </w:t>
      </w:r>
      <w:r w:rsidR="00BC3F2E" w:rsidRPr="00237760">
        <w:rPr>
          <w:rFonts w:ascii="Arial" w:hAnsi="Arial" w:cs="Arial"/>
          <w:color w:val="auto"/>
          <w:sz w:val="24"/>
          <w:szCs w:val="24"/>
        </w:rPr>
        <w:fldChar w:fldCharType="begin"/>
      </w:r>
      <w:r w:rsidR="00BC3F2E" w:rsidRPr="00237760">
        <w:rPr>
          <w:rFonts w:ascii="Arial" w:hAnsi="Arial" w:cs="Arial"/>
          <w:color w:val="auto"/>
          <w:sz w:val="24"/>
          <w:szCs w:val="24"/>
        </w:rPr>
        <w:instrText>SEQ Wykres \* ARABIC</w:instrText>
      </w:r>
      <w:r w:rsidR="00BC3F2E" w:rsidRPr="00237760">
        <w:rPr>
          <w:rFonts w:ascii="Arial" w:hAnsi="Arial" w:cs="Arial"/>
          <w:color w:val="auto"/>
          <w:sz w:val="24"/>
          <w:szCs w:val="24"/>
        </w:rPr>
        <w:fldChar w:fldCharType="separate"/>
      </w:r>
      <w:r w:rsidR="00E52C19" w:rsidRPr="00237760">
        <w:rPr>
          <w:rFonts w:ascii="Arial" w:hAnsi="Arial" w:cs="Arial"/>
          <w:noProof/>
          <w:color w:val="auto"/>
          <w:sz w:val="24"/>
          <w:szCs w:val="24"/>
        </w:rPr>
        <w:t>9</w:t>
      </w:r>
      <w:r w:rsidR="00BC3F2E" w:rsidRPr="00237760">
        <w:rPr>
          <w:rFonts w:ascii="Arial" w:hAnsi="Arial" w:cs="Arial"/>
          <w:color w:val="auto"/>
          <w:sz w:val="24"/>
          <w:szCs w:val="24"/>
        </w:rPr>
        <w:fldChar w:fldCharType="end"/>
      </w:r>
      <w:bookmarkEnd w:id="320"/>
      <w:r w:rsidRPr="00237760">
        <w:rPr>
          <w:rFonts w:ascii="Arial" w:hAnsi="Arial" w:cs="Arial"/>
          <w:color w:val="auto"/>
          <w:sz w:val="24"/>
          <w:szCs w:val="24"/>
        </w:rPr>
        <w:t xml:space="preserve">. </w:t>
      </w:r>
      <w:r w:rsidR="00BC3F2E" w:rsidRPr="00237760">
        <w:rPr>
          <w:rFonts w:ascii="Arial" w:hAnsi="Arial" w:cs="Arial"/>
          <w:color w:val="auto"/>
          <w:sz w:val="24"/>
          <w:szCs w:val="24"/>
        </w:rPr>
        <w:t>Linie kolejowe normalnotorowe dwu- i więcej torowe – trend wskaźnika w latach 1999-2020 i prognoza do 2030 roku</w:t>
      </w:r>
      <w:bookmarkEnd w:id="321"/>
    </w:p>
    <w:p w14:paraId="40621EAB" w14:textId="5E034CA5" w:rsidR="00B2216D" w:rsidRDefault="00B2216D" w:rsidP="009367B4">
      <w:pPr>
        <w:rPr>
          <w:lang w:eastAsia="pl-PL"/>
        </w:rPr>
      </w:pPr>
      <w:r w:rsidRPr="00237760">
        <w:rPr>
          <w:rFonts w:ascii="Arial" w:hAnsi="Arial" w:cs="Arial"/>
          <w:noProof/>
          <w:color w:val="auto"/>
          <w:sz w:val="24"/>
          <w:szCs w:val="24"/>
          <w:lang w:eastAsia="pl-PL"/>
        </w:rPr>
        <w:drawing>
          <wp:inline distT="0" distB="0" distL="0" distR="0" wp14:anchorId="486BF7F2" wp14:editId="71F7F7A3">
            <wp:extent cx="5932805" cy="2902585"/>
            <wp:effectExtent l="0" t="0" r="0" b="0"/>
            <wp:docPr id="13" name="Wykres 13" descr="Liczba linii kolejowych normalnotorowych dwu- i więcej torowych jest daleka od wartości docelowej. Dynamika wzrostu wskaźnika nie jest optymistyczna."/>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1B77469" w14:textId="6CA05C70" w:rsidR="00BC3F2E" w:rsidRPr="00237760" w:rsidRDefault="00BC3F2E" w:rsidP="00751D5A">
      <w:pPr>
        <w:pStyle w:val="Legenda"/>
        <w:spacing w:after="360"/>
        <w:jc w:val="left"/>
        <w:rPr>
          <w:rFonts w:ascii="Arial" w:hAnsi="Arial" w:cs="Arial"/>
          <w:color w:val="auto"/>
          <w:sz w:val="24"/>
          <w:szCs w:val="24"/>
        </w:rPr>
      </w:pPr>
      <w:r w:rsidRPr="00237760">
        <w:rPr>
          <w:rFonts w:ascii="Arial" w:hAnsi="Arial" w:cs="Arial"/>
          <w:color w:val="auto"/>
          <w:sz w:val="24"/>
          <w:szCs w:val="24"/>
        </w:rPr>
        <w:t xml:space="preserve"> </w:t>
      </w:r>
      <w:r w:rsidRPr="00237760">
        <w:rPr>
          <w:rFonts w:ascii="Arial" w:hAnsi="Arial" w:cs="Arial"/>
          <w:b w:val="0"/>
          <w:color w:val="auto"/>
          <w:sz w:val="24"/>
          <w:szCs w:val="24"/>
        </w:rPr>
        <w:t>Źródło: opracowanie własne na podstawie danych BDL GUS.</w:t>
      </w:r>
    </w:p>
    <w:p w14:paraId="312E02DE" w14:textId="3A162C56" w:rsidR="00CE4D04" w:rsidRDefault="00CE4D04" w:rsidP="009367B4">
      <w:pPr>
        <w:pStyle w:val="Legenda"/>
        <w:jc w:val="left"/>
        <w:rPr>
          <w:rFonts w:ascii="Arial" w:hAnsi="Arial" w:cs="Arial"/>
          <w:color w:val="auto"/>
          <w:sz w:val="24"/>
          <w:szCs w:val="24"/>
        </w:rPr>
      </w:pPr>
      <w:bookmarkStart w:id="322" w:name="_Ref99545363"/>
      <w:bookmarkStart w:id="323" w:name="_Toc101904232"/>
      <w:r w:rsidRPr="00237760">
        <w:rPr>
          <w:rFonts w:ascii="Arial" w:hAnsi="Arial" w:cs="Arial"/>
          <w:color w:val="auto"/>
          <w:sz w:val="24"/>
          <w:szCs w:val="24"/>
        </w:rPr>
        <w:t xml:space="preserve">Wykres </w:t>
      </w:r>
      <w:r w:rsidRPr="00237760">
        <w:rPr>
          <w:rFonts w:ascii="Arial" w:hAnsi="Arial" w:cs="Arial"/>
          <w:color w:val="auto"/>
          <w:sz w:val="24"/>
          <w:szCs w:val="24"/>
        </w:rPr>
        <w:fldChar w:fldCharType="begin"/>
      </w:r>
      <w:r w:rsidRPr="00237760">
        <w:rPr>
          <w:rFonts w:ascii="Arial" w:hAnsi="Arial" w:cs="Arial"/>
          <w:color w:val="auto"/>
          <w:sz w:val="24"/>
          <w:szCs w:val="24"/>
        </w:rPr>
        <w:instrText>SEQ Wykres \* ARABIC</w:instrText>
      </w:r>
      <w:r w:rsidRPr="00237760">
        <w:rPr>
          <w:rFonts w:ascii="Arial" w:hAnsi="Arial" w:cs="Arial"/>
          <w:color w:val="auto"/>
          <w:sz w:val="24"/>
          <w:szCs w:val="24"/>
        </w:rPr>
        <w:fldChar w:fldCharType="separate"/>
      </w:r>
      <w:r w:rsidR="00E52C19" w:rsidRPr="00237760">
        <w:rPr>
          <w:rFonts w:ascii="Arial" w:hAnsi="Arial" w:cs="Arial"/>
          <w:noProof/>
          <w:color w:val="auto"/>
          <w:sz w:val="24"/>
          <w:szCs w:val="24"/>
        </w:rPr>
        <w:t>10</w:t>
      </w:r>
      <w:r w:rsidRPr="00237760">
        <w:rPr>
          <w:rFonts w:ascii="Arial" w:hAnsi="Arial" w:cs="Arial"/>
          <w:color w:val="auto"/>
          <w:sz w:val="24"/>
          <w:szCs w:val="24"/>
        </w:rPr>
        <w:fldChar w:fldCharType="end"/>
      </w:r>
      <w:bookmarkEnd w:id="322"/>
      <w:r w:rsidRPr="00237760">
        <w:rPr>
          <w:rFonts w:ascii="Arial" w:hAnsi="Arial" w:cs="Arial"/>
          <w:color w:val="auto"/>
          <w:sz w:val="24"/>
          <w:szCs w:val="24"/>
        </w:rPr>
        <w:t>. Linie komunikacji miejskiej – trend wskaźnika w latach 2012-2020 i prognoza do 2030 roku</w:t>
      </w:r>
      <w:bookmarkEnd w:id="323"/>
    </w:p>
    <w:p w14:paraId="3FB16E74" w14:textId="7FAFBBB3" w:rsidR="001E558C" w:rsidRDefault="001E558C" w:rsidP="009367B4">
      <w:pPr>
        <w:rPr>
          <w:lang w:eastAsia="pl-PL"/>
        </w:rPr>
      </w:pPr>
      <w:r w:rsidRPr="00237760">
        <w:rPr>
          <w:rFonts w:ascii="Arial" w:hAnsi="Arial" w:cs="Arial"/>
          <w:noProof/>
          <w:color w:val="auto"/>
          <w:sz w:val="24"/>
          <w:szCs w:val="24"/>
          <w:lang w:eastAsia="pl-PL"/>
        </w:rPr>
        <w:drawing>
          <wp:inline distT="0" distB="0" distL="0" distR="0" wp14:anchorId="110ACD0F" wp14:editId="18F517FB">
            <wp:extent cx="5667376" cy="2824163"/>
            <wp:effectExtent l="0" t="0" r="0" b="0"/>
            <wp:docPr id="14" name="Wykres 14" descr="Liczba linii komunikacji miejskiej zbliża się do wartości docelowej."/>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64EEEF8" w14:textId="4928DBC1" w:rsidR="00633B90" w:rsidRPr="00237760" w:rsidRDefault="00CE4D04" w:rsidP="00751D5A">
      <w:pPr>
        <w:pStyle w:val="Legenda"/>
        <w:spacing w:after="360"/>
        <w:jc w:val="left"/>
        <w:rPr>
          <w:rFonts w:ascii="Arial" w:eastAsia="MS Gothic" w:hAnsi="Arial" w:cs="Arial"/>
          <w:color w:val="auto"/>
          <w:sz w:val="24"/>
          <w:szCs w:val="24"/>
        </w:rPr>
      </w:pPr>
      <w:r w:rsidRPr="00237760">
        <w:rPr>
          <w:rFonts w:ascii="Arial" w:hAnsi="Arial" w:cs="Arial"/>
          <w:color w:val="auto"/>
          <w:sz w:val="24"/>
          <w:szCs w:val="24"/>
        </w:rPr>
        <w:t xml:space="preserve"> </w:t>
      </w:r>
      <w:r w:rsidRPr="00237760">
        <w:rPr>
          <w:rFonts w:ascii="Arial" w:hAnsi="Arial" w:cs="Arial"/>
          <w:b w:val="0"/>
          <w:color w:val="auto"/>
          <w:sz w:val="24"/>
          <w:szCs w:val="24"/>
        </w:rPr>
        <w:t>Źródło: opracowanie własne na podstawie danych BDL GUS.</w:t>
      </w:r>
      <w:r w:rsidRPr="00237760">
        <w:rPr>
          <w:rFonts w:ascii="Arial" w:hAnsi="Arial" w:cs="Arial"/>
          <w:color w:val="auto"/>
          <w:sz w:val="24"/>
          <w:szCs w:val="24"/>
        </w:rPr>
        <w:t xml:space="preserve"> </w:t>
      </w:r>
    </w:p>
    <w:p w14:paraId="1A55C3F0" w14:textId="754BE61C" w:rsidR="007E19FC" w:rsidRDefault="007E19FC" w:rsidP="009367B4">
      <w:pPr>
        <w:pStyle w:val="Legenda"/>
        <w:jc w:val="left"/>
        <w:rPr>
          <w:rFonts w:ascii="Arial" w:hAnsi="Arial" w:cs="Arial"/>
          <w:color w:val="auto"/>
          <w:sz w:val="24"/>
          <w:szCs w:val="24"/>
        </w:rPr>
      </w:pPr>
      <w:bookmarkStart w:id="324" w:name="_Ref99545890"/>
      <w:bookmarkStart w:id="325" w:name="_Toc101904233"/>
      <w:r w:rsidRPr="00237760">
        <w:rPr>
          <w:rFonts w:ascii="Arial" w:hAnsi="Arial" w:cs="Arial"/>
          <w:color w:val="auto"/>
          <w:sz w:val="24"/>
          <w:szCs w:val="24"/>
        </w:rPr>
        <w:t xml:space="preserve">Wykres </w:t>
      </w:r>
      <w:r w:rsidRPr="00237760">
        <w:rPr>
          <w:rFonts w:ascii="Arial" w:hAnsi="Arial" w:cs="Arial"/>
          <w:color w:val="auto"/>
          <w:sz w:val="24"/>
          <w:szCs w:val="24"/>
        </w:rPr>
        <w:fldChar w:fldCharType="begin"/>
      </w:r>
      <w:r w:rsidRPr="00237760">
        <w:rPr>
          <w:rFonts w:ascii="Arial" w:hAnsi="Arial" w:cs="Arial"/>
          <w:color w:val="auto"/>
          <w:sz w:val="24"/>
          <w:szCs w:val="24"/>
        </w:rPr>
        <w:instrText>SEQ Wykres \* ARABIC</w:instrText>
      </w:r>
      <w:r w:rsidRPr="00237760">
        <w:rPr>
          <w:rFonts w:ascii="Arial" w:hAnsi="Arial" w:cs="Arial"/>
          <w:color w:val="auto"/>
          <w:sz w:val="24"/>
          <w:szCs w:val="24"/>
        </w:rPr>
        <w:fldChar w:fldCharType="separate"/>
      </w:r>
      <w:r w:rsidR="00E52C19" w:rsidRPr="00237760">
        <w:rPr>
          <w:rFonts w:ascii="Arial" w:hAnsi="Arial" w:cs="Arial"/>
          <w:noProof/>
          <w:color w:val="auto"/>
          <w:sz w:val="24"/>
          <w:szCs w:val="24"/>
        </w:rPr>
        <w:t>11</w:t>
      </w:r>
      <w:r w:rsidRPr="00237760">
        <w:rPr>
          <w:rFonts w:ascii="Arial" w:hAnsi="Arial" w:cs="Arial"/>
          <w:color w:val="auto"/>
          <w:sz w:val="24"/>
          <w:szCs w:val="24"/>
        </w:rPr>
        <w:fldChar w:fldCharType="end"/>
      </w:r>
      <w:bookmarkEnd w:id="324"/>
      <w:r w:rsidRPr="00237760">
        <w:rPr>
          <w:rFonts w:ascii="Arial" w:hAnsi="Arial" w:cs="Arial"/>
          <w:color w:val="auto"/>
          <w:sz w:val="24"/>
          <w:szCs w:val="24"/>
        </w:rPr>
        <w:t>. Przeciętny przebieg 1 wozu w ciągu doby – trend wskaźnika w latach 2009-2020 i prognoza do 2030 roku</w:t>
      </w:r>
      <w:bookmarkEnd w:id="325"/>
    </w:p>
    <w:p w14:paraId="29832F60" w14:textId="7BC7B309" w:rsidR="001E558C" w:rsidRDefault="001E558C" w:rsidP="009367B4">
      <w:pPr>
        <w:rPr>
          <w:lang w:eastAsia="pl-PL"/>
        </w:rPr>
      </w:pPr>
      <w:r w:rsidRPr="00237760">
        <w:rPr>
          <w:rFonts w:ascii="Arial" w:hAnsi="Arial" w:cs="Arial"/>
          <w:noProof/>
          <w:color w:val="auto"/>
          <w:sz w:val="24"/>
          <w:szCs w:val="24"/>
          <w:lang w:eastAsia="pl-PL"/>
        </w:rPr>
        <w:lastRenderedPageBreak/>
        <w:drawing>
          <wp:inline distT="0" distB="0" distL="0" distR="0" wp14:anchorId="3AC21088" wp14:editId="1E8BF77D">
            <wp:extent cx="5698490" cy="2647315"/>
            <wp:effectExtent l="0" t="0" r="0" b="635"/>
            <wp:docPr id="15" name="Wykres 15" descr="Wartość docelowa została przekroczona już w 2015 roku."/>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A7DDB5F" w14:textId="44DEB9FF" w:rsidR="007E19FC" w:rsidRPr="00237760" w:rsidRDefault="007E19FC" w:rsidP="009367B4">
      <w:pPr>
        <w:pStyle w:val="Legenda"/>
        <w:jc w:val="left"/>
        <w:rPr>
          <w:rFonts w:ascii="Arial" w:hAnsi="Arial" w:cs="Arial"/>
          <w:color w:val="auto"/>
          <w:sz w:val="24"/>
          <w:szCs w:val="24"/>
        </w:rPr>
      </w:pPr>
      <w:r w:rsidRPr="00237760">
        <w:rPr>
          <w:rFonts w:ascii="Arial" w:hAnsi="Arial" w:cs="Arial"/>
          <w:b w:val="0"/>
          <w:color w:val="auto"/>
          <w:sz w:val="24"/>
          <w:szCs w:val="24"/>
        </w:rPr>
        <w:t>Źródło: opracowanie własne na podstawie danych BDL GUS.</w:t>
      </w:r>
      <w:r w:rsidRPr="00237760">
        <w:rPr>
          <w:rFonts w:ascii="Arial" w:hAnsi="Arial" w:cs="Arial"/>
          <w:color w:val="auto"/>
          <w:sz w:val="24"/>
          <w:szCs w:val="24"/>
        </w:rPr>
        <w:t xml:space="preserve"> </w:t>
      </w:r>
    </w:p>
    <w:p w14:paraId="5D7AFB42" w14:textId="028999A8" w:rsidR="007E19FC" w:rsidRPr="00237760" w:rsidRDefault="007E19FC" w:rsidP="009367B4">
      <w:pPr>
        <w:jc w:val="left"/>
        <w:rPr>
          <w:rFonts w:ascii="Arial" w:hAnsi="Arial" w:cs="Arial"/>
          <w:color w:val="auto"/>
          <w:sz w:val="24"/>
          <w:szCs w:val="24"/>
          <w:lang w:eastAsia="pl-PL"/>
        </w:rPr>
      </w:pPr>
    </w:p>
    <w:p w14:paraId="49A7F285" w14:textId="00AA4C05" w:rsidR="007E19FC" w:rsidRDefault="007E19FC" w:rsidP="009367B4">
      <w:pPr>
        <w:pStyle w:val="Legenda"/>
        <w:jc w:val="left"/>
        <w:rPr>
          <w:rFonts w:ascii="Arial" w:hAnsi="Arial" w:cs="Arial"/>
          <w:color w:val="auto"/>
          <w:sz w:val="24"/>
          <w:szCs w:val="24"/>
        </w:rPr>
      </w:pPr>
      <w:bookmarkStart w:id="326" w:name="_Ref99547466"/>
      <w:bookmarkStart w:id="327" w:name="_Toc101904234"/>
      <w:r w:rsidRPr="00237760">
        <w:rPr>
          <w:rFonts w:ascii="Arial" w:hAnsi="Arial" w:cs="Arial"/>
          <w:color w:val="auto"/>
          <w:sz w:val="24"/>
          <w:szCs w:val="24"/>
        </w:rPr>
        <w:t xml:space="preserve">Wykres </w:t>
      </w:r>
      <w:r w:rsidR="00E11D23" w:rsidRPr="00237760">
        <w:rPr>
          <w:rFonts w:ascii="Arial" w:hAnsi="Arial" w:cs="Arial"/>
          <w:color w:val="auto"/>
          <w:sz w:val="24"/>
          <w:szCs w:val="24"/>
        </w:rPr>
        <w:fldChar w:fldCharType="begin"/>
      </w:r>
      <w:r w:rsidR="00E11D23" w:rsidRPr="00237760">
        <w:rPr>
          <w:rFonts w:ascii="Arial" w:hAnsi="Arial" w:cs="Arial"/>
          <w:color w:val="auto"/>
          <w:sz w:val="24"/>
          <w:szCs w:val="24"/>
        </w:rPr>
        <w:instrText>SEQ Wykres \* ARABIC</w:instrText>
      </w:r>
      <w:r w:rsidR="00E11D23" w:rsidRPr="00237760">
        <w:rPr>
          <w:rFonts w:ascii="Arial" w:hAnsi="Arial" w:cs="Arial"/>
          <w:color w:val="auto"/>
          <w:sz w:val="24"/>
          <w:szCs w:val="24"/>
        </w:rPr>
        <w:fldChar w:fldCharType="separate"/>
      </w:r>
      <w:r w:rsidR="00E52C19" w:rsidRPr="00237760">
        <w:rPr>
          <w:rFonts w:ascii="Arial" w:hAnsi="Arial" w:cs="Arial"/>
          <w:noProof/>
          <w:color w:val="auto"/>
          <w:sz w:val="24"/>
          <w:szCs w:val="24"/>
        </w:rPr>
        <w:t>12</w:t>
      </w:r>
      <w:r w:rsidR="00E11D23" w:rsidRPr="00237760">
        <w:rPr>
          <w:rFonts w:ascii="Arial" w:hAnsi="Arial" w:cs="Arial"/>
          <w:color w:val="auto"/>
          <w:sz w:val="24"/>
          <w:szCs w:val="24"/>
        </w:rPr>
        <w:fldChar w:fldCharType="end"/>
      </w:r>
      <w:bookmarkEnd w:id="326"/>
      <w:r w:rsidRPr="00237760">
        <w:rPr>
          <w:rFonts w:ascii="Arial" w:hAnsi="Arial" w:cs="Arial"/>
          <w:color w:val="auto"/>
          <w:sz w:val="24"/>
          <w:szCs w:val="24"/>
        </w:rPr>
        <w:t>. Przewozy pasażerów środkami komunikacji miejskiej – trend wskaźnika w latach 2009-2020 i prognoza do 2030 roku</w:t>
      </w:r>
      <w:bookmarkEnd w:id="327"/>
    </w:p>
    <w:p w14:paraId="3B1C6768" w14:textId="203305B4" w:rsidR="001E558C" w:rsidRDefault="001E558C" w:rsidP="009367B4">
      <w:pPr>
        <w:rPr>
          <w:lang w:eastAsia="pl-PL"/>
        </w:rPr>
      </w:pPr>
      <w:r w:rsidRPr="00237760">
        <w:rPr>
          <w:rFonts w:ascii="Arial" w:hAnsi="Arial" w:cs="Arial"/>
          <w:noProof/>
          <w:color w:val="auto"/>
          <w:sz w:val="24"/>
          <w:szCs w:val="24"/>
          <w:lang w:eastAsia="pl-PL"/>
        </w:rPr>
        <w:drawing>
          <wp:inline distT="0" distB="0" distL="0" distR="0" wp14:anchorId="0ADE0876" wp14:editId="5581424C">
            <wp:extent cx="5741035" cy="2763520"/>
            <wp:effectExtent l="0" t="0" r="0" b="0"/>
            <wp:docPr id="16" name="Wykres 16" descr="Przewozy pasażerów środkami komunikacji miejskiej drastycznie spadły w 2020 roku. W 2019 roku były bliskie wartości docelowej."/>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B215DBA" w14:textId="77777777" w:rsidR="00751D5A" w:rsidRDefault="007E19FC" w:rsidP="00751D5A">
      <w:pPr>
        <w:pStyle w:val="Legenda"/>
        <w:jc w:val="left"/>
        <w:rPr>
          <w:rFonts w:ascii="Arial" w:hAnsi="Arial" w:cs="Arial"/>
          <w:color w:val="auto"/>
          <w:sz w:val="24"/>
          <w:szCs w:val="24"/>
        </w:rPr>
      </w:pPr>
      <w:r w:rsidRPr="00237760">
        <w:rPr>
          <w:rFonts w:ascii="Arial" w:hAnsi="Arial" w:cs="Arial"/>
          <w:b w:val="0"/>
          <w:color w:val="auto"/>
          <w:sz w:val="24"/>
          <w:szCs w:val="24"/>
        </w:rPr>
        <w:t>Źródło: opracowanie własne na podstawie danych BDL GUS.</w:t>
      </w:r>
    </w:p>
    <w:p w14:paraId="73CBE3BF" w14:textId="77777777" w:rsidR="00751D5A" w:rsidRDefault="00751D5A">
      <w:pPr>
        <w:spacing w:after="160" w:line="259" w:lineRule="auto"/>
        <w:jc w:val="left"/>
        <w:rPr>
          <w:rFonts w:ascii="Arial" w:eastAsia="Times New Roman" w:hAnsi="Arial" w:cs="Arial"/>
          <w:b/>
          <w:bCs/>
          <w:color w:val="auto"/>
          <w:sz w:val="24"/>
          <w:szCs w:val="24"/>
          <w:lang w:eastAsia="pl-PL"/>
        </w:rPr>
      </w:pPr>
      <w:r>
        <w:rPr>
          <w:rFonts w:ascii="Arial" w:hAnsi="Arial" w:cs="Arial"/>
          <w:color w:val="auto"/>
          <w:sz w:val="24"/>
          <w:szCs w:val="24"/>
        </w:rPr>
        <w:br w:type="page"/>
      </w:r>
    </w:p>
    <w:p w14:paraId="7C23B28D" w14:textId="26828D1A" w:rsidR="00B8582A" w:rsidRDefault="00B8582A" w:rsidP="009367B4">
      <w:pPr>
        <w:pStyle w:val="Legenda"/>
        <w:jc w:val="left"/>
        <w:rPr>
          <w:rFonts w:ascii="Arial" w:hAnsi="Arial" w:cs="Arial"/>
          <w:color w:val="auto"/>
          <w:sz w:val="24"/>
          <w:szCs w:val="24"/>
        </w:rPr>
      </w:pPr>
      <w:bookmarkStart w:id="328" w:name="_Ref99547488"/>
      <w:bookmarkStart w:id="329" w:name="_Toc101904235"/>
      <w:r w:rsidRPr="00237760">
        <w:rPr>
          <w:rFonts w:ascii="Arial" w:hAnsi="Arial" w:cs="Arial"/>
          <w:color w:val="auto"/>
          <w:sz w:val="24"/>
          <w:szCs w:val="24"/>
        </w:rPr>
        <w:lastRenderedPageBreak/>
        <w:t xml:space="preserve">Wykres </w:t>
      </w:r>
      <w:r w:rsidRPr="00237760">
        <w:rPr>
          <w:rFonts w:ascii="Arial" w:hAnsi="Arial" w:cs="Arial"/>
          <w:color w:val="auto"/>
          <w:sz w:val="24"/>
          <w:szCs w:val="24"/>
        </w:rPr>
        <w:fldChar w:fldCharType="begin"/>
      </w:r>
      <w:r w:rsidRPr="00237760">
        <w:rPr>
          <w:rFonts w:ascii="Arial" w:hAnsi="Arial" w:cs="Arial"/>
          <w:color w:val="auto"/>
          <w:sz w:val="24"/>
          <w:szCs w:val="24"/>
        </w:rPr>
        <w:instrText>SEQ Wykres \* ARABIC</w:instrText>
      </w:r>
      <w:r w:rsidRPr="00237760">
        <w:rPr>
          <w:rFonts w:ascii="Arial" w:hAnsi="Arial" w:cs="Arial"/>
          <w:color w:val="auto"/>
          <w:sz w:val="24"/>
          <w:szCs w:val="24"/>
        </w:rPr>
        <w:fldChar w:fldCharType="separate"/>
      </w:r>
      <w:r w:rsidR="00E52C19" w:rsidRPr="00237760">
        <w:rPr>
          <w:rFonts w:ascii="Arial" w:hAnsi="Arial" w:cs="Arial"/>
          <w:noProof/>
          <w:color w:val="auto"/>
          <w:sz w:val="24"/>
          <w:szCs w:val="24"/>
        </w:rPr>
        <w:t>13</w:t>
      </w:r>
      <w:r w:rsidRPr="00237760">
        <w:rPr>
          <w:rFonts w:ascii="Arial" w:hAnsi="Arial" w:cs="Arial"/>
          <w:color w:val="auto"/>
          <w:sz w:val="24"/>
          <w:szCs w:val="24"/>
        </w:rPr>
        <w:fldChar w:fldCharType="end"/>
      </w:r>
      <w:bookmarkEnd w:id="328"/>
      <w:r w:rsidRPr="00237760">
        <w:rPr>
          <w:rFonts w:ascii="Arial" w:hAnsi="Arial" w:cs="Arial"/>
          <w:color w:val="auto"/>
          <w:sz w:val="24"/>
          <w:szCs w:val="24"/>
        </w:rPr>
        <w:t>. Długość zelektryfikowanych linii kolejowych – trend wskaźnika w latach 1999-2020 i prognoza do 2030 roku</w:t>
      </w:r>
      <w:bookmarkEnd w:id="329"/>
    </w:p>
    <w:p w14:paraId="5A1A097C" w14:textId="705182D8" w:rsidR="001E558C" w:rsidRDefault="001E558C" w:rsidP="009367B4">
      <w:pPr>
        <w:rPr>
          <w:lang w:eastAsia="pl-PL"/>
        </w:rPr>
      </w:pPr>
      <w:r w:rsidRPr="00237760">
        <w:rPr>
          <w:rFonts w:ascii="Arial" w:hAnsi="Arial" w:cs="Arial"/>
          <w:noProof/>
          <w:color w:val="auto"/>
          <w:sz w:val="24"/>
          <w:szCs w:val="24"/>
          <w:lang w:eastAsia="pl-PL"/>
        </w:rPr>
        <w:drawing>
          <wp:inline distT="0" distB="0" distL="0" distR="0" wp14:anchorId="34702A34" wp14:editId="7008F409">
            <wp:extent cx="5760720" cy="2689860"/>
            <wp:effectExtent l="0" t="0" r="0" b="0"/>
            <wp:docPr id="17" name="Wykres 17" descr="Długość zelektryfikowanych linii kolejowych wzrasta powoli i jest daleka od wartości docelowej."/>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87686F5" w14:textId="4847BE9D" w:rsidR="007E19FC" w:rsidRPr="00237760" w:rsidRDefault="00B8582A" w:rsidP="009367B4">
      <w:pPr>
        <w:pStyle w:val="Legenda"/>
        <w:jc w:val="left"/>
        <w:rPr>
          <w:rFonts w:ascii="Arial" w:hAnsi="Arial" w:cs="Arial"/>
          <w:b w:val="0"/>
          <w:color w:val="auto"/>
          <w:sz w:val="24"/>
          <w:szCs w:val="24"/>
        </w:rPr>
      </w:pPr>
      <w:r w:rsidRPr="00237760">
        <w:rPr>
          <w:rFonts w:ascii="Arial" w:hAnsi="Arial" w:cs="Arial"/>
          <w:b w:val="0"/>
          <w:color w:val="auto"/>
          <w:sz w:val="24"/>
          <w:szCs w:val="24"/>
        </w:rPr>
        <w:t>Źródło: opracowanie własne na podstawie danych BDL GUS.</w:t>
      </w:r>
    </w:p>
    <w:p w14:paraId="576FACBF" w14:textId="77777777" w:rsidR="007E19FC" w:rsidRPr="00237760" w:rsidRDefault="007E19FC" w:rsidP="009367B4">
      <w:pPr>
        <w:jc w:val="left"/>
        <w:rPr>
          <w:rFonts w:ascii="Arial" w:hAnsi="Arial" w:cs="Arial"/>
          <w:color w:val="auto"/>
          <w:sz w:val="24"/>
          <w:szCs w:val="24"/>
          <w:lang w:eastAsia="pl-PL"/>
        </w:rPr>
      </w:pPr>
    </w:p>
    <w:p w14:paraId="3043B64B" w14:textId="1A966F0F" w:rsidR="001E558C" w:rsidRPr="001E558C" w:rsidRDefault="00A60328" w:rsidP="009367B4">
      <w:pPr>
        <w:pStyle w:val="Legenda"/>
        <w:jc w:val="left"/>
        <w:rPr>
          <w:rFonts w:ascii="Arial" w:hAnsi="Arial" w:cs="Arial"/>
          <w:color w:val="auto"/>
          <w:sz w:val="24"/>
          <w:szCs w:val="24"/>
        </w:rPr>
      </w:pPr>
      <w:bookmarkStart w:id="330" w:name="_Ref99547504"/>
      <w:bookmarkStart w:id="331" w:name="_Toc101904236"/>
      <w:r w:rsidRPr="00237760">
        <w:rPr>
          <w:rFonts w:ascii="Arial" w:hAnsi="Arial" w:cs="Arial"/>
          <w:color w:val="auto"/>
          <w:sz w:val="24"/>
          <w:szCs w:val="24"/>
        </w:rPr>
        <w:t xml:space="preserve">Wykres </w:t>
      </w:r>
      <w:r w:rsidRPr="00237760">
        <w:rPr>
          <w:rFonts w:ascii="Arial" w:hAnsi="Arial" w:cs="Arial"/>
          <w:color w:val="auto"/>
          <w:sz w:val="24"/>
          <w:szCs w:val="24"/>
        </w:rPr>
        <w:fldChar w:fldCharType="begin"/>
      </w:r>
      <w:r w:rsidRPr="00237760">
        <w:rPr>
          <w:rFonts w:ascii="Arial" w:hAnsi="Arial" w:cs="Arial"/>
          <w:color w:val="auto"/>
          <w:sz w:val="24"/>
          <w:szCs w:val="24"/>
        </w:rPr>
        <w:instrText>SEQ Wykres \* ARABIC</w:instrText>
      </w:r>
      <w:r w:rsidRPr="00237760">
        <w:rPr>
          <w:rFonts w:ascii="Arial" w:hAnsi="Arial" w:cs="Arial"/>
          <w:color w:val="auto"/>
          <w:sz w:val="24"/>
          <w:szCs w:val="24"/>
        </w:rPr>
        <w:fldChar w:fldCharType="separate"/>
      </w:r>
      <w:r w:rsidR="00E52C19" w:rsidRPr="00237760">
        <w:rPr>
          <w:rFonts w:ascii="Arial" w:hAnsi="Arial" w:cs="Arial"/>
          <w:noProof/>
          <w:color w:val="auto"/>
          <w:sz w:val="24"/>
          <w:szCs w:val="24"/>
        </w:rPr>
        <w:t>14</w:t>
      </w:r>
      <w:r w:rsidRPr="00237760">
        <w:rPr>
          <w:rFonts w:ascii="Arial" w:hAnsi="Arial" w:cs="Arial"/>
          <w:color w:val="auto"/>
          <w:sz w:val="24"/>
          <w:szCs w:val="24"/>
        </w:rPr>
        <w:fldChar w:fldCharType="end"/>
      </w:r>
      <w:bookmarkEnd w:id="330"/>
      <w:r w:rsidRPr="00237760">
        <w:rPr>
          <w:rFonts w:ascii="Arial" w:hAnsi="Arial" w:cs="Arial"/>
          <w:color w:val="auto"/>
          <w:sz w:val="24"/>
          <w:szCs w:val="24"/>
        </w:rPr>
        <w:t>. Liczba parkingów w systemie Parkuj i Jedź (Park &amp; Ride) – trend wskaźnika w latach 2016-2020</w:t>
      </w:r>
      <w:bookmarkEnd w:id="331"/>
    </w:p>
    <w:p w14:paraId="312D10E6" w14:textId="64FEE66E" w:rsidR="001E558C" w:rsidRPr="001E558C" w:rsidRDefault="001E558C" w:rsidP="009367B4">
      <w:pPr>
        <w:rPr>
          <w:lang w:eastAsia="pl-PL"/>
        </w:rPr>
      </w:pPr>
      <w:r w:rsidRPr="00237760">
        <w:rPr>
          <w:rFonts w:ascii="Arial" w:hAnsi="Arial" w:cs="Arial"/>
          <w:noProof/>
          <w:color w:val="auto"/>
          <w:sz w:val="24"/>
          <w:szCs w:val="24"/>
          <w:lang w:eastAsia="pl-PL"/>
        </w:rPr>
        <w:drawing>
          <wp:inline distT="0" distB="0" distL="0" distR="0" wp14:anchorId="6A2AFFFC" wp14:editId="746D27A2">
            <wp:extent cx="5666740" cy="2051685"/>
            <wp:effectExtent l="0" t="0" r="0" b="5715"/>
            <wp:docPr id="18" name="Wykres 18" descr="Liczba parkingów w systemie Parkuj i Jedź rośnie sukcesywnie. Trend wzrostu sugeruje realne osiągnięcie wartości docelowej."/>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C458B6D" w14:textId="77777777" w:rsidR="00A60328" w:rsidRPr="00237760" w:rsidRDefault="00A60328" w:rsidP="009367B4">
      <w:pPr>
        <w:pStyle w:val="Legenda"/>
        <w:jc w:val="left"/>
        <w:rPr>
          <w:rFonts w:ascii="Arial" w:hAnsi="Arial" w:cs="Arial"/>
          <w:b w:val="0"/>
          <w:color w:val="auto"/>
          <w:sz w:val="24"/>
          <w:szCs w:val="24"/>
        </w:rPr>
      </w:pPr>
      <w:r w:rsidRPr="00237760">
        <w:rPr>
          <w:rFonts w:ascii="Arial" w:hAnsi="Arial" w:cs="Arial"/>
          <w:b w:val="0"/>
          <w:color w:val="auto"/>
          <w:sz w:val="24"/>
          <w:szCs w:val="24"/>
        </w:rPr>
        <w:t>Źródło: opracowanie własne na podstawie danych BDL GUS.</w:t>
      </w:r>
    </w:p>
    <w:p w14:paraId="551845FF" w14:textId="182F5A02" w:rsidR="001E558C" w:rsidRDefault="001E558C" w:rsidP="009367B4">
      <w:pPr>
        <w:spacing w:after="160" w:line="259" w:lineRule="auto"/>
        <w:jc w:val="left"/>
        <w:rPr>
          <w:rFonts w:ascii="Arial" w:hAnsi="Arial" w:cs="Arial"/>
          <w:color w:val="auto"/>
          <w:sz w:val="24"/>
          <w:szCs w:val="24"/>
          <w:lang w:eastAsia="pl-PL"/>
        </w:rPr>
      </w:pPr>
      <w:r>
        <w:rPr>
          <w:rFonts w:ascii="Arial" w:hAnsi="Arial" w:cs="Arial"/>
          <w:color w:val="auto"/>
          <w:sz w:val="24"/>
          <w:szCs w:val="24"/>
          <w:lang w:eastAsia="pl-PL"/>
        </w:rPr>
        <w:br w:type="page"/>
      </w:r>
    </w:p>
    <w:p w14:paraId="6B9CC41C" w14:textId="77777777" w:rsidR="00586311" w:rsidRPr="00237760" w:rsidRDefault="00586311" w:rsidP="009367B4">
      <w:pPr>
        <w:jc w:val="left"/>
        <w:rPr>
          <w:rFonts w:ascii="Arial" w:hAnsi="Arial" w:cs="Arial"/>
          <w:color w:val="auto"/>
          <w:sz w:val="24"/>
          <w:szCs w:val="24"/>
          <w:lang w:eastAsia="pl-PL"/>
        </w:rPr>
      </w:pPr>
    </w:p>
    <w:p w14:paraId="69EC7CF0" w14:textId="6FB11E22" w:rsidR="009333AE" w:rsidRDefault="009333AE" w:rsidP="009367B4">
      <w:pPr>
        <w:pStyle w:val="Legenda"/>
        <w:jc w:val="left"/>
        <w:rPr>
          <w:rFonts w:ascii="Arial" w:hAnsi="Arial" w:cs="Arial"/>
          <w:color w:val="auto"/>
          <w:sz w:val="24"/>
          <w:szCs w:val="24"/>
        </w:rPr>
      </w:pPr>
      <w:bookmarkStart w:id="332" w:name="_Ref99547592"/>
      <w:bookmarkStart w:id="333" w:name="_Toc101904237"/>
      <w:r w:rsidRPr="00237760">
        <w:rPr>
          <w:rFonts w:ascii="Arial" w:hAnsi="Arial" w:cs="Arial"/>
          <w:color w:val="auto"/>
          <w:sz w:val="24"/>
          <w:szCs w:val="24"/>
        </w:rPr>
        <w:t xml:space="preserve">Wykres </w:t>
      </w:r>
      <w:r w:rsidRPr="00237760">
        <w:rPr>
          <w:rFonts w:ascii="Arial" w:hAnsi="Arial" w:cs="Arial"/>
          <w:color w:val="auto"/>
          <w:sz w:val="24"/>
          <w:szCs w:val="24"/>
        </w:rPr>
        <w:fldChar w:fldCharType="begin"/>
      </w:r>
      <w:r w:rsidRPr="00237760">
        <w:rPr>
          <w:rFonts w:ascii="Arial" w:hAnsi="Arial" w:cs="Arial"/>
          <w:color w:val="auto"/>
          <w:sz w:val="24"/>
          <w:szCs w:val="24"/>
        </w:rPr>
        <w:instrText>SEQ Wykres \* ARABIC</w:instrText>
      </w:r>
      <w:r w:rsidRPr="00237760">
        <w:rPr>
          <w:rFonts w:ascii="Arial" w:hAnsi="Arial" w:cs="Arial"/>
          <w:color w:val="auto"/>
          <w:sz w:val="24"/>
          <w:szCs w:val="24"/>
        </w:rPr>
        <w:fldChar w:fldCharType="separate"/>
      </w:r>
      <w:r w:rsidR="00E52C19" w:rsidRPr="00237760">
        <w:rPr>
          <w:rFonts w:ascii="Arial" w:hAnsi="Arial" w:cs="Arial"/>
          <w:noProof/>
          <w:color w:val="auto"/>
          <w:sz w:val="24"/>
          <w:szCs w:val="24"/>
        </w:rPr>
        <w:t>15</w:t>
      </w:r>
      <w:r w:rsidRPr="00237760">
        <w:rPr>
          <w:rFonts w:ascii="Arial" w:hAnsi="Arial" w:cs="Arial"/>
          <w:color w:val="auto"/>
          <w:sz w:val="24"/>
          <w:szCs w:val="24"/>
        </w:rPr>
        <w:fldChar w:fldCharType="end"/>
      </w:r>
      <w:bookmarkEnd w:id="332"/>
      <w:r w:rsidRPr="00237760">
        <w:rPr>
          <w:rFonts w:ascii="Arial" w:hAnsi="Arial" w:cs="Arial"/>
          <w:color w:val="auto"/>
          <w:sz w:val="24"/>
          <w:szCs w:val="24"/>
        </w:rPr>
        <w:t>. Liczba przystanków autobusowych – trend wskaźnika w latach 2018-2020 i prognoza do 2030 roku</w:t>
      </w:r>
      <w:bookmarkEnd w:id="333"/>
    </w:p>
    <w:p w14:paraId="6FF5B7A5" w14:textId="24B4C2E3" w:rsidR="001E558C" w:rsidRPr="001E558C" w:rsidRDefault="001E558C" w:rsidP="009367B4">
      <w:pPr>
        <w:rPr>
          <w:lang w:eastAsia="pl-PL"/>
        </w:rPr>
      </w:pPr>
      <w:r w:rsidRPr="00237760">
        <w:rPr>
          <w:rFonts w:ascii="Arial" w:hAnsi="Arial" w:cs="Arial"/>
          <w:noProof/>
          <w:color w:val="auto"/>
          <w:sz w:val="24"/>
          <w:szCs w:val="24"/>
          <w:lang w:eastAsia="pl-PL"/>
        </w:rPr>
        <w:drawing>
          <wp:inline distT="0" distB="0" distL="0" distR="0" wp14:anchorId="4220BFAD" wp14:editId="2E138B30">
            <wp:extent cx="5730240" cy="2551430"/>
            <wp:effectExtent l="0" t="0" r="3810" b="1270"/>
            <wp:docPr id="19" name="Wykres 19" descr="Liczba przystanków autobusowych osiągnęła wartość powyżej wartości docelowej."/>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5DB9ABA" w14:textId="2741DC7F" w:rsidR="00087B24" w:rsidRPr="00237760" w:rsidRDefault="00087B24" w:rsidP="009367B4">
      <w:pPr>
        <w:jc w:val="left"/>
        <w:rPr>
          <w:rFonts w:ascii="Arial" w:hAnsi="Arial" w:cs="Arial"/>
          <w:color w:val="auto"/>
          <w:sz w:val="24"/>
          <w:szCs w:val="24"/>
          <w:lang w:eastAsia="pl-PL"/>
        </w:rPr>
      </w:pPr>
      <w:r w:rsidRPr="00237760">
        <w:rPr>
          <w:rFonts w:ascii="Arial" w:hAnsi="Arial" w:cs="Arial"/>
          <w:color w:val="auto"/>
          <w:sz w:val="24"/>
          <w:szCs w:val="24"/>
        </w:rPr>
        <w:t>Źródło: opracowanie własne na podstawie danych BDL GUS.</w:t>
      </w:r>
    </w:p>
    <w:p w14:paraId="094AC7B4" w14:textId="77777777" w:rsidR="007E19FC" w:rsidRPr="00237760" w:rsidRDefault="007E19FC" w:rsidP="009367B4">
      <w:pPr>
        <w:jc w:val="left"/>
        <w:rPr>
          <w:rFonts w:ascii="Arial" w:hAnsi="Arial" w:cs="Arial"/>
          <w:color w:val="auto"/>
          <w:sz w:val="24"/>
          <w:szCs w:val="24"/>
          <w:lang w:eastAsia="pl-PL"/>
        </w:rPr>
      </w:pPr>
    </w:p>
    <w:p w14:paraId="7E59348D" w14:textId="2D2C8FFC" w:rsidR="007E19FC" w:rsidRDefault="00087B24" w:rsidP="009367B4">
      <w:pPr>
        <w:pStyle w:val="Legenda"/>
        <w:jc w:val="left"/>
        <w:rPr>
          <w:rFonts w:ascii="Arial" w:hAnsi="Arial" w:cs="Arial"/>
          <w:color w:val="auto"/>
          <w:sz w:val="24"/>
          <w:szCs w:val="24"/>
        </w:rPr>
      </w:pPr>
      <w:bookmarkStart w:id="334" w:name="_Ref99547688"/>
      <w:bookmarkStart w:id="335" w:name="_Toc101904238"/>
      <w:r w:rsidRPr="00237760">
        <w:rPr>
          <w:rFonts w:ascii="Arial" w:hAnsi="Arial" w:cs="Arial"/>
          <w:color w:val="auto"/>
          <w:sz w:val="24"/>
          <w:szCs w:val="24"/>
        </w:rPr>
        <w:t xml:space="preserve">Wykres </w:t>
      </w:r>
      <w:r w:rsidRPr="00237760">
        <w:rPr>
          <w:rFonts w:ascii="Arial" w:hAnsi="Arial" w:cs="Arial"/>
          <w:color w:val="auto"/>
          <w:sz w:val="24"/>
          <w:szCs w:val="24"/>
        </w:rPr>
        <w:fldChar w:fldCharType="begin"/>
      </w:r>
      <w:r w:rsidRPr="00237760">
        <w:rPr>
          <w:rFonts w:ascii="Arial" w:hAnsi="Arial" w:cs="Arial"/>
          <w:color w:val="auto"/>
          <w:sz w:val="24"/>
          <w:szCs w:val="24"/>
        </w:rPr>
        <w:instrText>SEQ Wykres \* ARABIC</w:instrText>
      </w:r>
      <w:r w:rsidRPr="00237760">
        <w:rPr>
          <w:rFonts w:ascii="Arial" w:hAnsi="Arial" w:cs="Arial"/>
          <w:color w:val="auto"/>
          <w:sz w:val="24"/>
          <w:szCs w:val="24"/>
        </w:rPr>
        <w:fldChar w:fldCharType="separate"/>
      </w:r>
      <w:r w:rsidR="00E52C19" w:rsidRPr="00237760">
        <w:rPr>
          <w:rFonts w:ascii="Arial" w:hAnsi="Arial" w:cs="Arial"/>
          <w:noProof/>
          <w:color w:val="auto"/>
          <w:sz w:val="24"/>
          <w:szCs w:val="24"/>
        </w:rPr>
        <w:t>16</w:t>
      </w:r>
      <w:r w:rsidRPr="00237760">
        <w:rPr>
          <w:rFonts w:ascii="Arial" w:hAnsi="Arial" w:cs="Arial"/>
          <w:color w:val="auto"/>
          <w:sz w:val="24"/>
          <w:szCs w:val="24"/>
        </w:rPr>
        <w:fldChar w:fldCharType="end"/>
      </w:r>
      <w:bookmarkEnd w:id="334"/>
      <w:r w:rsidRPr="00237760">
        <w:rPr>
          <w:rFonts w:ascii="Arial" w:hAnsi="Arial" w:cs="Arial"/>
          <w:color w:val="auto"/>
          <w:sz w:val="24"/>
          <w:szCs w:val="24"/>
        </w:rPr>
        <w:t>. Liczba autobusów komunikacji miejskiej przystosowanych do przewozu osób niepełnosprawnych – trend wskaźnika w latach 2009-2020 i prognoza do 2030 roku</w:t>
      </w:r>
      <w:bookmarkEnd w:id="335"/>
    </w:p>
    <w:p w14:paraId="3BB92ECD" w14:textId="219C908A" w:rsidR="001E558C" w:rsidRPr="001E558C" w:rsidRDefault="001E558C" w:rsidP="009367B4">
      <w:pPr>
        <w:rPr>
          <w:lang w:eastAsia="pl-PL"/>
        </w:rPr>
      </w:pPr>
      <w:r w:rsidRPr="00237760">
        <w:rPr>
          <w:rFonts w:ascii="Arial" w:hAnsi="Arial" w:cs="Arial"/>
          <w:noProof/>
          <w:color w:val="auto"/>
          <w:sz w:val="24"/>
          <w:szCs w:val="24"/>
          <w:lang w:eastAsia="pl-PL"/>
        </w:rPr>
        <w:drawing>
          <wp:inline distT="0" distB="0" distL="0" distR="0" wp14:anchorId="5AA562D8" wp14:editId="7B3B05F0">
            <wp:extent cx="5741035" cy="2562225"/>
            <wp:effectExtent l="0" t="0" r="0" b="0"/>
            <wp:docPr id="20" name="Wykres 20" descr="Liczba autobusów komunikacji miejskiej przystosowanych do przewozu osób niepełnosprawnych rośnie sukcesywnie. Utrzymujący się trend wzrostu pozwoli osiągnąć wartość docelową w najbliższym czasie."/>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CABD19E" w14:textId="3B83F5F9" w:rsidR="00751D5A" w:rsidRDefault="00087B24" w:rsidP="009367B4">
      <w:pPr>
        <w:pStyle w:val="Legenda"/>
        <w:jc w:val="left"/>
        <w:rPr>
          <w:rFonts w:ascii="Arial" w:hAnsi="Arial" w:cs="Arial"/>
          <w:color w:val="auto"/>
          <w:sz w:val="24"/>
          <w:szCs w:val="24"/>
        </w:rPr>
      </w:pPr>
      <w:r w:rsidRPr="00237760">
        <w:rPr>
          <w:rFonts w:ascii="Arial" w:hAnsi="Arial" w:cs="Arial"/>
          <w:b w:val="0"/>
          <w:color w:val="auto"/>
          <w:sz w:val="24"/>
          <w:szCs w:val="24"/>
        </w:rPr>
        <w:t>Źródło: opracowanie własne na podstawie danych BDL GUS.</w:t>
      </w:r>
    </w:p>
    <w:p w14:paraId="50803749" w14:textId="77777777" w:rsidR="00751D5A" w:rsidRDefault="00751D5A">
      <w:pPr>
        <w:spacing w:after="160" w:line="259" w:lineRule="auto"/>
        <w:jc w:val="left"/>
        <w:rPr>
          <w:rFonts w:ascii="Arial" w:eastAsia="Times New Roman" w:hAnsi="Arial" w:cs="Arial"/>
          <w:b/>
          <w:bCs/>
          <w:color w:val="auto"/>
          <w:sz w:val="24"/>
          <w:szCs w:val="24"/>
          <w:lang w:eastAsia="pl-PL"/>
        </w:rPr>
      </w:pPr>
      <w:r>
        <w:rPr>
          <w:rFonts w:ascii="Arial" w:hAnsi="Arial" w:cs="Arial"/>
          <w:color w:val="auto"/>
          <w:sz w:val="24"/>
          <w:szCs w:val="24"/>
        </w:rPr>
        <w:br w:type="page"/>
      </w:r>
    </w:p>
    <w:p w14:paraId="40344863" w14:textId="4A1F4460" w:rsidR="00967DB8" w:rsidRDefault="00967DB8" w:rsidP="009367B4">
      <w:pPr>
        <w:pStyle w:val="Legenda"/>
        <w:jc w:val="left"/>
        <w:rPr>
          <w:rFonts w:ascii="Arial" w:hAnsi="Arial" w:cs="Arial"/>
          <w:color w:val="auto"/>
          <w:sz w:val="24"/>
          <w:szCs w:val="24"/>
        </w:rPr>
      </w:pPr>
      <w:bookmarkStart w:id="336" w:name="_Ref99547708"/>
      <w:bookmarkStart w:id="337" w:name="_Toc101904239"/>
      <w:r w:rsidRPr="00237760">
        <w:rPr>
          <w:rFonts w:ascii="Arial" w:hAnsi="Arial" w:cs="Arial"/>
          <w:color w:val="auto"/>
          <w:sz w:val="24"/>
          <w:szCs w:val="24"/>
        </w:rPr>
        <w:lastRenderedPageBreak/>
        <w:t xml:space="preserve">Wykres </w:t>
      </w:r>
      <w:r w:rsidR="00DA54FC" w:rsidRPr="00237760">
        <w:rPr>
          <w:rFonts w:ascii="Arial" w:hAnsi="Arial" w:cs="Arial"/>
          <w:color w:val="auto"/>
          <w:sz w:val="24"/>
          <w:szCs w:val="24"/>
        </w:rPr>
        <w:fldChar w:fldCharType="begin"/>
      </w:r>
      <w:r w:rsidR="00DA54FC" w:rsidRPr="00237760">
        <w:rPr>
          <w:rFonts w:ascii="Arial" w:hAnsi="Arial" w:cs="Arial"/>
          <w:color w:val="auto"/>
          <w:sz w:val="24"/>
          <w:szCs w:val="24"/>
        </w:rPr>
        <w:instrText>SEQ Wykres \* ARABIC</w:instrText>
      </w:r>
      <w:r w:rsidR="00DA54FC" w:rsidRPr="00237760">
        <w:rPr>
          <w:rFonts w:ascii="Arial" w:hAnsi="Arial" w:cs="Arial"/>
          <w:color w:val="auto"/>
          <w:sz w:val="24"/>
          <w:szCs w:val="24"/>
        </w:rPr>
        <w:fldChar w:fldCharType="separate"/>
      </w:r>
      <w:r w:rsidR="00E52C19" w:rsidRPr="00237760">
        <w:rPr>
          <w:rFonts w:ascii="Arial" w:hAnsi="Arial" w:cs="Arial"/>
          <w:noProof/>
          <w:color w:val="auto"/>
          <w:sz w:val="24"/>
          <w:szCs w:val="24"/>
        </w:rPr>
        <w:t>17</w:t>
      </w:r>
      <w:r w:rsidR="00DA54FC" w:rsidRPr="00237760">
        <w:rPr>
          <w:rFonts w:ascii="Arial" w:hAnsi="Arial" w:cs="Arial"/>
          <w:color w:val="auto"/>
          <w:sz w:val="24"/>
          <w:szCs w:val="24"/>
        </w:rPr>
        <w:fldChar w:fldCharType="end"/>
      </w:r>
      <w:bookmarkEnd w:id="336"/>
      <w:r w:rsidRPr="00237760">
        <w:rPr>
          <w:rFonts w:ascii="Arial" w:hAnsi="Arial" w:cs="Arial"/>
          <w:color w:val="auto"/>
          <w:sz w:val="24"/>
          <w:szCs w:val="24"/>
        </w:rPr>
        <w:t>. Długość ścieżek rowerowych (km) – trend wskaźnika w latach 2011-2020 i prognoza do 2030 roku</w:t>
      </w:r>
      <w:bookmarkEnd w:id="337"/>
    </w:p>
    <w:p w14:paraId="65250D7C" w14:textId="53B7FB9A" w:rsidR="001E558C" w:rsidRDefault="001E558C" w:rsidP="009367B4">
      <w:pPr>
        <w:rPr>
          <w:lang w:eastAsia="pl-PL"/>
        </w:rPr>
      </w:pPr>
      <w:r w:rsidRPr="00237760">
        <w:rPr>
          <w:rFonts w:ascii="Arial" w:hAnsi="Arial" w:cs="Arial"/>
          <w:noProof/>
          <w:color w:val="auto"/>
          <w:sz w:val="24"/>
          <w:szCs w:val="24"/>
          <w:lang w:eastAsia="pl-PL"/>
        </w:rPr>
        <w:drawing>
          <wp:inline distT="0" distB="0" distL="0" distR="0" wp14:anchorId="543C31FD" wp14:editId="24569818">
            <wp:extent cx="5751195" cy="2689860"/>
            <wp:effectExtent l="0" t="0" r="1905" b="0"/>
            <wp:docPr id="21" name="Wykres 21" descr="Długość ścieżek rowerowych rośnie powoli i jest daleka od zakładanej wartości docelowej."/>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8E2A2DF" w14:textId="77777777" w:rsidR="00DA54FC" w:rsidRPr="00237760" w:rsidRDefault="00DA54FC" w:rsidP="009367B4">
      <w:pPr>
        <w:pStyle w:val="Legenda"/>
        <w:jc w:val="left"/>
        <w:rPr>
          <w:rFonts w:ascii="Arial" w:hAnsi="Arial" w:cs="Arial"/>
          <w:b w:val="0"/>
          <w:color w:val="auto"/>
          <w:sz w:val="24"/>
          <w:szCs w:val="24"/>
        </w:rPr>
      </w:pPr>
      <w:r w:rsidRPr="00237760">
        <w:rPr>
          <w:rFonts w:ascii="Arial" w:hAnsi="Arial" w:cs="Arial"/>
          <w:b w:val="0"/>
          <w:color w:val="auto"/>
          <w:sz w:val="24"/>
          <w:szCs w:val="24"/>
        </w:rPr>
        <w:t>Źródło: opracowanie własne na podstawie danych BDL GUS.</w:t>
      </w:r>
    </w:p>
    <w:p w14:paraId="1E480BB8" w14:textId="29159AC0" w:rsidR="007E19FC" w:rsidRPr="00237760" w:rsidRDefault="00967DB8" w:rsidP="009367B4">
      <w:pPr>
        <w:spacing w:after="160" w:line="259" w:lineRule="auto"/>
        <w:jc w:val="left"/>
        <w:rPr>
          <w:rFonts w:ascii="Arial" w:hAnsi="Arial" w:cs="Arial"/>
          <w:color w:val="auto"/>
          <w:sz w:val="24"/>
          <w:szCs w:val="24"/>
          <w:lang w:eastAsia="pl-PL"/>
        </w:rPr>
      </w:pPr>
      <w:r w:rsidRPr="00237760">
        <w:rPr>
          <w:rFonts w:ascii="Arial" w:hAnsi="Arial" w:cs="Arial"/>
          <w:color w:val="auto"/>
          <w:sz w:val="24"/>
          <w:szCs w:val="24"/>
          <w:lang w:eastAsia="pl-PL"/>
        </w:rPr>
        <w:br w:type="page"/>
      </w:r>
    </w:p>
    <w:p w14:paraId="426C21EC" w14:textId="69A3105A" w:rsidR="00794C0E" w:rsidRPr="00237760" w:rsidRDefault="00BD7111" w:rsidP="009367B4">
      <w:pPr>
        <w:pStyle w:val="Nagwek1"/>
        <w:rPr>
          <w:rFonts w:ascii="Arial" w:hAnsi="Arial" w:cs="Arial"/>
          <w:color w:val="auto"/>
          <w:sz w:val="24"/>
          <w:szCs w:val="24"/>
        </w:rPr>
      </w:pPr>
      <w:bookmarkStart w:id="338" w:name="_Toc101904174"/>
      <w:r w:rsidRPr="00237760">
        <w:rPr>
          <w:rFonts w:ascii="Arial" w:hAnsi="Arial" w:cs="Arial"/>
          <w:color w:val="auto"/>
          <w:sz w:val="24"/>
          <w:szCs w:val="24"/>
        </w:rPr>
        <w:lastRenderedPageBreak/>
        <w:t>Spisy</w:t>
      </w:r>
      <w:bookmarkEnd w:id="309"/>
      <w:bookmarkEnd w:id="338"/>
    </w:p>
    <w:p w14:paraId="68F06955" w14:textId="1DDECFF8" w:rsidR="00280442" w:rsidRPr="00280442" w:rsidRDefault="00AB5C42">
      <w:pPr>
        <w:pStyle w:val="Spisilustracji"/>
        <w:tabs>
          <w:tab w:val="right" w:leader="dot" w:pos="9062"/>
        </w:tabs>
        <w:rPr>
          <w:rFonts w:eastAsiaTheme="minorEastAsia" w:cstheme="minorBidi"/>
          <w:smallCaps w:val="0"/>
          <w:noProof/>
          <w:color w:val="auto"/>
          <w:sz w:val="22"/>
          <w:szCs w:val="22"/>
          <w:lang w:eastAsia="pl-PL"/>
        </w:rPr>
      </w:pPr>
      <w:r w:rsidRPr="00280442">
        <w:rPr>
          <w:rFonts w:ascii="Arial" w:hAnsi="Arial" w:cs="Arial"/>
          <w:color w:val="auto"/>
          <w:sz w:val="24"/>
          <w:szCs w:val="24"/>
        </w:rPr>
        <w:fldChar w:fldCharType="begin"/>
      </w:r>
      <w:r w:rsidRPr="00280442">
        <w:rPr>
          <w:rFonts w:ascii="Arial" w:hAnsi="Arial" w:cs="Arial"/>
          <w:color w:val="auto"/>
          <w:sz w:val="24"/>
          <w:szCs w:val="24"/>
        </w:rPr>
        <w:instrText xml:space="preserve"> TOC \h \z \c "Tabela" </w:instrText>
      </w:r>
      <w:r w:rsidRPr="00280442">
        <w:rPr>
          <w:rFonts w:ascii="Arial" w:hAnsi="Arial" w:cs="Arial"/>
          <w:color w:val="auto"/>
          <w:sz w:val="24"/>
          <w:szCs w:val="24"/>
        </w:rPr>
        <w:fldChar w:fldCharType="separate"/>
      </w:r>
      <w:hyperlink w:anchor="_Toc101904242" w:history="1">
        <w:r w:rsidR="00280442" w:rsidRPr="00280442">
          <w:rPr>
            <w:rStyle w:val="Hipercze"/>
            <w:rFonts w:ascii="Arial" w:hAnsi="Arial" w:cs="Arial"/>
            <w:noProof/>
            <w:color w:val="auto"/>
          </w:rPr>
          <w:t>Tabela 1. Pytania ewaluacyjne i syntetyczne odpowiedzi</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_Toc101904242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7</w:t>
        </w:r>
        <w:r w:rsidR="00280442" w:rsidRPr="00280442">
          <w:rPr>
            <w:noProof/>
            <w:webHidden/>
            <w:color w:val="auto"/>
          </w:rPr>
          <w:fldChar w:fldCharType="end"/>
        </w:r>
      </w:hyperlink>
    </w:p>
    <w:p w14:paraId="6A05DB30" w14:textId="5B593C48"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43" w:history="1">
        <w:r w:rsidR="00280442" w:rsidRPr="00280442">
          <w:rPr>
            <w:rStyle w:val="Hipercze"/>
            <w:rFonts w:ascii="Arial" w:hAnsi="Arial" w:cs="Arial"/>
            <w:noProof/>
            <w:color w:val="auto"/>
          </w:rPr>
          <w:t>Tabela 2. Pytania ewaluacyjne i problemy badawcze w kontekście kryteriów ewaluacyjnych</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_Toc101904243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13</w:t>
        </w:r>
        <w:r w:rsidR="00280442" w:rsidRPr="00280442">
          <w:rPr>
            <w:noProof/>
            <w:webHidden/>
            <w:color w:val="auto"/>
          </w:rPr>
          <w:fldChar w:fldCharType="end"/>
        </w:r>
      </w:hyperlink>
    </w:p>
    <w:p w14:paraId="7DB69D32" w14:textId="0A5C8094"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44" w:history="1">
        <w:r w:rsidR="00280442" w:rsidRPr="00280442">
          <w:rPr>
            <w:rStyle w:val="Hipercze"/>
            <w:rFonts w:ascii="Arial" w:hAnsi="Arial" w:cs="Arial"/>
            <w:noProof/>
            <w:color w:val="auto"/>
          </w:rPr>
          <w:t>Tabela 3. Wyzwania i potrzeby społeczno-gospodarcze województwa a PSRT WP</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_Toc101904244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22</w:t>
        </w:r>
        <w:r w:rsidR="00280442" w:rsidRPr="00280442">
          <w:rPr>
            <w:noProof/>
            <w:webHidden/>
            <w:color w:val="auto"/>
          </w:rPr>
          <w:fldChar w:fldCharType="end"/>
        </w:r>
      </w:hyperlink>
    </w:p>
    <w:p w14:paraId="61B9826B" w14:textId="00B32A6D"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45" w:history="1">
        <w:r w:rsidR="00280442" w:rsidRPr="00280442">
          <w:rPr>
            <w:rStyle w:val="Hipercze"/>
            <w:rFonts w:ascii="Arial" w:hAnsi="Arial" w:cs="Arial"/>
            <w:noProof/>
            <w:color w:val="auto"/>
          </w:rPr>
          <w:t>Tabela 4. Siła odpowiedzi celów PSRT WP 2030 w stosunku do wyzwań i potrzeb określonych w Strategii rozwoju województwa – Podkarpacie 2030</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_Toc101904245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25</w:t>
        </w:r>
        <w:r w:rsidR="00280442" w:rsidRPr="00280442">
          <w:rPr>
            <w:noProof/>
            <w:webHidden/>
            <w:color w:val="auto"/>
          </w:rPr>
          <w:fldChar w:fldCharType="end"/>
        </w:r>
      </w:hyperlink>
    </w:p>
    <w:p w14:paraId="24CD3B6F" w14:textId="5D6F9868"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46" w:history="1">
        <w:r w:rsidR="00280442" w:rsidRPr="00280442">
          <w:rPr>
            <w:rStyle w:val="Hipercze"/>
            <w:rFonts w:ascii="Arial" w:hAnsi="Arial" w:cs="Arial"/>
            <w:noProof/>
            <w:color w:val="auto"/>
          </w:rPr>
          <w:t>Tabela 5. Wyzwania i potrzeby społeczno-gospodarcze województwa wskazane w Planie zrównoważonego rozwoju publicznego transportu zbiorowego dla Województwa Podkarpackiego a PSRT WP</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_Toc101904246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28</w:t>
        </w:r>
        <w:r w:rsidR="00280442" w:rsidRPr="00280442">
          <w:rPr>
            <w:noProof/>
            <w:webHidden/>
            <w:color w:val="auto"/>
          </w:rPr>
          <w:fldChar w:fldCharType="end"/>
        </w:r>
      </w:hyperlink>
    </w:p>
    <w:p w14:paraId="706DCEC3" w14:textId="78A239EC"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47" w:history="1">
        <w:r w:rsidR="00280442" w:rsidRPr="00280442">
          <w:rPr>
            <w:rStyle w:val="Hipercze"/>
            <w:rFonts w:ascii="Arial" w:hAnsi="Arial" w:cs="Arial"/>
            <w:noProof/>
            <w:color w:val="auto"/>
          </w:rPr>
          <w:t>Tabela 6. Wyzwania i potrzeby społeczno-gospodarcze województwa wskazane w strategiach MOF i nawiązujące do zagadnienia transportu a PSRT WP</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_Toc101904247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31</w:t>
        </w:r>
        <w:r w:rsidR="00280442" w:rsidRPr="00280442">
          <w:rPr>
            <w:noProof/>
            <w:webHidden/>
            <w:color w:val="auto"/>
          </w:rPr>
          <w:fldChar w:fldCharType="end"/>
        </w:r>
      </w:hyperlink>
    </w:p>
    <w:p w14:paraId="3FA20CF2" w14:textId="2BB5819B"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48" w:history="1">
        <w:r w:rsidR="00280442" w:rsidRPr="00280442">
          <w:rPr>
            <w:rStyle w:val="Hipercze"/>
            <w:rFonts w:ascii="Arial" w:hAnsi="Arial" w:cs="Arial"/>
            <w:noProof/>
            <w:color w:val="auto"/>
          </w:rPr>
          <w:t>Tabela 7. Wyzwania i potrzeby społeczno-gospodarcze województwa wskazane w wybranych planach rozwoju publicznego transportu zbiorowego powiatów i miast na prawach powiatu województwa podkarpackiego</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_Toc101904248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45</w:t>
        </w:r>
        <w:r w:rsidR="00280442" w:rsidRPr="00280442">
          <w:rPr>
            <w:noProof/>
            <w:webHidden/>
            <w:color w:val="auto"/>
          </w:rPr>
          <w:fldChar w:fldCharType="end"/>
        </w:r>
      </w:hyperlink>
    </w:p>
    <w:p w14:paraId="46D76E5D" w14:textId="11C8D0A2"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49" w:history="1">
        <w:r w:rsidR="00280442" w:rsidRPr="00280442">
          <w:rPr>
            <w:rStyle w:val="Hipercze"/>
            <w:rFonts w:ascii="Arial" w:hAnsi="Arial" w:cs="Arial"/>
            <w:noProof/>
            <w:color w:val="auto"/>
          </w:rPr>
          <w:t>Tabela 8. Wyzwania i potrzeby społeczno-gospodarcze województwa wskazane w strategiach wybranych gmin a PSRT WP</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_Toc101904249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54</w:t>
        </w:r>
        <w:r w:rsidR="00280442" w:rsidRPr="00280442">
          <w:rPr>
            <w:noProof/>
            <w:webHidden/>
            <w:color w:val="auto"/>
          </w:rPr>
          <w:fldChar w:fldCharType="end"/>
        </w:r>
      </w:hyperlink>
    </w:p>
    <w:p w14:paraId="51B1C671" w14:textId="1DA24B53"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50" w:history="1">
        <w:r w:rsidR="00280442" w:rsidRPr="00280442">
          <w:rPr>
            <w:rStyle w:val="Hipercze"/>
            <w:rFonts w:ascii="Arial" w:hAnsi="Arial" w:cs="Arial"/>
            <w:noProof/>
            <w:color w:val="auto"/>
          </w:rPr>
          <w:t>Tabela 9. Ocena trafności w kontekście trendów globalnych i europejskich zmian w transporcie</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_Toc101904250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67</w:t>
        </w:r>
        <w:r w:rsidR="00280442" w:rsidRPr="00280442">
          <w:rPr>
            <w:noProof/>
            <w:webHidden/>
            <w:color w:val="auto"/>
          </w:rPr>
          <w:fldChar w:fldCharType="end"/>
        </w:r>
      </w:hyperlink>
    </w:p>
    <w:p w14:paraId="2C16C308" w14:textId="5806D0B9"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51" w:history="1">
        <w:r w:rsidR="00280442" w:rsidRPr="00280442">
          <w:rPr>
            <w:rStyle w:val="Hipercze"/>
            <w:rFonts w:ascii="Arial" w:hAnsi="Arial" w:cs="Arial"/>
            <w:noProof/>
            <w:color w:val="auto"/>
          </w:rPr>
          <w:t>Tabela 10. Ocena trafności priorytetowych przedsięwzięć PSRT WP z potrzebami i wyzwaniami regionu</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_Toc101904251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69</w:t>
        </w:r>
        <w:r w:rsidR="00280442" w:rsidRPr="00280442">
          <w:rPr>
            <w:noProof/>
            <w:webHidden/>
            <w:color w:val="auto"/>
          </w:rPr>
          <w:fldChar w:fldCharType="end"/>
        </w:r>
      </w:hyperlink>
    </w:p>
    <w:p w14:paraId="0044C58E" w14:textId="598A0998"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52" w:history="1">
        <w:r w:rsidR="00280442" w:rsidRPr="00280442">
          <w:rPr>
            <w:rStyle w:val="Hipercze"/>
            <w:rFonts w:ascii="Arial" w:hAnsi="Arial" w:cs="Arial"/>
            <w:noProof/>
            <w:color w:val="auto"/>
          </w:rPr>
          <w:t>Tabela 11. Ocena trafności określonych czynników ryzyka</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_Toc101904252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78</w:t>
        </w:r>
        <w:r w:rsidR="00280442" w:rsidRPr="00280442">
          <w:rPr>
            <w:noProof/>
            <w:webHidden/>
            <w:color w:val="auto"/>
          </w:rPr>
          <w:fldChar w:fldCharType="end"/>
        </w:r>
      </w:hyperlink>
    </w:p>
    <w:p w14:paraId="695B7C2D" w14:textId="2D918B7C"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53" w:history="1">
        <w:r w:rsidR="00280442" w:rsidRPr="00280442">
          <w:rPr>
            <w:rStyle w:val="Hipercze"/>
            <w:rFonts w:ascii="Arial" w:hAnsi="Arial" w:cs="Arial"/>
            <w:noProof/>
            <w:color w:val="auto"/>
          </w:rPr>
          <w:t>Tabela 12. Analiza trafności doboru wskaźników monitorowania realizacji Programu</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_Toc101904253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84</w:t>
        </w:r>
        <w:r w:rsidR="00280442" w:rsidRPr="00280442">
          <w:rPr>
            <w:noProof/>
            <w:webHidden/>
            <w:color w:val="auto"/>
          </w:rPr>
          <w:fldChar w:fldCharType="end"/>
        </w:r>
      </w:hyperlink>
    </w:p>
    <w:p w14:paraId="75B7AEE6" w14:textId="6AB7D9C6"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54" w:history="1">
        <w:r w:rsidR="00280442" w:rsidRPr="00280442">
          <w:rPr>
            <w:rStyle w:val="Hipercze"/>
            <w:rFonts w:ascii="Arial" w:hAnsi="Arial" w:cs="Arial"/>
            <w:noProof/>
            <w:color w:val="auto"/>
          </w:rPr>
          <w:t>Tabela 13. Wnioski z panelu ekspertów na podstawie matryc logicznych</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_Toc101904254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92</w:t>
        </w:r>
        <w:r w:rsidR="00280442" w:rsidRPr="00280442">
          <w:rPr>
            <w:noProof/>
            <w:webHidden/>
            <w:color w:val="auto"/>
          </w:rPr>
          <w:fldChar w:fldCharType="end"/>
        </w:r>
      </w:hyperlink>
    </w:p>
    <w:p w14:paraId="22BDB301" w14:textId="1BDAF291"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55" w:history="1">
        <w:r w:rsidR="00280442" w:rsidRPr="00280442">
          <w:rPr>
            <w:rStyle w:val="Hipercze"/>
            <w:rFonts w:ascii="Arial" w:hAnsi="Arial" w:cs="Arial"/>
            <w:noProof/>
            <w:color w:val="auto"/>
          </w:rPr>
          <w:t>Tabela 14. Kierunki działań PSRT WP wskazywane przez ekspertów jako najistotniejsze</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_Toc101904255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95</w:t>
        </w:r>
        <w:r w:rsidR="00280442" w:rsidRPr="00280442">
          <w:rPr>
            <w:noProof/>
            <w:webHidden/>
            <w:color w:val="auto"/>
          </w:rPr>
          <w:fldChar w:fldCharType="end"/>
        </w:r>
      </w:hyperlink>
    </w:p>
    <w:p w14:paraId="6288F42B" w14:textId="76085A3C"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56" w:history="1">
        <w:r w:rsidR="00280442" w:rsidRPr="00280442">
          <w:rPr>
            <w:rStyle w:val="Hipercze"/>
            <w:rFonts w:ascii="Arial" w:hAnsi="Arial" w:cs="Arial"/>
            <w:noProof/>
            <w:color w:val="auto"/>
          </w:rPr>
          <w:t>Tabela 15. Analiza potencjalnej skuteczności i efektywności systemu wdrażania</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_Toc101904256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101</w:t>
        </w:r>
        <w:r w:rsidR="00280442" w:rsidRPr="00280442">
          <w:rPr>
            <w:noProof/>
            <w:webHidden/>
            <w:color w:val="auto"/>
          </w:rPr>
          <w:fldChar w:fldCharType="end"/>
        </w:r>
      </w:hyperlink>
    </w:p>
    <w:p w14:paraId="3B0C0869" w14:textId="63F1C6BF"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57" w:history="1">
        <w:r w:rsidR="00280442" w:rsidRPr="00280442">
          <w:rPr>
            <w:rStyle w:val="Hipercze"/>
            <w:rFonts w:ascii="Arial" w:hAnsi="Arial" w:cs="Arial"/>
            <w:noProof/>
            <w:color w:val="auto"/>
          </w:rPr>
          <w:t>Tabela 16. Analiza wskaźników monitorowania projektu PSRT WP</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_Toc101904257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103</w:t>
        </w:r>
        <w:r w:rsidR="00280442" w:rsidRPr="00280442">
          <w:rPr>
            <w:noProof/>
            <w:webHidden/>
            <w:color w:val="auto"/>
          </w:rPr>
          <w:fldChar w:fldCharType="end"/>
        </w:r>
      </w:hyperlink>
    </w:p>
    <w:p w14:paraId="57AB8879" w14:textId="6806FBFE"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58" w:history="1">
        <w:r w:rsidR="00280442" w:rsidRPr="00280442">
          <w:rPr>
            <w:rStyle w:val="Hipercze"/>
            <w:rFonts w:ascii="Arial" w:hAnsi="Arial" w:cs="Arial"/>
            <w:noProof/>
            <w:color w:val="auto"/>
          </w:rPr>
          <w:t>Tabela 17. Zgodność PSRT WP z wymogami Ustawy o zasadach prowadzenia polityki rozwoju dla programu rozwoju</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_Toc101904258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113</w:t>
        </w:r>
        <w:r w:rsidR="00280442" w:rsidRPr="00280442">
          <w:rPr>
            <w:noProof/>
            <w:webHidden/>
            <w:color w:val="auto"/>
          </w:rPr>
          <w:fldChar w:fldCharType="end"/>
        </w:r>
      </w:hyperlink>
    </w:p>
    <w:p w14:paraId="6A9F6C1C" w14:textId="3ED6298F"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59" w:history="1">
        <w:r w:rsidR="00280442" w:rsidRPr="00280442">
          <w:rPr>
            <w:rStyle w:val="Hipercze"/>
            <w:rFonts w:ascii="Arial" w:hAnsi="Arial" w:cs="Arial"/>
            <w:noProof/>
            <w:color w:val="auto"/>
          </w:rPr>
          <w:t>Tabela 18. Ocena zgodności celów PSRT WP z założeniami Rozporządzenia Parlamentu Europejskiego i Rady (UE) 2021/1058 z dnia 24 czerwca 2021 r. w sprawie Europejskiego Funduszu Rozwoju Regionalnego i Funduszu Spójności</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_Toc101904259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119</w:t>
        </w:r>
        <w:r w:rsidR="00280442" w:rsidRPr="00280442">
          <w:rPr>
            <w:noProof/>
            <w:webHidden/>
            <w:color w:val="auto"/>
          </w:rPr>
          <w:fldChar w:fldCharType="end"/>
        </w:r>
      </w:hyperlink>
    </w:p>
    <w:p w14:paraId="01036C6E" w14:textId="1D616AFC"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60" w:history="1">
        <w:r w:rsidR="00280442" w:rsidRPr="00280442">
          <w:rPr>
            <w:rStyle w:val="Hipercze"/>
            <w:rFonts w:ascii="Arial" w:hAnsi="Arial" w:cs="Arial"/>
            <w:noProof/>
            <w:color w:val="auto"/>
          </w:rPr>
          <w:t>Tabela 19. Ocena zgodności celów PSRT WP z obszarami tematycznymi działań określonych w projekcie Umowy Partnerstwa (UP)</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_Toc101904260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126</w:t>
        </w:r>
        <w:r w:rsidR="00280442" w:rsidRPr="00280442">
          <w:rPr>
            <w:noProof/>
            <w:webHidden/>
            <w:color w:val="auto"/>
          </w:rPr>
          <w:fldChar w:fldCharType="end"/>
        </w:r>
      </w:hyperlink>
    </w:p>
    <w:p w14:paraId="7B636DE8" w14:textId="130A545E"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61" w:history="1">
        <w:r w:rsidR="00280442" w:rsidRPr="00280442">
          <w:rPr>
            <w:rStyle w:val="Hipercze"/>
            <w:rFonts w:ascii="Arial" w:hAnsi="Arial" w:cs="Arial"/>
            <w:noProof/>
            <w:color w:val="auto"/>
          </w:rPr>
          <w:t>Tabela 20. Ocena zgodności działań w ramach PSRT WP z warunkowością podstawową CP3</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_Toc101904261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128</w:t>
        </w:r>
        <w:r w:rsidR="00280442" w:rsidRPr="00280442">
          <w:rPr>
            <w:noProof/>
            <w:webHidden/>
            <w:color w:val="auto"/>
          </w:rPr>
          <w:fldChar w:fldCharType="end"/>
        </w:r>
      </w:hyperlink>
    </w:p>
    <w:p w14:paraId="307C5518" w14:textId="1A0CD23E"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62" w:history="1">
        <w:r w:rsidR="00280442" w:rsidRPr="00280442">
          <w:rPr>
            <w:rStyle w:val="Hipercze"/>
            <w:rFonts w:ascii="Arial" w:hAnsi="Arial" w:cs="Arial"/>
            <w:noProof/>
            <w:color w:val="auto"/>
          </w:rPr>
          <w:t>Tabela 21. Ocena zgodności PSRT WP z dokumentami prawymi regulującymi kwestie zarządzania infrastrukturą transportową oraz przewozem osób i towarów</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_Toc101904262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136</w:t>
        </w:r>
        <w:r w:rsidR="00280442" w:rsidRPr="00280442">
          <w:rPr>
            <w:noProof/>
            <w:webHidden/>
            <w:color w:val="auto"/>
          </w:rPr>
          <w:fldChar w:fldCharType="end"/>
        </w:r>
      </w:hyperlink>
    </w:p>
    <w:p w14:paraId="2CD949D2" w14:textId="57A3F73B"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63" w:history="1">
        <w:r w:rsidR="00280442" w:rsidRPr="00280442">
          <w:rPr>
            <w:rStyle w:val="Hipercze"/>
            <w:rFonts w:ascii="Arial" w:hAnsi="Arial" w:cs="Arial"/>
            <w:noProof/>
            <w:color w:val="auto"/>
          </w:rPr>
          <w:t>Tabela 22. Ocena zgodności PSRT WP z wytycznymi dotyczącymi najlepszych praktyk w zakresie metodyki opracowywania regionalnych planów transportowych</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_Toc101904263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139</w:t>
        </w:r>
        <w:r w:rsidR="00280442" w:rsidRPr="00280442">
          <w:rPr>
            <w:noProof/>
            <w:webHidden/>
            <w:color w:val="auto"/>
          </w:rPr>
          <w:fldChar w:fldCharType="end"/>
        </w:r>
      </w:hyperlink>
    </w:p>
    <w:p w14:paraId="26F1B76F" w14:textId="6D55E721"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64" w:history="1">
        <w:r w:rsidR="00280442" w:rsidRPr="00280442">
          <w:rPr>
            <w:rStyle w:val="Hipercze"/>
            <w:rFonts w:ascii="Arial" w:hAnsi="Arial" w:cs="Arial"/>
            <w:noProof/>
            <w:color w:val="auto"/>
          </w:rPr>
          <w:t>Tabela 23. Ocena spójności PSRT WP ze Strategią na rzecz zrównoważonej i inteligentnej mobilności</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_Toc101904264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149</w:t>
        </w:r>
        <w:r w:rsidR="00280442" w:rsidRPr="00280442">
          <w:rPr>
            <w:noProof/>
            <w:webHidden/>
            <w:color w:val="auto"/>
          </w:rPr>
          <w:fldChar w:fldCharType="end"/>
        </w:r>
      </w:hyperlink>
    </w:p>
    <w:p w14:paraId="2216F55E" w14:textId="44694573"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65" w:history="1">
        <w:r w:rsidR="00280442" w:rsidRPr="00280442">
          <w:rPr>
            <w:rStyle w:val="Hipercze"/>
            <w:rFonts w:ascii="Arial" w:hAnsi="Arial" w:cs="Arial"/>
            <w:noProof/>
            <w:color w:val="auto"/>
          </w:rPr>
          <w:t>Tabela 24. Ocena spójności PSRT WP z Rozporządzeniem Parlamentu Europejskiego i Rady (UE) 2021/1060 z dnia 24 czerwca 2021 r.</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_Toc101904265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151</w:t>
        </w:r>
        <w:r w:rsidR="00280442" w:rsidRPr="00280442">
          <w:rPr>
            <w:noProof/>
            <w:webHidden/>
            <w:color w:val="auto"/>
          </w:rPr>
          <w:fldChar w:fldCharType="end"/>
        </w:r>
      </w:hyperlink>
    </w:p>
    <w:p w14:paraId="65CFDB08" w14:textId="7F123395"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66" w:history="1">
        <w:r w:rsidR="00280442" w:rsidRPr="00280442">
          <w:rPr>
            <w:rStyle w:val="Hipercze"/>
            <w:rFonts w:ascii="Arial" w:hAnsi="Arial" w:cs="Arial"/>
            <w:noProof/>
            <w:color w:val="auto"/>
          </w:rPr>
          <w:t>Tabela 25. Ocena spójności PSRT WP ze strategią Czysta energia dla transportu: europejska strategia w zakresie paliw alternatywnych</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_Toc101904266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153</w:t>
        </w:r>
        <w:r w:rsidR="00280442" w:rsidRPr="00280442">
          <w:rPr>
            <w:noProof/>
            <w:webHidden/>
            <w:color w:val="auto"/>
          </w:rPr>
          <w:fldChar w:fldCharType="end"/>
        </w:r>
      </w:hyperlink>
    </w:p>
    <w:p w14:paraId="7212B179" w14:textId="4977E177"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67" w:history="1">
        <w:r w:rsidR="00280442" w:rsidRPr="00280442">
          <w:rPr>
            <w:rStyle w:val="Hipercze"/>
            <w:rFonts w:ascii="Arial" w:hAnsi="Arial" w:cs="Arial"/>
            <w:noProof/>
            <w:color w:val="auto"/>
          </w:rPr>
          <w:t>Tabela 26. Ocena spójności PSRT WP z Strategią na rzecz Odpowiedzialnego Rozwoju</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_Toc101904267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154</w:t>
        </w:r>
        <w:r w:rsidR="00280442" w:rsidRPr="00280442">
          <w:rPr>
            <w:noProof/>
            <w:webHidden/>
            <w:color w:val="auto"/>
          </w:rPr>
          <w:fldChar w:fldCharType="end"/>
        </w:r>
      </w:hyperlink>
    </w:p>
    <w:p w14:paraId="522F5A8E" w14:textId="36D1D1FD"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68" w:history="1">
        <w:r w:rsidR="00280442" w:rsidRPr="00280442">
          <w:rPr>
            <w:rStyle w:val="Hipercze"/>
            <w:rFonts w:ascii="Arial" w:hAnsi="Arial" w:cs="Arial"/>
            <w:noProof/>
            <w:color w:val="auto"/>
          </w:rPr>
          <w:t>Tabela 27. Ocena spójności PSRT WP z Krajowym Planem Odbudowy i Zwiększania Odporności</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_Toc101904268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155</w:t>
        </w:r>
        <w:r w:rsidR="00280442" w:rsidRPr="00280442">
          <w:rPr>
            <w:noProof/>
            <w:webHidden/>
            <w:color w:val="auto"/>
          </w:rPr>
          <w:fldChar w:fldCharType="end"/>
        </w:r>
      </w:hyperlink>
    </w:p>
    <w:p w14:paraId="7DB1CD21" w14:textId="7C6144A4"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69" w:history="1">
        <w:r w:rsidR="00280442" w:rsidRPr="00280442">
          <w:rPr>
            <w:rStyle w:val="Hipercze"/>
            <w:rFonts w:ascii="Arial" w:hAnsi="Arial" w:cs="Arial"/>
            <w:noProof/>
            <w:color w:val="auto"/>
          </w:rPr>
          <w:t>Tabela 28. Ocena spójności PSRT WP z Krajową Strategią Rozwoju Regionalnego</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_Toc101904269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155</w:t>
        </w:r>
        <w:r w:rsidR="00280442" w:rsidRPr="00280442">
          <w:rPr>
            <w:noProof/>
            <w:webHidden/>
            <w:color w:val="auto"/>
          </w:rPr>
          <w:fldChar w:fldCharType="end"/>
        </w:r>
      </w:hyperlink>
    </w:p>
    <w:p w14:paraId="29175922" w14:textId="17D39BB0"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70" w:history="1">
        <w:r w:rsidR="00280442" w:rsidRPr="00280442">
          <w:rPr>
            <w:rStyle w:val="Hipercze"/>
            <w:rFonts w:ascii="Arial" w:hAnsi="Arial" w:cs="Arial"/>
            <w:noProof/>
            <w:color w:val="auto"/>
          </w:rPr>
          <w:t>Tabela 29. Ocena spójności PSRT WP ze Strategią Zrównoważonego Rozwoju Transportu</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_Toc101904270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157</w:t>
        </w:r>
        <w:r w:rsidR="00280442" w:rsidRPr="00280442">
          <w:rPr>
            <w:noProof/>
            <w:webHidden/>
            <w:color w:val="auto"/>
          </w:rPr>
          <w:fldChar w:fldCharType="end"/>
        </w:r>
      </w:hyperlink>
    </w:p>
    <w:p w14:paraId="7FC347C9" w14:textId="4F12C324"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71" w:history="1">
        <w:r w:rsidR="00280442" w:rsidRPr="00280442">
          <w:rPr>
            <w:rStyle w:val="Hipercze"/>
            <w:rFonts w:ascii="Arial" w:hAnsi="Arial" w:cs="Arial"/>
            <w:noProof/>
            <w:color w:val="auto"/>
          </w:rPr>
          <w:t>Tabela 30. Ocena spójności PSRT WP z Dokumentem implementacyjnym do SRT</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_Toc101904271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158</w:t>
        </w:r>
        <w:r w:rsidR="00280442" w:rsidRPr="00280442">
          <w:rPr>
            <w:noProof/>
            <w:webHidden/>
            <w:color w:val="auto"/>
          </w:rPr>
          <w:fldChar w:fldCharType="end"/>
        </w:r>
      </w:hyperlink>
    </w:p>
    <w:p w14:paraId="01A5F371" w14:textId="0A701A1E"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72" w:history="1">
        <w:r w:rsidR="00280442" w:rsidRPr="00280442">
          <w:rPr>
            <w:rStyle w:val="Hipercze"/>
            <w:rFonts w:ascii="Arial" w:hAnsi="Arial" w:cs="Arial"/>
            <w:noProof/>
            <w:color w:val="auto"/>
          </w:rPr>
          <w:t>Tabela 31. Ocena spójności PSRT WP z Programem Budowy Dróg Krajowych na lata 2014-2023 (z perspektywą do 2025r.)</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_Toc101904272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158</w:t>
        </w:r>
        <w:r w:rsidR="00280442" w:rsidRPr="00280442">
          <w:rPr>
            <w:noProof/>
            <w:webHidden/>
            <w:color w:val="auto"/>
          </w:rPr>
          <w:fldChar w:fldCharType="end"/>
        </w:r>
      </w:hyperlink>
    </w:p>
    <w:p w14:paraId="5678EE9F" w14:textId="79AC3242"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73" w:history="1">
        <w:r w:rsidR="00280442" w:rsidRPr="00280442">
          <w:rPr>
            <w:rStyle w:val="Hipercze"/>
            <w:rFonts w:ascii="Arial" w:hAnsi="Arial" w:cs="Arial"/>
            <w:noProof/>
            <w:color w:val="auto"/>
          </w:rPr>
          <w:t>Tabela 32. Ocena spójności PSRT WP z Programem Budowy Dróg Krajowych na lata 2014-2023 (z perspektywą do 2025 r.)</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_Toc101904273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159</w:t>
        </w:r>
        <w:r w:rsidR="00280442" w:rsidRPr="00280442">
          <w:rPr>
            <w:noProof/>
            <w:webHidden/>
            <w:color w:val="auto"/>
          </w:rPr>
          <w:fldChar w:fldCharType="end"/>
        </w:r>
      </w:hyperlink>
    </w:p>
    <w:p w14:paraId="786728EB" w14:textId="0BB5CD61"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74" w:history="1">
        <w:r w:rsidR="00280442" w:rsidRPr="00280442">
          <w:rPr>
            <w:rStyle w:val="Hipercze"/>
            <w:rFonts w:ascii="Arial" w:hAnsi="Arial" w:cs="Arial"/>
            <w:noProof/>
            <w:color w:val="auto"/>
          </w:rPr>
          <w:t>Tabela 33. Ocena spójności PSRT WP ze strategiami zintegrowanymi</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_Toc101904274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160</w:t>
        </w:r>
        <w:r w:rsidR="00280442" w:rsidRPr="00280442">
          <w:rPr>
            <w:noProof/>
            <w:webHidden/>
            <w:color w:val="auto"/>
          </w:rPr>
          <w:fldChar w:fldCharType="end"/>
        </w:r>
      </w:hyperlink>
    </w:p>
    <w:p w14:paraId="2899BEE7" w14:textId="2630B08B"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75" w:history="1">
        <w:r w:rsidR="00280442" w:rsidRPr="00280442">
          <w:rPr>
            <w:rStyle w:val="Hipercze"/>
            <w:rFonts w:ascii="Arial" w:hAnsi="Arial" w:cs="Arial"/>
            <w:noProof/>
            <w:color w:val="auto"/>
          </w:rPr>
          <w:t>Tabela 34. Ocena spójności PSRT WP ze strategią Europa 2020</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_Toc101904275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163</w:t>
        </w:r>
        <w:r w:rsidR="00280442" w:rsidRPr="00280442">
          <w:rPr>
            <w:noProof/>
            <w:webHidden/>
            <w:color w:val="auto"/>
          </w:rPr>
          <w:fldChar w:fldCharType="end"/>
        </w:r>
      </w:hyperlink>
    </w:p>
    <w:p w14:paraId="2D3D5D64" w14:textId="1AE8D6AC"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76" w:history="1">
        <w:r w:rsidR="00280442" w:rsidRPr="00280442">
          <w:rPr>
            <w:rStyle w:val="Hipercze"/>
            <w:rFonts w:ascii="Arial" w:hAnsi="Arial" w:cs="Arial"/>
            <w:noProof/>
            <w:color w:val="auto"/>
          </w:rPr>
          <w:t>Tabela 35. Ocena spójności PSRT WP z Kontraktem Terytorialnym dla Województwa Podkarpackiego</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_Toc101904276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164</w:t>
        </w:r>
        <w:r w:rsidR="00280442" w:rsidRPr="00280442">
          <w:rPr>
            <w:noProof/>
            <w:webHidden/>
            <w:color w:val="auto"/>
          </w:rPr>
          <w:fldChar w:fldCharType="end"/>
        </w:r>
      </w:hyperlink>
    </w:p>
    <w:p w14:paraId="26348505" w14:textId="338506C8"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77" w:history="1">
        <w:r w:rsidR="00280442" w:rsidRPr="00280442">
          <w:rPr>
            <w:rStyle w:val="Hipercze"/>
            <w:rFonts w:ascii="Arial" w:hAnsi="Arial" w:cs="Arial"/>
            <w:noProof/>
            <w:color w:val="auto"/>
          </w:rPr>
          <w:t>Tabela 36. Ocena spójności PSRT WP z Kontraktem Programowym dla Województwa Podkarpackiego</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_Toc101904277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165</w:t>
        </w:r>
        <w:r w:rsidR="00280442" w:rsidRPr="00280442">
          <w:rPr>
            <w:noProof/>
            <w:webHidden/>
            <w:color w:val="auto"/>
          </w:rPr>
          <w:fldChar w:fldCharType="end"/>
        </w:r>
      </w:hyperlink>
    </w:p>
    <w:p w14:paraId="47DFD36D" w14:textId="04785495"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78" w:history="1">
        <w:r w:rsidR="00280442" w:rsidRPr="00280442">
          <w:rPr>
            <w:rStyle w:val="Hipercze"/>
            <w:rFonts w:ascii="Arial" w:hAnsi="Arial" w:cs="Arial"/>
            <w:noProof/>
            <w:color w:val="auto"/>
          </w:rPr>
          <w:t>Tabela 37. Ocena spójności PSRT WP z Krajowym Programem Kolejowym do 2023 roku</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_Toc101904278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166</w:t>
        </w:r>
        <w:r w:rsidR="00280442" w:rsidRPr="00280442">
          <w:rPr>
            <w:noProof/>
            <w:webHidden/>
            <w:color w:val="auto"/>
          </w:rPr>
          <w:fldChar w:fldCharType="end"/>
        </w:r>
      </w:hyperlink>
    </w:p>
    <w:p w14:paraId="70BEE8CB" w14:textId="6E955B37"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79" w:history="1">
        <w:r w:rsidR="00280442" w:rsidRPr="00280442">
          <w:rPr>
            <w:rStyle w:val="Hipercze"/>
            <w:rFonts w:ascii="Arial" w:hAnsi="Arial" w:cs="Arial"/>
            <w:noProof/>
            <w:color w:val="auto"/>
          </w:rPr>
          <w:t>Tabela 38. Ocena spójności PSRT WP z Narodowym Programem Bezpieczeństwa Ruchu Drogowego 2021-2030</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_Toc101904279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167</w:t>
        </w:r>
        <w:r w:rsidR="00280442" w:rsidRPr="00280442">
          <w:rPr>
            <w:noProof/>
            <w:webHidden/>
            <w:color w:val="auto"/>
          </w:rPr>
          <w:fldChar w:fldCharType="end"/>
        </w:r>
      </w:hyperlink>
    </w:p>
    <w:p w14:paraId="66F598AC" w14:textId="2D623960"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80" w:history="1">
        <w:r w:rsidR="00280442" w:rsidRPr="00280442">
          <w:rPr>
            <w:rStyle w:val="Hipercze"/>
            <w:rFonts w:ascii="Arial" w:hAnsi="Arial" w:cs="Arial"/>
            <w:noProof/>
            <w:color w:val="auto"/>
          </w:rPr>
          <w:t>Tabela 39. Ocena spójności PSRT WP z krajowymi programami operacyjnymi na lata 2021-2027.</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_Toc101904280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169</w:t>
        </w:r>
        <w:r w:rsidR="00280442" w:rsidRPr="00280442">
          <w:rPr>
            <w:noProof/>
            <w:webHidden/>
            <w:color w:val="auto"/>
          </w:rPr>
          <w:fldChar w:fldCharType="end"/>
        </w:r>
      </w:hyperlink>
    </w:p>
    <w:p w14:paraId="76EEF218" w14:textId="7C4F598D"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81" w:history="1">
        <w:r w:rsidR="00280442" w:rsidRPr="00280442">
          <w:rPr>
            <w:rStyle w:val="Hipercze"/>
            <w:rFonts w:ascii="Arial" w:hAnsi="Arial" w:cs="Arial"/>
            <w:noProof/>
            <w:color w:val="auto"/>
          </w:rPr>
          <w:t>Tabela 40. Ocena zgodności celów podstawowych i horyzontalnych projektu PSRT WP z priorytetami SRW 2030</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_Toc101904281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172</w:t>
        </w:r>
        <w:r w:rsidR="00280442" w:rsidRPr="00280442">
          <w:rPr>
            <w:noProof/>
            <w:webHidden/>
            <w:color w:val="auto"/>
          </w:rPr>
          <w:fldChar w:fldCharType="end"/>
        </w:r>
      </w:hyperlink>
    </w:p>
    <w:p w14:paraId="47CA8D56" w14:textId="759D1968"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82" w:history="1">
        <w:r w:rsidR="00280442" w:rsidRPr="00280442">
          <w:rPr>
            <w:rStyle w:val="Hipercze"/>
            <w:rFonts w:ascii="Arial" w:hAnsi="Arial" w:cs="Arial"/>
            <w:noProof/>
            <w:color w:val="auto"/>
          </w:rPr>
          <w:t>Tabela 41. Ocena zgodności celów szczegółowych FEP z celami i działaniami PSRT WP</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_Toc101904282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174</w:t>
        </w:r>
        <w:r w:rsidR="00280442" w:rsidRPr="00280442">
          <w:rPr>
            <w:noProof/>
            <w:webHidden/>
            <w:color w:val="auto"/>
          </w:rPr>
          <w:fldChar w:fldCharType="end"/>
        </w:r>
      </w:hyperlink>
    </w:p>
    <w:p w14:paraId="409CF794" w14:textId="2E05AB16"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83" w:history="1">
        <w:r w:rsidR="00280442" w:rsidRPr="00280442">
          <w:rPr>
            <w:rStyle w:val="Hipercze"/>
            <w:rFonts w:ascii="Arial" w:hAnsi="Arial" w:cs="Arial"/>
            <w:noProof/>
            <w:color w:val="auto"/>
          </w:rPr>
          <w:t>Tabela 42. Osadzenie wyników diagnozy PSRT WP w mocnych i słabych stronach analizy SWOT</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_Toc101904283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178</w:t>
        </w:r>
        <w:r w:rsidR="00280442" w:rsidRPr="00280442">
          <w:rPr>
            <w:noProof/>
            <w:webHidden/>
            <w:color w:val="auto"/>
          </w:rPr>
          <w:fldChar w:fldCharType="end"/>
        </w:r>
      </w:hyperlink>
    </w:p>
    <w:p w14:paraId="60D2D2B6" w14:textId="3C6A474B"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84" w:history="1">
        <w:r w:rsidR="00280442" w:rsidRPr="00280442">
          <w:rPr>
            <w:rStyle w:val="Hipercze"/>
            <w:rFonts w:ascii="Arial" w:hAnsi="Arial" w:cs="Arial"/>
            <w:noProof/>
            <w:color w:val="auto"/>
          </w:rPr>
          <w:t>Tabela 43. Powiązanie mocnych i słabych stron analizy SWOT z zapisami diagnozy PSRT WP</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_Toc101904284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184</w:t>
        </w:r>
        <w:r w:rsidR="00280442" w:rsidRPr="00280442">
          <w:rPr>
            <w:noProof/>
            <w:webHidden/>
            <w:color w:val="auto"/>
          </w:rPr>
          <w:fldChar w:fldCharType="end"/>
        </w:r>
      </w:hyperlink>
    </w:p>
    <w:p w14:paraId="12EA8A2E" w14:textId="105A35A5"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85" w:history="1">
        <w:r w:rsidR="00280442" w:rsidRPr="00280442">
          <w:rPr>
            <w:rStyle w:val="Hipercze"/>
            <w:rFonts w:ascii="Arial" w:hAnsi="Arial" w:cs="Arial"/>
            <w:noProof/>
            <w:color w:val="auto"/>
          </w:rPr>
          <w:t>Tabela 44. Oddziaływanie celów podstawowych i horyzontalnych na mocne i słabe strony analizy SWOT</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_Toc101904285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185</w:t>
        </w:r>
        <w:r w:rsidR="00280442" w:rsidRPr="00280442">
          <w:rPr>
            <w:noProof/>
            <w:webHidden/>
            <w:color w:val="auto"/>
          </w:rPr>
          <w:fldChar w:fldCharType="end"/>
        </w:r>
      </w:hyperlink>
    </w:p>
    <w:p w14:paraId="4AC3B611" w14:textId="531E1655"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86" w:history="1">
        <w:r w:rsidR="00280442" w:rsidRPr="00280442">
          <w:rPr>
            <w:rStyle w:val="Hipercze"/>
            <w:rFonts w:ascii="Arial" w:hAnsi="Arial" w:cs="Arial"/>
            <w:noProof/>
            <w:color w:val="auto"/>
          </w:rPr>
          <w:t>Tabela 45. Powiązanie mocnych i słabych stronach analizy SWOT z celami podstawowymi i horyzontalnymi</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_Toc101904286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190</w:t>
        </w:r>
        <w:r w:rsidR="00280442" w:rsidRPr="00280442">
          <w:rPr>
            <w:noProof/>
            <w:webHidden/>
            <w:color w:val="auto"/>
          </w:rPr>
          <w:fldChar w:fldCharType="end"/>
        </w:r>
      </w:hyperlink>
    </w:p>
    <w:p w14:paraId="512C7C39" w14:textId="1F26EAC9"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87" w:history="1">
        <w:r w:rsidR="00280442" w:rsidRPr="00280442">
          <w:rPr>
            <w:rStyle w:val="Hipercze"/>
            <w:rFonts w:ascii="Arial" w:hAnsi="Arial" w:cs="Arial"/>
            <w:noProof/>
            <w:color w:val="auto"/>
          </w:rPr>
          <w:t>Tabela 46. Wnioski i rekomendacje</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_Toc101904287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197</w:t>
        </w:r>
        <w:r w:rsidR="00280442" w:rsidRPr="00280442">
          <w:rPr>
            <w:noProof/>
            <w:webHidden/>
            <w:color w:val="auto"/>
          </w:rPr>
          <w:fldChar w:fldCharType="end"/>
        </w:r>
      </w:hyperlink>
    </w:p>
    <w:p w14:paraId="3C2D9279" w14:textId="32A66C93" w:rsidR="00AB5C42" w:rsidRPr="00280442" w:rsidRDefault="00AB5C42" w:rsidP="009367B4">
      <w:pPr>
        <w:jc w:val="left"/>
        <w:rPr>
          <w:rFonts w:ascii="Arial" w:hAnsi="Arial" w:cs="Arial"/>
          <w:color w:val="auto"/>
          <w:sz w:val="24"/>
          <w:szCs w:val="24"/>
        </w:rPr>
      </w:pPr>
      <w:r w:rsidRPr="00280442">
        <w:rPr>
          <w:rFonts w:ascii="Arial" w:hAnsi="Arial" w:cs="Arial"/>
          <w:color w:val="auto"/>
          <w:sz w:val="24"/>
          <w:szCs w:val="24"/>
        </w:rPr>
        <w:fldChar w:fldCharType="end"/>
      </w:r>
    </w:p>
    <w:p w14:paraId="71304D65" w14:textId="77777777" w:rsidR="00AB5C42" w:rsidRPr="00280442" w:rsidRDefault="00AB5C42" w:rsidP="009367B4">
      <w:pPr>
        <w:jc w:val="left"/>
        <w:rPr>
          <w:rFonts w:ascii="Arial" w:hAnsi="Arial" w:cs="Arial"/>
          <w:color w:val="auto"/>
          <w:sz w:val="24"/>
          <w:szCs w:val="24"/>
        </w:rPr>
      </w:pPr>
    </w:p>
    <w:p w14:paraId="4FDFFE86" w14:textId="75B022A2" w:rsidR="00280442" w:rsidRPr="00280442" w:rsidRDefault="00747883">
      <w:pPr>
        <w:pStyle w:val="Spisilustracji"/>
        <w:tabs>
          <w:tab w:val="right" w:leader="dot" w:pos="9062"/>
        </w:tabs>
        <w:rPr>
          <w:rFonts w:eastAsiaTheme="minorEastAsia" w:cstheme="minorBidi"/>
          <w:smallCaps w:val="0"/>
          <w:noProof/>
          <w:color w:val="auto"/>
          <w:sz w:val="22"/>
          <w:szCs w:val="22"/>
          <w:lang w:eastAsia="pl-PL"/>
        </w:rPr>
      </w:pPr>
      <w:r w:rsidRPr="00280442">
        <w:rPr>
          <w:rFonts w:ascii="Arial" w:hAnsi="Arial" w:cs="Arial"/>
          <w:color w:val="auto"/>
          <w:sz w:val="24"/>
          <w:szCs w:val="24"/>
        </w:rPr>
        <w:fldChar w:fldCharType="begin"/>
      </w:r>
      <w:r w:rsidRPr="00280442">
        <w:rPr>
          <w:rFonts w:ascii="Arial" w:hAnsi="Arial" w:cs="Arial"/>
          <w:color w:val="auto"/>
          <w:sz w:val="24"/>
          <w:szCs w:val="24"/>
        </w:rPr>
        <w:instrText>TOC \h \z \c "Rysunek"</w:instrText>
      </w:r>
      <w:r w:rsidRPr="00280442">
        <w:rPr>
          <w:rFonts w:ascii="Arial" w:hAnsi="Arial" w:cs="Arial"/>
          <w:color w:val="auto"/>
          <w:sz w:val="24"/>
          <w:szCs w:val="24"/>
        </w:rPr>
        <w:fldChar w:fldCharType="separate"/>
      </w:r>
      <w:hyperlink w:anchor="_Toc101904240" w:history="1">
        <w:r w:rsidR="00280442" w:rsidRPr="00280442">
          <w:rPr>
            <w:rStyle w:val="Hipercze"/>
            <w:rFonts w:ascii="Arial" w:hAnsi="Arial" w:cs="Arial"/>
            <w:noProof/>
            <w:color w:val="auto"/>
          </w:rPr>
          <w:t>Rysunek 1. Logiczna struktura ewaluacji ex ante Programu Strategicznego Rozwoju Transportu Województwa Podkarpackiego do roku 2030</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_Toc101904240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12</w:t>
        </w:r>
        <w:r w:rsidR="00280442" w:rsidRPr="00280442">
          <w:rPr>
            <w:noProof/>
            <w:webHidden/>
            <w:color w:val="auto"/>
          </w:rPr>
          <w:fldChar w:fldCharType="end"/>
        </w:r>
      </w:hyperlink>
    </w:p>
    <w:p w14:paraId="5F3431F8" w14:textId="6E80B921"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41" w:history="1">
        <w:r w:rsidR="00280442" w:rsidRPr="00280442">
          <w:rPr>
            <w:rStyle w:val="Hipercze"/>
            <w:rFonts w:ascii="Arial" w:hAnsi="Arial" w:cs="Arial"/>
            <w:noProof/>
            <w:color w:val="auto"/>
          </w:rPr>
          <w:t>Rysunek 2. Schemat logiki interwencji przyjętej w matrycach logicznych</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_Toc101904241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90</w:t>
        </w:r>
        <w:r w:rsidR="00280442" w:rsidRPr="00280442">
          <w:rPr>
            <w:noProof/>
            <w:webHidden/>
            <w:color w:val="auto"/>
          </w:rPr>
          <w:fldChar w:fldCharType="end"/>
        </w:r>
      </w:hyperlink>
    </w:p>
    <w:p w14:paraId="1BC31751" w14:textId="706DE862" w:rsidR="00AB5C42" w:rsidRPr="00280442" w:rsidRDefault="00747883" w:rsidP="009367B4">
      <w:pPr>
        <w:jc w:val="left"/>
        <w:rPr>
          <w:rFonts w:ascii="Arial" w:hAnsi="Arial" w:cs="Arial"/>
          <w:color w:val="auto"/>
          <w:sz w:val="24"/>
          <w:szCs w:val="24"/>
        </w:rPr>
      </w:pPr>
      <w:r w:rsidRPr="00280442">
        <w:rPr>
          <w:rFonts w:ascii="Arial" w:hAnsi="Arial" w:cs="Arial"/>
          <w:color w:val="auto"/>
          <w:sz w:val="24"/>
          <w:szCs w:val="24"/>
        </w:rPr>
        <w:fldChar w:fldCharType="end"/>
      </w:r>
    </w:p>
    <w:p w14:paraId="302DE055" w14:textId="2497D0F6" w:rsidR="00AB5C42" w:rsidRPr="00280442" w:rsidRDefault="00AB5C42" w:rsidP="009367B4">
      <w:pPr>
        <w:jc w:val="left"/>
        <w:rPr>
          <w:rFonts w:ascii="Arial" w:hAnsi="Arial" w:cs="Arial"/>
          <w:color w:val="auto"/>
          <w:sz w:val="24"/>
          <w:szCs w:val="24"/>
          <w:lang w:eastAsia="pl-PL"/>
        </w:rPr>
      </w:pPr>
    </w:p>
    <w:p w14:paraId="21B003E7" w14:textId="49A0359D" w:rsidR="00280442" w:rsidRPr="00280442" w:rsidRDefault="007750F5">
      <w:pPr>
        <w:pStyle w:val="Spisilustracji"/>
        <w:tabs>
          <w:tab w:val="right" w:leader="dot" w:pos="9062"/>
        </w:tabs>
        <w:rPr>
          <w:rFonts w:eastAsiaTheme="minorEastAsia" w:cstheme="minorBidi"/>
          <w:smallCaps w:val="0"/>
          <w:noProof/>
          <w:color w:val="auto"/>
          <w:sz w:val="22"/>
          <w:szCs w:val="22"/>
          <w:lang w:eastAsia="pl-PL"/>
        </w:rPr>
      </w:pPr>
      <w:r w:rsidRPr="00280442">
        <w:rPr>
          <w:rFonts w:ascii="Arial" w:hAnsi="Arial" w:cs="Arial"/>
          <w:color w:val="auto"/>
          <w:sz w:val="24"/>
          <w:szCs w:val="24"/>
          <w:lang w:eastAsia="pl-PL"/>
        </w:rPr>
        <w:fldChar w:fldCharType="begin"/>
      </w:r>
      <w:r w:rsidRPr="00280442">
        <w:rPr>
          <w:rFonts w:ascii="Arial" w:hAnsi="Arial" w:cs="Arial"/>
          <w:color w:val="auto"/>
          <w:sz w:val="24"/>
          <w:szCs w:val="24"/>
          <w:lang w:eastAsia="pl-PL"/>
        </w:rPr>
        <w:instrText xml:space="preserve"> TOC \h \z \c "Wykres" </w:instrText>
      </w:r>
      <w:r w:rsidRPr="00280442">
        <w:rPr>
          <w:rFonts w:ascii="Arial" w:hAnsi="Arial" w:cs="Arial"/>
          <w:color w:val="auto"/>
          <w:sz w:val="24"/>
          <w:szCs w:val="24"/>
          <w:lang w:eastAsia="pl-PL"/>
        </w:rPr>
        <w:fldChar w:fldCharType="separate"/>
      </w:r>
      <w:hyperlink w:anchor="_Toc101904223" w:history="1">
        <w:r w:rsidR="00280442" w:rsidRPr="00280442">
          <w:rPr>
            <w:rStyle w:val="Hipercze"/>
            <w:rFonts w:ascii="Arial" w:hAnsi="Arial" w:cs="Arial"/>
            <w:noProof/>
            <w:color w:val="auto"/>
          </w:rPr>
          <w:t>Wykres 1. Linie regularnej komunikacji autobusowej – podmiejskie (szt. – prawa oś; dynamika – lewa oś)</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_Toc101904223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110</w:t>
        </w:r>
        <w:r w:rsidR="00280442" w:rsidRPr="00280442">
          <w:rPr>
            <w:noProof/>
            <w:webHidden/>
            <w:color w:val="auto"/>
          </w:rPr>
          <w:fldChar w:fldCharType="end"/>
        </w:r>
      </w:hyperlink>
    </w:p>
    <w:p w14:paraId="789270B5" w14:textId="27CBF808"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24" w:history="1">
        <w:r w:rsidR="00280442" w:rsidRPr="00280442">
          <w:rPr>
            <w:rStyle w:val="Hipercze"/>
            <w:rFonts w:ascii="Arial" w:hAnsi="Arial" w:cs="Arial"/>
            <w:noProof/>
            <w:color w:val="auto"/>
          </w:rPr>
          <w:t>Wykres 2. Zużycie energii elektrycznej w transporcie (GWh – prawa oś; dynamika – lewa oś)</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_Toc101904224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111</w:t>
        </w:r>
        <w:r w:rsidR="00280442" w:rsidRPr="00280442">
          <w:rPr>
            <w:noProof/>
            <w:webHidden/>
            <w:color w:val="auto"/>
          </w:rPr>
          <w:fldChar w:fldCharType="end"/>
        </w:r>
      </w:hyperlink>
    </w:p>
    <w:p w14:paraId="24FACE03" w14:textId="44678B9B"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25" w:history="1">
        <w:r w:rsidR="00280442" w:rsidRPr="00280442">
          <w:rPr>
            <w:rStyle w:val="Hipercze"/>
            <w:rFonts w:ascii="Arial" w:hAnsi="Arial" w:cs="Arial"/>
            <w:noProof/>
            <w:color w:val="auto"/>
          </w:rPr>
          <w:t>Wykres 3. Drogi ekspresowe i autostrady na 100 km</w:t>
        </w:r>
        <w:r w:rsidR="00280442" w:rsidRPr="00280442">
          <w:rPr>
            <w:rStyle w:val="Hipercze"/>
            <w:rFonts w:ascii="Arial" w:hAnsi="Arial" w:cs="Arial"/>
            <w:noProof/>
            <w:color w:val="auto"/>
            <w:vertAlign w:val="superscript"/>
          </w:rPr>
          <w:t>2</w:t>
        </w:r>
        <w:r w:rsidR="00280442" w:rsidRPr="00280442">
          <w:rPr>
            <w:rStyle w:val="Hipercze"/>
            <w:rFonts w:ascii="Arial" w:hAnsi="Arial" w:cs="Arial"/>
            <w:noProof/>
            <w:color w:val="auto"/>
          </w:rPr>
          <w:t xml:space="preserve"> – trend wskaźnika w latach 2005-2020 i prognoza do 2030 roku</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_Toc101904225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206</w:t>
        </w:r>
        <w:r w:rsidR="00280442" w:rsidRPr="00280442">
          <w:rPr>
            <w:noProof/>
            <w:webHidden/>
            <w:color w:val="auto"/>
          </w:rPr>
          <w:fldChar w:fldCharType="end"/>
        </w:r>
      </w:hyperlink>
    </w:p>
    <w:p w14:paraId="44BDFF1D" w14:textId="57549A11"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26" w:history="1">
        <w:r w:rsidR="00280442" w:rsidRPr="00280442">
          <w:rPr>
            <w:rStyle w:val="Hipercze"/>
            <w:rFonts w:ascii="Arial" w:hAnsi="Arial" w:cs="Arial"/>
            <w:noProof/>
            <w:color w:val="auto"/>
          </w:rPr>
          <w:t>Wykres 4. Krajowe mosty i wiadukty – trend wskaźnika w latach 2001-2020 i prognoza do 2030 roku</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_Toc101904226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206</w:t>
        </w:r>
        <w:r w:rsidR="00280442" w:rsidRPr="00280442">
          <w:rPr>
            <w:noProof/>
            <w:webHidden/>
            <w:color w:val="auto"/>
          </w:rPr>
          <w:fldChar w:fldCharType="end"/>
        </w:r>
      </w:hyperlink>
    </w:p>
    <w:p w14:paraId="47F0D3F3" w14:textId="7B7930A3"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27" w:history="1">
        <w:r w:rsidR="00280442" w:rsidRPr="00280442">
          <w:rPr>
            <w:rStyle w:val="Hipercze"/>
            <w:rFonts w:ascii="Arial" w:hAnsi="Arial" w:cs="Arial"/>
            <w:noProof/>
            <w:color w:val="auto"/>
          </w:rPr>
          <w:t>Wykres 5. Ruch pasażerów w portach lotniczych – przyjazdy i wyjazdy – trend wskaźnika w latach 1999-2020 i prognoza do 2030 roku</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_Toc101904227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207</w:t>
        </w:r>
        <w:r w:rsidR="00280442" w:rsidRPr="00280442">
          <w:rPr>
            <w:noProof/>
            <w:webHidden/>
            <w:color w:val="auto"/>
          </w:rPr>
          <w:fldChar w:fldCharType="end"/>
        </w:r>
      </w:hyperlink>
    </w:p>
    <w:p w14:paraId="7CFFF800" w14:textId="037C5D15"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28" w:history="1">
        <w:r w:rsidR="00280442" w:rsidRPr="00280442">
          <w:rPr>
            <w:rStyle w:val="Hipercze"/>
            <w:rFonts w:ascii="Arial" w:hAnsi="Arial" w:cs="Arial"/>
            <w:noProof/>
            <w:color w:val="auto"/>
          </w:rPr>
          <w:t>Wykres 6. Drogi lokalne o nawierzchni twardej ulepszonej – trend wskaźnika w latach 2001-2020 i prognoza do 2030 roku</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_Toc101904228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207</w:t>
        </w:r>
        <w:r w:rsidR="00280442" w:rsidRPr="00280442">
          <w:rPr>
            <w:noProof/>
            <w:webHidden/>
            <w:color w:val="auto"/>
          </w:rPr>
          <w:fldChar w:fldCharType="end"/>
        </w:r>
      </w:hyperlink>
    </w:p>
    <w:p w14:paraId="02DA1955" w14:textId="319E4E67"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29" w:history="1">
        <w:r w:rsidR="00280442" w:rsidRPr="00280442">
          <w:rPr>
            <w:rStyle w:val="Hipercze"/>
            <w:rFonts w:ascii="Arial" w:hAnsi="Arial" w:cs="Arial"/>
            <w:noProof/>
            <w:color w:val="auto"/>
          </w:rPr>
          <w:t>Wykres 7. Wojewódzkie mosty i wiadukty – trend wskaźnika w latach 2001-2020 i prognoza do 2030 roku</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_Toc101904229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208</w:t>
        </w:r>
        <w:r w:rsidR="00280442" w:rsidRPr="00280442">
          <w:rPr>
            <w:noProof/>
            <w:webHidden/>
            <w:color w:val="auto"/>
          </w:rPr>
          <w:fldChar w:fldCharType="end"/>
        </w:r>
      </w:hyperlink>
    </w:p>
    <w:p w14:paraId="040A72C7" w14:textId="51FBE194"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30" w:history="1">
        <w:r w:rsidR="00280442" w:rsidRPr="00280442">
          <w:rPr>
            <w:rStyle w:val="Hipercze"/>
            <w:rFonts w:ascii="Arial" w:hAnsi="Arial" w:cs="Arial"/>
            <w:noProof/>
            <w:color w:val="auto"/>
          </w:rPr>
          <w:t>Wykres 8. Lokalne mosty i wiadukty – trend wskaźnika w latach 2001-2020 i prognoza do 2030 roku</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_Toc101904230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208</w:t>
        </w:r>
        <w:r w:rsidR="00280442" w:rsidRPr="00280442">
          <w:rPr>
            <w:noProof/>
            <w:webHidden/>
            <w:color w:val="auto"/>
          </w:rPr>
          <w:fldChar w:fldCharType="end"/>
        </w:r>
      </w:hyperlink>
    </w:p>
    <w:p w14:paraId="1FE1E5CF" w14:textId="6DBB47E6"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31" w:history="1">
        <w:r w:rsidR="00280442" w:rsidRPr="00280442">
          <w:rPr>
            <w:rStyle w:val="Hipercze"/>
            <w:rFonts w:ascii="Arial" w:hAnsi="Arial" w:cs="Arial"/>
            <w:noProof/>
            <w:color w:val="auto"/>
          </w:rPr>
          <w:t>Wykres 9. Linie kolejowe normalnotorowe dwu- i więcej torowe – trend wskaźnika w latach 1999-2020 i prognoza do 2030 roku</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_Toc101904231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209</w:t>
        </w:r>
        <w:r w:rsidR="00280442" w:rsidRPr="00280442">
          <w:rPr>
            <w:noProof/>
            <w:webHidden/>
            <w:color w:val="auto"/>
          </w:rPr>
          <w:fldChar w:fldCharType="end"/>
        </w:r>
      </w:hyperlink>
    </w:p>
    <w:p w14:paraId="3839F26F" w14:textId="6596DC05"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32" w:history="1">
        <w:r w:rsidR="00280442" w:rsidRPr="00280442">
          <w:rPr>
            <w:rStyle w:val="Hipercze"/>
            <w:rFonts w:ascii="Arial" w:hAnsi="Arial" w:cs="Arial"/>
            <w:noProof/>
            <w:color w:val="auto"/>
          </w:rPr>
          <w:t>Wykres 10. Linie komunikacji miejskiej – trend wskaźnika w latach 2012-2020 i prognoza do 2030 roku</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_Toc101904232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209</w:t>
        </w:r>
        <w:r w:rsidR="00280442" w:rsidRPr="00280442">
          <w:rPr>
            <w:noProof/>
            <w:webHidden/>
            <w:color w:val="auto"/>
          </w:rPr>
          <w:fldChar w:fldCharType="end"/>
        </w:r>
      </w:hyperlink>
    </w:p>
    <w:p w14:paraId="2216586B" w14:textId="1A869C4E"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33" w:history="1">
        <w:r w:rsidR="00280442" w:rsidRPr="00280442">
          <w:rPr>
            <w:rStyle w:val="Hipercze"/>
            <w:rFonts w:ascii="Arial" w:hAnsi="Arial" w:cs="Arial"/>
            <w:noProof/>
            <w:color w:val="auto"/>
          </w:rPr>
          <w:t>Wykres 11. Przeciętny przebieg 1 wozu w ciągu doby – trend wskaźnika w latach 2009-2020 i prognoza do 2030 roku</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_Toc101904233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210</w:t>
        </w:r>
        <w:r w:rsidR="00280442" w:rsidRPr="00280442">
          <w:rPr>
            <w:noProof/>
            <w:webHidden/>
            <w:color w:val="auto"/>
          </w:rPr>
          <w:fldChar w:fldCharType="end"/>
        </w:r>
      </w:hyperlink>
    </w:p>
    <w:p w14:paraId="4E4AB29F" w14:textId="2B7E2892"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34" w:history="1">
        <w:r w:rsidR="00280442" w:rsidRPr="00280442">
          <w:rPr>
            <w:rStyle w:val="Hipercze"/>
            <w:rFonts w:ascii="Arial" w:hAnsi="Arial" w:cs="Arial"/>
            <w:noProof/>
            <w:color w:val="auto"/>
          </w:rPr>
          <w:t>Wykres 12. Przewozy pasażerów środkami komunikacji miejskiej – trend wskaźnika w latach 2009-2020 i prognoza do 2030 roku</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_Toc101904234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210</w:t>
        </w:r>
        <w:r w:rsidR="00280442" w:rsidRPr="00280442">
          <w:rPr>
            <w:noProof/>
            <w:webHidden/>
            <w:color w:val="auto"/>
          </w:rPr>
          <w:fldChar w:fldCharType="end"/>
        </w:r>
      </w:hyperlink>
    </w:p>
    <w:p w14:paraId="22B36EFB" w14:textId="2BF65678"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35" w:history="1">
        <w:r w:rsidR="00280442" w:rsidRPr="00280442">
          <w:rPr>
            <w:rStyle w:val="Hipercze"/>
            <w:rFonts w:ascii="Arial" w:hAnsi="Arial" w:cs="Arial"/>
            <w:noProof/>
            <w:color w:val="auto"/>
          </w:rPr>
          <w:t>Wykres 13. Długość zelektryfikowanych linii kolejowych – trend wskaźnika w latach 1999-2020 i prognoza do 2030 roku</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_Toc101904235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211</w:t>
        </w:r>
        <w:r w:rsidR="00280442" w:rsidRPr="00280442">
          <w:rPr>
            <w:noProof/>
            <w:webHidden/>
            <w:color w:val="auto"/>
          </w:rPr>
          <w:fldChar w:fldCharType="end"/>
        </w:r>
      </w:hyperlink>
    </w:p>
    <w:p w14:paraId="58B55844" w14:textId="58AE5AEF"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36" w:history="1">
        <w:r w:rsidR="00280442" w:rsidRPr="00280442">
          <w:rPr>
            <w:rStyle w:val="Hipercze"/>
            <w:rFonts w:ascii="Arial" w:hAnsi="Arial" w:cs="Arial"/>
            <w:noProof/>
            <w:color w:val="auto"/>
          </w:rPr>
          <w:t>Wykres 14. Liczba parkingów w systemie Parkuj i Jedź (Park &amp; Ride) – trend wskaźnika w latach 2016-2020</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_Toc101904236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211</w:t>
        </w:r>
        <w:r w:rsidR="00280442" w:rsidRPr="00280442">
          <w:rPr>
            <w:noProof/>
            <w:webHidden/>
            <w:color w:val="auto"/>
          </w:rPr>
          <w:fldChar w:fldCharType="end"/>
        </w:r>
      </w:hyperlink>
    </w:p>
    <w:p w14:paraId="400814AD" w14:textId="54DDC1AE"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37" w:history="1">
        <w:r w:rsidR="00280442" w:rsidRPr="00280442">
          <w:rPr>
            <w:rStyle w:val="Hipercze"/>
            <w:rFonts w:ascii="Arial" w:hAnsi="Arial" w:cs="Arial"/>
            <w:noProof/>
            <w:color w:val="auto"/>
          </w:rPr>
          <w:t>Wykres 15. Liczba przystanków autobusowych – trend wskaźnika w latach 2018-2020 i prognoza do 2030 roku</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_Toc101904237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212</w:t>
        </w:r>
        <w:r w:rsidR="00280442" w:rsidRPr="00280442">
          <w:rPr>
            <w:noProof/>
            <w:webHidden/>
            <w:color w:val="auto"/>
          </w:rPr>
          <w:fldChar w:fldCharType="end"/>
        </w:r>
      </w:hyperlink>
    </w:p>
    <w:p w14:paraId="110E00E0" w14:textId="0E0A5160"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38" w:history="1">
        <w:r w:rsidR="00280442" w:rsidRPr="00280442">
          <w:rPr>
            <w:rStyle w:val="Hipercze"/>
            <w:rFonts w:ascii="Arial" w:hAnsi="Arial" w:cs="Arial"/>
            <w:noProof/>
            <w:color w:val="auto"/>
          </w:rPr>
          <w:t>Wykres 16. Liczba autobusów komunikacji miejskiej przystosowanych do przewozu osób niepełnosprawnych – trend wskaźnika w latach 2009-2020 i prognoza do 2030 roku</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_Toc101904238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212</w:t>
        </w:r>
        <w:r w:rsidR="00280442" w:rsidRPr="00280442">
          <w:rPr>
            <w:noProof/>
            <w:webHidden/>
            <w:color w:val="auto"/>
          </w:rPr>
          <w:fldChar w:fldCharType="end"/>
        </w:r>
      </w:hyperlink>
    </w:p>
    <w:p w14:paraId="6144448D" w14:textId="12F6F287" w:rsidR="00280442" w:rsidRPr="00280442" w:rsidRDefault="0014299C">
      <w:pPr>
        <w:pStyle w:val="Spisilustracji"/>
        <w:tabs>
          <w:tab w:val="right" w:leader="dot" w:pos="9062"/>
        </w:tabs>
        <w:rPr>
          <w:rFonts w:eastAsiaTheme="minorEastAsia" w:cstheme="minorBidi"/>
          <w:smallCaps w:val="0"/>
          <w:noProof/>
          <w:color w:val="auto"/>
          <w:sz w:val="22"/>
          <w:szCs w:val="22"/>
          <w:lang w:eastAsia="pl-PL"/>
        </w:rPr>
      </w:pPr>
      <w:hyperlink w:anchor="_Toc101904239" w:history="1">
        <w:r w:rsidR="00280442" w:rsidRPr="00280442">
          <w:rPr>
            <w:rStyle w:val="Hipercze"/>
            <w:rFonts w:ascii="Arial" w:hAnsi="Arial" w:cs="Arial"/>
            <w:noProof/>
            <w:color w:val="auto"/>
          </w:rPr>
          <w:t>Wykres 17. Długość ścieżek rowerowych (km) – trend wskaźnika w latach 2011-2020 i prognoza do 2030 roku</w:t>
        </w:r>
        <w:r w:rsidR="00280442" w:rsidRPr="00280442">
          <w:rPr>
            <w:noProof/>
            <w:webHidden/>
            <w:color w:val="auto"/>
          </w:rPr>
          <w:tab/>
        </w:r>
        <w:r w:rsidR="00280442" w:rsidRPr="00280442">
          <w:rPr>
            <w:noProof/>
            <w:webHidden/>
            <w:color w:val="auto"/>
          </w:rPr>
          <w:fldChar w:fldCharType="begin"/>
        </w:r>
        <w:r w:rsidR="00280442" w:rsidRPr="00280442">
          <w:rPr>
            <w:noProof/>
            <w:webHidden/>
            <w:color w:val="auto"/>
          </w:rPr>
          <w:instrText xml:space="preserve"> PAGEREF _Toc101904239 \h </w:instrText>
        </w:r>
        <w:r w:rsidR="00280442" w:rsidRPr="00280442">
          <w:rPr>
            <w:noProof/>
            <w:webHidden/>
            <w:color w:val="auto"/>
          </w:rPr>
        </w:r>
        <w:r w:rsidR="00280442" w:rsidRPr="00280442">
          <w:rPr>
            <w:noProof/>
            <w:webHidden/>
            <w:color w:val="auto"/>
          </w:rPr>
          <w:fldChar w:fldCharType="separate"/>
        </w:r>
        <w:r w:rsidR="00280442" w:rsidRPr="00280442">
          <w:rPr>
            <w:noProof/>
            <w:webHidden/>
            <w:color w:val="auto"/>
          </w:rPr>
          <w:t>213</w:t>
        </w:r>
        <w:r w:rsidR="00280442" w:rsidRPr="00280442">
          <w:rPr>
            <w:noProof/>
            <w:webHidden/>
            <w:color w:val="auto"/>
          </w:rPr>
          <w:fldChar w:fldCharType="end"/>
        </w:r>
      </w:hyperlink>
    </w:p>
    <w:p w14:paraId="36EA83B3" w14:textId="1306B163" w:rsidR="007750F5" w:rsidRPr="00237760" w:rsidRDefault="007750F5" w:rsidP="009367B4">
      <w:pPr>
        <w:jc w:val="left"/>
        <w:rPr>
          <w:rFonts w:ascii="Arial" w:hAnsi="Arial" w:cs="Arial"/>
          <w:color w:val="auto"/>
          <w:sz w:val="24"/>
          <w:szCs w:val="24"/>
          <w:lang w:eastAsia="pl-PL"/>
        </w:rPr>
      </w:pPr>
      <w:r w:rsidRPr="00280442">
        <w:rPr>
          <w:rFonts w:ascii="Arial" w:hAnsi="Arial" w:cs="Arial"/>
          <w:color w:val="auto"/>
          <w:sz w:val="24"/>
          <w:szCs w:val="24"/>
          <w:lang w:eastAsia="pl-PL"/>
        </w:rPr>
        <w:fldChar w:fldCharType="end"/>
      </w:r>
    </w:p>
    <w:sectPr w:rsidR="007750F5" w:rsidRPr="00237760" w:rsidSect="00F847AA">
      <w:headerReference w:type="default" r:id="rId37"/>
      <w:footerReference w:type="first" r:id="rId38"/>
      <w:pgSz w:w="11906" w:h="16838"/>
      <w:pgMar w:top="1702" w:right="1417" w:bottom="1417" w:left="1417" w:header="170" w:footer="96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80C49E" w14:textId="77777777" w:rsidR="0014299C" w:rsidRDefault="0014299C" w:rsidP="00126413">
      <w:r>
        <w:separator/>
      </w:r>
    </w:p>
  </w:endnote>
  <w:endnote w:type="continuationSeparator" w:id="0">
    <w:p w14:paraId="78C29E5D" w14:textId="77777777" w:rsidR="0014299C" w:rsidRDefault="0014299C" w:rsidP="00126413">
      <w:r>
        <w:continuationSeparator/>
      </w:r>
    </w:p>
  </w:endnote>
  <w:endnote w:type="continuationNotice" w:id="1">
    <w:p w14:paraId="52B63601" w14:textId="77777777" w:rsidR="0014299C" w:rsidRDefault="001429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Yu Mincho Light">
    <w:altName w:val="MS Gothic"/>
    <w:charset w:val="80"/>
    <w:family w:val="roman"/>
    <w:pitch w:val="variable"/>
    <w:sig w:usb0="800002E7" w:usb1="2AC7FCFF" w:usb2="00000012" w:usb3="00000000" w:csb0="0002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FCD04A" w14:textId="15F58EB9" w:rsidR="000F012A" w:rsidRPr="00A86E45" w:rsidRDefault="0014299C" w:rsidP="00751D5A">
    <w:pPr>
      <w:pStyle w:val="Stopka"/>
      <w:jc w:val="right"/>
    </w:pPr>
    <w:sdt>
      <w:sdtPr>
        <w:id w:val="-2005962663"/>
        <w:docPartObj>
          <w:docPartGallery w:val="Page Numbers (Bottom of Page)"/>
          <w:docPartUnique/>
        </w:docPartObj>
      </w:sdtPr>
      <w:sdtEndPr/>
      <w:sdtContent>
        <w:r w:rsidR="000F012A">
          <w:fldChar w:fldCharType="begin"/>
        </w:r>
        <w:r w:rsidR="000F012A">
          <w:instrText>PAGE   \* MERGEFORMAT</w:instrText>
        </w:r>
        <w:r w:rsidR="000F012A">
          <w:fldChar w:fldCharType="separate"/>
        </w:r>
        <w:r w:rsidR="001F55BB">
          <w:rPr>
            <w:noProof/>
          </w:rPr>
          <w:t>21</w:t>
        </w:r>
        <w:r w:rsidR="000F012A">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570"/>
      <w:gridCol w:w="4570"/>
      <w:gridCol w:w="4570"/>
    </w:tblGrid>
    <w:tr w:rsidR="000F012A" w14:paraId="76AB7C7A" w14:textId="77777777" w:rsidTr="0FDAF770">
      <w:tc>
        <w:tcPr>
          <w:tcW w:w="4570" w:type="dxa"/>
        </w:tcPr>
        <w:p w14:paraId="4ED2FDC1" w14:textId="179D6546" w:rsidR="000F012A" w:rsidRDefault="000F012A" w:rsidP="0FDAF770">
          <w:pPr>
            <w:pStyle w:val="Nagwek"/>
            <w:ind w:left="-115"/>
            <w:jc w:val="left"/>
            <w:rPr>
              <w:rFonts w:ascii="Yu Mincho Light" w:hAnsi="Yu Mincho Light" w:cs="Yu Mincho Light"/>
            </w:rPr>
          </w:pPr>
        </w:p>
      </w:tc>
      <w:tc>
        <w:tcPr>
          <w:tcW w:w="4570" w:type="dxa"/>
        </w:tcPr>
        <w:p w14:paraId="107EAFFF" w14:textId="6770353F" w:rsidR="000F012A" w:rsidRDefault="000F012A" w:rsidP="0FDAF770">
          <w:pPr>
            <w:pStyle w:val="Nagwek"/>
            <w:jc w:val="center"/>
            <w:rPr>
              <w:rFonts w:ascii="Yu Mincho Light" w:hAnsi="Yu Mincho Light" w:cs="Yu Mincho Light"/>
            </w:rPr>
          </w:pPr>
        </w:p>
      </w:tc>
      <w:tc>
        <w:tcPr>
          <w:tcW w:w="4570" w:type="dxa"/>
        </w:tcPr>
        <w:p w14:paraId="0FF305B3" w14:textId="0D76C0B5" w:rsidR="000F012A" w:rsidRDefault="000F012A" w:rsidP="0FDAF770">
          <w:pPr>
            <w:pStyle w:val="Nagwek"/>
            <w:ind w:right="-115"/>
            <w:jc w:val="right"/>
            <w:rPr>
              <w:rFonts w:ascii="Yu Mincho Light" w:hAnsi="Yu Mincho Light" w:cs="Yu Mincho Light"/>
            </w:rPr>
          </w:pPr>
        </w:p>
      </w:tc>
    </w:tr>
  </w:tbl>
  <w:p w14:paraId="0D44BBF9" w14:textId="39DBC318" w:rsidR="000F012A" w:rsidRDefault="000F012A">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0F012A" w14:paraId="0179DE2F" w14:textId="77777777" w:rsidTr="0FDAF770">
      <w:tc>
        <w:tcPr>
          <w:tcW w:w="3020" w:type="dxa"/>
        </w:tcPr>
        <w:p w14:paraId="502A9920" w14:textId="7544F3EE" w:rsidR="000F012A" w:rsidRDefault="000F012A" w:rsidP="0FDAF770">
          <w:pPr>
            <w:pStyle w:val="Nagwek"/>
            <w:ind w:left="-115"/>
            <w:jc w:val="left"/>
            <w:rPr>
              <w:rFonts w:ascii="Yu Mincho Light" w:hAnsi="Yu Mincho Light" w:cs="Yu Mincho Light"/>
            </w:rPr>
          </w:pPr>
        </w:p>
      </w:tc>
      <w:tc>
        <w:tcPr>
          <w:tcW w:w="3020" w:type="dxa"/>
        </w:tcPr>
        <w:p w14:paraId="7703DA13" w14:textId="1E21BC3E" w:rsidR="000F012A" w:rsidRDefault="000F012A" w:rsidP="0FDAF770">
          <w:pPr>
            <w:pStyle w:val="Nagwek"/>
            <w:jc w:val="center"/>
            <w:rPr>
              <w:rFonts w:ascii="Yu Mincho Light" w:hAnsi="Yu Mincho Light" w:cs="Yu Mincho Light"/>
            </w:rPr>
          </w:pPr>
        </w:p>
      </w:tc>
      <w:tc>
        <w:tcPr>
          <w:tcW w:w="3020" w:type="dxa"/>
        </w:tcPr>
        <w:p w14:paraId="1B475E7A" w14:textId="36A4BC88" w:rsidR="000F012A" w:rsidRDefault="000F012A" w:rsidP="0FDAF770">
          <w:pPr>
            <w:pStyle w:val="Nagwek"/>
            <w:ind w:right="-115"/>
            <w:jc w:val="right"/>
            <w:rPr>
              <w:rFonts w:ascii="Yu Mincho Light" w:hAnsi="Yu Mincho Light" w:cs="Yu Mincho Light"/>
            </w:rPr>
          </w:pPr>
        </w:p>
      </w:tc>
    </w:tr>
  </w:tbl>
  <w:p w14:paraId="63486B8E" w14:textId="58D0AAC6" w:rsidR="000F012A" w:rsidRDefault="000F012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3D5F06" w14:textId="77777777" w:rsidR="0014299C" w:rsidRDefault="0014299C" w:rsidP="00126413">
      <w:r>
        <w:separator/>
      </w:r>
    </w:p>
  </w:footnote>
  <w:footnote w:type="continuationSeparator" w:id="0">
    <w:p w14:paraId="0AC2D7D3" w14:textId="77777777" w:rsidR="0014299C" w:rsidRDefault="0014299C" w:rsidP="00126413">
      <w:r>
        <w:continuationSeparator/>
      </w:r>
    </w:p>
  </w:footnote>
  <w:footnote w:type="continuationNotice" w:id="1">
    <w:p w14:paraId="44CDC87C" w14:textId="77777777" w:rsidR="0014299C" w:rsidRDefault="0014299C">
      <w:pPr>
        <w:spacing w:after="0" w:line="240" w:lineRule="auto"/>
      </w:pPr>
    </w:p>
  </w:footnote>
  <w:footnote w:id="2">
    <w:p w14:paraId="4FF923AE" w14:textId="77777777" w:rsidR="000F012A" w:rsidRPr="00237760" w:rsidRDefault="000F012A" w:rsidP="003D7F69">
      <w:pPr>
        <w:pStyle w:val="Tekstprzypisudolnego"/>
        <w:jc w:val="left"/>
        <w:rPr>
          <w:rFonts w:ascii="Arial" w:hAnsi="Arial" w:cs="Arial"/>
          <w:color w:val="auto"/>
          <w:sz w:val="24"/>
          <w:szCs w:val="24"/>
        </w:rPr>
      </w:pPr>
      <w:r w:rsidRPr="00237760">
        <w:rPr>
          <w:rStyle w:val="Odwoanieprzypisudolnego"/>
          <w:rFonts w:ascii="Arial" w:hAnsi="Arial" w:cs="Arial"/>
          <w:color w:val="auto"/>
          <w:sz w:val="24"/>
          <w:szCs w:val="24"/>
        </w:rPr>
        <w:footnoteRef/>
      </w:r>
      <w:r w:rsidRPr="00237760">
        <w:rPr>
          <w:rFonts w:ascii="Arial" w:hAnsi="Arial" w:cs="Arial"/>
          <w:color w:val="auto"/>
          <w:sz w:val="24"/>
          <w:szCs w:val="24"/>
        </w:rPr>
        <w:t xml:space="preserve"> Ze względu na fakt, iż ewaluacja ma charakter bazującej na teorii, kryterium skuteczności oraz efektywności stosowane będzie w sensie „przewidywanej skuteczności” i „przewidywanej efektywności”.</w:t>
      </w:r>
    </w:p>
  </w:footnote>
  <w:footnote w:id="3">
    <w:p w14:paraId="5F6F005A" w14:textId="77777777" w:rsidR="000F012A" w:rsidRPr="00237760" w:rsidRDefault="000F012A" w:rsidP="003D7F69">
      <w:pPr>
        <w:pStyle w:val="Tekstprzypisudolnego"/>
        <w:jc w:val="left"/>
        <w:rPr>
          <w:rFonts w:ascii="Arial" w:hAnsi="Arial" w:cs="Arial"/>
          <w:color w:val="auto"/>
          <w:sz w:val="24"/>
          <w:szCs w:val="24"/>
        </w:rPr>
      </w:pPr>
      <w:r w:rsidRPr="00237760">
        <w:rPr>
          <w:rStyle w:val="Odwoanieprzypisudolnego"/>
          <w:rFonts w:ascii="Arial" w:hAnsi="Arial" w:cs="Arial"/>
          <w:color w:val="auto"/>
          <w:sz w:val="24"/>
          <w:szCs w:val="24"/>
        </w:rPr>
        <w:footnoteRef/>
      </w:r>
      <w:r w:rsidRPr="00237760">
        <w:rPr>
          <w:rFonts w:ascii="Arial" w:hAnsi="Arial" w:cs="Arial"/>
          <w:color w:val="auto"/>
          <w:sz w:val="24"/>
          <w:szCs w:val="24"/>
        </w:rPr>
        <w:t xml:space="preserve"> Ze względu na fakt, iż ewaluacja ma charakter bazującej na teorii, kryterium skuteczności oraz efektywności stosowane będzie w sensie „przewidywanej skuteczności” i „przewidywanej efektywności”.</w:t>
      </w:r>
    </w:p>
  </w:footnote>
  <w:footnote w:id="4">
    <w:p w14:paraId="44E3949A" w14:textId="77777777" w:rsidR="000F012A" w:rsidRPr="00237760" w:rsidRDefault="000F012A" w:rsidP="003D7F69">
      <w:pPr>
        <w:pStyle w:val="Tekstprzypisudolnego"/>
        <w:jc w:val="left"/>
        <w:rPr>
          <w:rFonts w:ascii="Arial" w:hAnsi="Arial" w:cs="Arial"/>
          <w:color w:val="auto"/>
          <w:sz w:val="24"/>
          <w:szCs w:val="24"/>
        </w:rPr>
      </w:pPr>
      <w:r w:rsidRPr="00237760">
        <w:rPr>
          <w:rStyle w:val="Odwoanieprzypisudolnego"/>
          <w:rFonts w:ascii="Arial" w:hAnsi="Arial" w:cs="Arial"/>
          <w:color w:val="auto"/>
          <w:sz w:val="24"/>
          <w:szCs w:val="24"/>
        </w:rPr>
        <w:footnoteRef/>
      </w:r>
      <w:r w:rsidRPr="00237760">
        <w:rPr>
          <w:rFonts w:ascii="Arial" w:hAnsi="Arial" w:cs="Arial"/>
          <w:color w:val="auto"/>
          <w:sz w:val="24"/>
          <w:szCs w:val="24"/>
        </w:rPr>
        <w:t xml:space="preserve"> Zasoby cyfrowe w tym kontekście rozumiane jako infrastruktura internetowa, pozwalająca na korzystanie z nowoczesnych form transportu.</w:t>
      </w:r>
    </w:p>
  </w:footnote>
  <w:footnote w:id="5">
    <w:p w14:paraId="140F46F2" w14:textId="77777777" w:rsidR="000F012A" w:rsidRPr="00237760" w:rsidRDefault="000F012A" w:rsidP="003D7F69">
      <w:pPr>
        <w:pStyle w:val="Tekstprzypisudolnego"/>
        <w:jc w:val="left"/>
        <w:rPr>
          <w:rFonts w:ascii="Arial" w:hAnsi="Arial" w:cs="Arial"/>
          <w:color w:val="auto"/>
          <w:sz w:val="24"/>
          <w:szCs w:val="24"/>
        </w:rPr>
      </w:pPr>
      <w:r w:rsidRPr="00237760">
        <w:rPr>
          <w:rStyle w:val="Odwoanieprzypisudolnego"/>
          <w:rFonts w:ascii="Arial" w:hAnsi="Arial" w:cs="Arial"/>
          <w:color w:val="auto"/>
          <w:sz w:val="24"/>
          <w:szCs w:val="24"/>
        </w:rPr>
        <w:footnoteRef/>
      </w:r>
      <w:r w:rsidRPr="00237760">
        <w:rPr>
          <w:rFonts w:ascii="Arial" w:hAnsi="Arial" w:cs="Arial"/>
          <w:color w:val="auto"/>
          <w:sz w:val="24"/>
          <w:szCs w:val="24"/>
        </w:rPr>
        <w:t xml:space="preserve"> </w:t>
      </w:r>
      <w:r w:rsidRPr="00237760">
        <w:rPr>
          <w:rFonts w:ascii="Arial" w:hAnsi="Arial" w:cs="Arial"/>
          <w:color w:val="auto"/>
          <w:sz w:val="24"/>
          <w:szCs w:val="24"/>
          <w:shd w:val="clear" w:color="auto" w:fill="FFFFFF" w:themeFill="background1"/>
        </w:rPr>
        <w:t>Przez działanie: wsparcie realizacji inwestycji transportowych obejmujące również kanały technologiczne i infrastrukturę teletechniczną (rozwój społeczeństwa informacyjnego wraz z e-usługami oraz transmisją danych). Tworzenie infrastruktury transportowej dla rozwoju działalności przemysłowej.</w:t>
      </w:r>
    </w:p>
  </w:footnote>
  <w:footnote w:id="6">
    <w:p w14:paraId="568A38FC" w14:textId="77777777" w:rsidR="000F012A" w:rsidRPr="00237760" w:rsidRDefault="000F012A" w:rsidP="003D7F69">
      <w:pPr>
        <w:pStyle w:val="Tekstprzypisudolnego"/>
        <w:jc w:val="left"/>
        <w:rPr>
          <w:rFonts w:ascii="Arial" w:hAnsi="Arial" w:cs="Arial"/>
          <w:color w:val="auto"/>
          <w:sz w:val="24"/>
          <w:szCs w:val="24"/>
        </w:rPr>
      </w:pPr>
      <w:r w:rsidRPr="00237760">
        <w:rPr>
          <w:rStyle w:val="Odwoanieprzypisudolnego"/>
          <w:rFonts w:ascii="Arial" w:hAnsi="Arial" w:cs="Arial"/>
          <w:color w:val="auto"/>
          <w:sz w:val="24"/>
          <w:szCs w:val="24"/>
        </w:rPr>
        <w:footnoteRef/>
      </w:r>
      <w:r w:rsidRPr="00237760">
        <w:rPr>
          <w:rFonts w:ascii="Arial" w:hAnsi="Arial" w:cs="Arial"/>
          <w:color w:val="auto"/>
          <w:sz w:val="24"/>
          <w:szCs w:val="24"/>
        </w:rPr>
        <w:t xml:space="preserve"> Przez działanie: rozwój transportu publicznego lub lokalnych rozwiązań alternatywnych (typu car-sharing, car-pooling, autobus na życzenie) na obszarach zagrożonych wykluczeniem transportowym, gdzie celem jest zapewnienie obsługi ludności bez dostępu do indywidualnych środków transportu oraz gdzie funkcjonowanie prywatnych przewoźników jest często nieopłacalne.</w:t>
      </w:r>
    </w:p>
  </w:footnote>
  <w:footnote w:id="7">
    <w:p w14:paraId="29217427" w14:textId="77777777" w:rsidR="000F012A" w:rsidRPr="00237760" w:rsidRDefault="000F012A" w:rsidP="003D7F69">
      <w:pPr>
        <w:pStyle w:val="Tekstprzypisudolnego"/>
        <w:jc w:val="left"/>
        <w:rPr>
          <w:rFonts w:ascii="Arial" w:hAnsi="Arial" w:cs="Arial"/>
          <w:color w:val="auto"/>
          <w:sz w:val="24"/>
          <w:szCs w:val="24"/>
        </w:rPr>
      </w:pPr>
      <w:r w:rsidRPr="00237760">
        <w:rPr>
          <w:rStyle w:val="Odwoanieprzypisudolnego"/>
          <w:rFonts w:ascii="Arial" w:hAnsi="Arial" w:cs="Arial"/>
          <w:color w:val="auto"/>
          <w:sz w:val="24"/>
          <w:szCs w:val="24"/>
        </w:rPr>
        <w:footnoteRef/>
      </w:r>
      <w:r w:rsidRPr="00237760">
        <w:rPr>
          <w:rFonts w:ascii="Arial" w:hAnsi="Arial" w:cs="Arial"/>
          <w:color w:val="auto"/>
          <w:sz w:val="24"/>
          <w:szCs w:val="24"/>
        </w:rPr>
        <w:t xml:space="preserve"> Badano m.in. powody niekorzystania z transportu zbiorowego oraz co skłoniłoby mieszkańców do korzystania z tych usług</w:t>
      </w:r>
    </w:p>
  </w:footnote>
  <w:footnote w:id="8">
    <w:p w14:paraId="0371C587" w14:textId="77777777" w:rsidR="000F012A" w:rsidRPr="00237760" w:rsidRDefault="000F012A" w:rsidP="003D7F69">
      <w:pPr>
        <w:pStyle w:val="Tekstprzypisudolnego"/>
        <w:jc w:val="left"/>
        <w:rPr>
          <w:rFonts w:ascii="Arial" w:hAnsi="Arial" w:cs="Arial"/>
          <w:color w:val="auto"/>
          <w:sz w:val="24"/>
          <w:szCs w:val="24"/>
        </w:rPr>
      </w:pPr>
      <w:r w:rsidRPr="00237760">
        <w:rPr>
          <w:rStyle w:val="Odwoanieprzypisudolnego"/>
          <w:rFonts w:ascii="Arial" w:hAnsi="Arial" w:cs="Arial"/>
          <w:color w:val="auto"/>
          <w:sz w:val="24"/>
          <w:szCs w:val="24"/>
        </w:rPr>
        <w:footnoteRef/>
      </w:r>
      <w:r w:rsidRPr="00237760">
        <w:rPr>
          <w:rFonts w:ascii="Arial" w:hAnsi="Arial" w:cs="Arial"/>
          <w:color w:val="auto"/>
          <w:sz w:val="24"/>
          <w:szCs w:val="24"/>
        </w:rPr>
        <w:t xml:space="preserve"> Poprzez działania wpływające na zmniejszenie zagrożenia wykluczeniem transportowym, niwelowania barier transportowych i polepszania dostępności.</w:t>
      </w:r>
    </w:p>
  </w:footnote>
  <w:footnote w:id="9">
    <w:p w14:paraId="3EB378DA" w14:textId="77777777" w:rsidR="000F012A" w:rsidRPr="00237760" w:rsidRDefault="000F012A" w:rsidP="003D7F69">
      <w:pPr>
        <w:pStyle w:val="Tekstprzypisudolnego"/>
        <w:jc w:val="left"/>
        <w:rPr>
          <w:rFonts w:ascii="Arial" w:hAnsi="Arial" w:cs="Arial"/>
          <w:color w:val="auto"/>
          <w:sz w:val="24"/>
          <w:szCs w:val="24"/>
        </w:rPr>
      </w:pPr>
      <w:r w:rsidRPr="00237760">
        <w:rPr>
          <w:rStyle w:val="Odwoanieprzypisudolnego"/>
          <w:rFonts w:ascii="Arial" w:hAnsi="Arial" w:cs="Arial"/>
          <w:color w:val="auto"/>
          <w:sz w:val="24"/>
          <w:szCs w:val="24"/>
        </w:rPr>
        <w:footnoteRef/>
      </w:r>
      <w:r w:rsidRPr="00237760">
        <w:rPr>
          <w:rFonts w:ascii="Arial" w:hAnsi="Arial" w:cs="Arial"/>
          <w:color w:val="auto"/>
          <w:sz w:val="24"/>
          <w:szCs w:val="24"/>
        </w:rPr>
        <w:t xml:space="preserve"> W szczególności poprzez kierunek: Rozwój infrastruktury dedykowanej mikromobilności.</w:t>
      </w:r>
    </w:p>
  </w:footnote>
  <w:footnote w:id="10">
    <w:p w14:paraId="06300E81" w14:textId="77777777" w:rsidR="000F012A" w:rsidRPr="00237760" w:rsidRDefault="000F012A" w:rsidP="003D7F69">
      <w:pPr>
        <w:pStyle w:val="Tekstprzypisudolnego"/>
        <w:jc w:val="left"/>
        <w:rPr>
          <w:rFonts w:ascii="Arial" w:hAnsi="Arial" w:cs="Arial"/>
          <w:color w:val="auto"/>
          <w:sz w:val="24"/>
          <w:szCs w:val="24"/>
        </w:rPr>
      </w:pPr>
      <w:r w:rsidRPr="00237760">
        <w:rPr>
          <w:rStyle w:val="Odwoanieprzypisudolnego"/>
          <w:rFonts w:ascii="Arial" w:hAnsi="Arial" w:cs="Arial"/>
          <w:color w:val="auto"/>
          <w:sz w:val="24"/>
          <w:szCs w:val="24"/>
        </w:rPr>
        <w:footnoteRef/>
      </w:r>
      <w:r w:rsidRPr="00237760">
        <w:rPr>
          <w:rFonts w:ascii="Arial" w:hAnsi="Arial" w:cs="Arial"/>
          <w:color w:val="auto"/>
          <w:sz w:val="24"/>
          <w:szCs w:val="24"/>
        </w:rPr>
        <w:t xml:space="preserve"> Poprawa jakości taboru wykorzystywanego do przewozu osób w ramach jednego z kierunków.</w:t>
      </w:r>
    </w:p>
  </w:footnote>
  <w:footnote w:id="11">
    <w:p w14:paraId="7CA90D07" w14:textId="77777777" w:rsidR="000F012A" w:rsidRPr="00237760" w:rsidRDefault="000F012A" w:rsidP="003D7F69">
      <w:pPr>
        <w:pStyle w:val="Tekstprzypisudolnego"/>
        <w:jc w:val="left"/>
        <w:rPr>
          <w:rFonts w:ascii="Arial" w:hAnsi="Arial" w:cs="Arial"/>
          <w:color w:val="auto"/>
          <w:sz w:val="24"/>
          <w:szCs w:val="24"/>
        </w:rPr>
      </w:pPr>
      <w:r w:rsidRPr="00237760">
        <w:rPr>
          <w:rStyle w:val="Odwoanieprzypisudolnego"/>
          <w:rFonts w:ascii="Arial" w:hAnsi="Arial" w:cs="Arial"/>
          <w:color w:val="auto"/>
          <w:sz w:val="24"/>
          <w:szCs w:val="24"/>
        </w:rPr>
        <w:footnoteRef/>
      </w:r>
      <w:r w:rsidRPr="00237760">
        <w:rPr>
          <w:rFonts w:ascii="Arial" w:hAnsi="Arial" w:cs="Arial"/>
          <w:color w:val="auto"/>
          <w:sz w:val="24"/>
          <w:szCs w:val="24"/>
        </w:rPr>
        <w:t xml:space="preserve"> Poprzez działania wpływające na zmniejszenie zagrożenia wykluczeniem transportowym, niwelowania barier transportowych i polepszania dostępności.</w:t>
      </w:r>
    </w:p>
  </w:footnote>
  <w:footnote w:id="12">
    <w:p w14:paraId="5B2F281D" w14:textId="1CC5C1AD" w:rsidR="000F012A" w:rsidRPr="00237760" w:rsidRDefault="000F012A" w:rsidP="003D7F69">
      <w:pPr>
        <w:pStyle w:val="Tekstprzypisudolnego"/>
        <w:jc w:val="left"/>
        <w:rPr>
          <w:rFonts w:ascii="Arial" w:hAnsi="Arial" w:cs="Arial"/>
          <w:color w:val="auto"/>
          <w:sz w:val="24"/>
          <w:szCs w:val="24"/>
        </w:rPr>
      </w:pPr>
      <w:r w:rsidRPr="00237760">
        <w:rPr>
          <w:rStyle w:val="Odwoanieprzypisudolnego"/>
          <w:rFonts w:ascii="Arial" w:hAnsi="Arial" w:cs="Arial"/>
          <w:color w:val="auto"/>
          <w:sz w:val="24"/>
          <w:szCs w:val="24"/>
        </w:rPr>
        <w:footnoteRef/>
      </w:r>
      <w:r w:rsidRPr="00237760">
        <w:rPr>
          <w:rFonts w:ascii="Arial" w:hAnsi="Arial" w:cs="Arial"/>
          <w:color w:val="auto"/>
          <w:sz w:val="24"/>
          <w:szCs w:val="24"/>
        </w:rPr>
        <w:t xml:space="preserve"> Analizie poddano 10% gmin województwa wyselekcjonowanych metodą doboru celowo-losowego. Warunkiem koniecznym było posiadanie aktualnej strategii gminnej. Za aktualny rozumiano dokument, którego horyzont czasowy wygasł maksymalnie dwa lata temu, w praktyce jednak tylko jedna z strategia nie obowiązuje w roku 2022. Dodatkowo istotne było możliwie równomierne rozmieszczenia przestrzenne wybranych gmin, tak by reprezentowały wszystkie części województwa podkarpackiego.</w:t>
      </w:r>
    </w:p>
  </w:footnote>
  <w:footnote w:id="13">
    <w:p w14:paraId="51229E37" w14:textId="008420F0" w:rsidR="000F012A" w:rsidRPr="00237760" w:rsidRDefault="000F012A" w:rsidP="003D7F69">
      <w:pPr>
        <w:pStyle w:val="Tekstprzypisudolnego"/>
        <w:jc w:val="left"/>
        <w:rPr>
          <w:rFonts w:ascii="Arial" w:hAnsi="Arial" w:cs="Arial"/>
          <w:color w:val="auto"/>
          <w:sz w:val="24"/>
          <w:szCs w:val="24"/>
        </w:rPr>
      </w:pPr>
      <w:r w:rsidRPr="00237760">
        <w:rPr>
          <w:rStyle w:val="Odwoanieprzypisudolnego"/>
          <w:rFonts w:ascii="Arial" w:hAnsi="Arial" w:cs="Arial"/>
          <w:color w:val="auto"/>
          <w:sz w:val="24"/>
          <w:szCs w:val="24"/>
        </w:rPr>
        <w:footnoteRef/>
      </w:r>
      <w:r w:rsidRPr="00237760">
        <w:rPr>
          <w:rFonts w:ascii="Arial" w:hAnsi="Arial" w:cs="Arial"/>
          <w:color w:val="auto"/>
          <w:sz w:val="24"/>
          <w:szCs w:val="24"/>
        </w:rPr>
        <w:t xml:space="preserve"> Poprzez rozwój szlaku wodnego przebiegającego przez gminę.</w:t>
      </w:r>
    </w:p>
  </w:footnote>
  <w:footnote w:id="14">
    <w:p w14:paraId="7690C92C" w14:textId="31FC4925" w:rsidR="000F012A" w:rsidRPr="00237760" w:rsidRDefault="000F012A" w:rsidP="003D7F69">
      <w:pPr>
        <w:pStyle w:val="Tekstprzypisudolnego"/>
        <w:jc w:val="left"/>
        <w:rPr>
          <w:rFonts w:ascii="Arial" w:hAnsi="Arial" w:cs="Arial"/>
          <w:color w:val="auto"/>
          <w:sz w:val="24"/>
          <w:szCs w:val="24"/>
        </w:rPr>
      </w:pPr>
      <w:r w:rsidRPr="00237760">
        <w:rPr>
          <w:rStyle w:val="Odwoanieprzypisudolnego"/>
          <w:rFonts w:ascii="Arial" w:hAnsi="Arial" w:cs="Arial"/>
          <w:color w:val="auto"/>
          <w:sz w:val="24"/>
          <w:szCs w:val="24"/>
        </w:rPr>
        <w:footnoteRef/>
      </w:r>
      <w:r w:rsidRPr="00237760">
        <w:rPr>
          <w:rFonts w:ascii="Arial" w:hAnsi="Arial" w:cs="Arial"/>
          <w:color w:val="auto"/>
          <w:sz w:val="24"/>
          <w:szCs w:val="24"/>
        </w:rPr>
        <w:t xml:space="preserve"> Jw.</w:t>
      </w:r>
    </w:p>
  </w:footnote>
  <w:footnote w:id="15">
    <w:p w14:paraId="64BE04E5" w14:textId="77777777" w:rsidR="000F012A" w:rsidRPr="00237760" w:rsidRDefault="000F012A" w:rsidP="003D7F69">
      <w:pPr>
        <w:pStyle w:val="Tekstprzypisudolnego"/>
        <w:jc w:val="left"/>
        <w:rPr>
          <w:rFonts w:ascii="Arial" w:hAnsi="Arial" w:cs="Arial"/>
          <w:color w:val="auto"/>
          <w:sz w:val="24"/>
          <w:szCs w:val="24"/>
        </w:rPr>
      </w:pPr>
      <w:r w:rsidRPr="00237760">
        <w:rPr>
          <w:rStyle w:val="Odwoanieprzypisudolnego"/>
          <w:rFonts w:ascii="Arial" w:hAnsi="Arial" w:cs="Arial"/>
          <w:color w:val="auto"/>
          <w:sz w:val="24"/>
          <w:szCs w:val="24"/>
        </w:rPr>
        <w:footnoteRef/>
      </w:r>
      <w:r w:rsidRPr="00237760">
        <w:rPr>
          <w:rFonts w:ascii="Arial" w:hAnsi="Arial" w:cs="Arial"/>
          <w:color w:val="auto"/>
          <w:sz w:val="24"/>
          <w:szCs w:val="24"/>
        </w:rPr>
        <w:t xml:space="preserve"> Częściowo, bo tylko w zakresie rozwoju infrastruktury typu P&amp;R, B&amp;R oraz K&amp;R.</w:t>
      </w:r>
    </w:p>
  </w:footnote>
  <w:footnote w:id="16">
    <w:p w14:paraId="21200F0B" w14:textId="5CDA87B4" w:rsidR="000F012A" w:rsidRPr="00237760" w:rsidRDefault="000F012A" w:rsidP="003D7F69">
      <w:pPr>
        <w:pStyle w:val="Tekstprzypisudolnego"/>
        <w:jc w:val="left"/>
        <w:rPr>
          <w:rFonts w:ascii="Arial" w:hAnsi="Arial" w:cs="Arial"/>
          <w:color w:val="auto"/>
          <w:sz w:val="24"/>
          <w:szCs w:val="24"/>
        </w:rPr>
      </w:pPr>
      <w:r w:rsidRPr="00237760">
        <w:rPr>
          <w:rStyle w:val="Odwoanieprzypisudolnego"/>
          <w:rFonts w:ascii="Arial" w:hAnsi="Arial" w:cs="Arial"/>
          <w:color w:val="auto"/>
          <w:sz w:val="24"/>
          <w:szCs w:val="24"/>
        </w:rPr>
        <w:footnoteRef/>
      </w:r>
      <w:r w:rsidRPr="00237760">
        <w:rPr>
          <w:rFonts w:ascii="Arial" w:hAnsi="Arial" w:cs="Arial"/>
          <w:color w:val="auto"/>
          <w:sz w:val="24"/>
          <w:szCs w:val="24"/>
        </w:rPr>
        <w:t xml:space="preserve"> Poprzez rozwój szlaku wodnego przebiegającego przez gminę</w:t>
      </w:r>
    </w:p>
  </w:footnote>
  <w:footnote w:id="17">
    <w:p w14:paraId="32A155F0" w14:textId="1098B6A9" w:rsidR="000F012A" w:rsidRPr="00237760" w:rsidRDefault="000F012A" w:rsidP="003D7F69">
      <w:pPr>
        <w:pStyle w:val="Tekstprzypisudolnego"/>
        <w:jc w:val="left"/>
        <w:rPr>
          <w:rFonts w:ascii="Arial" w:hAnsi="Arial" w:cs="Arial"/>
          <w:color w:val="auto"/>
          <w:sz w:val="24"/>
          <w:szCs w:val="24"/>
        </w:rPr>
      </w:pPr>
      <w:r w:rsidRPr="00237760">
        <w:rPr>
          <w:rStyle w:val="Odwoanieprzypisudolnego"/>
          <w:rFonts w:ascii="Arial" w:hAnsi="Arial" w:cs="Arial"/>
          <w:color w:val="auto"/>
          <w:sz w:val="24"/>
          <w:szCs w:val="24"/>
        </w:rPr>
        <w:footnoteRef/>
      </w:r>
      <w:r w:rsidRPr="00237760">
        <w:rPr>
          <w:rFonts w:ascii="Arial" w:hAnsi="Arial" w:cs="Arial"/>
          <w:color w:val="auto"/>
          <w:sz w:val="24"/>
          <w:szCs w:val="24"/>
        </w:rPr>
        <w:t xml:space="preserve"> Poprzez rozwój szlaku wodnego przebiegającego przez gminę.</w:t>
      </w:r>
    </w:p>
  </w:footnote>
  <w:footnote w:id="18">
    <w:p w14:paraId="2794231E" w14:textId="77777777" w:rsidR="000F012A" w:rsidRPr="00237760" w:rsidRDefault="000F012A" w:rsidP="003D7F69">
      <w:pPr>
        <w:pStyle w:val="Tekstprzypisudolnego"/>
        <w:jc w:val="left"/>
        <w:rPr>
          <w:rFonts w:ascii="Arial" w:hAnsi="Arial" w:cs="Arial"/>
          <w:color w:val="auto"/>
          <w:sz w:val="24"/>
          <w:szCs w:val="24"/>
        </w:rPr>
      </w:pPr>
      <w:r w:rsidRPr="00237760">
        <w:rPr>
          <w:rStyle w:val="Odwoanieprzypisudolnego"/>
          <w:rFonts w:ascii="Arial" w:hAnsi="Arial" w:cs="Arial"/>
          <w:color w:val="auto"/>
          <w:sz w:val="24"/>
          <w:szCs w:val="24"/>
        </w:rPr>
        <w:footnoteRef/>
      </w:r>
      <w:r w:rsidRPr="00237760">
        <w:rPr>
          <w:rFonts w:ascii="Arial" w:hAnsi="Arial" w:cs="Arial"/>
          <w:color w:val="auto"/>
          <w:sz w:val="24"/>
          <w:szCs w:val="24"/>
        </w:rPr>
        <w:t xml:space="preserve"> Poprzez rozwój szlaku wodnego przebiegającego przez gminę.</w:t>
      </w:r>
    </w:p>
  </w:footnote>
  <w:footnote w:id="19">
    <w:p w14:paraId="7A0BEA4F" w14:textId="6CACBC23" w:rsidR="000F012A" w:rsidRPr="00237760" w:rsidRDefault="000F012A" w:rsidP="003D7F69">
      <w:pPr>
        <w:pStyle w:val="Tekstprzypisudolnego"/>
        <w:jc w:val="left"/>
        <w:rPr>
          <w:rFonts w:ascii="Arial" w:hAnsi="Arial" w:cs="Arial"/>
          <w:color w:val="auto"/>
          <w:sz w:val="24"/>
          <w:szCs w:val="24"/>
        </w:rPr>
      </w:pPr>
      <w:r w:rsidRPr="00237760">
        <w:rPr>
          <w:rStyle w:val="Odwoanieprzypisudolnego"/>
          <w:rFonts w:ascii="Arial" w:hAnsi="Arial" w:cs="Arial"/>
          <w:color w:val="auto"/>
          <w:sz w:val="24"/>
          <w:szCs w:val="24"/>
        </w:rPr>
        <w:footnoteRef/>
      </w:r>
      <w:r w:rsidRPr="00237760">
        <w:rPr>
          <w:rFonts w:ascii="Arial" w:hAnsi="Arial" w:cs="Arial"/>
          <w:color w:val="auto"/>
          <w:sz w:val="24"/>
          <w:szCs w:val="24"/>
        </w:rPr>
        <w:t xml:space="preserve"> Poprzez rozwój szlaku wodnego przebiegającego przez gminę.</w:t>
      </w:r>
    </w:p>
  </w:footnote>
  <w:footnote w:id="20">
    <w:p w14:paraId="28239149" w14:textId="77777777" w:rsidR="000F012A" w:rsidRPr="00237760" w:rsidRDefault="000F012A" w:rsidP="003D7F69">
      <w:pPr>
        <w:pStyle w:val="Tekstprzypisudolnego"/>
        <w:jc w:val="left"/>
        <w:rPr>
          <w:rFonts w:ascii="Arial" w:hAnsi="Arial" w:cs="Arial"/>
          <w:color w:val="auto"/>
          <w:sz w:val="24"/>
          <w:szCs w:val="24"/>
        </w:rPr>
      </w:pPr>
      <w:r w:rsidRPr="00237760">
        <w:rPr>
          <w:rStyle w:val="Odwoanieprzypisudolnego"/>
          <w:rFonts w:ascii="Arial" w:hAnsi="Arial" w:cs="Arial"/>
          <w:color w:val="auto"/>
          <w:sz w:val="24"/>
          <w:szCs w:val="24"/>
        </w:rPr>
        <w:footnoteRef/>
      </w:r>
      <w:r w:rsidRPr="00237760">
        <w:rPr>
          <w:rFonts w:ascii="Arial" w:hAnsi="Arial" w:cs="Arial"/>
          <w:color w:val="auto"/>
          <w:sz w:val="24"/>
          <w:szCs w:val="24"/>
        </w:rPr>
        <w:t xml:space="preserve"> Częściowo, bo tylko w zakresie rozwoju infrastruktury typu P&amp;R, B&amp;R oraz K&amp;R.</w:t>
      </w:r>
    </w:p>
  </w:footnote>
  <w:footnote w:id="21">
    <w:p w14:paraId="2D13653C" w14:textId="77777777" w:rsidR="000F012A" w:rsidRPr="00237760" w:rsidRDefault="000F012A" w:rsidP="003D7F69">
      <w:pPr>
        <w:pStyle w:val="Tekstprzypisudolnego"/>
        <w:jc w:val="left"/>
        <w:rPr>
          <w:rFonts w:ascii="Arial" w:hAnsi="Arial" w:cs="Arial"/>
          <w:color w:val="auto"/>
          <w:sz w:val="24"/>
          <w:szCs w:val="24"/>
        </w:rPr>
      </w:pPr>
      <w:r w:rsidRPr="00237760">
        <w:rPr>
          <w:rStyle w:val="Odwoanieprzypisudolnego"/>
          <w:rFonts w:ascii="Arial" w:hAnsi="Arial" w:cs="Arial"/>
          <w:color w:val="auto"/>
          <w:sz w:val="24"/>
          <w:szCs w:val="24"/>
        </w:rPr>
        <w:footnoteRef/>
      </w:r>
      <w:r w:rsidRPr="00237760">
        <w:rPr>
          <w:rFonts w:ascii="Arial" w:hAnsi="Arial" w:cs="Arial"/>
          <w:color w:val="auto"/>
          <w:sz w:val="24"/>
          <w:szCs w:val="24"/>
        </w:rPr>
        <w:t xml:space="preserve"> Częściowo, bo tylko w zakresie rozwoju infrastruktury typu P&amp;R, B&amp;R oraz K&amp;R.</w:t>
      </w:r>
    </w:p>
  </w:footnote>
  <w:footnote w:id="22">
    <w:p w14:paraId="74E8EE62" w14:textId="40571C07" w:rsidR="000F012A" w:rsidRPr="00237760" w:rsidRDefault="000F012A" w:rsidP="003D7F69">
      <w:pPr>
        <w:pStyle w:val="Tekstprzypisudolnego"/>
        <w:jc w:val="left"/>
        <w:rPr>
          <w:rFonts w:ascii="Arial" w:hAnsi="Arial" w:cs="Arial"/>
          <w:color w:val="auto"/>
          <w:sz w:val="24"/>
          <w:szCs w:val="24"/>
        </w:rPr>
      </w:pPr>
      <w:r w:rsidRPr="00237760">
        <w:rPr>
          <w:rStyle w:val="Odwoanieprzypisudolnego"/>
          <w:rFonts w:ascii="Arial" w:hAnsi="Arial" w:cs="Arial"/>
          <w:color w:val="auto"/>
          <w:sz w:val="24"/>
          <w:szCs w:val="24"/>
        </w:rPr>
        <w:footnoteRef/>
      </w:r>
      <w:r w:rsidRPr="00237760">
        <w:rPr>
          <w:rFonts w:ascii="Arial" w:hAnsi="Arial" w:cs="Arial"/>
          <w:color w:val="auto"/>
          <w:sz w:val="24"/>
          <w:szCs w:val="24"/>
        </w:rPr>
        <w:t xml:space="preserve"> Analiza statystyczna obejmuje: analizę trendu wskaźnika w latach dostępności danych, automatyczną linię trendu do 2030 roku oraz prognozowaną wartość w roku 2030 na podstawie średniej dynamiki zmiany wskaźnika w poprzednich latach. Z uwagi na w większości bezwzględny charakter wartości wskaźników w analizie nie dokonywano zestawienia z wartością krajową. </w:t>
      </w:r>
    </w:p>
  </w:footnote>
  <w:footnote w:id="23">
    <w:p w14:paraId="1C6E32A3" w14:textId="3C6F7A81" w:rsidR="000F012A" w:rsidRPr="00237760" w:rsidRDefault="000F012A" w:rsidP="003D7F69">
      <w:pPr>
        <w:pStyle w:val="Tekstprzypisudolnego"/>
        <w:jc w:val="left"/>
        <w:rPr>
          <w:rFonts w:ascii="Arial" w:hAnsi="Arial" w:cs="Arial"/>
          <w:color w:val="auto"/>
          <w:sz w:val="24"/>
          <w:szCs w:val="24"/>
        </w:rPr>
      </w:pPr>
      <w:r w:rsidRPr="00237760">
        <w:rPr>
          <w:rStyle w:val="Odwoanieprzypisudolnego"/>
          <w:rFonts w:ascii="Arial" w:hAnsi="Arial" w:cs="Arial"/>
          <w:color w:val="auto"/>
          <w:sz w:val="24"/>
          <w:szCs w:val="24"/>
        </w:rPr>
        <w:footnoteRef/>
      </w:r>
      <w:r w:rsidRPr="00237760">
        <w:rPr>
          <w:rFonts w:ascii="Arial" w:hAnsi="Arial" w:cs="Arial"/>
          <w:color w:val="auto"/>
          <w:sz w:val="24"/>
          <w:szCs w:val="24"/>
        </w:rPr>
        <w:t xml:space="preserve"> Zob. np. Rozwój transportu w województwie podkarpackim w perspektywie do 2030 roku. Raport końcowy, 2020 oraz Rosik, Komornicki 2015. </w:t>
      </w:r>
    </w:p>
  </w:footnote>
  <w:footnote w:id="24">
    <w:p w14:paraId="7FEED1CD" w14:textId="7B9AA53C" w:rsidR="000F012A" w:rsidRPr="00237760" w:rsidRDefault="000F012A" w:rsidP="003D7F69">
      <w:pPr>
        <w:pStyle w:val="Tekstprzypisudolnego"/>
        <w:jc w:val="left"/>
        <w:rPr>
          <w:rFonts w:ascii="Arial" w:hAnsi="Arial" w:cs="Arial"/>
          <w:color w:val="auto"/>
          <w:sz w:val="24"/>
          <w:szCs w:val="24"/>
        </w:rPr>
      </w:pPr>
      <w:r w:rsidRPr="00237760">
        <w:rPr>
          <w:rStyle w:val="Odwoanieprzypisudolnego"/>
          <w:rFonts w:ascii="Arial" w:hAnsi="Arial" w:cs="Arial"/>
          <w:color w:val="auto"/>
          <w:sz w:val="24"/>
          <w:szCs w:val="24"/>
        </w:rPr>
        <w:footnoteRef/>
      </w:r>
      <w:r w:rsidRPr="00237760">
        <w:rPr>
          <w:rFonts w:ascii="Arial" w:hAnsi="Arial" w:cs="Arial"/>
          <w:color w:val="auto"/>
          <w:sz w:val="24"/>
          <w:szCs w:val="24"/>
        </w:rPr>
        <w:t xml:space="preserve"> W przypadku wskazań „niedoszacowana/OK” lub „przeszacowana/OK”, ewaluator ma na myśli sytuacje, w których wskaźnik wykazuje tendencję odmienną od zakładanej i pod wątpliwość można poddać czy planowane inwestycje pozwolą na realizację wartości docelowej, lub też wskaźnik nie przekroczył jeszcze wartości docelowej, ale analiza statystyczna wskazuje, że taka sytuacja może mieć miejsce szybciej niż w 2030 roku. Jednoznaczne stwierdzenie, że wartość docelowa została niedoszacowana, zostało wskazane tylko w przypadku już przekroczonej wartości szacunkowej dla 2030 roku. </w:t>
      </w:r>
    </w:p>
  </w:footnote>
  <w:footnote w:id="25">
    <w:p w14:paraId="7A8ACB73" w14:textId="091024CF" w:rsidR="000F012A" w:rsidRPr="00237760" w:rsidRDefault="000F012A" w:rsidP="003D7F69">
      <w:pPr>
        <w:pStyle w:val="Tekstprzypisudolnego"/>
        <w:jc w:val="left"/>
        <w:rPr>
          <w:rFonts w:ascii="Arial" w:hAnsi="Arial" w:cs="Arial"/>
          <w:color w:val="auto"/>
          <w:sz w:val="24"/>
          <w:szCs w:val="24"/>
        </w:rPr>
      </w:pPr>
      <w:r w:rsidRPr="00237760">
        <w:rPr>
          <w:rStyle w:val="Odwoanieprzypisudolnego"/>
          <w:rFonts w:ascii="Arial" w:hAnsi="Arial" w:cs="Arial"/>
          <w:color w:val="auto"/>
          <w:sz w:val="24"/>
          <w:szCs w:val="24"/>
        </w:rPr>
        <w:footnoteRef/>
      </w:r>
      <w:r w:rsidRPr="00237760">
        <w:rPr>
          <w:rFonts w:ascii="Arial" w:hAnsi="Arial" w:cs="Arial"/>
          <w:color w:val="auto"/>
          <w:sz w:val="24"/>
          <w:szCs w:val="24"/>
        </w:rPr>
        <w:t xml:space="preserve"> Możliwość uzupełnienia monitoringu o dane z zakresu wydatków z budżetów gminnych na ulice, place, mosty i wiadukty.</w:t>
      </w:r>
    </w:p>
  </w:footnote>
  <w:footnote w:id="26">
    <w:p w14:paraId="64E29C5C" w14:textId="7A2A1A7E" w:rsidR="000F012A" w:rsidRPr="00237760" w:rsidRDefault="000F012A" w:rsidP="003D7F69">
      <w:pPr>
        <w:pStyle w:val="Tekstprzypisudolnego"/>
        <w:jc w:val="left"/>
        <w:rPr>
          <w:rFonts w:ascii="Arial" w:hAnsi="Arial" w:cs="Arial"/>
          <w:color w:val="auto"/>
          <w:sz w:val="24"/>
          <w:szCs w:val="24"/>
        </w:rPr>
      </w:pPr>
      <w:r w:rsidRPr="00237760">
        <w:rPr>
          <w:rStyle w:val="Odwoanieprzypisudolnego"/>
          <w:rFonts w:ascii="Arial" w:hAnsi="Arial" w:cs="Arial"/>
          <w:color w:val="auto"/>
          <w:sz w:val="24"/>
          <w:szCs w:val="24"/>
        </w:rPr>
        <w:footnoteRef/>
      </w:r>
      <w:r w:rsidR="00FB0EA1">
        <w:rPr>
          <w:rFonts w:ascii="Arial" w:hAnsi="Arial" w:cs="Arial"/>
          <w:color w:val="auto"/>
          <w:sz w:val="24"/>
          <w:szCs w:val="24"/>
        </w:rPr>
        <w:t xml:space="preserve"> </w:t>
      </w:r>
      <w:hyperlink r:id="rId1" w:history="1">
        <w:r w:rsidR="00FB0EA1" w:rsidRPr="00FB0EA1">
          <w:rPr>
            <w:rStyle w:val="Hipercze"/>
            <w:rFonts w:ascii="Arial" w:hAnsi="Arial" w:cs="Arial"/>
          </w:rPr>
          <w:t>cepik.gov.pl</w:t>
        </w:r>
      </w:hyperlink>
      <w:r w:rsidRPr="00237760">
        <w:rPr>
          <w:rFonts w:ascii="Arial" w:hAnsi="Arial" w:cs="Arial"/>
          <w:color w:val="auto"/>
          <w:sz w:val="24"/>
          <w:szCs w:val="24"/>
        </w:rPr>
        <w:t xml:space="preserve"> (data dostępu: 30.03.2022.).</w:t>
      </w:r>
    </w:p>
  </w:footnote>
  <w:footnote w:id="27">
    <w:p w14:paraId="71CF354C" w14:textId="2E920F8E" w:rsidR="000F012A" w:rsidRPr="00237760" w:rsidRDefault="000F012A" w:rsidP="003D7F69">
      <w:pPr>
        <w:pStyle w:val="Tekstprzypisudolnego"/>
        <w:jc w:val="left"/>
        <w:rPr>
          <w:rFonts w:ascii="Arial" w:hAnsi="Arial" w:cs="Arial"/>
          <w:color w:val="auto"/>
          <w:sz w:val="24"/>
          <w:szCs w:val="24"/>
        </w:rPr>
      </w:pPr>
      <w:r w:rsidRPr="00237760">
        <w:rPr>
          <w:rStyle w:val="Odwoanieprzypisudolnego"/>
          <w:rFonts w:ascii="Arial" w:hAnsi="Arial" w:cs="Arial"/>
          <w:color w:val="auto"/>
          <w:sz w:val="24"/>
          <w:szCs w:val="24"/>
        </w:rPr>
        <w:footnoteRef/>
      </w:r>
      <w:r w:rsidRPr="00237760">
        <w:rPr>
          <w:rFonts w:ascii="Arial" w:hAnsi="Arial" w:cs="Arial"/>
          <w:color w:val="auto"/>
          <w:sz w:val="24"/>
          <w:szCs w:val="24"/>
        </w:rPr>
        <w:t xml:space="preserve"> </w:t>
      </w:r>
      <w:hyperlink r:id="rId2" w:history="1">
        <w:r w:rsidR="00FB0EA1" w:rsidRPr="00FB0EA1">
          <w:rPr>
            <w:rStyle w:val="Hipercze"/>
            <w:rFonts w:ascii="Arial" w:hAnsi="Arial" w:cs="Arial"/>
          </w:rPr>
          <w:t>udt.gov.pl</w:t>
        </w:r>
      </w:hyperlink>
      <w:r w:rsidRPr="00237760">
        <w:rPr>
          <w:rFonts w:ascii="Arial" w:hAnsi="Arial" w:cs="Arial"/>
          <w:color w:val="auto"/>
          <w:sz w:val="24"/>
          <w:szCs w:val="24"/>
        </w:rPr>
        <w:t>(data dostępu: 30.03.2022.).</w:t>
      </w:r>
    </w:p>
  </w:footnote>
  <w:footnote w:id="28">
    <w:p w14:paraId="1AEA9939" w14:textId="33F870A7" w:rsidR="000F012A" w:rsidRPr="00237760" w:rsidRDefault="000F012A" w:rsidP="003D7F69">
      <w:pPr>
        <w:pStyle w:val="Tekstprzypisudolnego"/>
        <w:jc w:val="left"/>
        <w:rPr>
          <w:rFonts w:ascii="Arial" w:hAnsi="Arial" w:cs="Arial"/>
          <w:color w:val="auto"/>
          <w:sz w:val="24"/>
          <w:szCs w:val="24"/>
        </w:rPr>
      </w:pPr>
      <w:r w:rsidRPr="00237760">
        <w:rPr>
          <w:rStyle w:val="Odwoanieprzypisudolnego"/>
          <w:rFonts w:ascii="Arial" w:hAnsi="Arial" w:cs="Arial"/>
          <w:color w:val="auto"/>
          <w:sz w:val="24"/>
          <w:szCs w:val="24"/>
        </w:rPr>
        <w:footnoteRef/>
      </w:r>
      <w:r w:rsidRPr="00237760">
        <w:rPr>
          <w:rFonts w:ascii="Arial" w:hAnsi="Arial" w:cs="Arial"/>
          <w:color w:val="auto"/>
          <w:sz w:val="24"/>
          <w:szCs w:val="24"/>
        </w:rPr>
        <w:t xml:space="preserve"> </w:t>
      </w:r>
      <w:r w:rsidRPr="00237760">
        <w:rPr>
          <w:rStyle w:val="Hipercze"/>
          <w:rFonts w:ascii="Arial" w:hAnsi="Arial" w:cs="Arial"/>
          <w:color w:val="auto"/>
        </w:rPr>
        <w:t>https://ec.europa.eu/eurostat/data/database</w:t>
      </w:r>
      <w:r w:rsidRPr="00237760">
        <w:rPr>
          <w:rFonts w:ascii="Arial" w:hAnsi="Arial" w:cs="Arial"/>
          <w:color w:val="auto"/>
          <w:sz w:val="24"/>
          <w:szCs w:val="24"/>
        </w:rPr>
        <w:t xml:space="preserve"> (data dostępu: 30.03.2022.).</w:t>
      </w:r>
    </w:p>
  </w:footnote>
  <w:footnote w:id="29">
    <w:p w14:paraId="6EF5E8A1" w14:textId="36397211" w:rsidR="000F012A" w:rsidRPr="00237760" w:rsidRDefault="000F012A" w:rsidP="003D7F69">
      <w:pPr>
        <w:pStyle w:val="Tekstprzypisudolnego"/>
        <w:jc w:val="left"/>
        <w:rPr>
          <w:rFonts w:ascii="Arial" w:hAnsi="Arial" w:cs="Arial"/>
          <w:color w:val="auto"/>
          <w:sz w:val="24"/>
          <w:szCs w:val="24"/>
        </w:rPr>
      </w:pPr>
      <w:r w:rsidRPr="00237760">
        <w:rPr>
          <w:rStyle w:val="Odwoanieprzypisudolnego"/>
          <w:rFonts w:ascii="Arial" w:hAnsi="Arial" w:cs="Arial"/>
          <w:color w:val="auto"/>
          <w:sz w:val="24"/>
          <w:szCs w:val="24"/>
        </w:rPr>
        <w:footnoteRef/>
      </w:r>
      <w:r w:rsidRPr="00237760">
        <w:rPr>
          <w:rFonts w:ascii="Arial" w:hAnsi="Arial" w:cs="Arial"/>
          <w:color w:val="auto"/>
          <w:sz w:val="24"/>
          <w:szCs w:val="24"/>
        </w:rPr>
        <w:t xml:space="preserve"> Na chwilę obecną, nie powstał dokument stanowiący wytyczne Ministra Funduszy i Polityki Regionalnej powiązany z zakresem przedmiotowym PSRT WP na lata 2021-2027, dotyczący spełnienia warunkowości podstawowej. </w:t>
      </w:r>
    </w:p>
  </w:footnote>
  <w:footnote w:id="30">
    <w:p w14:paraId="62AA1202" w14:textId="77777777" w:rsidR="000F012A" w:rsidRPr="00237760" w:rsidRDefault="000F012A" w:rsidP="003D7F69">
      <w:pPr>
        <w:pStyle w:val="Tekstprzypisudolnego"/>
        <w:jc w:val="left"/>
        <w:rPr>
          <w:rFonts w:ascii="Arial" w:hAnsi="Arial" w:cs="Arial"/>
          <w:color w:val="auto"/>
          <w:sz w:val="24"/>
          <w:szCs w:val="24"/>
        </w:rPr>
      </w:pPr>
      <w:r w:rsidRPr="00237760">
        <w:rPr>
          <w:rStyle w:val="Odwoanieprzypisudolnego"/>
          <w:rFonts w:ascii="Arial" w:hAnsi="Arial" w:cs="Arial"/>
          <w:color w:val="auto"/>
          <w:sz w:val="24"/>
          <w:szCs w:val="24"/>
        </w:rPr>
        <w:footnoteRef/>
      </w:r>
      <w:r w:rsidRPr="00237760">
        <w:rPr>
          <w:rFonts w:ascii="Arial" w:hAnsi="Arial" w:cs="Arial"/>
          <w:color w:val="auto"/>
          <w:sz w:val="24"/>
          <w:szCs w:val="24"/>
        </w:rPr>
        <w:t xml:space="preserve"> Zapis nie wskazuje obowiązku odnoszenia się do wszystkich tych dokumentów, określa jedynie charakter programu rozwoju jako narzędzie realizacji polityk określonych w innych dokumentach.</w:t>
      </w:r>
    </w:p>
  </w:footnote>
  <w:footnote w:id="31">
    <w:p w14:paraId="3181B822" w14:textId="77777777" w:rsidR="000F012A" w:rsidRPr="00237760" w:rsidRDefault="000F012A" w:rsidP="003D7F69">
      <w:pPr>
        <w:pStyle w:val="Tekstprzypisudolnego"/>
        <w:jc w:val="left"/>
        <w:rPr>
          <w:rFonts w:ascii="Arial" w:hAnsi="Arial" w:cs="Arial"/>
          <w:color w:val="auto"/>
          <w:sz w:val="24"/>
          <w:szCs w:val="24"/>
        </w:rPr>
      </w:pPr>
      <w:r w:rsidRPr="00237760">
        <w:rPr>
          <w:rStyle w:val="Odwoanieprzypisudolnego"/>
          <w:rFonts w:ascii="Arial" w:hAnsi="Arial" w:cs="Arial"/>
          <w:color w:val="auto"/>
          <w:sz w:val="24"/>
          <w:szCs w:val="24"/>
        </w:rPr>
        <w:footnoteRef/>
      </w:r>
      <w:r w:rsidRPr="00237760">
        <w:rPr>
          <w:rFonts w:ascii="Arial" w:hAnsi="Arial" w:cs="Arial"/>
          <w:color w:val="auto"/>
          <w:sz w:val="24"/>
          <w:szCs w:val="24"/>
        </w:rPr>
        <w:t xml:space="preserve"> https://rot.podkarpackie.pl/index.php/psrt-wp-2030</w:t>
      </w:r>
    </w:p>
  </w:footnote>
  <w:footnote w:id="32">
    <w:p w14:paraId="400A7124" w14:textId="13C68AE5" w:rsidR="000F012A" w:rsidRPr="00237760" w:rsidRDefault="000F012A" w:rsidP="003D7F69">
      <w:pPr>
        <w:pStyle w:val="Tekstprzypisudolnego"/>
        <w:jc w:val="left"/>
        <w:rPr>
          <w:rFonts w:ascii="Arial" w:hAnsi="Arial" w:cs="Arial"/>
          <w:color w:val="auto"/>
          <w:sz w:val="24"/>
          <w:szCs w:val="24"/>
        </w:rPr>
      </w:pPr>
      <w:r w:rsidRPr="00237760">
        <w:rPr>
          <w:rStyle w:val="Odwoanieprzypisudolnego"/>
          <w:rFonts w:ascii="Arial" w:hAnsi="Arial" w:cs="Arial"/>
          <w:color w:val="auto"/>
          <w:sz w:val="24"/>
          <w:szCs w:val="24"/>
        </w:rPr>
        <w:footnoteRef/>
      </w:r>
      <w:r w:rsidRPr="00237760">
        <w:rPr>
          <w:rFonts w:ascii="Arial" w:hAnsi="Arial" w:cs="Arial"/>
          <w:color w:val="auto"/>
          <w:sz w:val="24"/>
          <w:szCs w:val="24"/>
        </w:rPr>
        <w:t xml:space="preserve"> </w:t>
      </w:r>
      <w:bookmarkStart w:id="155" w:name="_Hlk101346601"/>
      <w:r w:rsidRPr="00237760">
        <w:rPr>
          <w:rFonts w:ascii="Arial" w:hAnsi="Arial" w:cs="Arial"/>
          <w:color w:val="auto"/>
          <w:sz w:val="24"/>
          <w:szCs w:val="24"/>
        </w:rPr>
        <w:t xml:space="preserve">Ustawodawca nie przedstawił sposobu takiego wskazania, w przypadku PSRT WP, teoretycznie mogłyby to być wszystkie cele. </w:t>
      </w:r>
      <w:bookmarkEnd w:id="155"/>
    </w:p>
  </w:footnote>
  <w:footnote w:id="33">
    <w:p w14:paraId="7373AF20" w14:textId="77777777" w:rsidR="000F012A" w:rsidRPr="00237760" w:rsidRDefault="000F012A" w:rsidP="003D7F69">
      <w:pPr>
        <w:pStyle w:val="Tekstprzypisudolnego"/>
        <w:jc w:val="left"/>
        <w:rPr>
          <w:rFonts w:ascii="Arial" w:hAnsi="Arial" w:cs="Arial"/>
          <w:color w:val="auto"/>
          <w:sz w:val="24"/>
          <w:szCs w:val="24"/>
        </w:rPr>
      </w:pPr>
      <w:r w:rsidRPr="00237760">
        <w:rPr>
          <w:rStyle w:val="Odwoanieprzypisudolnego"/>
          <w:rFonts w:ascii="Arial" w:hAnsi="Arial" w:cs="Arial"/>
          <w:color w:val="auto"/>
          <w:sz w:val="24"/>
          <w:szCs w:val="24"/>
        </w:rPr>
        <w:footnoteRef/>
      </w:r>
      <w:r w:rsidRPr="00237760">
        <w:rPr>
          <w:rFonts w:ascii="Arial" w:hAnsi="Arial" w:cs="Arial"/>
          <w:color w:val="auto"/>
          <w:sz w:val="24"/>
          <w:szCs w:val="24"/>
        </w:rPr>
        <w:t xml:space="preserve"> Jako że, w ramach niniejszej ewaluacji stwierdzono spójność wewnętrzną PSRT WP, to też dokonano ocenę spójności na poziomie celów strategicznych.</w:t>
      </w:r>
    </w:p>
  </w:footnote>
  <w:footnote w:id="34">
    <w:p w14:paraId="397D8131" w14:textId="7D22C39E" w:rsidR="000F012A" w:rsidRPr="00237760" w:rsidRDefault="000F012A" w:rsidP="003D7F69">
      <w:pPr>
        <w:pStyle w:val="Tekstprzypisudolnego"/>
        <w:jc w:val="left"/>
        <w:rPr>
          <w:rFonts w:ascii="Arial" w:hAnsi="Arial" w:cs="Arial"/>
          <w:color w:val="auto"/>
          <w:sz w:val="24"/>
          <w:szCs w:val="24"/>
        </w:rPr>
      </w:pPr>
      <w:r w:rsidRPr="00237760">
        <w:rPr>
          <w:rStyle w:val="Odwoanieprzypisudolnego"/>
          <w:rFonts w:ascii="Arial" w:hAnsi="Arial" w:cs="Arial"/>
          <w:color w:val="auto"/>
          <w:sz w:val="24"/>
          <w:szCs w:val="24"/>
        </w:rPr>
        <w:footnoteRef/>
      </w:r>
      <w:r w:rsidRPr="00237760">
        <w:rPr>
          <w:rFonts w:ascii="Arial" w:hAnsi="Arial" w:cs="Arial"/>
          <w:color w:val="auto"/>
          <w:sz w:val="24"/>
          <w:szCs w:val="24"/>
        </w:rPr>
        <w:t xml:space="preserve"> Pominięto cele szczegółowe wyznaczone dla CP5, jako że zgodnie z art. 3 CP5 dotyczy jedynie wsparcia udzielanego w oparciu o terytorialne i lokalne strategie rozwoju.</w:t>
      </w:r>
    </w:p>
  </w:footnote>
  <w:footnote w:id="35">
    <w:p w14:paraId="0FEDFCA9" w14:textId="77777777" w:rsidR="000F012A" w:rsidRPr="00237760" w:rsidRDefault="000F012A" w:rsidP="003D7F69">
      <w:pPr>
        <w:pStyle w:val="Tekstprzypisudolnego"/>
        <w:jc w:val="left"/>
        <w:rPr>
          <w:rFonts w:ascii="Arial" w:hAnsi="Arial" w:cs="Arial"/>
          <w:color w:val="auto"/>
          <w:sz w:val="24"/>
          <w:szCs w:val="24"/>
        </w:rPr>
      </w:pPr>
      <w:r w:rsidRPr="00237760">
        <w:rPr>
          <w:rStyle w:val="Odwoanieprzypisudolnego"/>
          <w:rFonts w:ascii="Arial" w:hAnsi="Arial" w:cs="Arial"/>
          <w:color w:val="auto"/>
          <w:sz w:val="24"/>
          <w:szCs w:val="24"/>
        </w:rPr>
        <w:footnoteRef/>
      </w:r>
      <w:r w:rsidRPr="00237760">
        <w:rPr>
          <w:rFonts w:ascii="Arial" w:hAnsi="Arial" w:cs="Arial"/>
          <w:color w:val="auto"/>
          <w:sz w:val="24"/>
          <w:szCs w:val="24"/>
        </w:rPr>
        <w:t xml:space="preserve"> W stosownych przypadkach możliwe jest także wspieranie celu specyficznego Interreg „Lepsze zarządzanie współpracą” poprzez realizację co najmniej jednego z innych działań, które nie są istotne w kontekście charakteru PSRT WP (zwiększanie zdolności instytucjonalnych instytucji publicznych, w szczególności tych, którym powierzono zarządzanie konkretnym terytorium, i zainteresowanych stron; zwiększanie sprawności administracji publicznej w drodze wspierania współpracy prawnej i administracyjnej oraz współpracy między obywatelami, podmiotami społeczeństwa obywatelskiego i instytucjami, w szczególności w celu wyeliminowania przeszkód prawnych i innych przeszkód w regionach przygranicznych; budowanie wzajemnego zaufania, w szczególności poprzez wspieranie działań ułatwiających kontakty międzyludzkie; wzmacnianie zdolności instytucjonalnych instytucji publicznych i zainteresowanych stron w celu realizacji strategii makroregionalnych i strategii na rzecz basenu morskiego, a także innych strategii terytorialnych; wzmacnianie stabilnej demokracji i wspieranie podmiotów społeczeństwa obywatelskiego oraz ich roli w procesie reform i przemian demokratycznych; inne działania wspierające lepsze zarządzanie współpracą)</w:t>
      </w:r>
    </w:p>
  </w:footnote>
  <w:footnote w:id="36">
    <w:p w14:paraId="1E91D0B9" w14:textId="77777777" w:rsidR="000F012A" w:rsidRPr="00237760" w:rsidRDefault="000F012A" w:rsidP="003D7F69">
      <w:pPr>
        <w:pStyle w:val="Tekstprzypisudolnego"/>
        <w:jc w:val="left"/>
        <w:rPr>
          <w:rFonts w:ascii="Arial" w:hAnsi="Arial" w:cs="Arial"/>
          <w:color w:val="auto"/>
          <w:sz w:val="24"/>
          <w:szCs w:val="24"/>
        </w:rPr>
      </w:pPr>
      <w:r w:rsidRPr="00237760">
        <w:rPr>
          <w:rStyle w:val="Odwoanieprzypisudolnego"/>
          <w:rFonts w:ascii="Arial" w:hAnsi="Arial" w:cs="Arial"/>
          <w:color w:val="auto"/>
          <w:sz w:val="24"/>
          <w:szCs w:val="24"/>
        </w:rPr>
        <w:footnoteRef/>
      </w:r>
      <w:r w:rsidRPr="00237760">
        <w:rPr>
          <w:rFonts w:ascii="Arial" w:hAnsi="Arial" w:cs="Arial"/>
          <w:color w:val="auto"/>
          <w:sz w:val="24"/>
          <w:szCs w:val="24"/>
        </w:rPr>
        <w:t xml:space="preserve"> https://www.funduszeeuropejskie.gov.pl/strony/o-funduszach/fundusze-na-lata-2021-2027/aktualnosci/program-fundusze-europejskie-na-infrastrukture-klimat-srodowisko-2021-2027-przyjety-przez-rade-ministrow/ </w:t>
      </w:r>
    </w:p>
  </w:footnote>
  <w:footnote w:id="37">
    <w:p w14:paraId="562D7898" w14:textId="38DFAB63" w:rsidR="000F012A" w:rsidRPr="00237760" w:rsidRDefault="000F012A" w:rsidP="003D7F69">
      <w:pPr>
        <w:pStyle w:val="Tekstprzypisudolnego"/>
        <w:jc w:val="left"/>
        <w:rPr>
          <w:rFonts w:ascii="Arial" w:hAnsi="Arial" w:cs="Arial"/>
          <w:color w:val="auto"/>
          <w:sz w:val="24"/>
          <w:szCs w:val="24"/>
        </w:rPr>
      </w:pPr>
      <w:r w:rsidRPr="00237760">
        <w:rPr>
          <w:rStyle w:val="Odwoanieprzypisudolnego"/>
          <w:rFonts w:ascii="Arial" w:hAnsi="Arial" w:cs="Arial"/>
          <w:color w:val="auto"/>
          <w:sz w:val="24"/>
          <w:szCs w:val="24"/>
        </w:rPr>
        <w:footnoteRef/>
      </w:r>
      <w:r w:rsidRPr="00237760">
        <w:rPr>
          <w:rFonts w:ascii="Arial" w:hAnsi="Arial" w:cs="Arial"/>
          <w:color w:val="auto"/>
          <w:sz w:val="24"/>
          <w:szCs w:val="24"/>
        </w:rPr>
        <w:t xml:space="preserve"> Tamże.</w:t>
      </w:r>
    </w:p>
  </w:footnote>
  <w:footnote w:id="38">
    <w:p w14:paraId="2E27EC00" w14:textId="0913699A" w:rsidR="000F012A" w:rsidRPr="00237760" w:rsidRDefault="000F012A" w:rsidP="003D7F69">
      <w:pPr>
        <w:pStyle w:val="Tekstprzypisudolnego"/>
        <w:jc w:val="left"/>
        <w:rPr>
          <w:rFonts w:ascii="Arial" w:hAnsi="Arial" w:cs="Arial"/>
          <w:color w:val="auto"/>
          <w:sz w:val="24"/>
          <w:szCs w:val="24"/>
        </w:rPr>
      </w:pPr>
      <w:r w:rsidRPr="00237760">
        <w:rPr>
          <w:rStyle w:val="Odwoanieprzypisudolnego"/>
          <w:rFonts w:ascii="Arial" w:hAnsi="Arial" w:cs="Arial"/>
          <w:color w:val="auto"/>
          <w:sz w:val="24"/>
          <w:szCs w:val="24"/>
        </w:rPr>
        <w:footnoteRef/>
      </w:r>
      <w:r w:rsidRPr="00237760">
        <w:rPr>
          <w:rFonts w:ascii="Arial" w:hAnsi="Arial" w:cs="Arial"/>
          <w:color w:val="auto"/>
          <w:sz w:val="24"/>
          <w:szCs w:val="24"/>
        </w:rPr>
        <w:t xml:space="preserve"> Umowa Partnerstwa (projekt), s. 4-5</w:t>
      </w:r>
    </w:p>
  </w:footnote>
  <w:footnote w:id="39">
    <w:p w14:paraId="3669A37F" w14:textId="017DA164" w:rsidR="000F012A" w:rsidRPr="00237760" w:rsidRDefault="000F012A" w:rsidP="003D7F69">
      <w:pPr>
        <w:pStyle w:val="Tekstprzypisudolnego"/>
        <w:jc w:val="left"/>
        <w:rPr>
          <w:rFonts w:ascii="Arial" w:hAnsi="Arial" w:cs="Arial"/>
          <w:color w:val="auto"/>
          <w:sz w:val="24"/>
          <w:szCs w:val="24"/>
        </w:rPr>
      </w:pPr>
      <w:r w:rsidRPr="00237760">
        <w:rPr>
          <w:rStyle w:val="Odwoanieprzypisudolnego"/>
          <w:rFonts w:ascii="Arial" w:hAnsi="Arial" w:cs="Arial"/>
          <w:color w:val="auto"/>
          <w:sz w:val="24"/>
          <w:szCs w:val="24"/>
        </w:rPr>
        <w:footnoteRef/>
      </w:r>
      <w:r w:rsidRPr="00237760">
        <w:rPr>
          <w:rFonts w:ascii="Arial" w:hAnsi="Arial" w:cs="Arial"/>
          <w:color w:val="auto"/>
          <w:sz w:val="24"/>
          <w:szCs w:val="24"/>
        </w:rPr>
        <w:t xml:space="preserve"> W analizie pominięto: CP5 – który zakłada możliwość korzystania ze środków w ramach celów 1-4 pod warunkiem zastosowania instrumentów terytorialnych (jak wskazuje cytat z rozdz. IV. 1.: „jeśli będzie to zasadne, możliwe będzie wykorzystanie instrumentów terytorialnych takich jak ZIT-y”) oraz CP6 – który nie obejmuje obszaru WP.</w:t>
      </w:r>
    </w:p>
  </w:footnote>
  <w:footnote w:id="40">
    <w:p w14:paraId="5D60A33B" w14:textId="77777777" w:rsidR="000F012A" w:rsidRPr="00237760" w:rsidRDefault="000F012A" w:rsidP="003D7F69">
      <w:pPr>
        <w:pStyle w:val="Tekstprzypisudolnego"/>
        <w:jc w:val="left"/>
        <w:rPr>
          <w:rFonts w:ascii="Arial" w:hAnsi="Arial" w:cs="Arial"/>
          <w:color w:val="auto"/>
          <w:sz w:val="24"/>
          <w:szCs w:val="24"/>
        </w:rPr>
      </w:pPr>
      <w:r w:rsidRPr="00237760">
        <w:rPr>
          <w:rStyle w:val="Odwoanieprzypisudolnego"/>
          <w:rFonts w:ascii="Arial" w:hAnsi="Arial" w:cs="Arial"/>
          <w:color w:val="auto"/>
          <w:sz w:val="24"/>
          <w:szCs w:val="24"/>
        </w:rPr>
        <w:footnoteRef/>
      </w:r>
      <w:r w:rsidRPr="00237760">
        <w:rPr>
          <w:rFonts w:ascii="Arial" w:hAnsi="Arial" w:cs="Arial"/>
          <w:color w:val="auto"/>
          <w:sz w:val="24"/>
          <w:szCs w:val="24"/>
        </w:rPr>
        <w:t xml:space="preserve"> Spójność z obszarami tematycznymi CP4 wykazują też cele podstawowe PSRT WP.</w:t>
      </w:r>
    </w:p>
  </w:footnote>
  <w:footnote w:id="41">
    <w:p w14:paraId="0A06D682" w14:textId="3562D593" w:rsidR="000F012A" w:rsidRPr="00237760" w:rsidRDefault="000F012A" w:rsidP="003D7F69">
      <w:pPr>
        <w:pStyle w:val="Tekstprzypisudolnego"/>
        <w:jc w:val="left"/>
        <w:rPr>
          <w:rFonts w:ascii="Arial" w:hAnsi="Arial" w:cs="Arial"/>
          <w:color w:val="auto"/>
          <w:sz w:val="24"/>
          <w:szCs w:val="24"/>
        </w:rPr>
      </w:pPr>
      <w:r w:rsidRPr="00237760">
        <w:rPr>
          <w:rStyle w:val="Odwoanieprzypisudolnego"/>
          <w:rFonts w:ascii="Arial" w:hAnsi="Arial" w:cs="Arial"/>
          <w:color w:val="auto"/>
          <w:sz w:val="24"/>
          <w:szCs w:val="24"/>
        </w:rPr>
        <w:footnoteRef/>
      </w:r>
      <w:r w:rsidRPr="00237760">
        <w:rPr>
          <w:rFonts w:ascii="Arial" w:hAnsi="Arial" w:cs="Arial"/>
          <w:color w:val="auto"/>
          <w:sz w:val="24"/>
          <w:szCs w:val="24"/>
        </w:rPr>
        <w:t xml:space="preserve">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footnote>
  <w:footnote w:id="42">
    <w:p w14:paraId="77A57473" w14:textId="6E76F4C2" w:rsidR="000F012A" w:rsidRPr="00237760" w:rsidRDefault="000F012A" w:rsidP="003D7F69">
      <w:pPr>
        <w:pStyle w:val="Tekstprzypisudolnego"/>
        <w:jc w:val="left"/>
        <w:rPr>
          <w:rFonts w:ascii="Arial" w:hAnsi="Arial" w:cs="Arial"/>
          <w:color w:val="auto"/>
          <w:sz w:val="24"/>
          <w:szCs w:val="24"/>
        </w:rPr>
      </w:pPr>
      <w:r w:rsidRPr="00237760">
        <w:rPr>
          <w:rStyle w:val="Odwoanieprzypisudolnego"/>
          <w:rFonts w:ascii="Arial" w:hAnsi="Arial" w:cs="Arial"/>
          <w:color w:val="auto"/>
          <w:sz w:val="24"/>
          <w:szCs w:val="24"/>
        </w:rPr>
        <w:footnoteRef/>
      </w:r>
      <w:r w:rsidRPr="00237760">
        <w:rPr>
          <w:rFonts w:ascii="Arial" w:hAnsi="Arial" w:cs="Arial"/>
          <w:color w:val="auto"/>
          <w:sz w:val="24"/>
          <w:szCs w:val="24"/>
        </w:rPr>
        <w:t xml:space="preserve"> Wg Rozporządzenia Parlamentu Europejskiego i Rady (UE) nr 1315/2013 z dnia 11 grudnia 2013 r. w sprawie unijnych wytycznych dotyczących rozwoju transeuropejskiej sieci transportowej i uchylające decyzję nr 661/2010/UE oraz Rozporządzenia Wykonawczego Komisji (UE) 2017/6 z dnia 5 stycznia 2017 r. w sprawie europejskiego planu wdrożenia europejskiego systemu zarządzania ruchem kolejowym e niezbędne do osiągnięcia interoperacyjności europejskiej sieci kolejowej są: stacje, węzły, dostęp do głównych portów morskich i śródlądowych, portów lotniczych, terminali kolejowych lub drogowych oraz linie kolei dużych prędkości i kolei konwencjonalnych (w tym bocznice, tunele i mosty); terminale towarowe i platformy logistyczne do przeładunku towarów w ramach transportu kolejowego i pomiędzy koleją a innymi rodzajami transportu; dworce (zlokalizowane wzdłuż linii wskazanych w załączniku I Rozporządzenia nr 1315/2013) służące do przesiadek pasażerów w ramach transportu kolejowego i pomiędzy koleją a innymi rodzajami transportu; połączenia dworców, terminali towarowych i platform logistycznych z innymi rodzajami transportu w transeuropejskiej sieci transportowej oraz powiązane wyposażenie i aplikacje telematyczne.</w:t>
      </w:r>
    </w:p>
  </w:footnote>
  <w:footnote w:id="43">
    <w:p w14:paraId="42E6CCCA" w14:textId="77777777" w:rsidR="000F012A" w:rsidRPr="00237760" w:rsidRDefault="000F012A" w:rsidP="003D7F69">
      <w:pPr>
        <w:pStyle w:val="Tekstprzypisudolnego"/>
        <w:jc w:val="left"/>
        <w:rPr>
          <w:rFonts w:ascii="Arial" w:hAnsi="Arial" w:cs="Arial"/>
          <w:color w:val="auto"/>
          <w:sz w:val="24"/>
          <w:szCs w:val="24"/>
        </w:rPr>
      </w:pPr>
      <w:r w:rsidRPr="00237760">
        <w:rPr>
          <w:rStyle w:val="Odwoanieprzypisudolnego"/>
          <w:rFonts w:ascii="Arial" w:hAnsi="Arial" w:cs="Arial"/>
          <w:color w:val="auto"/>
          <w:sz w:val="24"/>
          <w:szCs w:val="24"/>
        </w:rPr>
        <w:footnoteRef/>
      </w:r>
      <w:r w:rsidRPr="00237760">
        <w:rPr>
          <w:rFonts w:ascii="Arial" w:hAnsi="Arial" w:cs="Arial"/>
          <w:color w:val="auto"/>
          <w:sz w:val="24"/>
          <w:szCs w:val="24"/>
        </w:rPr>
        <w:t xml:space="preserve"> Możliwość dotyczy MW lub Wojewody.</w:t>
      </w:r>
    </w:p>
  </w:footnote>
  <w:footnote w:id="44">
    <w:p w14:paraId="13701F21" w14:textId="77777777" w:rsidR="000F012A" w:rsidRPr="00237760" w:rsidRDefault="000F012A" w:rsidP="003D7F69">
      <w:pPr>
        <w:pStyle w:val="Tekstprzypisudolnego"/>
        <w:jc w:val="left"/>
        <w:rPr>
          <w:rFonts w:ascii="Arial" w:hAnsi="Arial" w:cs="Arial"/>
          <w:color w:val="auto"/>
          <w:sz w:val="24"/>
          <w:szCs w:val="24"/>
        </w:rPr>
      </w:pPr>
      <w:r w:rsidRPr="00237760">
        <w:rPr>
          <w:rStyle w:val="Odwoanieprzypisudolnego"/>
          <w:rFonts w:ascii="Arial" w:hAnsi="Arial" w:cs="Arial"/>
          <w:color w:val="auto"/>
          <w:sz w:val="24"/>
          <w:szCs w:val="24"/>
        </w:rPr>
        <w:footnoteRef/>
      </w:r>
      <w:r w:rsidRPr="00237760">
        <w:rPr>
          <w:rFonts w:ascii="Arial" w:hAnsi="Arial" w:cs="Arial"/>
          <w:color w:val="auto"/>
          <w:sz w:val="24"/>
          <w:szCs w:val="24"/>
        </w:rPr>
        <w:t xml:space="preserve"> Np. przewóz własnych pracowników.</w:t>
      </w:r>
    </w:p>
  </w:footnote>
  <w:footnote w:id="45">
    <w:p w14:paraId="6F6C2E54" w14:textId="77777777" w:rsidR="000F012A" w:rsidRPr="00237760" w:rsidRDefault="000F012A" w:rsidP="003D7F69">
      <w:pPr>
        <w:pStyle w:val="Tekstprzypisudolnego"/>
        <w:jc w:val="left"/>
        <w:rPr>
          <w:rFonts w:ascii="Arial" w:hAnsi="Arial" w:cs="Arial"/>
          <w:color w:val="auto"/>
          <w:sz w:val="24"/>
          <w:szCs w:val="24"/>
        </w:rPr>
      </w:pPr>
      <w:r w:rsidRPr="00237760">
        <w:rPr>
          <w:rStyle w:val="Odwoanieprzypisudolnego"/>
          <w:rFonts w:ascii="Arial" w:hAnsi="Arial" w:cs="Arial"/>
          <w:color w:val="auto"/>
          <w:sz w:val="24"/>
          <w:szCs w:val="24"/>
        </w:rPr>
        <w:footnoteRef/>
      </w:r>
      <w:r w:rsidRPr="00237760">
        <w:rPr>
          <w:rFonts w:ascii="Arial" w:hAnsi="Arial" w:cs="Arial"/>
          <w:color w:val="auto"/>
          <w:sz w:val="24"/>
          <w:szCs w:val="24"/>
        </w:rPr>
        <w:t xml:space="preserve"> https://rot.podkarpackie.pl/index.php/psrt-wp-2030</w:t>
      </w:r>
    </w:p>
  </w:footnote>
  <w:footnote w:id="46">
    <w:p w14:paraId="6B6DE694" w14:textId="1592A7BE" w:rsidR="000F012A" w:rsidRPr="00237760" w:rsidRDefault="000F012A" w:rsidP="003D7F69">
      <w:pPr>
        <w:pStyle w:val="Tekstprzypisudolnego"/>
        <w:jc w:val="left"/>
        <w:rPr>
          <w:rFonts w:ascii="Arial" w:hAnsi="Arial" w:cs="Arial"/>
          <w:color w:val="auto"/>
          <w:sz w:val="24"/>
          <w:szCs w:val="24"/>
        </w:rPr>
      </w:pPr>
      <w:r w:rsidRPr="00237760">
        <w:rPr>
          <w:rStyle w:val="Odwoanieprzypisudolnego"/>
          <w:rFonts w:ascii="Arial" w:hAnsi="Arial" w:cs="Arial"/>
          <w:color w:val="auto"/>
          <w:sz w:val="24"/>
          <w:szCs w:val="24"/>
        </w:rPr>
        <w:footnoteRef/>
      </w:r>
      <w:r w:rsidRPr="00237760">
        <w:rPr>
          <w:rFonts w:ascii="Arial" w:hAnsi="Arial" w:cs="Arial"/>
          <w:color w:val="auto"/>
          <w:sz w:val="24"/>
          <w:szCs w:val="24"/>
        </w:rPr>
        <w:t xml:space="preserve"> Np. Regionalny Plan Transportowy dla Województwa Śląskiego wraz z przeprowadzeniem Strategicznej Oceny Oddziaływania na Środowisko oraz wykonaniem analiz diagnostyczno-prognostycznych w zakresie funkcjonowania regionalnego systemu transportu Część I Studium analityczno-prognostyczne (projekt), czy Regionalny Plan Transportowy dla województwa wielkopolskiego w perspektywie 2030 (projekt).</w:t>
      </w:r>
    </w:p>
  </w:footnote>
  <w:footnote w:id="47">
    <w:p w14:paraId="0B282C35" w14:textId="66AFED83" w:rsidR="000F012A" w:rsidRPr="00237760" w:rsidRDefault="000F012A" w:rsidP="003D7F69">
      <w:pPr>
        <w:pStyle w:val="Tekstprzypisudolnego"/>
        <w:jc w:val="left"/>
        <w:rPr>
          <w:rFonts w:ascii="Arial" w:hAnsi="Arial" w:cs="Arial"/>
          <w:color w:val="auto"/>
          <w:sz w:val="24"/>
          <w:szCs w:val="24"/>
        </w:rPr>
      </w:pPr>
      <w:r w:rsidRPr="00237760">
        <w:rPr>
          <w:rStyle w:val="Odwoanieprzypisudolnego"/>
          <w:rFonts w:ascii="Arial" w:hAnsi="Arial" w:cs="Arial"/>
          <w:color w:val="auto"/>
          <w:sz w:val="24"/>
          <w:szCs w:val="24"/>
        </w:rPr>
        <w:footnoteRef/>
      </w:r>
      <w:r w:rsidRPr="00237760">
        <w:rPr>
          <w:rFonts w:ascii="Arial" w:hAnsi="Arial" w:cs="Arial"/>
          <w:color w:val="auto"/>
          <w:sz w:val="24"/>
          <w:szCs w:val="24"/>
        </w:rPr>
        <w:t xml:space="preserve"> Zob. przypis 44.</w:t>
      </w:r>
    </w:p>
  </w:footnote>
  <w:footnote w:id="48">
    <w:p w14:paraId="10372DFF" w14:textId="77777777" w:rsidR="000F012A" w:rsidRPr="00237760" w:rsidRDefault="000F012A" w:rsidP="003D7F69">
      <w:pPr>
        <w:pStyle w:val="Tekstprzypisudolnego"/>
        <w:jc w:val="left"/>
        <w:rPr>
          <w:rFonts w:ascii="Arial" w:hAnsi="Arial" w:cs="Arial"/>
          <w:color w:val="auto"/>
          <w:sz w:val="24"/>
          <w:szCs w:val="24"/>
        </w:rPr>
      </w:pPr>
      <w:r w:rsidRPr="00237760">
        <w:rPr>
          <w:rStyle w:val="Odwoanieprzypisudolnego"/>
          <w:rFonts w:ascii="Arial" w:hAnsi="Arial" w:cs="Arial"/>
          <w:color w:val="auto"/>
          <w:sz w:val="24"/>
          <w:szCs w:val="24"/>
        </w:rPr>
        <w:footnoteRef/>
      </w:r>
      <w:r w:rsidRPr="00237760">
        <w:rPr>
          <w:rFonts w:ascii="Arial" w:hAnsi="Arial" w:cs="Arial"/>
          <w:color w:val="auto"/>
          <w:sz w:val="24"/>
          <w:szCs w:val="24"/>
        </w:rPr>
        <w:t xml:space="preserve">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footnote>
  <w:footnote w:id="49">
    <w:p w14:paraId="27CF401E" w14:textId="69DC0B02" w:rsidR="000F012A" w:rsidRPr="00237760" w:rsidRDefault="000F012A" w:rsidP="003D7F69">
      <w:pPr>
        <w:pStyle w:val="Tekstprzypisudolnego"/>
        <w:jc w:val="left"/>
        <w:rPr>
          <w:rFonts w:ascii="Arial" w:hAnsi="Arial" w:cs="Arial"/>
          <w:color w:val="auto"/>
          <w:sz w:val="24"/>
          <w:szCs w:val="24"/>
        </w:rPr>
      </w:pPr>
      <w:r w:rsidRPr="00237760">
        <w:rPr>
          <w:rStyle w:val="Odwoanieprzypisudolnego"/>
          <w:rFonts w:ascii="Arial" w:hAnsi="Arial" w:cs="Arial"/>
          <w:color w:val="auto"/>
          <w:sz w:val="24"/>
          <w:szCs w:val="24"/>
        </w:rPr>
        <w:footnoteRef/>
      </w:r>
      <w:r w:rsidRPr="00237760">
        <w:rPr>
          <w:rFonts w:ascii="Arial" w:hAnsi="Arial" w:cs="Arial"/>
          <w:color w:val="auto"/>
          <w:sz w:val="24"/>
          <w:szCs w:val="24"/>
        </w:rPr>
        <w:t xml:space="preserve"> </w:t>
      </w:r>
      <w:r w:rsidRPr="00237760">
        <w:rPr>
          <w:rFonts w:ascii="Arial" w:hAnsi="Arial" w:cs="Arial"/>
          <w:color w:val="auto"/>
          <w:sz w:val="24"/>
          <w:szCs w:val="24"/>
          <w:lang w:eastAsia="pl-PL"/>
        </w:rPr>
        <w:t>Warunkowość podstawowa została przeanalizowana w rozdziale 5.1.</w:t>
      </w:r>
    </w:p>
  </w:footnote>
  <w:footnote w:id="50">
    <w:p w14:paraId="0AF413EE" w14:textId="18D21D7B" w:rsidR="000F012A" w:rsidRPr="00237760" w:rsidRDefault="000F012A" w:rsidP="003D7F69">
      <w:pPr>
        <w:pStyle w:val="Tekstprzypisudolnego"/>
        <w:jc w:val="left"/>
        <w:rPr>
          <w:rFonts w:ascii="Arial" w:hAnsi="Arial" w:cs="Arial"/>
          <w:color w:val="auto"/>
          <w:sz w:val="24"/>
          <w:szCs w:val="24"/>
        </w:rPr>
      </w:pPr>
      <w:r w:rsidRPr="00237760">
        <w:rPr>
          <w:rStyle w:val="Odwoanieprzypisudolnego"/>
          <w:rFonts w:ascii="Arial" w:hAnsi="Arial" w:cs="Arial"/>
          <w:color w:val="auto"/>
          <w:sz w:val="24"/>
          <w:szCs w:val="24"/>
        </w:rPr>
        <w:footnoteRef/>
      </w:r>
      <w:r w:rsidRPr="00237760">
        <w:rPr>
          <w:rFonts w:ascii="Arial" w:hAnsi="Arial" w:cs="Arial"/>
          <w:color w:val="auto"/>
          <w:sz w:val="24"/>
          <w:szCs w:val="24"/>
        </w:rPr>
        <w:t xml:space="preserve"> Kontrakt Programowy dla Województwa Podkarpackiego został podpisany w kwietniu br. przez Marszałka Województwa Podkarpackiego Władysława Ortyla, Wicemarszałka Piotra Pilcha (reprezentanci Zarządu Województwa Podkarpackiego) oraz sekretarz stanu w MFiPR Małgorzatę Jarosińską-Jedynak (strona rządowa) (https://www.podkarpackie.pl/index.php/fundusze-eu/aktualnosci/kontrakt-programowy-dla-wojewodztwa-podkarpackiego-podpisany).</w:t>
      </w:r>
    </w:p>
  </w:footnote>
  <w:footnote w:id="51">
    <w:p w14:paraId="7663D870" w14:textId="61AC3B74" w:rsidR="000F012A" w:rsidRPr="00237760" w:rsidRDefault="000F012A" w:rsidP="003D7F69">
      <w:pPr>
        <w:pStyle w:val="Tekstprzypisudolnego"/>
        <w:jc w:val="left"/>
        <w:rPr>
          <w:rFonts w:ascii="Arial" w:hAnsi="Arial" w:cs="Arial"/>
          <w:color w:val="auto"/>
          <w:sz w:val="24"/>
          <w:szCs w:val="24"/>
        </w:rPr>
      </w:pPr>
      <w:r w:rsidRPr="00237760">
        <w:rPr>
          <w:rStyle w:val="Odwoanieprzypisudolnego"/>
          <w:rFonts w:ascii="Arial" w:hAnsi="Arial" w:cs="Arial"/>
          <w:color w:val="auto"/>
          <w:sz w:val="24"/>
          <w:szCs w:val="24"/>
        </w:rPr>
        <w:footnoteRef/>
      </w:r>
      <w:r w:rsidRPr="00237760">
        <w:rPr>
          <w:rFonts w:ascii="Arial" w:hAnsi="Arial" w:cs="Arial"/>
          <w:color w:val="auto"/>
          <w:sz w:val="24"/>
          <w:szCs w:val="24"/>
        </w:rPr>
        <w:t xml:space="preserve"> Analiza spójności PSRT WP z CP3. Lepiej połączona Europa dzięki zwiększeniu mobilności znajduje się w rozdziale </w:t>
      </w:r>
      <w:r w:rsidRPr="00237760">
        <w:rPr>
          <w:rFonts w:ascii="Arial" w:hAnsi="Arial" w:cs="Arial"/>
          <w:color w:val="auto"/>
          <w:sz w:val="24"/>
          <w:szCs w:val="24"/>
        </w:rPr>
        <w:fldChar w:fldCharType="begin"/>
      </w:r>
      <w:r w:rsidRPr="00237760">
        <w:rPr>
          <w:rFonts w:ascii="Arial" w:hAnsi="Arial" w:cs="Arial"/>
          <w:color w:val="auto"/>
          <w:sz w:val="24"/>
          <w:szCs w:val="24"/>
        </w:rPr>
        <w:instrText xml:space="preserve"> REF _Ref101863643 \r \h  \* MERGEFORMAT </w:instrText>
      </w:r>
      <w:r w:rsidRPr="00237760">
        <w:rPr>
          <w:rFonts w:ascii="Arial" w:hAnsi="Arial" w:cs="Arial"/>
          <w:color w:val="auto"/>
          <w:sz w:val="24"/>
          <w:szCs w:val="24"/>
        </w:rPr>
      </w:r>
      <w:r w:rsidRPr="00237760">
        <w:rPr>
          <w:rFonts w:ascii="Arial" w:hAnsi="Arial" w:cs="Arial"/>
          <w:color w:val="auto"/>
          <w:sz w:val="24"/>
          <w:szCs w:val="24"/>
        </w:rPr>
        <w:fldChar w:fldCharType="separate"/>
      </w:r>
      <w:r w:rsidRPr="00237760">
        <w:rPr>
          <w:rFonts w:ascii="Arial" w:hAnsi="Arial" w:cs="Arial"/>
          <w:color w:val="auto"/>
          <w:sz w:val="24"/>
          <w:szCs w:val="24"/>
        </w:rPr>
        <w:t>5.2.2</w:t>
      </w:r>
      <w:r w:rsidRPr="00237760">
        <w:rPr>
          <w:rFonts w:ascii="Arial" w:hAnsi="Arial" w:cs="Arial"/>
          <w:color w:val="auto"/>
          <w:sz w:val="24"/>
          <w:szCs w:val="24"/>
        </w:rPr>
        <w:fldChar w:fldCharType="end"/>
      </w:r>
      <w:r w:rsidRPr="00237760">
        <w:rPr>
          <w:rFonts w:ascii="Arial" w:hAnsi="Arial" w:cs="Arial"/>
          <w:color w:val="auto"/>
          <w:sz w:val="24"/>
          <w:szCs w:val="24"/>
        </w:rPr>
        <w:t>.</w:t>
      </w:r>
    </w:p>
  </w:footnote>
  <w:footnote w:id="52">
    <w:p w14:paraId="7CE80180" w14:textId="0D3B2B20" w:rsidR="000F012A" w:rsidRPr="00237760" w:rsidRDefault="000F012A" w:rsidP="003D7F69">
      <w:pPr>
        <w:pStyle w:val="Tekstprzypisudolnego"/>
        <w:jc w:val="left"/>
        <w:rPr>
          <w:rFonts w:ascii="Arial" w:hAnsi="Arial" w:cs="Arial"/>
          <w:color w:val="auto"/>
          <w:sz w:val="24"/>
          <w:szCs w:val="24"/>
        </w:rPr>
      </w:pPr>
      <w:r w:rsidRPr="00237760">
        <w:rPr>
          <w:rStyle w:val="Odwoanieprzypisudolnego"/>
          <w:rFonts w:ascii="Arial" w:hAnsi="Arial" w:cs="Arial"/>
          <w:color w:val="auto"/>
          <w:sz w:val="24"/>
          <w:szCs w:val="24"/>
        </w:rPr>
        <w:footnoteRef/>
      </w:r>
      <w:r w:rsidRPr="00237760">
        <w:rPr>
          <w:rFonts w:ascii="Arial" w:hAnsi="Arial" w:cs="Arial"/>
          <w:color w:val="auto"/>
          <w:sz w:val="24"/>
          <w:szCs w:val="24"/>
        </w:rPr>
        <w:t xml:space="preserve"> Poprawa sieci drogowej województwa wpłynie także na: zmniejszenie emisyjności transportu, wzmocnienie rozwiązań multimodalnych, poprawę funkcjonowania transportu publicznego oraz podniesienie bezpieczeństwa drogowego. </w:t>
      </w:r>
    </w:p>
  </w:footnote>
  <w:footnote w:id="53">
    <w:p w14:paraId="0557FDE8" w14:textId="65BFB10E" w:rsidR="000F012A" w:rsidRPr="00237760" w:rsidRDefault="000F012A" w:rsidP="003D7F69">
      <w:pPr>
        <w:pStyle w:val="Tekstprzypisudolnego"/>
        <w:jc w:val="left"/>
        <w:rPr>
          <w:rFonts w:ascii="Arial" w:hAnsi="Arial" w:cs="Arial"/>
          <w:color w:val="auto"/>
          <w:sz w:val="24"/>
          <w:szCs w:val="24"/>
        </w:rPr>
      </w:pPr>
      <w:r w:rsidRPr="00237760">
        <w:rPr>
          <w:rStyle w:val="Odwoanieprzypisudolnego"/>
          <w:rFonts w:ascii="Arial" w:hAnsi="Arial" w:cs="Arial"/>
          <w:color w:val="auto"/>
          <w:sz w:val="24"/>
          <w:szCs w:val="24"/>
        </w:rPr>
        <w:footnoteRef/>
      </w:r>
      <w:r w:rsidRPr="00237760">
        <w:rPr>
          <w:rFonts w:ascii="Arial" w:hAnsi="Arial" w:cs="Arial"/>
          <w:color w:val="auto"/>
          <w:sz w:val="24"/>
          <w:szCs w:val="24"/>
        </w:rPr>
        <w:t xml:space="preserve"> Ten aspekt został poruszony w zagrożeniach w analizie SWOT.</w:t>
      </w:r>
    </w:p>
  </w:footnote>
  <w:footnote w:id="54">
    <w:p w14:paraId="0BCCDB90" w14:textId="095C6D7E" w:rsidR="000F012A" w:rsidRPr="00237760" w:rsidRDefault="000F012A" w:rsidP="003D7F69">
      <w:pPr>
        <w:pStyle w:val="Tekstprzypisudolnego"/>
        <w:jc w:val="left"/>
        <w:rPr>
          <w:rFonts w:ascii="Arial" w:hAnsi="Arial" w:cs="Arial"/>
          <w:color w:val="auto"/>
          <w:sz w:val="24"/>
          <w:szCs w:val="24"/>
        </w:rPr>
      </w:pPr>
      <w:r w:rsidRPr="00237760">
        <w:rPr>
          <w:rStyle w:val="Odwoanieprzypisudolnego"/>
          <w:rFonts w:ascii="Arial" w:hAnsi="Arial" w:cs="Arial"/>
          <w:color w:val="auto"/>
          <w:sz w:val="24"/>
          <w:szCs w:val="24"/>
        </w:rPr>
        <w:footnoteRef/>
      </w:r>
      <w:r w:rsidRPr="00237760">
        <w:rPr>
          <w:rFonts w:ascii="Arial" w:hAnsi="Arial" w:cs="Arial"/>
          <w:color w:val="auto"/>
          <w:sz w:val="24"/>
          <w:szCs w:val="24"/>
        </w:rPr>
        <w:t xml:space="preserve"> Analizie spójności poddano tylko mocne i słabe strony, z uwagi na ich wewnętrzny charakter, odnoszący się do diagnozy obszaru województwa podkarpackiego.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0B011" w14:textId="77777777" w:rsidR="000F012A" w:rsidRDefault="000F012A">
    <w:pPr>
      <w:pStyle w:val="Nagwek"/>
    </w:pPr>
  </w:p>
  <w:p w14:paraId="6F148D38" w14:textId="10231ABF" w:rsidR="000F012A" w:rsidRDefault="000F012A">
    <w:pPr>
      <w:pStyle w:val="Nagwek"/>
    </w:pPr>
    <w:r w:rsidRPr="003C4045">
      <w:rPr>
        <w:i/>
        <w:noProof/>
        <w:sz w:val="24"/>
        <w:szCs w:val="24"/>
        <w:lang w:eastAsia="pl-PL"/>
      </w:rPr>
      <w:drawing>
        <wp:inline distT="0" distB="0" distL="0" distR="0" wp14:anchorId="2DC5C144" wp14:editId="6095D53B">
          <wp:extent cx="5760720" cy="419735"/>
          <wp:effectExtent l="0" t="0" r="0" b="0"/>
          <wp:docPr id="25" name="Obraz 25" descr="Logotyp&#10;&#10;Pasek logotypów zawierających kolejno: logo Funduszy Europejskich z odniesieniem słownym do programu regionalnego, barwy Rzeczpospolitej Polskiej, logo Podkarpackiej przestrzeni otwartej, logo Unii Europejskiej z odniesieniem słownym do Europejskiego Funduszu Społe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Logotyp&#10;&#10;Pasek logotypów zawierających kolejno: logo Funduszy Europejskich z odniesieniem słownym do programu regionalnego, barwy Rzeczpospolitej Polskiej, logo Podkarpackiej przestrzeni otwartej, logo Unii Europejskiej z odniesieniem słownym do Europejskiego Funduszu Społeczne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419735"/>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2656D1" w14:textId="77777777" w:rsidR="000F012A" w:rsidRDefault="000F012A" w:rsidP="00126413">
    <w:pPr>
      <w:pStyle w:val="Nagwek"/>
    </w:pPr>
    <w:r>
      <w:rPr>
        <w:noProof/>
        <w:lang w:eastAsia="pl-PL"/>
      </w:rPr>
      <mc:AlternateContent>
        <mc:Choice Requires="wps">
          <w:drawing>
            <wp:anchor distT="0" distB="0" distL="114300" distR="114300" simplePos="0" relativeHeight="251659264" behindDoc="0" locked="0" layoutInCell="1" allowOverlap="1" wp14:anchorId="25DD56E3" wp14:editId="4ECBD5F0">
              <wp:simplePos x="0" y="0"/>
              <wp:positionH relativeFrom="column">
                <wp:posOffset>-180975</wp:posOffset>
              </wp:positionH>
              <wp:positionV relativeFrom="paragraph">
                <wp:posOffset>702310</wp:posOffset>
              </wp:positionV>
              <wp:extent cx="8784000" cy="6985"/>
              <wp:effectExtent l="0" t="0" r="17145" b="31115"/>
              <wp:wrapSquare wrapText="bothSides"/>
              <wp:docPr id="7" name="Rectangle 5" descr="szara linia " title="Element grafiki">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4000" cy="6985"/>
                      </a:xfrm>
                      <a:prstGeom prst="rect">
                        <a:avLst/>
                      </a:prstGeom>
                      <a:solidFill>
                        <a:srgbClr val="002060">
                          <a:alpha val="89999"/>
                        </a:srgbClr>
                      </a:solidFill>
                      <a:ln w="9525">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4F28B" id="Rectangle 5" o:spid="_x0000_s1026" alt="Tytuł: Element grafiki — opis: szara linia " style="position:absolute;margin-left:-14.25pt;margin-top:55.3pt;width:691.65pt;height:.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" fillcolor="#002060" strokecolor="#002060">
              <v:fill opacity="58853f"/>
              <w10:wrap type="squar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77AE5" w14:textId="30A1F944" w:rsidR="000F012A" w:rsidRDefault="000F012A" w:rsidP="00126413">
    <w:pPr>
      <w:pStyle w:val="Nagwek"/>
    </w:pPr>
    <w:r>
      <w:rPr>
        <w:noProof/>
        <w:lang w:eastAsia="pl-PL"/>
      </w:rPr>
      <mc:AlternateContent>
        <mc:Choice Requires="wps">
          <w:drawing>
            <wp:anchor distT="0" distB="0" distL="114300" distR="114300" simplePos="0" relativeHeight="251658241" behindDoc="0" locked="0" layoutInCell="1" allowOverlap="1" wp14:anchorId="5A4270E4" wp14:editId="3796EDAD">
              <wp:simplePos x="0" y="0"/>
              <wp:positionH relativeFrom="column">
                <wp:posOffset>-1504</wp:posOffset>
              </wp:positionH>
              <wp:positionV relativeFrom="paragraph">
                <wp:posOffset>702310</wp:posOffset>
              </wp:positionV>
              <wp:extent cx="5760000" cy="6985"/>
              <wp:effectExtent l="0" t="0" r="12700" b="31115"/>
              <wp:wrapSquare wrapText="bothSides"/>
              <wp:docPr id="8" name="Rectangle 5" descr="szara linia " title="Element grafiki">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6985"/>
                      </a:xfrm>
                      <a:prstGeom prst="rect">
                        <a:avLst/>
                      </a:prstGeom>
                      <a:solidFill>
                        <a:srgbClr val="002060">
                          <a:alpha val="89999"/>
                        </a:srgbClr>
                      </a:solidFill>
                      <a:ln w="9525">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3F2F2" id="Rectangle 5" o:spid="_x0000_s1026" alt="Tytuł: Element grafiki — opis: szara linia " style="position:absolute;margin-left:-.1pt;margin-top:55.3pt;width:453.55pt;height:.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" fillcolor="#002060" strokecolor="#002060">
              <v:fill opacity="58853f"/>
              <w10:wrap type="squar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E3599"/>
    <w:multiLevelType w:val="hybridMultilevel"/>
    <w:tmpl w:val="B37058AE"/>
    <w:lvl w:ilvl="0" w:tplc="0415000F">
      <w:start w:val="1"/>
      <w:numFmt w:val="decimal"/>
      <w:lvlText w:val="%1."/>
      <w:lvlJc w:val="left"/>
      <w:pPr>
        <w:ind w:left="2705" w:hanging="360"/>
      </w:pPr>
    </w:lvl>
    <w:lvl w:ilvl="1" w:tplc="04150019" w:tentative="1">
      <w:start w:val="1"/>
      <w:numFmt w:val="lowerLetter"/>
      <w:lvlText w:val="%2."/>
      <w:lvlJc w:val="left"/>
      <w:pPr>
        <w:ind w:left="3425" w:hanging="360"/>
      </w:pPr>
    </w:lvl>
    <w:lvl w:ilvl="2" w:tplc="0415001B" w:tentative="1">
      <w:start w:val="1"/>
      <w:numFmt w:val="lowerRoman"/>
      <w:lvlText w:val="%3."/>
      <w:lvlJc w:val="right"/>
      <w:pPr>
        <w:ind w:left="4145" w:hanging="180"/>
      </w:pPr>
    </w:lvl>
    <w:lvl w:ilvl="3" w:tplc="0415000F" w:tentative="1">
      <w:start w:val="1"/>
      <w:numFmt w:val="decimal"/>
      <w:lvlText w:val="%4."/>
      <w:lvlJc w:val="left"/>
      <w:pPr>
        <w:ind w:left="4865" w:hanging="360"/>
      </w:pPr>
    </w:lvl>
    <w:lvl w:ilvl="4" w:tplc="04150019" w:tentative="1">
      <w:start w:val="1"/>
      <w:numFmt w:val="lowerLetter"/>
      <w:lvlText w:val="%5."/>
      <w:lvlJc w:val="left"/>
      <w:pPr>
        <w:ind w:left="5585" w:hanging="360"/>
      </w:pPr>
    </w:lvl>
    <w:lvl w:ilvl="5" w:tplc="0415001B" w:tentative="1">
      <w:start w:val="1"/>
      <w:numFmt w:val="lowerRoman"/>
      <w:lvlText w:val="%6."/>
      <w:lvlJc w:val="right"/>
      <w:pPr>
        <w:ind w:left="6305" w:hanging="180"/>
      </w:pPr>
    </w:lvl>
    <w:lvl w:ilvl="6" w:tplc="0415000F" w:tentative="1">
      <w:start w:val="1"/>
      <w:numFmt w:val="decimal"/>
      <w:lvlText w:val="%7."/>
      <w:lvlJc w:val="left"/>
      <w:pPr>
        <w:ind w:left="7025" w:hanging="360"/>
      </w:pPr>
    </w:lvl>
    <w:lvl w:ilvl="7" w:tplc="04150019" w:tentative="1">
      <w:start w:val="1"/>
      <w:numFmt w:val="lowerLetter"/>
      <w:lvlText w:val="%8."/>
      <w:lvlJc w:val="left"/>
      <w:pPr>
        <w:ind w:left="7745" w:hanging="360"/>
      </w:pPr>
    </w:lvl>
    <w:lvl w:ilvl="8" w:tplc="0415001B" w:tentative="1">
      <w:start w:val="1"/>
      <w:numFmt w:val="lowerRoman"/>
      <w:lvlText w:val="%9."/>
      <w:lvlJc w:val="right"/>
      <w:pPr>
        <w:ind w:left="8465" w:hanging="180"/>
      </w:pPr>
    </w:lvl>
  </w:abstractNum>
  <w:abstractNum w:abstractNumId="1" w15:restartNumberingAfterBreak="0">
    <w:nsid w:val="06B90965"/>
    <w:multiLevelType w:val="hybridMultilevel"/>
    <w:tmpl w:val="2222C4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Yu Mincho Light" w:hAnsi="Yu Mincho Light" w:cs="Yu Mincho Light" w:hint="default"/>
      </w:rPr>
    </w:lvl>
    <w:lvl w:ilvl="2" w:tplc="04150005" w:tentative="1">
      <w:start w:val="1"/>
      <w:numFmt w:val="bullet"/>
      <w:lvlText w:val=""/>
      <w:lvlJc w:val="left"/>
      <w:pPr>
        <w:ind w:left="2160" w:hanging="360"/>
      </w:pPr>
      <w:rPr>
        <w:rFonts w:ascii="Calibri" w:hAnsi="Calibri" w:hint="default"/>
      </w:rPr>
    </w:lvl>
    <w:lvl w:ilvl="3" w:tplc="04150001" w:tentative="1">
      <w:start w:val="1"/>
      <w:numFmt w:val="bullet"/>
      <w:lvlText w:val=""/>
      <w:lvlJc w:val="left"/>
      <w:pPr>
        <w:ind w:left="2880" w:hanging="360"/>
      </w:pPr>
      <w:rPr>
        <w:rFonts w:ascii="Calibri Light" w:hAnsi="Calibri Light" w:hint="default"/>
      </w:rPr>
    </w:lvl>
    <w:lvl w:ilvl="4" w:tplc="04150003" w:tentative="1">
      <w:start w:val="1"/>
      <w:numFmt w:val="bullet"/>
      <w:lvlText w:val="o"/>
      <w:lvlJc w:val="left"/>
      <w:pPr>
        <w:ind w:left="3600" w:hanging="360"/>
      </w:pPr>
      <w:rPr>
        <w:rFonts w:ascii="Yu Mincho Light" w:hAnsi="Yu Mincho Light" w:cs="Yu Mincho Light" w:hint="default"/>
      </w:rPr>
    </w:lvl>
    <w:lvl w:ilvl="5" w:tplc="04150005" w:tentative="1">
      <w:start w:val="1"/>
      <w:numFmt w:val="bullet"/>
      <w:lvlText w:val=""/>
      <w:lvlJc w:val="left"/>
      <w:pPr>
        <w:ind w:left="4320" w:hanging="360"/>
      </w:pPr>
      <w:rPr>
        <w:rFonts w:ascii="Calibri" w:hAnsi="Calibri" w:hint="default"/>
      </w:rPr>
    </w:lvl>
    <w:lvl w:ilvl="6" w:tplc="04150001" w:tentative="1">
      <w:start w:val="1"/>
      <w:numFmt w:val="bullet"/>
      <w:lvlText w:val=""/>
      <w:lvlJc w:val="left"/>
      <w:pPr>
        <w:ind w:left="5040" w:hanging="360"/>
      </w:pPr>
      <w:rPr>
        <w:rFonts w:ascii="Calibri Light" w:hAnsi="Calibri Light" w:hint="default"/>
      </w:rPr>
    </w:lvl>
    <w:lvl w:ilvl="7" w:tplc="04150003" w:tentative="1">
      <w:start w:val="1"/>
      <w:numFmt w:val="bullet"/>
      <w:lvlText w:val="o"/>
      <w:lvlJc w:val="left"/>
      <w:pPr>
        <w:ind w:left="5760" w:hanging="360"/>
      </w:pPr>
      <w:rPr>
        <w:rFonts w:ascii="Yu Mincho Light" w:hAnsi="Yu Mincho Light" w:cs="Yu Mincho Light" w:hint="default"/>
      </w:rPr>
    </w:lvl>
    <w:lvl w:ilvl="8" w:tplc="04150005" w:tentative="1">
      <w:start w:val="1"/>
      <w:numFmt w:val="bullet"/>
      <w:lvlText w:val=""/>
      <w:lvlJc w:val="left"/>
      <w:pPr>
        <w:ind w:left="6480" w:hanging="360"/>
      </w:pPr>
      <w:rPr>
        <w:rFonts w:ascii="Calibri" w:hAnsi="Calibri" w:hint="default"/>
      </w:rPr>
    </w:lvl>
  </w:abstractNum>
  <w:abstractNum w:abstractNumId="2" w15:restartNumberingAfterBreak="0">
    <w:nsid w:val="0DB456BE"/>
    <w:multiLevelType w:val="hybridMultilevel"/>
    <w:tmpl w:val="DD186312"/>
    <w:lvl w:ilvl="0" w:tplc="04150019">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 w15:restartNumberingAfterBreak="0">
    <w:nsid w:val="10F95AC0"/>
    <w:multiLevelType w:val="hybridMultilevel"/>
    <w:tmpl w:val="A1FCC784"/>
    <w:lvl w:ilvl="0" w:tplc="0415000D">
      <w:start w:val="1"/>
      <w:numFmt w:val="bullet"/>
      <w:lvlText w:val=""/>
      <w:lvlJc w:val="left"/>
      <w:pPr>
        <w:ind w:left="720" w:hanging="360"/>
      </w:pPr>
      <w:rPr>
        <w:rFonts w:ascii="Wingdings" w:hAnsi="Wingdings" w:hint="default"/>
        <w:sz w:val="18"/>
        <w:szCs w:val="18"/>
      </w:rPr>
    </w:lvl>
    <w:lvl w:ilvl="1" w:tplc="04150003" w:tentative="1">
      <w:start w:val="1"/>
      <w:numFmt w:val="bullet"/>
      <w:lvlText w:val="o"/>
      <w:lvlJc w:val="left"/>
      <w:pPr>
        <w:ind w:left="1440" w:hanging="360"/>
      </w:pPr>
      <w:rPr>
        <w:rFonts w:ascii="Yu Mincho Light" w:hAnsi="Yu Mincho Light" w:cs="Yu Mincho Light" w:hint="default"/>
      </w:rPr>
    </w:lvl>
    <w:lvl w:ilvl="2" w:tplc="04150005" w:tentative="1">
      <w:start w:val="1"/>
      <w:numFmt w:val="bullet"/>
      <w:lvlText w:val=""/>
      <w:lvlJc w:val="left"/>
      <w:pPr>
        <w:ind w:left="2160" w:hanging="360"/>
      </w:pPr>
      <w:rPr>
        <w:rFonts w:ascii="Yu Mincho Light" w:hAnsi="Yu Mincho Light" w:hint="default"/>
      </w:rPr>
    </w:lvl>
    <w:lvl w:ilvl="3" w:tplc="04150001" w:tentative="1">
      <w:start w:val="1"/>
      <w:numFmt w:val="bullet"/>
      <w:lvlText w:val=""/>
      <w:lvlJc w:val="left"/>
      <w:pPr>
        <w:ind w:left="2880" w:hanging="360"/>
      </w:pPr>
      <w:rPr>
        <w:rFonts w:ascii="MS Gothic" w:hAnsi="MS Gothic" w:hint="default"/>
      </w:rPr>
    </w:lvl>
    <w:lvl w:ilvl="4" w:tplc="04150003" w:tentative="1">
      <w:start w:val="1"/>
      <w:numFmt w:val="bullet"/>
      <w:lvlText w:val="o"/>
      <w:lvlJc w:val="left"/>
      <w:pPr>
        <w:ind w:left="3600" w:hanging="360"/>
      </w:pPr>
      <w:rPr>
        <w:rFonts w:ascii="Yu Mincho Light" w:hAnsi="Yu Mincho Light" w:cs="Yu Mincho Light" w:hint="default"/>
      </w:rPr>
    </w:lvl>
    <w:lvl w:ilvl="5" w:tplc="04150005" w:tentative="1">
      <w:start w:val="1"/>
      <w:numFmt w:val="bullet"/>
      <w:lvlText w:val=""/>
      <w:lvlJc w:val="left"/>
      <w:pPr>
        <w:ind w:left="4320" w:hanging="360"/>
      </w:pPr>
      <w:rPr>
        <w:rFonts w:ascii="Yu Mincho Light" w:hAnsi="Yu Mincho Light" w:hint="default"/>
      </w:rPr>
    </w:lvl>
    <w:lvl w:ilvl="6" w:tplc="04150001" w:tentative="1">
      <w:start w:val="1"/>
      <w:numFmt w:val="bullet"/>
      <w:lvlText w:val=""/>
      <w:lvlJc w:val="left"/>
      <w:pPr>
        <w:ind w:left="5040" w:hanging="360"/>
      </w:pPr>
      <w:rPr>
        <w:rFonts w:ascii="MS Gothic" w:hAnsi="MS Gothic" w:hint="default"/>
      </w:rPr>
    </w:lvl>
    <w:lvl w:ilvl="7" w:tplc="04150003" w:tentative="1">
      <w:start w:val="1"/>
      <w:numFmt w:val="bullet"/>
      <w:lvlText w:val="o"/>
      <w:lvlJc w:val="left"/>
      <w:pPr>
        <w:ind w:left="5760" w:hanging="360"/>
      </w:pPr>
      <w:rPr>
        <w:rFonts w:ascii="Yu Mincho Light" w:hAnsi="Yu Mincho Light" w:cs="Yu Mincho Light" w:hint="default"/>
      </w:rPr>
    </w:lvl>
    <w:lvl w:ilvl="8" w:tplc="04150005" w:tentative="1">
      <w:start w:val="1"/>
      <w:numFmt w:val="bullet"/>
      <w:lvlText w:val=""/>
      <w:lvlJc w:val="left"/>
      <w:pPr>
        <w:ind w:left="6480" w:hanging="360"/>
      </w:pPr>
      <w:rPr>
        <w:rFonts w:ascii="Yu Mincho Light" w:hAnsi="Yu Mincho Light" w:hint="default"/>
      </w:rPr>
    </w:lvl>
  </w:abstractNum>
  <w:abstractNum w:abstractNumId="4" w15:restartNumberingAfterBreak="0">
    <w:nsid w:val="16E63236"/>
    <w:multiLevelType w:val="hybridMultilevel"/>
    <w:tmpl w:val="E4F42272"/>
    <w:lvl w:ilvl="0" w:tplc="0415000D">
      <w:start w:val="1"/>
      <w:numFmt w:val="bullet"/>
      <w:lvlText w:val=""/>
      <w:lvlJc w:val="left"/>
      <w:pPr>
        <w:ind w:left="927" w:hanging="360"/>
      </w:pPr>
      <w:rPr>
        <w:rFonts w:ascii="Wingdings" w:hAnsi="Wingdings"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5" w15:restartNumberingAfterBreak="0">
    <w:nsid w:val="17787B05"/>
    <w:multiLevelType w:val="hybridMultilevel"/>
    <w:tmpl w:val="BF1892EA"/>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Yu Mincho Light" w:hAnsi="Yu Mincho Light" w:cs="Yu Mincho Light" w:hint="default"/>
      </w:rPr>
    </w:lvl>
    <w:lvl w:ilvl="2" w:tplc="FFFFFFFF" w:tentative="1">
      <w:start w:val="1"/>
      <w:numFmt w:val="bullet"/>
      <w:lvlText w:val=""/>
      <w:lvlJc w:val="left"/>
      <w:pPr>
        <w:ind w:left="2160" w:hanging="360"/>
      </w:pPr>
      <w:rPr>
        <w:rFonts w:ascii="Yu Mincho Light" w:hAnsi="Yu Mincho Light" w:hint="default"/>
      </w:rPr>
    </w:lvl>
    <w:lvl w:ilvl="3" w:tplc="FFFFFFFF" w:tentative="1">
      <w:start w:val="1"/>
      <w:numFmt w:val="bullet"/>
      <w:lvlText w:val=""/>
      <w:lvlJc w:val="left"/>
      <w:pPr>
        <w:ind w:left="2880" w:hanging="360"/>
      </w:pPr>
      <w:rPr>
        <w:rFonts w:ascii="MS Gothic" w:hAnsi="MS Gothic" w:hint="default"/>
      </w:rPr>
    </w:lvl>
    <w:lvl w:ilvl="4" w:tplc="FFFFFFFF" w:tentative="1">
      <w:start w:val="1"/>
      <w:numFmt w:val="bullet"/>
      <w:lvlText w:val="o"/>
      <w:lvlJc w:val="left"/>
      <w:pPr>
        <w:ind w:left="3600" w:hanging="360"/>
      </w:pPr>
      <w:rPr>
        <w:rFonts w:ascii="Yu Mincho Light" w:hAnsi="Yu Mincho Light" w:cs="Yu Mincho Light" w:hint="default"/>
      </w:rPr>
    </w:lvl>
    <w:lvl w:ilvl="5" w:tplc="FFFFFFFF" w:tentative="1">
      <w:start w:val="1"/>
      <w:numFmt w:val="bullet"/>
      <w:lvlText w:val=""/>
      <w:lvlJc w:val="left"/>
      <w:pPr>
        <w:ind w:left="4320" w:hanging="360"/>
      </w:pPr>
      <w:rPr>
        <w:rFonts w:ascii="Yu Mincho Light" w:hAnsi="Yu Mincho Light" w:hint="default"/>
      </w:rPr>
    </w:lvl>
    <w:lvl w:ilvl="6" w:tplc="FFFFFFFF" w:tentative="1">
      <w:start w:val="1"/>
      <w:numFmt w:val="bullet"/>
      <w:lvlText w:val=""/>
      <w:lvlJc w:val="left"/>
      <w:pPr>
        <w:ind w:left="5040" w:hanging="360"/>
      </w:pPr>
      <w:rPr>
        <w:rFonts w:ascii="MS Gothic" w:hAnsi="MS Gothic" w:hint="default"/>
      </w:rPr>
    </w:lvl>
    <w:lvl w:ilvl="7" w:tplc="FFFFFFFF" w:tentative="1">
      <w:start w:val="1"/>
      <w:numFmt w:val="bullet"/>
      <w:lvlText w:val="o"/>
      <w:lvlJc w:val="left"/>
      <w:pPr>
        <w:ind w:left="5760" w:hanging="360"/>
      </w:pPr>
      <w:rPr>
        <w:rFonts w:ascii="Yu Mincho Light" w:hAnsi="Yu Mincho Light" w:cs="Yu Mincho Light" w:hint="default"/>
      </w:rPr>
    </w:lvl>
    <w:lvl w:ilvl="8" w:tplc="FFFFFFFF" w:tentative="1">
      <w:start w:val="1"/>
      <w:numFmt w:val="bullet"/>
      <w:lvlText w:val=""/>
      <w:lvlJc w:val="left"/>
      <w:pPr>
        <w:ind w:left="6480" w:hanging="360"/>
      </w:pPr>
      <w:rPr>
        <w:rFonts w:ascii="Yu Mincho Light" w:hAnsi="Yu Mincho Light" w:hint="default"/>
      </w:rPr>
    </w:lvl>
  </w:abstractNum>
  <w:abstractNum w:abstractNumId="6" w15:restartNumberingAfterBreak="0">
    <w:nsid w:val="182C1489"/>
    <w:multiLevelType w:val="hybridMultilevel"/>
    <w:tmpl w:val="6826F5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616550"/>
    <w:multiLevelType w:val="hybridMultilevel"/>
    <w:tmpl w:val="17C06EA2"/>
    <w:lvl w:ilvl="0" w:tplc="04150001">
      <w:start w:val="1"/>
      <w:numFmt w:val="bullet"/>
      <w:lvlText w:val=""/>
      <w:lvlJc w:val="left"/>
      <w:pPr>
        <w:ind w:left="797" w:hanging="360"/>
      </w:pPr>
      <w:rPr>
        <w:rFonts w:ascii="Symbol" w:hAnsi="Symbol" w:hint="default"/>
      </w:rPr>
    </w:lvl>
    <w:lvl w:ilvl="1" w:tplc="04150003" w:tentative="1">
      <w:start w:val="1"/>
      <w:numFmt w:val="bullet"/>
      <w:lvlText w:val="o"/>
      <w:lvlJc w:val="left"/>
      <w:pPr>
        <w:ind w:left="1517" w:hanging="360"/>
      </w:pPr>
      <w:rPr>
        <w:rFonts w:ascii="Yu Mincho Light" w:hAnsi="Yu Mincho Light" w:cs="Yu Mincho Light" w:hint="default"/>
      </w:rPr>
    </w:lvl>
    <w:lvl w:ilvl="2" w:tplc="04150005" w:tentative="1">
      <w:start w:val="1"/>
      <w:numFmt w:val="bullet"/>
      <w:lvlText w:val=""/>
      <w:lvlJc w:val="left"/>
      <w:pPr>
        <w:ind w:left="2237" w:hanging="360"/>
      </w:pPr>
      <w:rPr>
        <w:rFonts w:ascii="Calibri" w:hAnsi="Calibri" w:hint="default"/>
      </w:rPr>
    </w:lvl>
    <w:lvl w:ilvl="3" w:tplc="04150001" w:tentative="1">
      <w:start w:val="1"/>
      <w:numFmt w:val="bullet"/>
      <w:lvlText w:val=""/>
      <w:lvlJc w:val="left"/>
      <w:pPr>
        <w:ind w:left="2957" w:hanging="360"/>
      </w:pPr>
      <w:rPr>
        <w:rFonts w:ascii="Calibri Light" w:hAnsi="Calibri Light" w:hint="default"/>
      </w:rPr>
    </w:lvl>
    <w:lvl w:ilvl="4" w:tplc="04150003" w:tentative="1">
      <w:start w:val="1"/>
      <w:numFmt w:val="bullet"/>
      <w:lvlText w:val="o"/>
      <w:lvlJc w:val="left"/>
      <w:pPr>
        <w:ind w:left="3677" w:hanging="360"/>
      </w:pPr>
      <w:rPr>
        <w:rFonts w:ascii="Yu Mincho Light" w:hAnsi="Yu Mincho Light" w:cs="Yu Mincho Light" w:hint="default"/>
      </w:rPr>
    </w:lvl>
    <w:lvl w:ilvl="5" w:tplc="04150005" w:tentative="1">
      <w:start w:val="1"/>
      <w:numFmt w:val="bullet"/>
      <w:lvlText w:val=""/>
      <w:lvlJc w:val="left"/>
      <w:pPr>
        <w:ind w:left="4397" w:hanging="360"/>
      </w:pPr>
      <w:rPr>
        <w:rFonts w:ascii="Calibri" w:hAnsi="Calibri" w:hint="default"/>
      </w:rPr>
    </w:lvl>
    <w:lvl w:ilvl="6" w:tplc="04150001" w:tentative="1">
      <w:start w:val="1"/>
      <w:numFmt w:val="bullet"/>
      <w:lvlText w:val=""/>
      <w:lvlJc w:val="left"/>
      <w:pPr>
        <w:ind w:left="5117" w:hanging="360"/>
      </w:pPr>
      <w:rPr>
        <w:rFonts w:ascii="Calibri Light" w:hAnsi="Calibri Light" w:hint="default"/>
      </w:rPr>
    </w:lvl>
    <w:lvl w:ilvl="7" w:tplc="04150003" w:tentative="1">
      <w:start w:val="1"/>
      <w:numFmt w:val="bullet"/>
      <w:lvlText w:val="o"/>
      <w:lvlJc w:val="left"/>
      <w:pPr>
        <w:ind w:left="5837" w:hanging="360"/>
      </w:pPr>
      <w:rPr>
        <w:rFonts w:ascii="Yu Mincho Light" w:hAnsi="Yu Mincho Light" w:cs="Yu Mincho Light" w:hint="default"/>
      </w:rPr>
    </w:lvl>
    <w:lvl w:ilvl="8" w:tplc="04150005" w:tentative="1">
      <w:start w:val="1"/>
      <w:numFmt w:val="bullet"/>
      <w:lvlText w:val=""/>
      <w:lvlJc w:val="left"/>
      <w:pPr>
        <w:ind w:left="6557" w:hanging="360"/>
      </w:pPr>
      <w:rPr>
        <w:rFonts w:ascii="Calibri" w:hAnsi="Calibri" w:hint="default"/>
      </w:rPr>
    </w:lvl>
  </w:abstractNum>
  <w:abstractNum w:abstractNumId="8" w15:restartNumberingAfterBreak="0">
    <w:nsid w:val="1A862A2D"/>
    <w:multiLevelType w:val="hybridMultilevel"/>
    <w:tmpl w:val="7CBA76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B972379"/>
    <w:multiLevelType w:val="hybridMultilevel"/>
    <w:tmpl w:val="081A4540"/>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C063C4E"/>
    <w:multiLevelType w:val="hybridMultilevel"/>
    <w:tmpl w:val="90ACC3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Yu Mincho Light" w:hAnsi="Yu Mincho Light" w:cs="Yu Mincho Light" w:hint="default"/>
      </w:rPr>
    </w:lvl>
    <w:lvl w:ilvl="2" w:tplc="04150005" w:tentative="1">
      <w:start w:val="1"/>
      <w:numFmt w:val="bullet"/>
      <w:lvlText w:val=""/>
      <w:lvlJc w:val="left"/>
      <w:pPr>
        <w:ind w:left="2160" w:hanging="360"/>
      </w:pPr>
      <w:rPr>
        <w:rFonts w:ascii="Calibri" w:hAnsi="Calibri" w:hint="default"/>
      </w:rPr>
    </w:lvl>
    <w:lvl w:ilvl="3" w:tplc="04150001" w:tentative="1">
      <w:start w:val="1"/>
      <w:numFmt w:val="bullet"/>
      <w:lvlText w:val=""/>
      <w:lvlJc w:val="left"/>
      <w:pPr>
        <w:ind w:left="2880" w:hanging="360"/>
      </w:pPr>
      <w:rPr>
        <w:rFonts w:ascii="Calibri Light" w:hAnsi="Calibri Light" w:hint="default"/>
      </w:rPr>
    </w:lvl>
    <w:lvl w:ilvl="4" w:tplc="04150003" w:tentative="1">
      <w:start w:val="1"/>
      <w:numFmt w:val="bullet"/>
      <w:lvlText w:val="o"/>
      <w:lvlJc w:val="left"/>
      <w:pPr>
        <w:ind w:left="3600" w:hanging="360"/>
      </w:pPr>
      <w:rPr>
        <w:rFonts w:ascii="Yu Mincho Light" w:hAnsi="Yu Mincho Light" w:cs="Yu Mincho Light" w:hint="default"/>
      </w:rPr>
    </w:lvl>
    <w:lvl w:ilvl="5" w:tplc="04150005" w:tentative="1">
      <w:start w:val="1"/>
      <w:numFmt w:val="bullet"/>
      <w:lvlText w:val=""/>
      <w:lvlJc w:val="left"/>
      <w:pPr>
        <w:ind w:left="4320" w:hanging="360"/>
      </w:pPr>
      <w:rPr>
        <w:rFonts w:ascii="Calibri" w:hAnsi="Calibri" w:hint="default"/>
      </w:rPr>
    </w:lvl>
    <w:lvl w:ilvl="6" w:tplc="04150001" w:tentative="1">
      <w:start w:val="1"/>
      <w:numFmt w:val="bullet"/>
      <w:lvlText w:val=""/>
      <w:lvlJc w:val="left"/>
      <w:pPr>
        <w:ind w:left="5040" w:hanging="360"/>
      </w:pPr>
      <w:rPr>
        <w:rFonts w:ascii="Calibri Light" w:hAnsi="Calibri Light" w:hint="default"/>
      </w:rPr>
    </w:lvl>
    <w:lvl w:ilvl="7" w:tplc="04150003" w:tentative="1">
      <w:start w:val="1"/>
      <w:numFmt w:val="bullet"/>
      <w:lvlText w:val="o"/>
      <w:lvlJc w:val="left"/>
      <w:pPr>
        <w:ind w:left="5760" w:hanging="360"/>
      </w:pPr>
      <w:rPr>
        <w:rFonts w:ascii="Yu Mincho Light" w:hAnsi="Yu Mincho Light" w:cs="Yu Mincho Light" w:hint="default"/>
      </w:rPr>
    </w:lvl>
    <w:lvl w:ilvl="8" w:tplc="04150005" w:tentative="1">
      <w:start w:val="1"/>
      <w:numFmt w:val="bullet"/>
      <w:lvlText w:val=""/>
      <w:lvlJc w:val="left"/>
      <w:pPr>
        <w:ind w:left="6480" w:hanging="360"/>
      </w:pPr>
      <w:rPr>
        <w:rFonts w:ascii="Calibri" w:hAnsi="Calibri" w:hint="default"/>
      </w:rPr>
    </w:lvl>
  </w:abstractNum>
  <w:abstractNum w:abstractNumId="11" w15:restartNumberingAfterBreak="0">
    <w:nsid w:val="1C076542"/>
    <w:multiLevelType w:val="hybridMultilevel"/>
    <w:tmpl w:val="C27E00EE"/>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Yu Mincho Light" w:hAnsi="Yu Mincho Light" w:cs="Yu Mincho Light" w:hint="default"/>
      </w:rPr>
    </w:lvl>
    <w:lvl w:ilvl="2" w:tplc="FFFFFFFF" w:tentative="1">
      <w:start w:val="1"/>
      <w:numFmt w:val="bullet"/>
      <w:lvlText w:val=""/>
      <w:lvlJc w:val="left"/>
      <w:pPr>
        <w:ind w:left="2160" w:hanging="360"/>
      </w:pPr>
      <w:rPr>
        <w:rFonts w:ascii="Yu Mincho Light" w:hAnsi="Yu Mincho Light" w:hint="default"/>
      </w:rPr>
    </w:lvl>
    <w:lvl w:ilvl="3" w:tplc="FFFFFFFF" w:tentative="1">
      <w:start w:val="1"/>
      <w:numFmt w:val="bullet"/>
      <w:lvlText w:val=""/>
      <w:lvlJc w:val="left"/>
      <w:pPr>
        <w:ind w:left="2880" w:hanging="360"/>
      </w:pPr>
      <w:rPr>
        <w:rFonts w:ascii="MS Gothic" w:hAnsi="MS Gothic" w:hint="default"/>
      </w:rPr>
    </w:lvl>
    <w:lvl w:ilvl="4" w:tplc="FFFFFFFF" w:tentative="1">
      <w:start w:val="1"/>
      <w:numFmt w:val="bullet"/>
      <w:lvlText w:val="o"/>
      <w:lvlJc w:val="left"/>
      <w:pPr>
        <w:ind w:left="3600" w:hanging="360"/>
      </w:pPr>
      <w:rPr>
        <w:rFonts w:ascii="Yu Mincho Light" w:hAnsi="Yu Mincho Light" w:cs="Yu Mincho Light" w:hint="default"/>
      </w:rPr>
    </w:lvl>
    <w:lvl w:ilvl="5" w:tplc="FFFFFFFF" w:tentative="1">
      <w:start w:val="1"/>
      <w:numFmt w:val="bullet"/>
      <w:lvlText w:val=""/>
      <w:lvlJc w:val="left"/>
      <w:pPr>
        <w:ind w:left="4320" w:hanging="360"/>
      </w:pPr>
      <w:rPr>
        <w:rFonts w:ascii="Yu Mincho Light" w:hAnsi="Yu Mincho Light" w:hint="default"/>
      </w:rPr>
    </w:lvl>
    <w:lvl w:ilvl="6" w:tplc="FFFFFFFF" w:tentative="1">
      <w:start w:val="1"/>
      <w:numFmt w:val="bullet"/>
      <w:lvlText w:val=""/>
      <w:lvlJc w:val="left"/>
      <w:pPr>
        <w:ind w:left="5040" w:hanging="360"/>
      </w:pPr>
      <w:rPr>
        <w:rFonts w:ascii="MS Gothic" w:hAnsi="MS Gothic" w:hint="default"/>
      </w:rPr>
    </w:lvl>
    <w:lvl w:ilvl="7" w:tplc="FFFFFFFF" w:tentative="1">
      <w:start w:val="1"/>
      <w:numFmt w:val="bullet"/>
      <w:lvlText w:val="o"/>
      <w:lvlJc w:val="left"/>
      <w:pPr>
        <w:ind w:left="5760" w:hanging="360"/>
      </w:pPr>
      <w:rPr>
        <w:rFonts w:ascii="Yu Mincho Light" w:hAnsi="Yu Mincho Light" w:cs="Yu Mincho Light" w:hint="default"/>
      </w:rPr>
    </w:lvl>
    <w:lvl w:ilvl="8" w:tplc="FFFFFFFF" w:tentative="1">
      <w:start w:val="1"/>
      <w:numFmt w:val="bullet"/>
      <w:lvlText w:val=""/>
      <w:lvlJc w:val="left"/>
      <w:pPr>
        <w:ind w:left="6480" w:hanging="360"/>
      </w:pPr>
      <w:rPr>
        <w:rFonts w:ascii="Yu Mincho Light" w:hAnsi="Yu Mincho Light" w:hint="default"/>
      </w:rPr>
    </w:lvl>
  </w:abstractNum>
  <w:abstractNum w:abstractNumId="12" w15:restartNumberingAfterBreak="0">
    <w:nsid w:val="1C2568A1"/>
    <w:multiLevelType w:val="hybridMultilevel"/>
    <w:tmpl w:val="88DCEA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Yu Mincho Light" w:hAnsi="Yu Mincho Light" w:cs="Yu Mincho Light" w:hint="default"/>
      </w:rPr>
    </w:lvl>
    <w:lvl w:ilvl="2" w:tplc="04150005" w:tentative="1">
      <w:start w:val="1"/>
      <w:numFmt w:val="bullet"/>
      <w:lvlText w:val=""/>
      <w:lvlJc w:val="left"/>
      <w:pPr>
        <w:ind w:left="2160" w:hanging="360"/>
      </w:pPr>
      <w:rPr>
        <w:rFonts w:ascii="Yu Mincho Light" w:hAnsi="Yu Mincho Light" w:hint="default"/>
      </w:rPr>
    </w:lvl>
    <w:lvl w:ilvl="3" w:tplc="04150001" w:tentative="1">
      <w:start w:val="1"/>
      <w:numFmt w:val="bullet"/>
      <w:lvlText w:val=""/>
      <w:lvlJc w:val="left"/>
      <w:pPr>
        <w:ind w:left="2880" w:hanging="360"/>
      </w:pPr>
      <w:rPr>
        <w:rFonts w:ascii="MS Gothic" w:hAnsi="MS Gothic" w:hint="default"/>
      </w:rPr>
    </w:lvl>
    <w:lvl w:ilvl="4" w:tplc="04150003" w:tentative="1">
      <w:start w:val="1"/>
      <w:numFmt w:val="bullet"/>
      <w:lvlText w:val="o"/>
      <w:lvlJc w:val="left"/>
      <w:pPr>
        <w:ind w:left="3600" w:hanging="360"/>
      </w:pPr>
      <w:rPr>
        <w:rFonts w:ascii="Yu Mincho Light" w:hAnsi="Yu Mincho Light" w:cs="Yu Mincho Light" w:hint="default"/>
      </w:rPr>
    </w:lvl>
    <w:lvl w:ilvl="5" w:tplc="04150005" w:tentative="1">
      <w:start w:val="1"/>
      <w:numFmt w:val="bullet"/>
      <w:lvlText w:val=""/>
      <w:lvlJc w:val="left"/>
      <w:pPr>
        <w:ind w:left="4320" w:hanging="360"/>
      </w:pPr>
      <w:rPr>
        <w:rFonts w:ascii="Yu Mincho Light" w:hAnsi="Yu Mincho Light" w:hint="default"/>
      </w:rPr>
    </w:lvl>
    <w:lvl w:ilvl="6" w:tplc="04150001" w:tentative="1">
      <w:start w:val="1"/>
      <w:numFmt w:val="bullet"/>
      <w:lvlText w:val=""/>
      <w:lvlJc w:val="left"/>
      <w:pPr>
        <w:ind w:left="5040" w:hanging="360"/>
      </w:pPr>
      <w:rPr>
        <w:rFonts w:ascii="MS Gothic" w:hAnsi="MS Gothic" w:hint="default"/>
      </w:rPr>
    </w:lvl>
    <w:lvl w:ilvl="7" w:tplc="04150003" w:tentative="1">
      <w:start w:val="1"/>
      <w:numFmt w:val="bullet"/>
      <w:lvlText w:val="o"/>
      <w:lvlJc w:val="left"/>
      <w:pPr>
        <w:ind w:left="5760" w:hanging="360"/>
      </w:pPr>
      <w:rPr>
        <w:rFonts w:ascii="Yu Mincho Light" w:hAnsi="Yu Mincho Light" w:cs="Yu Mincho Light" w:hint="default"/>
      </w:rPr>
    </w:lvl>
    <w:lvl w:ilvl="8" w:tplc="04150005" w:tentative="1">
      <w:start w:val="1"/>
      <w:numFmt w:val="bullet"/>
      <w:lvlText w:val=""/>
      <w:lvlJc w:val="left"/>
      <w:pPr>
        <w:ind w:left="6480" w:hanging="360"/>
      </w:pPr>
      <w:rPr>
        <w:rFonts w:ascii="Yu Mincho Light" w:hAnsi="Yu Mincho Light" w:hint="default"/>
      </w:rPr>
    </w:lvl>
  </w:abstractNum>
  <w:abstractNum w:abstractNumId="13" w15:restartNumberingAfterBreak="0">
    <w:nsid w:val="1C760BF1"/>
    <w:multiLevelType w:val="hybridMultilevel"/>
    <w:tmpl w:val="79D699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00400AA"/>
    <w:multiLevelType w:val="hybridMultilevel"/>
    <w:tmpl w:val="2DEAF77E"/>
    <w:lvl w:ilvl="0" w:tplc="04150001">
      <w:start w:val="1"/>
      <w:numFmt w:val="bullet"/>
      <w:lvlText w:val=""/>
      <w:lvlJc w:val="left"/>
      <w:pPr>
        <w:ind w:left="720" w:hanging="360"/>
      </w:pPr>
      <w:rPr>
        <w:rFonts w:ascii="Symbol" w:hAnsi="Symbol" w:hint="default"/>
        <w:sz w:val="16"/>
        <w:szCs w:val="16"/>
      </w:rPr>
    </w:lvl>
    <w:lvl w:ilvl="1" w:tplc="04150003" w:tentative="1">
      <w:start w:val="1"/>
      <w:numFmt w:val="bullet"/>
      <w:lvlText w:val="o"/>
      <w:lvlJc w:val="left"/>
      <w:pPr>
        <w:ind w:left="1440" w:hanging="360"/>
      </w:pPr>
      <w:rPr>
        <w:rFonts w:ascii="Yu Mincho Light" w:hAnsi="Yu Mincho Light" w:cs="Yu Mincho Light" w:hint="default"/>
      </w:rPr>
    </w:lvl>
    <w:lvl w:ilvl="2" w:tplc="04150005" w:tentative="1">
      <w:start w:val="1"/>
      <w:numFmt w:val="bullet"/>
      <w:lvlText w:val=""/>
      <w:lvlJc w:val="left"/>
      <w:pPr>
        <w:ind w:left="2160" w:hanging="360"/>
      </w:pPr>
      <w:rPr>
        <w:rFonts w:ascii="Yu Mincho Light" w:hAnsi="Yu Mincho Light" w:hint="default"/>
      </w:rPr>
    </w:lvl>
    <w:lvl w:ilvl="3" w:tplc="04150001" w:tentative="1">
      <w:start w:val="1"/>
      <w:numFmt w:val="bullet"/>
      <w:lvlText w:val=""/>
      <w:lvlJc w:val="left"/>
      <w:pPr>
        <w:ind w:left="2880" w:hanging="360"/>
      </w:pPr>
      <w:rPr>
        <w:rFonts w:ascii="MS Gothic" w:hAnsi="MS Gothic" w:hint="default"/>
      </w:rPr>
    </w:lvl>
    <w:lvl w:ilvl="4" w:tplc="04150003" w:tentative="1">
      <w:start w:val="1"/>
      <w:numFmt w:val="bullet"/>
      <w:lvlText w:val="o"/>
      <w:lvlJc w:val="left"/>
      <w:pPr>
        <w:ind w:left="3600" w:hanging="360"/>
      </w:pPr>
      <w:rPr>
        <w:rFonts w:ascii="Yu Mincho Light" w:hAnsi="Yu Mincho Light" w:cs="Yu Mincho Light" w:hint="default"/>
      </w:rPr>
    </w:lvl>
    <w:lvl w:ilvl="5" w:tplc="04150005" w:tentative="1">
      <w:start w:val="1"/>
      <w:numFmt w:val="bullet"/>
      <w:lvlText w:val=""/>
      <w:lvlJc w:val="left"/>
      <w:pPr>
        <w:ind w:left="4320" w:hanging="360"/>
      </w:pPr>
      <w:rPr>
        <w:rFonts w:ascii="Yu Mincho Light" w:hAnsi="Yu Mincho Light" w:hint="default"/>
      </w:rPr>
    </w:lvl>
    <w:lvl w:ilvl="6" w:tplc="04150001" w:tentative="1">
      <w:start w:val="1"/>
      <w:numFmt w:val="bullet"/>
      <w:lvlText w:val=""/>
      <w:lvlJc w:val="left"/>
      <w:pPr>
        <w:ind w:left="5040" w:hanging="360"/>
      </w:pPr>
      <w:rPr>
        <w:rFonts w:ascii="MS Gothic" w:hAnsi="MS Gothic" w:hint="default"/>
      </w:rPr>
    </w:lvl>
    <w:lvl w:ilvl="7" w:tplc="04150003" w:tentative="1">
      <w:start w:val="1"/>
      <w:numFmt w:val="bullet"/>
      <w:lvlText w:val="o"/>
      <w:lvlJc w:val="left"/>
      <w:pPr>
        <w:ind w:left="5760" w:hanging="360"/>
      </w:pPr>
      <w:rPr>
        <w:rFonts w:ascii="Yu Mincho Light" w:hAnsi="Yu Mincho Light" w:cs="Yu Mincho Light" w:hint="default"/>
      </w:rPr>
    </w:lvl>
    <w:lvl w:ilvl="8" w:tplc="04150005" w:tentative="1">
      <w:start w:val="1"/>
      <w:numFmt w:val="bullet"/>
      <w:lvlText w:val=""/>
      <w:lvlJc w:val="left"/>
      <w:pPr>
        <w:ind w:left="6480" w:hanging="360"/>
      </w:pPr>
      <w:rPr>
        <w:rFonts w:ascii="Yu Mincho Light" w:hAnsi="Yu Mincho Light" w:hint="default"/>
      </w:rPr>
    </w:lvl>
  </w:abstractNum>
  <w:abstractNum w:abstractNumId="15" w15:restartNumberingAfterBreak="0">
    <w:nsid w:val="21D10D2D"/>
    <w:multiLevelType w:val="hybridMultilevel"/>
    <w:tmpl w:val="73BA0E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2526CEE"/>
    <w:multiLevelType w:val="hybridMultilevel"/>
    <w:tmpl w:val="6CD6D75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15:restartNumberingAfterBreak="0">
    <w:nsid w:val="262D476F"/>
    <w:multiLevelType w:val="hybridMultilevel"/>
    <w:tmpl w:val="1A14EB32"/>
    <w:lvl w:ilvl="0" w:tplc="04150015">
      <w:start w:val="1"/>
      <w:numFmt w:val="upperLetter"/>
      <w:lvlText w:val="%1."/>
      <w:lvlJc w:val="left"/>
      <w:pPr>
        <w:ind w:left="786" w:hanging="360"/>
      </w:p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 w15:restartNumberingAfterBreak="0">
    <w:nsid w:val="282005A0"/>
    <w:multiLevelType w:val="hybridMultilevel"/>
    <w:tmpl w:val="F7C4A992"/>
    <w:lvl w:ilvl="0" w:tplc="0415000D">
      <w:start w:val="1"/>
      <w:numFmt w:val="bullet"/>
      <w:lvlText w:val=""/>
      <w:lvlJc w:val="left"/>
      <w:pPr>
        <w:ind w:left="768" w:hanging="360"/>
      </w:pPr>
      <w:rPr>
        <w:rFonts w:ascii="Wingdings" w:hAnsi="Wingdings"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19" w15:restartNumberingAfterBreak="0">
    <w:nsid w:val="2BEE0110"/>
    <w:multiLevelType w:val="hybridMultilevel"/>
    <w:tmpl w:val="A41091A4"/>
    <w:lvl w:ilvl="0" w:tplc="0415000D">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ED54DDD"/>
    <w:multiLevelType w:val="hybridMultilevel"/>
    <w:tmpl w:val="E35E3BB0"/>
    <w:lvl w:ilvl="0" w:tplc="43A8113C">
      <w:start w:val="1"/>
      <w:numFmt w:val="bullet"/>
      <w:lvlText w:val=""/>
      <w:lvlJc w:val="left"/>
      <w:pPr>
        <w:ind w:left="720" w:hanging="360"/>
      </w:pPr>
      <w:rPr>
        <w:rFonts w:ascii="Calibri Light" w:hAnsi="Calibri Light" w:hint="default"/>
        <w:sz w:val="16"/>
        <w:szCs w:val="16"/>
      </w:rPr>
    </w:lvl>
    <w:lvl w:ilvl="1" w:tplc="04150003" w:tentative="1">
      <w:start w:val="1"/>
      <w:numFmt w:val="bullet"/>
      <w:lvlText w:val="o"/>
      <w:lvlJc w:val="left"/>
      <w:pPr>
        <w:ind w:left="1440" w:hanging="360"/>
      </w:pPr>
      <w:rPr>
        <w:rFonts w:ascii="Yu Mincho Light" w:hAnsi="Yu Mincho Light" w:cs="Yu Mincho Light" w:hint="default"/>
      </w:rPr>
    </w:lvl>
    <w:lvl w:ilvl="2" w:tplc="04150005" w:tentative="1">
      <w:start w:val="1"/>
      <w:numFmt w:val="bullet"/>
      <w:lvlText w:val=""/>
      <w:lvlJc w:val="left"/>
      <w:pPr>
        <w:ind w:left="2160" w:hanging="360"/>
      </w:pPr>
      <w:rPr>
        <w:rFonts w:ascii="Yu Mincho Light" w:hAnsi="Yu Mincho Light" w:hint="default"/>
      </w:rPr>
    </w:lvl>
    <w:lvl w:ilvl="3" w:tplc="04150001" w:tentative="1">
      <w:start w:val="1"/>
      <w:numFmt w:val="bullet"/>
      <w:lvlText w:val=""/>
      <w:lvlJc w:val="left"/>
      <w:pPr>
        <w:ind w:left="2880" w:hanging="360"/>
      </w:pPr>
      <w:rPr>
        <w:rFonts w:ascii="MS Gothic" w:hAnsi="MS Gothic" w:hint="default"/>
      </w:rPr>
    </w:lvl>
    <w:lvl w:ilvl="4" w:tplc="04150003" w:tentative="1">
      <w:start w:val="1"/>
      <w:numFmt w:val="bullet"/>
      <w:lvlText w:val="o"/>
      <w:lvlJc w:val="left"/>
      <w:pPr>
        <w:ind w:left="3600" w:hanging="360"/>
      </w:pPr>
      <w:rPr>
        <w:rFonts w:ascii="Yu Mincho Light" w:hAnsi="Yu Mincho Light" w:cs="Yu Mincho Light" w:hint="default"/>
      </w:rPr>
    </w:lvl>
    <w:lvl w:ilvl="5" w:tplc="04150005" w:tentative="1">
      <w:start w:val="1"/>
      <w:numFmt w:val="bullet"/>
      <w:lvlText w:val=""/>
      <w:lvlJc w:val="left"/>
      <w:pPr>
        <w:ind w:left="4320" w:hanging="360"/>
      </w:pPr>
      <w:rPr>
        <w:rFonts w:ascii="Yu Mincho Light" w:hAnsi="Yu Mincho Light" w:hint="default"/>
      </w:rPr>
    </w:lvl>
    <w:lvl w:ilvl="6" w:tplc="04150001" w:tentative="1">
      <w:start w:val="1"/>
      <w:numFmt w:val="bullet"/>
      <w:lvlText w:val=""/>
      <w:lvlJc w:val="left"/>
      <w:pPr>
        <w:ind w:left="5040" w:hanging="360"/>
      </w:pPr>
      <w:rPr>
        <w:rFonts w:ascii="MS Gothic" w:hAnsi="MS Gothic" w:hint="default"/>
      </w:rPr>
    </w:lvl>
    <w:lvl w:ilvl="7" w:tplc="04150003" w:tentative="1">
      <w:start w:val="1"/>
      <w:numFmt w:val="bullet"/>
      <w:lvlText w:val="o"/>
      <w:lvlJc w:val="left"/>
      <w:pPr>
        <w:ind w:left="5760" w:hanging="360"/>
      </w:pPr>
      <w:rPr>
        <w:rFonts w:ascii="Yu Mincho Light" w:hAnsi="Yu Mincho Light" w:cs="Yu Mincho Light" w:hint="default"/>
      </w:rPr>
    </w:lvl>
    <w:lvl w:ilvl="8" w:tplc="04150005" w:tentative="1">
      <w:start w:val="1"/>
      <w:numFmt w:val="bullet"/>
      <w:lvlText w:val=""/>
      <w:lvlJc w:val="left"/>
      <w:pPr>
        <w:ind w:left="6480" w:hanging="360"/>
      </w:pPr>
      <w:rPr>
        <w:rFonts w:ascii="Yu Mincho Light" w:hAnsi="Yu Mincho Light" w:hint="default"/>
      </w:rPr>
    </w:lvl>
  </w:abstractNum>
  <w:abstractNum w:abstractNumId="21" w15:restartNumberingAfterBreak="0">
    <w:nsid w:val="332F594C"/>
    <w:multiLevelType w:val="hybridMultilevel"/>
    <w:tmpl w:val="6826F5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A4A5BBB"/>
    <w:multiLevelType w:val="hybridMultilevel"/>
    <w:tmpl w:val="A9EC2D72"/>
    <w:lvl w:ilvl="0" w:tplc="04150001">
      <w:start w:val="1"/>
      <w:numFmt w:val="bullet"/>
      <w:lvlText w:val=""/>
      <w:lvlJc w:val="left"/>
      <w:pPr>
        <w:ind w:left="720" w:hanging="360"/>
      </w:pPr>
      <w:rPr>
        <w:rFonts w:ascii="Symbol" w:hAnsi="Symbol" w:hint="default"/>
        <w:sz w:val="16"/>
        <w:szCs w:val="16"/>
      </w:rPr>
    </w:lvl>
    <w:lvl w:ilvl="1" w:tplc="04150003" w:tentative="1">
      <w:start w:val="1"/>
      <w:numFmt w:val="bullet"/>
      <w:lvlText w:val="o"/>
      <w:lvlJc w:val="left"/>
      <w:pPr>
        <w:ind w:left="1440" w:hanging="360"/>
      </w:pPr>
      <w:rPr>
        <w:rFonts w:ascii="Yu Mincho Light" w:hAnsi="Yu Mincho Light" w:cs="Yu Mincho Light" w:hint="default"/>
      </w:rPr>
    </w:lvl>
    <w:lvl w:ilvl="2" w:tplc="04150005" w:tentative="1">
      <w:start w:val="1"/>
      <w:numFmt w:val="bullet"/>
      <w:lvlText w:val=""/>
      <w:lvlJc w:val="left"/>
      <w:pPr>
        <w:ind w:left="2160" w:hanging="360"/>
      </w:pPr>
      <w:rPr>
        <w:rFonts w:ascii="Yu Mincho Light" w:hAnsi="Yu Mincho Light" w:hint="default"/>
      </w:rPr>
    </w:lvl>
    <w:lvl w:ilvl="3" w:tplc="04150001" w:tentative="1">
      <w:start w:val="1"/>
      <w:numFmt w:val="bullet"/>
      <w:lvlText w:val=""/>
      <w:lvlJc w:val="left"/>
      <w:pPr>
        <w:ind w:left="2880" w:hanging="360"/>
      </w:pPr>
      <w:rPr>
        <w:rFonts w:ascii="MS Gothic" w:hAnsi="MS Gothic" w:hint="default"/>
      </w:rPr>
    </w:lvl>
    <w:lvl w:ilvl="4" w:tplc="04150003" w:tentative="1">
      <w:start w:val="1"/>
      <w:numFmt w:val="bullet"/>
      <w:lvlText w:val="o"/>
      <w:lvlJc w:val="left"/>
      <w:pPr>
        <w:ind w:left="3600" w:hanging="360"/>
      </w:pPr>
      <w:rPr>
        <w:rFonts w:ascii="Yu Mincho Light" w:hAnsi="Yu Mincho Light" w:cs="Yu Mincho Light" w:hint="default"/>
      </w:rPr>
    </w:lvl>
    <w:lvl w:ilvl="5" w:tplc="04150005" w:tentative="1">
      <w:start w:val="1"/>
      <w:numFmt w:val="bullet"/>
      <w:lvlText w:val=""/>
      <w:lvlJc w:val="left"/>
      <w:pPr>
        <w:ind w:left="4320" w:hanging="360"/>
      </w:pPr>
      <w:rPr>
        <w:rFonts w:ascii="Yu Mincho Light" w:hAnsi="Yu Mincho Light" w:hint="default"/>
      </w:rPr>
    </w:lvl>
    <w:lvl w:ilvl="6" w:tplc="04150001" w:tentative="1">
      <w:start w:val="1"/>
      <w:numFmt w:val="bullet"/>
      <w:lvlText w:val=""/>
      <w:lvlJc w:val="left"/>
      <w:pPr>
        <w:ind w:left="5040" w:hanging="360"/>
      </w:pPr>
      <w:rPr>
        <w:rFonts w:ascii="MS Gothic" w:hAnsi="MS Gothic" w:hint="default"/>
      </w:rPr>
    </w:lvl>
    <w:lvl w:ilvl="7" w:tplc="04150003" w:tentative="1">
      <w:start w:val="1"/>
      <w:numFmt w:val="bullet"/>
      <w:lvlText w:val="o"/>
      <w:lvlJc w:val="left"/>
      <w:pPr>
        <w:ind w:left="5760" w:hanging="360"/>
      </w:pPr>
      <w:rPr>
        <w:rFonts w:ascii="Yu Mincho Light" w:hAnsi="Yu Mincho Light" w:cs="Yu Mincho Light" w:hint="default"/>
      </w:rPr>
    </w:lvl>
    <w:lvl w:ilvl="8" w:tplc="04150005" w:tentative="1">
      <w:start w:val="1"/>
      <w:numFmt w:val="bullet"/>
      <w:lvlText w:val=""/>
      <w:lvlJc w:val="left"/>
      <w:pPr>
        <w:ind w:left="6480" w:hanging="360"/>
      </w:pPr>
      <w:rPr>
        <w:rFonts w:ascii="Yu Mincho Light" w:hAnsi="Yu Mincho Light" w:hint="default"/>
      </w:rPr>
    </w:lvl>
  </w:abstractNum>
  <w:abstractNum w:abstractNumId="23" w15:restartNumberingAfterBreak="0">
    <w:nsid w:val="3A5053D3"/>
    <w:multiLevelType w:val="hybridMultilevel"/>
    <w:tmpl w:val="6F8CDE06"/>
    <w:styleLink w:val="Biecalista1"/>
    <w:lvl w:ilvl="0" w:tplc="04150001">
      <w:start w:val="1"/>
      <w:numFmt w:val="bullet"/>
      <w:lvlText w:val=""/>
      <w:lvlJc w:val="left"/>
      <w:pPr>
        <w:ind w:left="720" w:hanging="360"/>
      </w:pPr>
      <w:rPr>
        <w:rFonts w:ascii="Symbol" w:hAnsi="Symbol" w:hint="default"/>
        <w:sz w:val="18"/>
        <w:szCs w:val="18"/>
      </w:rPr>
    </w:lvl>
    <w:lvl w:ilvl="1" w:tplc="04150003" w:tentative="1">
      <w:start w:val="1"/>
      <w:numFmt w:val="bullet"/>
      <w:lvlText w:val="o"/>
      <w:lvlJc w:val="left"/>
      <w:pPr>
        <w:ind w:left="1440" w:hanging="360"/>
      </w:pPr>
      <w:rPr>
        <w:rFonts w:ascii="Yu Mincho Light" w:hAnsi="Yu Mincho Light" w:cs="Yu Mincho Light" w:hint="default"/>
      </w:rPr>
    </w:lvl>
    <w:lvl w:ilvl="2" w:tplc="04150005" w:tentative="1">
      <w:start w:val="1"/>
      <w:numFmt w:val="bullet"/>
      <w:lvlText w:val=""/>
      <w:lvlJc w:val="left"/>
      <w:pPr>
        <w:ind w:left="2160" w:hanging="360"/>
      </w:pPr>
      <w:rPr>
        <w:rFonts w:ascii="Calibri" w:hAnsi="Calibri" w:hint="default"/>
      </w:rPr>
    </w:lvl>
    <w:lvl w:ilvl="3" w:tplc="04150001" w:tentative="1">
      <w:start w:val="1"/>
      <w:numFmt w:val="bullet"/>
      <w:lvlText w:val=""/>
      <w:lvlJc w:val="left"/>
      <w:pPr>
        <w:ind w:left="2880" w:hanging="360"/>
      </w:pPr>
      <w:rPr>
        <w:rFonts w:ascii="Calibri Light" w:hAnsi="Calibri Light" w:hint="default"/>
      </w:rPr>
    </w:lvl>
    <w:lvl w:ilvl="4" w:tplc="04150003" w:tentative="1">
      <w:start w:val="1"/>
      <w:numFmt w:val="bullet"/>
      <w:lvlText w:val="o"/>
      <w:lvlJc w:val="left"/>
      <w:pPr>
        <w:ind w:left="3600" w:hanging="360"/>
      </w:pPr>
      <w:rPr>
        <w:rFonts w:ascii="Yu Mincho Light" w:hAnsi="Yu Mincho Light" w:cs="Yu Mincho Light" w:hint="default"/>
      </w:rPr>
    </w:lvl>
    <w:lvl w:ilvl="5" w:tplc="04150005" w:tentative="1">
      <w:start w:val="1"/>
      <w:numFmt w:val="bullet"/>
      <w:lvlText w:val=""/>
      <w:lvlJc w:val="left"/>
      <w:pPr>
        <w:ind w:left="4320" w:hanging="360"/>
      </w:pPr>
      <w:rPr>
        <w:rFonts w:ascii="Calibri" w:hAnsi="Calibri" w:hint="default"/>
      </w:rPr>
    </w:lvl>
    <w:lvl w:ilvl="6" w:tplc="04150001" w:tentative="1">
      <w:start w:val="1"/>
      <w:numFmt w:val="bullet"/>
      <w:lvlText w:val=""/>
      <w:lvlJc w:val="left"/>
      <w:pPr>
        <w:ind w:left="5040" w:hanging="360"/>
      </w:pPr>
      <w:rPr>
        <w:rFonts w:ascii="Calibri Light" w:hAnsi="Calibri Light" w:hint="default"/>
      </w:rPr>
    </w:lvl>
    <w:lvl w:ilvl="7" w:tplc="04150003" w:tentative="1">
      <w:start w:val="1"/>
      <w:numFmt w:val="bullet"/>
      <w:lvlText w:val="o"/>
      <w:lvlJc w:val="left"/>
      <w:pPr>
        <w:ind w:left="5760" w:hanging="360"/>
      </w:pPr>
      <w:rPr>
        <w:rFonts w:ascii="Yu Mincho Light" w:hAnsi="Yu Mincho Light" w:cs="Yu Mincho Light" w:hint="default"/>
      </w:rPr>
    </w:lvl>
    <w:lvl w:ilvl="8" w:tplc="04150005" w:tentative="1">
      <w:start w:val="1"/>
      <w:numFmt w:val="bullet"/>
      <w:lvlText w:val=""/>
      <w:lvlJc w:val="left"/>
      <w:pPr>
        <w:ind w:left="6480" w:hanging="360"/>
      </w:pPr>
      <w:rPr>
        <w:rFonts w:ascii="Calibri" w:hAnsi="Calibri" w:hint="default"/>
      </w:rPr>
    </w:lvl>
  </w:abstractNum>
  <w:abstractNum w:abstractNumId="24" w15:restartNumberingAfterBreak="0">
    <w:nsid w:val="3A5922A5"/>
    <w:multiLevelType w:val="hybridMultilevel"/>
    <w:tmpl w:val="BE6259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AAE58CF"/>
    <w:multiLevelType w:val="hybridMultilevel"/>
    <w:tmpl w:val="A44EC578"/>
    <w:lvl w:ilvl="0" w:tplc="04150001">
      <w:start w:val="1"/>
      <w:numFmt w:val="bullet"/>
      <w:lvlText w:val=""/>
      <w:lvlJc w:val="left"/>
      <w:pPr>
        <w:ind w:left="720" w:hanging="360"/>
      </w:pPr>
      <w:rPr>
        <w:rFonts w:ascii="Symbol" w:hAnsi="Symbol" w:hint="default"/>
        <w:sz w:val="16"/>
        <w:szCs w:val="16"/>
      </w:rPr>
    </w:lvl>
    <w:lvl w:ilvl="1" w:tplc="04150003" w:tentative="1">
      <w:start w:val="1"/>
      <w:numFmt w:val="bullet"/>
      <w:lvlText w:val="o"/>
      <w:lvlJc w:val="left"/>
      <w:pPr>
        <w:ind w:left="1440" w:hanging="360"/>
      </w:pPr>
      <w:rPr>
        <w:rFonts w:ascii="Yu Mincho Light" w:hAnsi="Yu Mincho Light" w:cs="Yu Mincho Light" w:hint="default"/>
      </w:rPr>
    </w:lvl>
    <w:lvl w:ilvl="2" w:tplc="04150005" w:tentative="1">
      <w:start w:val="1"/>
      <w:numFmt w:val="bullet"/>
      <w:lvlText w:val=""/>
      <w:lvlJc w:val="left"/>
      <w:pPr>
        <w:ind w:left="2160" w:hanging="360"/>
      </w:pPr>
      <w:rPr>
        <w:rFonts w:ascii="Yu Mincho Light" w:hAnsi="Yu Mincho Light" w:hint="default"/>
      </w:rPr>
    </w:lvl>
    <w:lvl w:ilvl="3" w:tplc="04150001" w:tentative="1">
      <w:start w:val="1"/>
      <w:numFmt w:val="bullet"/>
      <w:lvlText w:val=""/>
      <w:lvlJc w:val="left"/>
      <w:pPr>
        <w:ind w:left="2880" w:hanging="360"/>
      </w:pPr>
      <w:rPr>
        <w:rFonts w:ascii="MS Gothic" w:hAnsi="MS Gothic" w:hint="default"/>
      </w:rPr>
    </w:lvl>
    <w:lvl w:ilvl="4" w:tplc="04150003" w:tentative="1">
      <w:start w:val="1"/>
      <w:numFmt w:val="bullet"/>
      <w:lvlText w:val="o"/>
      <w:lvlJc w:val="left"/>
      <w:pPr>
        <w:ind w:left="3600" w:hanging="360"/>
      </w:pPr>
      <w:rPr>
        <w:rFonts w:ascii="Yu Mincho Light" w:hAnsi="Yu Mincho Light" w:cs="Yu Mincho Light" w:hint="default"/>
      </w:rPr>
    </w:lvl>
    <w:lvl w:ilvl="5" w:tplc="04150005" w:tentative="1">
      <w:start w:val="1"/>
      <w:numFmt w:val="bullet"/>
      <w:lvlText w:val=""/>
      <w:lvlJc w:val="left"/>
      <w:pPr>
        <w:ind w:left="4320" w:hanging="360"/>
      </w:pPr>
      <w:rPr>
        <w:rFonts w:ascii="Yu Mincho Light" w:hAnsi="Yu Mincho Light" w:hint="default"/>
      </w:rPr>
    </w:lvl>
    <w:lvl w:ilvl="6" w:tplc="04150001" w:tentative="1">
      <w:start w:val="1"/>
      <w:numFmt w:val="bullet"/>
      <w:lvlText w:val=""/>
      <w:lvlJc w:val="left"/>
      <w:pPr>
        <w:ind w:left="5040" w:hanging="360"/>
      </w:pPr>
      <w:rPr>
        <w:rFonts w:ascii="MS Gothic" w:hAnsi="MS Gothic" w:hint="default"/>
      </w:rPr>
    </w:lvl>
    <w:lvl w:ilvl="7" w:tplc="04150003" w:tentative="1">
      <w:start w:val="1"/>
      <w:numFmt w:val="bullet"/>
      <w:lvlText w:val="o"/>
      <w:lvlJc w:val="left"/>
      <w:pPr>
        <w:ind w:left="5760" w:hanging="360"/>
      </w:pPr>
      <w:rPr>
        <w:rFonts w:ascii="Yu Mincho Light" w:hAnsi="Yu Mincho Light" w:cs="Yu Mincho Light" w:hint="default"/>
      </w:rPr>
    </w:lvl>
    <w:lvl w:ilvl="8" w:tplc="04150005" w:tentative="1">
      <w:start w:val="1"/>
      <w:numFmt w:val="bullet"/>
      <w:lvlText w:val=""/>
      <w:lvlJc w:val="left"/>
      <w:pPr>
        <w:ind w:left="6480" w:hanging="360"/>
      </w:pPr>
      <w:rPr>
        <w:rFonts w:ascii="Yu Mincho Light" w:hAnsi="Yu Mincho Light" w:hint="default"/>
      </w:rPr>
    </w:lvl>
  </w:abstractNum>
  <w:abstractNum w:abstractNumId="26" w15:restartNumberingAfterBreak="0">
    <w:nsid w:val="3AC42F49"/>
    <w:multiLevelType w:val="hybridMultilevel"/>
    <w:tmpl w:val="95AA088C"/>
    <w:lvl w:ilvl="0" w:tplc="04150001">
      <w:start w:val="1"/>
      <w:numFmt w:val="bullet"/>
      <w:lvlText w:val=""/>
      <w:lvlJc w:val="left"/>
      <w:pPr>
        <w:ind w:left="360" w:hanging="360"/>
      </w:pPr>
      <w:rPr>
        <w:rFonts w:ascii="Symbol" w:hAnsi="Symbol" w:hint="default"/>
        <w:sz w:val="18"/>
        <w:szCs w:val="18"/>
      </w:rPr>
    </w:lvl>
    <w:lvl w:ilvl="1" w:tplc="04150003">
      <w:start w:val="1"/>
      <w:numFmt w:val="bullet"/>
      <w:lvlText w:val="o"/>
      <w:lvlJc w:val="left"/>
      <w:pPr>
        <w:ind w:left="1536" w:hanging="360"/>
      </w:pPr>
      <w:rPr>
        <w:rFonts w:ascii="Courier New" w:hAnsi="Courier New" w:cs="Courier New" w:hint="default"/>
      </w:rPr>
    </w:lvl>
    <w:lvl w:ilvl="2" w:tplc="04150005">
      <w:start w:val="1"/>
      <w:numFmt w:val="bullet"/>
      <w:lvlText w:val=""/>
      <w:lvlJc w:val="left"/>
      <w:pPr>
        <w:ind w:left="2217" w:hanging="360"/>
      </w:pPr>
      <w:rPr>
        <w:rFonts w:ascii="Yu Mincho Light" w:hAnsi="Yu Mincho Light" w:hint="default"/>
      </w:rPr>
    </w:lvl>
    <w:lvl w:ilvl="3" w:tplc="04150001" w:tentative="1">
      <w:start w:val="1"/>
      <w:numFmt w:val="bullet"/>
      <w:lvlText w:val=""/>
      <w:lvlJc w:val="left"/>
      <w:pPr>
        <w:ind w:left="2937" w:hanging="360"/>
      </w:pPr>
      <w:rPr>
        <w:rFonts w:ascii="MS Gothic" w:hAnsi="MS Gothic" w:hint="default"/>
      </w:rPr>
    </w:lvl>
    <w:lvl w:ilvl="4" w:tplc="04150003" w:tentative="1">
      <w:start w:val="1"/>
      <w:numFmt w:val="bullet"/>
      <w:lvlText w:val="o"/>
      <w:lvlJc w:val="left"/>
      <w:pPr>
        <w:ind w:left="3657" w:hanging="360"/>
      </w:pPr>
      <w:rPr>
        <w:rFonts w:ascii="Yu Mincho Light" w:hAnsi="Yu Mincho Light" w:cs="Yu Mincho Light" w:hint="default"/>
      </w:rPr>
    </w:lvl>
    <w:lvl w:ilvl="5" w:tplc="04150005" w:tentative="1">
      <w:start w:val="1"/>
      <w:numFmt w:val="bullet"/>
      <w:lvlText w:val=""/>
      <w:lvlJc w:val="left"/>
      <w:pPr>
        <w:ind w:left="4377" w:hanging="360"/>
      </w:pPr>
      <w:rPr>
        <w:rFonts w:ascii="Yu Mincho Light" w:hAnsi="Yu Mincho Light" w:hint="default"/>
      </w:rPr>
    </w:lvl>
    <w:lvl w:ilvl="6" w:tplc="04150001" w:tentative="1">
      <w:start w:val="1"/>
      <w:numFmt w:val="bullet"/>
      <w:lvlText w:val=""/>
      <w:lvlJc w:val="left"/>
      <w:pPr>
        <w:ind w:left="5097" w:hanging="360"/>
      </w:pPr>
      <w:rPr>
        <w:rFonts w:ascii="MS Gothic" w:hAnsi="MS Gothic" w:hint="default"/>
      </w:rPr>
    </w:lvl>
    <w:lvl w:ilvl="7" w:tplc="04150003" w:tentative="1">
      <w:start w:val="1"/>
      <w:numFmt w:val="bullet"/>
      <w:lvlText w:val="o"/>
      <w:lvlJc w:val="left"/>
      <w:pPr>
        <w:ind w:left="5817" w:hanging="360"/>
      </w:pPr>
      <w:rPr>
        <w:rFonts w:ascii="Yu Mincho Light" w:hAnsi="Yu Mincho Light" w:cs="Yu Mincho Light" w:hint="default"/>
      </w:rPr>
    </w:lvl>
    <w:lvl w:ilvl="8" w:tplc="04150005" w:tentative="1">
      <w:start w:val="1"/>
      <w:numFmt w:val="bullet"/>
      <w:lvlText w:val=""/>
      <w:lvlJc w:val="left"/>
      <w:pPr>
        <w:ind w:left="6537" w:hanging="360"/>
      </w:pPr>
      <w:rPr>
        <w:rFonts w:ascii="Yu Mincho Light" w:hAnsi="Yu Mincho Light" w:hint="default"/>
      </w:rPr>
    </w:lvl>
  </w:abstractNum>
  <w:abstractNum w:abstractNumId="27" w15:restartNumberingAfterBreak="0">
    <w:nsid w:val="3CBA7431"/>
    <w:multiLevelType w:val="hybridMultilevel"/>
    <w:tmpl w:val="8494C6E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DEE19C1"/>
    <w:multiLevelType w:val="hybridMultilevel"/>
    <w:tmpl w:val="48A44FDC"/>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Yu Mincho Light" w:hAnsi="Yu Mincho Light" w:cs="Yu Mincho Light" w:hint="default"/>
      </w:rPr>
    </w:lvl>
    <w:lvl w:ilvl="2" w:tplc="FFFFFFFF" w:tentative="1">
      <w:start w:val="1"/>
      <w:numFmt w:val="bullet"/>
      <w:lvlText w:val=""/>
      <w:lvlJc w:val="left"/>
      <w:pPr>
        <w:ind w:left="2160" w:hanging="360"/>
      </w:pPr>
      <w:rPr>
        <w:rFonts w:ascii="Yu Mincho Light" w:hAnsi="Yu Mincho Light" w:hint="default"/>
      </w:rPr>
    </w:lvl>
    <w:lvl w:ilvl="3" w:tplc="FFFFFFFF" w:tentative="1">
      <w:start w:val="1"/>
      <w:numFmt w:val="bullet"/>
      <w:lvlText w:val=""/>
      <w:lvlJc w:val="left"/>
      <w:pPr>
        <w:ind w:left="2880" w:hanging="360"/>
      </w:pPr>
      <w:rPr>
        <w:rFonts w:ascii="MS Gothic" w:hAnsi="MS Gothic" w:hint="default"/>
      </w:rPr>
    </w:lvl>
    <w:lvl w:ilvl="4" w:tplc="FFFFFFFF" w:tentative="1">
      <w:start w:val="1"/>
      <w:numFmt w:val="bullet"/>
      <w:lvlText w:val="o"/>
      <w:lvlJc w:val="left"/>
      <w:pPr>
        <w:ind w:left="3600" w:hanging="360"/>
      </w:pPr>
      <w:rPr>
        <w:rFonts w:ascii="Yu Mincho Light" w:hAnsi="Yu Mincho Light" w:cs="Yu Mincho Light" w:hint="default"/>
      </w:rPr>
    </w:lvl>
    <w:lvl w:ilvl="5" w:tplc="FFFFFFFF" w:tentative="1">
      <w:start w:val="1"/>
      <w:numFmt w:val="bullet"/>
      <w:lvlText w:val=""/>
      <w:lvlJc w:val="left"/>
      <w:pPr>
        <w:ind w:left="4320" w:hanging="360"/>
      </w:pPr>
      <w:rPr>
        <w:rFonts w:ascii="Yu Mincho Light" w:hAnsi="Yu Mincho Light" w:hint="default"/>
      </w:rPr>
    </w:lvl>
    <w:lvl w:ilvl="6" w:tplc="FFFFFFFF" w:tentative="1">
      <w:start w:val="1"/>
      <w:numFmt w:val="bullet"/>
      <w:lvlText w:val=""/>
      <w:lvlJc w:val="left"/>
      <w:pPr>
        <w:ind w:left="5040" w:hanging="360"/>
      </w:pPr>
      <w:rPr>
        <w:rFonts w:ascii="MS Gothic" w:hAnsi="MS Gothic" w:hint="default"/>
      </w:rPr>
    </w:lvl>
    <w:lvl w:ilvl="7" w:tplc="FFFFFFFF" w:tentative="1">
      <w:start w:val="1"/>
      <w:numFmt w:val="bullet"/>
      <w:lvlText w:val="o"/>
      <w:lvlJc w:val="left"/>
      <w:pPr>
        <w:ind w:left="5760" w:hanging="360"/>
      </w:pPr>
      <w:rPr>
        <w:rFonts w:ascii="Yu Mincho Light" w:hAnsi="Yu Mincho Light" w:cs="Yu Mincho Light" w:hint="default"/>
      </w:rPr>
    </w:lvl>
    <w:lvl w:ilvl="8" w:tplc="FFFFFFFF" w:tentative="1">
      <w:start w:val="1"/>
      <w:numFmt w:val="bullet"/>
      <w:lvlText w:val=""/>
      <w:lvlJc w:val="left"/>
      <w:pPr>
        <w:ind w:left="6480" w:hanging="360"/>
      </w:pPr>
      <w:rPr>
        <w:rFonts w:ascii="Yu Mincho Light" w:hAnsi="Yu Mincho Light" w:hint="default"/>
      </w:rPr>
    </w:lvl>
  </w:abstractNum>
  <w:abstractNum w:abstractNumId="29" w15:restartNumberingAfterBreak="0">
    <w:nsid w:val="3F1720B9"/>
    <w:multiLevelType w:val="hybridMultilevel"/>
    <w:tmpl w:val="3D0428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00013CA"/>
    <w:multiLevelType w:val="hybridMultilevel"/>
    <w:tmpl w:val="B0F66B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13E288F"/>
    <w:multiLevelType w:val="hybridMultilevel"/>
    <w:tmpl w:val="5CC8EE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Yu Mincho Light" w:hAnsi="Yu Mincho Light" w:cs="Yu Mincho Light" w:hint="default"/>
      </w:rPr>
    </w:lvl>
    <w:lvl w:ilvl="2" w:tplc="04150005" w:tentative="1">
      <w:start w:val="1"/>
      <w:numFmt w:val="bullet"/>
      <w:lvlText w:val=""/>
      <w:lvlJc w:val="left"/>
      <w:pPr>
        <w:ind w:left="2160" w:hanging="360"/>
      </w:pPr>
      <w:rPr>
        <w:rFonts w:ascii="Calibri" w:hAnsi="Calibri" w:hint="default"/>
      </w:rPr>
    </w:lvl>
    <w:lvl w:ilvl="3" w:tplc="04150001" w:tentative="1">
      <w:start w:val="1"/>
      <w:numFmt w:val="bullet"/>
      <w:lvlText w:val=""/>
      <w:lvlJc w:val="left"/>
      <w:pPr>
        <w:ind w:left="2880" w:hanging="360"/>
      </w:pPr>
      <w:rPr>
        <w:rFonts w:ascii="Calibri Light" w:hAnsi="Calibri Light" w:hint="default"/>
      </w:rPr>
    </w:lvl>
    <w:lvl w:ilvl="4" w:tplc="04150003" w:tentative="1">
      <w:start w:val="1"/>
      <w:numFmt w:val="bullet"/>
      <w:lvlText w:val="o"/>
      <w:lvlJc w:val="left"/>
      <w:pPr>
        <w:ind w:left="3600" w:hanging="360"/>
      </w:pPr>
      <w:rPr>
        <w:rFonts w:ascii="Yu Mincho Light" w:hAnsi="Yu Mincho Light" w:cs="Yu Mincho Light" w:hint="default"/>
      </w:rPr>
    </w:lvl>
    <w:lvl w:ilvl="5" w:tplc="04150005" w:tentative="1">
      <w:start w:val="1"/>
      <w:numFmt w:val="bullet"/>
      <w:lvlText w:val=""/>
      <w:lvlJc w:val="left"/>
      <w:pPr>
        <w:ind w:left="4320" w:hanging="360"/>
      </w:pPr>
      <w:rPr>
        <w:rFonts w:ascii="Calibri" w:hAnsi="Calibri" w:hint="default"/>
      </w:rPr>
    </w:lvl>
    <w:lvl w:ilvl="6" w:tplc="04150001" w:tentative="1">
      <w:start w:val="1"/>
      <w:numFmt w:val="bullet"/>
      <w:lvlText w:val=""/>
      <w:lvlJc w:val="left"/>
      <w:pPr>
        <w:ind w:left="5040" w:hanging="360"/>
      </w:pPr>
      <w:rPr>
        <w:rFonts w:ascii="Calibri Light" w:hAnsi="Calibri Light" w:hint="default"/>
      </w:rPr>
    </w:lvl>
    <w:lvl w:ilvl="7" w:tplc="04150003" w:tentative="1">
      <w:start w:val="1"/>
      <w:numFmt w:val="bullet"/>
      <w:lvlText w:val="o"/>
      <w:lvlJc w:val="left"/>
      <w:pPr>
        <w:ind w:left="5760" w:hanging="360"/>
      </w:pPr>
      <w:rPr>
        <w:rFonts w:ascii="Yu Mincho Light" w:hAnsi="Yu Mincho Light" w:cs="Yu Mincho Light" w:hint="default"/>
      </w:rPr>
    </w:lvl>
    <w:lvl w:ilvl="8" w:tplc="04150005" w:tentative="1">
      <w:start w:val="1"/>
      <w:numFmt w:val="bullet"/>
      <w:lvlText w:val=""/>
      <w:lvlJc w:val="left"/>
      <w:pPr>
        <w:ind w:left="6480" w:hanging="360"/>
      </w:pPr>
      <w:rPr>
        <w:rFonts w:ascii="Calibri" w:hAnsi="Calibri" w:hint="default"/>
      </w:rPr>
    </w:lvl>
  </w:abstractNum>
  <w:abstractNum w:abstractNumId="32" w15:restartNumberingAfterBreak="0">
    <w:nsid w:val="423402D2"/>
    <w:multiLevelType w:val="multilevel"/>
    <w:tmpl w:val="4F8E553E"/>
    <w:lvl w:ilvl="0">
      <w:start w:val="1"/>
      <w:numFmt w:val="decimal"/>
      <w:pStyle w:val="Nagwek1"/>
      <w:lvlText w:val="%1."/>
      <w:lvlJc w:val="left"/>
      <w:pPr>
        <w:ind w:left="397" w:hanging="397"/>
      </w:pPr>
      <w:rPr>
        <w:rFonts w:hint="default"/>
        <w:color w:val="auto"/>
      </w:rPr>
    </w:lvl>
    <w:lvl w:ilvl="1">
      <w:start w:val="1"/>
      <w:numFmt w:val="decimal"/>
      <w:pStyle w:val="Nagwek2"/>
      <w:lvlText w:val="%1.%2."/>
      <w:lvlJc w:val="left"/>
      <w:pPr>
        <w:ind w:left="1447" w:hanging="737"/>
      </w:pPr>
      <w:rPr>
        <w:rFonts w:hint="default"/>
        <w:color w:val="auto"/>
      </w:rPr>
    </w:lvl>
    <w:lvl w:ilvl="2">
      <w:start w:val="1"/>
      <w:numFmt w:val="decimal"/>
      <w:pStyle w:val="Nagwek3"/>
      <w:lvlText w:val="%1.%2.%3."/>
      <w:lvlJc w:val="left"/>
      <w:pPr>
        <w:ind w:left="1702" w:hanging="1134"/>
      </w:pPr>
      <w:rPr>
        <w:rFonts w:hint="default"/>
      </w:rPr>
    </w:lvl>
    <w:lvl w:ilvl="3">
      <w:start w:val="1"/>
      <w:numFmt w:val="decimal"/>
      <w:lvlText w:val="%1.%2.%3.%4."/>
      <w:lvlJc w:val="left"/>
      <w:pPr>
        <w:ind w:left="1440" w:hanging="14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1494"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43B54989"/>
    <w:multiLevelType w:val="hybridMultilevel"/>
    <w:tmpl w:val="ABB61A3E"/>
    <w:lvl w:ilvl="0" w:tplc="0415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Yu Mincho Light" w:hAnsi="Yu Mincho Light" w:cs="Yu Mincho Light" w:hint="default"/>
      </w:rPr>
    </w:lvl>
    <w:lvl w:ilvl="2" w:tplc="FFFFFFFF" w:tentative="1">
      <w:start w:val="1"/>
      <w:numFmt w:val="bullet"/>
      <w:lvlText w:val=""/>
      <w:lvlJc w:val="left"/>
      <w:pPr>
        <w:ind w:left="2160" w:hanging="360"/>
      </w:pPr>
      <w:rPr>
        <w:rFonts w:ascii="Calibri" w:hAnsi="Calibri" w:hint="default"/>
      </w:rPr>
    </w:lvl>
    <w:lvl w:ilvl="3" w:tplc="FFFFFFFF" w:tentative="1">
      <w:start w:val="1"/>
      <w:numFmt w:val="bullet"/>
      <w:lvlText w:val=""/>
      <w:lvlJc w:val="left"/>
      <w:pPr>
        <w:ind w:left="2880" w:hanging="360"/>
      </w:pPr>
      <w:rPr>
        <w:rFonts w:ascii="Calibri Light" w:hAnsi="Calibri Light" w:hint="default"/>
      </w:rPr>
    </w:lvl>
    <w:lvl w:ilvl="4" w:tplc="FFFFFFFF" w:tentative="1">
      <w:start w:val="1"/>
      <w:numFmt w:val="bullet"/>
      <w:lvlText w:val="o"/>
      <w:lvlJc w:val="left"/>
      <w:pPr>
        <w:ind w:left="3600" w:hanging="360"/>
      </w:pPr>
      <w:rPr>
        <w:rFonts w:ascii="Yu Mincho Light" w:hAnsi="Yu Mincho Light" w:cs="Yu Mincho Light" w:hint="default"/>
      </w:rPr>
    </w:lvl>
    <w:lvl w:ilvl="5" w:tplc="FFFFFFFF" w:tentative="1">
      <w:start w:val="1"/>
      <w:numFmt w:val="bullet"/>
      <w:lvlText w:val=""/>
      <w:lvlJc w:val="left"/>
      <w:pPr>
        <w:ind w:left="4320" w:hanging="360"/>
      </w:pPr>
      <w:rPr>
        <w:rFonts w:ascii="Calibri" w:hAnsi="Calibri" w:hint="default"/>
      </w:rPr>
    </w:lvl>
    <w:lvl w:ilvl="6" w:tplc="FFFFFFFF" w:tentative="1">
      <w:start w:val="1"/>
      <w:numFmt w:val="bullet"/>
      <w:lvlText w:val=""/>
      <w:lvlJc w:val="left"/>
      <w:pPr>
        <w:ind w:left="5040" w:hanging="360"/>
      </w:pPr>
      <w:rPr>
        <w:rFonts w:ascii="Calibri Light" w:hAnsi="Calibri Light" w:hint="default"/>
      </w:rPr>
    </w:lvl>
    <w:lvl w:ilvl="7" w:tplc="FFFFFFFF" w:tentative="1">
      <w:start w:val="1"/>
      <w:numFmt w:val="bullet"/>
      <w:lvlText w:val="o"/>
      <w:lvlJc w:val="left"/>
      <w:pPr>
        <w:ind w:left="5760" w:hanging="360"/>
      </w:pPr>
      <w:rPr>
        <w:rFonts w:ascii="Yu Mincho Light" w:hAnsi="Yu Mincho Light" w:cs="Yu Mincho Light" w:hint="default"/>
      </w:rPr>
    </w:lvl>
    <w:lvl w:ilvl="8" w:tplc="FFFFFFFF" w:tentative="1">
      <w:start w:val="1"/>
      <w:numFmt w:val="bullet"/>
      <w:lvlText w:val=""/>
      <w:lvlJc w:val="left"/>
      <w:pPr>
        <w:ind w:left="6480" w:hanging="360"/>
      </w:pPr>
      <w:rPr>
        <w:rFonts w:ascii="Calibri" w:hAnsi="Calibri" w:hint="default"/>
      </w:rPr>
    </w:lvl>
  </w:abstractNum>
  <w:abstractNum w:abstractNumId="34" w15:restartNumberingAfterBreak="0">
    <w:nsid w:val="457B316E"/>
    <w:multiLevelType w:val="hybridMultilevel"/>
    <w:tmpl w:val="96E67B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D5219BD"/>
    <w:multiLevelType w:val="hybridMultilevel"/>
    <w:tmpl w:val="52E46A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Yu Mincho Light" w:hAnsi="Yu Mincho Light" w:cs="Yu Mincho Light" w:hint="default"/>
      </w:rPr>
    </w:lvl>
    <w:lvl w:ilvl="2" w:tplc="04150005" w:tentative="1">
      <w:start w:val="1"/>
      <w:numFmt w:val="bullet"/>
      <w:lvlText w:val=""/>
      <w:lvlJc w:val="left"/>
      <w:pPr>
        <w:ind w:left="2160" w:hanging="360"/>
      </w:pPr>
      <w:rPr>
        <w:rFonts w:ascii="Calibri" w:hAnsi="Calibri" w:hint="default"/>
      </w:rPr>
    </w:lvl>
    <w:lvl w:ilvl="3" w:tplc="04150001" w:tentative="1">
      <w:start w:val="1"/>
      <w:numFmt w:val="bullet"/>
      <w:lvlText w:val=""/>
      <w:lvlJc w:val="left"/>
      <w:pPr>
        <w:ind w:left="2880" w:hanging="360"/>
      </w:pPr>
      <w:rPr>
        <w:rFonts w:ascii="Calibri Light" w:hAnsi="Calibri Light" w:hint="default"/>
      </w:rPr>
    </w:lvl>
    <w:lvl w:ilvl="4" w:tplc="04150003" w:tentative="1">
      <w:start w:val="1"/>
      <w:numFmt w:val="bullet"/>
      <w:lvlText w:val="o"/>
      <w:lvlJc w:val="left"/>
      <w:pPr>
        <w:ind w:left="3600" w:hanging="360"/>
      </w:pPr>
      <w:rPr>
        <w:rFonts w:ascii="Yu Mincho Light" w:hAnsi="Yu Mincho Light" w:cs="Yu Mincho Light" w:hint="default"/>
      </w:rPr>
    </w:lvl>
    <w:lvl w:ilvl="5" w:tplc="04150005" w:tentative="1">
      <w:start w:val="1"/>
      <w:numFmt w:val="bullet"/>
      <w:lvlText w:val=""/>
      <w:lvlJc w:val="left"/>
      <w:pPr>
        <w:ind w:left="4320" w:hanging="360"/>
      </w:pPr>
      <w:rPr>
        <w:rFonts w:ascii="Calibri" w:hAnsi="Calibri" w:hint="default"/>
      </w:rPr>
    </w:lvl>
    <w:lvl w:ilvl="6" w:tplc="04150001" w:tentative="1">
      <w:start w:val="1"/>
      <w:numFmt w:val="bullet"/>
      <w:lvlText w:val=""/>
      <w:lvlJc w:val="left"/>
      <w:pPr>
        <w:ind w:left="5040" w:hanging="360"/>
      </w:pPr>
      <w:rPr>
        <w:rFonts w:ascii="Calibri Light" w:hAnsi="Calibri Light" w:hint="default"/>
      </w:rPr>
    </w:lvl>
    <w:lvl w:ilvl="7" w:tplc="04150003" w:tentative="1">
      <w:start w:val="1"/>
      <w:numFmt w:val="bullet"/>
      <w:lvlText w:val="o"/>
      <w:lvlJc w:val="left"/>
      <w:pPr>
        <w:ind w:left="5760" w:hanging="360"/>
      </w:pPr>
      <w:rPr>
        <w:rFonts w:ascii="Yu Mincho Light" w:hAnsi="Yu Mincho Light" w:cs="Yu Mincho Light" w:hint="default"/>
      </w:rPr>
    </w:lvl>
    <w:lvl w:ilvl="8" w:tplc="04150005" w:tentative="1">
      <w:start w:val="1"/>
      <w:numFmt w:val="bullet"/>
      <w:lvlText w:val=""/>
      <w:lvlJc w:val="left"/>
      <w:pPr>
        <w:ind w:left="6480" w:hanging="360"/>
      </w:pPr>
      <w:rPr>
        <w:rFonts w:ascii="Calibri" w:hAnsi="Calibri" w:hint="default"/>
      </w:rPr>
    </w:lvl>
  </w:abstractNum>
  <w:abstractNum w:abstractNumId="36" w15:restartNumberingAfterBreak="0">
    <w:nsid w:val="4E0C5516"/>
    <w:multiLevelType w:val="hybridMultilevel"/>
    <w:tmpl w:val="F036F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Yu Mincho Light" w:hAnsi="Yu Mincho Light" w:cs="Yu Mincho Light" w:hint="default"/>
      </w:rPr>
    </w:lvl>
    <w:lvl w:ilvl="2" w:tplc="04150005" w:tentative="1">
      <w:start w:val="1"/>
      <w:numFmt w:val="bullet"/>
      <w:lvlText w:val=""/>
      <w:lvlJc w:val="left"/>
      <w:pPr>
        <w:ind w:left="2160" w:hanging="360"/>
      </w:pPr>
      <w:rPr>
        <w:rFonts w:ascii="Yu Mincho Light" w:hAnsi="Yu Mincho Light" w:hint="default"/>
      </w:rPr>
    </w:lvl>
    <w:lvl w:ilvl="3" w:tplc="04150001" w:tentative="1">
      <w:start w:val="1"/>
      <w:numFmt w:val="bullet"/>
      <w:lvlText w:val=""/>
      <w:lvlJc w:val="left"/>
      <w:pPr>
        <w:ind w:left="2880" w:hanging="360"/>
      </w:pPr>
      <w:rPr>
        <w:rFonts w:ascii="MS Gothic" w:hAnsi="MS Gothic" w:hint="default"/>
      </w:rPr>
    </w:lvl>
    <w:lvl w:ilvl="4" w:tplc="04150003" w:tentative="1">
      <w:start w:val="1"/>
      <w:numFmt w:val="bullet"/>
      <w:lvlText w:val="o"/>
      <w:lvlJc w:val="left"/>
      <w:pPr>
        <w:ind w:left="3600" w:hanging="360"/>
      </w:pPr>
      <w:rPr>
        <w:rFonts w:ascii="Yu Mincho Light" w:hAnsi="Yu Mincho Light" w:cs="Yu Mincho Light" w:hint="default"/>
      </w:rPr>
    </w:lvl>
    <w:lvl w:ilvl="5" w:tplc="04150005" w:tentative="1">
      <w:start w:val="1"/>
      <w:numFmt w:val="bullet"/>
      <w:lvlText w:val=""/>
      <w:lvlJc w:val="left"/>
      <w:pPr>
        <w:ind w:left="4320" w:hanging="360"/>
      </w:pPr>
      <w:rPr>
        <w:rFonts w:ascii="Yu Mincho Light" w:hAnsi="Yu Mincho Light" w:hint="default"/>
      </w:rPr>
    </w:lvl>
    <w:lvl w:ilvl="6" w:tplc="04150001" w:tentative="1">
      <w:start w:val="1"/>
      <w:numFmt w:val="bullet"/>
      <w:lvlText w:val=""/>
      <w:lvlJc w:val="left"/>
      <w:pPr>
        <w:ind w:left="5040" w:hanging="360"/>
      </w:pPr>
      <w:rPr>
        <w:rFonts w:ascii="MS Gothic" w:hAnsi="MS Gothic" w:hint="default"/>
      </w:rPr>
    </w:lvl>
    <w:lvl w:ilvl="7" w:tplc="04150003" w:tentative="1">
      <w:start w:val="1"/>
      <w:numFmt w:val="bullet"/>
      <w:lvlText w:val="o"/>
      <w:lvlJc w:val="left"/>
      <w:pPr>
        <w:ind w:left="5760" w:hanging="360"/>
      </w:pPr>
      <w:rPr>
        <w:rFonts w:ascii="Yu Mincho Light" w:hAnsi="Yu Mincho Light" w:cs="Yu Mincho Light" w:hint="default"/>
      </w:rPr>
    </w:lvl>
    <w:lvl w:ilvl="8" w:tplc="04150005" w:tentative="1">
      <w:start w:val="1"/>
      <w:numFmt w:val="bullet"/>
      <w:lvlText w:val=""/>
      <w:lvlJc w:val="left"/>
      <w:pPr>
        <w:ind w:left="6480" w:hanging="360"/>
      </w:pPr>
      <w:rPr>
        <w:rFonts w:ascii="Yu Mincho Light" w:hAnsi="Yu Mincho Light" w:hint="default"/>
      </w:rPr>
    </w:lvl>
  </w:abstractNum>
  <w:abstractNum w:abstractNumId="37" w15:restartNumberingAfterBreak="0">
    <w:nsid w:val="4F913D21"/>
    <w:multiLevelType w:val="hybridMultilevel"/>
    <w:tmpl w:val="91E81D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8C84456"/>
    <w:multiLevelType w:val="hybridMultilevel"/>
    <w:tmpl w:val="A4F8606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9CF2242"/>
    <w:multiLevelType w:val="multilevel"/>
    <w:tmpl w:val="A8CABF6E"/>
    <w:lvl w:ilvl="0">
      <w:start w:val="1"/>
      <w:numFmt w:val="bullet"/>
      <w:lvlText w:val=""/>
      <w:lvlJc w:val="left"/>
      <w:pPr>
        <w:ind w:left="72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40" w15:restartNumberingAfterBreak="0">
    <w:nsid w:val="5C061352"/>
    <w:multiLevelType w:val="hybridMultilevel"/>
    <w:tmpl w:val="A3EC405E"/>
    <w:lvl w:ilvl="0" w:tplc="04150003">
      <w:start w:val="1"/>
      <w:numFmt w:val="bullet"/>
      <w:lvlText w:val="o"/>
      <w:lvlJc w:val="left"/>
      <w:pPr>
        <w:ind w:left="1536" w:hanging="360"/>
      </w:pPr>
      <w:rPr>
        <w:rFonts w:ascii="Courier New" w:hAnsi="Courier New" w:cs="Courier New" w:hint="default"/>
      </w:rPr>
    </w:lvl>
    <w:lvl w:ilvl="1" w:tplc="04150003" w:tentative="1">
      <w:start w:val="1"/>
      <w:numFmt w:val="bullet"/>
      <w:lvlText w:val="o"/>
      <w:lvlJc w:val="left"/>
      <w:pPr>
        <w:ind w:left="2256" w:hanging="360"/>
      </w:pPr>
      <w:rPr>
        <w:rFonts w:ascii="Courier New" w:hAnsi="Courier New" w:cs="Courier New" w:hint="default"/>
      </w:rPr>
    </w:lvl>
    <w:lvl w:ilvl="2" w:tplc="04150005" w:tentative="1">
      <w:start w:val="1"/>
      <w:numFmt w:val="bullet"/>
      <w:lvlText w:val=""/>
      <w:lvlJc w:val="left"/>
      <w:pPr>
        <w:ind w:left="2976" w:hanging="360"/>
      </w:pPr>
      <w:rPr>
        <w:rFonts w:ascii="Wingdings" w:hAnsi="Wingdings" w:hint="default"/>
      </w:rPr>
    </w:lvl>
    <w:lvl w:ilvl="3" w:tplc="04150001" w:tentative="1">
      <w:start w:val="1"/>
      <w:numFmt w:val="bullet"/>
      <w:lvlText w:val=""/>
      <w:lvlJc w:val="left"/>
      <w:pPr>
        <w:ind w:left="3696" w:hanging="360"/>
      </w:pPr>
      <w:rPr>
        <w:rFonts w:ascii="Symbol" w:hAnsi="Symbol" w:hint="default"/>
      </w:rPr>
    </w:lvl>
    <w:lvl w:ilvl="4" w:tplc="04150003" w:tentative="1">
      <w:start w:val="1"/>
      <w:numFmt w:val="bullet"/>
      <w:lvlText w:val="o"/>
      <w:lvlJc w:val="left"/>
      <w:pPr>
        <w:ind w:left="4416" w:hanging="360"/>
      </w:pPr>
      <w:rPr>
        <w:rFonts w:ascii="Courier New" w:hAnsi="Courier New" w:cs="Courier New" w:hint="default"/>
      </w:rPr>
    </w:lvl>
    <w:lvl w:ilvl="5" w:tplc="04150005" w:tentative="1">
      <w:start w:val="1"/>
      <w:numFmt w:val="bullet"/>
      <w:lvlText w:val=""/>
      <w:lvlJc w:val="left"/>
      <w:pPr>
        <w:ind w:left="5136" w:hanging="360"/>
      </w:pPr>
      <w:rPr>
        <w:rFonts w:ascii="Wingdings" w:hAnsi="Wingdings" w:hint="default"/>
      </w:rPr>
    </w:lvl>
    <w:lvl w:ilvl="6" w:tplc="04150001" w:tentative="1">
      <w:start w:val="1"/>
      <w:numFmt w:val="bullet"/>
      <w:lvlText w:val=""/>
      <w:lvlJc w:val="left"/>
      <w:pPr>
        <w:ind w:left="5856" w:hanging="360"/>
      </w:pPr>
      <w:rPr>
        <w:rFonts w:ascii="Symbol" w:hAnsi="Symbol" w:hint="default"/>
      </w:rPr>
    </w:lvl>
    <w:lvl w:ilvl="7" w:tplc="04150003" w:tentative="1">
      <w:start w:val="1"/>
      <w:numFmt w:val="bullet"/>
      <w:lvlText w:val="o"/>
      <w:lvlJc w:val="left"/>
      <w:pPr>
        <w:ind w:left="6576" w:hanging="360"/>
      </w:pPr>
      <w:rPr>
        <w:rFonts w:ascii="Courier New" w:hAnsi="Courier New" w:cs="Courier New" w:hint="default"/>
      </w:rPr>
    </w:lvl>
    <w:lvl w:ilvl="8" w:tplc="04150005" w:tentative="1">
      <w:start w:val="1"/>
      <w:numFmt w:val="bullet"/>
      <w:lvlText w:val=""/>
      <w:lvlJc w:val="left"/>
      <w:pPr>
        <w:ind w:left="7296" w:hanging="360"/>
      </w:pPr>
      <w:rPr>
        <w:rFonts w:ascii="Wingdings" w:hAnsi="Wingdings" w:hint="default"/>
      </w:rPr>
    </w:lvl>
  </w:abstractNum>
  <w:abstractNum w:abstractNumId="41" w15:restartNumberingAfterBreak="0">
    <w:nsid w:val="5CE20D48"/>
    <w:multiLevelType w:val="hybridMultilevel"/>
    <w:tmpl w:val="7B18A83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Yu Mincho Light" w:hAnsi="Yu Mincho Light" w:cs="Yu Mincho Light" w:hint="default"/>
      </w:rPr>
    </w:lvl>
    <w:lvl w:ilvl="2" w:tplc="04150005">
      <w:start w:val="1"/>
      <w:numFmt w:val="bullet"/>
      <w:lvlText w:val=""/>
      <w:lvlJc w:val="left"/>
      <w:pPr>
        <w:ind w:left="2160" w:hanging="360"/>
      </w:pPr>
      <w:rPr>
        <w:rFonts w:ascii="Calibri" w:hAnsi="Calibri" w:hint="default"/>
      </w:rPr>
    </w:lvl>
    <w:lvl w:ilvl="3" w:tplc="04150001">
      <w:start w:val="1"/>
      <w:numFmt w:val="bullet"/>
      <w:lvlText w:val=""/>
      <w:lvlJc w:val="left"/>
      <w:pPr>
        <w:ind w:left="2880" w:hanging="360"/>
      </w:pPr>
      <w:rPr>
        <w:rFonts w:ascii="Calibri Light" w:hAnsi="Calibri Light" w:hint="default"/>
      </w:rPr>
    </w:lvl>
    <w:lvl w:ilvl="4" w:tplc="04150003">
      <w:start w:val="1"/>
      <w:numFmt w:val="bullet"/>
      <w:lvlText w:val="o"/>
      <w:lvlJc w:val="left"/>
      <w:pPr>
        <w:ind w:left="3600" w:hanging="360"/>
      </w:pPr>
      <w:rPr>
        <w:rFonts w:ascii="Yu Mincho Light" w:hAnsi="Yu Mincho Light" w:cs="Yu Mincho Light" w:hint="default"/>
      </w:rPr>
    </w:lvl>
    <w:lvl w:ilvl="5" w:tplc="04150005">
      <w:start w:val="1"/>
      <w:numFmt w:val="bullet"/>
      <w:lvlText w:val=""/>
      <w:lvlJc w:val="left"/>
      <w:pPr>
        <w:ind w:left="4320" w:hanging="360"/>
      </w:pPr>
      <w:rPr>
        <w:rFonts w:ascii="Calibri" w:hAnsi="Calibri" w:hint="default"/>
      </w:rPr>
    </w:lvl>
    <w:lvl w:ilvl="6" w:tplc="04150001">
      <w:start w:val="1"/>
      <w:numFmt w:val="bullet"/>
      <w:lvlText w:val=""/>
      <w:lvlJc w:val="left"/>
      <w:pPr>
        <w:ind w:left="5040" w:hanging="360"/>
      </w:pPr>
      <w:rPr>
        <w:rFonts w:ascii="Calibri Light" w:hAnsi="Calibri Light" w:hint="default"/>
      </w:rPr>
    </w:lvl>
    <w:lvl w:ilvl="7" w:tplc="04150003">
      <w:start w:val="1"/>
      <w:numFmt w:val="bullet"/>
      <w:lvlText w:val="o"/>
      <w:lvlJc w:val="left"/>
      <w:pPr>
        <w:ind w:left="5760" w:hanging="360"/>
      </w:pPr>
      <w:rPr>
        <w:rFonts w:ascii="Yu Mincho Light" w:hAnsi="Yu Mincho Light" w:cs="Yu Mincho Light" w:hint="default"/>
      </w:rPr>
    </w:lvl>
    <w:lvl w:ilvl="8" w:tplc="04150005">
      <w:start w:val="1"/>
      <w:numFmt w:val="bullet"/>
      <w:lvlText w:val=""/>
      <w:lvlJc w:val="left"/>
      <w:pPr>
        <w:ind w:left="6480" w:hanging="360"/>
      </w:pPr>
      <w:rPr>
        <w:rFonts w:ascii="Calibri" w:hAnsi="Calibri" w:hint="default"/>
      </w:rPr>
    </w:lvl>
  </w:abstractNum>
  <w:abstractNum w:abstractNumId="42" w15:restartNumberingAfterBreak="0">
    <w:nsid w:val="5CE6347D"/>
    <w:multiLevelType w:val="hybridMultilevel"/>
    <w:tmpl w:val="A6046A9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Yu Mincho Light" w:hAnsi="Yu Mincho Light" w:cs="Yu Mincho Light" w:hint="default"/>
      </w:rPr>
    </w:lvl>
    <w:lvl w:ilvl="2" w:tplc="04150005" w:tentative="1">
      <w:start w:val="1"/>
      <w:numFmt w:val="bullet"/>
      <w:lvlText w:val=""/>
      <w:lvlJc w:val="left"/>
      <w:pPr>
        <w:ind w:left="2520" w:hanging="360"/>
      </w:pPr>
      <w:rPr>
        <w:rFonts w:ascii="Calibri" w:hAnsi="Calibri" w:hint="default"/>
      </w:rPr>
    </w:lvl>
    <w:lvl w:ilvl="3" w:tplc="04150001" w:tentative="1">
      <w:start w:val="1"/>
      <w:numFmt w:val="bullet"/>
      <w:lvlText w:val=""/>
      <w:lvlJc w:val="left"/>
      <w:pPr>
        <w:ind w:left="3240" w:hanging="360"/>
      </w:pPr>
      <w:rPr>
        <w:rFonts w:ascii="Calibri Light" w:hAnsi="Calibri Light" w:hint="default"/>
      </w:rPr>
    </w:lvl>
    <w:lvl w:ilvl="4" w:tplc="04150003" w:tentative="1">
      <w:start w:val="1"/>
      <w:numFmt w:val="bullet"/>
      <w:lvlText w:val="o"/>
      <w:lvlJc w:val="left"/>
      <w:pPr>
        <w:ind w:left="3960" w:hanging="360"/>
      </w:pPr>
      <w:rPr>
        <w:rFonts w:ascii="Yu Mincho Light" w:hAnsi="Yu Mincho Light" w:cs="Yu Mincho Light" w:hint="default"/>
      </w:rPr>
    </w:lvl>
    <w:lvl w:ilvl="5" w:tplc="04150005" w:tentative="1">
      <w:start w:val="1"/>
      <w:numFmt w:val="bullet"/>
      <w:lvlText w:val=""/>
      <w:lvlJc w:val="left"/>
      <w:pPr>
        <w:ind w:left="4680" w:hanging="360"/>
      </w:pPr>
      <w:rPr>
        <w:rFonts w:ascii="Calibri" w:hAnsi="Calibri" w:hint="default"/>
      </w:rPr>
    </w:lvl>
    <w:lvl w:ilvl="6" w:tplc="04150001" w:tentative="1">
      <w:start w:val="1"/>
      <w:numFmt w:val="bullet"/>
      <w:lvlText w:val=""/>
      <w:lvlJc w:val="left"/>
      <w:pPr>
        <w:ind w:left="5400" w:hanging="360"/>
      </w:pPr>
      <w:rPr>
        <w:rFonts w:ascii="Calibri Light" w:hAnsi="Calibri Light" w:hint="default"/>
      </w:rPr>
    </w:lvl>
    <w:lvl w:ilvl="7" w:tplc="04150003" w:tentative="1">
      <w:start w:val="1"/>
      <w:numFmt w:val="bullet"/>
      <w:lvlText w:val="o"/>
      <w:lvlJc w:val="left"/>
      <w:pPr>
        <w:ind w:left="6120" w:hanging="360"/>
      </w:pPr>
      <w:rPr>
        <w:rFonts w:ascii="Yu Mincho Light" w:hAnsi="Yu Mincho Light" w:cs="Yu Mincho Light" w:hint="default"/>
      </w:rPr>
    </w:lvl>
    <w:lvl w:ilvl="8" w:tplc="04150005" w:tentative="1">
      <w:start w:val="1"/>
      <w:numFmt w:val="bullet"/>
      <w:lvlText w:val=""/>
      <w:lvlJc w:val="left"/>
      <w:pPr>
        <w:ind w:left="6840" w:hanging="360"/>
      </w:pPr>
      <w:rPr>
        <w:rFonts w:ascii="Calibri" w:hAnsi="Calibri" w:hint="default"/>
      </w:rPr>
    </w:lvl>
  </w:abstractNum>
  <w:abstractNum w:abstractNumId="43" w15:restartNumberingAfterBreak="0">
    <w:nsid w:val="5CEC2250"/>
    <w:multiLevelType w:val="hybridMultilevel"/>
    <w:tmpl w:val="9E32717A"/>
    <w:lvl w:ilvl="0" w:tplc="0415000D">
      <w:start w:val="1"/>
      <w:numFmt w:val="bullet"/>
      <w:lvlText w:val=""/>
      <w:lvlJc w:val="left"/>
      <w:pPr>
        <w:ind w:left="1506" w:hanging="360"/>
      </w:pPr>
      <w:rPr>
        <w:rFonts w:ascii="Wingdings" w:hAnsi="Wingdings" w:hint="default"/>
      </w:rPr>
    </w:lvl>
    <w:lvl w:ilvl="1" w:tplc="FFFFFFFF" w:tentative="1">
      <w:start w:val="1"/>
      <w:numFmt w:val="bullet"/>
      <w:lvlText w:val="o"/>
      <w:lvlJc w:val="left"/>
      <w:pPr>
        <w:ind w:left="2226" w:hanging="360"/>
      </w:pPr>
      <w:rPr>
        <w:rFonts w:ascii="Yu Mincho Light" w:hAnsi="Yu Mincho Light" w:cs="Yu Mincho Light" w:hint="default"/>
      </w:rPr>
    </w:lvl>
    <w:lvl w:ilvl="2" w:tplc="FFFFFFFF" w:tentative="1">
      <w:start w:val="1"/>
      <w:numFmt w:val="bullet"/>
      <w:lvlText w:val=""/>
      <w:lvlJc w:val="left"/>
      <w:pPr>
        <w:ind w:left="2946" w:hanging="360"/>
      </w:pPr>
      <w:rPr>
        <w:rFonts w:ascii="Yu Mincho Light" w:hAnsi="Yu Mincho Light" w:hint="default"/>
      </w:rPr>
    </w:lvl>
    <w:lvl w:ilvl="3" w:tplc="FFFFFFFF" w:tentative="1">
      <w:start w:val="1"/>
      <w:numFmt w:val="bullet"/>
      <w:lvlText w:val=""/>
      <w:lvlJc w:val="left"/>
      <w:pPr>
        <w:ind w:left="3666" w:hanging="360"/>
      </w:pPr>
      <w:rPr>
        <w:rFonts w:ascii="MS Gothic" w:hAnsi="MS Gothic" w:hint="default"/>
      </w:rPr>
    </w:lvl>
    <w:lvl w:ilvl="4" w:tplc="FFFFFFFF" w:tentative="1">
      <w:start w:val="1"/>
      <w:numFmt w:val="bullet"/>
      <w:lvlText w:val="o"/>
      <w:lvlJc w:val="left"/>
      <w:pPr>
        <w:ind w:left="4386" w:hanging="360"/>
      </w:pPr>
      <w:rPr>
        <w:rFonts w:ascii="Yu Mincho Light" w:hAnsi="Yu Mincho Light" w:cs="Yu Mincho Light" w:hint="default"/>
      </w:rPr>
    </w:lvl>
    <w:lvl w:ilvl="5" w:tplc="FFFFFFFF" w:tentative="1">
      <w:start w:val="1"/>
      <w:numFmt w:val="bullet"/>
      <w:lvlText w:val=""/>
      <w:lvlJc w:val="left"/>
      <w:pPr>
        <w:ind w:left="5106" w:hanging="360"/>
      </w:pPr>
      <w:rPr>
        <w:rFonts w:ascii="Yu Mincho Light" w:hAnsi="Yu Mincho Light" w:hint="default"/>
      </w:rPr>
    </w:lvl>
    <w:lvl w:ilvl="6" w:tplc="FFFFFFFF" w:tentative="1">
      <w:start w:val="1"/>
      <w:numFmt w:val="bullet"/>
      <w:lvlText w:val=""/>
      <w:lvlJc w:val="left"/>
      <w:pPr>
        <w:ind w:left="5826" w:hanging="360"/>
      </w:pPr>
      <w:rPr>
        <w:rFonts w:ascii="MS Gothic" w:hAnsi="MS Gothic" w:hint="default"/>
      </w:rPr>
    </w:lvl>
    <w:lvl w:ilvl="7" w:tplc="FFFFFFFF" w:tentative="1">
      <w:start w:val="1"/>
      <w:numFmt w:val="bullet"/>
      <w:lvlText w:val="o"/>
      <w:lvlJc w:val="left"/>
      <w:pPr>
        <w:ind w:left="6546" w:hanging="360"/>
      </w:pPr>
      <w:rPr>
        <w:rFonts w:ascii="Yu Mincho Light" w:hAnsi="Yu Mincho Light" w:cs="Yu Mincho Light" w:hint="default"/>
      </w:rPr>
    </w:lvl>
    <w:lvl w:ilvl="8" w:tplc="FFFFFFFF" w:tentative="1">
      <w:start w:val="1"/>
      <w:numFmt w:val="bullet"/>
      <w:lvlText w:val=""/>
      <w:lvlJc w:val="left"/>
      <w:pPr>
        <w:ind w:left="7266" w:hanging="360"/>
      </w:pPr>
      <w:rPr>
        <w:rFonts w:ascii="Yu Mincho Light" w:hAnsi="Yu Mincho Light" w:hint="default"/>
      </w:rPr>
    </w:lvl>
  </w:abstractNum>
  <w:abstractNum w:abstractNumId="44" w15:restartNumberingAfterBreak="0">
    <w:nsid w:val="5E287FA8"/>
    <w:multiLevelType w:val="hybridMultilevel"/>
    <w:tmpl w:val="2E141F9E"/>
    <w:lvl w:ilvl="0" w:tplc="04150015">
      <w:start w:val="1"/>
      <w:numFmt w:val="upperLetter"/>
      <w:lvlText w:val="%1."/>
      <w:lvlJc w:val="left"/>
      <w:pPr>
        <w:ind w:left="786" w:hanging="360"/>
      </w:pPr>
    </w:lvl>
    <w:lvl w:ilvl="1" w:tplc="5BDC79AA">
      <w:start w:val="1"/>
      <w:numFmt w:val="decimal"/>
      <w:lvlText w:val="%2."/>
      <w:lvlJc w:val="left"/>
      <w:pPr>
        <w:ind w:left="1506" w:hanging="360"/>
      </w:pPr>
      <w:rPr>
        <w:b/>
        <w:bCs/>
      </w:rPr>
    </w:lvl>
    <w:lvl w:ilvl="2" w:tplc="0415000D">
      <w:start w:val="1"/>
      <w:numFmt w:val="bullet"/>
      <w:lvlText w:val=""/>
      <w:lvlJc w:val="left"/>
      <w:rPr>
        <w:rFonts w:ascii="Yu Mincho Light" w:hAnsi="Yu Mincho Light" w:hint="default"/>
      </w:r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5" w15:restartNumberingAfterBreak="0">
    <w:nsid w:val="5EB218FE"/>
    <w:multiLevelType w:val="hybridMultilevel"/>
    <w:tmpl w:val="E64A4278"/>
    <w:lvl w:ilvl="0" w:tplc="04150001">
      <w:start w:val="1"/>
      <w:numFmt w:val="bullet"/>
      <w:lvlText w:val=""/>
      <w:lvlJc w:val="left"/>
      <w:pPr>
        <w:ind w:left="720" w:hanging="360"/>
      </w:pPr>
      <w:rPr>
        <w:rFonts w:ascii="Symbol" w:hAnsi="Symbol" w:hint="default"/>
        <w:sz w:val="16"/>
        <w:szCs w:val="16"/>
      </w:rPr>
    </w:lvl>
    <w:lvl w:ilvl="1" w:tplc="04150003" w:tentative="1">
      <w:start w:val="1"/>
      <w:numFmt w:val="bullet"/>
      <w:lvlText w:val="o"/>
      <w:lvlJc w:val="left"/>
      <w:pPr>
        <w:ind w:left="1440" w:hanging="360"/>
      </w:pPr>
      <w:rPr>
        <w:rFonts w:ascii="Yu Mincho Light" w:hAnsi="Yu Mincho Light" w:cs="Yu Mincho Light" w:hint="default"/>
      </w:rPr>
    </w:lvl>
    <w:lvl w:ilvl="2" w:tplc="04150005" w:tentative="1">
      <w:start w:val="1"/>
      <w:numFmt w:val="bullet"/>
      <w:lvlText w:val=""/>
      <w:lvlJc w:val="left"/>
      <w:pPr>
        <w:ind w:left="2160" w:hanging="360"/>
      </w:pPr>
      <w:rPr>
        <w:rFonts w:ascii="Yu Mincho Light" w:hAnsi="Yu Mincho Light" w:hint="default"/>
      </w:rPr>
    </w:lvl>
    <w:lvl w:ilvl="3" w:tplc="04150001" w:tentative="1">
      <w:start w:val="1"/>
      <w:numFmt w:val="bullet"/>
      <w:lvlText w:val=""/>
      <w:lvlJc w:val="left"/>
      <w:pPr>
        <w:ind w:left="2880" w:hanging="360"/>
      </w:pPr>
      <w:rPr>
        <w:rFonts w:ascii="MS Gothic" w:hAnsi="MS Gothic" w:hint="default"/>
      </w:rPr>
    </w:lvl>
    <w:lvl w:ilvl="4" w:tplc="04150003" w:tentative="1">
      <w:start w:val="1"/>
      <w:numFmt w:val="bullet"/>
      <w:lvlText w:val="o"/>
      <w:lvlJc w:val="left"/>
      <w:pPr>
        <w:ind w:left="3600" w:hanging="360"/>
      </w:pPr>
      <w:rPr>
        <w:rFonts w:ascii="Yu Mincho Light" w:hAnsi="Yu Mincho Light" w:cs="Yu Mincho Light" w:hint="default"/>
      </w:rPr>
    </w:lvl>
    <w:lvl w:ilvl="5" w:tplc="04150005" w:tentative="1">
      <w:start w:val="1"/>
      <w:numFmt w:val="bullet"/>
      <w:lvlText w:val=""/>
      <w:lvlJc w:val="left"/>
      <w:pPr>
        <w:ind w:left="4320" w:hanging="360"/>
      </w:pPr>
      <w:rPr>
        <w:rFonts w:ascii="Yu Mincho Light" w:hAnsi="Yu Mincho Light" w:hint="default"/>
      </w:rPr>
    </w:lvl>
    <w:lvl w:ilvl="6" w:tplc="04150001" w:tentative="1">
      <w:start w:val="1"/>
      <w:numFmt w:val="bullet"/>
      <w:lvlText w:val=""/>
      <w:lvlJc w:val="left"/>
      <w:pPr>
        <w:ind w:left="5040" w:hanging="360"/>
      </w:pPr>
      <w:rPr>
        <w:rFonts w:ascii="MS Gothic" w:hAnsi="MS Gothic" w:hint="default"/>
      </w:rPr>
    </w:lvl>
    <w:lvl w:ilvl="7" w:tplc="04150003" w:tentative="1">
      <w:start w:val="1"/>
      <w:numFmt w:val="bullet"/>
      <w:lvlText w:val="o"/>
      <w:lvlJc w:val="left"/>
      <w:pPr>
        <w:ind w:left="5760" w:hanging="360"/>
      </w:pPr>
      <w:rPr>
        <w:rFonts w:ascii="Yu Mincho Light" w:hAnsi="Yu Mincho Light" w:cs="Yu Mincho Light" w:hint="default"/>
      </w:rPr>
    </w:lvl>
    <w:lvl w:ilvl="8" w:tplc="04150005" w:tentative="1">
      <w:start w:val="1"/>
      <w:numFmt w:val="bullet"/>
      <w:lvlText w:val=""/>
      <w:lvlJc w:val="left"/>
      <w:pPr>
        <w:ind w:left="6480" w:hanging="360"/>
      </w:pPr>
      <w:rPr>
        <w:rFonts w:ascii="Yu Mincho Light" w:hAnsi="Yu Mincho Light" w:hint="default"/>
      </w:rPr>
    </w:lvl>
  </w:abstractNum>
  <w:abstractNum w:abstractNumId="46" w15:restartNumberingAfterBreak="0">
    <w:nsid w:val="5F306DCE"/>
    <w:multiLevelType w:val="hybridMultilevel"/>
    <w:tmpl w:val="B0F07F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Yu Mincho Light" w:hAnsi="Yu Mincho Light" w:cs="Yu Mincho Light" w:hint="default"/>
      </w:rPr>
    </w:lvl>
    <w:lvl w:ilvl="2" w:tplc="04150005" w:tentative="1">
      <w:start w:val="1"/>
      <w:numFmt w:val="bullet"/>
      <w:lvlText w:val=""/>
      <w:lvlJc w:val="left"/>
      <w:pPr>
        <w:ind w:left="2160" w:hanging="360"/>
      </w:pPr>
      <w:rPr>
        <w:rFonts w:ascii="Calibri" w:hAnsi="Calibri" w:hint="default"/>
      </w:rPr>
    </w:lvl>
    <w:lvl w:ilvl="3" w:tplc="04150001" w:tentative="1">
      <w:start w:val="1"/>
      <w:numFmt w:val="bullet"/>
      <w:lvlText w:val=""/>
      <w:lvlJc w:val="left"/>
      <w:pPr>
        <w:ind w:left="2880" w:hanging="360"/>
      </w:pPr>
      <w:rPr>
        <w:rFonts w:ascii="Calibri Light" w:hAnsi="Calibri Light" w:hint="default"/>
      </w:rPr>
    </w:lvl>
    <w:lvl w:ilvl="4" w:tplc="04150003" w:tentative="1">
      <w:start w:val="1"/>
      <w:numFmt w:val="bullet"/>
      <w:lvlText w:val="o"/>
      <w:lvlJc w:val="left"/>
      <w:pPr>
        <w:ind w:left="3600" w:hanging="360"/>
      </w:pPr>
      <w:rPr>
        <w:rFonts w:ascii="Yu Mincho Light" w:hAnsi="Yu Mincho Light" w:cs="Yu Mincho Light" w:hint="default"/>
      </w:rPr>
    </w:lvl>
    <w:lvl w:ilvl="5" w:tplc="04150005" w:tentative="1">
      <w:start w:val="1"/>
      <w:numFmt w:val="bullet"/>
      <w:lvlText w:val=""/>
      <w:lvlJc w:val="left"/>
      <w:pPr>
        <w:ind w:left="4320" w:hanging="360"/>
      </w:pPr>
      <w:rPr>
        <w:rFonts w:ascii="Calibri" w:hAnsi="Calibri" w:hint="default"/>
      </w:rPr>
    </w:lvl>
    <w:lvl w:ilvl="6" w:tplc="04150001" w:tentative="1">
      <w:start w:val="1"/>
      <w:numFmt w:val="bullet"/>
      <w:lvlText w:val=""/>
      <w:lvlJc w:val="left"/>
      <w:pPr>
        <w:ind w:left="5040" w:hanging="360"/>
      </w:pPr>
      <w:rPr>
        <w:rFonts w:ascii="Calibri Light" w:hAnsi="Calibri Light" w:hint="default"/>
      </w:rPr>
    </w:lvl>
    <w:lvl w:ilvl="7" w:tplc="04150003" w:tentative="1">
      <w:start w:val="1"/>
      <w:numFmt w:val="bullet"/>
      <w:lvlText w:val="o"/>
      <w:lvlJc w:val="left"/>
      <w:pPr>
        <w:ind w:left="5760" w:hanging="360"/>
      </w:pPr>
      <w:rPr>
        <w:rFonts w:ascii="Yu Mincho Light" w:hAnsi="Yu Mincho Light" w:cs="Yu Mincho Light" w:hint="default"/>
      </w:rPr>
    </w:lvl>
    <w:lvl w:ilvl="8" w:tplc="04150005" w:tentative="1">
      <w:start w:val="1"/>
      <w:numFmt w:val="bullet"/>
      <w:lvlText w:val=""/>
      <w:lvlJc w:val="left"/>
      <w:pPr>
        <w:ind w:left="6480" w:hanging="360"/>
      </w:pPr>
      <w:rPr>
        <w:rFonts w:ascii="Calibri" w:hAnsi="Calibri" w:hint="default"/>
      </w:rPr>
    </w:lvl>
  </w:abstractNum>
  <w:abstractNum w:abstractNumId="47" w15:restartNumberingAfterBreak="0">
    <w:nsid w:val="5FCA1B1D"/>
    <w:multiLevelType w:val="hybridMultilevel"/>
    <w:tmpl w:val="9FEA7758"/>
    <w:lvl w:ilvl="0" w:tplc="0415000F">
      <w:start w:val="1"/>
      <w:numFmt w:val="decimal"/>
      <w:lvlText w:val="%1."/>
      <w:lvlJc w:val="left"/>
      <w:pPr>
        <w:ind w:left="643" w:hanging="360"/>
      </w:pPr>
    </w:lvl>
    <w:lvl w:ilvl="1" w:tplc="04150019" w:tentative="1">
      <w:start w:val="1"/>
      <w:numFmt w:val="lowerLetter"/>
      <w:lvlText w:val="%2."/>
      <w:lvlJc w:val="left"/>
      <w:pPr>
        <w:ind w:left="1298" w:hanging="360"/>
      </w:p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48" w15:restartNumberingAfterBreak="0">
    <w:nsid w:val="611475C0"/>
    <w:multiLevelType w:val="hybridMultilevel"/>
    <w:tmpl w:val="1E7C04AE"/>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Yu Mincho Light" w:hAnsi="Yu Mincho Light" w:cs="Yu Mincho Light" w:hint="default"/>
      </w:rPr>
    </w:lvl>
    <w:lvl w:ilvl="2" w:tplc="FFFFFFFF" w:tentative="1">
      <w:start w:val="1"/>
      <w:numFmt w:val="bullet"/>
      <w:lvlText w:val=""/>
      <w:lvlJc w:val="left"/>
      <w:pPr>
        <w:ind w:left="2160" w:hanging="360"/>
      </w:pPr>
      <w:rPr>
        <w:rFonts w:ascii="Yu Mincho Light" w:hAnsi="Yu Mincho Light" w:hint="default"/>
      </w:rPr>
    </w:lvl>
    <w:lvl w:ilvl="3" w:tplc="FFFFFFFF" w:tentative="1">
      <w:start w:val="1"/>
      <w:numFmt w:val="bullet"/>
      <w:lvlText w:val=""/>
      <w:lvlJc w:val="left"/>
      <w:pPr>
        <w:ind w:left="2880" w:hanging="360"/>
      </w:pPr>
      <w:rPr>
        <w:rFonts w:ascii="MS Gothic" w:hAnsi="MS Gothic" w:hint="default"/>
      </w:rPr>
    </w:lvl>
    <w:lvl w:ilvl="4" w:tplc="FFFFFFFF" w:tentative="1">
      <w:start w:val="1"/>
      <w:numFmt w:val="bullet"/>
      <w:lvlText w:val="o"/>
      <w:lvlJc w:val="left"/>
      <w:pPr>
        <w:ind w:left="3600" w:hanging="360"/>
      </w:pPr>
      <w:rPr>
        <w:rFonts w:ascii="Yu Mincho Light" w:hAnsi="Yu Mincho Light" w:cs="Yu Mincho Light" w:hint="default"/>
      </w:rPr>
    </w:lvl>
    <w:lvl w:ilvl="5" w:tplc="FFFFFFFF" w:tentative="1">
      <w:start w:val="1"/>
      <w:numFmt w:val="bullet"/>
      <w:lvlText w:val=""/>
      <w:lvlJc w:val="left"/>
      <w:pPr>
        <w:ind w:left="4320" w:hanging="360"/>
      </w:pPr>
      <w:rPr>
        <w:rFonts w:ascii="Yu Mincho Light" w:hAnsi="Yu Mincho Light" w:hint="default"/>
      </w:rPr>
    </w:lvl>
    <w:lvl w:ilvl="6" w:tplc="FFFFFFFF" w:tentative="1">
      <w:start w:val="1"/>
      <w:numFmt w:val="bullet"/>
      <w:lvlText w:val=""/>
      <w:lvlJc w:val="left"/>
      <w:pPr>
        <w:ind w:left="5040" w:hanging="360"/>
      </w:pPr>
      <w:rPr>
        <w:rFonts w:ascii="MS Gothic" w:hAnsi="MS Gothic" w:hint="default"/>
      </w:rPr>
    </w:lvl>
    <w:lvl w:ilvl="7" w:tplc="FFFFFFFF" w:tentative="1">
      <w:start w:val="1"/>
      <w:numFmt w:val="bullet"/>
      <w:lvlText w:val="o"/>
      <w:lvlJc w:val="left"/>
      <w:pPr>
        <w:ind w:left="5760" w:hanging="360"/>
      </w:pPr>
      <w:rPr>
        <w:rFonts w:ascii="Yu Mincho Light" w:hAnsi="Yu Mincho Light" w:cs="Yu Mincho Light" w:hint="default"/>
      </w:rPr>
    </w:lvl>
    <w:lvl w:ilvl="8" w:tplc="FFFFFFFF" w:tentative="1">
      <w:start w:val="1"/>
      <w:numFmt w:val="bullet"/>
      <w:lvlText w:val=""/>
      <w:lvlJc w:val="left"/>
      <w:pPr>
        <w:ind w:left="6480" w:hanging="360"/>
      </w:pPr>
      <w:rPr>
        <w:rFonts w:ascii="Yu Mincho Light" w:hAnsi="Yu Mincho Light" w:hint="default"/>
      </w:rPr>
    </w:lvl>
  </w:abstractNum>
  <w:abstractNum w:abstractNumId="49" w15:restartNumberingAfterBreak="0">
    <w:nsid w:val="64A268D4"/>
    <w:multiLevelType w:val="hybridMultilevel"/>
    <w:tmpl w:val="7CBA76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5385832"/>
    <w:multiLevelType w:val="hybridMultilevel"/>
    <w:tmpl w:val="6282986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5A64FE9"/>
    <w:multiLevelType w:val="hybridMultilevel"/>
    <w:tmpl w:val="47669720"/>
    <w:lvl w:ilvl="0" w:tplc="53C4112A">
      <w:start w:val="1"/>
      <w:numFmt w:val="bullet"/>
      <w:lvlText w:val=""/>
      <w:lvlJc w:val="left"/>
      <w:pPr>
        <w:ind w:left="720" w:hanging="36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69373DE"/>
    <w:multiLevelType w:val="hybridMultilevel"/>
    <w:tmpl w:val="0D389448"/>
    <w:lvl w:ilvl="0" w:tplc="0415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Yu Mincho Light" w:hAnsi="Yu Mincho Light" w:cs="Yu Mincho Light" w:hint="default"/>
      </w:rPr>
    </w:lvl>
    <w:lvl w:ilvl="2" w:tplc="FFFFFFFF" w:tentative="1">
      <w:start w:val="1"/>
      <w:numFmt w:val="bullet"/>
      <w:lvlText w:val=""/>
      <w:lvlJc w:val="left"/>
      <w:pPr>
        <w:ind w:left="2160" w:hanging="360"/>
      </w:pPr>
      <w:rPr>
        <w:rFonts w:ascii="Calibri" w:hAnsi="Calibri" w:hint="default"/>
      </w:rPr>
    </w:lvl>
    <w:lvl w:ilvl="3" w:tplc="FFFFFFFF" w:tentative="1">
      <w:start w:val="1"/>
      <w:numFmt w:val="bullet"/>
      <w:lvlText w:val=""/>
      <w:lvlJc w:val="left"/>
      <w:pPr>
        <w:ind w:left="2880" w:hanging="360"/>
      </w:pPr>
      <w:rPr>
        <w:rFonts w:ascii="Calibri Light" w:hAnsi="Calibri Light" w:hint="default"/>
      </w:rPr>
    </w:lvl>
    <w:lvl w:ilvl="4" w:tplc="FFFFFFFF" w:tentative="1">
      <w:start w:val="1"/>
      <w:numFmt w:val="bullet"/>
      <w:lvlText w:val="o"/>
      <w:lvlJc w:val="left"/>
      <w:pPr>
        <w:ind w:left="3600" w:hanging="360"/>
      </w:pPr>
      <w:rPr>
        <w:rFonts w:ascii="Yu Mincho Light" w:hAnsi="Yu Mincho Light" w:cs="Yu Mincho Light" w:hint="default"/>
      </w:rPr>
    </w:lvl>
    <w:lvl w:ilvl="5" w:tplc="FFFFFFFF" w:tentative="1">
      <w:start w:val="1"/>
      <w:numFmt w:val="bullet"/>
      <w:lvlText w:val=""/>
      <w:lvlJc w:val="left"/>
      <w:pPr>
        <w:ind w:left="4320" w:hanging="360"/>
      </w:pPr>
      <w:rPr>
        <w:rFonts w:ascii="Calibri" w:hAnsi="Calibri" w:hint="default"/>
      </w:rPr>
    </w:lvl>
    <w:lvl w:ilvl="6" w:tplc="FFFFFFFF" w:tentative="1">
      <w:start w:val="1"/>
      <w:numFmt w:val="bullet"/>
      <w:lvlText w:val=""/>
      <w:lvlJc w:val="left"/>
      <w:pPr>
        <w:ind w:left="5040" w:hanging="360"/>
      </w:pPr>
      <w:rPr>
        <w:rFonts w:ascii="Calibri Light" w:hAnsi="Calibri Light" w:hint="default"/>
      </w:rPr>
    </w:lvl>
    <w:lvl w:ilvl="7" w:tplc="FFFFFFFF" w:tentative="1">
      <w:start w:val="1"/>
      <w:numFmt w:val="bullet"/>
      <w:lvlText w:val="o"/>
      <w:lvlJc w:val="left"/>
      <w:pPr>
        <w:ind w:left="5760" w:hanging="360"/>
      </w:pPr>
      <w:rPr>
        <w:rFonts w:ascii="Yu Mincho Light" w:hAnsi="Yu Mincho Light" w:cs="Yu Mincho Light" w:hint="default"/>
      </w:rPr>
    </w:lvl>
    <w:lvl w:ilvl="8" w:tplc="FFFFFFFF" w:tentative="1">
      <w:start w:val="1"/>
      <w:numFmt w:val="bullet"/>
      <w:lvlText w:val=""/>
      <w:lvlJc w:val="left"/>
      <w:pPr>
        <w:ind w:left="6480" w:hanging="360"/>
      </w:pPr>
      <w:rPr>
        <w:rFonts w:ascii="Calibri" w:hAnsi="Calibri" w:hint="default"/>
      </w:rPr>
    </w:lvl>
  </w:abstractNum>
  <w:abstractNum w:abstractNumId="53" w15:restartNumberingAfterBreak="0">
    <w:nsid w:val="66C140F3"/>
    <w:multiLevelType w:val="hybridMultilevel"/>
    <w:tmpl w:val="F42E23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6C56AC9"/>
    <w:multiLevelType w:val="hybridMultilevel"/>
    <w:tmpl w:val="F906ED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Yu Mincho Light" w:hAnsi="Yu Mincho Light" w:cs="Yu Mincho Light" w:hint="default"/>
      </w:rPr>
    </w:lvl>
    <w:lvl w:ilvl="2" w:tplc="04150005" w:tentative="1">
      <w:start w:val="1"/>
      <w:numFmt w:val="bullet"/>
      <w:lvlText w:val=""/>
      <w:lvlJc w:val="left"/>
      <w:pPr>
        <w:ind w:left="2160" w:hanging="360"/>
      </w:pPr>
      <w:rPr>
        <w:rFonts w:ascii="Yu Mincho Light" w:hAnsi="Yu Mincho Light" w:hint="default"/>
      </w:rPr>
    </w:lvl>
    <w:lvl w:ilvl="3" w:tplc="04150001" w:tentative="1">
      <w:start w:val="1"/>
      <w:numFmt w:val="bullet"/>
      <w:lvlText w:val=""/>
      <w:lvlJc w:val="left"/>
      <w:pPr>
        <w:ind w:left="2880" w:hanging="360"/>
      </w:pPr>
      <w:rPr>
        <w:rFonts w:ascii="MS Gothic" w:hAnsi="MS Gothic" w:hint="default"/>
      </w:rPr>
    </w:lvl>
    <w:lvl w:ilvl="4" w:tplc="04150003" w:tentative="1">
      <w:start w:val="1"/>
      <w:numFmt w:val="bullet"/>
      <w:lvlText w:val="o"/>
      <w:lvlJc w:val="left"/>
      <w:pPr>
        <w:ind w:left="3600" w:hanging="360"/>
      </w:pPr>
      <w:rPr>
        <w:rFonts w:ascii="Yu Mincho Light" w:hAnsi="Yu Mincho Light" w:cs="Yu Mincho Light" w:hint="default"/>
      </w:rPr>
    </w:lvl>
    <w:lvl w:ilvl="5" w:tplc="04150005" w:tentative="1">
      <w:start w:val="1"/>
      <w:numFmt w:val="bullet"/>
      <w:lvlText w:val=""/>
      <w:lvlJc w:val="left"/>
      <w:pPr>
        <w:ind w:left="4320" w:hanging="360"/>
      </w:pPr>
      <w:rPr>
        <w:rFonts w:ascii="Yu Mincho Light" w:hAnsi="Yu Mincho Light" w:hint="default"/>
      </w:rPr>
    </w:lvl>
    <w:lvl w:ilvl="6" w:tplc="04150001" w:tentative="1">
      <w:start w:val="1"/>
      <w:numFmt w:val="bullet"/>
      <w:lvlText w:val=""/>
      <w:lvlJc w:val="left"/>
      <w:pPr>
        <w:ind w:left="5040" w:hanging="360"/>
      </w:pPr>
      <w:rPr>
        <w:rFonts w:ascii="MS Gothic" w:hAnsi="MS Gothic" w:hint="default"/>
      </w:rPr>
    </w:lvl>
    <w:lvl w:ilvl="7" w:tplc="04150003" w:tentative="1">
      <w:start w:val="1"/>
      <w:numFmt w:val="bullet"/>
      <w:lvlText w:val="o"/>
      <w:lvlJc w:val="left"/>
      <w:pPr>
        <w:ind w:left="5760" w:hanging="360"/>
      </w:pPr>
      <w:rPr>
        <w:rFonts w:ascii="Yu Mincho Light" w:hAnsi="Yu Mincho Light" w:cs="Yu Mincho Light" w:hint="default"/>
      </w:rPr>
    </w:lvl>
    <w:lvl w:ilvl="8" w:tplc="04150005" w:tentative="1">
      <w:start w:val="1"/>
      <w:numFmt w:val="bullet"/>
      <w:lvlText w:val=""/>
      <w:lvlJc w:val="left"/>
      <w:pPr>
        <w:ind w:left="6480" w:hanging="360"/>
      </w:pPr>
      <w:rPr>
        <w:rFonts w:ascii="Yu Mincho Light" w:hAnsi="Yu Mincho Light" w:hint="default"/>
      </w:rPr>
    </w:lvl>
  </w:abstractNum>
  <w:abstractNum w:abstractNumId="55" w15:restartNumberingAfterBreak="0">
    <w:nsid w:val="66EF37B2"/>
    <w:multiLevelType w:val="hybridMultilevel"/>
    <w:tmpl w:val="C4A6B1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Yu Mincho Light" w:hAnsi="Yu Mincho Light" w:cs="Yu Mincho Light" w:hint="default"/>
      </w:rPr>
    </w:lvl>
    <w:lvl w:ilvl="2" w:tplc="04150005" w:tentative="1">
      <w:start w:val="1"/>
      <w:numFmt w:val="bullet"/>
      <w:lvlText w:val=""/>
      <w:lvlJc w:val="left"/>
      <w:pPr>
        <w:ind w:left="2160" w:hanging="360"/>
      </w:pPr>
      <w:rPr>
        <w:rFonts w:ascii="Calibri" w:hAnsi="Calibri" w:hint="default"/>
      </w:rPr>
    </w:lvl>
    <w:lvl w:ilvl="3" w:tplc="04150001" w:tentative="1">
      <w:start w:val="1"/>
      <w:numFmt w:val="bullet"/>
      <w:lvlText w:val=""/>
      <w:lvlJc w:val="left"/>
      <w:pPr>
        <w:ind w:left="2880" w:hanging="360"/>
      </w:pPr>
      <w:rPr>
        <w:rFonts w:ascii="Calibri Light" w:hAnsi="Calibri Light" w:hint="default"/>
      </w:rPr>
    </w:lvl>
    <w:lvl w:ilvl="4" w:tplc="04150003" w:tentative="1">
      <w:start w:val="1"/>
      <w:numFmt w:val="bullet"/>
      <w:lvlText w:val="o"/>
      <w:lvlJc w:val="left"/>
      <w:pPr>
        <w:ind w:left="3600" w:hanging="360"/>
      </w:pPr>
      <w:rPr>
        <w:rFonts w:ascii="Yu Mincho Light" w:hAnsi="Yu Mincho Light" w:cs="Yu Mincho Light" w:hint="default"/>
      </w:rPr>
    </w:lvl>
    <w:lvl w:ilvl="5" w:tplc="04150005" w:tentative="1">
      <w:start w:val="1"/>
      <w:numFmt w:val="bullet"/>
      <w:lvlText w:val=""/>
      <w:lvlJc w:val="left"/>
      <w:pPr>
        <w:ind w:left="4320" w:hanging="360"/>
      </w:pPr>
      <w:rPr>
        <w:rFonts w:ascii="Calibri" w:hAnsi="Calibri" w:hint="default"/>
      </w:rPr>
    </w:lvl>
    <w:lvl w:ilvl="6" w:tplc="04150001" w:tentative="1">
      <w:start w:val="1"/>
      <w:numFmt w:val="bullet"/>
      <w:lvlText w:val=""/>
      <w:lvlJc w:val="left"/>
      <w:pPr>
        <w:ind w:left="5040" w:hanging="360"/>
      </w:pPr>
      <w:rPr>
        <w:rFonts w:ascii="Calibri Light" w:hAnsi="Calibri Light" w:hint="default"/>
      </w:rPr>
    </w:lvl>
    <w:lvl w:ilvl="7" w:tplc="04150003" w:tentative="1">
      <w:start w:val="1"/>
      <w:numFmt w:val="bullet"/>
      <w:lvlText w:val="o"/>
      <w:lvlJc w:val="left"/>
      <w:pPr>
        <w:ind w:left="5760" w:hanging="360"/>
      </w:pPr>
      <w:rPr>
        <w:rFonts w:ascii="Yu Mincho Light" w:hAnsi="Yu Mincho Light" w:cs="Yu Mincho Light" w:hint="default"/>
      </w:rPr>
    </w:lvl>
    <w:lvl w:ilvl="8" w:tplc="04150005" w:tentative="1">
      <w:start w:val="1"/>
      <w:numFmt w:val="bullet"/>
      <w:lvlText w:val=""/>
      <w:lvlJc w:val="left"/>
      <w:pPr>
        <w:ind w:left="6480" w:hanging="360"/>
      </w:pPr>
      <w:rPr>
        <w:rFonts w:ascii="Calibri" w:hAnsi="Calibri" w:hint="default"/>
      </w:rPr>
    </w:lvl>
  </w:abstractNum>
  <w:abstractNum w:abstractNumId="56" w15:restartNumberingAfterBreak="0">
    <w:nsid w:val="6C5671C1"/>
    <w:multiLevelType w:val="hybridMultilevel"/>
    <w:tmpl w:val="9D58AC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29919EE"/>
    <w:multiLevelType w:val="hybridMultilevel"/>
    <w:tmpl w:val="E1D2BF32"/>
    <w:lvl w:ilvl="0" w:tplc="0415000D">
      <w:start w:val="1"/>
      <w:numFmt w:val="bullet"/>
      <w:lvlText w:val=""/>
      <w:lvlJc w:val="left"/>
      <w:pPr>
        <w:ind w:left="927" w:hanging="360"/>
      </w:pPr>
      <w:rPr>
        <w:rFonts w:ascii="Wingdings" w:hAnsi="Wingdings"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58" w15:restartNumberingAfterBreak="0">
    <w:nsid w:val="74D02939"/>
    <w:multiLevelType w:val="hybridMultilevel"/>
    <w:tmpl w:val="36EED3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Yu Mincho Light" w:hAnsi="Yu Mincho Light" w:cs="Yu Mincho Light" w:hint="default"/>
      </w:rPr>
    </w:lvl>
    <w:lvl w:ilvl="2" w:tplc="04150005" w:tentative="1">
      <w:start w:val="1"/>
      <w:numFmt w:val="bullet"/>
      <w:lvlText w:val=""/>
      <w:lvlJc w:val="left"/>
      <w:pPr>
        <w:ind w:left="2160" w:hanging="360"/>
      </w:pPr>
      <w:rPr>
        <w:rFonts w:ascii="Calibri" w:hAnsi="Calibri" w:hint="default"/>
      </w:rPr>
    </w:lvl>
    <w:lvl w:ilvl="3" w:tplc="04150001" w:tentative="1">
      <w:start w:val="1"/>
      <w:numFmt w:val="bullet"/>
      <w:lvlText w:val=""/>
      <w:lvlJc w:val="left"/>
      <w:pPr>
        <w:ind w:left="2880" w:hanging="360"/>
      </w:pPr>
      <w:rPr>
        <w:rFonts w:ascii="Calibri Light" w:hAnsi="Calibri Light" w:hint="default"/>
      </w:rPr>
    </w:lvl>
    <w:lvl w:ilvl="4" w:tplc="04150003" w:tentative="1">
      <w:start w:val="1"/>
      <w:numFmt w:val="bullet"/>
      <w:lvlText w:val="o"/>
      <w:lvlJc w:val="left"/>
      <w:pPr>
        <w:ind w:left="3600" w:hanging="360"/>
      </w:pPr>
      <w:rPr>
        <w:rFonts w:ascii="Yu Mincho Light" w:hAnsi="Yu Mincho Light" w:cs="Yu Mincho Light" w:hint="default"/>
      </w:rPr>
    </w:lvl>
    <w:lvl w:ilvl="5" w:tplc="04150005" w:tentative="1">
      <w:start w:val="1"/>
      <w:numFmt w:val="bullet"/>
      <w:lvlText w:val=""/>
      <w:lvlJc w:val="left"/>
      <w:pPr>
        <w:ind w:left="4320" w:hanging="360"/>
      </w:pPr>
      <w:rPr>
        <w:rFonts w:ascii="Calibri" w:hAnsi="Calibri" w:hint="default"/>
      </w:rPr>
    </w:lvl>
    <w:lvl w:ilvl="6" w:tplc="04150001" w:tentative="1">
      <w:start w:val="1"/>
      <w:numFmt w:val="bullet"/>
      <w:lvlText w:val=""/>
      <w:lvlJc w:val="left"/>
      <w:pPr>
        <w:ind w:left="5040" w:hanging="360"/>
      </w:pPr>
      <w:rPr>
        <w:rFonts w:ascii="Calibri Light" w:hAnsi="Calibri Light" w:hint="default"/>
      </w:rPr>
    </w:lvl>
    <w:lvl w:ilvl="7" w:tplc="04150003" w:tentative="1">
      <w:start w:val="1"/>
      <w:numFmt w:val="bullet"/>
      <w:lvlText w:val="o"/>
      <w:lvlJc w:val="left"/>
      <w:pPr>
        <w:ind w:left="5760" w:hanging="360"/>
      </w:pPr>
      <w:rPr>
        <w:rFonts w:ascii="Yu Mincho Light" w:hAnsi="Yu Mincho Light" w:cs="Yu Mincho Light" w:hint="default"/>
      </w:rPr>
    </w:lvl>
    <w:lvl w:ilvl="8" w:tplc="04150005" w:tentative="1">
      <w:start w:val="1"/>
      <w:numFmt w:val="bullet"/>
      <w:lvlText w:val=""/>
      <w:lvlJc w:val="left"/>
      <w:pPr>
        <w:ind w:left="6480" w:hanging="360"/>
      </w:pPr>
      <w:rPr>
        <w:rFonts w:ascii="Calibri" w:hAnsi="Calibri" w:hint="default"/>
      </w:rPr>
    </w:lvl>
  </w:abstractNum>
  <w:abstractNum w:abstractNumId="59" w15:restartNumberingAfterBreak="0">
    <w:nsid w:val="762B1C0B"/>
    <w:multiLevelType w:val="hybridMultilevel"/>
    <w:tmpl w:val="F8545DAE"/>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15:restartNumberingAfterBreak="0">
    <w:nsid w:val="76950037"/>
    <w:multiLevelType w:val="hybridMultilevel"/>
    <w:tmpl w:val="F43C4AA4"/>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77751EBE"/>
    <w:multiLevelType w:val="hybridMultilevel"/>
    <w:tmpl w:val="9FE45680"/>
    <w:lvl w:ilvl="0" w:tplc="04150001">
      <w:start w:val="1"/>
      <w:numFmt w:val="bullet"/>
      <w:pStyle w:val="Akapitzlis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Yu Mincho Light" w:hAnsi="Yu Mincho Light" w:cs="Yu Mincho Light" w:hint="default"/>
      </w:rPr>
    </w:lvl>
    <w:lvl w:ilvl="2" w:tplc="04150005" w:tentative="1">
      <w:start w:val="1"/>
      <w:numFmt w:val="bullet"/>
      <w:lvlText w:val=""/>
      <w:lvlJc w:val="left"/>
      <w:pPr>
        <w:ind w:left="2160" w:hanging="360"/>
      </w:pPr>
      <w:rPr>
        <w:rFonts w:ascii="Yu Mincho Light" w:hAnsi="Yu Mincho Light" w:hint="default"/>
      </w:rPr>
    </w:lvl>
    <w:lvl w:ilvl="3" w:tplc="04150001" w:tentative="1">
      <w:start w:val="1"/>
      <w:numFmt w:val="bullet"/>
      <w:lvlText w:val=""/>
      <w:lvlJc w:val="left"/>
      <w:pPr>
        <w:ind w:left="2880" w:hanging="360"/>
      </w:pPr>
      <w:rPr>
        <w:rFonts w:ascii="MS Gothic" w:hAnsi="MS Gothic" w:hint="default"/>
      </w:rPr>
    </w:lvl>
    <w:lvl w:ilvl="4" w:tplc="04150003" w:tentative="1">
      <w:start w:val="1"/>
      <w:numFmt w:val="bullet"/>
      <w:lvlText w:val="o"/>
      <w:lvlJc w:val="left"/>
      <w:pPr>
        <w:ind w:left="3600" w:hanging="360"/>
      </w:pPr>
      <w:rPr>
        <w:rFonts w:ascii="Yu Mincho Light" w:hAnsi="Yu Mincho Light" w:cs="Yu Mincho Light" w:hint="default"/>
      </w:rPr>
    </w:lvl>
    <w:lvl w:ilvl="5" w:tplc="04150005" w:tentative="1">
      <w:start w:val="1"/>
      <w:numFmt w:val="bullet"/>
      <w:lvlText w:val=""/>
      <w:lvlJc w:val="left"/>
      <w:pPr>
        <w:ind w:left="4320" w:hanging="360"/>
      </w:pPr>
      <w:rPr>
        <w:rFonts w:ascii="Yu Mincho Light" w:hAnsi="Yu Mincho Light" w:hint="default"/>
      </w:rPr>
    </w:lvl>
    <w:lvl w:ilvl="6" w:tplc="04150001" w:tentative="1">
      <w:start w:val="1"/>
      <w:numFmt w:val="bullet"/>
      <w:lvlText w:val=""/>
      <w:lvlJc w:val="left"/>
      <w:pPr>
        <w:ind w:left="5040" w:hanging="360"/>
      </w:pPr>
      <w:rPr>
        <w:rFonts w:ascii="MS Gothic" w:hAnsi="MS Gothic" w:hint="default"/>
      </w:rPr>
    </w:lvl>
    <w:lvl w:ilvl="7" w:tplc="04150003" w:tentative="1">
      <w:start w:val="1"/>
      <w:numFmt w:val="bullet"/>
      <w:lvlText w:val="o"/>
      <w:lvlJc w:val="left"/>
      <w:pPr>
        <w:ind w:left="5760" w:hanging="360"/>
      </w:pPr>
      <w:rPr>
        <w:rFonts w:ascii="Yu Mincho Light" w:hAnsi="Yu Mincho Light" w:cs="Yu Mincho Light" w:hint="default"/>
      </w:rPr>
    </w:lvl>
    <w:lvl w:ilvl="8" w:tplc="04150005" w:tentative="1">
      <w:start w:val="1"/>
      <w:numFmt w:val="bullet"/>
      <w:lvlText w:val=""/>
      <w:lvlJc w:val="left"/>
      <w:pPr>
        <w:ind w:left="6480" w:hanging="360"/>
      </w:pPr>
      <w:rPr>
        <w:rFonts w:ascii="Yu Mincho Light" w:hAnsi="Yu Mincho Light" w:hint="default"/>
      </w:rPr>
    </w:lvl>
  </w:abstractNum>
  <w:abstractNum w:abstractNumId="62" w15:restartNumberingAfterBreak="0">
    <w:nsid w:val="796269BD"/>
    <w:multiLevelType w:val="hybridMultilevel"/>
    <w:tmpl w:val="5CDA7C5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7A7A7BD9"/>
    <w:multiLevelType w:val="hybridMultilevel"/>
    <w:tmpl w:val="0E1822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D660462"/>
    <w:multiLevelType w:val="hybridMultilevel"/>
    <w:tmpl w:val="AA58A7D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5" w15:restartNumberingAfterBreak="0">
    <w:nsid w:val="7DAA28FD"/>
    <w:multiLevelType w:val="hybridMultilevel"/>
    <w:tmpl w:val="733670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Yu Mincho Light" w:hAnsi="Yu Mincho Light" w:cs="Yu Mincho Light" w:hint="default"/>
      </w:rPr>
    </w:lvl>
    <w:lvl w:ilvl="2" w:tplc="04150005" w:tentative="1">
      <w:start w:val="1"/>
      <w:numFmt w:val="bullet"/>
      <w:lvlText w:val=""/>
      <w:lvlJc w:val="left"/>
      <w:pPr>
        <w:ind w:left="2160" w:hanging="360"/>
      </w:pPr>
      <w:rPr>
        <w:rFonts w:ascii="Calibri" w:hAnsi="Calibri" w:hint="default"/>
      </w:rPr>
    </w:lvl>
    <w:lvl w:ilvl="3" w:tplc="04150001" w:tentative="1">
      <w:start w:val="1"/>
      <w:numFmt w:val="bullet"/>
      <w:lvlText w:val=""/>
      <w:lvlJc w:val="left"/>
      <w:pPr>
        <w:ind w:left="2880" w:hanging="360"/>
      </w:pPr>
      <w:rPr>
        <w:rFonts w:ascii="Calibri Light" w:hAnsi="Calibri Light" w:hint="default"/>
      </w:rPr>
    </w:lvl>
    <w:lvl w:ilvl="4" w:tplc="04150003" w:tentative="1">
      <w:start w:val="1"/>
      <w:numFmt w:val="bullet"/>
      <w:lvlText w:val="o"/>
      <w:lvlJc w:val="left"/>
      <w:pPr>
        <w:ind w:left="3600" w:hanging="360"/>
      </w:pPr>
      <w:rPr>
        <w:rFonts w:ascii="Yu Mincho Light" w:hAnsi="Yu Mincho Light" w:cs="Yu Mincho Light" w:hint="default"/>
      </w:rPr>
    </w:lvl>
    <w:lvl w:ilvl="5" w:tplc="04150005" w:tentative="1">
      <w:start w:val="1"/>
      <w:numFmt w:val="bullet"/>
      <w:lvlText w:val=""/>
      <w:lvlJc w:val="left"/>
      <w:pPr>
        <w:ind w:left="4320" w:hanging="360"/>
      </w:pPr>
      <w:rPr>
        <w:rFonts w:ascii="Calibri" w:hAnsi="Calibri" w:hint="default"/>
      </w:rPr>
    </w:lvl>
    <w:lvl w:ilvl="6" w:tplc="04150001" w:tentative="1">
      <w:start w:val="1"/>
      <w:numFmt w:val="bullet"/>
      <w:lvlText w:val=""/>
      <w:lvlJc w:val="left"/>
      <w:pPr>
        <w:ind w:left="5040" w:hanging="360"/>
      </w:pPr>
      <w:rPr>
        <w:rFonts w:ascii="Calibri Light" w:hAnsi="Calibri Light" w:hint="default"/>
      </w:rPr>
    </w:lvl>
    <w:lvl w:ilvl="7" w:tplc="04150003" w:tentative="1">
      <w:start w:val="1"/>
      <w:numFmt w:val="bullet"/>
      <w:lvlText w:val="o"/>
      <w:lvlJc w:val="left"/>
      <w:pPr>
        <w:ind w:left="5760" w:hanging="360"/>
      </w:pPr>
      <w:rPr>
        <w:rFonts w:ascii="Yu Mincho Light" w:hAnsi="Yu Mincho Light" w:cs="Yu Mincho Light" w:hint="default"/>
      </w:rPr>
    </w:lvl>
    <w:lvl w:ilvl="8" w:tplc="04150005" w:tentative="1">
      <w:start w:val="1"/>
      <w:numFmt w:val="bullet"/>
      <w:lvlText w:val=""/>
      <w:lvlJc w:val="left"/>
      <w:pPr>
        <w:ind w:left="6480" w:hanging="360"/>
      </w:pPr>
      <w:rPr>
        <w:rFonts w:ascii="Calibri" w:hAnsi="Calibri" w:hint="default"/>
      </w:rPr>
    </w:lvl>
  </w:abstractNum>
  <w:num w:numId="1">
    <w:abstractNumId w:val="61"/>
  </w:num>
  <w:num w:numId="2">
    <w:abstractNumId w:val="30"/>
  </w:num>
  <w:num w:numId="3">
    <w:abstractNumId w:val="34"/>
  </w:num>
  <w:num w:numId="4">
    <w:abstractNumId w:val="17"/>
  </w:num>
  <w:num w:numId="5">
    <w:abstractNumId w:val="2"/>
  </w:num>
  <w:num w:numId="6">
    <w:abstractNumId w:val="44"/>
  </w:num>
  <w:num w:numId="7">
    <w:abstractNumId w:val="26"/>
  </w:num>
  <w:num w:numId="8">
    <w:abstractNumId w:val="20"/>
  </w:num>
  <w:num w:numId="9">
    <w:abstractNumId w:val="0"/>
  </w:num>
  <w:num w:numId="10">
    <w:abstractNumId w:val="29"/>
  </w:num>
  <w:num w:numId="11">
    <w:abstractNumId w:val="50"/>
  </w:num>
  <w:num w:numId="12">
    <w:abstractNumId w:val="6"/>
  </w:num>
  <w:num w:numId="13">
    <w:abstractNumId w:val="32"/>
  </w:num>
  <w:num w:numId="14">
    <w:abstractNumId w:val="47"/>
  </w:num>
  <w:num w:numId="15">
    <w:abstractNumId w:val="21"/>
  </w:num>
  <w:num w:numId="16">
    <w:abstractNumId w:val="23"/>
  </w:num>
  <w:num w:numId="17">
    <w:abstractNumId w:val="56"/>
  </w:num>
  <w:num w:numId="18">
    <w:abstractNumId w:val="63"/>
  </w:num>
  <w:num w:numId="19">
    <w:abstractNumId w:val="35"/>
  </w:num>
  <w:num w:numId="20">
    <w:abstractNumId w:val="46"/>
  </w:num>
  <w:num w:numId="21">
    <w:abstractNumId w:val="10"/>
  </w:num>
  <w:num w:numId="22">
    <w:abstractNumId w:val="48"/>
  </w:num>
  <w:num w:numId="23">
    <w:abstractNumId w:val="11"/>
  </w:num>
  <w:num w:numId="24">
    <w:abstractNumId w:val="58"/>
  </w:num>
  <w:num w:numId="25">
    <w:abstractNumId w:val="31"/>
  </w:num>
  <w:num w:numId="26">
    <w:abstractNumId w:val="53"/>
  </w:num>
  <w:num w:numId="27">
    <w:abstractNumId w:val="38"/>
  </w:num>
  <w:num w:numId="28">
    <w:abstractNumId w:val="27"/>
  </w:num>
  <w:num w:numId="29">
    <w:abstractNumId w:val="12"/>
  </w:num>
  <w:num w:numId="30">
    <w:abstractNumId w:val="62"/>
  </w:num>
  <w:num w:numId="31">
    <w:abstractNumId w:val="14"/>
  </w:num>
  <w:num w:numId="32">
    <w:abstractNumId w:val="45"/>
  </w:num>
  <w:num w:numId="33">
    <w:abstractNumId w:val="25"/>
  </w:num>
  <w:num w:numId="34">
    <w:abstractNumId w:val="22"/>
  </w:num>
  <w:num w:numId="35">
    <w:abstractNumId w:val="28"/>
  </w:num>
  <w:num w:numId="36">
    <w:abstractNumId w:val="55"/>
  </w:num>
  <w:num w:numId="37">
    <w:abstractNumId w:val="65"/>
  </w:num>
  <w:num w:numId="38">
    <w:abstractNumId w:val="42"/>
  </w:num>
  <w:num w:numId="39">
    <w:abstractNumId w:val="16"/>
  </w:num>
  <w:num w:numId="40">
    <w:abstractNumId w:val="1"/>
  </w:num>
  <w:num w:numId="41">
    <w:abstractNumId w:val="54"/>
  </w:num>
  <w:num w:numId="42">
    <w:abstractNumId w:val="36"/>
  </w:num>
  <w:num w:numId="43">
    <w:abstractNumId w:val="57"/>
  </w:num>
  <w:num w:numId="44">
    <w:abstractNumId w:val="4"/>
  </w:num>
  <w:num w:numId="45">
    <w:abstractNumId w:val="43"/>
  </w:num>
  <w:num w:numId="46">
    <w:abstractNumId w:val="41"/>
  </w:num>
  <w:num w:numId="47">
    <w:abstractNumId w:val="13"/>
  </w:num>
  <w:num w:numId="48">
    <w:abstractNumId w:val="9"/>
  </w:num>
  <w:num w:numId="49">
    <w:abstractNumId w:val="60"/>
  </w:num>
  <w:num w:numId="50">
    <w:abstractNumId w:val="37"/>
  </w:num>
  <w:num w:numId="51">
    <w:abstractNumId w:val="7"/>
  </w:num>
  <w:num w:numId="52">
    <w:abstractNumId w:val="40"/>
  </w:num>
  <w:num w:numId="53">
    <w:abstractNumId w:val="3"/>
  </w:num>
  <w:num w:numId="54">
    <w:abstractNumId w:val="39"/>
  </w:num>
  <w:num w:numId="55">
    <w:abstractNumId w:val="8"/>
  </w:num>
  <w:num w:numId="56">
    <w:abstractNumId w:val="52"/>
  </w:num>
  <w:num w:numId="57">
    <w:abstractNumId w:val="19"/>
  </w:num>
  <w:num w:numId="58">
    <w:abstractNumId w:val="33"/>
  </w:num>
  <w:num w:numId="59">
    <w:abstractNumId w:val="51"/>
  </w:num>
  <w:num w:numId="60">
    <w:abstractNumId w:val="5"/>
  </w:num>
  <w:num w:numId="61">
    <w:abstractNumId w:val="49"/>
  </w:num>
  <w:num w:numId="62">
    <w:abstractNumId w:val="24"/>
  </w:num>
  <w:num w:numId="63">
    <w:abstractNumId w:val="64"/>
  </w:num>
  <w:num w:numId="64">
    <w:abstractNumId w:val="59"/>
  </w:num>
  <w:num w:numId="65">
    <w:abstractNumId w:val="18"/>
  </w:num>
  <w:num w:numId="66">
    <w:abstractNumId w:val="1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F67"/>
    <w:rsid w:val="0000002D"/>
    <w:rsid w:val="000001C5"/>
    <w:rsid w:val="00000317"/>
    <w:rsid w:val="0000033C"/>
    <w:rsid w:val="0000035A"/>
    <w:rsid w:val="00000394"/>
    <w:rsid w:val="000004AC"/>
    <w:rsid w:val="0000052B"/>
    <w:rsid w:val="0000061F"/>
    <w:rsid w:val="000007E4"/>
    <w:rsid w:val="000008E7"/>
    <w:rsid w:val="00000914"/>
    <w:rsid w:val="00000965"/>
    <w:rsid w:val="00000982"/>
    <w:rsid w:val="00000A07"/>
    <w:rsid w:val="00000C50"/>
    <w:rsid w:val="00000C72"/>
    <w:rsid w:val="00000D21"/>
    <w:rsid w:val="00000EFC"/>
    <w:rsid w:val="00000FC3"/>
    <w:rsid w:val="00001042"/>
    <w:rsid w:val="00001083"/>
    <w:rsid w:val="000010D1"/>
    <w:rsid w:val="0000131E"/>
    <w:rsid w:val="0000165C"/>
    <w:rsid w:val="00001819"/>
    <w:rsid w:val="0000190A"/>
    <w:rsid w:val="00001927"/>
    <w:rsid w:val="00001B06"/>
    <w:rsid w:val="00001D0C"/>
    <w:rsid w:val="0000213C"/>
    <w:rsid w:val="000021B0"/>
    <w:rsid w:val="000022D2"/>
    <w:rsid w:val="0000235E"/>
    <w:rsid w:val="00002698"/>
    <w:rsid w:val="0000270E"/>
    <w:rsid w:val="00002886"/>
    <w:rsid w:val="000029E6"/>
    <w:rsid w:val="00002A3D"/>
    <w:rsid w:val="00002AF8"/>
    <w:rsid w:val="00002CAB"/>
    <w:rsid w:val="00002D31"/>
    <w:rsid w:val="00002F10"/>
    <w:rsid w:val="00002F7D"/>
    <w:rsid w:val="00002F8C"/>
    <w:rsid w:val="0000315C"/>
    <w:rsid w:val="0000346C"/>
    <w:rsid w:val="00003495"/>
    <w:rsid w:val="000034BD"/>
    <w:rsid w:val="00003919"/>
    <w:rsid w:val="000039B8"/>
    <w:rsid w:val="000039D8"/>
    <w:rsid w:val="00003D37"/>
    <w:rsid w:val="00003E46"/>
    <w:rsid w:val="00004211"/>
    <w:rsid w:val="0000454B"/>
    <w:rsid w:val="000045E5"/>
    <w:rsid w:val="00004710"/>
    <w:rsid w:val="0000476C"/>
    <w:rsid w:val="000048FB"/>
    <w:rsid w:val="00004A89"/>
    <w:rsid w:val="00004F22"/>
    <w:rsid w:val="00004FC0"/>
    <w:rsid w:val="00005095"/>
    <w:rsid w:val="000052EF"/>
    <w:rsid w:val="0000558D"/>
    <w:rsid w:val="00005985"/>
    <w:rsid w:val="00005A66"/>
    <w:rsid w:val="00005DFA"/>
    <w:rsid w:val="00005EA1"/>
    <w:rsid w:val="00005FEF"/>
    <w:rsid w:val="000060BF"/>
    <w:rsid w:val="000061AB"/>
    <w:rsid w:val="00006282"/>
    <w:rsid w:val="00006409"/>
    <w:rsid w:val="00006423"/>
    <w:rsid w:val="000064E3"/>
    <w:rsid w:val="0000657A"/>
    <w:rsid w:val="0000682C"/>
    <w:rsid w:val="000069B4"/>
    <w:rsid w:val="00006AA6"/>
    <w:rsid w:val="00006C09"/>
    <w:rsid w:val="0000702A"/>
    <w:rsid w:val="00007280"/>
    <w:rsid w:val="00007392"/>
    <w:rsid w:val="000073B2"/>
    <w:rsid w:val="000075DD"/>
    <w:rsid w:val="00007B2C"/>
    <w:rsid w:val="00007D57"/>
    <w:rsid w:val="000101DC"/>
    <w:rsid w:val="000103AD"/>
    <w:rsid w:val="000103E3"/>
    <w:rsid w:val="0001045C"/>
    <w:rsid w:val="00010A06"/>
    <w:rsid w:val="00010A41"/>
    <w:rsid w:val="00010B76"/>
    <w:rsid w:val="00010CD6"/>
    <w:rsid w:val="0001104E"/>
    <w:rsid w:val="000110BC"/>
    <w:rsid w:val="0001121A"/>
    <w:rsid w:val="000112F7"/>
    <w:rsid w:val="000114E6"/>
    <w:rsid w:val="0001159B"/>
    <w:rsid w:val="000117F5"/>
    <w:rsid w:val="000117F8"/>
    <w:rsid w:val="000119AE"/>
    <w:rsid w:val="00011A43"/>
    <w:rsid w:val="00011A54"/>
    <w:rsid w:val="00011AF7"/>
    <w:rsid w:val="00011BA5"/>
    <w:rsid w:val="00011CFC"/>
    <w:rsid w:val="00011D88"/>
    <w:rsid w:val="00011E57"/>
    <w:rsid w:val="0001203E"/>
    <w:rsid w:val="0001236B"/>
    <w:rsid w:val="00012531"/>
    <w:rsid w:val="00012988"/>
    <w:rsid w:val="00012A31"/>
    <w:rsid w:val="00012A6E"/>
    <w:rsid w:val="00012ABE"/>
    <w:rsid w:val="00012AE2"/>
    <w:rsid w:val="00012B2F"/>
    <w:rsid w:val="00012F9B"/>
    <w:rsid w:val="00013145"/>
    <w:rsid w:val="00013453"/>
    <w:rsid w:val="00013558"/>
    <w:rsid w:val="00013609"/>
    <w:rsid w:val="0001380D"/>
    <w:rsid w:val="00013860"/>
    <w:rsid w:val="0001398C"/>
    <w:rsid w:val="00013990"/>
    <w:rsid w:val="000139B5"/>
    <w:rsid w:val="00013B93"/>
    <w:rsid w:val="00013D4B"/>
    <w:rsid w:val="00013DCB"/>
    <w:rsid w:val="00013DD4"/>
    <w:rsid w:val="00013E2D"/>
    <w:rsid w:val="00014048"/>
    <w:rsid w:val="00014126"/>
    <w:rsid w:val="00014256"/>
    <w:rsid w:val="00014436"/>
    <w:rsid w:val="00014519"/>
    <w:rsid w:val="00014600"/>
    <w:rsid w:val="000147BA"/>
    <w:rsid w:val="000148AE"/>
    <w:rsid w:val="000148EB"/>
    <w:rsid w:val="0001490B"/>
    <w:rsid w:val="00014943"/>
    <w:rsid w:val="00014977"/>
    <w:rsid w:val="000149BF"/>
    <w:rsid w:val="000149E8"/>
    <w:rsid w:val="00014AC2"/>
    <w:rsid w:val="00014AF0"/>
    <w:rsid w:val="00014F99"/>
    <w:rsid w:val="00015377"/>
    <w:rsid w:val="0001556E"/>
    <w:rsid w:val="00015630"/>
    <w:rsid w:val="0001574C"/>
    <w:rsid w:val="000158F6"/>
    <w:rsid w:val="00015AB8"/>
    <w:rsid w:val="00015AEC"/>
    <w:rsid w:val="00015CB9"/>
    <w:rsid w:val="00016086"/>
    <w:rsid w:val="00016217"/>
    <w:rsid w:val="0001624C"/>
    <w:rsid w:val="0001653F"/>
    <w:rsid w:val="000166E7"/>
    <w:rsid w:val="00016701"/>
    <w:rsid w:val="00016760"/>
    <w:rsid w:val="000168EF"/>
    <w:rsid w:val="00016CB5"/>
    <w:rsid w:val="00016D92"/>
    <w:rsid w:val="00016E35"/>
    <w:rsid w:val="00016E5B"/>
    <w:rsid w:val="00016F26"/>
    <w:rsid w:val="000170BF"/>
    <w:rsid w:val="000170C9"/>
    <w:rsid w:val="0001711A"/>
    <w:rsid w:val="000171D7"/>
    <w:rsid w:val="00017284"/>
    <w:rsid w:val="000172F1"/>
    <w:rsid w:val="0001751D"/>
    <w:rsid w:val="000176A5"/>
    <w:rsid w:val="00017B32"/>
    <w:rsid w:val="00017BCE"/>
    <w:rsid w:val="00017C34"/>
    <w:rsid w:val="00017CA0"/>
    <w:rsid w:val="00017F34"/>
    <w:rsid w:val="00017F72"/>
    <w:rsid w:val="0002022E"/>
    <w:rsid w:val="000202AE"/>
    <w:rsid w:val="00020330"/>
    <w:rsid w:val="0002045C"/>
    <w:rsid w:val="00020609"/>
    <w:rsid w:val="000206E2"/>
    <w:rsid w:val="00020711"/>
    <w:rsid w:val="00020853"/>
    <w:rsid w:val="00020893"/>
    <w:rsid w:val="000209FA"/>
    <w:rsid w:val="00020B1C"/>
    <w:rsid w:val="00020BFC"/>
    <w:rsid w:val="00020C02"/>
    <w:rsid w:val="000211EC"/>
    <w:rsid w:val="0002145B"/>
    <w:rsid w:val="000218A4"/>
    <w:rsid w:val="000218D0"/>
    <w:rsid w:val="00021AE0"/>
    <w:rsid w:val="00021B16"/>
    <w:rsid w:val="00021C5F"/>
    <w:rsid w:val="00021DAE"/>
    <w:rsid w:val="00021DD8"/>
    <w:rsid w:val="00021F0D"/>
    <w:rsid w:val="00022047"/>
    <w:rsid w:val="000221C4"/>
    <w:rsid w:val="000221D5"/>
    <w:rsid w:val="0002233D"/>
    <w:rsid w:val="0002235D"/>
    <w:rsid w:val="000223D7"/>
    <w:rsid w:val="0002245E"/>
    <w:rsid w:val="000224AB"/>
    <w:rsid w:val="000224BA"/>
    <w:rsid w:val="00022597"/>
    <w:rsid w:val="000225DB"/>
    <w:rsid w:val="00022B09"/>
    <w:rsid w:val="00022B97"/>
    <w:rsid w:val="00022BFF"/>
    <w:rsid w:val="00022EE3"/>
    <w:rsid w:val="00023236"/>
    <w:rsid w:val="0002339E"/>
    <w:rsid w:val="00023408"/>
    <w:rsid w:val="000234A8"/>
    <w:rsid w:val="000234F6"/>
    <w:rsid w:val="00023500"/>
    <w:rsid w:val="000237CB"/>
    <w:rsid w:val="000239A2"/>
    <w:rsid w:val="00023B55"/>
    <w:rsid w:val="00023BAB"/>
    <w:rsid w:val="00023E9A"/>
    <w:rsid w:val="00024159"/>
    <w:rsid w:val="000243A9"/>
    <w:rsid w:val="000243F9"/>
    <w:rsid w:val="00024435"/>
    <w:rsid w:val="00024594"/>
    <w:rsid w:val="00024743"/>
    <w:rsid w:val="0002491A"/>
    <w:rsid w:val="00024930"/>
    <w:rsid w:val="00024B95"/>
    <w:rsid w:val="00024E53"/>
    <w:rsid w:val="00025015"/>
    <w:rsid w:val="0002502B"/>
    <w:rsid w:val="00025117"/>
    <w:rsid w:val="00025179"/>
    <w:rsid w:val="000251E5"/>
    <w:rsid w:val="000252EE"/>
    <w:rsid w:val="0002534F"/>
    <w:rsid w:val="0002545E"/>
    <w:rsid w:val="00025518"/>
    <w:rsid w:val="000255E7"/>
    <w:rsid w:val="000257BE"/>
    <w:rsid w:val="00025862"/>
    <w:rsid w:val="00025B9A"/>
    <w:rsid w:val="00025DBE"/>
    <w:rsid w:val="00025DC7"/>
    <w:rsid w:val="00025ED5"/>
    <w:rsid w:val="0002631B"/>
    <w:rsid w:val="0002634A"/>
    <w:rsid w:val="00026452"/>
    <w:rsid w:val="0002647A"/>
    <w:rsid w:val="0002649C"/>
    <w:rsid w:val="00026836"/>
    <w:rsid w:val="00026843"/>
    <w:rsid w:val="00026AEE"/>
    <w:rsid w:val="00026B81"/>
    <w:rsid w:val="00026BFD"/>
    <w:rsid w:val="00026D78"/>
    <w:rsid w:val="00026E97"/>
    <w:rsid w:val="000270A1"/>
    <w:rsid w:val="00027135"/>
    <w:rsid w:val="00027167"/>
    <w:rsid w:val="000271D7"/>
    <w:rsid w:val="000273CB"/>
    <w:rsid w:val="000275BC"/>
    <w:rsid w:val="000276FE"/>
    <w:rsid w:val="000277D8"/>
    <w:rsid w:val="00027E78"/>
    <w:rsid w:val="00027FC9"/>
    <w:rsid w:val="00030112"/>
    <w:rsid w:val="0003029B"/>
    <w:rsid w:val="000302C5"/>
    <w:rsid w:val="000303BD"/>
    <w:rsid w:val="000305EB"/>
    <w:rsid w:val="000306B1"/>
    <w:rsid w:val="000307B0"/>
    <w:rsid w:val="00030835"/>
    <w:rsid w:val="00030927"/>
    <w:rsid w:val="0003095D"/>
    <w:rsid w:val="00030AB4"/>
    <w:rsid w:val="00030AD9"/>
    <w:rsid w:val="00030B73"/>
    <w:rsid w:val="00030B90"/>
    <w:rsid w:val="00030CF9"/>
    <w:rsid w:val="00030FB3"/>
    <w:rsid w:val="000310E6"/>
    <w:rsid w:val="0003137D"/>
    <w:rsid w:val="00031413"/>
    <w:rsid w:val="00031452"/>
    <w:rsid w:val="00031468"/>
    <w:rsid w:val="00031519"/>
    <w:rsid w:val="00031536"/>
    <w:rsid w:val="0003155E"/>
    <w:rsid w:val="00031728"/>
    <w:rsid w:val="00031976"/>
    <w:rsid w:val="00031977"/>
    <w:rsid w:val="00031981"/>
    <w:rsid w:val="00031CE9"/>
    <w:rsid w:val="00031F17"/>
    <w:rsid w:val="00031F1C"/>
    <w:rsid w:val="00031F4A"/>
    <w:rsid w:val="00032065"/>
    <w:rsid w:val="00032245"/>
    <w:rsid w:val="0003226C"/>
    <w:rsid w:val="00032777"/>
    <w:rsid w:val="0003277E"/>
    <w:rsid w:val="00032991"/>
    <w:rsid w:val="0003299A"/>
    <w:rsid w:val="000329AA"/>
    <w:rsid w:val="00032E19"/>
    <w:rsid w:val="00032E43"/>
    <w:rsid w:val="00032E5D"/>
    <w:rsid w:val="00032EF2"/>
    <w:rsid w:val="0003308D"/>
    <w:rsid w:val="00033132"/>
    <w:rsid w:val="0003325C"/>
    <w:rsid w:val="00033363"/>
    <w:rsid w:val="0003338A"/>
    <w:rsid w:val="00033531"/>
    <w:rsid w:val="000338AB"/>
    <w:rsid w:val="00033AD3"/>
    <w:rsid w:val="00033C0D"/>
    <w:rsid w:val="00033C16"/>
    <w:rsid w:val="00033C3D"/>
    <w:rsid w:val="00033DEA"/>
    <w:rsid w:val="00033E64"/>
    <w:rsid w:val="0003407B"/>
    <w:rsid w:val="0003413B"/>
    <w:rsid w:val="00034470"/>
    <w:rsid w:val="00034837"/>
    <w:rsid w:val="00034A1E"/>
    <w:rsid w:val="00034ABA"/>
    <w:rsid w:val="00034AC3"/>
    <w:rsid w:val="00034B9B"/>
    <w:rsid w:val="00034CBC"/>
    <w:rsid w:val="00034E8C"/>
    <w:rsid w:val="00034EA1"/>
    <w:rsid w:val="000350C6"/>
    <w:rsid w:val="0003534E"/>
    <w:rsid w:val="0003562E"/>
    <w:rsid w:val="0003579C"/>
    <w:rsid w:val="0003588A"/>
    <w:rsid w:val="0003597E"/>
    <w:rsid w:val="00035A2C"/>
    <w:rsid w:val="00035AC6"/>
    <w:rsid w:val="00035BDD"/>
    <w:rsid w:val="0003624F"/>
    <w:rsid w:val="0003627A"/>
    <w:rsid w:val="000363CF"/>
    <w:rsid w:val="0003642C"/>
    <w:rsid w:val="0003659E"/>
    <w:rsid w:val="000366EF"/>
    <w:rsid w:val="00036750"/>
    <w:rsid w:val="0003683F"/>
    <w:rsid w:val="0003695F"/>
    <w:rsid w:val="00036A3B"/>
    <w:rsid w:val="00036CBA"/>
    <w:rsid w:val="00036E87"/>
    <w:rsid w:val="00036F80"/>
    <w:rsid w:val="000371BA"/>
    <w:rsid w:val="00037213"/>
    <w:rsid w:val="000372C5"/>
    <w:rsid w:val="00037509"/>
    <w:rsid w:val="000375BD"/>
    <w:rsid w:val="00037651"/>
    <w:rsid w:val="00037671"/>
    <w:rsid w:val="00037719"/>
    <w:rsid w:val="00037860"/>
    <w:rsid w:val="00037A38"/>
    <w:rsid w:val="00037F5C"/>
    <w:rsid w:val="000403A9"/>
    <w:rsid w:val="000405FC"/>
    <w:rsid w:val="00040BB3"/>
    <w:rsid w:val="00040CBA"/>
    <w:rsid w:val="00040F0F"/>
    <w:rsid w:val="0004106C"/>
    <w:rsid w:val="000410B3"/>
    <w:rsid w:val="0004169A"/>
    <w:rsid w:val="00041788"/>
    <w:rsid w:val="000418E4"/>
    <w:rsid w:val="00041929"/>
    <w:rsid w:val="0004199D"/>
    <w:rsid w:val="00041A00"/>
    <w:rsid w:val="00041C48"/>
    <w:rsid w:val="00041D8D"/>
    <w:rsid w:val="00042123"/>
    <w:rsid w:val="000421F4"/>
    <w:rsid w:val="0004228C"/>
    <w:rsid w:val="00042543"/>
    <w:rsid w:val="0004254C"/>
    <w:rsid w:val="000426C8"/>
    <w:rsid w:val="0004277E"/>
    <w:rsid w:val="00042995"/>
    <w:rsid w:val="000429B7"/>
    <w:rsid w:val="00042A3E"/>
    <w:rsid w:val="00042A67"/>
    <w:rsid w:val="00042ADB"/>
    <w:rsid w:val="00042B21"/>
    <w:rsid w:val="00042B4D"/>
    <w:rsid w:val="00042D0D"/>
    <w:rsid w:val="00042D2D"/>
    <w:rsid w:val="00042E09"/>
    <w:rsid w:val="00042F40"/>
    <w:rsid w:val="00043045"/>
    <w:rsid w:val="000430F7"/>
    <w:rsid w:val="0004322A"/>
    <w:rsid w:val="00043261"/>
    <w:rsid w:val="00043414"/>
    <w:rsid w:val="000435A0"/>
    <w:rsid w:val="00043683"/>
    <w:rsid w:val="00043700"/>
    <w:rsid w:val="000437D9"/>
    <w:rsid w:val="000437F2"/>
    <w:rsid w:val="0004380C"/>
    <w:rsid w:val="00043847"/>
    <w:rsid w:val="00043995"/>
    <w:rsid w:val="00043AE5"/>
    <w:rsid w:val="00043B07"/>
    <w:rsid w:val="00043BEA"/>
    <w:rsid w:val="00043FFC"/>
    <w:rsid w:val="00044127"/>
    <w:rsid w:val="00044332"/>
    <w:rsid w:val="00044715"/>
    <w:rsid w:val="000447C0"/>
    <w:rsid w:val="00044941"/>
    <w:rsid w:val="00044990"/>
    <w:rsid w:val="000449AA"/>
    <w:rsid w:val="000449D7"/>
    <w:rsid w:val="00044A71"/>
    <w:rsid w:val="00044B64"/>
    <w:rsid w:val="00044D43"/>
    <w:rsid w:val="00044D8C"/>
    <w:rsid w:val="00044E5B"/>
    <w:rsid w:val="0004514D"/>
    <w:rsid w:val="0004529A"/>
    <w:rsid w:val="000453E6"/>
    <w:rsid w:val="000457C4"/>
    <w:rsid w:val="00045A6F"/>
    <w:rsid w:val="00045AA6"/>
    <w:rsid w:val="00045C57"/>
    <w:rsid w:val="00045DEB"/>
    <w:rsid w:val="00045DEE"/>
    <w:rsid w:val="00045DFD"/>
    <w:rsid w:val="00045E83"/>
    <w:rsid w:val="00045E8E"/>
    <w:rsid w:val="00046020"/>
    <w:rsid w:val="00046109"/>
    <w:rsid w:val="00046144"/>
    <w:rsid w:val="00046164"/>
    <w:rsid w:val="00046342"/>
    <w:rsid w:val="000467A8"/>
    <w:rsid w:val="000467A9"/>
    <w:rsid w:val="000467AF"/>
    <w:rsid w:val="000467FE"/>
    <w:rsid w:val="00046932"/>
    <w:rsid w:val="00046B17"/>
    <w:rsid w:val="00046B9B"/>
    <w:rsid w:val="00046C3E"/>
    <w:rsid w:val="00046D91"/>
    <w:rsid w:val="00046E66"/>
    <w:rsid w:val="0004717F"/>
    <w:rsid w:val="000472B2"/>
    <w:rsid w:val="000475BB"/>
    <w:rsid w:val="000479E8"/>
    <w:rsid w:val="00047A06"/>
    <w:rsid w:val="00047A0D"/>
    <w:rsid w:val="00047A6E"/>
    <w:rsid w:val="00047AE7"/>
    <w:rsid w:val="00047DAF"/>
    <w:rsid w:val="000501AD"/>
    <w:rsid w:val="0005032E"/>
    <w:rsid w:val="00050441"/>
    <w:rsid w:val="000504B9"/>
    <w:rsid w:val="00050733"/>
    <w:rsid w:val="000507CC"/>
    <w:rsid w:val="00050B06"/>
    <w:rsid w:val="00050D25"/>
    <w:rsid w:val="00050E00"/>
    <w:rsid w:val="00050E78"/>
    <w:rsid w:val="00051057"/>
    <w:rsid w:val="00051245"/>
    <w:rsid w:val="00051271"/>
    <w:rsid w:val="00051300"/>
    <w:rsid w:val="000513A5"/>
    <w:rsid w:val="000513E2"/>
    <w:rsid w:val="0005166B"/>
    <w:rsid w:val="000517A1"/>
    <w:rsid w:val="00051C99"/>
    <w:rsid w:val="00051D70"/>
    <w:rsid w:val="00051D90"/>
    <w:rsid w:val="00051EA1"/>
    <w:rsid w:val="00051EAE"/>
    <w:rsid w:val="00051ED0"/>
    <w:rsid w:val="0005210B"/>
    <w:rsid w:val="000521CE"/>
    <w:rsid w:val="000525AD"/>
    <w:rsid w:val="0005286B"/>
    <w:rsid w:val="000528EA"/>
    <w:rsid w:val="0005294F"/>
    <w:rsid w:val="00052A49"/>
    <w:rsid w:val="00052ADB"/>
    <w:rsid w:val="00052B56"/>
    <w:rsid w:val="00052B65"/>
    <w:rsid w:val="00052C41"/>
    <w:rsid w:val="00052CB7"/>
    <w:rsid w:val="00052D58"/>
    <w:rsid w:val="000533BB"/>
    <w:rsid w:val="00053A3E"/>
    <w:rsid w:val="00053C5A"/>
    <w:rsid w:val="00053C75"/>
    <w:rsid w:val="00053D5C"/>
    <w:rsid w:val="00053D63"/>
    <w:rsid w:val="00053DE6"/>
    <w:rsid w:val="00053E53"/>
    <w:rsid w:val="00054160"/>
    <w:rsid w:val="0005422A"/>
    <w:rsid w:val="00054359"/>
    <w:rsid w:val="000543CA"/>
    <w:rsid w:val="0005474B"/>
    <w:rsid w:val="0005474E"/>
    <w:rsid w:val="000547C3"/>
    <w:rsid w:val="00054D03"/>
    <w:rsid w:val="00055033"/>
    <w:rsid w:val="00055098"/>
    <w:rsid w:val="000550BB"/>
    <w:rsid w:val="0005527D"/>
    <w:rsid w:val="00055354"/>
    <w:rsid w:val="00055405"/>
    <w:rsid w:val="0005556D"/>
    <w:rsid w:val="0005564F"/>
    <w:rsid w:val="00055A20"/>
    <w:rsid w:val="00055BCA"/>
    <w:rsid w:val="00056115"/>
    <w:rsid w:val="00056122"/>
    <w:rsid w:val="00056320"/>
    <w:rsid w:val="000563C3"/>
    <w:rsid w:val="000564BC"/>
    <w:rsid w:val="0005672D"/>
    <w:rsid w:val="000571B7"/>
    <w:rsid w:val="000571D7"/>
    <w:rsid w:val="00057727"/>
    <w:rsid w:val="000577AF"/>
    <w:rsid w:val="000577B3"/>
    <w:rsid w:val="000578D1"/>
    <w:rsid w:val="00057B13"/>
    <w:rsid w:val="00057B68"/>
    <w:rsid w:val="00057C39"/>
    <w:rsid w:val="00057EB2"/>
    <w:rsid w:val="00060061"/>
    <w:rsid w:val="00060200"/>
    <w:rsid w:val="00060231"/>
    <w:rsid w:val="0006025F"/>
    <w:rsid w:val="0006031A"/>
    <w:rsid w:val="00060369"/>
    <w:rsid w:val="00060421"/>
    <w:rsid w:val="00060509"/>
    <w:rsid w:val="0006058B"/>
    <w:rsid w:val="000605F8"/>
    <w:rsid w:val="00060828"/>
    <w:rsid w:val="0006082F"/>
    <w:rsid w:val="00060A0F"/>
    <w:rsid w:val="00060B2F"/>
    <w:rsid w:val="00060B34"/>
    <w:rsid w:val="00060CAB"/>
    <w:rsid w:val="00060CF7"/>
    <w:rsid w:val="000611E3"/>
    <w:rsid w:val="0006153C"/>
    <w:rsid w:val="00061834"/>
    <w:rsid w:val="000619D1"/>
    <w:rsid w:val="00061A7E"/>
    <w:rsid w:val="00061F7A"/>
    <w:rsid w:val="000621EC"/>
    <w:rsid w:val="00062215"/>
    <w:rsid w:val="0006231A"/>
    <w:rsid w:val="00062389"/>
    <w:rsid w:val="000624EB"/>
    <w:rsid w:val="00062538"/>
    <w:rsid w:val="00062616"/>
    <w:rsid w:val="00062644"/>
    <w:rsid w:val="00062A8B"/>
    <w:rsid w:val="0006329D"/>
    <w:rsid w:val="000633C9"/>
    <w:rsid w:val="000636B8"/>
    <w:rsid w:val="00063757"/>
    <w:rsid w:val="000638E4"/>
    <w:rsid w:val="00063BA0"/>
    <w:rsid w:val="00063D8F"/>
    <w:rsid w:val="00063FB5"/>
    <w:rsid w:val="00064268"/>
    <w:rsid w:val="000642FC"/>
    <w:rsid w:val="00064462"/>
    <w:rsid w:val="000644A3"/>
    <w:rsid w:val="0006450D"/>
    <w:rsid w:val="0006458D"/>
    <w:rsid w:val="0006499E"/>
    <w:rsid w:val="00064A72"/>
    <w:rsid w:val="00064BD5"/>
    <w:rsid w:val="00064E2E"/>
    <w:rsid w:val="00064F27"/>
    <w:rsid w:val="0006513A"/>
    <w:rsid w:val="000652D0"/>
    <w:rsid w:val="0006539B"/>
    <w:rsid w:val="000653F3"/>
    <w:rsid w:val="000654F4"/>
    <w:rsid w:val="000654FF"/>
    <w:rsid w:val="00065508"/>
    <w:rsid w:val="00065601"/>
    <w:rsid w:val="00065709"/>
    <w:rsid w:val="00065717"/>
    <w:rsid w:val="000658D9"/>
    <w:rsid w:val="00065C12"/>
    <w:rsid w:val="00065DC6"/>
    <w:rsid w:val="0006605E"/>
    <w:rsid w:val="0006619A"/>
    <w:rsid w:val="00066238"/>
    <w:rsid w:val="000664E7"/>
    <w:rsid w:val="0006650F"/>
    <w:rsid w:val="00066621"/>
    <w:rsid w:val="00066639"/>
    <w:rsid w:val="0006684D"/>
    <w:rsid w:val="00066964"/>
    <w:rsid w:val="00066998"/>
    <w:rsid w:val="00066A53"/>
    <w:rsid w:val="00066CA8"/>
    <w:rsid w:val="00066E7C"/>
    <w:rsid w:val="00066F9A"/>
    <w:rsid w:val="00067041"/>
    <w:rsid w:val="0006712A"/>
    <w:rsid w:val="00067163"/>
    <w:rsid w:val="00067208"/>
    <w:rsid w:val="00067326"/>
    <w:rsid w:val="000674D7"/>
    <w:rsid w:val="00067507"/>
    <w:rsid w:val="0006777C"/>
    <w:rsid w:val="00067824"/>
    <w:rsid w:val="000679AC"/>
    <w:rsid w:val="000679D0"/>
    <w:rsid w:val="00067A0B"/>
    <w:rsid w:val="00067D9A"/>
    <w:rsid w:val="00067FCF"/>
    <w:rsid w:val="0007001C"/>
    <w:rsid w:val="0007003D"/>
    <w:rsid w:val="000700E7"/>
    <w:rsid w:val="000701BB"/>
    <w:rsid w:val="00070218"/>
    <w:rsid w:val="00070384"/>
    <w:rsid w:val="00070473"/>
    <w:rsid w:val="0007051D"/>
    <w:rsid w:val="00070553"/>
    <w:rsid w:val="000706C8"/>
    <w:rsid w:val="000707CA"/>
    <w:rsid w:val="00070891"/>
    <w:rsid w:val="00070CE6"/>
    <w:rsid w:val="00070D9D"/>
    <w:rsid w:val="00070DED"/>
    <w:rsid w:val="00070FA3"/>
    <w:rsid w:val="0007115D"/>
    <w:rsid w:val="000711E8"/>
    <w:rsid w:val="0007130D"/>
    <w:rsid w:val="0007135A"/>
    <w:rsid w:val="000713A3"/>
    <w:rsid w:val="00071513"/>
    <w:rsid w:val="00071732"/>
    <w:rsid w:val="000718A1"/>
    <w:rsid w:val="000719A7"/>
    <w:rsid w:val="00071E20"/>
    <w:rsid w:val="00072021"/>
    <w:rsid w:val="000720B4"/>
    <w:rsid w:val="000720D9"/>
    <w:rsid w:val="00072229"/>
    <w:rsid w:val="00072257"/>
    <w:rsid w:val="000723A0"/>
    <w:rsid w:val="000726E4"/>
    <w:rsid w:val="000727DB"/>
    <w:rsid w:val="000728CB"/>
    <w:rsid w:val="00072BE6"/>
    <w:rsid w:val="00072D0E"/>
    <w:rsid w:val="00072DB0"/>
    <w:rsid w:val="00073080"/>
    <w:rsid w:val="000730D4"/>
    <w:rsid w:val="0007331A"/>
    <w:rsid w:val="00073487"/>
    <w:rsid w:val="0007348C"/>
    <w:rsid w:val="000735F9"/>
    <w:rsid w:val="00073679"/>
    <w:rsid w:val="000736EF"/>
    <w:rsid w:val="0007382A"/>
    <w:rsid w:val="0007382B"/>
    <w:rsid w:val="00073858"/>
    <w:rsid w:val="0007392B"/>
    <w:rsid w:val="000739CA"/>
    <w:rsid w:val="00073A0E"/>
    <w:rsid w:val="00073B34"/>
    <w:rsid w:val="00073E6F"/>
    <w:rsid w:val="00073E87"/>
    <w:rsid w:val="00073ECA"/>
    <w:rsid w:val="00074020"/>
    <w:rsid w:val="00074067"/>
    <w:rsid w:val="0007437A"/>
    <w:rsid w:val="00074734"/>
    <w:rsid w:val="0007493D"/>
    <w:rsid w:val="00074A81"/>
    <w:rsid w:val="00074DEB"/>
    <w:rsid w:val="00074FF0"/>
    <w:rsid w:val="0007506F"/>
    <w:rsid w:val="00075083"/>
    <w:rsid w:val="000751A9"/>
    <w:rsid w:val="0007524E"/>
    <w:rsid w:val="000755C6"/>
    <w:rsid w:val="0007562C"/>
    <w:rsid w:val="00075786"/>
    <w:rsid w:val="00075830"/>
    <w:rsid w:val="00075870"/>
    <w:rsid w:val="000758DC"/>
    <w:rsid w:val="00075A1A"/>
    <w:rsid w:val="00075A3B"/>
    <w:rsid w:val="00075A5C"/>
    <w:rsid w:val="00075C5F"/>
    <w:rsid w:val="00076068"/>
    <w:rsid w:val="00076127"/>
    <w:rsid w:val="00076143"/>
    <w:rsid w:val="00076150"/>
    <w:rsid w:val="0007626B"/>
    <w:rsid w:val="000764B1"/>
    <w:rsid w:val="00076506"/>
    <w:rsid w:val="0007659D"/>
    <w:rsid w:val="000765C7"/>
    <w:rsid w:val="000767DD"/>
    <w:rsid w:val="0007688B"/>
    <w:rsid w:val="000768A4"/>
    <w:rsid w:val="00076B02"/>
    <w:rsid w:val="00076B70"/>
    <w:rsid w:val="00076BD5"/>
    <w:rsid w:val="00076DC3"/>
    <w:rsid w:val="00076E01"/>
    <w:rsid w:val="00076E15"/>
    <w:rsid w:val="00076E2E"/>
    <w:rsid w:val="00076E9C"/>
    <w:rsid w:val="000771CB"/>
    <w:rsid w:val="0007734B"/>
    <w:rsid w:val="000773AD"/>
    <w:rsid w:val="0007750E"/>
    <w:rsid w:val="00077516"/>
    <w:rsid w:val="0007756C"/>
    <w:rsid w:val="000775A9"/>
    <w:rsid w:val="00077909"/>
    <w:rsid w:val="0007791D"/>
    <w:rsid w:val="00077934"/>
    <w:rsid w:val="0007795B"/>
    <w:rsid w:val="00077A80"/>
    <w:rsid w:val="00077B15"/>
    <w:rsid w:val="00077C5C"/>
    <w:rsid w:val="0008014A"/>
    <w:rsid w:val="000801FA"/>
    <w:rsid w:val="00080252"/>
    <w:rsid w:val="00080470"/>
    <w:rsid w:val="000804E6"/>
    <w:rsid w:val="0008054C"/>
    <w:rsid w:val="0008054F"/>
    <w:rsid w:val="00080881"/>
    <w:rsid w:val="0008091E"/>
    <w:rsid w:val="00080A59"/>
    <w:rsid w:val="00080BD2"/>
    <w:rsid w:val="00080D30"/>
    <w:rsid w:val="00080E84"/>
    <w:rsid w:val="00080E8D"/>
    <w:rsid w:val="00080EFC"/>
    <w:rsid w:val="00080F1A"/>
    <w:rsid w:val="00080F7C"/>
    <w:rsid w:val="000811EF"/>
    <w:rsid w:val="000812F0"/>
    <w:rsid w:val="0008134D"/>
    <w:rsid w:val="000813B6"/>
    <w:rsid w:val="00081438"/>
    <w:rsid w:val="0008154C"/>
    <w:rsid w:val="000816D1"/>
    <w:rsid w:val="000818AD"/>
    <w:rsid w:val="00081907"/>
    <w:rsid w:val="0008199D"/>
    <w:rsid w:val="00081B42"/>
    <w:rsid w:val="00081CD4"/>
    <w:rsid w:val="00081E21"/>
    <w:rsid w:val="00082022"/>
    <w:rsid w:val="0008268A"/>
    <w:rsid w:val="000827AC"/>
    <w:rsid w:val="00082851"/>
    <w:rsid w:val="00082928"/>
    <w:rsid w:val="00082990"/>
    <w:rsid w:val="000829BC"/>
    <w:rsid w:val="00082C7B"/>
    <w:rsid w:val="00083134"/>
    <w:rsid w:val="0008319F"/>
    <w:rsid w:val="0008326C"/>
    <w:rsid w:val="00083625"/>
    <w:rsid w:val="00083626"/>
    <w:rsid w:val="0008366B"/>
    <w:rsid w:val="000838D6"/>
    <w:rsid w:val="000839B6"/>
    <w:rsid w:val="00083A47"/>
    <w:rsid w:val="00083ACE"/>
    <w:rsid w:val="00083B83"/>
    <w:rsid w:val="00083D24"/>
    <w:rsid w:val="00083DED"/>
    <w:rsid w:val="00083E8A"/>
    <w:rsid w:val="00083EDE"/>
    <w:rsid w:val="00084120"/>
    <w:rsid w:val="00084248"/>
    <w:rsid w:val="0008424E"/>
    <w:rsid w:val="00084529"/>
    <w:rsid w:val="0008465E"/>
    <w:rsid w:val="00084A95"/>
    <w:rsid w:val="00084BB8"/>
    <w:rsid w:val="00084BD7"/>
    <w:rsid w:val="00085110"/>
    <w:rsid w:val="0008526B"/>
    <w:rsid w:val="0008584B"/>
    <w:rsid w:val="0008591E"/>
    <w:rsid w:val="00085994"/>
    <w:rsid w:val="000859AF"/>
    <w:rsid w:val="000859B9"/>
    <w:rsid w:val="000859DC"/>
    <w:rsid w:val="00085CC1"/>
    <w:rsid w:val="00085DC7"/>
    <w:rsid w:val="00085DE1"/>
    <w:rsid w:val="000864D8"/>
    <w:rsid w:val="0008683B"/>
    <w:rsid w:val="00086891"/>
    <w:rsid w:val="00086B5E"/>
    <w:rsid w:val="00086BB1"/>
    <w:rsid w:val="00086ECC"/>
    <w:rsid w:val="00086EF6"/>
    <w:rsid w:val="00086FB9"/>
    <w:rsid w:val="000871E3"/>
    <w:rsid w:val="000873CD"/>
    <w:rsid w:val="0008753F"/>
    <w:rsid w:val="00087547"/>
    <w:rsid w:val="0008762B"/>
    <w:rsid w:val="00087679"/>
    <w:rsid w:val="00087770"/>
    <w:rsid w:val="00087997"/>
    <w:rsid w:val="00087B24"/>
    <w:rsid w:val="00087B2B"/>
    <w:rsid w:val="00087C78"/>
    <w:rsid w:val="00087EA4"/>
    <w:rsid w:val="00087EAF"/>
    <w:rsid w:val="00087EE6"/>
    <w:rsid w:val="00090067"/>
    <w:rsid w:val="00090071"/>
    <w:rsid w:val="00090086"/>
    <w:rsid w:val="00090159"/>
    <w:rsid w:val="00090522"/>
    <w:rsid w:val="000905D3"/>
    <w:rsid w:val="000905FD"/>
    <w:rsid w:val="0009071D"/>
    <w:rsid w:val="000907E1"/>
    <w:rsid w:val="0009093B"/>
    <w:rsid w:val="0009099C"/>
    <w:rsid w:val="000909A4"/>
    <w:rsid w:val="00090DC6"/>
    <w:rsid w:val="00090E01"/>
    <w:rsid w:val="00090E9A"/>
    <w:rsid w:val="00090F0C"/>
    <w:rsid w:val="000913AC"/>
    <w:rsid w:val="000913FB"/>
    <w:rsid w:val="00091643"/>
    <w:rsid w:val="000919BE"/>
    <w:rsid w:val="00091A2A"/>
    <w:rsid w:val="00091A89"/>
    <w:rsid w:val="00092003"/>
    <w:rsid w:val="00092125"/>
    <w:rsid w:val="00092730"/>
    <w:rsid w:val="00092740"/>
    <w:rsid w:val="000929A6"/>
    <w:rsid w:val="000929F7"/>
    <w:rsid w:val="00092C44"/>
    <w:rsid w:val="00092FF8"/>
    <w:rsid w:val="0009307D"/>
    <w:rsid w:val="00093208"/>
    <w:rsid w:val="000934F8"/>
    <w:rsid w:val="0009377F"/>
    <w:rsid w:val="00093800"/>
    <w:rsid w:val="0009382E"/>
    <w:rsid w:val="000938F3"/>
    <w:rsid w:val="000939B1"/>
    <w:rsid w:val="00093AB0"/>
    <w:rsid w:val="00093E3E"/>
    <w:rsid w:val="00093F32"/>
    <w:rsid w:val="00093F5D"/>
    <w:rsid w:val="00093FFB"/>
    <w:rsid w:val="000940C1"/>
    <w:rsid w:val="00094218"/>
    <w:rsid w:val="000944EE"/>
    <w:rsid w:val="00094509"/>
    <w:rsid w:val="0009461A"/>
    <w:rsid w:val="0009463F"/>
    <w:rsid w:val="00094771"/>
    <w:rsid w:val="000947DB"/>
    <w:rsid w:val="0009494B"/>
    <w:rsid w:val="00094B2F"/>
    <w:rsid w:val="00094B8F"/>
    <w:rsid w:val="00094BF1"/>
    <w:rsid w:val="00094CD0"/>
    <w:rsid w:val="00094E48"/>
    <w:rsid w:val="00094F75"/>
    <w:rsid w:val="00095412"/>
    <w:rsid w:val="00095750"/>
    <w:rsid w:val="00095755"/>
    <w:rsid w:val="00095922"/>
    <w:rsid w:val="00095934"/>
    <w:rsid w:val="00095A11"/>
    <w:rsid w:val="00095A9C"/>
    <w:rsid w:val="00095AD6"/>
    <w:rsid w:val="00095B12"/>
    <w:rsid w:val="00095CF9"/>
    <w:rsid w:val="00095D2C"/>
    <w:rsid w:val="00095E41"/>
    <w:rsid w:val="00095EBC"/>
    <w:rsid w:val="00095FE4"/>
    <w:rsid w:val="0009600C"/>
    <w:rsid w:val="00096017"/>
    <w:rsid w:val="000960D4"/>
    <w:rsid w:val="000961B7"/>
    <w:rsid w:val="000964E3"/>
    <w:rsid w:val="00096682"/>
    <w:rsid w:val="000966D0"/>
    <w:rsid w:val="000967A4"/>
    <w:rsid w:val="000968AF"/>
    <w:rsid w:val="000969B2"/>
    <w:rsid w:val="00096B3A"/>
    <w:rsid w:val="00096DAA"/>
    <w:rsid w:val="00096E43"/>
    <w:rsid w:val="00097148"/>
    <w:rsid w:val="0009718D"/>
    <w:rsid w:val="0009730D"/>
    <w:rsid w:val="00097406"/>
    <w:rsid w:val="00097572"/>
    <w:rsid w:val="000975FE"/>
    <w:rsid w:val="000976EC"/>
    <w:rsid w:val="0009779A"/>
    <w:rsid w:val="000977B4"/>
    <w:rsid w:val="000977FA"/>
    <w:rsid w:val="00097850"/>
    <w:rsid w:val="000978A6"/>
    <w:rsid w:val="00097976"/>
    <w:rsid w:val="0009799B"/>
    <w:rsid w:val="00097C07"/>
    <w:rsid w:val="00097DD6"/>
    <w:rsid w:val="00097E4B"/>
    <w:rsid w:val="00097F64"/>
    <w:rsid w:val="000A012A"/>
    <w:rsid w:val="000A0322"/>
    <w:rsid w:val="000A04B6"/>
    <w:rsid w:val="000A066D"/>
    <w:rsid w:val="000A06CB"/>
    <w:rsid w:val="000A0A0F"/>
    <w:rsid w:val="000A0BB9"/>
    <w:rsid w:val="000A0FEF"/>
    <w:rsid w:val="000A1048"/>
    <w:rsid w:val="000A10BC"/>
    <w:rsid w:val="000A10CB"/>
    <w:rsid w:val="000A1109"/>
    <w:rsid w:val="000A12AB"/>
    <w:rsid w:val="000A138B"/>
    <w:rsid w:val="000A1432"/>
    <w:rsid w:val="000A14E7"/>
    <w:rsid w:val="000A1817"/>
    <w:rsid w:val="000A1818"/>
    <w:rsid w:val="000A182E"/>
    <w:rsid w:val="000A1830"/>
    <w:rsid w:val="000A183F"/>
    <w:rsid w:val="000A1A49"/>
    <w:rsid w:val="000A1B1F"/>
    <w:rsid w:val="000A1C81"/>
    <w:rsid w:val="000A21CA"/>
    <w:rsid w:val="000A229F"/>
    <w:rsid w:val="000A23E6"/>
    <w:rsid w:val="000A24AB"/>
    <w:rsid w:val="000A28EF"/>
    <w:rsid w:val="000A29C9"/>
    <w:rsid w:val="000A2FE7"/>
    <w:rsid w:val="000A30F7"/>
    <w:rsid w:val="000A31E9"/>
    <w:rsid w:val="000A31F6"/>
    <w:rsid w:val="000A32E4"/>
    <w:rsid w:val="000A3315"/>
    <w:rsid w:val="000A34C3"/>
    <w:rsid w:val="000A36F9"/>
    <w:rsid w:val="000A37B2"/>
    <w:rsid w:val="000A3A4F"/>
    <w:rsid w:val="000A3A7C"/>
    <w:rsid w:val="000A3A88"/>
    <w:rsid w:val="000A3C2C"/>
    <w:rsid w:val="000A3FE7"/>
    <w:rsid w:val="000A4353"/>
    <w:rsid w:val="000A451D"/>
    <w:rsid w:val="000A45F0"/>
    <w:rsid w:val="000A473C"/>
    <w:rsid w:val="000A4992"/>
    <w:rsid w:val="000A50C9"/>
    <w:rsid w:val="000A526A"/>
    <w:rsid w:val="000A52E6"/>
    <w:rsid w:val="000A554F"/>
    <w:rsid w:val="000A55B9"/>
    <w:rsid w:val="000A563D"/>
    <w:rsid w:val="000A5768"/>
    <w:rsid w:val="000A57DE"/>
    <w:rsid w:val="000A5B4C"/>
    <w:rsid w:val="000A5C68"/>
    <w:rsid w:val="000A5C6A"/>
    <w:rsid w:val="000A5CD8"/>
    <w:rsid w:val="000A5D8D"/>
    <w:rsid w:val="000A5F8F"/>
    <w:rsid w:val="000A60DE"/>
    <w:rsid w:val="000A6167"/>
    <w:rsid w:val="000A627C"/>
    <w:rsid w:val="000A63FE"/>
    <w:rsid w:val="000A641B"/>
    <w:rsid w:val="000A6427"/>
    <w:rsid w:val="000A654E"/>
    <w:rsid w:val="000A65AB"/>
    <w:rsid w:val="000A6A4A"/>
    <w:rsid w:val="000A6A5D"/>
    <w:rsid w:val="000A6B7B"/>
    <w:rsid w:val="000A6C63"/>
    <w:rsid w:val="000A6D1E"/>
    <w:rsid w:val="000A6DAA"/>
    <w:rsid w:val="000A6E35"/>
    <w:rsid w:val="000A6E7E"/>
    <w:rsid w:val="000A6EEB"/>
    <w:rsid w:val="000A6FB8"/>
    <w:rsid w:val="000A7022"/>
    <w:rsid w:val="000A7066"/>
    <w:rsid w:val="000A7101"/>
    <w:rsid w:val="000A71DC"/>
    <w:rsid w:val="000A721F"/>
    <w:rsid w:val="000A72E3"/>
    <w:rsid w:val="000A7321"/>
    <w:rsid w:val="000A73FD"/>
    <w:rsid w:val="000A750B"/>
    <w:rsid w:val="000A7896"/>
    <w:rsid w:val="000A79A4"/>
    <w:rsid w:val="000A7B26"/>
    <w:rsid w:val="000A7B6A"/>
    <w:rsid w:val="000A7BD2"/>
    <w:rsid w:val="000A7C31"/>
    <w:rsid w:val="000A7CB2"/>
    <w:rsid w:val="000A7F65"/>
    <w:rsid w:val="000A7FE4"/>
    <w:rsid w:val="000B02BB"/>
    <w:rsid w:val="000B0409"/>
    <w:rsid w:val="000B043F"/>
    <w:rsid w:val="000B0478"/>
    <w:rsid w:val="000B04DF"/>
    <w:rsid w:val="000B05D6"/>
    <w:rsid w:val="000B05F5"/>
    <w:rsid w:val="000B0A54"/>
    <w:rsid w:val="000B0D3A"/>
    <w:rsid w:val="000B0EDE"/>
    <w:rsid w:val="000B0F36"/>
    <w:rsid w:val="000B0F75"/>
    <w:rsid w:val="000B114C"/>
    <w:rsid w:val="000B1304"/>
    <w:rsid w:val="000B1563"/>
    <w:rsid w:val="000B1666"/>
    <w:rsid w:val="000B16C0"/>
    <w:rsid w:val="000B1A1D"/>
    <w:rsid w:val="000B1DF0"/>
    <w:rsid w:val="000B1E93"/>
    <w:rsid w:val="000B1EB3"/>
    <w:rsid w:val="000B1ED7"/>
    <w:rsid w:val="000B1ED8"/>
    <w:rsid w:val="000B21B2"/>
    <w:rsid w:val="000B229B"/>
    <w:rsid w:val="000B22DA"/>
    <w:rsid w:val="000B23DC"/>
    <w:rsid w:val="000B25F0"/>
    <w:rsid w:val="000B28F5"/>
    <w:rsid w:val="000B2A37"/>
    <w:rsid w:val="000B2B5E"/>
    <w:rsid w:val="000B2B78"/>
    <w:rsid w:val="000B2C07"/>
    <w:rsid w:val="000B2F75"/>
    <w:rsid w:val="000B2F83"/>
    <w:rsid w:val="000B2FCF"/>
    <w:rsid w:val="000B31C5"/>
    <w:rsid w:val="000B3247"/>
    <w:rsid w:val="000B348F"/>
    <w:rsid w:val="000B35B7"/>
    <w:rsid w:val="000B3762"/>
    <w:rsid w:val="000B3974"/>
    <w:rsid w:val="000B3998"/>
    <w:rsid w:val="000B3A26"/>
    <w:rsid w:val="000B3BC9"/>
    <w:rsid w:val="000B3D9C"/>
    <w:rsid w:val="000B3DD0"/>
    <w:rsid w:val="000B3DF7"/>
    <w:rsid w:val="000B3E4D"/>
    <w:rsid w:val="000B40D7"/>
    <w:rsid w:val="000B4106"/>
    <w:rsid w:val="000B46F0"/>
    <w:rsid w:val="000B47B4"/>
    <w:rsid w:val="000B4ADF"/>
    <w:rsid w:val="000B4E24"/>
    <w:rsid w:val="000B50B9"/>
    <w:rsid w:val="000B5116"/>
    <w:rsid w:val="000B514D"/>
    <w:rsid w:val="000B5253"/>
    <w:rsid w:val="000B5575"/>
    <w:rsid w:val="000B58FA"/>
    <w:rsid w:val="000B5DC3"/>
    <w:rsid w:val="000B5E36"/>
    <w:rsid w:val="000B5FB7"/>
    <w:rsid w:val="000B614F"/>
    <w:rsid w:val="000B6316"/>
    <w:rsid w:val="000B6320"/>
    <w:rsid w:val="000B64C6"/>
    <w:rsid w:val="000B6541"/>
    <w:rsid w:val="000B663E"/>
    <w:rsid w:val="000B6910"/>
    <w:rsid w:val="000B69D6"/>
    <w:rsid w:val="000B6A4A"/>
    <w:rsid w:val="000B6C04"/>
    <w:rsid w:val="000B6D5B"/>
    <w:rsid w:val="000B6EEB"/>
    <w:rsid w:val="000B6F3D"/>
    <w:rsid w:val="000B6F7B"/>
    <w:rsid w:val="000B7003"/>
    <w:rsid w:val="000B706D"/>
    <w:rsid w:val="000B707F"/>
    <w:rsid w:val="000B71AF"/>
    <w:rsid w:val="000B71EB"/>
    <w:rsid w:val="000B734F"/>
    <w:rsid w:val="000B766E"/>
    <w:rsid w:val="000B77C9"/>
    <w:rsid w:val="000B78B3"/>
    <w:rsid w:val="000B798A"/>
    <w:rsid w:val="000B7C22"/>
    <w:rsid w:val="000B7D00"/>
    <w:rsid w:val="000B7DD7"/>
    <w:rsid w:val="000C000D"/>
    <w:rsid w:val="000C01B1"/>
    <w:rsid w:val="000C02C5"/>
    <w:rsid w:val="000C0314"/>
    <w:rsid w:val="000C0334"/>
    <w:rsid w:val="000C073F"/>
    <w:rsid w:val="000C0955"/>
    <w:rsid w:val="000C0BF4"/>
    <w:rsid w:val="000C0C37"/>
    <w:rsid w:val="000C0CB6"/>
    <w:rsid w:val="000C0E42"/>
    <w:rsid w:val="000C1059"/>
    <w:rsid w:val="000C115F"/>
    <w:rsid w:val="000C1227"/>
    <w:rsid w:val="000C1247"/>
    <w:rsid w:val="000C14BC"/>
    <w:rsid w:val="000C15B4"/>
    <w:rsid w:val="000C18F7"/>
    <w:rsid w:val="000C19F3"/>
    <w:rsid w:val="000C1A31"/>
    <w:rsid w:val="000C1A39"/>
    <w:rsid w:val="000C1ACA"/>
    <w:rsid w:val="000C1ACD"/>
    <w:rsid w:val="000C1BA7"/>
    <w:rsid w:val="000C1D64"/>
    <w:rsid w:val="000C1D89"/>
    <w:rsid w:val="000C1DB3"/>
    <w:rsid w:val="000C1DC0"/>
    <w:rsid w:val="000C1E7F"/>
    <w:rsid w:val="000C1EAD"/>
    <w:rsid w:val="000C1F8A"/>
    <w:rsid w:val="000C21E3"/>
    <w:rsid w:val="000C2387"/>
    <w:rsid w:val="000C2625"/>
    <w:rsid w:val="000C264A"/>
    <w:rsid w:val="000C2650"/>
    <w:rsid w:val="000C2BDD"/>
    <w:rsid w:val="000C2BE4"/>
    <w:rsid w:val="000C2F7D"/>
    <w:rsid w:val="000C2FB1"/>
    <w:rsid w:val="000C3329"/>
    <w:rsid w:val="000C335C"/>
    <w:rsid w:val="000C35FD"/>
    <w:rsid w:val="000C361C"/>
    <w:rsid w:val="000C3881"/>
    <w:rsid w:val="000C39CD"/>
    <w:rsid w:val="000C3A32"/>
    <w:rsid w:val="000C3B41"/>
    <w:rsid w:val="000C3D13"/>
    <w:rsid w:val="000C3D2B"/>
    <w:rsid w:val="000C46BB"/>
    <w:rsid w:val="000C46F1"/>
    <w:rsid w:val="000C487F"/>
    <w:rsid w:val="000C4977"/>
    <w:rsid w:val="000C4A24"/>
    <w:rsid w:val="000C4C99"/>
    <w:rsid w:val="000C4E23"/>
    <w:rsid w:val="000C4F03"/>
    <w:rsid w:val="000C4F75"/>
    <w:rsid w:val="000C4FB3"/>
    <w:rsid w:val="000C4FB8"/>
    <w:rsid w:val="000C5319"/>
    <w:rsid w:val="000C54BF"/>
    <w:rsid w:val="000C54C5"/>
    <w:rsid w:val="000C5872"/>
    <w:rsid w:val="000C5D69"/>
    <w:rsid w:val="000C601E"/>
    <w:rsid w:val="000C60D4"/>
    <w:rsid w:val="000C60D6"/>
    <w:rsid w:val="000C61E0"/>
    <w:rsid w:val="000C6429"/>
    <w:rsid w:val="000C6545"/>
    <w:rsid w:val="000C6560"/>
    <w:rsid w:val="000C66C4"/>
    <w:rsid w:val="000C6888"/>
    <w:rsid w:val="000C6A97"/>
    <w:rsid w:val="000C6B38"/>
    <w:rsid w:val="000C6B51"/>
    <w:rsid w:val="000C6C2B"/>
    <w:rsid w:val="000C6C81"/>
    <w:rsid w:val="000C6E9B"/>
    <w:rsid w:val="000C7056"/>
    <w:rsid w:val="000C71AF"/>
    <w:rsid w:val="000C72A9"/>
    <w:rsid w:val="000C72B4"/>
    <w:rsid w:val="000C73FA"/>
    <w:rsid w:val="000C762D"/>
    <w:rsid w:val="000C77CF"/>
    <w:rsid w:val="000C7948"/>
    <w:rsid w:val="000C7A61"/>
    <w:rsid w:val="000C7B4F"/>
    <w:rsid w:val="000C7BB5"/>
    <w:rsid w:val="000C7CF5"/>
    <w:rsid w:val="000C7DB3"/>
    <w:rsid w:val="000C7E17"/>
    <w:rsid w:val="000D00C3"/>
    <w:rsid w:val="000D0199"/>
    <w:rsid w:val="000D01AC"/>
    <w:rsid w:val="000D04CF"/>
    <w:rsid w:val="000D05E0"/>
    <w:rsid w:val="000D0641"/>
    <w:rsid w:val="000D0642"/>
    <w:rsid w:val="000D0712"/>
    <w:rsid w:val="000D0944"/>
    <w:rsid w:val="000D0CF7"/>
    <w:rsid w:val="000D0F18"/>
    <w:rsid w:val="000D0F2E"/>
    <w:rsid w:val="000D10C5"/>
    <w:rsid w:val="000D1284"/>
    <w:rsid w:val="000D13C4"/>
    <w:rsid w:val="000D15BB"/>
    <w:rsid w:val="000D16A7"/>
    <w:rsid w:val="000D1761"/>
    <w:rsid w:val="000D183D"/>
    <w:rsid w:val="000D19B8"/>
    <w:rsid w:val="000D1AB1"/>
    <w:rsid w:val="000D1BBD"/>
    <w:rsid w:val="000D1CCB"/>
    <w:rsid w:val="000D1E95"/>
    <w:rsid w:val="000D1FE0"/>
    <w:rsid w:val="000D210A"/>
    <w:rsid w:val="000D2152"/>
    <w:rsid w:val="000D231A"/>
    <w:rsid w:val="000D238F"/>
    <w:rsid w:val="000D2426"/>
    <w:rsid w:val="000D25D8"/>
    <w:rsid w:val="000D29AF"/>
    <w:rsid w:val="000D2C0B"/>
    <w:rsid w:val="000D2D42"/>
    <w:rsid w:val="000D31A7"/>
    <w:rsid w:val="000D34C8"/>
    <w:rsid w:val="000D36FB"/>
    <w:rsid w:val="000D37FD"/>
    <w:rsid w:val="000D3A0C"/>
    <w:rsid w:val="000D3B66"/>
    <w:rsid w:val="000D3E53"/>
    <w:rsid w:val="000D3F32"/>
    <w:rsid w:val="000D3F4B"/>
    <w:rsid w:val="000D3FFE"/>
    <w:rsid w:val="000D4055"/>
    <w:rsid w:val="000D40EF"/>
    <w:rsid w:val="000D4107"/>
    <w:rsid w:val="000D4190"/>
    <w:rsid w:val="000D422C"/>
    <w:rsid w:val="000D42DC"/>
    <w:rsid w:val="000D430A"/>
    <w:rsid w:val="000D433F"/>
    <w:rsid w:val="000D4344"/>
    <w:rsid w:val="000D4382"/>
    <w:rsid w:val="000D46A7"/>
    <w:rsid w:val="000D47B2"/>
    <w:rsid w:val="000D4819"/>
    <w:rsid w:val="000D4BE0"/>
    <w:rsid w:val="000D4D54"/>
    <w:rsid w:val="000D4E9B"/>
    <w:rsid w:val="000D4FC1"/>
    <w:rsid w:val="000D51A0"/>
    <w:rsid w:val="000D51E9"/>
    <w:rsid w:val="000D553B"/>
    <w:rsid w:val="000D5609"/>
    <w:rsid w:val="000D572F"/>
    <w:rsid w:val="000D57ED"/>
    <w:rsid w:val="000D58E4"/>
    <w:rsid w:val="000D590C"/>
    <w:rsid w:val="000D5C2B"/>
    <w:rsid w:val="000D5D54"/>
    <w:rsid w:val="000D60C2"/>
    <w:rsid w:val="000D6246"/>
    <w:rsid w:val="000D6348"/>
    <w:rsid w:val="000D6517"/>
    <w:rsid w:val="000D666C"/>
    <w:rsid w:val="000D66A5"/>
    <w:rsid w:val="000D67A9"/>
    <w:rsid w:val="000D67D1"/>
    <w:rsid w:val="000D6803"/>
    <w:rsid w:val="000D6877"/>
    <w:rsid w:val="000D691D"/>
    <w:rsid w:val="000D6921"/>
    <w:rsid w:val="000D6942"/>
    <w:rsid w:val="000D6A19"/>
    <w:rsid w:val="000D6C68"/>
    <w:rsid w:val="000D6D3B"/>
    <w:rsid w:val="000D6F32"/>
    <w:rsid w:val="000D701A"/>
    <w:rsid w:val="000D7368"/>
    <w:rsid w:val="000D737E"/>
    <w:rsid w:val="000D749D"/>
    <w:rsid w:val="000D74E9"/>
    <w:rsid w:val="000D751F"/>
    <w:rsid w:val="000D7565"/>
    <w:rsid w:val="000D7650"/>
    <w:rsid w:val="000D76B9"/>
    <w:rsid w:val="000D7808"/>
    <w:rsid w:val="000D7829"/>
    <w:rsid w:val="000D78DF"/>
    <w:rsid w:val="000D7A9D"/>
    <w:rsid w:val="000D7C85"/>
    <w:rsid w:val="000D7E15"/>
    <w:rsid w:val="000E0179"/>
    <w:rsid w:val="000E01FB"/>
    <w:rsid w:val="000E03E2"/>
    <w:rsid w:val="000E0552"/>
    <w:rsid w:val="000E057B"/>
    <w:rsid w:val="000E06BD"/>
    <w:rsid w:val="000E0782"/>
    <w:rsid w:val="000E07A8"/>
    <w:rsid w:val="000E0A74"/>
    <w:rsid w:val="000E0B3E"/>
    <w:rsid w:val="000E0B55"/>
    <w:rsid w:val="000E0B76"/>
    <w:rsid w:val="000E0C7C"/>
    <w:rsid w:val="000E0CAE"/>
    <w:rsid w:val="000E0CFD"/>
    <w:rsid w:val="000E0E21"/>
    <w:rsid w:val="000E0EAE"/>
    <w:rsid w:val="000E11A1"/>
    <w:rsid w:val="000E12D2"/>
    <w:rsid w:val="000E1364"/>
    <w:rsid w:val="000E13FC"/>
    <w:rsid w:val="000E14A4"/>
    <w:rsid w:val="000E1600"/>
    <w:rsid w:val="000E1615"/>
    <w:rsid w:val="000E1627"/>
    <w:rsid w:val="000E171C"/>
    <w:rsid w:val="000E174D"/>
    <w:rsid w:val="000E17B0"/>
    <w:rsid w:val="000E1842"/>
    <w:rsid w:val="000E188B"/>
    <w:rsid w:val="000E1938"/>
    <w:rsid w:val="000E1A86"/>
    <w:rsid w:val="000E1EE0"/>
    <w:rsid w:val="000E2376"/>
    <w:rsid w:val="000E2379"/>
    <w:rsid w:val="000E23DE"/>
    <w:rsid w:val="000E2466"/>
    <w:rsid w:val="000E2668"/>
    <w:rsid w:val="000E2986"/>
    <w:rsid w:val="000E2A0E"/>
    <w:rsid w:val="000E2A43"/>
    <w:rsid w:val="000E2B07"/>
    <w:rsid w:val="000E2FCB"/>
    <w:rsid w:val="000E314A"/>
    <w:rsid w:val="000E3335"/>
    <w:rsid w:val="000E34D8"/>
    <w:rsid w:val="000E3500"/>
    <w:rsid w:val="000E35B6"/>
    <w:rsid w:val="000E3611"/>
    <w:rsid w:val="000E3666"/>
    <w:rsid w:val="000E3886"/>
    <w:rsid w:val="000E38A1"/>
    <w:rsid w:val="000E3914"/>
    <w:rsid w:val="000E3956"/>
    <w:rsid w:val="000E3C7E"/>
    <w:rsid w:val="000E3DD2"/>
    <w:rsid w:val="000E410B"/>
    <w:rsid w:val="000E41AF"/>
    <w:rsid w:val="000E4250"/>
    <w:rsid w:val="000E43A4"/>
    <w:rsid w:val="000E4583"/>
    <w:rsid w:val="000E4917"/>
    <w:rsid w:val="000E4B6B"/>
    <w:rsid w:val="000E4C7B"/>
    <w:rsid w:val="000E4D5A"/>
    <w:rsid w:val="000E4D8D"/>
    <w:rsid w:val="000E4DA4"/>
    <w:rsid w:val="000E4F53"/>
    <w:rsid w:val="000E502A"/>
    <w:rsid w:val="000E50BD"/>
    <w:rsid w:val="000E5166"/>
    <w:rsid w:val="000E5437"/>
    <w:rsid w:val="000E54C8"/>
    <w:rsid w:val="000E54EF"/>
    <w:rsid w:val="000E5971"/>
    <w:rsid w:val="000E5C3B"/>
    <w:rsid w:val="000E5D43"/>
    <w:rsid w:val="000E5DBA"/>
    <w:rsid w:val="000E5FC8"/>
    <w:rsid w:val="000E614D"/>
    <w:rsid w:val="000E625B"/>
    <w:rsid w:val="000E66AC"/>
    <w:rsid w:val="000E67CC"/>
    <w:rsid w:val="000E6856"/>
    <w:rsid w:val="000E69D5"/>
    <w:rsid w:val="000E6A5F"/>
    <w:rsid w:val="000E6A7C"/>
    <w:rsid w:val="000E6E1B"/>
    <w:rsid w:val="000E6E89"/>
    <w:rsid w:val="000E6EC6"/>
    <w:rsid w:val="000E6EF2"/>
    <w:rsid w:val="000E74A7"/>
    <w:rsid w:val="000E76B8"/>
    <w:rsid w:val="000E76DA"/>
    <w:rsid w:val="000E7789"/>
    <w:rsid w:val="000E7836"/>
    <w:rsid w:val="000E7D0E"/>
    <w:rsid w:val="000E7EB3"/>
    <w:rsid w:val="000F012A"/>
    <w:rsid w:val="000F01E7"/>
    <w:rsid w:val="000F041A"/>
    <w:rsid w:val="000F055B"/>
    <w:rsid w:val="000F07BF"/>
    <w:rsid w:val="000F083E"/>
    <w:rsid w:val="000F0859"/>
    <w:rsid w:val="000F0B77"/>
    <w:rsid w:val="000F0D46"/>
    <w:rsid w:val="000F0D6E"/>
    <w:rsid w:val="000F0E61"/>
    <w:rsid w:val="000F0F55"/>
    <w:rsid w:val="000F1142"/>
    <w:rsid w:val="000F11ED"/>
    <w:rsid w:val="000F1284"/>
    <w:rsid w:val="000F15F6"/>
    <w:rsid w:val="000F17B8"/>
    <w:rsid w:val="000F19FB"/>
    <w:rsid w:val="000F1A9D"/>
    <w:rsid w:val="000F1CBC"/>
    <w:rsid w:val="000F1D1B"/>
    <w:rsid w:val="000F1D1F"/>
    <w:rsid w:val="000F2098"/>
    <w:rsid w:val="000F2140"/>
    <w:rsid w:val="000F22FF"/>
    <w:rsid w:val="000F259B"/>
    <w:rsid w:val="000F2654"/>
    <w:rsid w:val="000F2691"/>
    <w:rsid w:val="000F2830"/>
    <w:rsid w:val="000F2C8F"/>
    <w:rsid w:val="000F2D9E"/>
    <w:rsid w:val="000F2DB4"/>
    <w:rsid w:val="000F2E57"/>
    <w:rsid w:val="000F3049"/>
    <w:rsid w:val="000F3448"/>
    <w:rsid w:val="000F349D"/>
    <w:rsid w:val="000F378C"/>
    <w:rsid w:val="000F37CE"/>
    <w:rsid w:val="000F396F"/>
    <w:rsid w:val="000F3985"/>
    <w:rsid w:val="000F3A3D"/>
    <w:rsid w:val="000F3C1D"/>
    <w:rsid w:val="000F3C84"/>
    <w:rsid w:val="000F3CC2"/>
    <w:rsid w:val="000F3CDF"/>
    <w:rsid w:val="000F4051"/>
    <w:rsid w:val="000F40BF"/>
    <w:rsid w:val="000F413E"/>
    <w:rsid w:val="000F439B"/>
    <w:rsid w:val="000F449D"/>
    <w:rsid w:val="000F44C4"/>
    <w:rsid w:val="000F48E0"/>
    <w:rsid w:val="000F4925"/>
    <w:rsid w:val="000F4B03"/>
    <w:rsid w:val="000F4C14"/>
    <w:rsid w:val="000F4DB0"/>
    <w:rsid w:val="000F4E81"/>
    <w:rsid w:val="000F502F"/>
    <w:rsid w:val="000F50E0"/>
    <w:rsid w:val="000F5121"/>
    <w:rsid w:val="000F52A0"/>
    <w:rsid w:val="000F545C"/>
    <w:rsid w:val="000F55EA"/>
    <w:rsid w:val="000F567F"/>
    <w:rsid w:val="000F57C8"/>
    <w:rsid w:val="000F5822"/>
    <w:rsid w:val="000F5874"/>
    <w:rsid w:val="000F5B2C"/>
    <w:rsid w:val="000F5C51"/>
    <w:rsid w:val="000F5CDD"/>
    <w:rsid w:val="000F5DAA"/>
    <w:rsid w:val="000F5E56"/>
    <w:rsid w:val="000F600E"/>
    <w:rsid w:val="000F6413"/>
    <w:rsid w:val="000F6536"/>
    <w:rsid w:val="000F670D"/>
    <w:rsid w:val="000F6B59"/>
    <w:rsid w:val="000F6BB9"/>
    <w:rsid w:val="000F6F19"/>
    <w:rsid w:val="000F70C7"/>
    <w:rsid w:val="000F7330"/>
    <w:rsid w:val="000F7367"/>
    <w:rsid w:val="000F757A"/>
    <w:rsid w:val="000F75FC"/>
    <w:rsid w:val="000F76CD"/>
    <w:rsid w:val="000F792E"/>
    <w:rsid w:val="000F7C12"/>
    <w:rsid w:val="000F7C5E"/>
    <w:rsid w:val="000F7DF0"/>
    <w:rsid w:val="00100197"/>
    <w:rsid w:val="001001AD"/>
    <w:rsid w:val="001001B1"/>
    <w:rsid w:val="00100289"/>
    <w:rsid w:val="0010055D"/>
    <w:rsid w:val="0010083B"/>
    <w:rsid w:val="00100AFC"/>
    <w:rsid w:val="00100C6D"/>
    <w:rsid w:val="00100D9D"/>
    <w:rsid w:val="00100F0A"/>
    <w:rsid w:val="0010103C"/>
    <w:rsid w:val="001011A9"/>
    <w:rsid w:val="001011B1"/>
    <w:rsid w:val="001012DC"/>
    <w:rsid w:val="00101597"/>
    <w:rsid w:val="001016B1"/>
    <w:rsid w:val="00101799"/>
    <w:rsid w:val="00101898"/>
    <w:rsid w:val="001018A6"/>
    <w:rsid w:val="00101A1F"/>
    <w:rsid w:val="00101B34"/>
    <w:rsid w:val="00101CE4"/>
    <w:rsid w:val="00101DAF"/>
    <w:rsid w:val="00101F9F"/>
    <w:rsid w:val="0010204A"/>
    <w:rsid w:val="0010208E"/>
    <w:rsid w:val="0010235E"/>
    <w:rsid w:val="0010242D"/>
    <w:rsid w:val="001024D7"/>
    <w:rsid w:val="001024F7"/>
    <w:rsid w:val="001025FA"/>
    <w:rsid w:val="0010283B"/>
    <w:rsid w:val="001028F6"/>
    <w:rsid w:val="001029A0"/>
    <w:rsid w:val="00102A35"/>
    <w:rsid w:val="00102ADB"/>
    <w:rsid w:val="00102BFC"/>
    <w:rsid w:val="00102D10"/>
    <w:rsid w:val="00102F69"/>
    <w:rsid w:val="0010302D"/>
    <w:rsid w:val="00103045"/>
    <w:rsid w:val="001033B0"/>
    <w:rsid w:val="00103704"/>
    <w:rsid w:val="00103720"/>
    <w:rsid w:val="0010374C"/>
    <w:rsid w:val="00103956"/>
    <w:rsid w:val="00103965"/>
    <w:rsid w:val="00103BEF"/>
    <w:rsid w:val="00103D06"/>
    <w:rsid w:val="00103D41"/>
    <w:rsid w:val="00103E6C"/>
    <w:rsid w:val="00103F9D"/>
    <w:rsid w:val="0010412B"/>
    <w:rsid w:val="0010435A"/>
    <w:rsid w:val="001045D3"/>
    <w:rsid w:val="0010491B"/>
    <w:rsid w:val="001049BC"/>
    <w:rsid w:val="00104A4A"/>
    <w:rsid w:val="00104A89"/>
    <w:rsid w:val="00104BDE"/>
    <w:rsid w:val="00104C36"/>
    <w:rsid w:val="00104CB7"/>
    <w:rsid w:val="00104CEC"/>
    <w:rsid w:val="00104D39"/>
    <w:rsid w:val="00104EE9"/>
    <w:rsid w:val="00104FE3"/>
    <w:rsid w:val="00104FF7"/>
    <w:rsid w:val="00105032"/>
    <w:rsid w:val="00105106"/>
    <w:rsid w:val="001051F5"/>
    <w:rsid w:val="0010530E"/>
    <w:rsid w:val="0010543B"/>
    <w:rsid w:val="0010546F"/>
    <w:rsid w:val="00105837"/>
    <w:rsid w:val="00105AE5"/>
    <w:rsid w:val="00105B79"/>
    <w:rsid w:val="00105F0C"/>
    <w:rsid w:val="00105FBA"/>
    <w:rsid w:val="0010616A"/>
    <w:rsid w:val="00106250"/>
    <w:rsid w:val="001062FB"/>
    <w:rsid w:val="001064C1"/>
    <w:rsid w:val="001065D8"/>
    <w:rsid w:val="001065FE"/>
    <w:rsid w:val="00106771"/>
    <w:rsid w:val="00106864"/>
    <w:rsid w:val="00106879"/>
    <w:rsid w:val="00106916"/>
    <w:rsid w:val="001069D9"/>
    <w:rsid w:val="00106B07"/>
    <w:rsid w:val="00106C9F"/>
    <w:rsid w:val="00106DA0"/>
    <w:rsid w:val="00106F02"/>
    <w:rsid w:val="00106F9D"/>
    <w:rsid w:val="0010738B"/>
    <w:rsid w:val="00107455"/>
    <w:rsid w:val="001076D6"/>
    <w:rsid w:val="00107743"/>
    <w:rsid w:val="001078D9"/>
    <w:rsid w:val="00107A0B"/>
    <w:rsid w:val="00107A9E"/>
    <w:rsid w:val="00107ADD"/>
    <w:rsid w:val="00107B87"/>
    <w:rsid w:val="00107B8F"/>
    <w:rsid w:val="00107C96"/>
    <w:rsid w:val="00107EE2"/>
    <w:rsid w:val="00110048"/>
    <w:rsid w:val="0011006B"/>
    <w:rsid w:val="00110092"/>
    <w:rsid w:val="001100BE"/>
    <w:rsid w:val="001100ED"/>
    <w:rsid w:val="0011022E"/>
    <w:rsid w:val="00110467"/>
    <w:rsid w:val="00110605"/>
    <w:rsid w:val="001106C7"/>
    <w:rsid w:val="00110D5D"/>
    <w:rsid w:val="00110D62"/>
    <w:rsid w:val="00110F0B"/>
    <w:rsid w:val="00111195"/>
    <w:rsid w:val="00111328"/>
    <w:rsid w:val="00111345"/>
    <w:rsid w:val="001114AF"/>
    <w:rsid w:val="00111557"/>
    <w:rsid w:val="001116BA"/>
    <w:rsid w:val="001118DF"/>
    <w:rsid w:val="00111AE7"/>
    <w:rsid w:val="00111B40"/>
    <w:rsid w:val="00111C01"/>
    <w:rsid w:val="00111C3D"/>
    <w:rsid w:val="00111CA1"/>
    <w:rsid w:val="00111D35"/>
    <w:rsid w:val="00111DDB"/>
    <w:rsid w:val="00111EBA"/>
    <w:rsid w:val="00111FA4"/>
    <w:rsid w:val="00112046"/>
    <w:rsid w:val="001122F8"/>
    <w:rsid w:val="00112372"/>
    <w:rsid w:val="001123F7"/>
    <w:rsid w:val="00112605"/>
    <w:rsid w:val="00112651"/>
    <w:rsid w:val="0011278B"/>
    <w:rsid w:val="001127A8"/>
    <w:rsid w:val="00112916"/>
    <w:rsid w:val="00112C90"/>
    <w:rsid w:val="00112CB7"/>
    <w:rsid w:val="00112CD6"/>
    <w:rsid w:val="00112F22"/>
    <w:rsid w:val="00113267"/>
    <w:rsid w:val="00113342"/>
    <w:rsid w:val="00113575"/>
    <w:rsid w:val="001135B0"/>
    <w:rsid w:val="001136F9"/>
    <w:rsid w:val="0011378F"/>
    <w:rsid w:val="00113A25"/>
    <w:rsid w:val="00113B7E"/>
    <w:rsid w:val="00113C78"/>
    <w:rsid w:val="00113CC1"/>
    <w:rsid w:val="00113DE6"/>
    <w:rsid w:val="00113E3C"/>
    <w:rsid w:val="00113E66"/>
    <w:rsid w:val="00113E6B"/>
    <w:rsid w:val="00114178"/>
    <w:rsid w:val="001141E9"/>
    <w:rsid w:val="001141FC"/>
    <w:rsid w:val="001142C9"/>
    <w:rsid w:val="001147E8"/>
    <w:rsid w:val="00114A75"/>
    <w:rsid w:val="00114B6F"/>
    <w:rsid w:val="00114BE3"/>
    <w:rsid w:val="00114E63"/>
    <w:rsid w:val="001150A1"/>
    <w:rsid w:val="0011511D"/>
    <w:rsid w:val="001152BB"/>
    <w:rsid w:val="001155E1"/>
    <w:rsid w:val="001156D2"/>
    <w:rsid w:val="001159E7"/>
    <w:rsid w:val="00115A16"/>
    <w:rsid w:val="00115B33"/>
    <w:rsid w:val="00115BFF"/>
    <w:rsid w:val="00115C25"/>
    <w:rsid w:val="00115C5B"/>
    <w:rsid w:val="00115C85"/>
    <w:rsid w:val="00115CDF"/>
    <w:rsid w:val="00115F75"/>
    <w:rsid w:val="001162A9"/>
    <w:rsid w:val="001167CE"/>
    <w:rsid w:val="00116811"/>
    <w:rsid w:val="001168D1"/>
    <w:rsid w:val="0011692B"/>
    <w:rsid w:val="00116AD0"/>
    <w:rsid w:val="00116B27"/>
    <w:rsid w:val="00116B3F"/>
    <w:rsid w:val="00116CEA"/>
    <w:rsid w:val="00116DF5"/>
    <w:rsid w:val="00116E5D"/>
    <w:rsid w:val="00117038"/>
    <w:rsid w:val="00117130"/>
    <w:rsid w:val="00117222"/>
    <w:rsid w:val="00117227"/>
    <w:rsid w:val="0011744B"/>
    <w:rsid w:val="001174B6"/>
    <w:rsid w:val="00117731"/>
    <w:rsid w:val="0011790C"/>
    <w:rsid w:val="0011791D"/>
    <w:rsid w:val="0011798F"/>
    <w:rsid w:val="00117A80"/>
    <w:rsid w:val="00117AFC"/>
    <w:rsid w:val="00117BF1"/>
    <w:rsid w:val="00117C49"/>
    <w:rsid w:val="00117FA6"/>
    <w:rsid w:val="0012009A"/>
    <w:rsid w:val="001200C5"/>
    <w:rsid w:val="001202A7"/>
    <w:rsid w:val="00120361"/>
    <w:rsid w:val="0012037B"/>
    <w:rsid w:val="0012042E"/>
    <w:rsid w:val="0012079B"/>
    <w:rsid w:val="001207E0"/>
    <w:rsid w:val="00120811"/>
    <w:rsid w:val="001209DF"/>
    <w:rsid w:val="00120A70"/>
    <w:rsid w:val="00120AAD"/>
    <w:rsid w:val="00120BD0"/>
    <w:rsid w:val="00120D2B"/>
    <w:rsid w:val="00120D43"/>
    <w:rsid w:val="00120D55"/>
    <w:rsid w:val="00120F03"/>
    <w:rsid w:val="00121065"/>
    <w:rsid w:val="00121299"/>
    <w:rsid w:val="00121322"/>
    <w:rsid w:val="00121385"/>
    <w:rsid w:val="001213F7"/>
    <w:rsid w:val="00121535"/>
    <w:rsid w:val="001215A2"/>
    <w:rsid w:val="00121693"/>
    <w:rsid w:val="00121733"/>
    <w:rsid w:val="001218C7"/>
    <w:rsid w:val="00121B4D"/>
    <w:rsid w:val="00121C31"/>
    <w:rsid w:val="00121D11"/>
    <w:rsid w:val="00121D7B"/>
    <w:rsid w:val="0012223B"/>
    <w:rsid w:val="00122332"/>
    <w:rsid w:val="0012245B"/>
    <w:rsid w:val="00122504"/>
    <w:rsid w:val="001225AD"/>
    <w:rsid w:val="00122689"/>
    <w:rsid w:val="001226D7"/>
    <w:rsid w:val="001227C0"/>
    <w:rsid w:val="0012288A"/>
    <w:rsid w:val="00122BAC"/>
    <w:rsid w:val="00122CE1"/>
    <w:rsid w:val="00122CF4"/>
    <w:rsid w:val="00122D85"/>
    <w:rsid w:val="00122DA9"/>
    <w:rsid w:val="00122E3E"/>
    <w:rsid w:val="00122E71"/>
    <w:rsid w:val="00122F99"/>
    <w:rsid w:val="0012349A"/>
    <w:rsid w:val="0012353F"/>
    <w:rsid w:val="001236BF"/>
    <w:rsid w:val="00123703"/>
    <w:rsid w:val="00123761"/>
    <w:rsid w:val="0012387A"/>
    <w:rsid w:val="0012396E"/>
    <w:rsid w:val="001239C9"/>
    <w:rsid w:val="00123B65"/>
    <w:rsid w:val="00123D32"/>
    <w:rsid w:val="00123E24"/>
    <w:rsid w:val="001241C4"/>
    <w:rsid w:val="001241C9"/>
    <w:rsid w:val="001243B0"/>
    <w:rsid w:val="00124412"/>
    <w:rsid w:val="00124595"/>
    <w:rsid w:val="001246E4"/>
    <w:rsid w:val="0012476A"/>
    <w:rsid w:val="00124926"/>
    <w:rsid w:val="00124935"/>
    <w:rsid w:val="00124CF4"/>
    <w:rsid w:val="00124D12"/>
    <w:rsid w:val="00124DA5"/>
    <w:rsid w:val="00124DF6"/>
    <w:rsid w:val="00124F02"/>
    <w:rsid w:val="00124FE5"/>
    <w:rsid w:val="0012502E"/>
    <w:rsid w:val="0012508C"/>
    <w:rsid w:val="00125108"/>
    <w:rsid w:val="00125303"/>
    <w:rsid w:val="0012531D"/>
    <w:rsid w:val="00125389"/>
    <w:rsid w:val="0012543A"/>
    <w:rsid w:val="001258DB"/>
    <w:rsid w:val="0012593D"/>
    <w:rsid w:val="00125A4B"/>
    <w:rsid w:val="00125A6C"/>
    <w:rsid w:val="00125A8C"/>
    <w:rsid w:val="00125B9D"/>
    <w:rsid w:val="00125BC6"/>
    <w:rsid w:val="00125C60"/>
    <w:rsid w:val="00125CDA"/>
    <w:rsid w:val="00125D21"/>
    <w:rsid w:val="00125DBB"/>
    <w:rsid w:val="00125DEB"/>
    <w:rsid w:val="00125E9C"/>
    <w:rsid w:val="001260A3"/>
    <w:rsid w:val="001260B0"/>
    <w:rsid w:val="0012625E"/>
    <w:rsid w:val="00126413"/>
    <w:rsid w:val="001264DA"/>
    <w:rsid w:val="00126542"/>
    <w:rsid w:val="0012671B"/>
    <w:rsid w:val="001267D6"/>
    <w:rsid w:val="0012690F"/>
    <w:rsid w:val="00126992"/>
    <w:rsid w:val="00126BA4"/>
    <w:rsid w:val="00126DC4"/>
    <w:rsid w:val="00126FA7"/>
    <w:rsid w:val="00127158"/>
    <w:rsid w:val="00127537"/>
    <w:rsid w:val="00127560"/>
    <w:rsid w:val="001278BD"/>
    <w:rsid w:val="00127A64"/>
    <w:rsid w:val="00127CBE"/>
    <w:rsid w:val="00127EDA"/>
    <w:rsid w:val="00127F8F"/>
    <w:rsid w:val="00127FD7"/>
    <w:rsid w:val="00130198"/>
    <w:rsid w:val="00130215"/>
    <w:rsid w:val="00130512"/>
    <w:rsid w:val="001305EF"/>
    <w:rsid w:val="0013072F"/>
    <w:rsid w:val="00130813"/>
    <w:rsid w:val="00130885"/>
    <w:rsid w:val="00130E56"/>
    <w:rsid w:val="00130F4F"/>
    <w:rsid w:val="00130F64"/>
    <w:rsid w:val="001311E6"/>
    <w:rsid w:val="0013125B"/>
    <w:rsid w:val="00131303"/>
    <w:rsid w:val="001313C2"/>
    <w:rsid w:val="001314B9"/>
    <w:rsid w:val="0013154D"/>
    <w:rsid w:val="001315BD"/>
    <w:rsid w:val="001316A1"/>
    <w:rsid w:val="001316C9"/>
    <w:rsid w:val="00131E29"/>
    <w:rsid w:val="00131F07"/>
    <w:rsid w:val="00131FFC"/>
    <w:rsid w:val="001320EC"/>
    <w:rsid w:val="001320ED"/>
    <w:rsid w:val="00132178"/>
    <w:rsid w:val="00132392"/>
    <w:rsid w:val="001327E7"/>
    <w:rsid w:val="00132916"/>
    <w:rsid w:val="00132964"/>
    <w:rsid w:val="00132A56"/>
    <w:rsid w:val="00132AF8"/>
    <w:rsid w:val="00132B32"/>
    <w:rsid w:val="00132C4C"/>
    <w:rsid w:val="00132FA8"/>
    <w:rsid w:val="001333A3"/>
    <w:rsid w:val="00133405"/>
    <w:rsid w:val="00133566"/>
    <w:rsid w:val="00133810"/>
    <w:rsid w:val="00133E01"/>
    <w:rsid w:val="00133EC9"/>
    <w:rsid w:val="00133F3B"/>
    <w:rsid w:val="00134055"/>
    <w:rsid w:val="0013409D"/>
    <w:rsid w:val="001340FF"/>
    <w:rsid w:val="00134234"/>
    <w:rsid w:val="0013435B"/>
    <w:rsid w:val="001344E7"/>
    <w:rsid w:val="00134557"/>
    <w:rsid w:val="00134572"/>
    <w:rsid w:val="001345EC"/>
    <w:rsid w:val="001346BD"/>
    <w:rsid w:val="0013498C"/>
    <w:rsid w:val="00134B51"/>
    <w:rsid w:val="00134C14"/>
    <w:rsid w:val="00134C17"/>
    <w:rsid w:val="00134D0A"/>
    <w:rsid w:val="00134D1A"/>
    <w:rsid w:val="00134E82"/>
    <w:rsid w:val="00134EEE"/>
    <w:rsid w:val="0013507C"/>
    <w:rsid w:val="00135196"/>
    <w:rsid w:val="001353D5"/>
    <w:rsid w:val="001356E5"/>
    <w:rsid w:val="00135717"/>
    <w:rsid w:val="00135875"/>
    <w:rsid w:val="00135955"/>
    <w:rsid w:val="00135A8B"/>
    <w:rsid w:val="00135AC8"/>
    <w:rsid w:val="00135B1F"/>
    <w:rsid w:val="00135C8D"/>
    <w:rsid w:val="00135EAA"/>
    <w:rsid w:val="00135ED1"/>
    <w:rsid w:val="00135F91"/>
    <w:rsid w:val="0013600B"/>
    <w:rsid w:val="00136104"/>
    <w:rsid w:val="00136118"/>
    <w:rsid w:val="0013614E"/>
    <w:rsid w:val="00136305"/>
    <w:rsid w:val="0013630F"/>
    <w:rsid w:val="00136374"/>
    <w:rsid w:val="001363D0"/>
    <w:rsid w:val="00136518"/>
    <w:rsid w:val="00136632"/>
    <w:rsid w:val="00136686"/>
    <w:rsid w:val="001366AB"/>
    <w:rsid w:val="00136720"/>
    <w:rsid w:val="00136739"/>
    <w:rsid w:val="00136951"/>
    <w:rsid w:val="00136C7D"/>
    <w:rsid w:val="00136D08"/>
    <w:rsid w:val="00137116"/>
    <w:rsid w:val="0013714E"/>
    <w:rsid w:val="0013740C"/>
    <w:rsid w:val="00137422"/>
    <w:rsid w:val="00137442"/>
    <w:rsid w:val="00137ABC"/>
    <w:rsid w:val="00137BFF"/>
    <w:rsid w:val="00137C7E"/>
    <w:rsid w:val="00137DC4"/>
    <w:rsid w:val="00137F99"/>
    <w:rsid w:val="00140051"/>
    <w:rsid w:val="0014006D"/>
    <w:rsid w:val="001400F2"/>
    <w:rsid w:val="001400FF"/>
    <w:rsid w:val="0014049F"/>
    <w:rsid w:val="001405BE"/>
    <w:rsid w:val="001405D9"/>
    <w:rsid w:val="0014064B"/>
    <w:rsid w:val="00140654"/>
    <w:rsid w:val="001407EC"/>
    <w:rsid w:val="00140888"/>
    <w:rsid w:val="00140930"/>
    <w:rsid w:val="00140C69"/>
    <w:rsid w:val="00140CE7"/>
    <w:rsid w:val="00140E4B"/>
    <w:rsid w:val="00141910"/>
    <w:rsid w:val="00141985"/>
    <w:rsid w:val="00141B73"/>
    <w:rsid w:val="00141BB1"/>
    <w:rsid w:val="00141BEC"/>
    <w:rsid w:val="00141EFE"/>
    <w:rsid w:val="00141FB7"/>
    <w:rsid w:val="00142223"/>
    <w:rsid w:val="0014225A"/>
    <w:rsid w:val="00142304"/>
    <w:rsid w:val="001424D4"/>
    <w:rsid w:val="00142636"/>
    <w:rsid w:val="001428E9"/>
    <w:rsid w:val="0014299C"/>
    <w:rsid w:val="001429E3"/>
    <w:rsid w:val="00142CA8"/>
    <w:rsid w:val="00142D3E"/>
    <w:rsid w:val="00142F00"/>
    <w:rsid w:val="001430A6"/>
    <w:rsid w:val="0014311C"/>
    <w:rsid w:val="00143168"/>
    <w:rsid w:val="001431FA"/>
    <w:rsid w:val="001432CE"/>
    <w:rsid w:val="0014330E"/>
    <w:rsid w:val="001433C6"/>
    <w:rsid w:val="00143481"/>
    <w:rsid w:val="0014356C"/>
    <w:rsid w:val="00143744"/>
    <w:rsid w:val="001437BC"/>
    <w:rsid w:val="0014380A"/>
    <w:rsid w:val="00143816"/>
    <w:rsid w:val="0014390C"/>
    <w:rsid w:val="00143A03"/>
    <w:rsid w:val="00143A35"/>
    <w:rsid w:val="00143A6A"/>
    <w:rsid w:val="00143AAD"/>
    <w:rsid w:val="00143C4B"/>
    <w:rsid w:val="00143CF1"/>
    <w:rsid w:val="00143E02"/>
    <w:rsid w:val="00143F63"/>
    <w:rsid w:val="00143F83"/>
    <w:rsid w:val="0014437C"/>
    <w:rsid w:val="0014499B"/>
    <w:rsid w:val="001449FB"/>
    <w:rsid w:val="00144A70"/>
    <w:rsid w:val="00144C25"/>
    <w:rsid w:val="00144D70"/>
    <w:rsid w:val="00144F16"/>
    <w:rsid w:val="00144FCF"/>
    <w:rsid w:val="00145166"/>
    <w:rsid w:val="001451EC"/>
    <w:rsid w:val="001452F7"/>
    <w:rsid w:val="001453B1"/>
    <w:rsid w:val="00145466"/>
    <w:rsid w:val="001455F6"/>
    <w:rsid w:val="001456A4"/>
    <w:rsid w:val="001457F6"/>
    <w:rsid w:val="00145950"/>
    <w:rsid w:val="001459FB"/>
    <w:rsid w:val="001461CE"/>
    <w:rsid w:val="00146322"/>
    <w:rsid w:val="00146464"/>
    <w:rsid w:val="00146551"/>
    <w:rsid w:val="001465FF"/>
    <w:rsid w:val="00146666"/>
    <w:rsid w:val="001466F7"/>
    <w:rsid w:val="00146771"/>
    <w:rsid w:val="00146892"/>
    <w:rsid w:val="00146926"/>
    <w:rsid w:val="00146A4C"/>
    <w:rsid w:val="00146AC4"/>
    <w:rsid w:val="00146DD6"/>
    <w:rsid w:val="00146EB4"/>
    <w:rsid w:val="00146F75"/>
    <w:rsid w:val="00146FC4"/>
    <w:rsid w:val="00146FF5"/>
    <w:rsid w:val="00147211"/>
    <w:rsid w:val="001472F5"/>
    <w:rsid w:val="00147442"/>
    <w:rsid w:val="00147472"/>
    <w:rsid w:val="0014751F"/>
    <w:rsid w:val="00147557"/>
    <w:rsid w:val="001477BE"/>
    <w:rsid w:val="001477FB"/>
    <w:rsid w:val="00147818"/>
    <w:rsid w:val="0014790A"/>
    <w:rsid w:val="00147A08"/>
    <w:rsid w:val="00147C19"/>
    <w:rsid w:val="00147C4D"/>
    <w:rsid w:val="00147CDD"/>
    <w:rsid w:val="001501FE"/>
    <w:rsid w:val="00150235"/>
    <w:rsid w:val="001503EF"/>
    <w:rsid w:val="00150837"/>
    <w:rsid w:val="0015098F"/>
    <w:rsid w:val="00150AD9"/>
    <w:rsid w:val="00150B70"/>
    <w:rsid w:val="00150F22"/>
    <w:rsid w:val="00151189"/>
    <w:rsid w:val="0015146B"/>
    <w:rsid w:val="001514A3"/>
    <w:rsid w:val="0015156E"/>
    <w:rsid w:val="00151589"/>
    <w:rsid w:val="00151613"/>
    <w:rsid w:val="001516C4"/>
    <w:rsid w:val="0015178B"/>
    <w:rsid w:val="00151899"/>
    <w:rsid w:val="001518AA"/>
    <w:rsid w:val="001518D2"/>
    <w:rsid w:val="00151A08"/>
    <w:rsid w:val="00151B9D"/>
    <w:rsid w:val="00151C91"/>
    <w:rsid w:val="00151D01"/>
    <w:rsid w:val="00151EBB"/>
    <w:rsid w:val="00151EE7"/>
    <w:rsid w:val="00151F1C"/>
    <w:rsid w:val="00151F80"/>
    <w:rsid w:val="0015203C"/>
    <w:rsid w:val="0015214A"/>
    <w:rsid w:val="00152284"/>
    <w:rsid w:val="001522DC"/>
    <w:rsid w:val="001522E0"/>
    <w:rsid w:val="00152455"/>
    <w:rsid w:val="00152586"/>
    <w:rsid w:val="001526D7"/>
    <w:rsid w:val="00152B3C"/>
    <w:rsid w:val="00152D94"/>
    <w:rsid w:val="00152DFA"/>
    <w:rsid w:val="00152E5B"/>
    <w:rsid w:val="00152F97"/>
    <w:rsid w:val="0015313C"/>
    <w:rsid w:val="00153312"/>
    <w:rsid w:val="0015339D"/>
    <w:rsid w:val="001535C0"/>
    <w:rsid w:val="001536E7"/>
    <w:rsid w:val="00153708"/>
    <w:rsid w:val="0015382E"/>
    <w:rsid w:val="001538CA"/>
    <w:rsid w:val="00153A0E"/>
    <w:rsid w:val="00153A2D"/>
    <w:rsid w:val="00153B67"/>
    <w:rsid w:val="00153BA9"/>
    <w:rsid w:val="00153D13"/>
    <w:rsid w:val="00153DC1"/>
    <w:rsid w:val="00153E47"/>
    <w:rsid w:val="00153EC3"/>
    <w:rsid w:val="001540C0"/>
    <w:rsid w:val="00154362"/>
    <w:rsid w:val="001543C9"/>
    <w:rsid w:val="0015447C"/>
    <w:rsid w:val="001545A4"/>
    <w:rsid w:val="0015462F"/>
    <w:rsid w:val="001546AA"/>
    <w:rsid w:val="0015498A"/>
    <w:rsid w:val="001549CF"/>
    <w:rsid w:val="00154AF7"/>
    <w:rsid w:val="00154F5E"/>
    <w:rsid w:val="00155228"/>
    <w:rsid w:val="00155354"/>
    <w:rsid w:val="00155372"/>
    <w:rsid w:val="001554AC"/>
    <w:rsid w:val="001557A5"/>
    <w:rsid w:val="0015582E"/>
    <w:rsid w:val="00155AD5"/>
    <w:rsid w:val="00155D6D"/>
    <w:rsid w:val="00155EC1"/>
    <w:rsid w:val="0015617C"/>
    <w:rsid w:val="001562AA"/>
    <w:rsid w:val="00156622"/>
    <w:rsid w:val="00156641"/>
    <w:rsid w:val="00156816"/>
    <w:rsid w:val="0015685C"/>
    <w:rsid w:val="00156875"/>
    <w:rsid w:val="0015687C"/>
    <w:rsid w:val="00156C0E"/>
    <w:rsid w:val="00156D07"/>
    <w:rsid w:val="001570A6"/>
    <w:rsid w:val="0015722D"/>
    <w:rsid w:val="00157254"/>
    <w:rsid w:val="001572D4"/>
    <w:rsid w:val="0015747C"/>
    <w:rsid w:val="00157602"/>
    <w:rsid w:val="0015766D"/>
    <w:rsid w:val="00157677"/>
    <w:rsid w:val="0015775B"/>
    <w:rsid w:val="00157A24"/>
    <w:rsid w:val="00157B45"/>
    <w:rsid w:val="00157E88"/>
    <w:rsid w:val="00157EF0"/>
    <w:rsid w:val="00157F33"/>
    <w:rsid w:val="00157F56"/>
    <w:rsid w:val="00160223"/>
    <w:rsid w:val="00160270"/>
    <w:rsid w:val="001602F9"/>
    <w:rsid w:val="00160303"/>
    <w:rsid w:val="00160435"/>
    <w:rsid w:val="001606BE"/>
    <w:rsid w:val="00160837"/>
    <w:rsid w:val="00160B47"/>
    <w:rsid w:val="00160E95"/>
    <w:rsid w:val="00160ED5"/>
    <w:rsid w:val="00160F03"/>
    <w:rsid w:val="001610A2"/>
    <w:rsid w:val="00161467"/>
    <w:rsid w:val="001616DC"/>
    <w:rsid w:val="0016180D"/>
    <w:rsid w:val="0016189D"/>
    <w:rsid w:val="00161B4C"/>
    <w:rsid w:val="00161C19"/>
    <w:rsid w:val="00161EBC"/>
    <w:rsid w:val="0016200E"/>
    <w:rsid w:val="00162066"/>
    <w:rsid w:val="0016215E"/>
    <w:rsid w:val="001621B9"/>
    <w:rsid w:val="001623F8"/>
    <w:rsid w:val="0016275D"/>
    <w:rsid w:val="00162AD4"/>
    <w:rsid w:val="00162D17"/>
    <w:rsid w:val="00162DD6"/>
    <w:rsid w:val="00162E6B"/>
    <w:rsid w:val="00162E7D"/>
    <w:rsid w:val="00162EB4"/>
    <w:rsid w:val="00162F66"/>
    <w:rsid w:val="0016306E"/>
    <w:rsid w:val="00163093"/>
    <w:rsid w:val="001634DE"/>
    <w:rsid w:val="0016386E"/>
    <w:rsid w:val="00163A97"/>
    <w:rsid w:val="00163AAD"/>
    <w:rsid w:val="001641DA"/>
    <w:rsid w:val="001642C4"/>
    <w:rsid w:val="001642CA"/>
    <w:rsid w:val="0016436C"/>
    <w:rsid w:val="001643E5"/>
    <w:rsid w:val="00164433"/>
    <w:rsid w:val="001645A7"/>
    <w:rsid w:val="00164A19"/>
    <w:rsid w:val="00164C77"/>
    <w:rsid w:val="00164CF3"/>
    <w:rsid w:val="00164EBC"/>
    <w:rsid w:val="00165046"/>
    <w:rsid w:val="0016545B"/>
    <w:rsid w:val="00165595"/>
    <w:rsid w:val="00165648"/>
    <w:rsid w:val="00165886"/>
    <w:rsid w:val="001659AB"/>
    <w:rsid w:val="00165B3F"/>
    <w:rsid w:val="00165CE8"/>
    <w:rsid w:val="00165DD4"/>
    <w:rsid w:val="00165E96"/>
    <w:rsid w:val="0016629A"/>
    <w:rsid w:val="0016657D"/>
    <w:rsid w:val="001669BE"/>
    <w:rsid w:val="00166B68"/>
    <w:rsid w:val="00166C30"/>
    <w:rsid w:val="00166CB5"/>
    <w:rsid w:val="00166D58"/>
    <w:rsid w:val="0016719A"/>
    <w:rsid w:val="001671AC"/>
    <w:rsid w:val="001671D0"/>
    <w:rsid w:val="001672AB"/>
    <w:rsid w:val="0016730B"/>
    <w:rsid w:val="0016732E"/>
    <w:rsid w:val="0016737A"/>
    <w:rsid w:val="001673B6"/>
    <w:rsid w:val="001674A5"/>
    <w:rsid w:val="001674A7"/>
    <w:rsid w:val="0016751F"/>
    <w:rsid w:val="001675C0"/>
    <w:rsid w:val="001675C2"/>
    <w:rsid w:val="0016760D"/>
    <w:rsid w:val="00167610"/>
    <w:rsid w:val="00167762"/>
    <w:rsid w:val="00167810"/>
    <w:rsid w:val="00167881"/>
    <w:rsid w:val="00167945"/>
    <w:rsid w:val="001679AF"/>
    <w:rsid w:val="00167C91"/>
    <w:rsid w:val="00167D5F"/>
    <w:rsid w:val="00170066"/>
    <w:rsid w:val="001701DA"/>
    <w:rsid w:val="00170391"/>
    <w:rsid w:val="00170418"/>
    <w:rsid w:val="00170516"/>
    <w:rsid w:val="0017055B"/>
    <w:rsid w:val="001705A0"/>
    <w:rsid w:val="0017069D"/>
    <w:rsid w:val="001706C9"/>
    <w:rsid w:val="00170763"/>
    <w:rsid w:val="00170979"/>
    <w:rsid w:val="00170CB0"/>
    <w:rsid w:val="00170D34"/>
    <w:rsid w:val="00170F3E"/>
    <w:rsid w:val="00170FCC"/>
    <w:rsid w:val="00171092"/>
    <w:rsid w:val="00171134"/>
    <w:rsid w:val="0017118D"/>
    <w:rsid w:val="0017129F"/>
    <w:rsid w:val="0017132D"/>
    <w:rsid w:val="001714A8"/>
    <w:rsid w:val="00171690"/>
    <w:rsid w:val="0017187F"/>
    <w:rsid w:val="00171983"/>
    <w:rsid w:val="00171A13"/>
    <w:rsid w:val="00171AF9"/>
    <w:rsid w:val="00171B2B"/>
    <w:rsid w:val="00171B42"/>
    <w:rsid w:val="00171BCE"/>
    <w:rsid w:val="00171D1E"/>
    <w:rsid w:val="00171DC9"/>
    <w:rsid w:val="00171E8E"/>
    <w:rsid w:val="00171F5E"/>
    <w:rsid w:val="0017221B"/>
    <w:rsid w:val="001723EB"/>
    <w:rsid w:val="001724AC"/>
    <w:rsid w:val="0017272D"/>
    <w:rsid w:val="00172BDD"/>
    <w:rsid w:val="00172CB2"/>
    <w:rsid w:val="00172D67"/>
    <w:rsid w:val="00172F2E"/>
    <w:rsid w:val="0017301F"/>
    <w:rsid w:val="0017322B"/>
    <w:rsid w:val="0017331C"/>
    <w:rsid w:val="001733E3"/>
    <w:rsid w:val="0017377F"/>
    <w:rsid w:val="00173895"/>
    <w:rsid w:val="001738EB"/>
    <w:rsid w:val="00173929"/>
    <w:rsid w:val="00173A17"/>
    <w:rsid w:val="00173E8C"/>
    <w:rsid w:val="00174063"/>
    <w:rsid w:val="0017416F"/>
    <w:rsid w:val="00174258"/>
    <w:rsid w:val="00174432"/>
    <w:rsid w:val="001744D7"/>
    <w:rsid w:val="00174633"/>
    <w:rsid w:val="00174651"/>
    <w:rsid w:val="00174696"/>
    <w:rsid w:val="001746CC"/>
    <w:rsid w:val="0017472A"/>
    <w:rsid w:val="0017497A"/>
    <w:rsid w:val="00174BFF"/>
    <w:rsid w:val="00174CBC"/>
    <w:rsid w:val="001751B5"/>
    <w:rsid w:val="0017546C"/>
    <w:rsid w:val="001755DD"/>
    <w:rsid w:val="0017566B"/>
    <w:rsid w:val="00175B7D"/>
    <w:rsid w:val="00175E67"/>
    <w:rsid w:val="00175EB5"/>
    <w:rsid w:val="00175F32"/>
    <w:rsid w:val="00175F35"/>
    <w:rsid w:val="00175F6D"/>
    <w:rsid w:val="00175FC9"/>
    <w:rsid w:val="00176292"/>
    <w:rsid w:val="00176293"/>
    <w:rsid w:val="001762DB"/>
    <w:rsid w:val="001762F2"/>
    <w:rsid w:val="001763E9"/>
    <w:rsid w:val="00176768"/>
    <w:rsid w:val="001767AF"/>
    <w:rsid w:val="001767EC"/>
    <w:rsid w:val="00176805"/>
    <w:rsid w:val="0017693F"/>
    <w:rsid w:val="00176972"/>
    <w:rsid w:val="00176AB7"/>
    <w:rsid w:val="00176AC0"/>
    <w:rsid w:val="00176B92"/>
    <w:rsid w:val="00176DA9"/>
    <w:rsid w:val="00176FD8"/>
    <w:rsid w:val="00177573"/>
    <w:rsid w:val="00177623"/>
    <w:rsid w:val="0017785D"/>
    <w:rsid w:val="00177E92"/>
    <w:rsid w:val="00177F92"/>
    <w:rsid w:val="00180152"/>
    <w:rsid w:val="00180191"/>
    <w:rsid w:val="00180268"/>
    <w:rsid w:val="001802EB"/>
    <w:rsid w:val="00180343"/>
    <w:rsid w:val="001803CA"/>
    <w:rsid w:val="0018040C"/>
    <w:rsid w:val="00180438"/>
    <w:rsid w:val="001804ED"/>
    <w:rsid w:val="00180981"/>
    <w:rsid w:val="00180A3D"/>
    <w:rsid w:val="00180D61"/>
    <w:rsid w:val="00181195"/>
    <w:rsid w:val="001815A9"/>
    <w:rsid w:val="001815BF"/>
    <w:rsid w:val="00181761"/>
    <w:rsid w:val="001817C1"/>
    <w:rsid w:val="0018199D"/>
    <w:rsid w:val="001819A5"/>
    <w:rsid w:val="00181A68"/>
    <w:rsid w:val="00181B7E"/>
    <w:rsid w:val="00181C71"/>
    <w:rsid w:val="00181C9F"/>
    <w:rsid w:val="0018208A"/>
    <w:rsid w:val="00182295"/>
    <w:rsid w:val="0018237B"/>
    <w:rsid w:val="001825CC"/>
    <w:rsid w:val="001826E9"/>
    <w:rsid w:val="00182894"/>
    <w:rsid w:val="001828C8"/>
    <w:rsid w:val="001828DA"/>
    <w:rsid w:val="0018293E"/>
    <w:rsid w:val="00182CAB"/>
    <w:rsid w:val="001830B4"/>
    <w:rsid w:val="001830C1"/>
    <w:rsid w:val="0018311A"/>
    <w:rsid w:val="0018328B"/>
    <w:rsid w:val="001832BE"/>
    <w:rsid w:val="00183333"/>
    <w:rsid w:val="00183352"/>
    <w:rsid w:val="00183557"/>
    <w:rsid w:val="00183644"/>
    <w:rsid w:val="00183652"/>
    <w:rsid w:val="0018367A"/>
    <w:rsid w:val="00183821"/>
    <w:rsid w:val="00183839"/>
    <w:rsid w:val="0018396B"/>
    <w:rsid w:val="00183B71"/>
    <w:rsid w:val="00183D5B"/>
    <w:rsid w:val="00183E79"/>
    <w:rsid w:val="00183EF6"/>
    <w:rsid w:val="00183EFF"/>
    <w:rsid w:val="00183F9C"/>
    <w:rsid w:val="001840C1"/>
    <w:rsid w:val="00184175"/>
    <w:rsid w:val="001843DD"/>
    <w:rsid w:val="0018445A"/>
    <w:rsid w:val="00184537"/>
    <w:rsid w:val="0018455C"/>
    <w:rsid w:val="001845BC"/>
    <w:rsid w:val="001846E2"/>
    <w:rsid w:val="00184A50"/>
    <w:rsid w:val="00184AB4"/>
    <w:rsid w:val="00184B06"/>
    <w:rsid w:val="00184CA4"/>
    <w:rsid w:val="00184D32"/>
    <w:rsid w:val="00184DE1"/>
    <w:rsid w:val="00184E16"/>
    <w:rsid w:val="00184E5A"/>
    <w:rsid w:val="001850DF"/>
    <w:rsid w:val="001850E6"/>
    <w:rsid w:val="00185468"/>
    <w:rsid w:val="0018548C"/>
    <w:rsid w:val="00185632"/>
    <w:rsid w:val="001857AE"/>
    <w:rsid w:val="00185818"/>
    <w:rsid w:val="00185BA6"/>
    <w:rsid w:val="00185D4F"/>
    <w:rsid w:val="00185D64"/>
    <w:rsid w:val="00185FAD"/>
    <w:rsid w:val="0018609D"/>
    <w:rsid w:val="00186248"/>
    <w:rsid w:val="001863EC"/>
    <w:rsid w:val="001864A9"/>
    <w:rsid w:val="001865A1"/>
    <w:rsid w:val="001866C9"/>
    <w:rsid w:val="0018674B"/>
    <w:rsid w:val="001868AB"/>
    <w:rsid w:val="0018696A"/>
    <w:rsid w:val="00186982"/>
    <w:rsid w:val="001869CC"/>
    <w:rsid w:val="00186E06"/>
    <w:rsid w:val="00186FC5"/>
    <w:rsid w:val="0018714D"/>
    <w:rsid w:val="00187506"/>
    <w:rsid w:val="00187694"/>
    <w:rsid w:val="001876BF"/>
    <w:rsid w:val="001876C1"/>
    <w:rsid w:val="00187943"/>
    <w:rsid w:val="00187B7F"/>
    <w:rsid w:val="00187BDD"/>
    <w:rsid w:val="00187C46"/>
    <w:rsid w:val="00187CF3"/>
    <w:rsid w:val="00187DE1"/>
    <w:rsid w:val="00190199"/>
    <w:rsid w:val="0019027A"/>
    <w:rsid w:val="0019039A"/>
    <w:rsid w:val="001903CA"/>
    <w:rsid w:val="001904AD"/>
    <w:rsid w:val="001904D5"/>
    <w:rsid w:val="0019051B"/>
    <w:rsid w:val="001907E4"/>
    <w:rsid w:val="001907FA"/>
    <w:rsid w:val="00190946"/>
    <w:rsid w:val="00190961"/>
    <w:rsid w:val="00190A0C"/>
    <w:rsid w:val="00190C9C"/>
    <w:rsid w:val="00190CD8"/>
    <w:rsid w:val="00190E21"/>
    <w:rsid w:val="00190FD5"/>
    <w:rsid w:val="00190FE8"/>
    <w:rsid w:val="0019119B"/>
    <w:rsid w:val="00191439"/>
    <w:rsid w:val="00191450"/>
    <w:rsid w:val="00191452"/>
    <w:rsid w:val="001916B2"/>
    <w:rsid w:val="00191833"/>
    <w:rsid w:val="00191A46"/>
    <w:rsid w:val="00191AD6"/>
    <w:rsid w:val="001920FB"/>
    <w:rsid w:val="0019219A"/>
    <w:rsid w:val="001921A7"/>
    <w:rsid w:val="00192375"/>
    <w:rsid w:val="001924B7"/>
    <w:rsid w:val="00192551"/>
    <w:rsid w:val="00192922"/>
    <w:rsid w:val="0019299B"/>
    <w:rsid w:val="00192F78"/>
    <w:rsid w:val="00192FE0"/>
    <w:rsid w:val="0019326D"/>
    <w:rsid w:val="001932D6"/>
    <w:rsid w:val="001933E3"/>
    <w:rsid w:val="001934A0"/>
    <w:rsid w:val="00193511"/>
    <w:rsid w:val="0019359D"/>
    <w:rsid w:val="001936AE"/>
    <w:rsid w:val="00193822"/>
    <w:rsid w:val="0019386C"/>
    <w:rsid w:val="00193A73"/>
    <w:rsid w:val="00193CDE"/>
    <w:rsid w:val="00193D3B"/>
    <w:rsid w:val="00193D6E"/>
    <w:rsid w:val="00193F9E"/>
    <w:rsid w:val="00193FBB"/>
    <w:rsid w:val="00194060"/>
    <w:rsid w:val="0019407A"/>
    <w:rsid w:val="001941ED"/>
    <w:rsid w:val="00194261"/>
    <w:rsid w:val="0019432A"/>
    <w:rsid w:val="0019439A"/>
    <w:rsid w:val="001944FA"/>
    <w:rsid w:val="00194518"/>
    <w:rsid w:val="001946E7"/>
    <w:rsid w:val="001947E6"/>
    <w:rsid w:val="00194A1C"/>
    <w:rsid w:val="00194A9C"/>
    <w:rsid w:val="00194DBA"/>
    <w:rsid w:val="00194F51"/>
    <w:rsid w:val="00194F76"/>
    <w:rsid w:val="0019508B"/>
    <w:rsid w:val="0019524A"/>
    <w:rsid w:val="00195259"/>
    <w:rsid w:val="00195301"/>
    <w:rsid w:val="00195675"/>
    <w:rsid w:val="00195759"/>
    <w:rsid w:val="0019576E"/>
    <w:rsid w:val="0019586F"/>
    <w:rsid w:val="00195AD5"/>
    <w:rsid w:val="00195AF2"/>
    <w:rsid w:val="00195D15"/>
    <w:rsid w:val="00195D22"/>
    <w:rsid w:val="00195D54"/>
    <w:rsid w:val="00195E11"/>
    <w:rsid w:val="00195EB0"/>
    <w:rsid w:val="00195F2B"/>
    <w:rsid w:val="001960E8"/>
    <w:rsid w:val="001961A5"/>
    <w:rsid w:val="001961B6"/>
    <w:rsid w:val="0019632C"/>
    <w:rsid w:val="00196458"/>
    <w:rsid w:val="001967EC"/>
    <w:rsid w:val="00196900"/>
    <w:rsid w:val="0019693B"/>
    <w:rsid w:val="00196A6D"/>
    <w:rsid w:val="00196A77"/>
    <w:rsid w:val="00196A78"/>
    <w:rsid w:val="00196D66"/>
    <w:rsid w:val="001970DA"/>
    <w:rsid w:val="001971C2"/>
    <w:rsid w:val="001972C9"/>
    <w:rsid w:val="001975B2"/>
    <w:rsid w:val="001975F8"/>
    <w:rsid w:val="0019763A"/>
    <w:rsid w:val="0019788B"/>
    <w:rsid w:val="00197A12"/>
    <w:rsid w:val="00197B98"/>
    <w:rsid w:val="00197FAC"/>
    <w:rsid w:val="00197FFD"/>
    <w:rsid w:val="001A009A"/>
    <w:rsid w:val="001A009E"/>
    <w:rsid w:val="001A00F3"/>
    <w:rsid w:val="001A0294"/>
    <w:rsid w:val="001A0295"/>
    <w:rsid w:val="001A0502"/>
    <w:rsid w:val="001A0565"/>
    <w:rsid w:val="001A0585"/>
    <w:rsid w:val="001A06D3"/>
    <w:rsid w:val="001A0755"/>
    <w:rsid w:val="001A0873"/>
    <w:rsid w:val="001A08DF"/>
    <w:rsid w:val="001A0DFB"/>
    <w:rsid w:val="001A0E43"/>
    <w:rsid w:val="001A0F1C"/>
    <w:rsid w:val="001A0F6F"/>
    <w:rsid w:val="001A10E2"/>
    <w:rsid w:val="001A12B2"/>
    <w:rsid w:val="001A1619"/>
    <w:rsid w:val="001A1797"/>
    <w:rsid w:val="001A17AD"/>
    <w:rsid w:val="001A1837"/>
    <w:rsid w:val="001A19FC"/>
    <w:rsid w:val="001A1B8F"/>
    <w:rsid w:val="001A1C34"/>
    <w:rsid w:val="001A1DDB"/>
    <w:rsid w:val="001A1EA8"/>
    <w:rsid w:val="001A1F56"/>
    <w:rsid w:val="001A23D8"/>
    <w:rsid w:val="001A245E"/>
    <w:rsid w:val="001A2589"/>
    <w:rsid w:val="001A2AD6"/>
    <w:rsid w:val="001A2B06"/>
    <w:rsid w:val="001A2C6F"/>
    <w:rsid w:val="001A2F68"/>
    <w:rsid w:val="001A315F"/>
    <w:rsid w:val="001A31C9"/>
    <w:rsid w:val="001A3211"/>
    <w:rsid w:val="001A33A9"/>
    <w:rsid w:val="001A349F"/>
    <w:rsid w:val="001A35A6"/>
    <w:rsid w:val="001A37E3"/>
    <w:rsid w:val="001A38BB"/>
    <w:rsid w:val="001A38F0"/>
    <w:rsid w:val="001A397E"/>
    <w:rsid w:val="001A39C7"/>
    <w:rsid w:val="001A3B6B"/>
    <w:rsid w:val="001A3BDC"/>
    <w:rsid w:val="001A3C04"/>
    <w:rsid w:val="001A3CEB"/>
    <w:rsid w:val="001A3E63"/>
    <w:rsid w:val="001A3EB5"/>
    <w:rsid w:val="001A3F8B"/>
    <w:rsid w:val="001A42AA"/>
    <w:rsid w:val="001A4358"/>
    <w:rsid w:val="001A46C3"/>
    <w:rsid w:val="001A473B"/>
    <w:rsid w:val="001A4807"/>
    <w:rsid w:val="001A48CD"/>
    <w:rsid w:val="001A4A8F"/>
    <w:rsid w:val="001A4AEE"/>
    <w:rsid w:val="001A4C00"/>
    <w:rsid w:val="001A4C11"/>
    <w:rsid w:val="001A4CE1"/>
    <w:rsid w:val="001A509C"/>
    <w:rsid w:val="001A51DD"/>
    <w:rsid w:val="001A5263"/>
    <w:rsid w:val="001A5329"/>
    <w:rsid w:val="001A5335"/>
    <w:rsid w:val="001A546A"/>
    <w:rsid w:val="001A548F"/>
    <w:rsid w:val="001A5664"/>
    <w:rsid w:val="001A56B2"/>
    <w:rsid w:val="001A58FC"/>
    <w:rsid w:val="001A58FE"/>
    <w:rsid w:val="001A5A8B"/>
    <w:rsid w:val="001A5C5B"/>
    <w:rsid w:val="001A5DC6"/>
    <w:rsid w:val="001A6273"/>
    <w:rsid w:val="001A65BA"/>
    <w:rsid w:val="001A686C"/>
    <w:rsid w:val="001A6B0F"/>
    <w:rsid w:val="001A6BDA"/>
    <w:rsid w:val="001A6CC0"/>
    <w:rsid w:val="001A6E18"/>
    <w:rsid w:val="001A70D1"/>
    <w:rsid w:val="001A710A"/>
    <w:rsid w:val="001A7220"/>
    <w:rsid w:val="001A7240"/>
    <w:rsid w:val="001A730A"/>
    <w:rsid w:val="001A7444"/>
    <w:rsid w:val="001A749F"/>
    <w:rsid w:val="001A76C6"/>
    <w:rsid w:val="001A7701"/>
    <w:rsid w:val="001A7703"/>
    <w:rsid w:val="001A7787"/>
    <w:rsid w:val="001A7B6B"/>
    <w:rsid w:val="001A7C72"/>
    <w:rsid w:val="001A7DF5"/>
    <w:rsid w:val="001A7E14"/>
    <w:rsid w:val="001B00B5"/>
    <w:rsid w:val="001B0156"/>
    <w:rsid w:val="001B01E0"/>
    <w:rsid w:val="001B040C"/>
    <w:rsid w:val="001B0474"/>
    <w:rsid w:val="001B0510"/>
    <w:rsid w:val="001B076F"/>
    <w:rsid w:val="001B098A"/>
    <w:rsid w:val="001B0C2B"/>
    <w:rsid w:val="001B0F02"/>
    <w:rsid w:val="001B112D"/>
    <w:rsid w:val="001B15A8"/>
    <w:rsid w:val="001B1792"/>
    <w:rsid w:val="001B1842"/>
    <w:rsid w:val="001B1A3F"/>
    <w:rsid w:val="001B1ACE"/>
    <w:rsid w:val="001B1AF0"/>
    <w:rsid w:val="001B1C06"/>
    <w:rsid w:val="001B1E94"/>
    <w:rsid w:val="001B1ED5"/>
    <w:rsid w:val="001B1F7E"/>
    <w:rsid w:val="001B20B0"/>
    <w:rsid w:val="001B217E"/>
    <w:rsid w:val="001B223D"/>
    <w:rsid w:val="001B250F"/>
    <w:rsid w:val="001B2600"/>
    <w:rsid w:val="001B261B"/>
    <w:rsid w:val="001B288F"/>
    <w:rsid w:val="001B2A17"/>
    <w:rsid w:val="001B2AAB"/>
    <w:rsid w:val="001B2AFE"/>
    <w:rsid w:val="001B2D50"/>
    <w:rsid w:val="001B33E8"/>
    <w:rsid w:val="001B374E"/>
    <w:rsid w:val="001B377F"/>
    <w:rsid w:val="001B3808"/>
    <w:rsid w:val="001B3991"/>
    <w:rsid w:val="001B3D6E"/>
    <w:rsid w:val="001B3EA1"/>
    <w:rsid w:val="001B3F5D"/>
    <w:rsid w:val="001B3FE5"/>
    <w:rsid w:val="001B40E5"/>
    <w:rsid w:val="001B4320"/>
    <w:rsid w:val="001B45C6"/>
    <w:rsid w:val="001B4630"/>
    <w:rsid w:val="001B4639"/>
    <w:rsid w:val="001B4878"/>
    <w:rsid w:val="001B48CD"/>
    <w:rsid w:val="001B4ACF"/>
    <w:rsid w:val="001B4E30"/>
    <w:rsid w:val="001B4EBC"/>
    <w:rsid w:val="001B50E3"/>
    <w:rsid w:val="001B512B"/>
    <w:rsid w:val="001B51D4"/>
    <w:rsid w:val="001B530F"/>
    <w:rsid w:val="001B54D2"/>
    <w:rsid w:val="001B56F1"/>
    <w:rsid w:val="001B56F8"/>
    <w:rsid w:val="001B5756"/>
    <w:rsid w:val="001B581F"/>
    <w:rsid w:val="001B58F7"/>
    <w:rsid w:val="001B5A3A"/>
    <w:rsid w:val="001B5C15"/>
    <w:rsid w:val="001B5C3B"/>
    <w:rsid w:val="001B5D70"/>
    <w:rsid w:val="001B5D84"/>
    <w:rsid w:val="001B5E15"/>
    <w:rsid w:val="001B5ED7"/>
    <w:rsid w:val="001B5F01"/>
    <w:rsid w:val="001B5F11"/>
    <w:rsid w:val="001B5FD5"/>
    <w:rsid w:val="001B626E"/>
    <w:rsid w:val="001B6287"/>
    <w:rsid w:val="001B639B"/>
    <w:rsid w:val="001B649B"/>
    <w:rsid w:val="001B6597"/>
    <w:rsid w:val="001B6A43"/>
    <w:rsid w:val="001B6A55"/>
    <w:rsid w:val="001B6CC3"/>
    <w:rsid w:val="001B6F0C"/>
    <w:rsid w:val="001B704F"/>
    <w:rsid w:val="001B7081"/>
    <w:rsid w:val="001B708D"/>
    <w:rsid w:val="001B71D8"/>
    <w:rsid w:val="001B729D"/>
    <w:rsid w:val="001B73F2"/>
    <w:rsid w:val="001B7405"/>
    <w:rsid w:val="001B749C"/>
    <w:rsid w:val="001B761F"/>
    <w:rsid w:val="001B7731"/>
    <w:rsid w:val="001B791F"/>
    <w:rsid w:val="001B7CAA"/>
    <w:rsid w:val="001B7DBF"/>
    <w:rsid w:val="001B7FAB"/>
    <w:rsid w:val="001C024C"/>
    <w:rsid w:val="001C0319"/>
    <w:rsid w:val="001C044E"/>
    <w:rsid w:val="001C04F1"/>
    <w:rsid w:val="001C055D"/>
    <w:rsid w:val="001C0571"/>
    <w:rsid w:val="001C057F"/>
    <w:rsid w:val="001C05B7"/>
    <w:rsid w:val="001C0643"/>
    <w:rsid w:val="001C0969"/>
    <w:rsid w:val="001C09A7"/>
    <w:rsid w:val="001C09AB"/>
    <w:rsid w:val="001C09B3"/>
    <w:rsid w:val="001C0B13"/>
    <w:rsid w:val="001C0B1B"/>
    <w:rsid w:val="001C0D4C"/>
    <w:rsid w:val="001C0DD2"/>
    <w:rsid w:val="001C0FB1"/>
    <w:rsid w:val="001C1468"/>
    <w:rsid w:val="001C16CE"/>
    <w:rsid w:val="001C17E2"/>
    <w:rsid w:val="001C18B6"/>
    <w:rsid w:val="001C18DE"/>
    <w:rsid w:val="001C1D92"/>
    <w:rsid w:val="001C1F5E"/>
    <w:rsid w:val="001C216C"/>
    <w:rsid w:val="001C21B2"/>
    <w:rsid w:val="001C21F3"/>
    <w:rsid w:val="001C22C1"/>
    <w:rsid w:val="001C25B8"/>
    <w:rsid w:val="001C26FD"/>
    <w:rsid w:val="001C2757"/>
    <w:rsid w:val="001C278C"/>
    <w:rsid w:val="001C28C8"/>
    <w:rsid w:val="001C2935"/>
    <w:rsid w:val="001C2B9E"/>
    <w:rsid w:val="001C2BA0"/>
    <w:rsid w:val="001C2EE6"/>
    <w:rsid w:val="001C2F13"/>
    <w:rsid w:val="001C2FA6"/>
    <w:rsid w:val="001C309E"/>
    <w:rsid w:val="001C319D"/>
    <w:rsid w:val="001C3227"/>
    <w:rsid w:val="001C3651"/>
    <w:rsid w:val="001C375C"/>
    <w:rsid w:val="001C37EA"/>
    <w:rsid w:val="001C3C31"/>
    <w:rsid w:val="001C3C71"/>
    <w:rsid w:val="001C3DA1"/>
    <w:rsid w:val="001C4052"/>
    <w:rsid w:val="001C4401"/>
    <w:rsid w:val="001C452D"/>
    <w:rsid w:val="001C4598"/>
    <w:rsid w:val="001C468E"/>
    <w:rsid w:val="001C4868"/>
    <w:rsid w:val="001C494A"/>
    <w:rsid w:val="001C4B10"/>
    <w:rsid w:val="001C4D24"/>
    <w:rsid w:val="001C4E88"/>
    <w:rsid w:val="001C52B6"/>
    <w:rsid w:val="001C52BA"/>
    <w:rsid w:val="001C5431"/>
    <w:rsid w:val="001C58A9"/>
    <w:rsid w:val="001C591F"/>
    <w:rsid w:val="001C5B41"/>
    <w:rsid w:val="001C5D1D"/>
    <w:rsid w:val="001C5D8D"/>
    <w:rsid w:val="001C5DCF"/>
    <w:rsid w:val="001C61C9"/>
    <w:rsid w:val="001C6268"/>
    <w:rsid w:val="001C62F0"/>
    <w:rsid w:val="001C64C7"/>
    <w:rsid w:val="001C66BE"/>
    <w:rsid w:val="001C675B"/>
    <w:rsid w:val="001C6938"/>
    <w:rsid w:val="001C6BAA"/>
    <w:rsid w:val="001C6D92"/>
    <w:rsid w:val="001C7134"/>
    <w:rsid w:val="001C733C"/>
    <w:rsid w:val="001C7446"/>
    <w:rsid w:val="001C76BB"/>
    <w:rsid w:val="001C77C6"/>
    <w:rsid w:val="001C78EE"/>
    <w:rsid w:val="001C7972"/>
    <w:rsid w:val="001C7BD6"/>
    <w:rsid w:val="001C7C09"/>
    <w:rsid w:val="001C7C21"/>
    <w:rsid w:val="001D01CD"/>
    <w:rsid w:val="001D06B4"/>
    <w:rsid w:val="001D06FC"/>
    <w:rsid w:val="001D070C"/>
    <w:rsid w:val="001D0741"/>
    <w:rsid w:val="001D08B6"/>
    <w:rsid w:val="001D0B14"/>
    <w:rsid w:val="001D0B2A"/>
    <w:rsid w:val="001D0C3D"/>
    <w:rsid w:val="001D0CF1"/>
    <w:rsid w:val="001D0D72"/>
    <w:rsid w:val="001D0E2A"/>
    <w:rsid w:val="001D0E3D"/>
    <w:rsid w:val="001D11BE"/>
    <w:rsid w:val="001D11C5"/>
    <w:rsid w:val="001D13AB"/>
    <w:rsid w:val="001D13BA"/>
    <w:rsid w:val="001D142F"/>
    <w:rsid w:val="001D1473"/>
    <w:rsid w:val="001D15A2"/>
    <w:rsid w:val="001D1774"/>
    <w:rsid w:val="001D1885"/>
    <w:rsid w:val="001D18A4"/>
    <w:rsid w:val="001D18C3"/>
    <w:rsid w:val="001D1BEE"/>
    <w:rsid w:val="001D1CA2"/>
    <w:rsid w:val="001D1D36"/>
    <w:rsid w:val="001D1D65"/>
    <w:rsid w:val="001D2164"/>
    <w:rsid w:val="001D21D6"/>
    <w:rsid w:val="001D2330"/>
    <w:rsid w:val="001D2348"/>
    <w:rsid w:val="001D269B"/>
    <w:rsid w:val="001D290A"/>
    <w:rsid w:val="001D2CA1"/>
    <w:rsid w:val="001D2CCA"/>
    <w:rsid w:val="001D2EA6"/>
    <w:rsid w:val="001D2EF4"/>
    <w:rsid w:val="001D2F10"/>
    <w:rsid w:val="001D2F5D"/>
    <w:rsid w:val="001D30AC"/>
    <w:rsid w:val="001D30EE"/>
    <w:rsid w:val="001D31C4"/>
    <w:rsid w:val="001D3218"/>
    <w:rsid w:val="001D33C5"/>
    <w:rsid w:val="001D36A2"/>
    <w:rsid w:val="001D37EA"/>
    <w:rsid w:val="001D3896"/>
    <w:rsid w:val="001D3928"/>
    <w:rsid w:val="001D395E"/>
    <w:rsid w:val="001D3AA5"/>
    <w:rsid w:val="001D3B1B"/>
    <w:rsid w:val="001D3B5F"/>
    <w:rsid w:val="001D3DE5"/>
    <w:rsid w:val="001D3FC7"/>
    <w:rsid w:val="001D4093"/>
    <w:rsid w:val="001D4150"/>
    <w:rsid w:val="001D45A5"/>
    <w:rsid w:val="001D45E0"/>
    <w:rsid w:val="001D46B8"/>
    <w:rsid w:val="001D487E"/>
    <w:rsid w:val="001D4895"/>
    <w:rsid w:val="001D4ABA"/>
    <w:rsid w:val="001D4AE5"/>
    <w:rsid w:val="001D4E19"/>
    <w:rsid w:val="001D4F7C"/>
    <w:rsid w:val="001D5098"/>
    <w:rsid w:val="001D51BF"/>
    <w:rsid w:val="001D523B"/>
    <w:rsid w:val="001D547D"/>
    <w:rsid w:val="001D5509"/>
    <w:rsid w:val="001D5629"/>
    <w:rsid w:val="001D5822"/>
    <w:rsid w:val="001D58F0"/>
    <w:rsid w:val="001D59C3"/>
    <w:rsid w:val="001D5A8C"/>
    <w:rsid w:val="001D5DAE"/>
    <w:rsid w:val="001D5DC1"/>
    <w:rsid w:val="001D5ED8"/>
    <w:rsid w:val="001D6086"/>
    <w:rsid w:val="001D6123"/>
    <w:rsid w:val="001D623D"/>
    <w:rsid w:val="001D637E"/>
    <w:rsid w:val="001D6395"/>
    <w:rsid w:val="001D63A0"/>
    <w:rsid w:val="001D6440"/>
    <w:rsid w:val="001D64BD"/>
    <w:rsid w:val="001D671E"/>
    <w:rsid w:val="001D676C"/>
    <w:rsid w:val="001D689C"/>
    <w:rsid w:val="001D693D"/>
    <w:rsid w:val="001D6954"/>
    <w:rsid w:val="001D6A0D"/>
    <w:rsid w:val="001D6DB2"/>
    <w:rsid w:val="001D6DF4"/>
    <w:rsid w:val="001D7022"/>
    <w:rsid w:val="001D7124"/>
    <w:rsid w:val="001D75E0"/>
    <w:rsid w:val="001D7745"/>
    <w:rsid w:val="001D7758"/>
    <w:rsid w:val="001D77E2"/>
    <w:rsid w:val="001D78BB"/>
    <w:rsid w:val="001D7B30"/>
    <w:rsid w:val="001D7E85"/>
    <w:rsid w:val="001E00B1"/>
    <w:rsid w:val="001E020F"/>
    <w:rsid w:val="001E036B"/>
    <w:rsid w:val="001E0380"/>
    <w:rsid w:val="001E0484"/>
    <w:rsid w:val="001E04D5"/>
    <w:rsid w:val="001E0752"/>
    <w:rsid w:val="001E076B"/>
    <w:rsid w:val="001E091B"/>
    <w:rsid w:val="001E0B56"/>
    <w:rsid w:val="001E0BBA"/>
    <w:rsid w:val="001E0C4F"/>
    <w:rsid w:val="001E0C6D"/>
    <w:rsid w:val="001E0C9C"/>
    <w:rsid w:val="001E0CA4"/>
    <w:rsid w:val="001E0DAB"/>
    <w:rsid w:val="001E0E7A"/>
    <w:rsid w:val="001E0EF7"/>
    <w:rsid w:val="001E0FC7"/>
    <w:rsid w:val="001E10F7"/>
    <w:rsid w:val="001E13CA"/>
    <w:rsid w:val="001E1741"/>
    <w:rsid w:val="001E17C7"/>
    <w:rsid w:val="001E1829"/>
    <w:rsid w:val="001E1A6C"/>
    <w:rsid w:val="001E1CB3"/>
    <w:rsid w:val="001E1D31"/>
    <w:rsid w:val="001E1E33"/>
    <w:rsid w:val="001E20C2"/>
    <w:rsid w:val="001E21AE"/>
    <w:rsid w:val="001E2428"/>
    <w:rsid w:val="001E25D9"/>
    <w:rsid w:val="001E2610"/>
    <w:rsid w:val="001E2692"/>
    <w:rsid w:val="001E26AB"/>
    <w:rsid w:val="001E2727"/>
    <w:rsid w:val="001E2747"/>
    <w:rsid w:val="001E2C8D"/>
    <w:rsid w:val="001E2D2E"/>
    <w:rsid w:val="001E2F53"/>
    <w:rsid w:val="001E30B8"/>
    <w:rsid w:val="001E3128"/>
    <w:rsid w:val="001E325E"/>
    <w:rsid w:val="001E32FA"/>
    <w:rsid w:val="001E34BD"/>
    <w:rsid w:val="001E3500"/>
    <w:rsid w:val="001E3579"/>
    <w:rsid w:val="001E3674"/>
    <w:rsid w:val="001E36D9"/>
    <w:rsid w:val="001E37BC"/>
    <w:rsid w:val="001E3E53"/>
    <w:rsid w:val="001E409F"/>
    <w:rsid w:val="001E420E"/>
    <w:rsid w:val="001E43C2"/>
    <w:rsid w:val="001E4581"/>
    <w:rsid w:val="001E45CE"/>
    <w:rsid w:val="001E46E2"/>
    <w:rsid w:val="001E477B"/>
    <w:rsid w:val="001E47B9"/>
    <w:rsid w:val="001E4998"/>
    <w:rsid w:val="001E49C2"/>
    <w:rsid w:val="001E4BEC"/>
    <w:rsid w:val="001E4E99"/>
    <w:rsid w:val="001E5135"/>
    <w:rsid w:val="001E52C9"/>
    <w:rsid w:val="001E52DD"/>
    <w:rsid w:val="001E5301"/>
    <w:rsid w:val="001E54E9"/>
    <w:rsid w:val="001E558C"/>
    <w:rsid w:val="001E559F"/>
    <w:rsid w:val="001E55DE"/>
    <w:rsid w:val="001E5627"/>
    <w:rsid w:val="001E5644"/>
    <w:rsid w:val="001E5940"/>
    <w:rsid w:val="001E59C5"/>
    <w:rsid w:val="001E5A58"/>
    <w:rsid w:val="001E5A7C"/>
    <w:rsid w:val="001E5AE5"/>
    <w:rsid w:val="001E5BD0"/>
    <w:rsid w:val="001E5F31"/>
    <w:rsid w:val="001E65AE"/>
    <w:rsid w:val="001E6782"/>
    <w:rsid w:val="001E6839"/>
    <w:rsid w:val="001E6899"/>
    <w:rsid w:val="001E6A9F"/>
    <w:rsid w:val="001E6BA6"/>
    <w:rsid w:val="001E6BAA"/>
    <w:rsid w:val="001E6C48"/>
    <w:rsid w:val="001E6C82"/>
    <w:rsid w:val="001E6CD4"/>
    <w:rsid w:val="001E6D1E"/>
    <w:rsid w:val="001E6D8E"/>
    <w:rsid w:val="001E72AD"/>
    <w:rsid w:val="001E7389"/>
    <w:rsid w:val="001E7598"/>
    <w:rsid w:val="001E78A4"/>
    <w:rsid w:val="001E78C7"/>
    <w:rsid w:val="001E7A6F"/>
    <w:rsid w:val="001E7C29"/>
    <w:rsid w:val="001E7D21"/>
    <w:rsid w:val="001E7F3D"/>
    <w:rsid w:val="001E7FF8"/>
    <w:rsid w:val="001F0292"/>
    <w:rsid w:val="001F03CD"/>
    <w:rsid w:val="001F03D6"/>
    <w:rsid w:val="001F04D6"/>
    <w:rsid w:val="001F066B"/>
    <w:rsid w:val="001F079B"/>
    <w:rsid w:val="001F0851"/>
    <w:rsid w:val="001F08E5"/>
    <w:rsid w:val="001F0A0B"/>
    <w:rsid w:val="001F0A24"/>
    <w:rsid w:val="001F0A2C"/>
    <w:rsid w:val="001F0B8A"/>
    <w:rsid w:val="001F0CA9"/>
    <w:rsid w:val="001F0CE1"/>
    <w:rsid w:val="001F0CF1"/>
    <w:rsid w:val="001F0EB2"/>
    <w:rsid w:val="001F0FB3"/>
    <w:rsid w:val="001F107D"/>
    <w:rsid w:val="001F1235"/>
    <w:rsid w:val="001F12AB"/>
    <w:rsid w:val="001F1535"/>
    <w:rsid w:val="001F16B0"/>
    <w:rsid w:val="001F1720"/>
    <w:rsid w:val="001F179C"/>
    <w:rsid w:val="001F1906"/>
    <w:rsid w:val="001F19F5"/>
    <w:rsid w:val="001F1D77"/>
    <w:rsid w:val="001F1D7C"/>
    <w:rsid w:val="001F1DD1"/>
    <w:rsid w:val="001F1E42"/>
    <w:rsid w:val="001F1EED"/>
    <w:rsid w:val="001F1F32"/>
    <w:rsid w:val="001F1F8F"/>
    <w:rsid w:val="001F211C"/>
    <w:rsid w:val="001F2124"/>
    <w:rsid w:val="001F21B8"/>
    <w:rsid w:val="001F22C8"/>
    <w:rsid w:val="001F2320"/>
    <w:rsid w:val="001F234E"/>
    <w:rsid w:val="001F24AD"/>
    <w:rsid w:val="001F24E3"/>
    <w:rsid w:val="001F262D"/>
    <w:rsid w:val="001F29B8"/>
    <w:rsid w:val="001F29D6"/>
    <w:rsid w:val="001F2BD5"/>
    <w:rsid w:val="001F2D26"/>
    <w:rsid w:val="001F2D65"/>
    <w:rsid w:val="001F2E1B"/>
    <w:rsid w:val="001F3073"/>
    <w:rsid w:val="001F32D2"/>
    <w:rsid w:val="001F3533"/>
    <w:rsid w:val="001F36B8"/>
    <w:rsid w:val="001F3723"/>
    <w:rsid w:val="001F3750"/>
    <w:rsid w:val="001F3818"/>
    <w:rsid w:val="001F38CB"/>
    <w:rsid w:val="001F3913"/>
    <w:rsid w:val="001F3975"/>
    <w:rsid w:val="001F3B94"/>
    <w:rsid w:val="001F3C91"/>
    <w:rsid w:val="001F3EB9"/>
    <w:rsid w:val="001F3EFE"/>
    <w:rsid w:val="001F4119"/>
    <w:rsid w:val="001F415E"/>
    <w:rsid w:val="001F4194"/>
    <w:rsid w:val="001F419B"/>
    <w:rsid w:val="001F4302"/>
    <w:rsid w:val="001F45E8"/>
    <w:rsid w:val="001F47AC"/>
    <w:rsid w:val="001F4901"/>
    <w:rsid w:val="001F49AC"/>
    <w:rsid w:val="001F4C02"/>
    <w:rsid w:val="001F4E01"/>
    <w:rsid w:val="001F501D"/>
    <w:rsid w:val="001F50B2"/>
    <w:rsid w:val="001F53D2"/>
    <w:rsid w:val="001F53F2"/>
    <w:rsid w:val="001F5470"/>
    <w:rsid w:val="001F55BB"/>
    <w:rsid w:val="001F5608"/>
    <w:rsid w:val="001F5935"/>
    <w:rsid w:val="001F5B4D"/>
    <w:rsid w:val="001F5DEF"/>
    <w:rsid w:val="001F5E01"/>
    <w:rsid w:val="001F5E43"/>
    <w:rsid w:val="001F5F19"/>
    <w:rsid w:val="001F5F35"/>
    <w:rsid w:val="001F5FF2"/>
    <w:rsid w:val="001F6095"/>
    <w:rsid w:val="001F633E"/>
    <w:rsid w:val="001F6423"/>
    <w:rsid w:val="001F644E"/>
    <w:rsid w:val="001F64FB"/>
    <w:rsid w:val="001F6754"/>
    <w:rsid w:val="001F6766"/>
    <w:rsid w:val="001F688B"/>
    <w:rsid w:val="001F6D4A"/>
    <w:rsid w:val="001F6DC4"/>
    <w:rsid w:val="001F6F46"/>
    <w:rsid w:val="001F7042"/>
    <w:rsid w:val="001F708C"/>
    <w:rsid w:val="001F70C5"/>
    <w:rsid w:val="001F758B"/>
    <w:rsid w:val="001F77D3"/>
    <w:rsid w:val="001F7857"/>
    <w:rsid w:val="001F7B8A"/>
    <w:rsid w:val="00200052"/>
    <w:rsid w:val="0020005C"/>
    <w:rsid w:val="002001A7"/>
    <w:rsid w:val="002004E4"/>
    <w:rsid w:val="00200CED"/>
    <w:rsid w:val="00200D3E"/>
    <w:rsid w:val="00200F06"/>
    <w:rsid w:val="00200FF2"/>
    <w:rsid w:val="002010FD"/>
    <w:rsid w:val="0020120C"/>
    <w:rsid w:val="00201543"/>
    <w:rsid w:val="00201CE5"/>
    <w:rsid w:val="00201CFF"/>
    <w:rsid w:val="00201D0D"/>
    <w:rsid w:val="00201E8A"/>
    <w:rsid w:val="002020AB"/>
    <w:rsid w:val="002021BA"/>
    <w:rsid w:val="002022E9"/>
    <w:rsid w:val="00202393"/>
    <w:rsid w:val="002023ED"/>
    <w:rsid w:val="0020240B"/>
    <w:rsid w:val="00202517"/>
    <w:rsid w:val="00202757"/>
    <w:rsid w:val="002028C7"/>
    <w:rsid w:val="002028E3"/>
    <w:rsid w:val="002029A4"/>
    <w:rsid w:val="00202BD2"/>
    <w:rsid w:val="00202E50"/>
    <w:rsid w:val="00202EF5"/>
    <w:rsid w:val="00202F3E"/>
    <w:rsid w:val="00203045"/>
    <w:rsid w:val="00203046"/>
    <w:rsid w:val="0020321A"/>
    <w:rsid w:val="002032FD"/>
    <w:rsid w:val="0020334E"/>
    <w:rsid w:val="002033B7"/>
    <w:rsid w:val="00203570"/>
    <w:rsid w:val="002036DE"/>
    <w:rsid w:val="00203ADD"/>
    <w:rsid w:val="00203C17"/>
    <w:rsid w:val="00203FA5"/>
    <w:rsid w:val="00204088"/>
    <w:rsid w:val="00204092"/>
    <w:rsid w:val="00204312"/>
    <w:rsid w:val="002043AC"/>
    <w:rsid w:val="002046F8"/>
    <w:rsid w:val="002047FC"/>
    <w:rsid w:val="00204871"/>
    <w:rsid w:val="002048C5"/>
    <w:rsid w:val="00204C2E"/>
    <w:rsid w:val="00204E72"/>
    <w:rsid w:val="002054B9"/>
    <w:rsid w:val="002055CB"/>
    <w:rsid w:val="0020567B"/>
    <w:rsid w:val="0020586C"/>
    <w:rsid w:val="00205930"/>
    <w:rsid w:val="00205943"/>
    <w:rsid w:val="00205AE0"/>
    <w:rsid w:val="00205B68"/>
    <w:rsid w:val="00205C71"/>
    <w:rsid w:val="00205FC2"/>
    <w:rsid w:val="00205FE5"/>
    <w:rsid w:val="002062FA"/>
    <w:rsid w:val="00206448"/>
    <w:rsid w:val="002064F9"/>
    <w:rsid w:val="00206542"/>
    <w:rsid w:val="00206659"/>
    <w:rsid w:val="00206706"/>
    <w:rsid w:val="0020673E"/>
    <w:rsid w:val="00206AA2"/>
    <w:rsid w:val="00206B8C"/>
    <w:rsid w:val="00206BAF"/>
    <w:rsid w:val="00206ECD"/>
    <w:rsid w:val="00207223"/>
    <w:rsid w:val="002072B5"/>
    <w:rsid w:val="00207301"/>
    <w:rsid w:val="00207411"/>
    <w:rsid w:val="00207616"/>
    <w:rsid w:val="002076A0"/>
    <w:rsid w:val="00207726"/>
    <w:rsid w:val="002077D0"/>
    <w:rsid w:val="002077F7"/>
    <w:rsid w:val="0020786F"/>
    <w:rsid w:val="002078B7"/>
    <w:rsid w:val="00207A6C"/>
    <w:rsid w:val="00207C68"/>
    <w:rsid w:val="00207C81"/>
    <w:rsid w:val="00207F4F"/>
    <w:rsid w:val="0021025A"/>
    <w:rsid w:val="002105C6"/>
    <w:rsid w:val="00210617"/>
    <w:rsid w:val="00210A6A"/>
    <w:rsid w:val="00210B49"/>
    <w:rsid w:val="00210BE7"/>
    <w:rsid w:val="00210C85"/>
    <w:rsid w:val="00210D62"/>
    <w:rsid w:val="00210E69"/>
    <w:rsid w:val="0021103E"/>
    <w:rsid w:val="002110AF"/>
    <w:rsid w:val="002113E7"/>
    <w:rsid w:val="00211422"/>
    <w:rsid w:val="002115EF"/>
    <w:rsid w:val="0021169A"/>
    <w:rsid w:val="002116BA"/>
    <w:rsid w:val="0021170E"/>
    <w:rsid w:val="00211780"/>
    <w:rsid w:val="002119FC"/>
    <w:rsid w:val="00211C56"/>
    <w:rsid w:val="00211CD9"/>
    <w:rsid w:val="00211ECC"/>
    <w:rsid w:val="00212422"/>
    <w:rsid w:val="0021244D"/>
    <w:rsid w:val="00212560"/>
    <w:rsid w:val="002125F7"/>
    <w:rsid w:val="0021278F"/>
    <w:rsid w:val="0021289D"/>
    <w:rsid w:val="002128C7"/>
    <w:rsid w:val="002128D2"/>
    <w:rsid w:val="00212B6A"/>
    <w:rsid w:val="00212C35"/>
    <w:rsid w:val="00212FBC"/>
    <w:rsid w:val="00213048"/>
    <w:rsid w:val="0021316E"/>
    <w:rsid w:val="00213353"/>
    <w:rsid w:val="00213372"/>
    <w:rsid w:val="00213401"/>
    <w:rsid w:val="0021343B"/>
    <w:rsid w:val="0021344F"/>
    <w:rsid w:val="00213733"/>
    <w:rsid w:val="002137AD"/>
    <w:rsid w:val="00213A22"/>
    <w:rsid w:val="00213D83"/>
    <w:rsid w:val="00213D98"/>
    <w:rsid w:val="00213DC8"/>
    <w:rsid w:val="00213F09"/>
    <w:rsid w:val="00213FA9"/>
    <w:rsid w:val="00213FAF"/>
    <w:rsid w:val="00214006"/>
    <w:rsid w:val="0021405C"/>
    <w:rsid w:val="002141DD"/>
    <w:rsid w:val="00214219"/>
    <w:rsid w:val="002143A8"/>
    <w:rsid w:val="00214514"/>
    <w:rsid w:val="002149CE"/>
    <w:rsid w:val="00214A80"/>
    <w:rsid w:val="00214B41"/>
    <w:rsid w:val="00214B80"/>
    <w:rsid w:val="00214D37"/>
    <w:rsid w:val="00214FDF"/>
    <w:rsid w:val="002150C3"/>
    <w:rsid w:val="002151FB"/>
    <w:rsid w:val="002152D7"/>
    <w:rsid w:val="00215733"/>
    <w:rsid w:val="0021592E"/>
    <w:rsid w:val="00215961"/>
    <w:rsid w:val="00215A38"/>
    <w:rsid w:val="00215AF9"/>
    <w:rsid w:val="00215B5B"/>
    <w:rsid w:val="00215D68"/>
    <w:rsid w:val="00215D83"/>
    <w:rsid w:val="00215F0B"/>
    <w:rsid w:val="00215FC6"/>
    <w:rsid w:val="002162D4"/>
    <w:rsid w:val="00216373"/>
    <w:rsid w:val="00216465"/>
    <w:rsid w:val="002164E5"/>
    <w:rsid w:val="00216596"/>
    <w:rsid w:val="0021673A"/>
    <w:rsid w:val="0021682D"/>
    <w:rsid w:val="00216CA8"/>
    <w:rsid w:val="00216FA7"/>
    <w:rsid w:val="002170D3"/>
    <w:rsid w:val="002170DE"/>
    <w:rsid w:val="00217273"/>
    <w:rsid w:val="00217306"/>
    <w:rsid w:val="002173EA"/>
    <w:rsid w:val="00217430"/>
    <w:rsid w:val="00217680"/>
    <w:rsid w:val="002176CA"/>
    <w:rsid w:val="00217738"/>
    <w:rsid w:val="002177D6"/>
    <w:rsid w:val="002178CA"/>
    <w:rsid w:val="00217954"/>
    <w:rsid w:val="00217A20"/>
    <w:rsid w:val="00217AB8"/>
    <w:rsid w:val="00217C2C"/>
    <w:rsid w:val="00217C33"/>
    <w:rsid w:val="00217CC4"/>
    <w:rsid w:val="00217E80"/>
    <w:rsid w:val="00217F28"/>
    <w:rsid w:val="002202D4"/>
    <w:rsid w:val="002203B4"/>
    <w:rsid w:val="00220437"/>
    <w:rsid w:val="00220531"/>
    <w:rsid w:val="00220552"/>
    <w:rsid w:val="002206CC"/>
    <w:rsid w:val="00220737"/>
    <w:rsid w:val="002207D1"/>
    <w:rsid w:val="00220839"/>
    <w:rsid w:val="00220848"/>
    <w:rsid w:val="002208BB"/>
    <w:rsid w:val="00220A11"/>
    <w:rsid w:val="00220A47"/>
    <w:rsid w:val="00220DD5"/>
    <w:rsid w:val="00220EA7"/>
    <w:rsid w:val="00220F0D"/>
    <w:rsid w:val="00220FED"/>
    <w:rsid w:val="002210B2"/>
    <w:rsid w:val="00221115"/>
    <w:rsid w:val="002213F7"/>
    <w:rsid w:val="00221415"/>
    <w:rsid w:val="00221492"/>
    <w:rsid w:val="0022193D"/>
    <w:rsid w:val="00221A10"/>
    <w:rsid w:val="002220CC"/>
    <w:rsid w:val="002221A0"/>
    <w:rsid w:val="002227DD"/>
    <w:rsid w:val="00222827"/>
    <w:rsid w:val="00222896"/>
    <w:rsid w:val="00222A52"/>
    <w:rsid w:val="00222BE4"/>
    <w:rsid w:val="00222D03"/>
    <w:rsid w:val="00222DD9"/>
    <w:rsid w:val="00222E8B"/>
    <w:rsid w:val="00222EBD"/>
    <w:rsid w:val="00222EF7"/>
    <w:rsid w:val="00223054"/>
    <w:rsid w:val="0022323D"/>
    <w:rsid w:val="0022333C"/>
    <w:rsid w:val="002233E5"/>
    <w:rsid w:val="002235FA"/>
    <w:rsid w:val="0022360D"/>
    <w:rsid w:val="00223671"/>
    <w:rsid w:val="002236B7"/>
    <w:rsid w:val="00223991"/>
    <w:rsid w:val="002239C6"/>
    <w:rsid w:val="00223B35"/>
    <w:rsid w:val="00223B3A"/>
    <w:rsid w:val="00223BD2"/>
    <w:rsid w:val="00223BDA"/>
    <w:rsid w:val="00223D25"/>
    <w:rsid w:val="002240CA"/>
    <w:rsid w:val="002242DB"/>
    <w:rsid w:val="002247DB"/>
    <w:rsid w:val="00224863"/>
    <w:rsid w:val="002249A7"/>
    <w:rsid w:val="00224E04"/>
    <w:rsid w:val="00224ECF"/>
    <w:rsid w:val="00224F36"/>
    <w:rsid w:val="0022511C"/>
    <w:rsid w:val="00225131"/>
    <w:rsid w:val="00225190"/>
    <w:rsid w:val="002252C1"/>
    <w:rsid w:val="00225667"/>
    <w:rsid w:val="00225884"/>
    <w:rsid w:val="00225B1A"/>
    <w:rsid w:val="00225B3D"/>
    <w:rsid w:val="00225BE2"/>
    <w:rsid w:val="00225F57"/>
    <w:rsid w:val="002260D7"/>
    <w:rsid w:val="0022629B"/>
    <w:rsid w:val="0022631B"/>
    <w:rsid w:val="002264BC"/>
    <w:rsid w:val="00226556"/>
    <w:rsid w:val="002266E0"/>
    <w:rsid w:val="002267DC"/>
    <w:rsid w:val="0022696C"/>
    <w:rsid w:val="002269E8"/>
    <w:rsid w:val="00226A6E"/>
    <w:rsid w:val="00226C2E"/>
    <w:rsid w:val="00226D8E"/>
    <w:rsid w:val="00226E21"/>
    <w:rsid w:val="00226FFD"/>
    <w:rsid w:val="00227015"/>
    <w:rsid w:val="00227034"/>
    <w:rsid w:val="0022714B"/>
    <w:rsid w:val="00227329"/>
    <w:rsid w:val="002273E8"/>
    <w:rsid w:val="0022776C"/>
    <w:rsid w:val="002278ED"/>
    <w:rsid w:val="00227DA8"/>
    <w:rsid w:val="00227F9B"/>
    <w:rsid w:val="00230364"/>
    <w:rsid w:val="002307CC"/>
    <w:rsid w:val="00230BFE"/>
    <w:rsid w:val="00230C0C"/>
    <w:rsid w:val="00230CD1"/>
    <w:rsid w:val="002311A5"/>
    <w:rsid w:val="0023124C"/>
    <w:rsid w:val="0023138A"/>
    <w:rsid w:val="00231564"/>
    <w:rsid w:val="00231683"/>
    <w:rsid w:val="002317A7"/>
    <w:rsid w:val="002319D2"/>
    <w:rsid w:val="00231B5B"/>
    <w:rsid w:val="00231C80"/>
    <w:rsid w:val="00231DF1"/>
    <w:rsid w:val="00231F64"/>
    <w:rsid w:val="00232068"/>
    <w:rsid w:val="0023208A"/>
    <w:rsid w:val="002320A4"/>
    <w:rsid w:val="002321E1"/>
    <w:rsid w:val="00232464"/>
    <w:rsid w:val="002324D6"/>
    <w:rsid w:val="0023261C"/>
    <w:rsid w:val="002327E7"/>
    <w:rsid w:val="00232951"/>
    <w:rsid w:val="00232A22"/>
    <w:rsid w:val="00232BE1"/>
    <w:rsid w:val="00232CC3"/>
    <w:rsid w:val="00232D8C"/>
    <w:rsid w:val="00233118"/>
    <w:rsid w:val="0023336E"/>
    <w:rsid w:val="002333F4"/>
    <w:rsid w:val="00233400"/>
    <w:rsid w:val="0023350E"/>
    <w:rsid w:val="002335F0"/>
    <w:rsid w:val="00233783"/>
    <w:rsid w:val="002337D3"/>
    <w:rsid w:val="00233AC5"/>
    <w:rsid w:val="00233EBC"/>
    <w:rsid w:val="00233F75"/>
    <w:rsid w:val="002340E8"/>
    <w:rsid w:val="002340F4"/>
    <w:rsid w:val="0023410E"/>
    <w:rsid w:val="0023418F"/>
    <w:rsid w:val="002341BC"/>
    <w:rsid w:val="00234604"/>
    <w:rsid w:val="00234670"/>
    <w:rsid w:val="00234809"/>
    <w:rsid w:val="00234AEA"/>
    <w:rsid w:val="00234B65"/>
    <w:rsid w:val="00234BC7"/>
    <w:rsid w:val="00234C89"/>
    <w:rsid w:val="00234D42"/>
    <w:rsid w:val="002350B5"/>
    <w:rsid w:val="00235214"/>
    <w:rsid w:val="00235374"/>
    <w:rsid w:val="00235457"/>
    <w:rsid w:val="00235603"/>
    <w:rsid w:val="002356E4"/>
    <w:rsid w:val="00235731"/>
    <w:rsid w:val="002357DE"/>
    <w:rsid w:val="00235971"/>
    <w:rsid w:val="00235A5F"/>
    <w:rsid w:val="00235B29"/>
    <w:rsid w:val="00235C84"/>
    <w:rsid w:val="00235D35"/>
    <w:rsid w:val="00235E1E"/>
    <w:rsid w:val="00235E6A"/>
    <w:rsid w:val="00236084"/>
    <w:rsid w:val="00236109"/>
    <w:rsid w:val="00236175"/>
    <w:rsid w:val="0023624B"/>
    <w:rsid w:val="002362E5"/>
    <w:rsid w:val="0023634D"/>
    <w:rsid w:val="0023643F"/>
    <w:rsid w:val="00236750"/>
    <w:rsid w:val="00236825"/>
    <w:rsid w:val="00236903"/>
    <w:rsid w:val="00236957"/>
    <w:rsid w:val="00236960"/>
    <w:rsid w:val="00236B17"/>
    <w:rsid w:val="00236B80"/>
    <w:rsid w:val="00236C57"/>
    <w:rsid w:val="00236E2D"/>
    <w:rsid w:val="00236EA3"/>
    <w:rsid w:val="00236F82"/>
    <w:rsid w:val="00236F87"/>
    <w:rsid w:val="002370D0"/>
    <w:rsid w:val="002373C7"/>
    <w:rsid w:val="00237406"/>
    <w:rsid w:val="0023743C"/>
    <w:rsid w:val="0023745C"/>
    <w:rsid w:val="002374D3"/>
    <w:rsid w:val="002374F8"/>
    <w:rsid w:val="00237760"/>
    <w:rsid w:val="00237AA8"/>
    <w:rsid w:val="00237B2A"/>
    <w:rsid w:val="00237D8D"/>
    <w:rsid w:val="00237E0C"/>
    <w:rsid w:val="00237F74"/>
    <w:rsid w:val="00237FF3"/>
    <w:rsid w:val="0024008F"/>
    <w:rsid w:val="002400D8"/>
    <w:rsid w:val="002402A3"/>
    <w:rsid w:val="00240939"/>
    <w:rsid w:val="00240A00"/>
    <w:rsid w:val="00240B01"/>
    <w:rsid w:val="00240C24"/>
    <w:rsid w:val="00240CFF"/>
    <w:rsid w:val="00240F06"/>
    <w:rsid w:val="00240FCF"/>
    <w:rsid w:val="00241144"/>
    <w:rsid w:val="002412F7"/>
    <w:rsid w:val="00241340"/>
    <w:rsid w:val="00241392"/>
    <w:rsid w:val="00241576"/>
    <w:rsid w:val="00241643"/>
    <w:rsid w:val="0024171D"/>
    <w:rsid w:val="002417B3"/>
    <w:rsid w:val="002418FA"/>
    <w:rsid w:val="0024194B"/>
    <w:rsid w:val="00241A25"/>
    <w:rsid w:val="00241ECD"/>
    <w:rsid w:val="00241F58"/>
    <w:rsid w:val="002420A1"/>
    <w:rsid w:val="00242255"/>
    <w:rsid w:val="002424E6"/>
    <w:rsid w:val="00242602"/>
    <w:rsid w:val="002428EE"/>
    <w:rsid w:val="002429C7"/>
    <w:rsid w:val="00242E3B"/>
    <w:rsid w:val="002431DD"/>
    <w:rsid w:val="002431F1"/>
    <w:rsid w:val="002432DB"/>
    <w:rsid w:val="00243563"/>
    <w:rsid w:val="00243716"/>
    <w:rsid w:val="0024400A"/>
    <w:rsid w:val="0024419B"/>
    <w:rsid w:val="0024420F"/>
    <w:rsid w:val="0024445B"/>
    <w:rsid w:val="002444E9"/>
    <w:rsid w:val="00244719"/>
    <w:rsid w:val="00244910"/>
    <w:rsid w:val="0024493E"/>
    <w:rsid w:val="00244951"/>
    <w:rsid w:val="00244997"/>
    <w:rsid w:val="00244A1C"/>
    <w:rsid w:val="00244BF2"/>
    <w:rsid w:val="00244D13"/>
    <w:rsid w:val="002450BF"/>
    <w:rsid w:val="0024513A"/>
    <w:rsid w:val="00245225"/>
    <w:rsid w:val="00245268"/>
    <w:rsid w:val="002454F3"/>
    <w:rsid w:val="002455E1"/>
    <w:rsid w:val="0024570D"/>
    <w:rsid w:val="00245736"/>
    <w:rsid w:val="002457F7"/>
    <w:rsid w:val="00245B3E"/>
    <w:rsid w:val="00245BB2"/>
    <w:rsid w:val="00245C30"/>
    <w:rsid w:val="00245C4C"/>
    <w:rsid w:val="00245D09"/>
    <w:rsid w:val="00246305"/>
    <w:rsid w:val="002463CD"/>
    <w:rsid w:val="00246430"/>
    <w:rsid w:val="00246594"/>
    <w:rsid w:val="002466BF"/>
    <w:rsid w:val="002466C2"/>
    <w:rsid w:val="002467AC"/>
    <w:rsid w:val="0024687A"/>
    <w:rsid w:val="00246BAF"/>
    <w:rsid w:val="00246ED9"/>
    <w:rsid w:val="00246FED"/>
    <w:rsid w:val="0024743D"/>
    <w:rsid w:val="0024780F"/>
    <w:rsid w:val="002479E8"/>
    <w:rsid w:val="00247A55"/>
    <w:rsid w:val="00247DB9"/>
    <w:rsid w:val="00247ED3"/>
    <w:rsid w:val="00247F2F"/>
    <w:rsid w:val="00250407"/>
    <w:rsid w:val="0025088B"/>
    <w:rsid w:val="0025094C"/>
    <w:rsid w:val="002509F1"/>
    <w:rsid w:val="00250DFF"/>
    <w:rsid w:val="00250FEF"/>
    <w:rsid w:val="002510DB"/>
    <w:rsid w:val="00251111"/>
    <w:rsid w:val="0025145C"/>
    <w:rsid w:val="00251515"/>
    <w:rsid w:val="00251659"/>
    <w:rsid w:val="00251916"/>
    <w:rsid w:val="002519D4"/>
    <w:rsid w:val="00251C8E"/>
    <w:rsid w:val="00251D91"/>
    <w:rsid w:val="00251DEE"/>
    <w:rsid w:val="00251F79"/>
    <w:rsid w:val="002521B0"/>
    <w:rsid w:val="002521C4"/>
    <w:rsid w:val="002521E0"/>
    <w:rsid w:val="002525F7"/>
    <w:rsid w:val="00252665"/>
    <w:rsid w:val="002526BA"/>
    <w:rsid w:val="002526D5"/>
    <w:rsid w:val="0025289C"/>
    <w:rsid w:val="002528E9"/>
    <w:rsid w:val="00252B08"/>
    <w:rsid w:val="00252D33"/>
    <w:rsid w:val="0025325F"/>
    <w:rsid w:val="0025326F"/>
    <w:rsid w:val="00253324"/>
    <w:rsid w:val="0025351D"/>
    <w:rsid w:val="00253530"/>
    <w:rsid w:val="002537BA"/>
    <w:rsid w:val="00253DAC"/>
    <w:rsid w:val="00253EA3"/>
    <w:rsid w:val="00254094"/>
    <w:rsid w:val="002542C2"/>
    <w:rsid w:val="0025432A"/>
    <w:rsid w:val="002543B3"/>
    <w:rsid w:val="002543D9"/>
    <w:rsid w:val="00254772"/>
    <w:rsid w:val="002547CA"/>
    <w:rsid w:val="00254864"/>
    <w:rsid w:val="00254866"/>
    <w:rsid w:val="00254979"/>
    <w:rsid w:val="00254A4E"/>
    <w:rsid w:val="00254B20"/>
    <w:rsid w:val="00254C7B"/>
    <w:rsid w:val="00254E64"/>
    <w:rsid w:val="00254E93"/>
    <w:rsid w:val="00255003"/>
    <w:rsid w:val="002551B3"/>
    <w:rsid w:val="0025531F"/>
    <w:rsid w:val="00255517"/>
    <w:rsid w:val="0025564E"/>
    <w:rsid w:val="002556A6"/>
    <w:rsid w:val="00255986"/>
    <w:rsid w:val="00255A51"/>
    <w:rsid w:val="00255A96"/>
    <w:rsid w:val="00255BAB"/>
    <w:rsid w:val="00255E75"/>
    <w:rsid w:val="002562A3"/>
    <w:rsid w:val="002563F6"/>
    <w:rsid w:val="002563FB"/>
    <w:rsid w:val="002564D8"/>
    <w:rsid w:val="00256796"/>
    <w:rsid w:val="00256A6E"/>
    <w:rsid w:val="00256AEE"/>
    <w:rsid w:val="00256D51"/>
    <w:rsid w:val="00256D5B"/>
    <w:rsid w:val="00256E5D"/>
    <w:rsid w:val="00257042"/>
    <w:rsid w:val="00257101"/>
    <w:rsid w:val="0025714C"/>
    <w:rsid w:val="00257335"/>
    <w:rsid w:val="00257494"/>
    <w:rsid w:val="00257629"/>
    <w:rsid w:val="0025782D"/>
    <w:rsid w:val="00257832"/>
    <w:rsid w:val="00257898"/>
    <w:rsid w:val="00257945"/>
    <w:rsid w:val="00257963"/>
    <w:rsid w:val="00257A86"/>
    <w:rsid w:val="00260238"/>
    <w:rsid w:val="00260399"/>
    <w:rsid w:val="002603A6"/>
    <w:rsid w:val="002603E1"/>
    <w:rsid w:val="002604D3"/>
    <w:rsid w:val="002605EE"/>
    <w:rsid w:val="002606C4"/>
    <w:rsid w:val="002606F6"/>
    <w:rsid w:val="0026096C"/>
    <w:rsid w:val="00260D42"/>
    <w:rsid w:val="00260F04"/>
    <w:rsid w:val="00260F8F"/>
    <w:rsid w:val="00261135"/>
    <w:rsid w:val="0026137F"/>
    <w:rsid w:val="0026144B"/>
    <w:rsid w:val="00261497"/>
    <w:rsid w:val="002614CA"/>
    <w:rsid w:val="002614D8"/>
    <w:rsid w:val="002617A9"/>
    <w:rsid w:val="00261C2B"/>
    <w:rsid w:val="00261C69"/>
    <w:rsid w:val="00261CBE"/>
    <w:rsid w:val="00261DFE"/>
    <w:rsid w:val="00261ED3"/>
    <w:rsid w:val="00261F68"/>
    <w:rsid w:val="00262101"/>
    <w:rsid w:val="002622BC"/>
    <w:rsid w:val="00262300"/>
    <w:rsid w:val="00262582"/>
    <w:rsid w:val="002625AA"/>
    <w:rsid w:val="002627E2"/>
    <w:rsid w:val="002627EB"/>
    <w:rsid w:val="0026284F"/>
    <w:rsid w:val="00262B59"/>
    <w:rsid w:val="00262B8F"/>
    <w:rsid w:val="00262C91"/>
    <w:rsid w:val="00262EE5"/>
    <w:rsid w:val="00262F31"/>
    <w:rsid w:val="002630B2"/>
    <w:rsid w:val="0026325D"/>
    <w:rsid w:val="00263285"/>
    <w:rsid w:val="00263299"/>
    <w:rsid w:val="0026331F"/>
    <w:rsid w:val="00263522"/>
    <w:rsid w:val="00263630"/>
    <w:rsid w:val="002639FE"/>
    <w:rsid w:val="00263B5C"/>
    <w:rsid w:val="00263B5E"/>
    <w:rsid w:val="00263C25"/>
    <w:rsid w:val="00263DEF"/>
    <w:rsid w:val="00263F1F"/>
    <w:rsid w:val="00263F8A"/>
    <w:rsid w:val="0026405D"/>
    <w:rsid w:val="00264065"/>
    <w:rsid w:val="00264094"/>
    <w:rsid w:val="002640C2"/>
    <w:rsid w:val="002640CA"/>
    <w:rsid w:val="00264211"/>
    <w:rsid w:val="00264236"/>
    <w:rsid w:val="00264311"/>
    <w:rsid w:val="002643B3"/>
    <w:rsid w:val="002644F8"/>
    <w:rsid w:val="00264805"/>
    <w:rsid w:val="00264866"/>
    <w:rsid w:val="00264C4E"/>
    <w:rsid w:val="00264DAA"/>
    <w:rsid w:val="0026507A"/>
    <w:rsid w:val="00265213"/>
    <w:rsid w:val="0026555E"/>
    <w:rsid w:val="00265603"/>
    <w:rsid w:val="00265847"/>
    <w:rsid w:val="00265C59"/>
    <w:rsid w:val="00265EA9"/>
    <w:rsid w:val="00265FE5"/>
    <w:rsid w:val="0026609D"/>
    <w:rsid w:val="002663BE"/>
    <w:rsid w:val="002665E8"/>
    <w:rsid w:val="002666C1"/>
    <w:rsid w:val="002668D1"/>
    <w:rsid w:val="00266918"/>
    <w:rsid w:val="00266925"/>
    <w:rsid w:val="0026693B"/>
    <w:rsid w:val="00266B4C"/>
    <w:rsid w:val="00266D3B"/>
    <w:rsid w:val="00266DAA"/>
    <w:rsid w:val="00266F2A"/>
    <w:rsid w:val="00267080"/>
    <w:rsid w:val="00267145"/>
    <w:rsid w:val="0026718E"/>
    <w:rsid w:val="00267222"/>
    <w:rsid w:val="00267343"/>
    <w:rsid w:val="002673C8"/>
    <w:rsid w:val="0026786A"/>
    <w:rsid w:val="00267960"/>
    <w:rsid w:val="002679CF"/>
    <w:rsid w:val="00267DB5"/>
    <w:rsid w:val="00267F24"/>
    <w:rsid w:val="00270029"/>
    <w:rsid w:val="00270033"/>
    <w:rsid w:val="00270515"/>
    <w:rsid w:val="002705E0"/>
    <w:rsid w:val="0027063E"/>
    <w:rsid w:val="00270819"/>
    <w:rsid w:val="00270872"/>
    <w:rsid w:val="002709C5"/>
    <w:rsid w:val="00270A66"/>
    <w:rsid w:val="00270E03"/>
    <w:rsid w:val="00270FA4"/>
    <w:rsid w:val="00271034"/>
    <w:rsid w:val="0027105D"/>
    <w:rsid w:val="00271248"/>
    <w:rsid w:val="00271278"/>
    <w:rsid w:val="002712F7"/>
    <w:rsid w:val="00271311"/>
    <w:rsid w:val="00271547"/>
    <w:rsid w:val="002716D1"/>
    <w:rsid w:val="0027175C"/>
    <w:rsid w:val="0027182F"/>
    <w:rsid w:val="00271B21"/>
    <w:rsid w:val="00271B95"/>
    <w:rsid w:val="00271C21"/>
    <w:rsid w:val="00271D2A"/>
    <w:rsid w:val="00271E4B"/>
    <w:rsid w:val="00271F59"/>
    <w:rsid w:val="00272067"/>
    <w:rsid w:val="002720C6"/>
    <w:rsid w:val="00272217"/>
    <w:rsid w:val="0027258A"/>
    <w:rsid w:val="00272839"/>
    <w:rsid w:val="00272944"/>
    <w:rsid w:val="002729A1"/>
    <w:rsid w:val="002729C1"/>
    <w:rsid w:val="00272CB3"/>
    <w:rsid w:val="00272D2B"/>
    <w:rsid w:val="00272D71"/>
    <w:rsid w:val="00272DCD"/>
    <w:rsid w:val="00272E45"/>
    <w:rsid w:val="00273024"/>
    <w:rsid w:val="002730A1"/>
    <w:rsid w:val="002730D0"/>
    <w:rsid w:val="002731AA"/>
    <w:rsid w:val="00273355"/>
    <w:rsid w:val="002735E4"/>
    <w:rsid w:val="0027367C"/>
    <w:rsid w:val="00273845"/>
    <w:rsid w:val="0027389B"/>
    <w:rsid w:val="00273952"/>
    <w:rsid w:val="002739C4"/>
    <w:rsid w:val="00273A90"/>
    <w:rsid w:val="00273AD2"/>
    <w:rsid w:val="00273B97"/>
    <w:rsid w:val="00273C6F"/>
    <w:rsid w:val="00273E4D"/>
    <w:rsid w:val="00274285"/>
    <w:rsid w:val="002742D6"/>
    <w:rsid w:val="0027436B"/>
    <w:rsid w:val="00274531"/>
    <w:rsid w:val="00274536"/>
    <w:rsid w:val="0027466B"/>
    <w:rsid w:val="00274975"/>
    <w:rsid w:val="00274989"/>
    <w:rsid w:val="00274AD2"/>
    <w:rsid w:val="00274AE0"/>
    <w:rsid w:val="00274AEF"/>
    <w:rsid w:val="00274B04"/>
    <w:rsid w:val="00274C15"/>
    <w:rsid w:val="00274D28"/>
    <w:rsid w:val="00274FBA"/>
    <w:rsid w:val="00275143"/>
    <w:rsid w:val="00275491"/>
    <w:rsid w:val="002755AF"/>
    <w:rsid w:val="00275693"/>
    <w:rsid w:val="00275741"/>
    <w:rsid w:val="002757C4"/>
    <w:rsid w:val="002758A0"/>
    <w:rsid w:val="00275995"/>
    <w:rsid w:val="00275A35"/>
    <w:rsid w:val="00275A68"/>
    <w:rsid w:val="00275AF8"/>
    <w:rsid w:val="00275BFC"/>
    <w:rsid w:val="00275CF6"/>
    <w:rsid w:val="0027615C"/>
    <w:rsid w:val="0027636B"/>
    <w:rsid w:val="00276721"/>
    <w:rsid w:val="002769F4"/>
    <w:rsid w:val="00276BB8"/>
    <w:rsid w:val="00276E06"/>
    <w:rsid w:val="00276F3D"/>
    <w:rsid w:val="00277019"/>
    <w:rsid w:val="002771F5"/>
    <w:rsid w:val="00277563"/>
    <w:rsid w:val="00277708"/>
    <w:rsid w:val="00277934"/>
    <w:rsid w:val="0027799F"/>
    <w:rsid w:val="00277A3C"/>
    <w:rsid w:val="00277ADC"/>
    <w:rsid w:val="00277CC6"/>
    <w:rsid w:val="00277CE4"/>
    <w:rsid w:val="00277D2C"/>
    <w:rsid w:val="00277D45"/>
    <w:rsid w:val="00277F9D"/>
    <w:rsid w:val="00277F9F"/>
    <w:rsid w:val="00280422"/>
    <w:rsid w:val="00280432"/>
    <w:rsid w:val="00280442"/>
    <w:rsid w:val="002804C2"/>
    <w:rsid w:val="00280618"/>
    <w:rsid w:val="00280635"/>
    <w:rsid w:val="00280937"/>
    <w:rsid w:val="00280960"/>
    <w:rsid w:val="00280C8E"/>
    <w:rsid w:val="00280CE0"/>
    <w:rsid w:val="00280CF1"/>
    <w:rsid w:val="00280CFD"/>
    <w:rsid w:val="00280DD4"/>
    <w:rsid w:val="00280DDB"/>
    <w:rsid w:val="00280E79"/>
    <w:rsid w:val="00280F79"/>
    <w:rsid w:val="0028146B"/>
    <w:rsid w:val="002816DA"/>
    <w:rsid w:val="00281C30"/>
    <w:rsid w:val="00281C3A"/>
    <w:rsid w:val="00281C51"/>
    <w:rsid w:val="00281E0D"/>
    <w:rsid w:val="00281E32"/>
    <w:rsid w:val="00281E93"/>
    <w:rsid w:val="002820A4"/>
    <w:rsid w:val="00282466"/>
    <w:rsid w:val="00282632"/>
    <w:rsid w:val="0028271C"/>
    <w:rsid w:val="0028289B"/>
    <w:rsid w:val="002829A0"/>
    <w:rsid w:val="00282A0C"/>
    <w:rsid w:val="00282F3D"/>
    <w:rsid w:val="002832B0"/>
    <w:rsid w:val="00283353"/>
    <w:rsid w:val="00283357"/>
    <w:rsid w:val="002833AD"/>
    <w:rsid w:val="002836C2"/>
    <w:rsid w:val="002838A3"/>
    <w:rsid w:val="002838B8"/>
    <w:rsid w:val="00283A24"/>
    <w:rsid w:val="00283CBB"/>
    <w:rsid w:val="00283DEA"/>
    <w:rsid w:val="00283E86"/>
    <w:rsid w:val="00283F63"/>
    <w:rsid w:val="00284257"/>
    <w:rsid w:val="0028431D"/>
    <w:rsid w:val="00284579"/>
    <w:rsid w:val="002845E7"/>
    <w:rsid w:val="0028487C"/>
    <w:rsid w:val="00284990"/>
    <w:rsid w:val="002849A0"/>
    <w:rsid w:val="00284B62"/>
    <w:rsid w:val="00284B88"/>
    <w:rsid w:val="00284BA9"/>
    <w:rsid w:val="00284D3A"/>
    <w:rsid w:val="00284F10"/>
    <w:rsid w:val="0028557F"/>
    <w:rsid w:val="00285584"/>
    <w:rsid w:val="0028579B"/>
    <w:rsid w:val="0028585A"/>
    <w:rsid w:val="00285988"/>
    <w:rsid w:val="002859BE"/>
    <w:rsid w:val="00285AC5"/>
    <w:rsid w:val="00285BB0"/>
    <w:rsid w:val="00285BF1"/>
    <w:rsid w:val="00285C5F"/>
    <w:rsid w:val="00285C6B"/>
    <w:rsid w:val="00285C70"/>
    <w:rsid w:val="00285E04"/>
    <w:rsid w:val="00285E92"/>
    <w:rsid w:val="00285F33"/>
    <w:rsid w:val="00285F40"/>
    <w:rsid w:val="002860B9"/>
    <w:rsid w:val="00286347"/>
    <w:rsid w:val="002865FD"/>
    <w:rsid w:val="0028674E"/>
    <w:rsid w:val="00286761"/>
    <w:rsid w:val="00286A14"/>
    <w:rsid w:val="00286AE4"/>
    <w:rsid w:val="00286C4F"/>
    <w:rsid w:val="00286D6B"/>
    <w:rsid w:val="00286D89"/>
    <w:rsid w:val="00286DA4"/>
    <w:rsid w:val="00286E49"/>
    <w:rsid w:val="00286E9C"/>
    <w:rsid w:val="00287399"/>
    <w:rsid w:val="00287444"/>
    <w:rsid w:val="002878EC"/>
    <w:rsid w:val="00287AB6"/>
    <w:rsid w:val="00287B94"/>
    <w:rsid w:val="00287C75"/>
    <w:rsid w:val="00287E67"/>
    <w:rsid w:val="0029001E"/>
    <w:rsid w:val="002900A3"/>
    <w:rsid w:val="00290233"/>
    <w:rsid w:val="002903B2"/>
    <w:rsid w:val="002904A1"/>
    <w:rsid w:val="0029061A"/>
    <w:rsid w:val="00290651"/>
    <w:rsid w:val="00290661"/>
    <w:rsid w:val="00290773"/>
    <w:rsid w:val="002907CA"/>
    <w:rsid w:val="00290851"/>
    <w:rsid w:val="00290C2A"/>
    <w:rsid w:val="00290C51"/>
    <w:rsid w:val="00291196"/>
    <w:rsid w:val="0029119F"/>
    <w:rsid w:val="00291395"/>
    <w:rsid w:val="00291434"/>
    <w:rsid w:val="00291547"/>
    <w:rsid w:val="0029154E"/>
    <w:rsid w:val="00291598"/>
    <w:rsid w:val="002916C5"/>
    <w:rsid w:val="002916D7"/>
    <w:rsid w:val="00291860"/>
    <w:rsid w:val="00291961"/>
    <w:rsid w:val="00291E8B"/>
    <w:rsid w:val="00291F1A"/>
    <w:rsid w:val="00291FC9"/>
    <w:rsid w:val="00292006"/>
    <w:rsid w:val="0029209D"/>
    <w:rsid w:val="002920BC"/>
    <w:rsid w:val="0029231D"/>
    <w:rsid w:val="002923AF"/>
    <w:rsid w:val="002923D3"/>
    <w:rsid w:val="00292652"/>
    <w:rsid w:val="00292794"/>
    <w:rsid w:val="00292BB7"/>
    <w:rsid w:val="00292DB7"/>
    <w:rsid w:val="00292E34"/>
    <w:rsid w:val="00292F92"/>
    <w:rsid w:val="002930B0"/>
    <w:rsid w:val="002930E8"/>
    <w:rsid w:val="0029316F"/>
    <w:rsid w:val="002931AA"/>
    <w:rsid w:val="0029322A"/>
    <w:rsid w:val="00293235"/>
    <w:rsid w:val="002932B1"/>
    <w:rsid w:val="0029355A"/>
    <w:rsid w:val="00293941"/>
    <w:rsid w:val="0029397F"/>
    <w:rsid w:val="00293996"/>
    <w:rsid w:val="00293C32"/>
    <w:rsid w:val="00293CC2"/>
    <w:rsid w:val="00293DC5"/>
    <w:rsid w:val="00293E80"/>
    <w:rsid w:val="002942A2"/>
    <w:rsid w:val="00294408"/>
    <w:rsid w:val="0029444D"/>
    <w:rsid w:val="0029469B"/>
    <w:rsid w:val="00294717"/>
    <w:rsid w:val="00294772"/>
    <w:rsid w:val="002949F0"/>
    <w:rsid w:val="00294B0F"/>
    <w:rsid w:val="00294C58"/>
    <w:rsid w:val="00294D47"/>
    <w:rsid w:val="00294DDE"/>
    <w:rsid w:val="00294F9D"/>
    <w:rsid w:val="00294FAA"/>
    <w:rsid w:val="00295319"/>
    <w:rsid w:val="002953AB"/>
    <w:rsid w:val="00295514"/>
    <w:rsid w:val="00295F65"/>
    <w:rsid w:val="00296128"/>
    <w:rsid w:val="00296306"/>
    <w:rsid w:val="002964A5"/>
    <w:rsid w:val="002967FE"/>
    <w:rsid w:val="00296991"/>
    <w:rsid w:val="00296AAD"/>
    <w:rsid w:val="00296ED5"/>
    <w:rsid w:val="00297211"/>
    <w:rsid w:val="002972E4"/>
    <w:rsid w:val="002973BA"/>
    <w:rsid w:val="00297577"/>
    <w:rsid w:val="002976C4"/>
    <w:rsid w:val="00297764"/>
    <w:rsid w:val="00297884"/>
    <w:rsid w:val="00297D0C"/>
    <w:rsid w:val="00297D17"/>
    <w:rsid w:val="00297D43"/>
    <w:rsid w:val="00297E4F"/>
    <w:rsid w:val="00297F3B"/>
    <w:rsid w:val="002A0118"/>
    <w:rsid w:val="002A02A6"/>
    <w:rsid w:val="002A0491"/>
    <w:rsid w:val="002A04E4"/>
    <w:rsid w:val="002A0607"/>
    <w:rsid w:val="002A066C"/>
    <w:rsid w:val="002A06F8"/>
    <w:rsid w:val="002A073C"/>
    <w:rsid w:val="002A07A1"/>
    <w:rsid w:val="002A092A"/>
    <w:rsid w:val="002A0995"/>
    <w:rsid w:val="002A0AF3"/>
    <w:rsid w:val="002A0BEF"/>
    <w:rsid w:val="002A0D5D"/>
    <w:rsid w:val="002A0D7E"/>
    <w:rsid w:val="002A0DD5"/>
    <w:rsid w:val="002A0FDF"/>
    <w:rsid w:val="002A0FF9"/>
    <w:rsid w:val="002A11A4"/>
    <w:rsid w:val="002A11DA"/>
    <w:rsid w:val="002A1276"/>
    <w:rsid w:val="002A1530"/>
    <w:rsid w:val="002A1536"/>
    <w:rsid w:val="002A1617"/>
    <w:rsid w:val="002A1975"/>
    <w:rsid w:val="002A1A2C"/>
    <w:rsid w:val="002A1ACF"/>
    <w:rsid w:val="002A1BAF"/>
    <w:rsid w:val="002A1BBA"/>
    <w:rsid w:val="002A1BFF"/>
    <w:rsid w:val="002A1C2F"/>
    <w:rsid w:val="002A1D69"/>
    <w:rsid w:val="002A1FF2"/>
    <w:rsid w:val="002A254D"/>
    <w:rsid w:val="002A264C"/>
    <w:rsid w:val="002A275A"/>
    <w:rsid w:val="002A283C"/>
    <w:rsid w:val="002A28A5"/>
    <w:rsid w:val="002A2959"/>
    <w:rsid w:val="002A2E4D"/>
    <w:rsid w:val="002A2E84"/>
    <w:rsid w:val="002A2F3A"/>
    <w:rsid w:val="002A2F7D"/>
    <w:rsid w:val="002A317A"/>
    <w:rsid w:val="002A318B"/>
    <w:rsid w:val="002A31AE"/>
    <w:rsid w:val="002A321F"/>
    <w:rsid w:val="002A3220"/>
    <w:rsid w:val="002A32C8"/>
    <w:rsid w:val="002A3323"/>
    <w:rsid w:val="002A3404"/>
    <w:rsid w:val="002A3696"/>
    <w:rsid w:val="002A371F"/>
    <w:rsid w:val="002A38FE"/>
    <w:rsid w:val="002A3919"/>
    <w:rsid w:val="002A3987"/>
    <w:rsid w:val="002A39C8"/>
    <w:rsid w:val="002A3A19"/>
    <w:rsid w:val="002A3A4C"/>
    <w:rsid w:val="002A3A70"/>
    <w:rsid w:val="002A3A9E"/>
    <w:rsid w:val="002A3B18"/>
    <w:rsid w:val="002A3B42"/>
    <w:rsid w:val="002A3C9F"/>
    <w:rsid w:val="002A3D8C"/>
    <w:rsid w:val="002A3E13"/>
    <w:rsid w:val="002A4047"/>
    <w:rsid w:val="002A4126"/>
    <w:rsid w:val="002A41FD"/>
    <w:rsid w:val="002A4374"/>
    <w:rsid w:val="002A44A0"/>
    <w:rsid w:val="002A47D7"/>
    <w:rsid w:val="002A49DB"/>
    <w:rsid w:val="002A4AC5"/>
    <w:rsid w:val="002A4AD4"/>
    <w:rsid w:val="002A4B90"/>
    <w:rsid w:val="002A4D77"/>
    <w:rsid w:val="002A4D8E"/>
    <w:rsid w:val="002A4F09"/>
    <w:rsid w:val="002A4FA7"/>
    <w:rsid w:val="002A552A"/>
    <w:rsid w:val="002A5698"/>
    <w:rsid w:val="002A56F2"/>
    <w:rsid w:val="002A5849"/>
    <w:rsid w:val="002A5865"/>
    <w:rsid w:val="002A587A"/>
    <w:rsid w:val="002A5963"/>
    <w:rsid w:val="002A5A17"/>
    <w:rsid w:val="002A5B9C"/>
    <w:rsid w:val="002A5BC2"/>
    <w:rsid w:val="002A5E4C"/>
    <w:rsid w:val="002A5E51"/>
    <w:rsid w:val="002A5ECC"/>
    <w:rsid w:val="002A5F3C"/>
    <w:rsid w:val="002A5FBC"/>
    <w:rsid w:val="002A603D"/>
    <w:rsid w:val="002A60E0"/>
    <w:rsid w:val="002A61FD"/>
    <w:rsid w:val="002A623E"/>
    <w:rsid w:val="002A63B9"/>
    <w:rsid w:val="002A648A"/>
    <w:rsid w:val="002A6565"/>
    <w:rsid w:val="002A65EF"/>
    <w:rsid w:val="002A669F"/>
    <w:rsid w:val="002A67C2"/>
    <w:rsid w:val="002A6B81"/>
    <w:rsid w:val="002A6B9A"/>
    <w:rsid w:val="002A6D11"/>
    <w:rsid w:val="002A6D44"/>
    <w:rsid w:val="002A6E02"/>
    <w:rsid w:val="002A6EC6"/>
    <w:rsid w:val="002A7115"/>
    <w:rsid w:val="002A73A0"/>
    <w:rsid w:val="002A7530"/>
    <w:rsid w:val="002A7539"/>
    <w:rsid w:val="002A753D"/>
    <w:rsid w:val="002A7653"/>
    <w:rsid w:val="002A76FB"/>
    <w:rsid w:val="002A77C1"/>
    <w:rsid w:val="002A7F21"/>
    <w:rsid w:val="002A7F8F"/>
    <w:rsid w:val="002B001F"/>
    <w:rsid w:val="002B0065"/>
    <w:rsid w:val="002B00FE"/>
    <w:rsid w:val="002B05AE"/>
    <w:rsid w:val="002B06C3"/>
    <w:rsid w:val="002B06E1"/>
    <w:rsid w:val="002B0739"/>
    <w:rsid w:val="002B0997"/>
    <w:rsid w:val="002B09C5"/>
    <w:rsid w:val="002B0BE1"/>
    <w:rsid w:val="002B0C18"/>
    <w:rsid w:val="002B0C34"/>
    <w:rsid w:val="002B0C99"/>
    <w:rsid w:val="002B0CFC"/>
    <w:rsid w:val="002B0E20"/>
    <w:rsid w:val="002B0E7B"/>
    <w:rsid w:val="002B0FB5"/>
    <w:rsid w:val="002B1096"/>
    <w:rsid w:val="002B113E"/>
    <w:rsid w:val="002B1286"/>
    <w:rsid w:val="002B1343"/>
    <w:rsid w:val="002B166B"/>
    <w:rsid w:val="002B17E2"/>
    <w:rsid w:val="002B17F1"/>
    <w:rsid w:val="002B1AA8"/>
    <w:rsid w:val="002B1B5A"/>
    <w:rsid w:val="002B1B5E"/>
    <w:rsid w:val="002B1B6E"/>
    <w:rsid w:val="002B1D2E"/>
    <w:rsid w:val="002B1D65"/>
    <w:rsid w:val="002B1EC7"/>
    <w:rsid w:val="002B1FE9"/>
    <w:rsid w:val="002B2387"/>
    <w:rsid w:val="002B23A4"/>
    <w:rsid w:val="002B25BB"/>
    <w:rsid w:val="002B26B7"/>
    <w:rsid w:val="002B27A2"/>
    <w:rsid w:val="002B289D"/>
    <w:rsid w:val="002B29BE"/>
    <w:rsid w:val="002B2A0E"/>
    <w:rsid w:val="002B2C6A"/>
    <w:rsid w:val="002B2FD5"/>
    <w:rsid w:val="002B31FF"/>
    <w:rsid w:val="002B328E"/>
    <w:rsid w:val="002B3373"/>
    <w:rsid w:val="002B349A"/>
    <w:rsid w:val="002B34D5"/>
    <w:rsid w:val="002B366B"/>
    <w:rsid w:val="002B37B7"/>
    <w:rsid w:val="002B3AB8"/>
    <w:rsid w:val="002B3BA7"/>
    <w:rsid w:val="002B3C48"/>
    <w:rsid w:val="002B3C97"/>
    <w:rsid w:val="002B3CF6"/>
    <w:rsid w:val="002B3DB7"/>
    <w:rsid w:val="002B3F2D"/>
    <w:rsid w:val="002B3F6E"/>
    <w:rsid w:val="002B3FDC"/>
    <w:rsid w:val="002B403F"/>
    <w:rsid w:val="002B411C"/>
    <w:rsid w:val="002B4147"/>
    <w:rsid w:val="002B4480"/>
    <w:rsid w:val="002B482C"/>
    <w:rsid w:val="002B49D9"/>
    <w:rsid w:val="002B4A89"/>
    <w:rsid w:val="002B4CCC"/>
    <w:rsid w:val="002B4CD7"/>
    <w:rsid w:val="002B4E47"/>
    <w:rsid w:val="002B4E5D"/>
    <w:rsid w:val="002B4EF3"/>
    <w:rsid w:val="002B5002"/>
    <w:rsid w:val="002B508D"/>
    <w:rsid w:val="002B50D9"/>
    <w:rsid w:val="002B53B9"/>
    <w:rsid w:val="002B5424"/>
    <w:rsid w:val="002B54A7"/>
    <w:rsid w:val="002B57AF"/>
    <w:rsid w:val="002B5941"/>
    <w:rsid w:val="002B5B7D"/>
    <w:rsid w:val="002B5DD9"/>
    <w:rsid w:val="002B5EF0"/>
    <w:rsid w:val="002B618F"/>
    <w:rsid w:val="002B634C"/>
    <w:rsid w:val="002B637A"/>
    <w:rsid w:val="002B6565"/>
    <w:rsid w:val="002B65CF"/>
    <w:rsid w:val="002B6791"/>
    <w:rsid w:val="002B6A81"/>
    <w:rsid w:val="002B6B61"/>
    <w:rsid w:val="002B6FA8"/>
    <w:rsid w:val="002B6FF9"/>
    <w:rsid w:val="002B71F8"/>
    <w:rsid w:val="002B7297"/>
    <w:rsid w:val="002B7673"/>
    <w:rsid w:val="002B791A"/>
    <w:rsid w:val="002B7A3B"/>
    <w:rsid w:val="002B7CB1"/>
    <w:rsid w:val="002B7E55"/>
    <w:rsid w:val="002C0480"/>
    <w:rsid w:val="002C04DB"/>
    <w:rsid w:val="002C05B7"/>
    <w:rsid w:val="002C0802"/>
    <w:rsid w:val="002C082D"/>
    <w:rsid w:val="002C0B71"/>
    <w:rsid w:val="002C0C08"/>
    <w:rsid w:val="002C0CA4"/>
    <w:rsid w:val="002C0E3C"/>
    <w:rsid w:val="002C0E7C"/>
    <w:rsid w:val="002C0FB6"/>
    <w:rsid w:val="002C10F2"/>
    <w:rsid w:val="002C1210"/>
    <w:rsid w:val="002C1229"/>
    <w:rsid w:val="002C1595"/>
    <w:rsid w:val="002C16B7"/>
    <w:rsid w:val="002C173D"/>
    <w:rsid w:val="002C1871"/>
    <w:rsid w:val="002C1A04"/>
    <w:rsid w:val="002C1C04"/>
    <w:rsid w:val="002C1DBA"/>
    <w:rsid w:val="002C1F1F"/>
    <w:rsid w:val="002C1FBC"/>
    <w:rsid w:val="002C216A"/>
    <w:rsid w:val="002C218C"/>
    <w:rsid w:val="002C21FC"/>
    <w:rsid w:val="002C221D"/>
    <w:rsid w:val="002C230A"/>
    <w:rsid w:val="002C2343"/>
    <w:rsid w:val="002C2391"/>
    <w:rsid w:val="002C25F4"/>
    <w:rsid w:val="002C25F8"/>
    <w:rsid w:val="002C277B"/>
    <w:rsid w:val="002C2988"/>
    <w:rsid w:val="002C299A"/>
    <w:rsid w:val="002C2A14"/>
    <w:rsid w:val="002C2A44"/>
    <w:rsid w:val="002C2D14"/>
    <w:rsid w:val="002C2D4C"/>
    <w:rsid w:val="002C2D5B"/>
    <w:rsid w:val="002C2F5B"/>
    <w:rsid w:val="002C3004"/>
    <w:rsid w:val="002C320F"/>
    <w:rsid w:val="002C354F"/>
    <w:rsid w:val="002C362B"/>
    <w:rsid w:val="002C366A"/>
    <w:rsid w:val="002C366C"/>
    <w:rsid w:val="002C36A4"/>
    <w:rsid w:val="002C36DE"/>
    <w:rsid w:val="002C3815"/>
    <w:rsid w:val="002C3925"/>
    <w:rsid w:val="002C3D9B"/>
    <w:rsid w:val="002C3F67"/>
    <w:rsid w:val="002C407B"/>
    <w:rsid w:val="002C43A5"/>
    <w:rsid w:val="002C45F9"/>
    <w:rsid w:val="002C4736"/>
    <w:rsid w:val="002C47B4"/>
    <w:rsid w:val="002C4997"/>
    <w:rsid w:val="002C4CFD"/>
    <w:rsid w:val="002C4DA6"/>
    <w:rsid w:val="002C4E05"/>
    <w:rsid w:val="002C4F9F"/>
    <w:rsid w:val="002C4FC3"/>
    <w:rsid w:val="002C4FE9"/>
    <w:rsid w:val="002C5092"/>
    <w:rsid w:val="002C5649"/>
    <w:rsid w:val="002C5737"/>
    <w:rsid w:val="002C58B6"/>
    <w:rsid w:val="002C5920"/>
    <w:rsid w:val="002C599A"/>
    <w:rsid w:val="002C5B5A"/>
    <w:rsid w:val="002C5BFA"/>
    <w:rsid w:val="002C5C06"/>
    <w:rsid w:val="002C5C4D"/>
    <w:rsid w:val="002C5CD7"/>
    <w:rsid w:val="002C5D62"/>
    <w:rsid w:val="002C5E25"/>
    <w:rsid w:val="002C6175"/>
    <w:rsid w:val="002C62D2"/>
    <w:rsid w:val="002C635E"/>
    <w:rsid w:val="002C63DB"/>
    <w:rsid w:val="002C6922"/>
    <w:rsid w:val="002C69B3"/>
    <w:rsid w:val="002C69EF"/>
    <w:rsid w:val="002C6A50"/>
    <w:rsid w:val="002C6AB9"/>
    <w:rsid w:val="002C6BD2"/>
    <w:rsid w:val="002C6C57"/>
    <w:rsid w:val="002C6EC1"/>
    <w:rsid w:val="002C6FB5"/>
    <w:rsid w:val="002C704E"/>
    <w:rsid w:val="002C7053"/>
    <w:rsid w:val="002C71D7"/>
    <w:rsid w:val="002C7258"/>
    <w:rsid w:val="002C74CD"/>
    <w:rsid w:val="002C74ED"/>
    <w:rsid w:val="002C74F6"/>
    <w:rsid w:val="002C7574"/>
    <w:rsid w:val="002C75B8"/>
    <w:rsid w:val="002C7610"/>
    <w:rsid w:val="002C774B"/>
    <w:rsid w:val="002C786D"/>
    <w:rsid w:val="002C7980"/>
    <w:rsid w:val="002C7AAD"/>
    <w:rsid w:val="002C7CF2"/>
    <w:rsid w:val="002C7D6F"/>
    <w:rsid w:val="002C7E0F"/>
    <w:rsid w:val="002C7F52"/>
    <w:rsid w:val="002D020E"/>
    <w:rsid w:val="002D0326"/>
    <w:rsid w:val="002D035D"/>
    <w:rsid w:val="002D03C4"/>
    <w:rsid w:val="002D03E6"/>
    <w:rsid w:val="002D04B6"/>
    <w:rsid w:val="002D04FC"/>
    <w:rsid w:val="002D0771"/>
    <w:rsid w:val="002D07BF"/>
    <w:rsid w:val="002D0853"/>
    <w:rsid w:val="002D09B5"/>
    <w:rsid w:val="002D0C3B"/>
    <w:rsid w:val="002D0D59"/>
    <w:rsid w:val="002D0DAF"/>
    <w:rsid w:val="002D0E4D"/>
    <w:rsid w:val="002D0FEF"/>
    <w:rsid w:val="002D116C"/>
    <w:rsid w:val="002D1198"/>
    <w:rsid w:val="002D12C7"/>
    <w:rsid w:val="002D1349"/>
    <w:rsid w:val="002D14D8"/>
    <w:rsid w:val="002D14F0"/>
    <w:rsid w:val="002D16FD"/>
    <w:rsid w:val="002D17C3"/>
    <w:rsid w:val="002D1E7B"/>
    <w:rsid w:val="002D1EDE"/>
    <w:rsid w:val="002D2064"/>
    <w:rsid w:val="002D212C"/>
    <w:rsid w:val="002D236A"/>
    <w:rsid w:val="002D23C3"/>
    <w:rsid w:val="002D2410"/>
    <w:rsid w:val="002D2455"/>
    <w:rsid w:val="002D2540"/>
    <w:rsid w:val="002D2622"/>
    <w:rsid w:val="002D2696"/>
    <w:rsid w:val="002D27BC"/>
    <w:rsid w:val="002D2AA4"/>
    <w:rsid w:val="002D2AAB"/>
    <w:rsid w:val="002D2B53"/>
    <w:rsid w:val="002D2B7D"/>
    <w:rsid w:val="002D2C2C"/>
    <w:rsid w:val="002D2F01"/>
    <w:rsid w:val="002D2F43"/>
    <w:rsid w:val="002D30BA"/>
    <w:rsid w:val="002D3A1A"/>
    <w:rsid w:val="002D3ADA"/>
    <w:rsid w:val="002D3B3E"/>
    <w:rsid w:val="002D3C1A"/>
    <w:rsid w:val="002D3E29"/>
    <w:rsid w:val="002D3E63"/>
    <w:rsid w:val="002D3EC1"/>
    <w:rsid w:val="002D3FBA"/>
    <w:rsid w:val="002D4088"/>
    <w:rsid w:val="002D4221"/>
    <w:rsid w:val="002D44F8"/>
    <w:rsid w:val="002D4607"/>
    <w:rsid w:val="002D4619"/>
    <w:rsid w:val="002D499E"/>
    <w:rsid w:val="002D4C47"/>
    <w:rsid w:val="002D4D8F"/>
    <w:rsid w:val="002D4DC6"/>
    <w:rsid w:val="002D4E91"/>
    <w:rsid w:val="002D4ED1"/>
    <w:rsid w:val="002D4FAF"/>
    <w:rsid w:val="002D4FCD"/>
    <w:rsid w:val="002D52AA"/>
    <w:rsid w:val="002D53E8"/>
    <w:rsid w:val="002D540D"/>
    <w:rsid w:val="002D54A8"/>
    <w:rsid w:val="002D5506"/>
    <w:rsid w:val="002D56B3"/>
    <w:rsid w:val="002D56B9"/>
    <w:rsid w:val="002D5750"/>
    <w:rsid w:val="002D5823"/>
    <w:rsid w:val="002D5AC8"/>
    <w:rsid w:val="002D5B62"/>
    <w:rsid w:val="002D5BE1"/>
    <w:rsid w:val="002D5C07"/>
    <w:rsid w:val="002D5C23"/>
    <w:rsid w:val="002D5C47"/>
    <w:rsid w:val="002D5CD2"/>
    <w:rsid w:val="002D5E53"/>
    <w:rsid w:val="002D5EF7"/>
    <w:rsid w:val="002D5F22"/>
    <w:rsid w:val="002D6467"/>
    <w:rsid w:val="002D669E"/>
    <w:rsid w:val="002D66D3"/>
    <w:rsid w:val="002D6BE8"/>
    <w:rsid w:val="002D6C36"/>
    <w:rsid w:val="002D6CFB"/>
    <w:rsid w:val="002D6F11"/>
    <w:rsid w:val="002D6F16"/>
    <w:rsid w:val="002D718C"/>
    <w:rsid w:val="002D7237"/>
    <w:rsid w:val="002D7394"/>
    <w:rsid w:val="002D74F8"/>
    <w:rsid w:val="002D758A"/>
    <w:rsid w:val="002D7796"/>
    <w:rsid w:val="002D79E4"/>
    <w:rsid w:val="002D7A0C"/>
    <w:rsid w:val="002D7A86"/>
    <w:rsid w:val="002D7BEC"/>
    <w:rsid w:val="002D7D6C"/>
    <w:rsid w:val="002D7DD9"/>
    <w:rsid w:val="002D7E59"/>
    <w:rsid w:val="002D7E88"/>
    <w:rsid w:val="002D7FEA"/>
    <w:rsid w:val="002E004F"/>
    <w:rsid w:val="002E01EC"/>
    <w:rsid w:val="002E0269"/>
    <w:rsid w:val="002E0369"/>
    <w:rsid w:val="002E04CC"/>
    <w:rsid w:val="002E05BA"/>
    <w:rsid w:val="002E0810"/>
    <w:rsid w:val="002E0865"/>
    <w:rsid w:val="002E0C40"/>
    <w:rsid w:val="002E0E4A"/>
    <w:rsid w:val="002E0EC2"/>
    <w:rsid w:val="002E0ECB"/>
    <w:rsid w:val="002E1084"/>
    <w:rsid w:val="002E12FF"/>
    <w:rsid w:val="002E1605"/>
    <w:rsid w:val="002E160C"/>
    <w:rsid w:val="002E161A"/>
    <w:rsid w:val="002E16A1"/>
    <w:rsid w:val="002E1A4B"/>
    <w:rsid w:val="002E1AF7"/>
    <w:rsid w:val="002E1CD3"/>
    <w:rsid w:val="002E1CD7"/>
    <w:rsid w:val="002E1D2F"/>
    <w:rsid w:val="002E1E56"/>
    <w:rsid w:val="002E1EA3"/>
    <w:rsid w:val="002E20A9"/>
    <w:rsid w:val="002E21BD"/>
    <w:rsid w:val="002E22B3"/>
    <w:rsid w:val="002E22C4"/>
    <w:rsid w:val="002E24DB"/>
    <w:rsid w:val="002E26DF"/>
    <w:rsid w:val="002E27AC"/>
    <w:rsid w:val="002E2984"/>
    <w:rsid w:val="002E2A5C"/>
    <w:rsid w:val="002E2AF5"/>
    <w:rsid w:val="002E2C57"/>
    <w:rsid w:val="002E2E15"/>
    <w:rsid w:val="002E2F4F"/>
    <w:rsid w:val="002E302B"/>
    <w:rsid w:val="002E31B1"/>
    <w:rsid w:val="002E3580"/>
    <w:rsid w:val="002E3597"/>
    <w:rsid w:val="002E3677"/>
    <w:rsid w:val="002E37BC"/>
    <w:rsid w:val="002E3844"/>
    <w:rsid w:val="002E38A3"/>
    <w:rsid w:val="002E3B48"/>
    <w:rsid w:val="002E3B4F"/>
    <w:rsid w:val="002E3B73"/>
    <w:rsid w:val="002E3DEB"/>
    <w:rsid w:val="002E3FF5"/>
    <w:rsid w:val="002E4085"/>
    <w:rsid w:val="002E416A"/>
    <w:rsid w:val="002E4359"/>
    <w:rsid w:val="002E4425"/>
    <w:rsid w:val="002E4428"/>
    <w:rsid w:val="002E44BF"/>
    <w:rsid w:val="002E465D"/>
    <w:rsid w:val="002E4753"/>
    <w:rsid w:val="002E482B"/>
    <w:rsid w:val="002E4E5D"/>
    <w:rsid w:val="002E4E71"/>
    <w:rsid w:val="002E4F4B"/>
    <w:rsid w:val="002E4FAE"/>
    <w:rsid w:val="002E4FD0"/>
    <w:rsid w:val="002E5177"/>
    <w:rsid w:val="002E51C9"/>
    <w:rsid w:val="002E523D"/>
    <w:rsid w:val="002E5240"/>
    <w:rsid w:val="002E52FC"/>
    <w:rsid w:val="002E5393"/>
    <w:rsid w:val="002E539F"/>
    <w:rsid w:val="002E5BB9"/>
    <w:rsid w:val="002E5CE0"/>
    <w:rsid w:val="002E5DB9"/>
    <w:rsid w:val="002E5EF0"/>
    <w:rsid w:val="002E600E"/>
    <w:rsid w:val="002E61F0"/>
    <w:rsid w:val="002E6223"/>
    <w:rsid w:val="002E653A"/>
    <w:rsid w:val="002E6698"/>
    <w:rsid w:val="002E66C3"/>
    <w:rsid w:val="002E67CC"/>
    <w:rsid w:val="002E6855"/>
    <w:rsid w:val="002E6897"/>
    <w:rsid w:val="002E6BB5"/>
    <w:rsid w:val="002E6D5A"/>
    <w:rsid w:val="002E6E03"/>
    <w:rsid w:val="002E6E86"/>
    <w:rsid w:val="002E6EA5"/>
    <w:rsid w:val="002E6EC2"/>
    <w:rsid w:val="002E6F12"/>
    <w:rsid w:val="002E7013"/>
    <w:rsid w:val="002E727E"/>
    <w:rsid w:val="002E7338"/>
    <w:rsid w:val="002E73A4"/>
    <w:rsid w:val="002E7447"/>
    <w:rsid w:val="002E7455"/>
    <w:rsid w:val="002E74EF"/>
    <w:rsid w:val="002E794E"/>
    <w:rsid w:val="002E797D"/>
    <w:rsid w:val="002E7C29"/>
    <w:rsid w:val="002E7D5E"/>
    <w:rsid w:val="002E7D5F"/>
    <w:rsid w:val="002E7F72"/>
    <w:rsid w:val="002E7FB3"/>
    <w:rsid w:val="002F0026"/>
    <w:rsid w:val="002F01B8"/>
    <w:rsid w:val="002F029B"/>
    <w:rsid w:val="002F0369"/>
    <w:rsid w:val="002F0379"/>
    <w:rsid w:val="002F060E"/>
    <w:rsid w:val="002F06EC"/>
    <w:rsid w:val="002F0843"/>
    <w:rsid w:val="002F0AA4"/>
    <w:rsid w:val="002F0BAF"/>
    <w:rsid w:val="002F0C38"/>
    <w:rsid w:val="002F0C47"/>
    <w:rsid w:val="002F0C48"/>
    <w:rsid w:val="002F10B7"/>
    <w:rsid w:val="002F10F4"/>
    <w:rsid w:val="002F1140"/>
    <w:rsid w:val="002F1262"/>
    <w:rsid w:val="002F1346"/>
    <w:rsid w:val="002F14C5"/>
    <w:rsid w:val="002F15B4"/>
    <w:rsid w:val="002F1642"/>
    <w:rsid w:val="002F1778"/>
    <w:rsid w:val="002F17E7"/>
    <w:rsid w:val="002F1960"/>
    <w:rsid w:val="002F1D91"/>
    <w:rsid w:val="002F2204"/>
    <w:rsid w:val="002F2462"/>
    <w:rsid w:val="002F2468"/>
    <w:rsid w:val="002F24ED"/>
    <w:rsid w:val="002F26B5"/>
    <w:rsid w:val="002F27E3"/>
    <w:rsid w:val="002F28BD"/>
    <w:rsid w:val="002F28D9"/>
    <w:rsid w:val="002F28DA"/>
    <w:rsid w:val="002F2AA0"/>
    <w:rsid w:val="002F2AD5"/>
    <w:rsid w:val="002F2BC8"/>
    <w:rsid w:val="002F2BCA"/>
    <w:rsid w:val="002F2DA5"/>
    <w:rsid w:val="002F3231"/>
    <w:rsid w:val="002F32F6"/>
    <w:rsid w:val="002F3765"/>
    <w:rsid w:val="002F3783"/>
    <w:rsid w:val="002F3AB8"/>
    <w:rsid w:val="002F3BA7"/>
    <w:rsid w:val="002F3EB5"/>
    <w:rsid w:val="002F3F81"/>
    <w:rsid w:val="002F3FF4"/>
    <w:rsid w:val="002F48D0"/>
    <w:rsid w:val="002F4B52"/>
    <w:rsid w:val="002F4D45"/>
    <w:rsid w:val="002F4DE8"/>
    <w:rsid w:val="002F4E4E"/>
    <w:rsid w:val="002F4F11"/>
    <w:rsid w:val="002F5292"/>
    <w:rsid w:val="002F5354"/>
    <w:rsid w:val="002F5369"/>
    <w:rsid w:val="002F552D"/>
    <w:rsid w:val="002F5688"/>
    <w:rsid w:val="002F569D"/>
    <w:rsid w:val="002F56D9"/>
    <w:rsid w:val="002F570E"/>
    <w:rsid w:val="002F5723"/>
    <w:rsid w:val="002F57FF"/>
    <w:rsid w:val="002F5810"/>
    <w:rsid w:val="002F5893"/>
    <w:rsid w:val="002F59EB"/>
    <w:rsid w:val="002F5A07"/>
    <w:rsid w:val="002F5AA5"/>
    <w:rsid w:val="002F5AB1"/>
    <w:rsid w:val="002F5B25"/>
    <w:rsid w:val="002F5B6E"/>
    <w:rsid w:val="002F5CFB"/>
    <w:rsid w:val="002F5CFC"/>
    <w:rsid w:val="002F5D95"/>
    <w:rsid w:val="002F5DD6"/>
    <w:rsid w:val="002F5F27"/>
    <w:rsid w:val="002F60DF"/>
    <w:rsid w:val="002F6207"/>
    <w:rsid w:val="002F6211"/>
    <w:rsid w:val="002F6373"/>
    <w:rsid w:val="002F646E"/>
    <w:rsid w:val="002F64F8"/>
    <w:rsid w:val="002F6564"/>
    <w:rsid w:val="002F6791"/>
    <w:rsid w:val="002F68EA"/>
    <w:rsid w:val="002F6AA6"/>
    <w:rsid w:val="002F7151"/>
    <w:rsid w:val="002F72B3"/>
    <w:rsid w:val="002F73C8"/>
    <w:rsid w:val="002F75F4"/>
    <w:rsid w:val="002F785D"/>
    <w:rsid w:val="002F7BAC"/>
    <w:rsid w:val="002F7D4D"/>
    <w:rsid w:val="002F7F4C"/>
    <w:rsid w:val="003000CC"/>
    <w:rsid w:val="00300105"/>
    <w:rsid w:val="003001F2"/>
    <w:rsid w:val="00300325"/>
    <w:rsid w:val="00300490"/>
    <w:rsid w:val="003004D0"/>
    <w:rsid w:val="003004D5"/>
    <w:rsid w:val="00300538"/>
    <w:rsid w:val="003005AB"/>
    <w:rsid w:val="00300791"/>
    <w:rsid w:val="003009BF"/>
    <w:rsid w:val="00300A99"/>
    <w:rsid w:val="00300CF4"/>
    <w:rsid w:val="00300FC2"/>
    <w:rsid w:val="0030121D"/>
    <w:rsid w:val="0030136D"/>
    <w:rsid w:val="003014B1"/>
    <w:rsid w:val="0030152C"/>
    <w:rsid w:val="00301555"/>
    <w:rsid w:val="003015DB"/>
    <w:rsid w:val="00301899"/>
    <w:rsid w:val="00301938"/>
    <w:rsid w:val="003019DC"/>
    <w:rsid w:val="003019F9"/>
    <w:rsid w:val="00301B57"/>
    <w:rsid w:val="00301C33"/>
    <w:rsid w:val="00301C41"/>
    <w:rsid w:val="00301CC2"/>
    <w:rsid w:val="00301DD4"/>
    <w:rsid w:val="00301E20"/>
    <w:rsid w:val="0030207B"/>
    <w:rsid w:val="003020F8"/>
    <w:rsid w:val="003020FA"/>
    <w:rsid w:val="00302262"/>
    <w:rsid w:val="00302279"/>
    <w:rsid w:val="003022FE"/>
    <w:rsid w:val="003024C5"/>
    <w:rsid w:val="003024C6"/>
    <w:rsid w:val="0030264F"/>
    <w:rsid w:val="003026DE"/>
    <w:rsid w:val="00302771"/>
    <w:rsid w:val="00302837"/>
    <w:rsid w:val="003028C1"/>
    <w:rsid w:val="003028E5"/>
    <w:rsid w:val="00302A07"/>
    <w:rsid w:val="00302A6E"/>
    <w:rsid w:val="00302ADD"/>
    <w:rsid w:val="00302D63"/>
    <w:rsid w:val="00302DBE"/>
    <w:rsid w:val="00302E9D"/>
    <w:rsid w:val="00302EDD"/>
    <w:rsid w:val="00302F0C"/>
    <w:rsid w:val="00303052"/>
    <w:rsid w:val="0030319A"/>
    <w:rsid w:val="003031B6"/>
    <w:rsid w:val="00303268"/>
    <w:rsid w:val="003033EB"/>
    <w:rsid w:val="00303504"/>
    <w:rsid w:val="0030357C"/>
    <w:rsid w:val="003035AA"/>
    <w:rsid w:val="003035B4"/>
    <w:rsid w:val="003038F6"/>
    <w:rsid w:val="00303AA2"/>
    <w:rsid w:val="00303AE6"/>
    <w:rsid w:val="00303D16"/>
    <w:rsid w:val="00303D24"/>
    <w:rsid w:val="00303F64"/>
    <w:rsid w:val="00304158"/>
    <w:rsid w:val="003042A7"/>
    <w:rsid w:val="003042BD"/>
    <w:rsid w:val="00304344"/>
    <w:rsid w:val="00304379"/>
    <w:rsid w:val="003045CA"/>
    <w:rsid w:val="003045F5"/>
    <w:rsid w:val="00304658"/>
    <w:rsid w:val="0030475D"/>
    <w:rsid w:val="00304843"/>
    <w:rsid w:val="00304AC1"/>
    <w:rsid w:val="00304B16"/>
    <w:rsid w:val="00304B28"/>
    <w:rsid w:val="00304BC1"/>
    <w:rsid w:val="00304C00"/>
    <w:rsid w:val="00304CEB"/>
    <w:rsid w:val="00304E01"/>
    <w:rsid w:val="00304FE2"/>
    <w:rsid w:val="00305138"/>
    <w:rsid w:val="003051D0"/>
    <w:rsid w:val="00305301"/>
    <w:rsid w:val="00305322"/>
    <w:rsid w:val="00305379"/>
    <w:rsid w:val="003053B1"/>
    <w:rsid w:val="003053FE"/>
    <w:rsid w:val="00305463"/>
    <w:rsid w:val="00305481"/>
    <w:rsid w:val="00305729"/>
    <w:rsid w:val="00305E0C"/>
    <w:rsid w:val="00305E4A"/>
    <w:rsid w:val="00305F10"/>
    <w:rsid w:val="00305F5D"/>
    <w:rsid w:val="0030614B"/>
    <w:rsid w:val="003062F9"/>
    <w:rsid w:val="0030655B"/>
    <w:rsid w:val="0030656E"/>
    <w:rsid w:val="00306665"/>
    <w:rsid w:val="003067B1"/>
    <w:rsid w:val="003068CB"/>
    <w:rsid w:val="00306928"/>
    <w:rsid w:val="0030698F"/>
    <w:rsid w:val="00306A01"/>
    <w:rsid w:val="00306B9E"/>
    <w:rsid w:val="00306EDF"/>
    <w:rsid w:val="003071FC"/>
    <w:rsid w:val="00307323"/>
    <w:rsid w:val="00307446"/>
    <w:rsid w:val="003074F0"/>
    <w:rsid w:val="003075DB"/>
    <w:rsid w:val="00307647"/>
    <w:rsid w:val="00307661"/>
    <w:rsid w:val="003076B1"/>
    <w:rsid w:val="00307A45"/>
    <w:rsid w:val="00307AD2"/>
    <w:rsid w:val="00307D68"/>
    <w:rsid w:val="00307E49"/>
    <w:rsid w:val="00310106"/>
    <w:rsid w:val="0031026C"/>
    <w:rsid w:val="00310431"/>
    <w:rsid w:val="0031049D"/>
    <w:rsid w:val="003104A0"/>
    <w:rsid w:val="003104C1"/>
    <w:rsid w:val="0031062A"/>
    <w:rsid w:val="0031066A"/>
    <w:rsid w:val="00310941"/>
    <w:rsid w:val="00310A18"/>
    <w:rsid w:val="00310B19"/>
    <w:rsid w:val="00310B51"/>
    <w:rsid w:val="00310C00"/>
    <w:rsid w:val="00310C9A"/>
    <w:rsid w:val="00310E3D"/>
    <w:rsid w:val="00310E5C"/>
    <w:rsid w:val="00310E89"/>
    <w:rsid w:val="003110EA"/>
    <w:rsid w:val="0031116F"/>
    <w:rsid w:val="0031124F"/>
    <w:rsid w:val="003113B6"/>
    <w:rsid w:val="00311453"/>
    <w:rsid w:val="00311545"/>
    <w:rsid w:val="003115D0"/>
    <w:rsid w:val="00311647"/>
    <w:rsid w:val="0031166F"/>
    <w:rsid w:val="003116D5"/>
    <w:rsid w:val="0031192A"/>
    <w:rsid w:val="00311B60"/>
    <w:rsid w:val="00311B9B"/>
    <w:rsid w:val="00311CDD"/>
    <w:rsid w:val="00311D28"/>
    <w:rsid w:val="00311DD7"/>
    <w:rsid w:val="00311E7B"/>
    <w:rsid w:val="00311F2B"/>
    <w:rsid w:val="003121EE"/>
    <w:rsid w:val="00312242"/>
    <w:rsid w:val="00312521"/>
    <w:rsid w:val="003125D8"/>
    <w:rsid w:val="0031266E"/>
    <w:rsid w:val="0031290D"/>
    <w:rsid w:val="00312CAE"/>
    <w:rsid w:val="00312CC7"/>
    <w:rsid w:val="00312DA9"/>
    <w:rsid w:val="00312E03"/>
    <w:rsid w:val="00312EDA"/>
    <w:rsid w:val="00313090"/>
    <w:rsid w:val="00313181"/>
    <w:rsid w:val="0031331C"/>
    <w:rsid w:val="003134C2"/>
    <w:rsid w:val="00313580"/>
    <w:rsid w:val="003136E1"/>
    <w:rsid w:val="0031396C"/>
    <w:rsid w:val="00313A6F"/>
    <w:rsid w:val="00313A8E"/>
    <w:rsid w:val="00313BA8"/>
    <w:rsid w:val="00313C74"/>
    <w:rsid w:val="00313D03"/>
    <w:rsid w:val="00313D33"/>
    <w:rsid w:val="00313DCE"/>
    <w:rsid w:val="00313E37"/>
    <w:rsid w:val="00313E57"/>
    <w:rsid w:val="00313F6C"/>
    <w:rsid w:val="00313FAF"/>
    <w:rsid w:val="00314131"/>
    <w:rsid w:val="003141F6"/>
    <w:rsid w:val="0031423B"/>
    <w:rsid w:val="00314458"/>
    <w:rsid w:val="00314B07"/>
    <w:rsid w:val="00314C4E"/>
    <w:rsid w:val="00314DCA"/>
    <w:rsid w:val="00314DCF"/>
    <w:rsid w:val="00314EB7"/>
    <w:rsid w:val="00315012"/>
    <w:rsid w:val="0031501B"/>
    <w:rsid w:val="003155D0"/>
    <w:rsid w:val="00315708"/>
    <w:rsid w:val="00315A0B"/>
    <w:rsid w:val="00315AFB"/>
    <w:rsid w:val="00315B71"/>
    <w:rsid w:val="00315C24"/>
    <w:rsid w:val="00315D9A"/>
    <w:rsid w:val="00315FF6"/>
    <w:rsid w:val="003160B8"/>
    <w:rsid w:val="003161F6"/>
    <w:rsid w:val="00316240"/>
    <w:rsid w:val="0031634C"/>
    <w:rsid w:val="0031673A"/>
    <w:rsid w:val="00316A3A"/>
    <w:rsid w:val="00316B3C"/>
    <w:rsid w:val="00316B49"/>
    <w:rsid w:val="00316DD9"/>
    <w:rsid w:val="00316F2F"/>
    <w:rsid w:val="00316F33"/>
    <w:rsid w:val="003170F2"/>
    <w:rsid w:val="00317288"/>
    <w:rsid w:val="00317381"/>
    <w:rsid w:val="003173A4"/>
    <w:rsid w:val="003173CB"/>
    <w:rsid w:val="0031758F"/>
    <w:rsid w:val="003175E6"/>
    <w:rsid w:val="00317688"/>
    <w:rsid w:val="003177F5"/>
    <w:rsid w:val="003178E6"/>
    <w:rsid w:val="00317AB5"/>
    <w:rsid w:val="00317B68"/>
    <w:rsid w:val="00317CC9"/>
    <w:rsid w:val="00317E43"/>
    <w:rsid w:val="00317E5F"/>
    <w:rsid w:val="00317EBF"/>
    <w:rsid w:val="00317F3A"/>
    <w:rsid w:val="00317FD8"/>
    <w:rsid w:val="003200D7"/>
    <w:rsid w:val="00320277"/>
    <w:rsid w:val="0032028C"/>
    <w:rsid w:val="00320381"/>
    <w:rsid w:val="003203CC"/>
    <w:rsid w:val="00320519"/>
    <w:rsid w:val="00320620"/>
    <w:rsid w:val="00320716"/>
    <w:rsid w:val="00320A44"/>
    <w:rsid w:val="00320A91"/>
    <w:rsid w:val="00320B50"/>
    <w:rsid w:val="00320BE3"/>
    <w:rsid w:val="00320DC5"/>
    <w:rsid w:val="00320E36"/>
    <w:rsid w:val="00320E9B"/>
    <w:rsid w:val="00320F8B"/>
    <w:rsid w:val="00321024"/>
    <w:rsid w:val="00321195"/>
    <w:rsid w:val="00321218"/>
    <w:rsid w:val="003212F6"/>
    <w:rsid w:val="00321355"/>
    <w:rsid w:val="003213F4"/>
    <w:rsid w:val="003215C6"/>
    <w:rsid w:val="0032161B"/>
    <w:rsid w:val="003218BB"/>
    <w:rsid w:val="0032192B"/>
    <w:rsid w:val="00321AE9"/>
    <w:rsid w:val="00321B3F"/>
    <w:rsid w:val="00321BC7"/>
    <w:rsid w:val="00321BE8"/>
    <w:rsid w:val="00321BF7"/>
    <w:rsid w:val="00321C5C"/>
    <w:rsid w:val="0032204D"/>
    <w:rsid w:val="00322050"/>
    <w:rsid w:val="003220DC"/>
    <w:rsid w:val="0032211D"/>
    <w:rsid w:val="003221AA"/>
    <w:rsid w:val="00322302"/>
    <w:rsid w:val="00322605"/>
    <w:rsid w:val="00322686"/>
    <w:rsid w:val="00322F90"/>
    <w:rsid w:val="00323181"/>
    <w:rsid w:val="0032319A"/>
    <w:rsid w:val="00323322"/>
    <w:rsid w:val="0032342E"/>
    <w:rsid w:val="0032371D"/>
    <w:rsid w:val="00323754"/>
    <w:rsid w:val="003239E2"/>
    <w:rsid w:val="00323A13"/>
    <w:rsid w:val="00323BDC"/>
    <w:rsid w:val="00323DCD"/>
    <w:rsid w:val="00323E4E"/>
    <w:rsid w:val="00323E87"/>
    <w:rsid w:val="00323F5F"/>
    <w:rsid w:val="00323F63"/>
    <w:rsid w:val="003240F2"/>
    <w:rsid w:val="003241BC"/>
    <w:rsid w:val="00324233"/>
    <w:rsid w:val="003242BB"/>
    <w:rsid w:val="0032446F"/>
    <w:rsid w:val="003247E6"/>
    <w:rsid w:val="003247F0"/>
    <w:rsid w:val="00324A4A"/>
    <w:rsid w:val="00324C4F"/>
    <w:rsid w:val="00324CDB"/>
    <w:rsid w:val="00324EF3"/>
    <w:rsid w:val="00324F2F"/>
    <w:rsid w:val="00325052"/>
    <w:rsid w:val="003251B3"/>
    <w:rsid w:val="0032524E"/>
    <w:rsid w:val="003257DC"/>
    <w:rsid w:val="0032588E"/>
    <w:rsid w:val="00325C13"/>
    <w:rsid w:val="00325C2B"/>
    <w:rsid w:val="00325E68"/>
    <w:rsid w:val="0032619E"/>
    <w:rsid w:val="003263C4"/>
    <w:rsid w:val="00326640"/>
    <w:rsid w:val="00326664"/>
    <w:rsid w:val="003266EB"/>
    <w:rsid w:val="003268AE"/>
    <w:rsid w:val="003269E8"/>
    <w:rsid w:val="00326A5D"/>
    <w:rsid w:val="00326CC4"/>
    <w:rsid w:val="00326DF2"/>
    <w:rsid w:val="00326E3C"/>
    <w:rsid w:val="00326E91"/>
    <w:rsid w:val="0032702D"/>
    <w:rsid w:val="00327041"/>
    <w:rsid w:val="003272C5"/>
    <w:rsid w:val="003272DF"/>
    <w:rsid w:val="00327603"/>
    <w:rsid w:val="00327711"/>
    <w:rsid w:val="0032789B"/>
    <w:rsid w:val="003279DC"/>
    <w:rsid w:val="00327BB0"/>
    <w:rsid w:val="00327F3F"/>
    <w:rsid w:val="0033021E"/>
    <w:rsid w:val="003302A2"/>
    <w:rsid w:val="00330391"/>
    <w:rsid w:val="003303EB"/>
    <w:rsid w:val="00330748"/>
    <w:rsid w:val="00330A6B"/>
    <w:rsid w:val="00330A77"/>
    <w:rsid w:val="00330BF9"/>
    <w:rsid w:val="00330DBC"/>
    <w:rsid w:val="00330EB9"/>
    <w:rsid w:val="00330FFF"/>
    <w:rsid w:val="00331050"/>
    <w:rsid w:val="003310F6"/>
    <w:rsid w:val="00331350"/>
    <w:rsid w:val="00331360"/>
    <w:rsid w:val="003314F0"/>
    <w:rsid w:val="00331570"/>
    <w:rsid w:val="0033170D"/>
    <w:rsid w:val="003318AC"/>
    <w:rsid w:val="00331A77"/>
    <w:rsid w:val="00331B03"/>
    <w:rsid w:val="00331C59"/>
    <w:rsid w:val="00331FA6"/>
    <w:rsid w:val="00331FD2"/>
    <w:rsid w:val="003320D3"/>
    <w:rsid w:val="00332125"/>
    <w:rsid w:val="0033222D"/>
    <w:rsid w:val="003322BF"/>
    <w:rsid w:val="003325EF"/>
    <w:rsid w:val="003325F0"/>
    <w:rsid w:val="00332654"/>
    <w:rsid w:val="00332697"/>
    <w:rsid w:val="003327BF"/>
    <w:rsid w:val="00332B20"/>
    <w:rsid w:val="00332BA5"/>
    <w:rsid w:val="00332FE8"/>
    <w:rsid w:val="003330D3"/>
    <w:rsid w:val="003330F2"/>
    <w:rsid w:val="0033312A"/>
    <w:rsid w:val="00333925"/>
    <w:rsid w:val="00333956"/>
    <w:rsid w:val="00333AAF"/>
    <w:rsid w:val="00333B12"/>
    <w:rsid w:val="00333C97"/>
    <w:rsid w:val="00333CF6"/>
    <w:rsid w:val="00333DD9"/>
    <w:rsid w:val="00333E2D"/>
    <w:rsid w:val="00333E6A"/>
    <w:rsid w:val="00333F67"/>
    <w:rsid w:val="00333F91"/>
    <w:rsid w:val="003340D5"/>
    <w:rsid w:val="003343B0"/>
    <w:rsid w:val="0033456E"/>
    <w:rsid w:val="0033460C"/>
    <w:rsid w:val="00334772"/>
    <w:rsid w:val="00334804"/>
    <w:rsid w:val="003349A8"/>
    <w:rsid w:val="003349BE"/>
    <w:rsid w:val="00334A15"/>
    <w:rsid w:val="00334D57"/>
    <w:rsid w:val="00334E07"/>
    <w:rsid w:val="00335264"/>
    <w:rsid w:val="00335427"/>
    <w:rsid w:val="0033550E"/>
    <w:rsid w:val="00335691"/>
    <w:rsid w:val="003357F6"/>
    <w:rsid w:val="00335964"/>
    <w:rsid w:val="00335C23"/>
    <w:rsid w:val="00335E74"/>
    <w:rsid w:val="00335EED"/>
    <w:rsid w:val="00335F04"/>
    <w:rsid w:val="00336220"/>
    <w:rsid w:val="0033630B"/>
    <w:rsid w:val="00336446"/>
    <w:rsid w:val="003365AE"/>
    <w:rsid w:val="003366F0"/>
    <w:rsid w:val="00336A08"/>
    <w:rsid w:val="00336AC7"/>
    <w:rsid w:val="00336B8D"/>
    <w:rsid w:val="00336D29"/>
    <w:rsid w:val="00336E32"/>
    <w:rsid w:val="0033734F"/>
    <w:rsid w:val="00337482"/>
    <w:rsid w:val="00337658"/>
    <w:rsid w:val="003377E7"/>
    <w:rsid w:val="0033790C"/>
    <w:rsid w:val="00337A53"/>
    <w:rsid w:val="00337AA8"/>
    <w:rsid w:val="00337D69"/>
    <w:rsid w:val="00337D6C"/>
    <w:rsid w:val="00340099"/>
    <w:rsid w:val="0034011A"/>
    <w:rsid w:val="0034015E"/>
    <w:rsid w:val="003401E0"/>
    <w:rsid w:val="00340260"/>
    <w:rsid w:val="00340346"/>
    <w:rsid w:val="003404F8"/>
    <w:rsid w:val="003405AA"/>
    <w:rsid w:val="00340866"/>
    <w:rsid w:val="00340B1A"/>
    <w:rsid w:val="00340BEB"/>
    <w:rsid w:val="00340C12"/>
    <w:rsid w:val="00340D25"/>
    <w:rsid w:val="00341059"/>
    <w:rsid w:val="00341086"/>
    <w:rsid w:val="003411E8"/>
    <w:rsid w:val="0034132D"/>
    <w:rsid w:val="003414E7"/>
    <w:rsid w:val="00341536"/>
    <w:rsid w:val="0034169A"/>
    <w:rsid w:val="00341721"/>
    <w:rsid w:val="00341781"/>
    <w:rsid w:val="00341860"/>
    <w:rsid w:val="00341C36"/>
    <w:rsid w:val="00341ED5"/>
    <w:rsid w:val="00342088"/>
    <w:rsid w:val="0034231F"/>
    <w:rsid w:val="0034277A"/>
    <w:rsid w:val="00342A85"/>
    <w:rsid w:val="00342C5B"/>
    <w:rsid w:val="00342CEE"/>
    <w:rsid w:val="00342EAB"/>
    <w:rsid w:val="00342ECB"/>
    <w:rsid w:val="0034321E"/>
    <w:rsid w:val="003432DF"/>
    <w:rsid w:val="00343497"/>
    <w:rsid w:val="003434BA"/>
    <w:rsid w:val="00343589"/>
    <w:rsid w:val="003436D6"/>
    <w:rsid w:val="00343CAA"/>
    <w:rsid w:val="00343D23"/>
    <w:rsid w:val="00343F30"/>
    <w:rsid w:val="00343F82"/>
    <w:rsid w:val="00343FFA"/>
    <w:rsid w:val="003441BD"/>
    <w:rsid w:val="00344248"/>
    <w:rsid w:val="00344317"/>
    <w:rsid w:val="00344428"/>
    <w:rsid w:val="00344478"/>
    <w:rsid w:val="003446D7"/>
    <w:rsid w:val="003447C2"/>
    <w:rsid w:val="003448B9"/>
    <w:rsid w:val="00344944"/>
    <w:rsid w:val="00344961"/>
    <w:rsid w:val="00344A77"/>
    <w:rsid w:val="00344BC9"/>
    <w:rsid w:val="00344C44"/>
    <w:rsid w:val="00344CD9"/>
    <w:rsid w:val="00344E5B"/>
    <w:rsid w:val="00344FAC"/>
    <w:rsid w:val="0034517F"/>
    <w:rsid w:val="003451C0"/>
    <w:rsid w:val="00345261"/>
    <w:rsid w:val="003452CD"/>
    <w:rsid w:val="003453DD"/>
    <w:rsid w:val="003454AF"/>
    <w:rsid w:val="0034584D"/>
    <w:rsid w:val="00345889"/>
    <w:rsid w:val="0034591E"/>
    <w:rsid w:val="003459B8"/>
    <w:rsid w:val="00345CBF"/>
    <w:rsid w:val="00345D09"/>
    <w:rsid w:val="00345FC3"/>
    <w:rsid w:val="00345FD5"/>
    <w:rsid w:val="0034605C"/>
    <w:rsid w:val="003460B9"/>
    <w:rsid w:val="00346188"/>
    <w:rsid w:val="0034639B"/>
    <w:rsid w:val="0034644E"/>
    <w:rsid w:val="003464B5"/>
    <w:rsid w:val="003464D4"/>
    <w:rsid w:val="00346509"/>
    <w:rsid w:val="003465D6"/>
    <w:rsid w:val="0034674B"/>
    <w:rsid w:val="003468FA"/>
    <w:rsid w:val="00346C34"/>
    <w:rsid w:val="00346C4D"/>
    <w:rsid w:val="00346DB5"/>
    <w:rsid w:val="00346DEE"/>
    <w:rsid w:val="00346E13"/>
    <w:rsid w:val="00346E8B"/>
    <w:rsid w:val="00346F36"/>
    <w:rsid w:val="00346FE6"/>
    <w:rsid w:val="0034706A"/>
    <w:rsid w:val="003471A9"/>
    <w:rsid w:val="003472CD"/>
    <w:rsid w:val="00347316"/>
    <w:rsid w:val="003474C5"/>
    <w:rsid w:val="003475AE"/>
    <w:rsid w:val="00347730"/>
    <w:rsid w:val="00347DC5"/>
    <w:rsid w:val="00347F8C"/>
    <w:rsid w:val="00347FB2"/>
    <w:rsid w:val="003502FC"/>
    <w:rsid w:val="00350448"/>
    <w:rsid w:val="003504BC"/>
    <w:rsid w:val="003505EA"/>
    <w:rsid w:val="003509BD"/>
    <w:rsid w:val="00350CDC"/>
    <w:rsid w:val="00350D61"/>
    <w:rsid w:val="00350DE2"/>
    <w:rsid w:val="00350EAF"/>
    <w:rsid w:val="00350EB8"/>
    <w:rsid w:val="00350F1E"/>
    <w:rsid w:val="00351281"/>
    <w:rsid w:val="003512C2"/>
    <w:rsid w:val="00351382"/>
    <w:rsid w:val="00351629"/>
    <w:rsid w:val="0035162D"/>
    <w:rsid w:val="003516C0"/>
    <w:rsid w:val="003516FA"/>
    <w:rsid w:val="003517EC"/>
    <w:rsid w:val="0035186D"/>
    <w:rsid w:val="00351893"/>
    <w:rsid w:val="00351AD5"/>
    <w:rsid w:val="00351C86"/>
    <w:rsid w:val="00351CDC"/>
    <w:rsid w:val="00351DEF"/>
    <w:rsid w:val="00351E9F"/>
    <w:rsid w:val="00351F34"/>
    <w:rsid w:val="00351FB8"/>
    <w:rsid w:val="0035212D"/>
    <w:rsid w:val="0035214E"/>
    <w:rsid w:val="00352233"/>
    <w:rsid w:val="00352480"/>
    <w:rsid w:val="003524FD"/>
    <w:rsid w:val="00352559"/>
    <w:rsid w:val="003526B9"/>
    <w:rsid w:val="003526C1"/>
    <w:rsid w:val="003528DC"/>
    <w:rsid w:val="00352C96"/>
    <w:rsid w:val="00352CB1"/>
    <w:rsid w:val="00352D16"/>
    <w:rsid w:val="00352D4E"/>
    <w:rsid w:val="00352E1E"/>
    <w:rsid w:val="00352F18"/>
    <w:rsid w:val="0035310B"/>
    <w:rsid w:val="00353121"/>
    <w:rsid w:val="00353312"/>
    <w:rsid w:val="0035337D"/>
    <w:rsid w:val="00353655"/>
    <w:rsid w:val="0035370A"/>
    <w:rsid w:val="003537E9"/>
    <w:rsid w:val="00353823"/>
    <w:rsid w:val="00353862"/>
    <w:rsid w:val="00353882"/>
    <w:rsid w:val="00353CA5"/>
    <w:rsid w:val="00353F8C"/>
    <w:rsid w:val="003543CE"/>
    <w:rsid w:val="00354A71"/>
    <w:rsid w:val="00354BFA"/>
    <w:rsid w:val="00354C2D"/>
    <w:rsid w:val="00354CB8"/>
    <w:rsid w:val="00354CCC"/>
    <w:rsid w:val="00354E41"/>
    <w:rsid w:val="00354E48"/>
    <w:rsid w:val="00354EE0"/>
    <w:rsid w:val="00355171"/>
    <w:rsid w:val="003551BC"/>
    <w:rsid w:val="00355420"/>
    <w:rsid w:val="00355689"/>
    <w:rsid w:val="003557C4"/>
    <w:rsid w:val="003558C2"/>
    <w:rsid w:val="00355CCC"/>
    <w:rsid w:val="00355D93"/>
    <w:rsid w:val="00355DEB"/>
    <w:rsid w:val="00355E2D"/>
    <w:rsid w:val="00355EBD"/>
    <w:rsid w:val="00355EE6"/>
    <w:rsid w:val="00355EEF"/>
    <w:rsid w:val="00355F9A"/>
    <w:rsid w:val="0035601D"/>
    <w:rsid w:val="003560A8"/>
    <w:rsid w:val="003560C7"/>
    <w:rsid w:val="003560F9"/>
    <w:rsid w:val="00356235"/>
    <w:rsid w:val="0035626B"/>
    <w:rsid w:val="00356558"/>
    <w:rsid w:val="0035657B"/>
    <w:rsid w:val="003565B3"/>
    <w:rsid w:val="00356718"/>
    <w:rsid w:val="00356750"/>
    <w:rsid w:val="00356861"/>
    <w:rsid w:val="00356872"/>
    <w:rsid w:val="00356C31"/>
    <w:rsid w:val="00356C4C"/>
    <w:rsid w:val="003571B8"/>
    <w:rsid w:val="0035724D"/>
    <w:rsid w:val="0035727E"/>
    <w:rsid w:val="003572DD"/>
    <w:rsid w:val="00357393"/>
    <w:rsid w:val="003573AB"/>
    <w:rsid w:val="003573AC"/>
    <w:rsid w:val="003573B7"/>
    <w:rsid w:val="0035775F"/>
    <w:rsid w:val="00357923"/>
    <w:rsid w:val="00357A3B"/>
    <w:rsid w:val="00357BA2"/>
    <w:rsid w:val="00357E50"/>
    <w:rsid w:val="00360101"/>
    <w:rsid w:val="00360132"/>
    <w:rsid w:val="003604F6"/>
    <w:rsid w:val="003606D3"/>
    <w:rsid w:val="00360727"/>
    <w:rsid w:val="00360796"/>
    <w:rsid w:val="00360A23"/>
    <w:rsid w:val="00360BFD"/>
    <w:rsid w:val="00360C82"/>
    <w:rsid w:val="00360C8F"/>
    <w:rsid w:val="00360D0B"/>
    <w:rsid w:val="00360EC2"/>
    <w:rsid w:val="003610A3"/>
    <w:rsid w:val="00361107"/>
    <w:rsid w:val="00361213"/>
    <w:rsid w:val="00361401"/>
    <w:rsid w:val="00361554"/>
    <w:rsid w:val="0036157E"/>
    <w:rsid w:val="0036170A"/>
    <w:rsid w:val="00361714"/>
    <w:rsid w:val="00361774"/>
    <w:rsid w:val="003617B5"/>
    <w:rsid w:val="00361830"/>
    <w:rsid w:val="003618C1"/>
    <w:rsid w:val="00361A1F"/>
    <w:rsid w:val="00361E81"/>
    <w:rsid w:val="00362304"/>
    <w:rsid w:val="00362337"/>
    <w:rsid w:val="00362352"/>
    <w:rsid w:val="00362466"/>
    <w:rsid w:val="0036248B"/>
    <w:rsid w:val="00362712"/>
    <w:rsid w:val="00362728"/>
    <w:rsid w:val="003627C7"/>
    <w:rsid w:val="00362877"/>
    <w:rsid w:val="00362986"/>
    <w:rsid w:val="00362ACE"/>
    <w:rsid w:val="00362C99"/>
    <w:rsid w:val="00362D36"/>
    <w:rsid w:val="00362DF2"/>
    <w:rsid w:val="00362E5A"/>
    <w:rsid w:val="00362F21"/>
    <w:rsid w:val="00362F7C"/>
    <w:rsid w:val="00362F7E"/>
    <w:rsid w:val="00363042"/>
    <w:rsid w:val="00363160"/>
    <w:rsid w:val="003631CD"/>
    <w:rsid w:val="0036320D"/>
    <w:rsid w:val="00363325"/>
    <w:rsid w:val="003633F5"/>
    <w:rsid w:val="00363676"/>
    <w:rsid w:val="00363738"/>
    <w:rsid w:val="003638CD"/>
    <w:rsid w:val="003639F3"/>
    <w:rsid w:val="00363A89"/>
    <w:rsid w:val="00363F6C"/>
    <w:rsid w:val="0036402B"/>
    <w:rsid w:val="0036408C"/>
    <w:rsid w:val="00364161"/>
    <w:rsid w:val="003642AF"/>
    <w:rsid w:val="003643B4"/>
    <w:rsid w:val="00364480"/>
    <w:rsid w:val="003644AF"/>
    <w:rsid w:val="00364739"/>
    <w:rsid w:val="00364C6A"/>
    <w:rsid w:val="00364D6F"/>
    <w:rsid w:val="00364D83"/>
    <w:rsid w:val="00364E22"/>
    <w:rsid w:val="0036500F"/>
    <w:rsid w:val="003650A3"/>
    <w:rsid w:val="00365103"/>
    <w:rsid w:val="00365287"/>
    <w:rsid w:val="003652B2"/>
    <w:rsid w:val="00365365"/>
    <w:rsid w:val="003657F8"/>
    <w:rsid w:val="00365B19"/>
    <w:rsid w:val="00365B56"/>
    <w:rsid w:val="00365C0C"/>
    <w:rsid w:val="00365CD6"/>
    <w:rsid w:val="00365DA3"/>
    <w:rsid w:val="00366184"/>
    <w:rsid w:val="003661EA"/>
    <w:rsid w:val="0036635A"/>
    <w:rsid w:val="003663E3"/>
    <w:rsid w:val="0036644D"/>
    <w:rsid w:val="003664E3"/>
    <w:rsid w:val="003665B3"/>
    <w:rsid w:val="003665C5"/>
    <w:rsid w:val="003666ED"/>
    <w:rsid w:val="00366778"/>
    <w:rsid w:val="0036680F"/>
    <w:rsid w:val="00366AA0"/>
    <w:rsid w:val="00366AA2"/>
    <w:rsid w:val="00366DB9"/>
    <w:rsid w:val="00366ED2"/>
    <w:rsid w:val="0036707A"/>
    <w:rsid w:val="00367427"/>
    <w:rsid w:val="00367684"/>
    <w:rsid w:val="003676A2"/>
    <w:rsid w:val="0036771E"/>
    <w:rsid w:val="00367733"/>
    <w:rsid w:val="00367784"/>
    <w:rsid w:val="003679C8"/>
    <w:rsid w:val="003679E1"/>
    <w:rsid w:val="00367A0E"/>
    <w:rsid w:val="00367B5B"/>
    <w:rsid w:val="00367CB8"/>
    <w:rsid w:val="00367CFE"/>
    <w:rsid w:val="00367E1C"/>
    <w:rsid w:val="00367F81"/>
    <w:rsid w:val="00367FE0"/>
    <w:rsid w:val="0037002F"/>
    <w:rsid w:val="00370270"/>
    <w:rsid w:val="0037041B"/>
    <w:rsid w:val="003704CB"/>
    <w:rsid w:val="003704EE"/>
    <w:rsid w:val="00370602"/>
    <w:rsid w:val="0037071A"/>
    <w:rsid w:val="003707BA"/>
    <w:rsid w:val="00370B32"/>
    <w:rsid w:val="00370BFE"/>
    <w:rsid w:val="00370F1B"/>
    <w:rsid w:val="00370FCC"/>
    <w:rsid w:val="003710C8"/>
    <w:rsid w:val="003711AA"/>
    <w:rsid w:val="00371485"/>
    <w:rsid w:val="00371537"/>
    <w:rsid w:val="003715ED"/>
    <w:rsid w:val="0037182A"/>
    <w:rsid w:val="003718EF"/>
    <w:rsid w:val="00371AD4"/>
    <w:rsid w:val="00371B48"/>
    <w:rsid w:val="00371C00"/>
    <w:rsid w:val="00371CF1"/>
    <w:rsid w:val="003720BB"/>
    <w:rsid w:val="0037233A"/>
    <w:rsid w:val="00372663"/>
    <w:rsid w:val="0037278E"/>
    <w:rsid w:val="00372A00"/>
    <w:rsid w:val="00372ABD"/>
    <w:rsid w:val="00372BDF"/>
    <w:rsid w:val="00372C78"/>
    <w:rsid w:val="00372CF3"/>
    <w:rsid w:val="00372E3B"/>
    <w:rsid w:val="00372ED0"/>
    <w:rsid w:val="00373032"/>
    <w:rsid w:val="00373061"/>
    <w:rsid w:val="0037309E"/>
    <w:rsid w:val="0037318B"/>
    <w:rsid w:val="003733CC"/>
    <w:rsid w:val="00373435"/>
    <w:rsid w:val="00373437"/>
    <w:rsid w:val="0037344E"/>
    <w:rsid w:val="003736E5"/>
    <w:rsid w:val="003737B1"/>
    <w:rsid w:val="003737FF"/>
    <w:rsid w:val="003739B8"/>
    <w:rsid w:val="003739CE"/>
    <w:rsid w:val="00373A8C"/>
    <w:rsid w:val="00373AC6"/>
    <w:rsid w:val="00373D30"/>
    <w:rsid w:val="00373DF5"/>
    <w:rsid w:val="00373E22"/>
    <w:rsid w:val="00374039"/>
    <w:rsid w:val="00374096"/>
    <w:rsid w:val="00374123"/>
    <w:rsid w:val="0037413F"/>
    <w:rsid w:val="00374436"/>
    <w:rsid w:val="0037448A"/>
    <w:rsid w:val="00374522"/>
    <w:rsid w:val="003745B5"/>
    <w:rsid w:val="003745EB"/>
    <w:rsid w:val="0037460D"/>
    <w:rsid w:val="00374756"/>
    <w:rsid w:val="00374FFB"/>
    <w:rsid w:val="003752FB"/>
    <w:rsid w:val="003754DC"/>
    <w:rsid w:val="003754FD"/>
    <w:rsid w:val="00375767"/>
    <w:rsid w:val="0037578E"/>
    <w:rsid w:val="003757B2"/>
    <w:rsid w:val="003757D7"/>
    <w:rsid w:val="00375944"/>
    <w:rsid w:val="003759D8"/>
    <w:rsid w:val="00375A5D"/>
    <w:rsid w:val="00375C8E"/>
    <w:rsid w:val="00375D3D"/>
    <w:rsid w:val="00375D4D"/>
    <w:rsid w:val="00375DD3"/>
    <w:rsid w:val="00375F46"/>
    <w:rsid w:val="00375F86"/>
    <w:rsid w:val="0037603B"/>
    <w:rsid w:val="00376167"/>
    <w:rsid w:val="00376183"/>
    <w:rsid w:val="003761C4"/>
    <w:rsid w:val="00376379"/>
    <w:rsid w:val="00376658"/>
    <w:rsid w:val="003767D9"/>
    <w:rsid w:val="00376B26"/>
    <w:rsid w:val="00376B46"/>
    <w:rsid w:val="00376C62"/>
    <w:rsid w:val="0037719A"/>
    <w:rsid w:val="00377282"/>
    <w:rsid w:val="0037732B"/>
    <w:rsid w:val="00377347"/>
    <w:rsid w:val="003773D5"/>
    <w:rsid w:val="00377507"/>
    <w:rsid w:val="00377533"/>
    <w:rsid w:val="003775F4"/>
    <w:rsid w:val="00377628"/>
    <w:rsid w:val="003776A3"/>
    <w:rsid w:val="0037778D"/>
    <w:rsid w:val="00377A78"/>
    <w:rsid w:val="00377DC3"/>
    <w:rsid w:val="00377DCB"/>
    <w:rsid w:val="00377E4A"/>
    <w:rsid w:val="00377F48"/>
    <w:rsid w:val="00380479"/>
    <w:rsid w:val="003806D5"/>
    <w:rsid w:val="00380883"/>
    <w:rsid w:val="00380889"/>
    <w:rsid w:val="003808FB"/>
    <w:rsid w:val="003809DA"/>
    <w:rsid w:val="00380A00"/>
    <w:rsid w:val="00380B44"/>
    <w:rsid w:val="00380E1B"/>
    <w:rsid w:val="00380F29"/>
    <w:rsid w:val="00380F8B"/>
    <w:rsid w:val="003811C3"/>
    <w:rsid w:val="003811E3"/>
    <w:rsid w:val="00381250"/>
    <w:rsid w:val="003812DA"/>
    <w:rsid w:val="0038146A"/>
    <w:rsid w:val="0038154D"/>
    <w:rsid w:val="0038155E"/>
    <w:rsid w:val="00381641"/>
    <w:rsid w:val="00381720"/>
    <w:rsid w:val="003818BF"/>
    <w:rsid w:val="00381C86"/>
    <w:rsid w:val="00381D83"/>
    <w:rsid w:val="00381E83"/>
    <w:rsid w:val="00381FB5"/>
    <w:rsid w:val="00382042"/>
    <w:rsid w:val="00382096"/>
    <w:rsid w:val="00382251"/>
    <w:rsid w:val="003822E9"/>
    <w:rsid w:val="0038252D"/>
    <w:rsid w:val="0038257B"/>
    <w:rsid w:val="0038293E"/>
    <w:rsid w:val="00382C49"/>
    <w:rsid w:val="00382D38"/>
    <w:rsid w:val="00382D80"/>
    <w:rsid w:val="00382EB8"/>
    <w:rsid w:val="00382F78"/>
    <w:rsid w:val="00382FB6"/>
    <w:rsid w:val="00382FEE"/>
    <w:rsid w:val="00383004"/>
    <w:rsid w:val="0038306C"/>
    <w:rsid w:val="003833D0"/>
    <w:rsid w:val="00383795"/>
    <w:rsid w:val="003839F0"/>
    <w:rsid w:val="00383A07"/>
    <w:rsid w:val="00383AB7"/>
    <w:rsid w:val="00383ACE"/>
    <w:rsid w:val="00383AD7"/>
    <w:rsid w:val="00383E1B"/>
    <w:rsid w:val="00383F64"/>
    <w:rsid w:val="00383FCA"/>
    <w:rsid w:val="00384134"/>
    <w:rsid w:val="00384496"/>
    <w:rsid w:val="003844EC"/>
    <w:rsid w:val="003844FD"/>
    <w:rsid w:val="00384640"/>
    <w:rsid w:val="00384688"/>
    <w:rsid w:val="0038478B"/>
    <w:rsid w:val="00384799"/>
    <w:rsid w:val="003847F3"/>
    <w:rsid w:val="0038484E"/>
    <w:rsid w:val="00384F2C"/>
    <w:rsid w:val="00384F33"/>
    <w:rsid w:val="0038500C"/>
    <w:rsid w:val="003851A0"/>
    <w:rsid w:val="0038566B"/>
    <w:rsid w:val="00385868"/>
    <w:rsid w:val="00385A8D"/>
    <w:rsid w:val="00385A99"/>
    <w:rsid w:val="00385BA4"/>
    <w:rsid w:val="00385D23"/>
    <w:rsid w:val="00385D7B"/>
    <w:rsid w:val="00385EE4"/>
    <w:rsid w:val="00386074"/>
    <w:rsid w:val="003860DB"/>
    <w:rsid w:val="0038625E"/>
    <w:rsid w:val="003862AF"/>
    <w:rsid w:val="00386540"/>
    <w:rsid w:val="00386590"/>
    <w:rsid w:val="00386810"/>
    <w:rsid w:val="00386C6A"/>
    <w:rsid w:val="00386CBE"/>
    <w:rsid w:val="00386D47"/>
    <w:rsid w:val="00386E83"/>
    <w:rsid w:val="003871AA"/>
    <w:rsid w:val="003873EC"/>
    <w:rsid w:val="00387519"/>
    <w:rsid w:val="0038752F"/>
    <w:rsid w:val="00387910"/>
    <w:rsid w:val="00387949"/>
    <w:rsid w:val="003879A6"/>
    <w:rsid w:val="003879B4"/>
    <w:rsid w:val="00387A41"/>
    <w:rsid w:val="00387B98"/>
    <w:rsid w:val="00387C98"/>
    <w:rsid w:val="00387CD6"/>
    <w:rsid w:val="00387D62"/>
    <w:rsid w:val="00387F01"/>
    <w:rsid w:val="00387F44"/>
    <w:rsid w:val="0039000E"/>
    <w:rsid w:val="003902C3"/>
    <w:rsid w:val="0039034F"/>
    <w:rsid w:val="00390355"/>
    <w:rsid w:val="003907DB"/>
    <w:rsid w:val="00390B26"/>
    <w:rsid w:val="00390C9C"/>
    <w:rsid w:val="00390D04"/>
    <w:rsid w:val="003910F5"/>
    <w:rsid w:val="0039110B"/>
    <w:rsid w:val="003913B7"/>
    <w:rsid w:val="003913E0"/>
    <w:rsid w:val="00391494"/>
    <w:rsid w:val="003915F6"/>
    <w:rsid w:val="00391822"/>
    <w:rsid w:val="0039195F"/>
    <w:rsid w:val="003919CB"/>
    <w:rsid w:val="003919E5"/>
    <w:rsid w:val="00391E09"/>
    <w:rsid w:val="00392069"/>
    <w:rsid w:val="0039206A"/>
    <w:rsid w:val="0039219E"/>
    <w:rsid w:val="003921BB"/>
    <w:rsid w:val="00392223"/>
    <w:rsid w:val="003923B9"/>
    <w:rsid w:val="003925B6"/>
    <w:rsid w:val="003928F9"/>
    <w:rsid w:val="00392A30"/>
    <w:rsid w:val="00392C3D"/>
    <w:rsid w:val="00392DC3"/>
    <w:rsid w:val="00392DEF"/>
    <w:rsid w:val="00392F23"/>
    <w:rsid w:val="00392FFE"/>
    <w:rsid w:val="0039304C"/>
    <w:rsid w:val="003931C7"/>
    <w:rsid w:val="003931CF"/>
    <w:rsid w:val="00393343"/>
    <w:rsid w:val="003934BB"/>
    <w:rsid w:val="003934FE"/>
    <w:rsid w:val="0039357D"/>
    <w:rsid w:val="003935AB"/>
    <w:rsid w:val="0039385D"/>
    <w:rsid w:val="00393863"/>
    <w:rsid w:val="003939E2"/>
    <w:rsid w:val="00393F41"/>
    <w:rsid w:val="00393FB7"/>
    <w:rsid w:val="00394329"/>
    <w:rsid w:val="0039433C"/>
    <w:rsid w:val="003944FF"/>
    <w:rsid w:val="00394551"/>
    <w:rsid w:val="003946AC"/>
    <w:rsid w:val="003948FB"/>
    <w:rsid w:val="003949D0"/>
    <w:rsid w:val="00394B74"/>
    <w:rsid w:val="00394D3C"/>
    <w:rsid w:val="00394F3C"/>
    <w:rsid w:val="00394F6B"/>
    <w:rsid w:val="003950C8"/>
    <w:rsid w:val="003950D5"/>
    <w:rsid w:val="003951AF"/>
    <w:rsid w:val="00395358"/>
    <w:rsid w:val="0039544C"/>
    <w:rsid w:val="00395451"/>
    <w:rsid w:val="003955A7"/>
    <w:rsid w:val="00395684"/>
    <w:rsid w:val="003956A5"/>
    <w:rsid w:val="00395769"/>
    <w:rsid w:val="003958EA"/>
    <w:rsid w:val="00395994"/>
    <w:rsid w:val="00395A01"/>
    <w:rsid w:val="00395B26"/>
    <w:rsid w:val="00395F49"/>
    <w:rsid w:val="003960B3"/>
    <w:rsid w:val="00396552"/>
    <w:rsid w:val="003967DC"/>
    <w:rsid w:val="003968A1"/>
    <w:rsid w:val="0039694D"/>
    <w:rsid w:val="00396978"/>
    <w:rsid w:val="00396B1B"/>
    <w:rsid w:val="0039704F"/>
    <w:rsid w:val="0039714E"/>
    <w:rsid w:val="003972F8"/>
    <w:rsid w:val="00397456"/>
    <w:rsid w:val="0039748A"/>
    <w:rsid w:val="00397497"/>
    <w:rsid w:val="0039759B"/>
    <w:rsid w:val="00397679"/>
    <w:rsid w:val="003976A9"/>
    <w:rsid w:val="003976EB"/>
    <w:rsid w:val="003977CA"/>
    <w:rsid w:val="003977FB"/>
    <w:rsid w:val="00397B79"/>
    <w:rsid w:val="00397B80"/>
    <w:rsid w:val="00397DB5"/>
    <w:rsid w:val="00397F5A"/>
    <w:rsid w:val="003A019A"/>
    <w:rsid w:val="003A02A6"/>
    <w:rsid w:val="003A0679"/>
    <w:rsid w:val="003A073D"/>
    <w:rsid w:val="003A0867"/>
    <w:rsid w:val="003A08CA"/>
    <w:rsid w:val="003A09C2"/>
    <w:rsid w:val="003A120C"/>
    <w:rsid w:val="003A1344"/>
    <w:rsid w:val="003A1345"/>
    <w:rsid w:val="003A16BE"/>
    <w:rsid w:val="003A17EA"/>
    <w:rsid w:val="003A1920"/>
    <w:rsid w:val="003A1BD4"/>
    <w:rsid w:val="003A1E63"/>
    <w:rsid w:val="003A216A"/>
    <w:rsid w:val="003A21A4"/>
    <w:rsid w:val="003A230F"/>
    <w:rsid w:val="003A2324"/>
    <w:rsid w:val="003A257F"/>
    <w:rsid w:val="003A267B"/>
    <w:rsid w:val="003A27EB"/>
    <w:rsid w:val="003A289A"/>
    <w:rsid w:val="003A2A2D"/>
    <w:rsid w:val="003A2B28"/>
    <w:rsid w:val="003A2B50"/>
    <w:rsid w:val="003A2BE9"/>
    <w:rsid w:val="003A2C65"/>
    <w:rsid w:val="003A2DF1"/>
    <w:rsid w:val="003A2E52"/>
    <w:rsid w:val="003A32EF"/>
    <w:rsid w:val="003A333D"/>
    <w:rsid w:val="003A3558"/>
    <w:rsid w:val="003A3649"/>
    <w:rsid w:val="003A3A3E"/>
    <w:rsid w:val="003A3E8A"/>
    <w:rsid w:val="003A3E97"/>
    <w:rsid w:val="003A3EC5"/>
    <w:rsid w:val="003A4042"/>
    <w:rsid w:val="003A40D8"/>
    <w:rsid w:val="003A4237"/>
    <w:rsid w:val="003A4282"/>
    <w:rsid w:val="003A430A"/>
    <w:rsid w:val="003A46AD"/>
    <w:rsid w:val="003A4885"/>
    <w:rsid w:val="003A488D"/>
    <w:rsid w:val="003A4A17"/>
    <w:rsid w:val="003A4A55"/>
    <w:rsid w:val="003A4C1C"/>
    <w:rsid w:val="003A4DD4"/>
    <w:rsid w:val="003A4FA4"/>
    <w:rsid w:val="003A4FB5"/>
    <w:rsid w:val="003A515B"/>
    <w:rsid w:val="003A51EC"/>
    <w:rsid w:val="003A5213"/>
    <w:rsid w:val="003A524E"/>
    <w:rsid w:val="003A5364"/>
    <w:rsid w:val="003A53CA"/>
    <w:rsid w:val="003A547A"/>
    <w:rsid w:val="003A55B3"/>
    <w:rsid w:val="003A56B6"/>
    <w:rsid w:val="003A598B"/>
    <w:rsid w:val="003A5BD8"/>
    <w:rsid w:val="003A5D79"/>
    <w:rsid w:val="003A5E19"/>
    <w:rsid w:val="003A5E9D"/>
    <w:rsid w:val="003A61E7"/>
    <w:rsid w:val="003A641D"/>
    <w:rsid w:val="003A64D6"/>
    <w:rsid w:val="003A64E4"/>
    <w:rsid w:val="003A6817"/>
    <w:rsid w:val="003A6A21"/>
    <w:rsid w:val="003A6AA3"/>
    <w:rsid w:val="003A6D70"/>
    <w:rsid w:val="003A6D9D"/>
    <w:rsid w:val="003A6F06"/>
    <w:rsid w:val="003A6F33"/>
    <w:rsid w:val="003A708F"/>
    <w:rsid w:val="003A739E"/>
    <w:rsid w:val="003A76FC"/>
    <w:rsid w:val="003A77C6"/>
    <w:rsid w:val="003A78E8"/>
    <w:rsid w:val="003A78FF"/>
    <w:rsid w:val="003A7936"/>
    <w:rsid w:val="003A79A6"/>
    <w:rsid w:val="003A7A8A"/>
    <w:rsid w:val="003A7B9E"/>
    <w:rsid w:val="003A7D9E"/>
    <w:rsid w:val="003A7EC4"/>
    <w:rsid w:val="003B000D"/>
    <w:rsid w:val="003B0133"/>
    <w:rsid w:val="003B03A4"/>
    <w:rsid w:val="003B0446"/>
    <w:rsid w:val="003B04B7"/>
    <w:rsid w:val="003B0622"/>
    <w:rsid w:val="003B08E2"/>
    <w:rsid w:val="003B093F"/>
    <w:rsid w:val="003B0C11"/>
    <w:rsid w:val="003B0C8D"/>
    <w:rsid w:val="003B0D85"/>
    <w:rsid w:val="003B0F8A"/>
    <w:rsid w:val="003B1032"/>
    <w:rsid w:val="003B13C7"/>
    <w:rsid w:val="003B14BE"/>
    <w:rsid w:val="003B18BB"/>
    <w:rsid w:val="003B1A23"/>
    <w:rsid w:val="003B1AEC"/>
    <w:rsid w:val="003B1BEA"/>
    <w:rsid w:val="003B1C46"/>
    <w:rsid w:val="003B1D33"/>
    <w:rsid w:val="003B1D51"/>
    <w:rsid w:val="003B1E71"/>
    <w:rsid w:val="003B1F67"/>
    <w:rsid w:val="003B2271"/>
    <w:rsid w:val="003B22BA"/>
    <w:rsid w:val="003B242D"/>
    <w:rsid w:val="003B255D"/>
    <w:rsid w:val="003B2666"/>
    <w:rsid w:val="003B282C"/>
    <w:rsid w:val="003B292A"/>
    <w:rsid w:val="003B2978"/>
    <w:rsid w:val="003B29AD"/>
    <w:rsid w:val="003B2D13"/>
    <w:rsid w:val="003B2D6C"/>
    <w:rsid w:val="003B2F57"/>
    <w:rsid w:val="003B3150"/>
    <w:rsid w:val="003B323B"/>
    <w:rsid w:val="003B32CE"/>
    <w:rsid w:val="003B35CF"/>
    <w:rsid w:val="003B3606"/>
    <w:rsid w:val="003B3619"/>
    <w:rsid w:val="003B3628"/>
    <w:rsid w:val="003B3743"/>
    <w:rsid w:val="003B37F4"/>
    <w:rsid w:val="003B38AA"/>
    <w:rsid w:val="003B398C"/>
    <w:rsid w:val="003B3AF6"/>
    <w:rsid w:val="003B3B21"/>
    <w:rsid w:val="003B3B4E"/>
    <w:rsid w:val="003B3BBD"/>
    <w:rsid w:val="003B3C1D"/>
    <w:rsid w:val="003B3D50"/>
    <w:rsid w:val="003B3DBB"/>
    <w:rsid w:val="003B3EDD"/>
    <w:rsid w:val="003B3FBE"/>
    <w:rsid w:val="003B4103"/>
    <w:rsid w:val="003B449F"/>
    <w:rsid w:val="003B48BD"/>
    <w:rsid w:val="003B48BF"/>
    <w:rsid w:val="003B48DA"/>
    <w:rsid w:val="003B4952"/>
    <w:rsid w:val="003B4A31"/>
    <w:rsid w:val="003B4ACD"/>
    <w:rsid w:val="003B4B4B"/>
    <w:rsid w:val="003B4BCA"/>
    <w:rsid w:val="003B4BF3"/>
    <w:rsid w:val="003B4C08"/>
    <w:rsid w:val="003B4CEC"/>
    <w:rsid w:val="003B4D87"/>
    <w:rsid w:val="003B4D9D"/>
    <w:rsid w:val="003B4E2D"/>
    <w:rsid w:val="003B5025"/>
    <w:rsid w:val="003B5071"/>
    <w:rsid w:val="003B5081"/>
    <w:rsid w:val="003B51E1"/>
    <w:rsid w:val="003B520B"/>
    <w:rsid w:val="003B545F"/>
    <w:rsid w:val="003B5515"/>
    <w:rsid w:val="003B55E4"/>
    <w:rsid w:val="003B56AF"/>
    <w:rsid w:val="003B56BD"/>
    <w:rsid w:val="003B5722"/>
    <w:rsid w:val="003B57B6"/>
    <w:rsid w:val="003B57CE"/>
    <w:rsid w:val="003B5B4F"/>
    <w:rsid w:val="003B5BF8"/>
    <w:rsid w:val="003B5D2F"/>
    <w:rsid w:val="003B607D"/>
    <w:rsid w:val="003B6195"/>
    <w:rsid w:val="003B63D1"/>
    <w:rsid w:val="003B64BE"/>
    <w:rsid w:val="003B6A76"/>
    <w:rsid w:val="003B6D02"/>
    <w:rsid w:val="003B6D06"/>
    <w:rsid w:val="003B6DC1"/>
    <w:rsid w:val="003B6DFD"/>
    <w:rsid w:val="003B6E66"/>
    <w:rsid w:val="003B6E74"/>
    <w:rsid w:val="003B6F4A"/>
    <w:rsid w:val="003B6FE4"/>
    <w:rsid w:val="003B73EB"/>
    <w:rsid w:val="003B742B"/>
    <w:rsid w:val="003B7465"/>
    <w:rsid w:val="003B74B3"/>
    <w:rsid w:val="003B764C"/>
    <w:rsid w:val="003B7873"/>
    <w:rsid w:val="003B7B3E"/>
    <w:rsid w:val="003B7B40"/>
    <w:rsid w:val="003B7D1E"/>
    <w:rsid w:val="003B7F8D"/>
    <w:rsid w:val="003C00BB"/>
    <w:rsid w:val="003C014C"/>
    <w:rsid w:val="003C0395"/>
    <w:rsid w:val="003C03D4"/>
    <w:rsid w:val="003C0471"/>
    <w:rsid w:val="003C0529"/>
    <w:rsid w:val="003C060C"/>
    <w:rsid w:val="003C06C9"/>
    <w:rsid w:val="003C083C"/>
    <w:rsid w:val="003C09B7"/>
    <w:rsid w:val="003C0B14"/>
    <w:rsid w:val="003C0B16"/>
    <w:rsid w:val="003C0BC5"/>
    <w:rsid w:val="003C0F87"/>
    <w:rsid w:val="003C108D"/>
    <w:rsid w:val="003C11BE"/>
    <w:rsid w:val="003C1291"/>
    <w:rsid w:val="003C131D"/>
    <w:rsid w:val="003C1652"/>
    <w:rsid w:val="003C172A"/>
    <w:rsid w:val="003C187A"/>
    <w:rsid w:val="003C1953"/>
    <w:rsid w:val="003C1B3B"/>
    <w:rsid w:val="003C1BB8"/>
    <w:rsid w:val="003C1D89"/>
    <w:rsid w:val="003C2132"/>
    <w:rsid w:val="003C2209"/>
    <w:rsid w:val="003C2220"/>
    <w:rsid w:val="003C24BC"/>
    <w:rsid w:val="003C253D"/>
    <w:rsid w:val="003C2587"/>
    <w:rsid w:val="003C29AB"/>
    <w:rsid w:val="003C2A4F"/>
    <w:rsid w:val="003C2A85"/>
    <w:rsid w:val="003C2BFC"/>
    <w:rsid w:val="003C2F36"/>
    <w:rsid w:val="003C2F4D"/>
    <w:rsid w:val="003C2FD6"/>
    <w:rsid w:val="003C30E1"/>
    <w:rsid w:val="003C34B9"/>
    <w:rsid w:val="003C3518"/>
    <w:rsid w:val="003C3589"/>
    <w:rsid w:val="003C35B8"/>
    <w:rsid w:val="003C367D"/>
    <w:rsid w:val="003C377C"/>
    <w:rsid w:val="003C39EE"/>
    <w:rsid w:val="003C3A0B"/>
    <w:rsid w:val="003C3A0E"/>
    <w:rsid w:val="003C3C79"/>
    <w:rsid w:val="003C3D19"/>
    <w:rsid w:val="003C3E74"/>
    <w:rsid w:val="003C428E"/>
    <w:rsid w:val="003C4303"/>
    <w:rsid w:val="003C4315"/>
    <w:rsid w:val="003C43F3"/>
    <w:rsid w:val="003C4861"/>
    <w:rsid w:val="003C4EFE"/>
    <w:rsid w:val="003C4F0C"/>
    <w:rsid w:val="003C4FE6"/>
    <w:rsid w:val="003C5011"/>
    <w:rsid w:val="003C50A8"/>
    <w:rsid w:val="003C5293"/>
    <w:rsid w:val="003C52A4"/>
    <w:rsid w:val="003C536C"/>
    <w:rsid w:val="003C5449"/>
    <w:rsid w:val="003C563B"/>
    <w:rsid w:val="003C572B"/>
    <w:rsid w:val="003C5868"/>
    <w:rsid w:val="003C58B9"/>
    <w:rsid w:val="003C5926"/>
    <w:rsid w:val="003C599D"/>
    <w:rsid w:val="003C5EAD"/>
    <w:rsid w:val="003C5F15"/>
    <w:rsid w:val="003C5FEA"/>
    <w:rsid w:val="003C600E"/>
    <w:rsid w:val="003C61D6"/>
    <w:rsid w:val="003C6280"/>
    <w:rsid w:val="003C643D"/>
    <w:rsid w:val="003C66F4"/>
    <w:rsid w:val="003C6776"/>
    <w:rsid w:val="003C68B7"/>
    <w:rsid w:val="003C6945"/>
    <w:rsid w:val="003C6A5C"/>
    <w:rsid w:val="003C6D28"/>
    <w:rsid w:val="003C6D40"/>
    <w:rsid w:val="003C6E47"/>
    <w:rsid w:val="003C71EF"/>
    <w:rsid w:val="003C7244"/>
    <w:rsid w:val="003C76A9"/>
    <w:rsid w:val="003C7935"/>
    <w:rsid w:val="003C79E2"/>
    <w:rsid w:val="003C7A5E"/>
    <w:rsid w:val="003C7C83"/>
    <w:rsid w:val="003C7CE9"/>
    <w:rsid w:val="003C7D39"/>
    <w:rsid w:val="003C7E7D"/>
    <w:rsid w:val="003C7ED5"/>
    <w:rsid w:val="003D019B"/>
    <w:rsid w:val="003D01BE"/>
    <w:rsid w:val="003D01E2"/>
    <w:rsid w:val="003D022F"/>
    <w:rsid w:val="003D023E"/>
    <w:rsid w:val="003D05B2"/>
    <w:rsid w:val="003D06C6"/>
    <w:rsid w:val="003D07F0"/>
    <w:rsid w:val="003D097C"/>
    <w:rsid w:val="003D0A39"/>
    <w:rsid w:val="003D0A67"/>
    <w:rsid w:val="003D0B45"/>
    <w:rsid w:val="003D0BB6"/>
    <w:rsid w:val="003D0D6E"/>
    <w:rsid w:val="003D0E6B"/>
    <w:rsid w:val="003D0EA8"/>
    <w:rsid w:val="003D0EBB"/>
    <w:rsid w:val="003D0F0B"/>
    <w:rsid w:val="003D1020"/>
    <w:rsid w:val="003D10CC"/>
    <w:rsid w:val="003D13A5"/>
    <w:rsid w:val="003D13FC"/>
    <w:rsid w:val="003D155B"/>
    <w:rsid w:val="003D15BB"/>
    <w:rsid w:val="003D169B"/>
    <w:rsid w:val="003D1743"/>
    <w:rsid w:val="003D1817"/>
    <w:rsid w:val="003D18D4"/>
    <w:rsid w:val="003D1A34"/>
    <w:rsid w:val="003D1B86"/>
    <w:rsid w:val="003D1CFA"/>
    <w:rsid w:val="003D1E84"/>
    <w:rsid w:val="003D1EBF"/>
    <w:rsid w:val="003D1FEE"/>
    <w:rsid w:val="003D2034"/>
    <w:rsid w:val="003D20F8"/>
    <w:rsid w:val="003D2172"/>
    <w:rsid w:val="003D21AE"/>
    <w:rsid w:val="003D229D"/>
    <w:rsid w:val="003D253B"/>
    <w:rsid w:val="003D26F5"/>
    <w:rsid w:val="003D2939"/>
    <w:rsid w:val="003D2AF0"/>
    <w:rsid w:val="003D2B61"/>
    <w:rsid w:val="003D2B62"/>
    <w:rsid w:val="003D2C9F"/>
    <w:rsid w:val="003D2CF2"/>
    <w:rsid w:val="003D2D05"/>
    <w:rsid w:val="003D2E2C"/>
    <w:rsid w:val="003D30B4"/>
    <w:rsid w:val="003D31B9"/>
    <w:rsid w:val="003D3204"/>
    <w:rsid w:val="003D33D1"/>
    <w:rsid w:val="003D3AE2"/>
    <w:rsid w:val="003D3B7C"/>
    <w:rsid w:val="003D3D5D"/>
    <w:rsid w:val="003D3E6C"/>
    <w:rsid w:val="003D410A"/>
    <w:rsid w:val="003D4141"/>
    <w:rsid w:val="003D428A"/>
    <w:rsid w:val="003D42E4"/>
    <w:rsid w:val="003D4318"/>
    <w:rsid w:val="003D432B"/>
    <w:rsid w:val="003D4352"/>
    <w:rsid w:val="003D476C"/>
    <w:rsid w:val="003D47F9"/>
    <w:rsid w:val="003D4B82"/>
    <w:rsid w:val="003D4C0C"/>
    <w:rsid w:val="003D4C3C"/>
    <w:rsid w:val="003D4CFA"/>
    <w:rsid w:val="003D4E9A"/>
    <w:rsid w:val="003D4F5D"/>
    <w:rsid w:val="003D5013"/>
    <w:rsid w:val="003D5265"/>
    <w:rsid w:val="003D53E5"/>
    <w:rsid w:val="003D54B0"/>
    <w:rsid w:val="003D566D"/>
    <w:rsid w:val="003D5673"/>
    <w:rsid w:val="003D567C"/>
    <w:rsid w:val="003D5688"/>
    <w:rsid w:val="003D56D1"/>
    <w:rsid w:val="003D5710"/>
    <w:rsid w:val="003D5A1A"/>
    <w:rsid w:val="003D5B37"/>
    <w:rsid w:val="003D5B4F"/>
    <w:rsid w:val="003D5B73"/>
    <w:rsid w:val="003D60F6"/>
    <w:rsid w:val="003D610F"/>
    <w:rsid w:val="003D6119"/>
    <w:rsid w:val="003D61E0"/>
    <w:rsid w:val="003D6463"/>
    <w:rsid w:val="003D66FF"/>
    <w:rsid w:val="003D67B8"/>
    <w:rsid w:val="003D68F7"/>
    <w:rsid w:val="003D6B68"/>
    <w:rsid w:val="003D6DB6"/>
    <w:rsid w:val="003D6E58"/>
    <w:rsid w:val="003D6F67"/>
    <w:rsid w:val="003D7573"/>
    <w:rsid w:val="003D75A8"/>
    <w:rsid w:val="003D7649"/>
    <w:rsid w:val="003D7682"/>
    <w:rsid w:val="003D79E2"/>
    <w:rsid w:val="003D7C85"/>
    <w:rsid w:val="003D7EE4"/>
    <w:rsid w:val="003D7F69"/>
    <w:rsid w:val="003E0039"/>
    <w:rsid w:val="003E0144"/>
    <w:rsid w:val="003E01F8"/>
    <w:rsid w:val="003E030C"/>
    <w:rsid w:val="003E0520"/>
    <w:rsid w:val="003E0521"/>
    <w:rsid w:val="003E07F5"/>
    <w:rsid w:val="003E0974"/>
    <w:rsid w:val="003E0AE8"/>
    <w:rsid w:val="003E0B13"/>
    <w:rsid w:val="003E0B61"/>
    <w:rsid w:val="003E10A0"/>
    <w:rsid w:val="003E11DC"/>
    <w:rsid w:val="003E1362"/>
    <w:rsid w:val="003E1421"/>
    <w:rsid w:val="003E1428"/>
    <w:rsid w:val="003E154D"/>
    <w:rsid w:val="003E1668"/>
    <w:rsid w:val="003E1BE9"/>
    <w:rsid w:val="003E1C5E"/>
    <w:rsid w:val="003E1E11"/>
    <w:rsid w:val="003E20BD"/>
    <w:rsid w:val="003E22B4"/>
    <w:rsid w:val="003E27AA"/>
    <w:rsid w:val="003E28F4"/>
    <w:rsid w:val="003E29D2"/>
    <w:rsid w:val="003E2D7A"/>
    <w:rsid w:val="003E2DC4"/>
    <w:rsid w:val="003E2EFE"/>
    <w:rsid w:val="003E30B6"/>
    <w:rsid w:val="003E347C"/>
    <w:rsid w:val="003E34F1"/>
    <w:rsid w:val="003E355F"/>
    <w:rsid w:val="003E361C"/>
    <w:rsid w:val="003E3635"/>
    <w:rsid w:val="003E3661"/>
    <w:rsid w:val="003E3735"/>
    <w:rsid w:val="003E38F3"/>
    <w:rsid w:val="003E3A6C"/>
    <w:rsid w:val="003E3DA6"/>
    <w:rsid w:val="003E3E42"/>
    <w:rsid w:val="003E4052"/>
    <w:rsid w:val="003E40C6"/>
    <w:rsid w:val="003E4324"/>
    <w:rsid w:val="003E46AA"/>
    <w:rsid w:val="003E497D"/>
    <w:rsid w:val="003E49F7"/>
    <w:rsid w:val="003E4A6B"/>
    <w:rsid w:val="003E4AA3"/>
    <w:rsid w:val="003E4C92"/>
    <w:rsid w:val="003E50B6"/>
    <w:rsid w:val="003E50FD"/>
    <w:rsid w:val="003E5360"/>
    <w:rsid w:val="003E5577"/>
    <w:rsid w:val="003E55D0"/>
    <w:rsid w:val="003E58E6"/>
    <w:rsid w:val="003E5A05"/>
    <w:rsid w:val="003E5AA4"/>
    <w:rsid w:val="003E5ADC"/>
    <w:rsid w:val="003E5B18"/>
    <w:rsid w:val="003E5B1C"/>
    <w:rsid w:val="003E5BA1"/>
    <w:rsid w:val="003E5C6B"/>
    <w:rsid w:val="003E5E65"/>
    <w:rsid w:val="003E5EE9"/>
    <w:rsid w:val="003E61B7"/>
    <w:rsid w:val="003E646C"/>
    <w:rsid w:val="003E658C"/>
    <w:rsid w:val="003E66F4"/>
    <w:rsid w:val="003E6718"/>
    <w:rsid w:val="003E6850"/>
    <w:rsid w:val="003E687C"/>
    <w:rsid w:val="003E6927"/>
    <w:rsid w:val="003E6991"/>
    <w:rsid w:val="003E6A60"/>
    <w:rsid w:val="003E6BDE"/>
    <w:rsid w:val="003E6CF8"/>
    <w:rsid w:val="003E6E59"/>
    <w:rsid w:val="003E6F0D"/>
    <w:rsid w:val="003E7046"/>
    <w:rsid w:val="003E7056"/>
    <w:rsid w:val="003E708E"/>
    <w:rsid w:val="003E7245"/>
    <w:rsid w:val="003E7300"/>
    <w:rsid w:val="003E753E"/>
    <w:rsid w:val="003E7607"/>
    <w:rsid w:val="003E771B"/>
    <w:rsid w:val="003E7821"/>
    <w:rsid w:val="003E7896"/>
    <w:rsid w:val="003E78EB"/>
    <w:rsid w:val="003E7B80"/>
    <w:rsid w:val="003E7C65"/>
    <w:rsid w:val="003E7D04"/>
    <w:rsid w:val="003E7D18"/>
    <w:rsid w:val="003E7D85"/>
    <w:rsid w:val="003E7FD1"/>
    <w:rsid w:val="003F001C"/>
    <w:rsid w:val="003F02CA"/>
    <w:rsid w:val="003F047F"/>
    <w:rsid w:val="003F05A1"/>
    <w:rsid w:val="003F07BB"/>
    <w:rsid w:val="003F07CF"/>
    <w:rsid w:val="003F0843"/>
    <w:rsid w:val="003F087B"/>
    <w:rsid w:val="003F0886"/>
    <w:rsid w:val="003F08C8"/>
    <w:rsid w:val="003F0959"/>
    <w:rsid w:val="003F0B1B"/>
    <w:rsid w:val="003F0CDF"/>
    <w:rsid w:val="003F0DDD"/>
    <w:rsid w:val="003F0F93"/>
    <w:rsid w:val="003F1046"/>
    <w:rsid w:val="003F115C"/>
    <w:rsid w:val="003F119B"/>
    <w:rsid w:val="003F1817"/>
    <w:rsid w:val="003F1B8A"/>
    <w:rsid w:val="003F1CB0"/>
    <w:rsid w:val="003F1D86"/>
    <w:rsid w:val="003F1DD6"/>
    <w:rsid w:val="003F1E04"/>
    <w:rsid w:val="003F1E0B"/>
    <w:rsid w:val="003F1EE2"/>
    <w:rsid w:val="003F1F7B"/>
    <w:rsid w:val="003F21D3"/>
    <w:rsid w:val="003F23FF"/>
    <w:rsid w:val="003F247B"/>
    <w:rsid w:val="003F2662"/>
    <w:rsid w:val="003F2676"/>
    <w:rsid w:val="003F292B"/>
    <w:rsid w:val="003F29BE"/>
    <w:rsid w:val="003F2A48"/>
    <w:rsid w:val="003F2A9A"/>
    <w:rsid w:val="003F2B16"/>
    <w:rsid w:val="003F2B1C"/>
    <w:rsid w:val="003F2C46"/>
    <w:rsid w:val="003F2E32"/>
    <w:rsid w:val="003F2FC5"/>
    <w:rsid w:val="003F32AB"/>
    <w:rsid w:val="003F3330"/>
    <w:rsid w:val="003F3464"/>
    <w:rsid w:val="003F34F4"/>
    <w:rsid w:val="003F3961"/>
    <w:rsid w:val="003F3A78"/>
    <w:rsid w:val="003F3CCD"/>
    <w:rsid w:val="003F3E58"/>
    <w:rsid w:val="003F4183"/>
    <w:rsid w:val="003F420D"/>
    <w:rsid w:val="003F43AE"/>
    <w:rsid w:val="003F46FC"/>
    <w:rsid w:val="003F4704"/>
    <w:rsid w:val="003F4765"/>
    <w:rsid w:val="003F49FD"/>
    <w:rsid w:val="003F4A3A"/>
    <w:rsid w:val="003F4BCF"/>
    <w:rsid w:val="003F4C76"/>
    <w:rsid w:val="003F4E0D"/>
    <w:rsid w:val="003F4E6F"/>
    <w:rsid w:val="003F4F6F"/>
    <w:rsid w:val="003F51C4"/>
    <w:rsid w:val="003F51F0"/>
    <w:rsid w:val="003F51FA"/>
    <w:rsid w:val="003F5348"/>
    <w:rsid w:val="003F54B6"/>
    <w:rsid w:val="003F5688"/>
    <w:rsid w:val="003F568B"/>
    <w:rsid w:val="003F5746"/>
    <w:rsid w:val="003F5761"/>
    <w:rsid w:val="003F5831"/>
    <w:rsid w:val="003F5BA9"/>
    <w:rsid w:val="003F5C4A"/>
    <w:rsid w:val="003F5D90"/>
    <w:rsid w:val="003F5FAF"/>
    <w:rsid w:val="003F610B"/>
    <w:rsid w:val="003F617A"/>
    <w:rsid w:val="003F61C0"/>
    <w:rsid w:val="003F61FC"/>
    <w:rsid w:val="003F6494"/>
    <w:rsid w:val="003F68FA"/>
    <w:rsid w:val="003F69DB"/>
    <w:rsid w:val="003F6AA8"/>
    <w:rsid w:val="003F6AEF"/>
    <w:rsid w:val="003F6C58"/>
    <w:rsid w:val="003F6D5A"/>
    <w:rsid w:val="003F6DCA"/>
    <w:rsid w:val="003F714B"/>
    <w:rsid w:val="003F7206"/>
    <w:rsid w:val="003F7475"/>
    <w:rsid w:val="003F764F"/>
    <w:rsid w:val="003F7687"/>
    <w:rsid w:val="003F784E"/>
    <w:rsid w:val="003F7962"/>
    <w:rsid w:val="003F7965"/>
    <w:rsid w:val="003F798A"/>
    <w:rsid w:val="003F7A51"/>
    <w:rsid w:val="003F7C97"/>
    <w:rsid w:val="003F7DBE"/>
    <w:rsid w:val="003F7DF7"/>
    <w:rsid w:val="003F7EC4"/>
    <w:rsid w:val="003F7EFE"/>
    <w:rsid w:val="0040007F"/>
    <w:rsid w:val="004003EE"/>
    <w:rsid w:val="00400487"/>
    <w:rsid w:val="004005EA"/>
    <w:rsid w:val="00400622"/>
    <w:rsid w:val="0040078A"/>
    <w:rsid w:val="0040093A"/>
    <w:rsid w:val="004009D1"/>
    <w:rsid w:val="00400B9E"/>
    <w:rsid w:val="00400CCD"/>
    <w:rsid w:val="00400D1A"/>
    <w:rsid w:val="00400D4B"/>
    <w:rsid w:val="00401025"/>
    <w:rsid w:val="004010B9"/>
    <w:rsid w:val="004010D9"/>
    <w:rsid w:val="00401172"/>
    <w:rsid w:val="00401175"/>
    <w:rsid w:val="00401201"/>
    <w:rsid w:val="0040127F"/>
    <w:rsid w:val="004014FF"/>
    <w:rsid w:val="004018A9"/>
    <w:rsid w:val="00401949"/>
    <w:rsid w:val="004019AA"/>
    <w:rsid w:val="004019F1"/>
    <w:rsid w:val="00401F27"/>
    <w:rsid w:val="00401FA6"/>
    <w:rsid w:val="00402239"/>
    <w:rsid w:val="00402405"/>
    <w:rsid w:val="004024ED"/>
    <w:rsid w:val="0040268E"/>
    <w:rsid w:val="0040273B"/>
    <w:rsid w:val="004027B4"/>
    <w:rsid w:val="004029C4"/>
    <w:rsid w:val="00402B06"/>
    <w:rsid w:val="00402C5D"/>
    <w:rsid w:val="00402D19"/>
    <w:rsid w:val="00402D1B"/>
    <w:rsid w:val="00402E60"/>
    <w:rsid w:val="00402F16"/>
    <w:rsid w:val="00402F7F"/>
    <w:rsid w:val="00402F86"/>
    <w:rsid w:val="0040326E"/>
    <w:rsid w:val="0040334E"/>
    <w:rsid w:val="004033BC"/>
    <w:rsid w:val="00403442"/>
    <w:rsid w:val="004034D2"/>
    <w:rsid w:val="004038AF"/>
    <w:rsid w:val="004038D2"/>
    <w:rsid w:val="00403968"/>
    <w:rsid w:val="00403B66"/>
    <w:rsid w:val="00403CE8"/>
    <w:rsid w:val="00403D8A"/>
    <w:rsid w:val="004042B9"/>
    <w:rsid w:val="004042C2"/>
    <w:rsid w:val="00404306"/>
    <w:rsid w:val="00404457"/>
    <w:rsid w:val="0040446B"/>
    <w:rsid w:val="004045B8"/>
    <w:rsid w:val="004045DB"/>
    <w:rsid w:val="004047A3"/>
    <w:rsid w:val="004047C4"/>
    <w:rsid w:val="0040499A"/>
    <w:rsid w:val="004049F4"/>
    <w:rsid w:val="00404AD4"/>
    <w:rsid w:val="00404B63"/>
    <w:rsid w:val="00404C09"/>
    <w:rsid w:val="00404C89"/>
    <w:rsid w:val="00404CF0"/>
    <w:rsid w:val="0040508F"/>
    <w:rsid w:val="0040523B"/>
    <w:rsid w:val="00405261"/>
    <w:rsid w:val="00405333"/>
    <w:rsid w:val="004053A3"/>
    <w:rsid w:val="004053DA"/>
    <w:rsid w:val="004053E1"/>
    <w:rsid w:val="004054F2"/>
    <w:rsid w:val="0040564F"/>
    <w:rsid w:val="00405718"/>
    <w:rsid w:val="00405CC9"/>
    <w:rsid w:val="00405E2C"/>
    <w:rsid w:val="00405EBF"/>
    <w:rsid w:val="004061CF"/>
    <w:rsid w:val="00406670"/>
    <w:rsid w:val="0040681F"/>
    <w:rsid w:val="00406B86"/>
    <w:rsid w:val="00406D24"/>
    <w:rsid w:val="00406E10"/>
    <w:rsid w:val="00407005"/>
    <w:rsid w:val="004070BA"/>
    <w:rsid w:val="004071D5"/>
    <w:rsid w:val="00407322"/>
    <w:rsid w:val="00407397"/>
    <w:rsid w:val="00407471"/>
    <w:rsid w:val="004074EC"/>
    <w:rsid w:val="00407720"/>
    <w:rsid w:val="004077B4"/>
    <w:rsid w:val="00407966"/>
    <w:rsid w:val="004079CE"/>
    <w:rsid w:val="00407A86"/>
    <w:rsid w:val="00407B27"/>
    <w:rsid w:val="00407B7C"/>
    <w:rsid w:val="00407C61"/>
    <w:rsid w:val="00407E99"/>
    <w:rsid w:val="00407EBB"/>
    <w:rsid w:val="004100A8"/>
    <w:rsid w:val="004100D2"/>
    <w:rsid w:val="00410467"/>
    <w:rsid w:val="00410474"/>
    <w:rsid w:val="004104E4"/>
    <w:rsid w:val="00410540"/>
    <w:rsid w:val="00410577"/>
    <w:rsid w:val="004105F8"/>
    <w:rsid w:val="004106E7"/>
    <w:rsid w:val="004106EF"/>
    <w:rsid w:val="00410718"/>
    <w:rsid w:val="00410B66"/>
    <w:rsid w:val="00410D88"/>
    <w:rsid w:val="00410ED3"/>
    <w:rsid w:val="00410F2D"/>
    <w:rsid w:val="00410F88"/>
    <w:rsid w:val="00410F9F"/>
    <w:rsid w:val="004110D8"/>
    <w:rsid w:val="0041119D"/>
    <w:rsid w:val="00411493"/>
    <w:rsid w:val="00411560"/>
    <w:rsid w:val="004117CC"/>
    <w:rsid w:val="00411894"/>
    <w:rsid w:val="00411930"/>
    <w:rsid w:val="00411C4C"/>
    <w:rsid w:val="00411CD7"/>
    <w:rsid w:val="00411FBE"/>
    <w:rsid w:val="00412013"/>
    <w:rsid w:val="00412160"/>
    <w:rsid w:val="00412218"/>
    <w:rsid w:val="00412327"/>
    <w:rsid w:val="0041232B"/>
    <w:rsid w:val="00412388"/>
    <w:rsid w:val="00412458"/>
    <w:rsid w:val="004125FA"/>
    <w:rsid w:val="00412642"/>
    <w:rsid w:val="0041290B"/>
    <w:rsid w:val="00412C5F"/>
    <w:rsid w:val="00412D78"/>
    <w:rsid w:val="00412E42"/>
    <w:rsid w:val="004133E4"/>
    <w:rsid w:val="00413761"/>
    <w:rsid w:val="004137F4"/>
    <w:rsid w:val="00413957"/>
    <w:rsid w:val="00413B21"/>
    <w:rsid w:val="00413B50"/>
    <w:rsid w:val="00413CDD"/>
    <w:rsid w:val="00413CF4"/>
    <w:rsid w:val="00413DF1"/>
    <w:rsid w:val="004140D9"/>
    <w:rsid w:val="0041415F"/>
    <w:rsid w:val="00414226"/>
    <w:rsid w:val="00414277"/>
    <w:rsid w:val="00414307"/>
    <w:rsid w:val="00414562"/>
    <w:rsid w:val="00414699"/>
    <w:rsid w:val="00414760"/>
    <w:rsid w:val="0041477C"/>
    <w:rsid w:val="00414B94"/>
    <w:rsid w:val="00414BC2"/>
    <w:rsid w:val="00414C09"/>
    <w:rsid w:val="00414F69"/>
    <w:rsid w:val="0041506E"/>
    <w:rsid w:val="0041508B"/>
    <w:rsid w:val="00415127"/>
    <w:rsid w:val="004151CC"/>
    <w:rsid w:val="00415245"/>
    <w:rsid w:val="00415301"/>
    <w:rsid w:val="00415380"/>
    <w:rsid w:val="004155E2"/>
    <w:rsid w:val="004155E5"/>
    <w:rsid w:val="00415685"/>
    <w:rsid w:val="0041569E"/>
    <w:rsid w:val="00415704"/>
    <w:rsid w:val="0041572C"/>
    <w:rsid w:val="00415944"/>
    <w:rsid w:val="00415D02"/>
    <w:rsid w:val="00415D83"/>
    <w:rsid w:val="00415E1C"/>
    <w:rsid w:val="00415EBC"/>
    <w:rsid w:val="00415F14"/>
    <w:rsid w:val="00415F39"/>
    <w:rsid w:val="00415FDA"/>
    <w:rsid w:val="00416A38"/>
    <w:rsid w:val="00416AB1"/>
    <w:rsid w:val="00416D15"/>
    <w:rsid w:val="00416D32"/>
    <w:rsid w:val="00416F48"/>
    <w:rsid w:val="00416F49"/>
    <w:rsid w:val="00417072"/>
    <w:rsid w:val="00417271"/>
    <w:rsid w:val="004172C7"/>
    <w:rsid w:val="00417303"/>
    <w:rsid w:val="0041731B"/>
    <w:rsid w:val="004173AD"/>
    <w:rsid w:val="0041754C"/>
    <w:rsid w:val="004178EF"/>
    <w:rsid w:val="00417953"/>
    <w:rsid w:val="00417B1A"/>
    <w:rsid w:val="00417B91"/>
    <w:rsid w:val="00417D57"/>
    <w:rsid w:val="00417DEA"/>
    <w:rsid w:val="00417E1E"/>
    <w:rsid w:val="00417E28"/>
    <w:rsid w:val="00420085"/>
    <w:rsid w:val="004202F8"/>
    <w:rsid w:val="0042030D"/>
    <w:rsid w:val="00420644"/>
    <w:rsid w:val="0042071B"/>
    <w:rsid w:val="00420908"/>
    <w:rsid w:val="004209DC"/>
    <w:rsid w:val="00420D49"/>
    <w:rsid w:val="00420D62"/>
    <w:rsid w:val="00421307"/>
    <w:rsid w:val="00421340"/>
    <w:rsid w:val="004214AC"/>
    <w:rsid w:val="00421507"/>
    <w:rsid w:val="00421564"/>
    <w:rsid w:val="0042177D"/>
    <w:rsid w:val="00421815"/>
    <w:rsid w:val="00421B2C"/>
    <w:rsid w:val="00421BA4"/>
    <w:rsid w:val="00421CD8"/>
    <w:rsid w:val="00421D26"/>
    <w:rsid w:val="00421DC3"/>
    <w:rsid w:val="00421EE9"/>
    <w:rsid w:val="004222D1"/>
    <w:rsid w:val="00422328"/>
    <w:rsid w:val="00422394"/>
    <w:rsid w:val="004223F7"/>
    <w:rsid w:val="004225C6"/>
    <w:rsid w:val="004226FA"/>
    <w:rsid w:val="004227DA"/>
    <w:rsid w:val="0042288A"/>
    <w:rsid w:val="004228A8"/>
    <w:rsid w:val="0042297E"/>
    <w:rsid w:val="00422A39"/>
    <w:rsid w:val="00422B39"/>
    <w:rsid w:val="00422B4D"/>
    <w:rsid w:val="00422C69"/>
    <w:rsid w:val="00422D33"/>
    <w:rsid w:val="00422D52"/>
    <w:rsid w:val="00422F33"/>
    <w:rsid w:val="00422F76"/>
    <w:rsid w:val="00423203"/>
    <w:rsid w:val="0042337E"/>
    <w:rsid w:val="004233AA"/>
    <w:rsid w:val="00423411"/>
    <w:rsid w:val="004234E1"/>
    <w:rsid w:val="0042390D"/>
    <w:rsid w:val="0042394A"/>
    <w:rsid w:val="004239AA"/>
    <w:rsid w:val="00423AD8"/>
    <w:rsid w:val="00423D23"/>
    <w:rsid w:val="00423DE1"/>
    <w:rsid w:val="00423E6E"/>
    <w:rsid w:val="00423EB9"/>
    <w:rsid w:val="004241F2"/>
    <w:rsid w:val="00424953"/>
    <w:rsid w:val="00424C47"/>
    <w:rsid w:val="00424D55"/>
    <w:rsid w:val="004252AA"/>
    <w:rsid w:val="004252F2"/>
    <w:rsid w:val="0042552F"/>
    <w:rsid w:val="00425581"/>
    <w:rsid w:val="00425732"/>
    <w:rsid w:val="004258EE"/>
    <w:rsid w:val="0042597F"/>
    <w:rsid w:val="00425B11"/>
    <w:rsid w:val="00425C36"/>
    <w:rsid w:val="00425E80"/>
    <w:rsid w:val="00425EF3"/>
    <w:rsid w:val="00425F2B"/>
    <w:rsid w:val="00425FFF"/>
    <w:rsid w:val="00426009"/>
    <w:rsid w:val="004262D3"/>
    <w:rsid w:val="0042633E"/>
    <w:rsid w:val="004264CD"/>
    <w:rsid w:val="0042663F"/>
    <w:rsid w:val="00426661"/>
    <w:rsid w:val="0042670E"/>
    <w:rsid w:val="004267CC"/>
    <w:rsid w:val="004267F9"/>
    <w:rsid w:val="00426B6C"/>
    <w:rsid w:val="00426BBB"/>
    <w:rsid w:val="00426BBF"/>
    <w:rsid w:val="00426E91"/>
    <w:rsid w:val="00426FFA"/>
    <w:rsid w:val="004270E0"/>
    <w:rsid w:val="0042714B"/>
    <w:rsid w:val="00427196"/>
    <w:rsid w:val="004272CC"/>
    <w:rsid w:val="00427345"/>
    <w:rsid w:val="00427494"/>
    <w:rsid w:val="004275D9"/>
    <w:rsid w:val="0042781B"/>
    <w:rsid w:val="004279BD"/>
    <w:rsid w:val="00427F06"/>
    <w:rsid w:val="0043020B"/>
    <w:rsid w:val="00430564"/>
    <w:rsid w:val="0043071E"/>
    <w:rsid w:val="00430772"/>
    <w:rsid w:val="0043077E"/>
    <w:rsid w:val="00430884"/>
    <w:rsid w:val="00430B42"/>
    <w:rsid w:val="00430B5F"/>
    <w:rsid w:val="00430E84"/>
    <w:rsid w:val="00430EC2"/>
    <w:rsid w:val="00430F69"/>
    <w:rsid w:val="00430F78"/>
    <w:rsid w:val="00430FEC"/>
    <w:rsid w:val="004311B0"/>
    <w:rsid w:val="00431242"/>
    <w:rsid w:val="00431623"/>
    <w:rsid w:val="004317EE"/>
    <w:rsid w:val="00431912"/>
    <w:rsid w:val="0043194B"/>
    <w:rsid w:val="00431988"/>
    <w:rsid w:val="004319E2"/>
    <w:rsid w:val="00431A60"/>
    <w:rsid w:val="00431F42"/>
    <w:rsid w:val="00431FCD"/>
    <w:rsid w:val="00432152"/>
    <w:rsid w:val="004322EF"/>
    <w:rsid w:val="0043286E"/>
    <w:rsid w:val="004328CD"/>
    <w:rsid w:val="00432BBB"/>
    <w:rsid w:val="00432C56"/>
    <w:rsid w:val="00432E31"/>
    <w:rsid w:val="00432E96"/>
    <w:rsid w:val="00432FB4"/>
    <w:rsid w:val="0043306D"/>
    <w:rsid w:val="00433432"/>
    <w:rsid w:val="00433479"/>
    <w:rsid w:val="00433523"/>
    <w:rsid w:val="0043370D"/>
    <w:rsid w:val="004338B7"/>
    <w:rsid w:val="00433920"/>
    <w:rsid w:val="00433A31"/>
    <w:rsid w:val="00433D6D"/>
    <w:rsid w:val="004340A5"/>
    <w:rsid w:val="004342DC"/>
    <w:rsid w:val="00434472"/>
    <w:rsid w:val="0043462D"/>
    <w:rsid w:val="0043464A"/>
    <w:rsid w:val="0043483A"/>
    <w:rsid w:val="0043494C"/>
    <w:rsid w:val="004349E3"/>
    <w:rsid w:val="00434A21"/>
    <w:rsid w:val="00434B68"/>
    <w:rsid w:val="00434BD7"/>
    <w:rsid w:val="00434C76"/>
    <w:rsid w:val="00434CA7"/>
    <w:rsid w:val="00434D82"/>
    <w:rsid w:val="00434DC9"/>
    <w:rsid w:val="00434E0C"/>
    <w:rsid w:val="0043520B"/>
    <w:rsid w:val="00435560"/>
    <w:rsid w:val="0043560C"/>
    <w:rsid w:val="004358A7"/>
    <w:rsid w:val="00435F89"/>
    <w:rsid w:val="004360B7"/>
    <w:rsid w:val="00436342"/>
    <w:rsid w:val="00436432"/>
    <w:rsid w:val="00436692"/>
    <w:rsid w:val="004368C2"/>
    <w:rsid w:val="00436A53"/>
    <w:rsid w:val="00436BF5"/>
    <w:rsid w:val="00436DEA"/>
    <w:rsid w:val="004370B6"/>
    <w:rsid w:val="004371AB"/>
    <w:rsid w:val="00437238"/>
    <w:rsid w:val="004372AC"/>
    <w:rsid w:val="0043738D"/>
    <w:rsid w:val="00437498"/>
    <w:rsid w:val="004375A8"/>
    <w:rsid w:val="004375B0"/>
    <w:rsid w:val="004376B1"/>
    <w:rsid w:val="0043777D"/>
    <w:rsid w:val="004377BD"/>
    <w:rsid w:val="00437B13"/>
    <w:rsid w:val="00437DA5"/>
    <w:rsid w:val="00437F5A"/>
    <w:rsid w:val="00440051"/>
    <w:rsid w:val="00440123"/>
    <w:rsid w:val="004401F1"/>
    <w:rsid w:val="0044044C"/>
    <w:rsid w:val="00440594"/>
    <w:rsid w:val="004407B0"/>
    <w:rsid w:val="00440BDD"/>
    <w:rsid w:val="00440D63"/>
    <w:rsid w:val="004410FC"/>
    <w:rsid w:val="004411ED"/>
    <w:rsid w:val="00441344"/>
    <w:rsid w:val="004413B4"/>
    <w:rsid w:val="00441448"/>
    <w:rsid w:val="004414B4"/>
    <w:rsid w:val="004415EC"/>
    <w:rsid w:val="00441610"/>
    <w:rsid w:val="004416B9"/>
    <w:rsid w:val="0044177F"/>
    <w:rsid w:val="0044199A"/>
    <w:rsid w:val="004419CE"/>
    <w:rsid w:val="00441B6D"/>
    <w:rsid w:val="0044204D"/>
    <w:rsid w:val="00442145"/>
    <w:rsid w:val="004421C7"/>
    <w:rsid w:val="004421FF"/>
    <w:rsid w:val="00442490"/>
    <w:rsid w:val="00442556"/>
    <w:rsid w:val="00442611"/>
    <w:rsid w:val="00442724"/>
    <w:rsid w:val="004429BC"/>
    <w:rsid w:val="00442C1D"/>
    <w:rsid w:val="00442DD5"/>
    <w:rsid w:val="0044303E"/>
    <w:rsid w:val="004430F2"/>
    <w:rsid w:val="0044314C"/>
    <w:rsid w:val="004432BA"/>
    <w:rsid w:val="00443376"/>
    <w:rsid w:val="0044346F"/>
    <w:rsid w:val="00443672"/>
    <w:rsid w:val="004438BC"/>
    <w:rsid w:val="00443B1F"/>
    <w:rsid w:val="00443BA2"/>
    <w:rsid w:val="00443BAF"/>
    <w:rsid w:val="00443BC1"/>
    <w:rsid w:val="00443C08"/>
    <w:rsid w:val="00443F79"/>
    <w:rsid w:val="0044403F"/>
    <w:rsid w:val="00444059"/>
    <w:rsid w:val="00444086"/>
    <w:rsid w:val="004440BA"/>
    <w:rsid w:val="0044419F"/>
    <w:rsid w:val="00444281"/>
    <w:rsid w:val="00444283"/>
    <w:rsid w:val="0044434C"/>
    <w:rsid w:val="0044438C"/>
    <w:rsid w:val="004443BB"/>
    <w:rsid w:val="0044442B"/>
    <w:rsid w:val="004446BA"/>
    <w:rsid w:val="004449A4"/>
    <w:rsid w:val="00444A77"/>
    <w:rsid w:val="00444AE6"/>
    <w:rsid w:val="00444DEF"/>
    <w:rsid w:val="00444F54"/>
    <w:rsid w:val="00445090"/>
    <w:rsid w:val="004450A9"/>
    <w:rsid w:val="0044514A"/>
    <w:rsid w:val="00445359"/>
    <w:rsid w:val="0044538B"/>
    <w:rsid w:val="0044542B"/>
    <w:rsid w:val="004454DF"/>
    <w:rsid w:val="00445623"/>
    <w:rsid w:val="00445665"/>
    <w:rsid w:val="0044571E"/>
    <w:rsid w:val="004457A1"/>
    <w:rsid w:val="004457A4"/>
    <w:rsid w:val="004457A5"/>
    <w:rsid w:val="0044589F"/>
    <w:rsid w:val="004459F6"/>
    <w:rsid w:val="00445AFE"/>
    <w:rsid w:val="00445BA1"/>
    <w:rsid w:val="00445C8D"/>
    <w:rsid w:val="00445CDF"/>
    <w:rsid w:val="00445E04"/>
    <w:rsid w:val="004460F4"/>
    <w:rsid w:val="00446131"/>
    <w:rsid w:val="00446269"/>
    <w:rsid w:val="004462EE"/>
    <w:rsid w:val="00446392"/>
    <w:rsid w:val="0044675F"/>
    <w:rsid w:val="004468D9"/>
    <w:rsid w:val="004469B1"/>
    <w:rsid w:val="00446AA3"/>
    <w:rsid w:val="00446D2C"/>
    <w:rsid w:val="00446D8A"/>
    <w:rsid w:val="00446EFF"/>
    <w:rsid w:val="00447058"/>
    <w:rsid w:val="004470AA"/>
    <w:rsid w:val="004471AF"/>
    <w:rsid w:val="004473CD"/>
    <w:rsid w:val="00447441"/>
    <w:rsid w:val="00447542"/>
    <w:rsid w:val="00447559"/>
    <w:rsid w:val="004475E8"/>
    <w:rsid w:val="00447767"/>
    <w:rsid w:val="0044779D"/>
    <w:rsid w:val="00447C85"/>
    <w:rsid w:val="00447F21"/>
    <w:rsid w:val="00447F83"/>
    <w:rsid w:val="00450030"/>
    <w:rsid w:val="004503E9"/>
    <w:rsid w:val="004503FC"/>
    <w:rsid w:val="0045040F"/>
    <w:rsid w:val="004504B5"/>
    <w:rsid w:val="0045055D"/>
    <w:rsid w:val="0045066D"/>
    <w:rsid w:val="00450732"/>
    <w:rsid w:val="00450A60"/>
    <w:rsid w:val="00450B73"/>
    <w:rsid w:val="00450D82"/>
    <w:rsid w:val="00450E52"/>
    <w:rsid w:val="00450E67"/>
    <w:rsid w:val="004510A1"/>
    <w:rsid w:val="00451158"/>
    <w:rsid w:val="00451369"/>
    <w:rsid w:val="0045189F"/>
    <w:rsid w:val="004518DE"/>
    <w:rsid w:val="0045198D"/>
    <w:rsid w:val="004519E1"/>
    <w:rsid w:val="00451A06"/>
    <w:rsid w:val="00451BB8"/>
    <w:rsid w:val="00451BBE"/>
    <w:rsid w:val="00451C4D"/>
    <w:rsid w:val="00451DA2"/>
    <w:rsid w:val="00451F2E"/>
    <w:rsid w:val="004520CF"/>
    <w:rsid w:val="00452122"/>
    <w:rsid w:val="00452431"/>
    <w:rsid w:val="00452532"/>
    <w:rsid w:val="0045256C"/>
    <w:rsid w:val="004527FE"/>
    <w:rsid w:val="0045298A"/>
    <w:rsid w:val="004529F6"/>
    <w:rsid w:val="00452A7E"/>
    <w:rsid w:val="00452AE1"/>
    <w:rsid w:val="00452C39"/>
    <w:rsid w:val="00452C9C"/>
    <w:rsid w:val="00452E3B"/>
    <w:rsid w:val="00452F7C"/>
    <w:rsid w:val="0045307F"/>
    <w:rsid w:val="00453082"/>
    <w:rsid w:val="00453105"/>
    <w:rsid w:val="00453130"/>
    <w:rsid w:val="00453143"/>
    <w:rsid w:val="004532C5"/>
    <w:rsid w:val="00453445"/>
    <w:rsid w:val="00453503"/>
    <w:rsid w:val="00453589"/>
    <w:rsid w:val="004535A0"/>
    <w:rsid w:val="0045368E"/>
    <w:rsid w:val="00453754"/>
    <w:rsid w:val="0045381C"/>
    <w:rsid w:val="00453AFE"/>
    <w:rsid w:val="00453BF6"/>
    <w:rsid w:val="00453C1A"/>
    <w:rsid w:val="00453E24"/>
    <w:rsid w:val="00453E62"/>
    <w:rsid w:val="00453E7C"/>
    <w:rsid w:val="0045427C"/>
    <w:rsid w:val="004542A3"/>
    <w:rsid w:val="004542E7"/>
    <w:rsid w:val="00454538"/>
    <w:rsid w:val="0045457F"/>
    <w:rsid w:val="00454687"/>
    <w:rsid w:val="004547D2"/>
    <w:rsid w:val="00454E2C"/>
    <w:rsid w:val="00455058"/>
    <w:rsid w:val="00455144"/>
    <w:rsid w:val="00455191"/>
    <w:rsid w:val="004551CC"/>
    <w:rsid w:val="004551D0"/>
    <w:rsid w:val="00455539"/>
    <w:rsid w:val="00455574"/>
    <w:rsid w:val="00455605"/>
    <w:rsid w:val="00455619"/>
    <w:rsid w:val="004559BA"/>
    <w:rsid w:val="00455B4E"/>
    <w:rsid w:val="00455D72"/>
    <w:rsid w:val="00455EA8"/>
    <w:rsid w:val="0045617A"/>
    <w:rsid w:val="00456516"/>
    <w:rsid w:val="004566D9"/>
    <w:rsid w:val="0045686E"/>
    <w:rsid w:val="004568DA"/>
    <w:rsid w:val="00456A5B"/>
    <w:rsid w:val="00456B01"/>
    <w:rsid w:val="00456B38"/>
    <w:rsid w:val="00456B6E"/>
    <w:rsid w:val="00456C7A"/>
    <w:rsid w:val="00456FA8"/>
    <w:rsid w:val="00457134"/>
    <w:rsid w:val="00457215"/>
    <w:rsid w:val="0045762D"/>
    <w:rsid w:val="00457793"/>
    <w:rsid w:val="0045787D"/>
    <w:rsid w:val="00457947"/>
    <w:rsid w:val="00457974"/>
    <w:rsid w:val="00457A37"/>
    <w:rsid w:val="00457B2B"/>
    <w:rsid w:val="00457B49"/>
    <w:rsid w:val="00457DD6"/>
    <w:rsid w:val="00457E2D"/>
    <w:rsid w:val="00457E4C"/>
    <w:rsid w:val="00457E85"/>
    <w:rsid w:val="00457F0D"/>
    <w:rsid w:val="00457F6C"/>
    <w:rsid w:val="00457F8B"/>
    <w:rsid w:val="00457FA8"/>
    <w:rsid w:val="0046025C"/>
    <w:rsid w:val="00460348"/>
    <w:rsid w:val="00460442"/>
    <w:rsid w:val="004605AD"/>
    <w:rsid w:val="00460667"/>
    <w:rsid w:val="004607AD"/>
    <w:rsid w:val="004609F0"/>
    <w:rsid w:val="00460D4E"/>
    <w:rsid w:val="00460D85"/>
    <w:rsid w:val="00460E87"/>
    <w:rsid w:val="00460FA1"/>
    <w:rsid w:val="004610F1"/>
    <w:rsid w:val="004611F3"/>
    <w:rsid w:val="0046123F"/>
    <w:rsid w:val="004613BC"/>
    <w:rsid w:val="0046186C"/>
    <w:rsid w:val="00461957"/>
    <w:rsid w:val="004619C7"/>
    <w:rsid w:val="00461A4E"/>
    <w:rsid w:val="00461AA8"/>
    <w:rsid w:val="00461CCE"/>
    <w:rsid w:val="00461DC9"/>
    <w:rsid w:val="00461DD6"/>
    <w:rsid w:val="00461E68"/>
    <w:rsid w:val="0046204C"/>
    <w:rsid w:val="004620EE"/>
    <w:rsid w:val="004624E2"/>
    <w:rsid w:val="00462552"/>
    <w:rsid w:val="00462ADE"/>
    <w:rsid w:val="00462F73"/>
    <w:rsid w:val="00463029"/>
    <w:rsid w:val="004630E8"/>
    <w:rsid w:val="0046379A"/>
    <w:rsid w:val="00463A0E"/>
    <w:rsid w:val="00463A23"/>
    <w:rsid w:val="00463AFA"/>
    <w:rsid w:val="00463B1A"/>
    <w:rsid w:val="00463C32"/>
    <w:rsid w:val="00463D43"/>
    <w:rsid w:val="00463D4C"/>
    <w:rsid w:val="00463E78"/>
    <w:rsid w:val="00463E85"/>
    <w:rsid w:val="00463F73"/>
    <w:rsid w:val="00463FB7"/>
    <w:rsid w:val="00463FD3"/>
    <w:rsid w:val="00464164"/>
    <w:rsid w:val="004641BC"/>
    <w:rsid w:val="00464208"/>
    <w:rsid w:val="0046451D"/>
    <w:rsid w:val="00464A83"/>
    <w:rsid w:val="00464C73"/>
    <w:rsid w:val="00464F2C"/>
    <w:rsid w:val="00464F74"/>
    <w:rsid w:val="00464FC4"/>
    <w:rsid w:val="00465048"/>
    <w:rsid w:val="00465082"/>
    <w:rsid w:val="0046513C"/>
    <w:rsid w:val="004652CF"/>
    <w:rsid w:val="004653DD"/>
    <w:rsid w:val="004653E3"/>
    <w:rsid w:val="00465436"/>
    <w:rsid w:val="004654C8"/>
    <w:rsid w:val="00465592"/>
    <w:rsid w:val="004655CC"/>
    <w:rsid w:val="0046561F"/>
    <w:rsid w:val="004657C9"/>
    <w:rsid w:val="004658F6"/>
    <w:rsid w:val="004659B5"/>
    <w:rsid w:val="004659D0"/>
    <w:rsid w:val="00465B3C"/>
    <w:rsid w:val="0046605B"/>
    <w:rsid w:val="0046617C"/>
    <w:rsid w:val="004663FC"/>
    <w:rsid w:val="004664D6"/>
    <w:rsid w:val="00466907"/>
    <w:rsid w:val="00466D35"/>
    <w:rsid w:val="00467147"/>
    <w:rsid w:val="0046717A"/>
    <w:rsid w:val="0046722A"/>
    <w:rsid w:val="00467300"/>
    <w:rsid w:val="0046734B"/>
    <w:rsid w:val="0046737C"/>
    <w:rsid w:val="00467940"/>
    <w:rsid w:val="00467ADD"/>
    <w:rsid w:val="00467B6F"/>
    <w:rsid w:val="00467BB8"/>
    <w:rsid w:val="00467CED"/>
    <w:rsid w:val="00467EE5"/>
    <w:rsid w:val="00470257"/>
    <w:rsid w:val="00470354"/>
    <w:rsid w:val="004703D9"/>
    <w:rsid w:val="0047042C"/>
    <w:rsid w:val="004706AB"/>
    <w:rsid w:val="0047071B"/>
    <w:rsid w:val="004708DF"/>
    <w:rsid w:val="00470AAA"/>
    <w:rsid w:val="00470B1C"/>
    <w:rsid w:val="00470B59"/>
    <w:rsid w:val="00470B7E"/>
    <w:rsid w:val="00470BF6"/>
    <w:rsid w:val="00470D4A"/>
    <w:rsid w:val="00470F5F"/>
    <w:rsid w:val="00471120"/>
    <w:rsid w:val="00471143"/>
    <w:rsid w:val="004713D3"/>
    <w:rsid w:val="0047175C"/>
    <w:rsid w:val="00471811"/>
    <w:rsid w:val="004718B7"/>
    <w:rsid w:val="00471A3F"/>
    <w:rsid w:val="00471AF2"/>
    <w:rsid w:val="00471B2D"/>
    <w:rsid w:val="00471CD5"/>
    <w:rsid w:val="00471F1D"/>
    <w:rsid w:val="00471F66"/>
    <w:rsid w:val="00472041"/>
    <w:rsid w:val="0047218C"/>
    <w:rsid w:val="004721CB"/>
    <w:rsid w:val="004723B9"/>
    <w:rsid w:val="00472423"/>
    <w:rsid w:val="004724CD"/>
    <w:rsid w:val="0047251D"/>
    <w:rsid w:val="004726D1"/>
    <w:rsid w:val="004729DD"/>
    <w:rsid w:val="004729E3"/>
    <w:rsid w:val="00472A62"/>
    <w:rsid w:val="00472AFD"/>
    <w:rsid w:val="00472C6E"/>
    <w:rsid w:val="00472E05"/>
    <w:rsid w:val="00472E06"/>
    <w:rsid w:val="00472E11"/>
    <w:rsid w:val="00472F55"/>
    <w:rsid w:val="00473050"/>
    <w:rsid w:val="00473444"/>
    <w:rsid w:val="004734A3"/>
    <w:rsid w:val="004735E0"/>
    <w:rsid w:val="0047381D"/>
    <w:rsid w:val="0047384A"/>
    <w:rsid w:val="00473A31"/>
    <w:rsid w:val="00473B68"/>
    <w:rsid w:val="00473BD9"/>
    <w:rsid w:val="00473CCF"/>
    <w:rsid w:val="00473CED"/>
    <w:rsid w:val="00473DD4"/>
    <w:rsid w:val="00473E44"/>
    <w:rsid w:val="00474095"/>
    <w:rsid w:val="004740A6"/>
    <w:rsid w:val="004743A1"/>
    <w:rsid w:val="00474452"/>
    <w:rsid w:val="00474586"/>
    <w:rsid w:val="004745BD"/>
    <w:rsid w:val="00474BEA"/>
    <w:rsid w:val="00474C20"/>
    <w:rsid w:val="00474C67"/>
    <w:rsid w:val="00474D27"/>
    <w:rsid w:val="00474DFF"/>
    <w:rsid w:val="00474F40"/>
    <w:rsid w:val="00475267"/>
    <w:rsid w:val="00475996"/>
    <w:rsid w:val="00475BA9"/>
    <w:rsid w:val="00475BEC"/>
    <w:rsid w:val="00475D8B"/>
    <w:rsid w:val="00475E64"/>
    <w:rsid w:val="00475F9D"/>
    <w:rsid w:val="00476010"/>
    <w:rsid w:val="0047605F"/>
    <w:rsid w:val="00476181"/>
    <w:rsid w:val="004763DD"/>
    <w:rsid w:val="004763E1"/>
    <w:rsid w:val="00476549"/>
    <w:rsid w:val="004765F0"/>
    <w:rsid w:val="00476740"/>
    <w:rsid w:val="00476776"/>
    <w:rsid w:val="0047693B"/>
    <w:rsid w:val="00476BA7"/>
    <w:rsid w:val="00476C1B"/>
    <w:rsid w:val="00476F33"/>
    <w:rsid w:val="00476F96"/>
    <w:rsid w:val="00476FFB"/>
    <w:rsid w:val="00477068"/>
    <w:rsid w:val="004770E8"/>
    <w:rsid w:val="00477236"/>
    <w:rsid w:val="00477364"/>
    <w:rsid w:val="004775BB"/>
    <w:rsid w:val="004777E8"/>
    <w:rsid w:val="004778EB"/>
    <w:rsid w:val="004779D3"/>
    <w:rsid w:val="00477C03"/>
    <w:rsid w:val="00477E5A"/>
    <w:rsid w:val="00477E93"/>
    <w:rsid w:val="00477FE4"/>
    <w:rsid w:val="0048013E"/>
    <w:rsid w:val="004801C1"/>
    <w:rsid w:val="004801F5"/>
    <w:rsid w:val="004803EA"/>
    <w:rsid w:val="004804CE"/>
    <w:rsid w:val="0048056D"/>
    <w:rsid w:val="004805F2"/>
    <w:rsid w:val="00480690"/>
    <w:rsid w:val="00480748"/>
    <w:rsid w:val="0048077C"/>
    <w:rsid w:val="00480EE0"/>
    <w:rsid w:val="00480F1F"/>
    <w:rsid w:val="0048112C"/>
    <w:rsid w:val="004812BC"/>
    <w:rsid w:val="00481324"/>
    <w:rsid w:val="00481343"/>
    <w:rsid w:val="004813EB"/>
    <w:rsid w:val="00481478"/>
    <w:rsid w:val="00481511"/>
    <w:rsid w:val="0048152C"/>
    <w:rsid w:val="00481581"/>
    <w:rsid w:val="00481886"/>
    <w:rsid w:val="00481896"/>
    <w:rsid w:val="0048203D"/>
    <w:rsid w:val="00482054"/>
    <w:rsid w:val="004821A5"/>
    <w:rsid w:val="004821A6"/>
    <w:rsid w:val="004826AC"/>
    <w:rsid w:val="00482965"/>
    <w:rsid w:val="00482BF1"/>
    <w:rsid w:val="00482D84"/>
    <w:rsid w:val="00482F68"/>
    <w:rsid w:val="00483026"/>
    <w:rsid w:val="004833A8"/>
    <w:rsid w:val="0048362D"/>
    <w:rsid w:val="004839CD"/>
    <w:rsid w:val="00483B50"/>
    <w:rsid w:val="00483F68"/>
    <w:rsid w:val="00484145"/>
    <w:rsid w:val="004841E9"/>
    <w:rsid w:val="00484240"/>
    <w:rsid w:val="004842F1"/>
    <w:rsid w:val="0048462B"/>
    <w:rsid w:val="0048467F"/>
    <w:rsid w:val="00484751"/>
    <w:rsid w:val="004847FA"/>
    <w:rsid w:val="00484842"/>
    <w:rsid w:val="00484B5F"/>
    <w:rsid w:val="00484BB2"/>
    <w:rsid w:val="00484C88"/>
    <w:rsid w:val="00484D94"/>
    <w:rsid w:val="00484E8D"/>
    <w:rsid w:val="00484F97"/>
    <w:rsid w:val="00485170"/>
    <w:rsid w:val="004851C8"/>
    <w:rsid w:val="00485261"/>
    <w:rsid w:val="00485378"/>
    <w:rsid w:val="0048538D"/>
    <w:rsid w:val="0048538F"/>
    <w:rsid w:val="00485499"/>
    <w:rsid w:val="004854AC"/>
    <w:rsid w:val="004856E9"/>
    <w:rsid w:val="0048578F"/>
    <w:rsid w:val="0048582E"/>
    <w:rsid w:val="00485C53"/>
    <w:rsid w:val="00485DE7"/>
    <w:rsid w:val="00485F49"/>
    <w:rsid w:val="00485F65"/>
    <w:rsid w:val="004860C2"/>
    <w:rsid w:val="00486396"/>
    <w:rsid w:val="0048639E"/>
    <w:rsid w:val="004864DF"/>
    <w:rsid w:val="004865BC"/>
    <w:rsid w:val="004866C6"/>
    <w:rsid w:val="0048681F"/>
    <w:rsid w:val="00486A5E"/>
    <w:rsid w:val="00486A61"/>
    <w:rsid w:val="00486B6D"/>
    <w:rsid w:val="00486E99"/>
    <w:rsid w:val="0048706A"/>
    <w:rsid w:val="00487131"/>
    <w:rsid w:val="004871F7"/>
    <w:rsid w:val="00487280"/>
    <w:rsid w:val="00487B34"/>
    <w:rsid w:val="00487B3A"/>
    <w:rsid w:val="00487C44"/>
    <w:rsid w:val="00487CAB"/>
    <w:rsid w:val="004900CF"/>
    <w:rsid w:val="004906DD"/>
    <w:rsid w:val="004907DA"/>
    <w:rsid w:val="004907E4"/>
    <w:rsid w:val="00490870"/>
    <w:rsid w:val="00490C1B"/>
    <w:rsid w:val="00490CB8"/>
    <w:rsid w:val="00490D8B"/>
    <w:rsid w:val="00490DAA"/>
    <w:rsid w:val="00491017"/>
    <w:rsid w:val="004911CB"/>
    <w:rsid w:val="0049142F"/>
    <w:rsid w:val="0049159D"/>
    <w:rsid w:val="00491667"/>
    <w:rsid w:val="00491769"/>
    <w:rsid w:val="004917BF"/>
    <w:rsid w:val="004917CA"/>
    <w:rsid w:val="004918EE"/>
    <w:rsid w:val="0049193F"/>
    <w:rsid w:val="00491E8C"/>
    <w:rsid w:val="00491E99"/>
    <w:rsid w:val="00491F8A"/>
    <w:rsid w:val="00492022"/>
    <w:rsid w:val="004921E5"/>
    <w:rsid w:val="00492318"/>
    <w:rsid w:val="00492656"/>
    <w:rsid w:val="004928CD"/>
    <w:rsid w:val="00492A1B"/>
    <w:rsid w:val="004932F3"/>
    <w:rsid w:val="0049351E"/>
    <w:rsid w:val="0049358F"/>
    <w:rsid w:val="00493698"/>
    <w:rsid w:val="00493805"/>
    <w:rsid w:val="00493A9A"/>
    <w:rsid w:val="00493BEF"/>
    <w:rsid w:val="00493C1C"/>
    <w:rsid w:val="00493E36"/>
    <w:rsid w:val="004941B1"/>
    <w:rsid w:val="00494223"/>
    <w:rsid w:val="0049445A"/>
    <w:rsid w:val="004945A7"/>
    <w:rsid w:val="00494611"/>
    <w:rsid w:val="004946CB"/>
    <w:rsid w:val="004947AB"/>
    <w:rsid w:val="00494849"/>
    <w:rsid w:val="004948CF"/>
    <w:rsid w:val="004949E7"/>
    <w:rsid w:val="00494C0B"/>
    <w:rsid w:val="00494C5B"/>
    <w:rsid w:val="00494DC5"/>
    <w:rsid w:val="004951C3"/>
    <w:rsid w:val="0049524F"/>
    <w:rsid w:val="004952FE"/>
    <w:rsid w:val="004954EA"/>
    <w:rsid w:val="00495580"/>
    <w:rsid w:val="0049585E"/>
    <w:rsid w:val="00495891"/>
    <w:rsid w:val="00495A74"/>
    <w:rsid w:val="00495B1D"/>
    <w:rsid w:val="00495C82"/>
    <w:rsid w:val="00495D32"/>
    <w:rsid w:val="00495D76"/>
    <w:rsid w:val="00495E58"/>
    <w:rsid w:val="00495F1D"/>
    <w:rsid w:val="00495F40"/>
    <w:rsid w:val="0049601F"/>
    <w:rsid w:val="004961F5"/>
    <w:rsid w:val="004966D7"/>
    <w:rsid w:val="00496723"/>
    <w:rsid w:val="004969A4"/>
    <w:rsid w:val="00496BAA"/>
    <w:rsid w:val="00496CFC"/>
    <w:rsid w:val="00496E5D"/>
    <w:rsid w:val="00496E9F"/>
    <w:rsid w:val="00496ECE"/>
    <w:rsid w:val="0049706F"/>
    <w:rsid w:val="004970EF"/>
    <w:rsid w:val="0049710D"/>
    <w:rsid w:val="004972DE"/>
    <w:rsid w:val="004973F9"/>
    <w:rsid w:val="0049747A"/>
    <w:rsid w:val="004975F5"/>
    <w:rsid w:val="0049783B"/>
    <w:rsid w:val="0049786D"/>
    <w:rsid w:val="00497978"/>
    <w:rsid w:val="004979DD"/>
    <w:rsid w:val="00497A23"/>
    <w:rsid w:val="00497A80"/>
    <w:rsid w:val="00497B45"/>
    <w:rsid w:val="00497B56"/>
    <w:rsid w:val="00497D44"/>
    <w:rsid w:val="00497F08"/>
    <w:rsid w:val="004A0294"/>
    <w:rsid w:val="004A0322"/>
    <w:rsid w:val="004A0668"/>
    <w:rsid w:val="004A070E"/>
    <w:rsid w:val="004A08EA"/>
    <w:rsid w:val="004A092F"/>
    <w:rsid w:val="004A09F6"/>
    <w:rsid w:val="004A0A4C"/>
    <w:rsid w:val="004A0AC1"/>
    <w:rsid w:val="004A0B36"/>
    <w:rsid w:val="004A0C8D"/>
    <w:rsid w:val="004A0CDB"/>
    <w:rsid w:val="004A0D6A"/>
    <w:rsid w:val="004A0D73"/>
    <w:rsid w:val="004A0DB8"/>
    <w:rsid w:val="004A1328"/>
    <w:rsid w:val="004A1734"/>
    <w:rsid w:val="004A175D"/>
    <w:rsid w:val="004A18F9"/>
    <w:rsid w:val="004A192A"/>
    <w:rsid w:val="004A1F45"/>
    <w:rsid w:val="004A2035"/>
    <w:rsid w:val="004A21FC"/>
    <w:rsid w:val="004A2267"/>
    <w:rsid w:val="004A229D"/>
    <w:rsid w:val="004A25AB"/>
    <w:rsid w:val="004A2806"/>
    <w:rsid w:val="004A2839"/>
    <w:rsid w:val="004A2AA7"/>
    <w:rsid w:val="004A2C55"/>
    <w:rsid w:val="004A2D50"/>
    <w:rsid w:val="004A2E0A"/>
    <w:rsid w:val="004A2E99"/>
    <w:rsid w:val="004A2FC3"/>
    <w:rsid w:val="004A3422"/>
    <w:rsid w:val="004A367D"/>
    <w:rsid w:val="004A36F3"/>
    <w:rsid w:val="004A385D"/>
    <w:rsid w:val="004A3ABD"/>
    <w:rsid w:val="004A3C7E"/>
    <w:rsid w:val="004A3E48"/>
    <w:rsid w:val="004A3F16"/>
    <w:rsid w:val="004A3F4B"/>
    <w:rsid w:val="004A3FD6"/>
    <w:rsid w:val="004A400D"/>
    <w:rsid w:val="004A40CE"/>
    <w:rsid w:val="004A40EC"/>
    <w:rsid w:val="004A40FC"/>
    <w:rsid w:val="004A41BD"/>
    <w:rsid w:val="004A4290"/>
    <w:rsid w:val="004A4333"/>
    <w:rsid w:val="004A45E3"/>
    <w:rsid w:val="004A4645"/>
    <w:rsid w:val="004A46C6"/>
    <w:rsid w:val="004A46CD"/>
    <w:rsid w:val="004A4967"/>
    <w:rsid w:val="004A4AC8"/>
    <w:rsid w:val="004A4B03"/>
    <w:rsid w:val="004A4D7D"/>
    <w:rsid w:val="004A4E02"/>
    <w:rsid w:val="004A50A9"/>
    <w:rsid w:val="004A5350"/>
    <w:rsid w:val="004A54C5"/>
    <w:rsid w:val="004A55DF"/>
    <w:rsid w:val="004A560F"/>
    <w:rsid w:val="004A5631"/>
    <w:rsid w:val="004A5917"/>
    <w:rsid w:val="004A5B2A"/>
    <w:rsid w:val="004A5CE8"/>
    <w:rsid w:val="004A5DCA"/>
    <w:rsid w:val="004A5DEA"/>
    <w:rsid w:val="004A5E5D"/>
    <w:rsid w:val="004A5EE4"/>
    <w:rsid w:val="004A62E2"/>
    <w:rsid w:val="004A6353"/>
    <w:rsid w:val="004A639F"/>
    <w:rsid w:val="004A65C0"/>
    <w:rsid w:val="004A67A4"/>
    <w:rsid w:val="004A6A9D"/>
    <w:rsid w:val="004A6D23"/>
    <w:rsid w:val="004A6D40"/>
    <w:rsid w:val="004A70B7"/>
    <w:rsid w:val="004A7106"/>
    <w:rsid w:val="004A72E6"/>
    <w:rsid w:val="004A7306"/>
    <w:rsid w:val="004A74D5"/>
    <w:rsid w:val="004A74EA"/>
    <w:rsid w:val="004A75E0"/>
    <w:rsid w:val="004A764E"/>
    <w:rsid w:val="004A793E"/>
    <w:rsid w:val="004A7AA9"/>
    <w:rsid w:val="004A7B91"/>
    <w:rsid w:val="004A7C97"/>
    <w:rsid w:val="004A7D07"/>
    <w:rsid w:val="004A7D38"/>
    <w:rsid w:val="004A7FE7"/>
    <w:rsid w:val="004B0024"/>
    <w:rsid w:val="004B0086"/>
    <w:rsid w:val="004B00E2"/>
    <w:rsid w:val="004B029F"/>
    <w:rsid w:val="004B04E2"/>
    <w:rsid w:val="004B06E0"/>
    <w:rsid w:val="004B06E4"/>
    <w:rsid w:val="004B0794"/>
    <w:rsid w:val="004B0E65"/>
    <w:rsid w:val="004B0F4A"/>
    <w:rsid w:val="004B10C7"/>
    <w:rsid w:val="004B1355"/>
    <w:rsid w:val="004B1390"/>
    <w:rsid w:val="004B1495"/>
    <w:rsid w:val="004B17FA"/>
    <w:rsid w:val="004B1969"/>
    <w:rsid w:val="004B1AC2"/>
    <w:rsid w:val="004B1CEC"/>
    <w:rsid w:val="004B1D2D"/>
    <w:rsid w:val="004B1D31"/>
    <w:rsid w:val="004B1DBF"/>
    <w:rsid w:val="004B1E9E"/>
    <w:rsid w:val="004B2255"/>
    <w:rsid w:val="004B22C3"/>
    <w:rsid w:val="004B2397"/>
    <w:rsid w:val="004B2441"/>
    <w:rsid w:val="004B258E"/>
    <w:rsid w:val="004B279E"/>
    <w:rsid w:val="004B288B"/>
    <w:rsid w:val="004B2962"/>
    <w:rsid w:val="004B29B7"/>
    <w:rsid w:val="004B2AE2"/>
    <w:rsid w:val="004B2B72"/>
    <w:rsid w:val="004B2F30"/>
    <w:rsid w:val="004B2FE8"/>
    <w:rsid w:val="004B3000"/>
    <w:rsid w:val="004B335C"/>
    <w:rsid w:val="004B34D8"/>
    <w:rsid w:val="004B35AB"/>
    <w:rsid w:val="004B3747"/>
    <w:rsid w:val="004B38F4"/>
    <w:rsid w:val="004B396C"/>
    <w:rsid w:val="004B3A83"/>
    <w:rsid w:val="004B3BAC"/>
    <w:rsid w:val="004B3BB3"/>
    <w:rsid w:val="004B3BB9"/>
    <w:rsid w:val="004B3E8F"/>
    <w:rsid w:val="004B3F50"/>
    <w:rsid w:val="004B417F"/>
    <w:rsid w:val="004B4184"/>
    <w:rsid w:val="004B42AC"/>
    <w:rsid w:val="004B4505"/>
    <w:rsid w:val="004B451B"/>
    <w:rsid w:val="004B45A6"/>
    <w:rsid w:val="004B471F"/>
    <w:rsid w:val="004B48F5"/>
    <w:rsid w:val="004B4A04"/>
    <w:rsid w:val="004B4C49"/>
    <w:rsid w:val="004B4CB5"/>
    <w:rsid w:val="004B4D39"/>
    <w:rsid w:val="004B4EDA"/>
    <w:rsid w:val="004B4F78"/>
    <w:rsid w:val="004B4FE7"/>
    <w:rsid w:val="004B518F"/>
    <w:rsid w:val="004B51B8"/>
    <w:rsid w:val="004B5308"/>
    <w:rsid w:val="004B533A"/>
    <w:rsid w:val="004B55B9"/>
    <w:rsid w:val="004B572B"/>
    <w:rsid w:val="004B577B"/>
    <w:rsid w:val="004B5AFC"/>
    <w:rsid w:val="004B5B74"/>
    <w:rsid w:val="004B5C8B"/>
    <w:rsid w:val="004B5E62"/>
    <w:rsid w:val="004B5E8C"/>
    <w:rsid w:val="004B5F37"/>
    <w:rsid w:val="004B5FA2"/>
    <w:rsid w:val="004B6047"/>
    <w:rsid w:val="004B60F8"/>
    <w:rsid w:val="004B612F"/>
    <w:rsid w:val="004B6203"/>
    <w:rsid w:val="004B6260"/>
    <w:rsid w:val="004B62C4"/>
    <w:rsid w:val="004B63D6"/>
    <w:rsid w:val="004B6493"/>
    <w:rsid w:val="004B64F8"/>
    <w:rsid w:val="004B664C"/>
    <w:rsid w:val="004B6781"/>
    <w:rsid w:val="004B67A7"/>
    <w:rsid w:val="004B69C0"/>
    <w:rsid w:val="004B6A9A"/>
    <w:rsid w:val="004B6BEC"/>
    <w:rsid w:val="004B6C40"/>
    <w:rsid w:val="004B6D53"/>
    <w:rsid w:val="004B6EAB"/>
    <w:rsid w:val="004B6FF0"/>
    <w:rsid w:val="004B7028"/>
    <w:rsid w:val="004B7240"/>
    <w:rsid w:val="004B7315"/>
    <w:rsid w:val="004B74A8"/>
    <w:rsid w:val="004B76E4"/>
    <w:rsid w:val="004B77D7"/>
    <w:rsid w:val="004B7B0C"/>
    <w:rsid w:val="004B7B8B"/>
    <w:rsid w:val="004B7C25"/>
    <w:rsid w:val="004B7E14"/>
    <w:rsid w:val="004C0191"/>
    <w:rsid w:val="004C0262"/>
    <w:rsid w:val="004C046B"/>
    <w:rsid w:val="004C0576"/>
    <w:rsid w:val="004C08BB"/>
    <w:rsid w:val="004C096C"/>
    <w:rsid w:val="004C0B3C"/>
    <w:rsid w:val="004C0B42"/>
    <w:rsid w:val="004C0B51"/>
    <w:rsid w:val="004C0D87"/>
    <w:rsid w:val="004C0DAA"/>
    <w:rsid w:val="004C0EC8"/>
    <w:rsid w:val="004C101B"/>
    <w:rsid w:val="004C11A0"/>
    <w:rsid w:val="004C1564"/>
    <w:rsid w:val="004C179E"/>
    <w:rsid w:val="004C188C"/>
    <w:rsid w:val="004C188D"/>
    <w:rsid w:val="004C1A26"/>
    <w:rsid w:val="004C1B3D"/>
    <w:rsid w:val="004C1DD3"/>
    <w:rsid w:val="004C1DF6"/>
    <w:rsid w:val="004C1FBB"/>
    <w:rsid w:val="004C200D"/>
    <w:rsid w:val="004C2169"/>
    <w:rsid w:val="004C23BC"/>
    <w:rsid w:val="004C2422"/>
    <w:rsid w:val="004C24EF"/>
    <w:rsid w:val="004C268B"/>
    <w:rsid w:val="004C28D4"/>
    <w:rsid w:val="004C2E57"/>
    <w:rsid w:val="004C2EE5"/>
    <w:rsid w:val="004C2F4C"/>
    <w:rsid w:val="004C2FE7"/>
    <w:rsid w:val="004C3002"/>
    <w:rsid w:val="004C315E"/>
    <w:rsid w:val="004C32CE"/>
    <w:rsid w:val="004C3304"/>
    <w:rsid w:val="004C3306"/>
    <w:rsid w:val="004C33AF"/>
    <w:rsid w:val="004C37B0"/>
    <w:rsid w:val="004C3922"/>
    <w:rsid w:val="004C392F"/>
    <w:rsid w:val="004C3B03"/>
    <w:rsid w:val="004C3CB3"/>
    <w:rsid w:val="004C3D1F"/>
    <w:rsid w:val="004C3DCA"/>
    <w:rsid w:val="004C3EB2"/>
    <w:rsid w:val="004C4042"/>
    <w:rsid w:val="004C4256"/>
    <w:rsid w:val="004C42BF"/>
    <w:rsid w:val="004C44A7"/>
    <w:rsid w:val="004C44DA"/>
    <w:rsid w:val="004C463D"/>
    <w:rsid w:val="004C47DD"/>
    <w:rsid w:val="004C4C9D"/>
    <w:rsid w:val="004C4FAE"/>
    <w:rsid w:val="004C526C"/>
    <w:rsid w:val="004C5296"/>
    <w:rsid w:val="004C52E7"/>
    <w:rsid w:val="004C58B2"/>
    <w:rsid w:val="004C5A8E"/>
    <w:rsid w:val="004C5C4D"/>
    <w:rsid w:val="004C5C8E"/>
    <w:rsid w:val="004C5D93"/>
    <w:rsid w:val="004C5E6E"/>
    <w:rsid w:val="004C5FD4"/>
    <w:rsid w:val="004C6164"/>
    <w:rsid w:val="004C64A3"/>
    <w:rsid w:val="004C65CE"/>
    <w:rsid w:val="004C65E5"/>
    <w:rsid w:val="004C68BA"/>
    <w:rsid w:val="004C69AA"/>
    <w:rsid w:val="004C6A0A"/>
    <w:rsid w:val="004C6B24"/>
    <w:rsid w:val="004C6B92"/>
    <w:rsid w:val="004C6C6F"/>
    <w:rsid w:val="004C6C88"/>
    <w:rsid w:val="004C6DED"/>
    <w:rsid w:val="004C6E0A"/>
    <w:rsid w:val="004C70C7"/>
    <w:rsid w:val="004C715F"/>
    <w:rsid w:val="004C7624"/>
    <w:rsid w:val="004C76EE"/>
    <w:rsid w:val="004C77D9"/>
    <w:rsid w:val="004C787F"/>
    <w:rsid w:val="004C7977"/>
    <w:rsid w:val="004C7AD9"/>
    <w:rsid w:val="004C7BAC"/>
    <w:rsid w:val="004C7BC6"/>
    <w:rsid w:val="004C7D19"/>
    <w:rsid w:val="004C7E59"/>
    <w:rsid w:val="004C7FF9"/>
    <w:rsid w:val="004D00AC"/>
    <w:rsid w:val="004D0105"/>
    <w:rsid w:val="004D0147"/>
    <w:rsid w:val="004D018B"/>
    <w:rsid w:val="004D051A"/>
    <w:rsid w:val="004D073A"/>
    <w:rsid w:val="004D078A"/>
    <w:rsid w:val="004D0901"/>
    <w:rsid w:val="004D0945"/>
    <w:rsid w:val="004D0BCC"/>
    <w:rsid w:val="004D0DBF"/>
    <w:rsid w:val="004D1109"/>
    <w:rsid w:val="004D12B3"/>
    <w:rsid w:val="004D12EF"/>
    <w:rsid w:val="004D13EE"/>
    <w:rsid w:val="004D1411"/>
    <w:rsid w:val="004D1418"/>
    <w:rsid w:val="004D1434"/>
    <w:rsid w:val="004D157F"/>
    <w:rsid w:val="004D1640"/>
    <w:rsid w:val="004D16F2"/>
    <w:rsid w:val="004D1723"/>
    <w:rsid w:val="004D17B9"/>
    <w:rsid w:val="004D18EC"/>
    <w:rsid w:val="004D1959"/>
    <w:rsid w:val="004D19A4"/>
    <w:rsid w:val="004D1AA1"/>
    <w:rsid w:val="004D1B75"/>
    <w:rsid w:val="004D1BB7"/>
    <w:rsid w:val="004D1EE2"/>
    <w:rsid w:val="004D21BB"/>
    <w:rsid w:val="004D249C"/>
    <w:rsid w:val="004D24F0"/>
    <w:rsid w:val="004D279B"/>
    <w:rsid w:val="004D2887"/>
    <w:rsid w:val="004D2B48"/>
    <w:rsid w:val="004D2C9B"/>
    <w:rsid w:val="004D2CE2"/>
    <w:rsid w:val="004D2E6A"/>
    <w:rsid w:val="004D2F01"/>
    <w:rsid w:val="004D2F7F"/>
    <w:rsid w:val="004D2FCC"/>
    <w:rsid w:val="004D3039"/>
    <w:rsid w:val="004D3121"/>
    <w:rsid w:val="004D31FA"/>
    <w:rsid w:val="004D34AD"/>
    <w:rsid w:val="004D34EB"/>
    <w:rsid w:val="004D354C"/>
    <w:rsid w:val="004D36B9"/>
    <w:rsid w:val="004D37F8"/>
    <w:rsid w:val="004D385E"/>
    <w:rsid w:val="004D38FC"/>
    <w:rsid w:val="004D3A0D"/>
    <w:rsid w:val="004D3A1C"/>
    <w:rsid w:val="004D3E11"/>
    <w:rsid w:val="004D3F1C"/>
    <w:rsid w:val="004D40FE"/>
    <w:rsid w:val="004D42F1"/>
    <w:rsid w:val="004D4562"/>
    <w:rsid w:val="004D463B"/>
    <w:rsid w:val="004D464B"/>
    <w:rsid w:val="004D47F5"/>
    <w:rsid w:val="004D480A"/>
    <w:rsid w:val="004D4884"/>
    <w:rsid w:val="004D48DF"/>
    <w:rsid w:val="004D4934"/>
    <w:rsid w:val="004D49C7"/>
    <w:rsid w:val="004D4A66"/>
    <w:rsid w:val="004D4C64"/>
    <w:rsid w:val="004D4D37"/>
    <w:rsid w:val="004D4E99"/>
    <w:rsid w:val="004D4F01"/>
    <w:rsid w:val="004D4F2E"/>
    <w:rsid w:val="004D4FB1"/>
    <w:rsid w:val="004D5035"/>
    <w:rsid w:val="004D56C8"/>
    <w:rsid w:val="004D5719"/>
    <w:rsid w:val="004D577A"/>
    <w:rsid w:val="004D57D2"/>
    <w:rsid w:val="004D5901"/>
    <w:rsid w:val="004D5A31"/>
    <w:rsid w:val="004D5A7E"/>
    <w:rsid w:val="004D5C5D"/>
    <w:rsid w:val="004D6148"/>
    <w:rsid w:val="004D61BA"/>
    <w:rsid w:val="004D6364"/>
    <w:rsid w:val="004D64CD"/>
    <w:rsid w:val="004D6679"/>
    <w:rsid w:val="004D66AD"/>
    <w:rsid w:val="004D675D"/>
    <w:rsid w:val="004D676D"/>
    <w:rsid w:val="004D680A"/>
    <w:rsid w:val="004D688D"/>
    <w:rsid w:val="004D68EB"/>
    <w:rsid w:val="004D6A7E"/>
    <w:rsid w:val="004D6B84"/>
    <w:rsid w:val="004D6F68"/>
    <w:rsid w:val="004D6F70"/>
    <w:rsid w:val="004D6FFD"/>
    <w:rsid w:val="004D7069"/>
    <w:rsid w:val="004D719B"/>
    <w:rsid w:val="004D720C"/>
    <w:rsid w:val="004D72E1"/>
    <w:rsid w:val="004D73FA"/>
    <w:rsid w:val="004D7485"/>
    <w:rsid w:val="004D7518"/>
    <w:rsid w:val="004D75D7"/>
    <w:rsid w:val="004D760E"/>
    <w:rsid w:val="004D76AC"/>
    <w:rsid w:val="004D7869"/>
    <w:rsid w:val="004D7ACA"/>
    <w:rsid w:val="004D7C30"/>
    <w:rsid w:val="004D7D9B"/>
    <w:rsid w:val="004D7E04"/>
    <w:rsid w:val="004D7E8E"/>
    <w:rsid w:val="004D7F3A"/>
    <w:rsid w:val="004D7FCE"/>
    <w:rsid w:val="004D7FEE"/>
    <w:rsid w:val="004E056D"/>
    <w:rsid w:val="004E0747"/>
    <w:rsid w:val="004E079E"/>
    <w:rsid w:val="004E0B24"/>
    <w:rsid w:val="004E0BAC"/>
    <w:rsid w:val="004E0C6B"/>
    <w:rsid w:val="004E0D04"/>
    <w:rsid w:val="004E0D9D"/>
    <w:rsid w:val="004E0DF1"/>
    <w:rsid w:val="004E0E2A"/>
    <w:rsid w:val="004E0F84"/>
    <w:rsid w:val="004E110B"/>
    <w:rsid w:val="004E1131"/>
    <w:rsid w:val="004E11D6"/>
    <w:rsid w:val="004E1459"/>
    <w:rsid w:val="004E15AF"/>
    <w:rsid w:val="004E15B0"/>
    <w:rsid w:val="004E166F"/>
    <w:rsid w:val="004E184D"/>
    <w:rsid w:val="004E19D3"/>
    <w:rsid w:val="004E1B0F"/>
    <w:rsid w:val="004E1B1F"/>
    <w:rsid w:val="004E1CFC"/>
    <w:rsid w:val="004E1D35"/>
    <w:rsid w:val="004E1DF0"/>
    <w:rsid w:val="004E1F92"/>
    <w:rsid w:val="004E1FE4"/>
    <w:rsid w:val="004E1FF2"/>
    <w:rsid w:val="004E2022"/>
    <w:rsid w:val="004E209E"/>
    <w:rsid w:val="004E21B0"/>
    <w:rsid w:val="004E2493"/>
    <w:rsid w:val="004E2581"/>
    <w:rsid w:val="004E27F4"/>
    <w:rsid w:val="004E295F"/>
    <w:rsid w:val="004E2B81"/>
    <w:rsid w:val="004E2C75"/>
    <w:rsid w:val="004E2CE8"/>
    <w:rsid w:val="004E2CF5"/>
    <w:rsid w:val="004E2DAA"/>
    <w:rsid w:val="004E2DD2"/>
    <w:rsid w:val="004E2EB5"/>
    <w:rsid w:val="004E311D"/>
    <w:rsid w:val="004E32BE"/>
    <w:rsid w:val="004E3431"/>
    <w:rsid w:val="004E3476"/>
    <w:rsid w:val="004E38FA"/>
    <w:rsid w:val="004E39E7"/>
    <w:rsid w:val="004E39FC"/>
    <w:rsid w:val="004E3A2E"/>
    <w:rsid w:val="004E3A93"/>
    <w:rsid w:val="004E3BDF"/>
    <w:rsid w:val="004E3CDF"/>
    <w:rsid w:val="004E3D95"/>
    <w:rsid w:val="004E3DC0"/>
    <w:rsid w:val="004E3F58"/>
    <w:rsid w:val="004E4144"/>
    <w:rsid w:val="004E4254"/>
    <w:rsid w:val="004E428B"/>
    <w:rsid w:val="004E43D6"/>
    <w:rsid w:val="004E4535"/>
    <w:rsid w:val="004E46B4"/>
    <w:rsid w:val="004E46DF"/>
    <w:rsid w:val="004E46E1"/>
    <w:rsid w:val="004E4715"/>
    <w:rsid w:val="004E47B2"/>
    <w:rsid w:val="004E4839"/>
    <w:rsid w:val="004E4B2C"/>
    <w:rsid w:val="004E4BC9"/>
    <w:rsid w:val="004E4C34"/>
    <w:rsid w:val="004E4CAF"/>
    <w:rsid w:val="004E4EA9"/>
    <w:rsid w:val="004E4F1D"/>
    <w:rsid w:val="004E5049"/>
    <w:rsid w:val="004E5064"/>
    <w:rsid w:val="004E50A3"/>
    <w:rsid w:val="004E5472"/>
    <w:rsid w:val="004E5598"/>
    <w:rsid w:val="004E5665"/>
    <w:rsid w:val="004E56A6"/>
    <w:rsid w:val="004E57B4"/>
    <w:rsid w:val="004E5805"/>
    <w:rsid w:val="004E5C3C"/>
    <w:rsid w:val="004E5CD1"/>
    <w:rsid w:val="004E5D0F"/>
    <w:rsid w:val="004E5D4F"/>
    <w:rsid w:val="004E5D5A"/>
    <w:rsid w:val="004E62B3"/>
    <w:rsid w:val="004E65C0"/>
    <w:rsid w:val="004E6651"/>
    <w:rsid w:val="004E6779"/>
    <w:rsid w:val="004E6936"/>
    <w:rsid w:val="004E6952"/>
    <w:rsid w:val="004E6A00"/>
    <w:rsid w:val="004E6A30"/>
    <w:rsid w:val="004E6A67"/>
    <w:rsid w:val="004E6A9F"/>
    <w:rsid w:val="004E6B95"/>
    <w:rsid w:val="004E6D7F"/>
    <w:rsid w:val="004E6E02"/>
    <w:rsid w:val="004E6E20"/>
    <w:rsid w:val="004E6F61"/>
    <w:rsid w:val="004E6F9A"/>
    <w:rsid w:val="004E6FC7"/>
    <w:rsid w:val="004E715C"/>
    <w:rsid w:val="004E7260"/>
    <w:rsid w:val="004E72BF"/>
    <w:rsid w:val="004E747D"/>
    <w:rsid w:val="004E7832"/>
    <w:rsid w:val="004E7910"/>
    <w:rsid w:val="004E79A5"/>
    <w:rsid w:val="004E79FC"/>
    <w:rsid w:val="004E7CA8"/>
    <w:rsid w:val="004F00E9"/>
    <w:rsid w:val="004F0152"/>
    <w:rsid w:val="004F0159"/>
    <w:rsid w:val="004F01A3"/>
    <w:rsid w:val="004F02E7"/>
    <w:rsid w:val="004F0328"/>
    <w:rsid w:val="004F044C"/>
    <w:rsid w:val="004F0526"/>
    <w:rsid w:val="004F0637"/>
    <w:rsid w:val="004F0659"/>
    <w:rsid w:val="004F0666"/>
    <w:rsid w:val="004F089D"/>
    <w:rsid w:val="004F0BCC"/>
    <w:rsid w:val="004F0C5A"/>
    <w:rsid w:val="004F0C73"/>
    <w:rsid w:val="004F0CC5"/>
    <w:rsid w:val="004F0DB7"/>
    <w:rsid w:val="004F0F5B"/>
    <w:rsid w:val="004F1156"/>
    <w:rsid w:val="004F132A"/>
    <w:rsid w:val="004F14DA"/>
    <w:rsid w:val="004F1683"/>
    <w:rsid w:val="004F1706"/>
    <w:rsid w:val="004F17CB"/>
    <w:rsid w:val="004F1839"/>
    <w:rsid w:val="004F190B"/>
    <w:rsid w:val="004F1B5C"/>
    <w:rsid w:val="004F1C9B"/>
    <w:rsid w:val="004F1CC4"/>
    <w:rsid w:val="004F1E5E"/>
    <w:rsid w:val="004F1FB2"/>
    <w:rsid w:val="004F1FF8"/>
    <w:rsid w:val="004F203E"/>
    <w:rsid w:val="004F20D7"/>
    <w:rsid w:val="004F2666"/>
    <w:rsid w:val="004F26D3"/>
    <w:rsid w:val="004F2767"/>
    <w:rsid w:val="004F2776"/>
    <w:rsid w:val="004F27CD"/>
    <w:rsid w:val="004F2867"/>
    <w:rsid w:val="004F2881"/>
    <w:rsid w:val="004F2AA2"/>
    <w:rsid w:val="004F2B1E"/>
    <w:rsid w:val="004F2B1F"/>
    <w:rsid w:val="004F2E59"/>
    <w:rsid w:val="004F2E9B"/>
    <w:rsid w:val="004F3022"/>
    <w:rsid w:val="004F3386"/>
    <w:rsid w:val="004F33CF"/>
    <w:rsid w:val="004F3571"/>
    <w:rsid w:val="004F38B2"/>
    <w:rsid w:val="004F3B98"/>
    <w:rsid w:val="004F3C1D"/>
    <w:rsid w:val="004F3C9D"/>
    <w:rsid w:val="004F3DBA"/>
    <w:rsid w:val="004F3DFC"/>
    <w:rsid w:val="004F3E33"/>
    <w:rsid w:val="004F3ED0"/>
    <w:rsid w:val="004F3F66"/>
    <w:rsid w:val="004F40B1"/>
    <w:rsid w:val="004F413A"/>
    <w:rsid w:val="004F41C3"/>
    <w:rsid w:val="004F41E3"/>
    <w:rsid w:val="004F4204"/>
    <w:rsid w:val="004F42DD"/>
    <w:rsid w:val="004F449A"/>
    <w:rsid w:val="004F459B"/>
    <w:rsid w:val="004F477B"/>
    <w:rsid w:val="004F47D0"/>
    <w:rsid w:val="004F48E1"/>
    <w:rsid w:val="004F4ABD"/>
    <w:rsid w:val="004F4F6D"/>
    <w:rsid w:val="004F50AB"/>
    <w:rsid w:val="004F510A"/>
    <w:rsid w:val="004F5426"/>
    <w:rsid w:val="004F54E4"/>
    <w:rsid w:val="004F5509"/>
    <w:rsid w:val="004F551A"/>
    <w:rsid w:val="004F5634"/>
    <w:rsid w:val="004F563C"/>
    <w:rsid w:val="004F5734"/>
    <w:rsid w:val="004F59DD"/>
    <w:rsid w:val="004F5CB2"/>
    <w:rsid w:val="004F5DB6"/>
    <w:rsid w:val="004F5DBF"/>
    <w:rsid w:val="004F5E96"/>
    <w:rsid w:val="004F6027"/>
    <w:rsid w:val="004F622E"/>
    <w:rsid w:val="004F62D3"/>
    <w:rsid w:val="004F6613"/>
    <w:rsid w:val="004F677E"/>
    <w:rsid w:val="004F67C5"/>
    <w:rsid w:val="004F69CD"/>
    <w:rsid w:val="004F6A57"/>
    <w:rsid w:val="004F6B36"/>
    <w:rsid w:val="004F6C62"/>
    <w:rsid w:val="004F6CB3"/>
    <w:rsid w:val="004F6E2A"/>
    <w:rsid w:val="004F6F2D"/>
    <w:rsid w:val="004F7017"/>
    <w:rsid w:val="004F7089"/>
    <w:rsid w:val="004F7277"/>
    <w:rsid w:val="004F72D2"/>
    <w:rsid w:val="004F72F4"/>
    <w:rsid w:val="004F7412"/>
    <w:rsid w:val="004F7431"/>
    <w:rsid w:val="004F7458"/>
    <w:rsid w:val="004F7520"/>
    <w:rsid w:val="004F75F4"/>
    <w:rsid w:val="004F769F"/>
    <w:rsid w:val="004F7709"/>
    <w:rsid w:val="004F77DA"/>
    <w:rsid w:val="004F7889"/>
    <w:rsid w:val="004F78AC"/>
    <w:rsid w:val="004F79E2"/>
    <w:rsid w:val="004F7C55"/>
    <w:rsid w:val="004F7D87"/>
    <w:rsid w:val="004F7EA7"/>
    <w:rsid w:val="004F7F78"/>
    <w:rsid w:val="0050002F"/>
    <w:rsid w:val="00500125"/>
    <w:rsid w:val="005001E4"/>
    <w:rsid w:val="00500337"/>
    <w:rsid w:val="0050033B"/>
    <w:rsid w:val="00500368"/>
    <w:rsid w:val="0050043A"/>
    <w:rsid w:val="00500484"/>
    <w:rsid w:val="005005C1"/>
    <w:rsid w:val="005005FD"/>
    <w:rsid w:val="00500673"/>
    <w:rsid w:val="0050092A"/>
    <w:rsid w:val="005009BF"/>
    <w:rsid w:val="00500A84"/>
    <w:rsid w:val="00500BAF"/>
    <w:rsid w:val="00500BFE"/>
    <w:rsid w:val="00500E6A"/>
    <w:rsid w:val="00500EDC"/>
    <w:rsid w:val="00500F84"/>
    <w:rsid w:val="00501198"/>
    <w:rsid w:val="005011C4"/>
    <w:rsid w:val="0050145E"/>
    <w:rsid w:val="0050150B"/>
    <w:rsid w:val="00501650"/>
    <w:rsid w:val="005017A8"/>
    <w:rsid w:val="005017D3"/>
    <w:rsid w:val="0050185D"/>
    <w:rsid w:val="00501A45"/>
    <w:rsid w:val="00501AE0"/>
    <w:rsid w:val="00501E95"/>
    <w:rsid w:val="00501F37"/>
    <w:rsid w:val="00501F62"/>
    <w:rsid w:val="00502274"/>
    <w:rsid w:val="005022AB"/>
    <w:rsid w:val="0050242A"/>
    <w:rsid w:val="005024AE"/>
    <w:rsid w:val="0050253E"/>
    <w:rsid w:val="0050257F"/>
    <w:rsid w:val="00502757"/>
    <w:rsid w:val="0050277C"/>
    <w:rsid w:val="00502935"/>
    <w:rsid w:val="0050293B"/>
    <w:rsid w:val="00502B9C"/>
    <w:rsid w:val="0050306B"/>
    <w:rsid w:val="00503260"/>
    <w:rsid w:val="0050338F"/>
    <w:rsid w:val="00503422"/>
    <w:rsid w:val="00503AC5"/>
    <w:rsid w:val="00503C10"/>
    <w:rsid w:val="00503E0C"/>
    <w:rsid w:val="00503FA3"/>
    <w:rsid w:val="00504338"/>
    <w:rsid w:val="0050433D"/>
    <w:rsid w:val="005045BA"/>
    <w:rsid w:val="005045DC"/>
    <w:rsid w:val="005045ED"/>
    <w:rsid w:val="00504776"/>
    <w:rsid w:val="00504834"/>
    <w:rsid w:val="00504AF2"/>
    <w:rsid w:val="00504BBB"/>
    <w:rsid w:val="005050AC"/>
    <w:rsid w:val="0050567B"/>
    <w:rsid w:val="0050584F"/>
    <w:rsid w:val="005058C8"/>
    <w:rsid w:val="0050596B"/>
    <w:rsid w:val="005059A5"/>
    <w:rsid w:val="005059BA"/>
    <w:rsid w:val="00505A7E"/>
    <w:rsid w:val="00505BB9"/>
    <w:rsid w:val="00505CCE"/>
    <w:rsid w:val="00505D4C"/>
    <w:rsid w:val="00505E0B"/>
    <w:rsid w:val="0050623C"/>
    <w:rsid w:val="00506305"/>
    <w:rsid w:val="00506371"/>
    <w:rsid w:val="00506463"/>
    <w:rsid w:val="00506543"/>
    <w:rsid w:val="0050671A"/>
    <w:rsid w:val="005067E3"/>
    <w:rsid w:val="00506925"/>
    <w:rsid w:val="005069A0"/>
    <w:rsid w:val="00506B53"/>
    <w:rsid w:val="00506BB3"/>
    <w:rsid w:val="00506CA7"/>
    <w:rsid w:val="00506D2C"/>
    <w:rsid w:val="00506DCF"/>
    <w:rsid w:val="00506E7E"/>
    <w:rsid w:val="00507317"/>
    <w:rsid w:val="005074E5"/>
    <w:rsid w:val="00507596"/>
    <w:rsid w:val="005075AB"/>
    <w:rsid w:val="00507879"/>
    <w:rsid w:val="005079E8"/>
    <w:rsid w:val="00507A3B"/>
    <w:rsid w:val="00507BB4"/>
    <w:rsid w:val="00507C70"/>
    <w:rsid w:val="00507CDE"/>
    <w:rsid w:val="00507DE3"/>
    <w:rsid w:val="00507E3A"/>
    <w:rsid w:val="00507FF5"/>
    <w:rsid w:val="00510196"/>
    <w:rsid w:val="0051039A"/>
    <w:rsid w:val="00510B4A"/>
    <w:rsid w:val="00510C3C"/>
    <w:rsid w:val="00510CA7"/>
    <w:rsid w:val="00510DDC"/>
    <w:rsid w:val="00510EC7"/>
    <w:rsid w:val="00511323"/>
    <w:rsid w:val="00511324"/>
    <w:rsid w:val="005114CC"/>
    <w:rsid w:val="00511A22"/>
    <w:rsid w:val="00511C1E"/>
    <w:rsid w:val="00511CFA"/>
    <w:rsid w:val="00511D85"/>
    <w:rsid w:val="00511E8D"/>
    <w:rsid w:val="00511FD8"/>
    <w:rsid w:val="00512052"/>
    <w:rsid w:val="00512144"/>
    <w:rsid w:val="005121D9"/>
    <w:rsid w:val="00512283"/>
    <w:rsid w:val="0051251D"/>
    <w:rsid w:val="005128C7"/>
    <w:rsid w:val="005129A7"/>
    <w:rsid w:val="00512A00"/>
    <w:rsid w:val="00512E93"/>
    <w:rsid w:val="00512F4D"/>
    <w:rsid w:val="0051301E"/>
    <w:rsid w:val="00513024"/>
    <w:rsid w:val="0051311F"/>
    <w:rsid w:val="00513207"/>
    <w:rsid w:val="0051327D"/>
    <w:rsid w:val="00513376"/>
    <w:rsid w:val="0051360F"/>
    <w:rsid w:val="00513626"/>
    <w:rsid w:val="00513637"/>
    <w:rsid w:val="005136B7"/>
    <w:rsid w:val="005136D8"/>
    <w:rsid w:val="00513786"/>
    <w:rsid w:val="00513800"/>
    <w:rsid w:val="00513896"/>
    <w:rsid w:val="00513AB0"/>
    <w:rsid w:val="00513AFB"/>
    <w:rsid w:val="00513CB4"/>
    <w:rsid w:val="00513CFC"/>
    <w:rsid w:val="00513D24"/>
    <w:rsid w:val="00513D27"/>
    <w:rsid w:val="0051423D"/>
    <w:rsid w:val="0051445D"/>
    <w:rsid w:val="00514B84"/>
    <w:rsid w:val="00514BBF"/>
    <w:rsid w:val="00514E16"/>
    <w:rsid w:val="00514E17"/>
    <w:rsid w:val="00514EBE"/>
    <w:rsid w:val="00515201"/>
    <w:rsid w:val="00515204"/>
    <w:rsid w:val="005153D7"/>
    <w:rsid w:val="005153E2"/>
    <w:rsid w:val="005154D9"/>
    <w:rsid w:val="00515500"/>
    <w:rsid w:val="005155C2"/>
    <w:rsid w:val="005158C2"/>
    <w:rsid w:val="00515BFC"/>
    <w:rsid w:val="00515C33"/>
    <w:rsid w:val="00515CF9"/>
    <w:rsid w:val="00515DA1"/>
    <w:rsid w:val="00515E35"/>
    <w:rsid w:val="00515F7A"/>
    <w:rsid w:val="00516003"/>
    <w:rsid w:val="00516112"/>
    <w:rsid w:val="00516374"/>
    <w:rsid w:val="00516402"/>
    <w:rsid w:val="00516404"/>
    <w:rsid w:val="0051643B"/>
    <w:rsid w:val="005164DB"/>
    <w:rsid w:val="00516903"/>
    <w:rsid w:val="005169DB"/>
    <w:rsid w:val="00516AD6"/>
    <w:rsid w:val="00516B0E"/>
    <w:rsid w:val="00516C69"/>
    <w:rsid w:val="00516D97"/>
    <w:rsid w:val="00516E69"/>
    <w:rsid w:val="00517266"/>
    <w:rsid w:val="005172F9"/>
    <w:rsid w:val="005174ED"/>
    <w:rsid w:val="00517684"/>
    <w:rsid w:val="00517F60"/>
    <w:rsid w:val="0052002F"/>
    <w:rsid w:val="00520114"/>
    <w:rsid w:val="005203A7"/>
    <w:rsid w:val="00520541"/>
    <w:rsid w:val="005208A3"/>
    <w:rsid w:val="00520A6C"/>
    <w:rsid w:val="00520A72"/>
    <w:rsid w:val="00520A7B"/>
    <w:rsid w:val="00520B13"/>
    <w:rsid w:val="00521159"/>
    <w:rsid w:val="005211A1"/>
    <w:rsid w:val="005211A2"/>
    <w:rsid w:val="0052142B"/>
    <w:rsid w:val="0052177D"/>
    <w:rsid w:val="005218B1"/>
    <w:rsid w:val="00521ABA"/>
    <w:rsid w:val="00521AF1"/>
    <w:rsid w:val="00521B5B"/>
    <w:rsid w:val="00521FC4"/>
    <w:rsid w:val="00521FEF"/>
    <w:rsid w:val="0052216E"/>
    <w:rsid w:val="00522268"/>
    <w:rsid w:val="0052230D"/>
    <w:rsid w:val="005224AC"/>
    <w:rsid w:val="0052258A"/>
    <w:rsid w:val="00522E18"/>
    <w:rsid w:val="00523023"/>
    <w:rsid w:val="005230FE"/>
    <w:rsid w:val="005232A5"/>
    <w:rsid w:val="00523323"/>
    <w:rsid w:val="00523378"/>
    <w:rsid w:val="005233B3"/>
    <w:rsid w:val="0052367C"/>
    <w:rsid w:val="005238DF"/>
    <w:rsid w:val="00523B1E"/>
    <w:rsid w:val="00523E24"/>
    <w:rsid w:val="00523EB9"/>
    <w:rsid w:val="00524023"/>
    <w:rsid w:val="0052411B"/>
    <w:rsid w:val="0052419C"/>
    <w:rsid w:val="005241A3"/>
    <w:rsid w:val="00524377"/>
    <w:rsid w:val="005246A5"/>
    <w:rsid w:val="005246E1"/>
    <w:rsid w:val="00524741"/>
    <w:rsid w:val="0052497B"/>
    <w:rsid w:val="005249A5"/>
    <w:rsid w:val="005249C8"/>
    <w:rsid w:val="00524AA9"/>
    <w:rsid w:val="00524B6A"/>
    <w:rsid w:val="00524B8C"/>
    <w:rsid w:val="00524BCC"/>
    <w:rsid w:val="00524D0A"/>
    <w:rsid w:val="00524DCD"/>
    <w:rsid w:val="00524E84"/>
    <w:rsid w:val="00524F98"/>
    <w:rsid w:val="00525009"/>
    <w:rsid w:val="005250AD"/>
    <w:rsid w:val="005250D1"/>
    <w:rsid w:val="00525415"/>
    <w:rsid w:val="0052543E"/>
    <w:rsid w:val="0052558B"/>
    <w:rsid w:val="005255A2"/>
    <w:rsid w:val="00525739"/>
    <w:rsid w:val="005257BA"/>
    <w:rsid w:val="005258FF"/>
    <w:rsid w:val="0052591E"/>
    <w:rsid w:val="00525926"/>
    <w:rsid w:val="00525979"/>
    <w:rsid w:val="00525A8B"/>
    <w:rsid w:val="00525ABE"/>
    <w:rsid w:val="00525AC8"/>
    <w:rsid w:val="00525B4B"/>
    <w:rsid w:val="00525B72"/>
    <w:rsid w:val="00525D52"/>
    <w:rsid w:val="00525DDD"/>
    <w:rsid w:val="00526381"/>
    <w:rsid w:val="00526450"/>
    <w:rsid w:val="0052677C"/>
    <w:rsid w:val="0052690E"/>
    <w:rsid w:val="005269B9"/>
    <w:rsid w:val="005269E7"/>
    <w:rsid w:val="00526CBE"/>
    <w:rsid w:val="00526EDB"/>
    <w:rsid w:val="00527046"/>
    <w:rsid w:val="0052740A"/>
    <w:rsid w:val="005276E6"/>
    <w:rsid w:val="00527861"/>
    <w:rsid w:val="005279CA"/>
    <w:rsid w:val="00527C58"/>
    <w:rsid w:val="00527DD2"/>
    <w:rsid w:val="005304C8"/>
    <w:rsid w:val="0053058D"/>
    <w:rsid w:val="00530776"/>
    <w:rsid w:val="005308F4"/>
    <w:rsid w:val="00530B34"/>
    <w:rsid w:val="00530C3F"/>
    <w:rsid w:val="00530E29"/>
    <w:rsid w:val="00530E6E"/>
    <w:rsid w:val="005310B0"/>
    <w:rsid w:val="00531477"/>
    <w:rsid w:val="0053172C"/>
    <w:rsid w:val="00531781"/>
    <w:rsid w:val="005319FE"/>
    <w:rsid w:val="00531C92"/>
    <w:rsid w:val="00531D58"/>
    <w:rsid w:val="00531F03"/>
    <w:rsid w:val="00532014"/>
    <w:rsid w:val="00532024"/>
    <w:rsid w:val="00532064"/>
    <w:rsid w:val="00532186"/>
    <w:rsid w:val="005322C2"/>
    <w:rsid w:val="005322D5"/>
    <w:rsid w:val="005325DC"/>
    <w:rsid w:val="00532682"/>
    <w:rsid w:val="005326B3"/>
    <w:rsid w:val="00532890"/>
    <w:rsid w:val="00532961"/>
    <w:rsid w:val="00532AFF"/>
    <w:rsid w:val="00532F38"/>
    <w:rsid w:val="00533216"/>
    <w:rsid w:val="00533304"/>
    <w:rsid w:val="00533541"/>
    <w:rsid w:val="0053355B"/>
    <w:rsid w:val="0053381D"/>
    <w:rsid w:val="00533847"/>
    <w:rsid w:val="00533ABA"/>
    <w:rsid w:val="00533C20"/>
    <w:rsid w:val="00533C39"/>
    <w:rsid w:val="00533D77"/>
    <w:rsid w:val="00533DE5"/>
    <w:rsid w:val="00533ED3"/>
    <w:rsid w:val="00533F3A"/>
    <w:rsid w:val="00533F69"/>
    <w:rsid w:val="00533F73"/>
    <w:rsid w:val="00533F8F"/>
    <w:rsid w:val="00534137"/>
    <w:rsid w:val="00534331"/>
    <w:rsid w:val="005343A2"/>
    <w:rsid w:val="005343FB"/>
    <w:rsid w:val="005345C8"/>
    <w:rsid w:val="00534935"/>
    <w:rsid w:val="00534B2E"/>
    <w:rsid w:val="00534C83"/>
    <w:rsid w:val="00534CB6"/>
    <w:rsid w:val="00534E2C"/>
    <w:rsid w:val="00534FDF"/>
    <w:rsid w:val="00534FE9"/>
    <w:rsid w:val="00535167"/>
    <w:rsid w:val="00535171"/>
    <w:rsid w:val="0053529F"/>
    <w:rsid w:val="005353B8"/>
    <w:rsid w:val="00535689"/>
    <w:rsid w:val="00535775"/>
    <w:rsid w:val="0053582B"/>
    <w:rsid w:val="005359AA"/>
    <w:rsid w:val="00535B56"/>
    <w:rsid w:val="00535B7F"/>
    <w:rsid w:val="00535BE8"/>
    <w:rsid w:val="00535C1D"/>
    <w:rsid w:val="00535CF3"/>
    <w:rsid w:val="00535D5B"/>
    <w:rsid w:val="00535DEB"/>
    <w:rsid w:val="00535E71"/>
    <w:rsid w:val="00536004"/>
    <w:rsid w:val="00536009"/>
    <w:rsid w:val="00536091"/>
    <w:rsid w:val="005363E0"/>
    <w:rsid w:val="005363E2"/>
    <w:rsid w:val="00536466"/>
    <w:rsid w:val="00536702"/>
    <w:rsid w:val="00536964"/>
    <w:rsid w:val="00536AD3"/>
    <w:rsid w:val="00536C06"/>
    <w:rsid w:val="00536C96"/>
    <w:rsid w:val="00536EA6"/>
    <w:rsid w:val="00537192"/>
    <w:rsid w:val="005371E8"/>
    <w:rsid w:val="00537454"/>
    <w:rsid w:val="005374B9"/>
    <w:rsid w:val="005376A0"/>
    <w:rsid w:val="00537924"/>
    <w:rsid w:val="0053794A"/>
    <w:rsid w:val="0053798B"/>
    <w:rsid w:val="00537C05"/>
    <w:rsid w:val="00537E1C"/>
    <w:rsid w:val="005400EC"/>
    <w:rsid w:val="00540107"/>
    <w:rsid w:val="0054016A"/>
    <w:rsid w:val="00540575"/>
    <w:rsid w:val="00540694"/>
    <w:rsid w:val="00540895"/>
    <w:rsid w:val="005409DB"/>
    <w:rsid w:val="00540A08"/>
    <w:rsid w:val="00540A97"/>
    <w:rsid w:val="00540FDE"/>
    <w:rsid w:val="0054101B"/>
    <w:rsid w:val="00541180"/>
    <w:rsid w:val="005411D8"/>
    <w:rsid w:val="0054121E"/>
    <w:rsid w:val="005413D2"/>
    <w:rsid w:val="0054142E"/>
    <w:rsid w:val="00541523"/>
    <w:rsid w:val="005416E0"/>
    <w:rsid w:val="00541A35"/>
    <w:rsid w:val="00541A3B"/>
    <w:rsid w:val="00541C1A"/>
    <w:rsid w:val="00541C63"/>
    <w:rsid w:val="00541C94"/>
    <w:rsid w:val="00541D66"/>
    <w:rsid w:val="00541E2B"/>
    <w:rsid w:val="00541F64"/>
    <w:rsid w:val="005421DD"/>
    <w:rsid w:val="00542297"/>
    <w:rsid w:val="005423E5"/>
    <w:rsid w:val="00542523"/>
    <w:rsid w:val="005426F4"/>
    <w:rsid w:val="00542795"/>
    <w:rsid w:val="00542CC6"/>
    <w:rsid w:val="00542DA3"/>
    <w:rsid w:val="00543003"/>
    <w:rsid w:val="00543016"/>
    <w:rsid w:val="0054314E"/>
    <w:rsid w:val="005431AE"/>
    <w:rsid w:val="005431F2"/>
    <w:rsid w:val="00543203"/>
    <w:rsid w:val="00543396"/>
    <w:rsid w:val="005433E4"/>
    <w:rsid w:val="005434D9"/>
    <w:rsid w:val="00543545"/>
    <w:rsid w:val="00543784"/>
    <w:rsid w:val="00543967"/>
    <w:rsid w:val="00543D27"/>
    <w:rsid w:val="00543D45"/>
    <w:rsid w:val="00543DB7"/>
    <w:rsid w:val="00543E85"/>
    <w:rsid w:val="00543EB7"/>
    <w:rsid w:val="0054402A"/>
    <w:rsid w:val="0054409A"/>
    <w:rsid w:val="0054461A"/>
    <w:rsid w:val="00544716"/>
    <w:rsid w:val="00544779"/>
    <w:rsid w:val="0054482D"/>
    <w:rsid w:val="005448F2"/>
    <w:rsid w:val="00544B85"/>
    <w:rsid w:val="00544BA9"/>
    <w:rsid w:val="00544CE6"/>
    <w:rsid w:val="00544DE4"/>
    <w:rsid w:val="00544ECE"/>
    <w:rsid w:val="00544FAD"/>
    <w:rsid w:val="0054562D"/>
    <w:rsid w:val="0054567E"/>
    <w:rsid w:val="0054590B"/>
    <w:rsid w:val="00545985"/>
    <w:rsid w:val="005459E0"/>
    <w:rsid w:val="00545A24"/>
    <w:rsid w:val="00545A8A"/>
    <w:rsid w:val="00545BB0"/>
    <w:rsid w:val="00545BEE"/>
    <w:rsid w:val="00545F47"/>
    <w:rsid w:val="00545FF5"/>
    <w:rsid w:val="00546236"/>
    <w:rsid w:val="005462FF"/>
    <w:rsid w:val="005463D7"/>
    <w:rsid w:val="0054674E"/>
    <w:rsid w:val="00546A70"/>
    <w:rsid w:val="00546A7A"/>
    <w:rsid w:val="00546AC4"/>
    <w:rsid w:val="00546CE1"/>
    <w:rsid w:val="00546D77"/>
    <w:rsid w:val="00546E13"/>
    <w:rsid w:val="00546E3E"/>
    <w:rsid w:val="00546F4F"/>
    <w:rsid w:val="00547284"/>
    <w:rsid w:val="0054735C"/>
    <w:rsid w:val="00547435"/>
    <w:rsid w:val="0054772A"/>
    <w:rsid w:val="00547832"/>
    <w:rsid w:val="005478D6"/>
    <w:rsid w:val="00547B83"/>
    <w:rsid w:val="00547BFB"/>
    <w:rsid w:val="00547DB9"/>
    <w:rsid w:val="00547E3F"/>
    <w:rsid w:val="00547FB1"/>
    <w:rsid w:val="0055014D"/>
    <w:rsid w:val="00550178"/>
    <w:rsid w:val="005502DF"/>
    <w:rsid w:val="00550302"/>
    <w:rsid w:val="005503B9"/>
    <w:rsid w:val="005507CB"/>
    <w:rsid w:val="0055086A"/>
    <w:rsid w:val="00550900"/>
    <w:rsid w:val="0055098C"/>
    <w:rsid w:val="00550AD7"/>
    <w:rsid w:val="00550CA3"/>
    <w:rsid w:val="00550D47"/>
    <w:rsid w:val="00550D61"/>
    <w:rsid w:val="00550D9F"/>
    <w:rsid w:val="00550E31"/>
    <w:rsid w:val="00550F32"/>
    <w:rsid w:val="00551435"/>
    <w:rsid w:val="0055144B"/>
    <w:rsid w:val="00551544"/>
    <w:rsid w:val="00551651"/>
    <w:rsid w:val="005519A1"/>
    <w:rsid w:val="00551A11"/>
    <w:rsid w:val="00551B72"/>
    <w:rsid w:val="00551B87"/>
    <w:rsid w:val="00552047"/>
    <w:rsid w:val="005520A4"/>
    <w:rsid w:val="005520B3"/>
    <w:rsid w:val="0055219D"/>
    <w:rsid w:val="00552263"/>
    <w:rsid w:val="00552668"/>
    <w:rsid w:val="005528EB"/>
    <w:rsid w:val="00552AD0"/>
    <w:rsid w:val="00552ADF"/>
    <w:rsid w:val="00552D68"/>
    <w:rsid w:val="00552D72"/>
    <w:rsid w:val="00553019"/>
    <w:rsid w:val="00553296"/>
    <w:rsid w:val="0055341A"/>
    <w:rsid w:val="005534F8"/>
    <w:rsid w:val="00553503"/>
    <w:rsid w:val="005535C6"/>
    <w:rsid w:val="005538D6"/>
    <w:rsid w:val="00553B6F"/>
    <w:rsid w:val="00553C64"/>
    <w:rsid w:val="00553C73"/>
    <w:rsid w:val="00553CE7"/>
    <w:rsid w:val="00553E18"/>
    <w:rsid w:val="00553F12"/>
    <w:rsid w:val="005541D6"/>
    <w:rsid w:val="0055437C"/>
    <w:rsid w:val="005546AC"/>
    <w:rsid w:val="00554766"/>
    <w:rsid w:val="00554A0F"/>
    <w:rsid w:val="00554A3E"/>
    <w:rsid w:val="00554C0E"/>
    <w:rsid w:val="00554E06"/>
    <w:rsid w:val="00554E23"/>
    <w:rsid w:val="005550CF"/>
    <w:rsid w:val="0055513D"/>
    <w:rsid w:val="005551ED"/>
    <w:rsid w:val="00555201"/>
    <w:rsid w:val="0055526E"/>
    <w:rsid w:val="005553D2"/>
    <w:rsid w:val="00555523"/>
    <w:rsid w:val="005555E2"/>
    <w:rsid w:val="00555739"/>
    <w:rsid w:val="00555870"/>
    <w:rsid w:val="00555A23"/>
    <w:rsid w:val="00555AA6"/>
    <w:rsid w:val="00555D65"/>
    <w:rsid w:val="00555DD6"/>
    <w:rsid w:val="00555EEF"/>
    <w:rsid w:val="005560AA"/>
    <w:rsid w:val="00556218"/>
    <w:rsid w:val="005562F6"/>
    <w:rsid w:val="00556396"/>
    <w:rsid w:val="005563E2"/>
    <w:rsid w:val="005563E7"/>
    <w:rsid w:val="005568D4"/>
    <w:rsid w:val="005568DF"/>
    <w:rsid w:val="00556944"/>
    <w:rsid w:val="00556B57"/>
    <w:rsid w:val="00556BC8"/>
    <w:rsid w:val="00556D25"/>
    <w:rsid w:val="00556D62"/>
    <w:rsid w:val="0055715D"/>
    <w:rsid w:val="00557297"/>
    <w:rsid w:val="0055735F"/>
    <w:rsid w:val="005577DE"/>
    <w:rsid w:val="0055782D"/>
    <w:rsid w:val="00557995"/>
    <w:rsid w:val="005579E1"/>
    <w:rsid w:val="00557B37"/>
    <w:rsid w:val="00557C07"/>
    <w:rsid w:val="00557C54"/>
    <w:rsid w:val="005602A7"/>
    <w:rsid w:val="005609AA"/>
    <w:rsid w:val="005609E1"/>
    <w:rsid w:val="005609F2"/>
    <w:rsid w:val="00560A0D"/>
    <w:rsid w:val="00560A88"/>
    <w:rsid w:val="00560B03"/>
    <w:rsid w:val="00560B24"/>
    <w:rsid w:val="00560BBA"/>
    <w:rsid w:val="00560D22"/>
    <w:rsid w:val="00560E39"/>
    <w:rsid w:val="00560F17"/>
    <w:rsid w:val="00560F1B"/>
    <w:rsid w:val="0056109F"/>
    <w:rsid w:val="0056113A"/>
    <w:rsid w:val="005611B9"/>
    <w:rsid w:val="005611CC"/>
    <w:rsid w:val="005613C6"/>
    <w:rsid w:val="00561516"/>
    <w:rsid w:val="0056162E"/>
    <w:rsid w:val="005619D1"/>
    <w:rsid w:val="00561A2C"/>
    <w:rsid w:val="00561A84"/>
    <w:rsid w:val="00561C0A"/>
    <w:rsid w:val="00561D8E"/>
    <w:rsid w:val="00561DC2"/>
    <w:rsid w:val="00561EB6"/>
    <w:rsid w:val="00561F10"/>
    <w:rsid w:val="0056209F"/>
    <w:rsid w:val="005620D9"/>
    <w:rsid w:val="00562124"/>
    <w:rsid w:val="00562217"/>
    <w:rsid w:val="005622C8"/>
    <w:rsid w:val="00562414"/>
    <w:rsid w:val="00562452"/>
    <w:rsid w:val="0056248A"/>
    <w:rsid w:val="00562791"/>
    <w:rsid w:val="0056279E"/>
    <w:rsid w:val="005627D3"/>
    <w:rsid w:val="00562A14"/>
    <w:rsid w:val="00562A2A"/>
    <w:rsid w:val="00562AE4"/>
    <w:rsid w:val="00562C37"/>
    <w:rsid w:val="00562EC5"/>
    <w:rsid w:val="00563157"/>
    <w:rsid w:val="005632D8"/>
    <w:rsid w:val="00563325"/>
    <w:rsid w:val="00563378"/>
    <w:rsid w:val="005634EA"/>
    <w:rsid w:val="005635EA"/>
    <w:rsid w:val="005638CE"/>
    <w:rsid w:val="00563CF7"/>
    <w:rsid w:val="00563F5E"/>
    <w:rsid w:val="005643A2"/>
    <w:rsid w:val="0056446D"/>
    <w:rsid w:val="00564472"/>
    <w:rsid w:val="00564561"/>
    <w:rsid w:val="0056458B"/>
    <w:rsid w:val="0056459F"/>
    <w:rsid w:val="005645C6"/>
    <w:rsid w:val="00564684"/>
    <w:rsid w:val="00564A20"/>
    <w:rsid w:val="00564A22"/>
    <w:rsid w:val="00564BAA"/>
    <w:rsid w:val="00564C1E"/>
    <w:rsid w:val="00564CB0"/>
    <w:rsid w:val="00564CDD"/>
    <w:rsid w:val="00564E13"/>
    <w:rsid w:val="00564E2D"/>
    <w:rsid w:val="00564FBE"/>
    <w:rsid w:val="005652CC"/>
    <w:rsid w:val="005653B2"/>
    <w:rsid w:val="0056568C"/>
    <w:rsid w:val="005657C6"/>
    <w:rsid w:val="005658EB"/>
    <w:rsid w:val="005658F8"/>
    <w:rsid w:val="0056593F"/>
    <w:rsid w:val="00565B0D"/>
    <w:rsid w:val="00565BF8"/>
    <w:rsid w:val="00565CA8"/>
    <w:rsid w:val="00565CCA"/>
    <w:rsid w:val="00565E20"/>
    <w:rsid w:val="005660D5"/>
    <w:rsid w:val="0056618B"/>
    <w:rsid w:val="0056624F"/>
    <w:rsid w:val="005662AC"/>
    <w:rsid w:val="00566488"/>
    <w:rsid w:val="00566504"/>
    <w:rsid w:val="0056663B"/>
    <w:rsid w:val="0056664F"/>
    <w:rsid w:val="005666E6"/>
    <w:rsid w:val="005667B9"/>
    <w:rsid w:val="005667F1"/>
    <w:rsid w:val="0056683A"/>
    <w:rsid w:val="00566965"/>
    <w:rsid w:val="00566AF2"/>
    <w:rsid w:val="00566B5D"/>
    <w:rsid w:val="00566BB9"/>
    <w:rsid w:val="00566BF0"/>
    <w:rsid w:val="00566C4E"/>
    <w:rsid w:val="00566CF5"/>
    <w:rsid w:val="00566D3E"/>
    <w:rsid w:val="00566EA1"/>
    <w:rsid w:val="00567103"/>
    <w:rsid w:val="005672BA"/>
    <w:rsid w:val="005673B8"/>
    <w:rsid w:val="005674AE"/>
    <w:rsid w:val="0056752B"/>
    <w:rsid w:val="0056773E"/>
    <w:rsid w:val="00567944"/>
    <w:rsid w:val="00567BA7"/>
    <w:rsid w:val="00567BE8"/>
    <w:rsid w:val="00567D61"/>
    <w:rsid w:val="00567E48"/>
    <w:rsid w:val="00567FD0"/>
    <w:rsid w:val="005700F7"/>
    <w:rsid w:val="005702E3"/>
    <w:rsid w:val="005703E5"/>
    <w:rsid w:val="005704B6"/>
    <w:rsid w:val="0057058C"/>
    <w:rsid w:val="005707BE"/>
    <w:rsid w:val="005707E6"/>
    <w:rsid w:val="00570AB2"/>
    <w:rsid w:val="00570BB0"/>
    <w:rsid w:val="00570C4B"/>
    <w:rsid w:val="00570C9D"/>
    <w:rsid w:val="00570D9F"/>
    <w:rsid w:val="00570E4A"/>
    <w:rsid w:val="00571058"/>
    <w:rsid w:val="005712C5"/>
    <w:rsid w:val="005718BE"/>
    <w:rsid w:val="00571A97"/>
    <w:rsid w:val="00571C4B"/>
    <w:rsid w:val="00571C67"/>
    <w:rsid w:val="00571CF2"/>
    <w:rsid w:val="00571D45"/>
    <w:rsid w:val="00571F35"/>
    <w:rsid w:val="00572197"/>
    <w:rsid w:val="00572198"/>
    <w:rsid w:val="0057224A"/>
    <w:rsid w:val="005724BC"/>
    <w:rsid w:val="005724FF"/>
    <w:rsid w:val="0057256F"/>
    <w:rsid w:val="005725E0"/>
    <w:rsid w:val="00572618"/>
    <w:rsid w:val="00572675"/>
    <w:rsid w:val="005727ED"/>
    <w:rsid w:val="0057281A"/>
    <w:rsid w:val="0057285C"/>
    <w:rsid w:val="00572A93"/>
    <w:rsid w:val="00572B1B"/>
    <w:rsid w:val="00572B80"/>
    <w:rsid w:val="00572C4E"/>
    <w:rsid w:val="00572EF9"/>
    <w:rsid w:val="00573273"/>
    <w:rsid w:val="005732AC"/>
    <w:rsid w:val="005732F5"/>
    <w:rsid w:val="00573391"/>
    <w:rsid w:val="00573599"/>
    <w:rsid w:val="005736AB"/>
    <w:rsid w:val="005736D8"/>
    <w:rsid w:val="00573B5A"/>
    <w:rsid w:val="00573B7D"/>
    <w:rsid w:val="00573D9A"/>
    <w:rsid w:val="00573EB2"/>
    <w:rsid w:val="0057408D"/>
    <w:rsid w:val="005740E1"/>
    <w:rsid w:val="00574478"/>
    <w:rsid w:val="005745EE"/>
    <w:rsid w:val="00574642"/>
    <w:rsid w:val="00574901"/>
    <w:rsid w:val="00574B03"/>
    <w:rsid w:val="00574BAD"/>
    <w:rsid w:val="00574BC3"/>
    <w:rsid w:val="00574BC5"/>
    <w:rsid w:val="00574BE8"/>
    <w:rsid w:val="00574CBA"/>
    <w:rsid w:val="00574D3C"/>
    <w:rsid w:val="00574FCC"/>
    <w:rsid w:val="00575020"/>
    <w:rsid w:val="005752A0"/>
    <w:rsid w:val="0057530F"/>
    <w:rsid w:val="0057561A"/>
    <w:rsid w:val="00575700"/>
    <w:rsid w:val="00575769"/>
    <w:rsid w:val="005757B1"/>
    <w:rsid w:val="00575927"/>
    <w:rsid w:val="00575936"/>
    <w:rsid w:val="00575A27"/>
    <w:rsid w:val="00575A5C"/>
    <w:rsid w:val="00575AA4"/>
    <w:rsid w:val="00575D5A"/>
    <w:rsid w:val="00575E55"/>
    <w:rsid w:val="005762A4"/>
    <w:rsid w:val="005763F1"/>
    <w:rsid w:val="00576696"/>
    <w:rsid w:val="00576885"/>
    <w:rsid w:val="005768AA"/>
    <w:rsid w:val="00576ACA"/>
    <w:rsid w:val="00576BC0"/>
    <w:rsid w:val="00576E1D"/>
    <w:rsid w:val="0057706F"/>
    <w:rsid w:val="0057726B"/>
    <w:rsid w:val="005774B5"/>
    <w:rsid w:val="0057763E"/>
    <w:rsid w:val="005779E2"/>
    <w:rsid w:val="00577E38"/>
    <w:rsid w:val="00577E74"/>
    <w:rsid w:val="00577F70"/>
    <w:rsid w:val="00577FF5"/>
    <w:rsid w:val="0058000F"/>
    <w:rsid w:val="00580030"/>
    <w:rsid w:val="0058007A"/>
    <w:rsid w:val="00580185"/>
    <w:rsid w:val="005803FA"/>
    <w:rsid w:val="00580477"/>
    <w:rsid w:val="005804ED"/>
    <w:rsid w:val="005804F2"/>
    <w:rsid w:val="0058077F"/>
    <w:rsid w:val="00580B56"/>
    <w:rsid w:val="00580D0D"/>
    <w:rsid w:val="00580E73"/>
    <w:rsid w:val="00581132"/>
    <w:rsid w:val="00581158"/>
    <w:rsid w:val="005811E1"/>
    <w:rsid w:val="00581488"/>
    <w:rsid w:val="005815E3"/>
    <w:rsid w:val="00581763"/>
    <w:rsid w:val="005818F2"/>
    <w:rsid w:val="005819BC"/>
    <w:rsid w:val="00581A26"/>
    <w:rsid w:val="00581CCF"/>
    <w:rsid w:val="00581F24"/>
    <w:rsid w:val="00581FC3"/>
    <w:rsid w:val="00582042"/>
    <w:rsid w:val="0058213F"/>
    <w:rsid w:val="005821A4"/>
    <w:rsid w:val="0058228A"/>
    <w:rsid w:val="00582389"/>
    <w:rsid w:val="0058249B"/>
    <w:rsid w:val="00582539"/>
    <w:rsid w:val="005826AC"/>
    <w:rsid w:val="0058288E"/>
    <w:rsid w:val="005829F1"/>
    <w:rsid w:val="00582A53"/>
    <w:rsid w:val="00582A77"/>
    <w:rsid w:val="00582ADF"/>
    <w:rsid w:val="00582B82"/>
    <w:rsid w:val="00582BB6"/>
    <w:rsid w:val="00582C35"/>
    <w:rsid w:val="00582EA4"/>
    <w:rsid w:val="005834A5"/>
    <w:rsid w:val="0058376D"/>
    <w:rsid w:val="00583B8C"/>
    <w:rsid w:val="00583CCE"/>
    <w:rsid w:val="00583CF4"/>
    <w:rsid w:val="00583D01"/>
    <w:rsid w:val="00583DF1"/>
    <w:rsid w:val="00583DFA"/>
    <w:rsid w:val="00583EEA"/>
    <w:rsid w:val="00583FD1"/>
    <w:rsid w:val="00584270"/>
    <w:rsid w:val="00584335"/>
    <w:rsid w:val="0058464D"/>
    <w:rsid w:val="00584663"/>
    <w:rsid w:val="00584732"/>
    <w:rsid w:val="005847A2"/>
    <w:rsid w:val="00584922"/>
    <w:rsid w:val="005849BD"/>
    <w:rsid w:val="005849D8"/>
    <w:rsid w:val="00584AF3"/>
    <w:rsid w:val="00584B7B"/>
    <w:rsid w:val="00584D2C"/>
    <w:rsid w:val="00584E05"/>
    <w:rsid w:val="00584E29"/>
    <w:rsid w:val="00584E40"/>
    <w:rsid w:val="00584EF9"/>
    <w:rsid w:val="00585012"/>
    <w:rsid w:val="005851A7"/>
    <w:rsid w:val="005851C6"/>
    <w:rsid w:val="005852C4"/>
    <w:rsid w:val="00585422"/>
    <w:rsid w:val="0058550B"/>
    <w:rsid w:val="00585512"/>
    <w:rsid w:val="005856B5"/>
    <w:rsid w:val="005857DC"/>
    <w:rsid w:val="0058585E"/>
    <w:rsid w:val="00585877"/>
    <w:rsid w:val="00585A23"/>
    <w:rsid w:val="00585AD3"/>
    <w:rsid w:val="00585AD7"/>
    <w:rsid w:val="00585CCD"/>
    <w:rsid w:val="00585D96"/>
    <w:rsid w:val="00586294"/>
    <w:rsid w:val="00586311"/>
    <w:rsid w:val="00586403"/>
    <w:rsid w:val="005864F1"/>
    <w:rsid w:val="005867D3"/>
    <w:rsid w:val="005868F6"/>
    <w:rsid w:val="00586993"/>
    <w:rsid w:val="005869D1"/>
    <w:rsid w:val="00586A8E"/>
    <w:rsid w:val="00586D17"/>
    <w:rsid w:val="00586D72"/>
    <w:rsid w:val="00586D9F"/>
    <w:rsid w:val="00587002"/>
    <w:rsid w:val="00587039"/>
    <w:rsid w:val="00587114"/>
    <w:rsid w:val="00587141"/>
    <w:rsid w:val="00587292"/>
    <w:rsid w:val="005872A9"/>
    <w:rsid w:val="005872D1"/>
    <w:rsid w:val="005874F7"/>
    <w:rsid w:val="00587529"/>
    <w:rsid w:val="0058764B"/>
    <w:rsid w:val="00587951"/>
    <w:rsid w:val="005879B6"/>
    <w:rsid w:val="00587B4E"/>
    <w:rsid w:val="00587D3C"/>
    <w:rsid w:val="00587D6C"/>
    <w:rsid w:val="00587EE3"/>
    <w:rsid w:val="00590024"/>
    <w:rsid w:val="005900CC"/>
    <w:rsid w:val="00590253"/>
    <w:rsid w:val="00590326"/>
    <w:rsid w:val="0059032E"/>
    <w:rsid w:val="00590414"/>
    <w:rsid w:val="005905F0"/>
    <w:rsid w:val="005906B3"/>
    <w:rsid w:val="005906D6"/>
    <w:rsid w:val="0059073E"/>
    <w:rsid w:val="00590742"/>
    <w:rsid w:val="00590783"/>
    <w:rsid w:val="0059085E"/>
    <w:rsid w:val="00590B04"/>
    <w:rsid w:val="00590B96"/>
    <w:rsid w:val="00590BFB"/>
    <w:rsid w:val="00590D03"/>
    <w:rsid w:val="00590D32"/>
    <w:rsid w:val="00590DB4"/>
    <w:rsid w:val="00590DBC"/>
    <w:rsid w:val="005910CE"/>
    <w:rsid w:val="0059116D"/>
    <w:rsid w:val="005911C8"/>
    <w:rsid w:val="0059120E"/>
    <w:rsid w:val="005912EE"/>
    <w:rsid w:val="005913B1"/>
    <w:rsid w:val="00591404"/>
    <w:rsid w:val="0059182A"/>
    <w:rsid w:val="00591AC9"/>
    <w:rsid w:val="00591BB5"/>
    <w:rsid w:val="00591CB7"/>
    <w:rsid w:val="00591DAC"/>
    <w:rsid w:val="00592135"/>
    <w:rsid w:val="00592487"/>
    <w:rsid w:val="005925EC"/>
    <w:rsid w:val="0059270B"/>
    <w:rsid w:val="00592712"/>
    <w:rsid w:val="005927B8"/>
    <w:rsid w:val="00592914"/>
    <w:rsid w:val="0059292D"/>
    <w:rsid w:val="00592965"/>
    <w:rsid w:val="00592DBD"/>
    <w:rsid w:val="00592DC8"/>
    <w:rsid w:val="00592FF3"/>
    <w:rsid w:val="005931CD"/>
    <w:rsid w:val="0059334C"/>
    <w:rsid w:val="00593723"/>
    <w:rsid w:val="00593839"/>
    <w:rsid w:val="00593919"/>
    <w:rsid w:val="00593AB5"/>
    <w:rsid w:val="00593DD5"/>
    <w:rsid w:val="00593EB2"/>
    <w:rsid w:val="00593EE5"/>
    <w:rsid w:val="00594014"/>
    <w:rsid w:val="0059431D"/>
    <w:rsid w:val="00594352"/>
    <w:rsid w:val="0059457A"/>
    <w:rsid w:val="00594659"/>
    <w:rsid w:val="00594734"/>
    <w:rsid w:val="0059475D"/>
    <w:rsid w:val="005947BB"/>
    <w:rsid w:val="0059495A"/>
    <w:rsid w:val="00594BFD"/>
    <w:rsid w:val="005950B4"/>
    <w:rsid w:val="005953F9"/>
    <w:rsid w:val="00595694"/>
    <w:rsid w:val="0059584E"/>
    <w:rsid w:val="005958D2"/>
    <w:rsid w:val="0059598C"/>
    <w:rsid w:val="00595A68"/>
    <w:rsid w:val="00595B1C"/>
    <w:rsid w:val="00595B88"/>
    <w:rsid w:val="00595CB9"/>
    <w:rsid w:val="00596047"/>
    <w:rsid w:val="0059637E"/>
    <w:rsid w:val="005963AC"/>
    <w:rsid w:val="00596494"/>
    <w:rsid w:val="005967E3"/>
    <w:rsid w:val="00596940"/>
    <w:rsid w:val="00596968"/>
    <w:rsid w:val="005969AD"/>
    <w:rsid w:val="00596AF0"/>
    <w:rsid w:val="00596AFF"/>
    <w:rsid w:val="00597262"/>
    <w:rsid w:val="005972BE"/>
    <w:rsid w:val="005973B9"/>
    <w:rsid w:val="00597464"/>
    <w:rsid w:val="00597482"/>
    <w:rsid w:val="005974CE"/>
    <w:rsid w:val="005975FF"/>
    <w:rsid w:val="00597A1A"/>
    <w:rsid w:val="00597A2D"/>
    <w:rsid w:val="00597BA6"/>
    <w:rsid w:val="00597C75"/>
    <w:rsid w:val="00597F56"/>
    <w:rsid w:val="005A0163"/>
    <w:rsid w:val="005A0185"/>
    <w:rsid w:val="005A03C9"/>
    <w:rsid w:val="005A03F3"/>
    <w:rsid w:val="005A0612"/>
    <w:rsid w:val="005A078D"/>
    <w:rsid w:val="005A0811"/>
    <w:rsid w:val="005A097E"/>
    <w:rsid w:val="005A09BF"/>
    <w:rsid w:val="005A0AD5"/>
    <w:rsid w:val="005A0D41"/>
    <w:rsid w:val="005A0D49"/>
    <w:rsid w:val="005A0E47"/>
    <w:rsid w:val="005A0EAE"/>
    <w:rsid w:val="005A0EB3"/>
    <w:rsid w:val="005A0F06"/>
    <w:rsid w:val="005A10C8"/>
    <w:rsid w:val="005A1290"/>
    <w:rsid w:val="005A1333"/>
    <w:rsid w:val="005A1334"/>
    <w:rsid w:val="005A1390"/>
    <w:rsid w:val="005A13FF"/>
    <w:rsid w:val="005A155C"/>
    <w:rsid w:val="005A15B2"/>
    <w:rsid w:val="005A16F8"/>
    <w:rsid w:val="005A17B8"/>
    <w:rsid w:val="005A1A6B"/>
    <w:rsid w:val="005A1A8B"/>
    <w:rsid w:val="005A1C18"/>
    <w:rsid w:val="005A1E8B"/>
    <w:rsid w:val="005A206C"/>
    <w:rsid w:val="005A2234"/>
    <w:rsid w:val="005A224C"/>
    <w:rsid w:val="005A237A"/>
    <w:rsid w:val="005A2419"/>
    <w:rsid w:val="005A24AD"/>
    <w:rsid w:val="005A272D"/>
    <w:rsid w:val="005A28B0"/>
    <w:rsid w:val="005A2A1C"/>
    <w:rsid w:val="005A2AA8"/>
    <w:rsid w:val="005A2AD3"/>
    <w:rsid w:val="005A2E27"/>
    <w:rsid w:val="005A2F97"/>
    <w:rsid w:val="005A2FEE"/>
    <w:rsid w:val="005A3172"/>
    <w:rsid w:val="005A3176"/>
    <w:rsid w:val="005A32BC"/>
    <w:rsid w:val="005A3338"/>
    <w:rsid w:val="005A33C2"/>
    <w:rsid w:val="005A35B1"/>
    <w:rsid w:val="005A379D"/>
    <w:rsid w:val="005A37FA"/>
    <w:rsid w:val="005A3814"/>
    <w:rsid w:val="005A38FA"/>
    <w:rsid w:val="005A3BE2"/>
    <w:rsid w:val="005A3D69"/>
    <w:rsid w:val="005A3D75"/>
    <w:rsid w:val="005A4003"/>
    <w:rsid w:val="005A4144"/>
    <w:rsid w:val="005A42B3"/>
    <w:rsid w:val="005A445E"/>
    <w:rsid w:val="005A44D8"/>
    <w:rsid w:val="005A44DD"/>
    <w:rsid w:val="005A44ED"/>
    <w:rsid w:val="005A45E3"/>
    <w:rsid w:val="005A4650"/>
    <w:rsid w:val="005A46D4"/>
    <w:rsid w:val="005A473F"/>
    <w:rsid w:val="005A4781"/>
    <w:rsid w:val="005A49AF"/>
    <w:rsid w:val="005A4AC2"/>
    <w:rsid w:val="005A4AF6"/>
    <w:rsid w:val="005A4C99"/>
    <w:rsid w:val="005A4CFF"/>
    <w:rsid w:val="005A4ED9"/>
    <w:rsid w:val="005A500C"/>
    <w:rsid w:val="005A50F7"/>
    <w:rsid w:val="005A5107"/>
    <w:rsid w:val="005A5446"/>
    <w:rsid w:val="005A5469"/>
    <w:rsid w:val="005A54A5"/>
    <w:rsid w:val="005A59C3"/>
    <w:rsid w:val="005A5A43"/>
    <w:rsid w:val="005A5BF7"/>
    <w:rsid w:val="005A5D96"/>
    <w:rsid w:val="005A5DDA"/>
    <w:rsid w:val="005A5E4D"/>
    <w:rsid w:val="005A5E7D"/>
    <w:rsid w:val="005A5F33"/>
    <w:rsid w:val="005A5FD2"/>
    <w:rsid w:val="005A5FFC"/>
    <w:rsid w:val="005A601D"/>
    <w:rsid w:val="005A614E"/>
    <w:rsid w:val="005A6214"/>
    <w:rsid w:val="005A649C"/>
    <w:rsid w:val="005A6628"/>
    <w:rsid w:val="005A6665"/>
    <w:rsid w:val="005A6693"/>
    <w:rsid w:val="005A6800"/>
    <w:rsid w:val="005A6845"/>
    <w:rsid w:val="005A69A3"/>
    <w:rsid w:val="005A6A00"/>
    <w:rsid w:val="005A6A6B"/>
    <w:rsid w:val="005A6B85"/>
    <w:rsid w:val="005A6F3D"/>
    <w:rsid w:val="005A6F49"/>
    <w:rsid w:val="005A6FD4"/>
    <w:rsid w:val="005A70FE"/>
    <w:rsid w:val="005A71D4"/>
    <w:rsid w:val="005A728E"/>
    <w:rsid w:val="005A731E"/>
    <w:rsid w:val="005A749F"/>
    <w:rsid w:val="005A7582"/>
    <w:rsid w:val="005A769E"/>
    <w:rsid w:val="005A7793"/>
    <w:rsid w:val="005A7983"/>
    <w:rsid w:val="005A79FA"/>
    <w:rsid w:val="005A7A31"/>
    <w:rsid w:val="005A7AB0"/>
    <w:rsid w:val="005A7AC1"/>
    <w:rsid w:val="005A7F62"/>
    <w:rsid w:val="005A7F96"/>
    <w:rsid w:val="005B0009"/>
    <w:rsid w:val="005B001C"/>
    <w:rsid w:val="005B013A"/>
    <w:rsid w:val="005B0280"/>
    <w:rsid w:val="005B05D3"/>
    <w:rsid w:val="005B0616"/>
    <w:rsid w:val="005B073C"/>
    <w:rsid w:val="005B0760"/>
    <w:rsid w:val="005B098C"/>
    <w:rsid w:val="005B0AAE"/>
    <w:rsid w:val="005B0C93"/>
    <w:rsid w:val="005B0D3E"/>
    <w:rsid w:val="005B0D67"/>
    <w:rsid w:val="005B0E1F"/>
    <w:rsid w:val="005B0F65"/>
    <w:rsid w:val="005B0FEF"/>
    <w:rsid w:val="005B10A1"/>
    <w:rsid w:val="005B110D"/>
    <w:rsid w:val="005B12E5"/>
    <w:rsid w:val="005B1335"/>
    <w:rsid w:val="005B13BE"/>
    <w:rsid w:val="005B165B"/>
    <w:rsid w:val="005B1736"/>
    <w:rsid w:val="005B1796"/>
    <w:rsid w:val="005B18C1"/>
    <w:rsid w:val="005B1A70"/>
    <w:rsid w:val="005B1A88"/>
    <w:rsid w:val="005B1A89"/>
    <w:rsid w:val="005B1B80"/>
    <w:rsid w:val="005B1BCF"/>
    <w:rsid w:val="005B1D40"/>
    <w:rsid w:val="005B1E0E"/>
    <w:rsid w:val="005B1E45"/>
    <w:rsid w:val="005B21CD"/>
    <w:rsid w:val="005B234D"/>
    <w:rsid w:val="005B23D8"/>
    <w:rsid w:val="005B23F0"/>
    <w:rsid w:val="005B2443"/>
    <w:rsid w:val="005B2504"/>
    <w:rsid w:val="005B25A0"/>
    <w:rsid w:val="005B27B0"/>
    <w:rsid w:val="005B2842"/>
    <w:rsid w:val="005B28BB"/>
    <w:rsid w:val="005B2935"/>
    <w:rsid w:val="005B2B22"/>
    <w:rsid w:val="005B2C85"/>
    <w:rsid w:val="005B2D0C"/>
    <w:rsid w:val="005B2DB7"/>
    <w:rsid w:val="005B2EC2"/>
    <w:rsid w:val="005B3426"/>
    <w:rsid w:val="005B3DA0"/>
    <w:rsid w:val="005B4050"/>
    <w:rsid w:val="005B4177"/>
    <w:rsid w:val="005B42B7"/>
    <w:rsid w:val="005B46D6"/>
    <w:rsid w:val="005B4888"/>
    <w:rsid w:val="005B4977"/>
    <w:rsid w:val="005B4A72"/>
    <w:rsid w:val="005B4B64"/>
    <w:rsid w:val="005B4E04"/>
    <w:rsid w:val="005B4E0A"/>
    <w:rsid w:val="005B4F08"/>
    <w:rsid w:val="005B4F77"/>
    <w:rsid w:val="005B4FA7"/>
    <w:rsid w:val="005B5093"/>
    <w:rsid w:val="005B51C8"/>
    <w:rsid w:val="005B526C"/>
    <w:rsid w:val="005B5491"/>
    <w:rsid w:val="005B54B3"/>
    <w:rsid w:val="005B55ED"/>
    <w:rsid w:val="005B5ADF"/>
    <w:rsid w:val="005B5D13"/>
    <w:rsid w:val="005B5D31"/>
    <w:rsid w:val="005B5DDF"/>
    <w:rsid w:val="005B5E21"/>
    <w:rsid w:val="005B5E26"/>
    <w:rsid w:val="005B5ECB"/>
    <w:rsid w:val="005B6041"/>
    <w:rsid w:val="005B61A5"/>
    <w:rsid w:val="005B63B4"/>
    <w:rsid w:val="005B66FE"/>
    <w:rsid w:val="005B6996"/>
    <w:rsid w:val="005B6A63"/>
    <w:rsid w:val="005B6B04"/>
    <w:rsid w:val="005B6B4B"/>
    <w:rsid w:val="005B6B4F"/>
    <w:rsid w:val="005B6BD9"/>
    <w:rsid w:val="005B6BE2"/>
    <w:rsid w:val="005B6D63"/>
    <w:rsid w:val="005B6D9A"/>
    <w:rsid w:val="005B7003"/>
    <w:rsid w:val="005B714A"/>
    <w:rsid w:val="005B7178"/>
    <w:rsid w:val="005B736B"/>
    <w:rsid w:val="005B74A0"/>
    <w:rsid w:val="005B762D"/>
    <w:rsid w:val="005B788F"/>
    <w:rsid w:val="005B7950"/>
    <w:rsid w:val="005B7954"/>
    <w:rsid w:val="005B79B7"/>
    <w:rsid w:val="005B79E6"/>
    <w:rsid w:val="005B7AE8"/>
    <w:rsid w:val="005B7CCD"/>
    <w:rsid w:val="005B7D62"/>
    <w:rsid w:val="005B7D98"/>
    <w:rsid w:val="005C0000"/>
    <w:rsid w:val="005C003E"/>
    <w:rsid w:val="005C018F"/>
    <w:rsid w:val="005C01EE"/>
    <w:rsid w:val="005C0266"/>
    <w:rsid w:val="005C039F"/>
    <w:rsid w:val="005C044C"/>
    <w:rsid w:val="005C06FE"/>
    <w:rsid w:val="005C08F9"/>
    <w:rsid w:val="005C09FD"/>
    <w:rsid w:val="005C0B76"/>
    <w:rsid w:val="005C0BC8"/>
    <w:rsid w:val="005C0C51"/>
    <w:rsid w:val="005C0E19"/>
    <w:rsid w:val="005C0FD9"/>
    <w:rsid w:val="005C1036"/>
    <w:rsid w:val="005C1069"/>
    <w:rsid w:val="005C122E"/>
    <w:rsid w:val="005C1254"/>
    <w:rsid w:val="005C1421"/>
    <w:rsid w:val="005C1502"/>
    <w:rsid w:val="005C160A"/>
    <w:rsid w:val="005C17CC"/>
    <w:rsid w:val="005C18E3"/>
    <w:rsid w:val="005C191C"/>
    <w:rsid w:val="005C1AC5"/>
    <w:rsid w:val="005C1AFB"/>
    <w:rsid w:val="005C1B15"/>
    <w:rsid w:val="005C1EDA"/>
    <w:rsid w:val="005C1F34"/>
    <w:rsid w:val="005C2041"/>
    <w:rsid w:val="005C227E"/>
    <w:rsid w:val="005C22FC"/>
    <w:rsid w:val="005C231A"/>
    <w:rsid w:val="005C2376"/>
    <w:rsid w:val="005C24C5"/>
    <w:rsid w:val="005C2516"/>
    <w:rsid w:val="005C2526"/>
    <w:rsid w:val="005C2613"/>
    <w:rsid w:val="005C282D"/>
    <w:rsid w:val="005C2938"/>
    <w:rsid w:val="005C2B87"/>
    <w:rsid w:val="005C2B8E"/>
    <w:rsid w:val="005C2C08"/>
    <w:rsid w:val="005C2C95"/>
    <w:rsid w:val="005C3026"/>
    <w:rsid w:val="005C3177"/>
    <w:rsid w:val="005C3193"/>
    <w:rsid w:val="005C31E1"/>
    <w:rsid w:val="005C33B0"/>
    <w:rsid w:val="005C3582"/>
    <w:rsid w:val="005C362C"/>
    <w:rsid w:val="005C3933"/>
    <w:rsid w:val="005C393C"/>
    <w:rsid w:val="005C3A89"/>
    <w:rsid w:val="005C3BDB"/>
    <w:rsid w:val="005C3E05"/>
    <w:rsid w:val="005C3F42"/>
    <w:rsid w:val="005C4068"/>
    <w:rsid w:val="005C4080"/>
    <w:rsid w:val="005C40B8"/>
    <w:rsid w:val="005C4119"/>
    <w:rsid w:val="005C412F"/>
    <w:rsid w:val="005C41A9"/>
    <w:rsid w:val="005C4219"/>
    <w:rsid w:val="005C4233"/>
    <w:rsid w:val="005C45E4"/>
    <w:rsid w:val="005C45EC"/>
    <w:rsid w:val="005C464C"/>
    <w:rsid w:val="005C4767"/>
    <w:rsid w:val="005C4825"/>
    <w:rsid w:val="005C48BA"/>
    <w:rsid w:val="005C4A33"/>
    <w:rsid w:val="005C4C49"/>
    <w:rsid w:val="005C4DD1"/>
    <w:rsid w:val="005C4ED4"/>
    <w:rsid w:val="005C4F60"/>
    <w:rsid w:val="005C50AA"/>
    <w:rsid w:val="005C589C"/>
    <w:rsid w:val="005C58F0"/>
    <w:rsid w:val="005C5A41"/>
    <w:rsid w:val="005C5A7D"/>
    <w:rsid w:val="005C5B44"/>
    <w:rsid w:val="005C5CAB"/>
    <w:rsid w:val="005C5D0D"/>
    <w:rsid w:val="005C5DBC"/>
    <w:rsid w:val="005C5F90"/>
    <w:rsid w:val="005C5FA3"/>
    <w:rsid w:val="005C5FC8"/>
    <w:rsid w:val="005C6080"/>
    <w:rsid w:val="005C60DE"/>
    <w:rsid w:val="005C611C"/>
    <w:rsid w:val="005C636E"/>
    <w:rsid w:val="005C6422"/>
    <w:rsid w:val="005C66BB"/>
    <w:rsid w:val="005C6AA5"/>
    <w:rsid w:val="005C6B95"/>
    <w:rsid w:val="005C6C67"/>
    <w:rsid w:val="005C6CF6"/>
    <w:rsid w:val="005C6DDF"/>
    <w:rsid w:val="005C701D"/>
    <w:rsid w:val="005C70B2"/>
    <w:rsid w:val="005C73D8"/>
    <w:rsid w:val="005C7543"/>
    <w:rsid w:val="005C763E"/>
    <w:rsid w:val="005C7772"/>
    <w:rsid w:val="005C793F"/>
    <w:rsid w:val="005C7A18"/>
    <w:rsid w:val="005C7B5D"/>
    <w:rsid w:val="005C7C39"/>
    <w:rsid w:val="005C7DBC"/>
    <w:rsid w:val="005C7E39"/>
    <w:rsid w:val="005D00DB"/>
    <w:rsid w:val="005D02F0"/>
    <w:rsid w:val="005D0361"/>
    <w:rsid w:val="005D0559"/>
    <w:rsid w:val="005D0605"/>
    <w:rsid w:val="005D060C"/>
    <w:rsid w:val="005D087B"/>
    <w:rsid w:val="005D0885"/>
    <w:rsid w:val="005D08AA"/>
    <w:rsid w:val="005D08CB"/>
    <w:rsid w:val="005D0A09"/>
    <w:rsid w:val="005D0A31"/>
    <w:rsid w:val="005D0A36"/>
    <w:rsid w:val="005D0AD4"/>
    <w:rsid w:val="005D0B43"/>
    <w:rsid w:val="005D0CF6"/>
    <w:rsid w:val="005D0DD2"/>
    <w:rsid w:val="005D0F6C"/>
    <w:rsid w:val="005D0FAA"/>
    <w:rsid w:val="005D1034"/>
    <w:rsid w:val="005D1065"/>
    <w:rsid w:val="005D12DB"/>
    <w:rsid w:val="005D1534"/>
    <w:rsid w:val="005D1723"/>
    <w:rsid w:val="005D188B"/>
    <w:rsid w:val="005D1B39"/>
    <w:rsid w:val="005D1BD0"/>
    <w:rsid w:val="005D2164"/>
    <w:rsid w:val="005D21B7"/>
    <w:rsid w:val="005D21FD"/>
    <w:rsid w:val="005D2264"/>
    <w:rsid w:val="005D24D9"/>
    <w:rsid w:val="005D251E"/>
    <w:rsid w:val="005D272C"/>
    <w:rsid w:val="005D2878"/>
    <w:rsid w:val="005D297E"/>
    <w:rsid w:val="005D298F"/>
    <w:rsid w:val="005D299D"/>
    <w:rsid w:val="005D2BA4"/>
    <w:rsid w:val="005D2CFF"/>
    <w:rsid w:val="005D2EBC"/>
    <w:rsid w:val="005D2EFB"/>
    <w:rsid w:val="005D3017"/>
    <w:rsid w:val="005D31B3"/>
    <w:rsid w:val="005D3237"/>
    <w:rsid w:val="005D3272"/>
    <w:rsid w:val="005D331C"/>
    <w:rsid w:val="005D33D9"/>
    <w:rsid w:val="005D36EF"/>
    <w:rsid w:val="005D3CE6"/>
    <w:rsid w:val="005D3D04"/>
    <w:rsid w:val="005D3D73"/>
    <w:rsid w:val="005D3E84"/>
    <w:rsid w:val="005D3F1F"/>
    <w:rsid w:val="005D3F66"/>
    <w:rsid w:val="005D4087"/>
    <w:rsid w:val="005D40EF"/>
    <w:rsid w:val="005D411A"/>
    <w:rsid w:val="005D4157"/>
    <w:rsid w:val="005D41A5"/>
    <w:rsid w:val="005D4756"/>
    <w:rsid w:val="005D47F8"/>
    <w:rsid w:val="005D4ADC"/>
    <w:rsid w:val="005D4B0C"/>
    <w:rsid w:val="005D4DCB"/>
    <w:rsid w:val="005D512A"/>
    <w:rsid w:val="005D517D"/>
    <w:rsid w:val="005D51B2"/>
    <w:rsid w:val="005D52D5"/>
    <w:rsid w:val="005D52E0"/>
    <w:rsid w:val="005D5359"/>
    <w:rsid w:val="005D55E8"/>
    <w:rsid w:val="005D5843"/>
    <w:rsid w:val="005D58F8"/>
    <w:rsid w:val="005D598F"/>
    <w:rsid w:val="005D5A27"/>
    <w:rsid w:val="005D5B53"/>
    <w:rsid w:val="005D5B55"/>
    <w:rsid w:val="005D5B5E"/>
    <w:rsid w:val="005D5BE8"/>
    <w:rsid w:val="005D5E06"/>
    <w:rsid w:val="005D5EEB"/>
    <w:rsid w:val="005D5F21"/>
    <w:rsid w:val="005D620D"/>
    <w:rsid w:val="005D63E0"/>
    <w:rsid w:val="005D6419"/>
    <w:rsid w:val="005D66A7"/>
    <w:rsid w:val="005D68BB"/>
    <w:rsid w:val="005D68CB"/>
    <w:rsid w:val="005D68FC"/>
    <w:rsid w:val="005D6D2C"/>
    <w:rsid w:val="005D6D8A"/>
    <w:rsid w:val="005D6DC1"/>
    <w:rsid w:val="005D6F65"/>
    <w:rsid w:val="005D6FEB"/>
    <w:rsid w:val="005D7018"/>
    <w:rsid w:val="005D717A"/>
    <w:rsid w:val="005D7226"/>
    <w:rsid w:val="005D72A5"/>
    <w:rsid w:val="005D74BE"/>
    <w:rsid w:val="005D76DC"/>
    <w:rsid w:val="005D76F8"/>
    <w:rsid w:val="005D77D5"/>
    <w:rsid w:val="005D7831"/>
    <w:rsid w:val="005D79C1"/>
    <w:rsid w:val="005D79EF"/>
    <w:rsid w:val="005D7AEB"/>
    <w:rsid w:val="005D7CBF"/>
    <w:rsid w:val="005D7CF9"/>
    <w:rsid w:val="005D7F28"/>
    <w:rsid w:val="005D7F3C"/>
    <w:rsid w:val="005D7F44"/>
    <w:rsid w:val="005D7F6B"/>
    <w:rsid w:val="005E02A0"/>
    <w:rsid w:val="005E045B"/>
    <w:rsid w:val="005E04F5"/>
    <w:rsid w:val="005E0561"/>
    <w:rsid w:val="005E064A"/>
    <w:rsid w:val="005E07BC"/>
    <w:rsid w:val="005E07E3"/>
    <w:rsid w:val="005E09B2"/>
    <w:rsid w:val="005E09D2"/>
    <w:rsid w:val="005E0A68"/>
    <w:rsid w:val="005E0BB2"/>
    <w:rsid w:val="005E0C6E"/>
    <w:rsid w:val="005E0DD0"/>
    <w:rsid w:val="005E0DF0"/>
    <w:rsid w:val="005E0E2E"/>
    <w:rsid w:val="005E0EBC"/>
    <w:rsid w:val="005E11FF"/>
    <w:rsid w:val="005E1260"/>
    <w:rsid w:val="005E136E"/>
    <w:rsid w:val="005E14FC"/>
    <w:rsid w:val="005E15FF"/>
    <w:rsid w:val="005E1666"/>
    <w:rsid w:val="005E1679"/>
    <w:rsid w:val="005E1840"/>
    <w:rsid w:val="005E1AB6"/>
    <w:rsid w:val="005E1C02"/>
    <w:rsid w:val="005E1D43"/>
    <w:rsid w:val="005E1F33"/>
    <w:rsid w:val="005E22F9"/>
    <w:rsid w:val="005E24E1"/>
    <w:rsid w:val="005E25A6"/>
    <w:rsid w:val="005E279D"/>
    <w:rsid w:val="005E27BE"/>
    <w:rsid w:val="005E293E"/>
    <w:rsid w:val="005E2AF2"/>
    <w:rsid w:val="005E2B01"/>
    <w:rsid w:val="005E2B3F"/>
    <w:rsid w:val="005E3084"/>
    <w:rsid w:val="005E30BC"/>
    <w:rsid w:val="005E3181"/>
    <w:rsid w:val="005E3448"/>
    <w:rsid w:val="005E37DC"/>
    <w:rsid w:val="005E3A03"/>
    <w:rsid w:val="005E3A31"/>
    <w:rsid w:val="005E3A91"/>
    <w:rsid w:val="005E3B13"/>
    <w:rsid w:val="005E3B9F"/>
    <w:rsid w:val="005E3E82"/>
    <w:rsid w:val="005E4003"/>
    <w:rsid w:val="005E4018"/>
    <w:rsid w:val="005E406F"/>
    <w:rsid w:val="005E4365"/>
    <w:rsid w:val="005E439E"/>
    <w:rsid w:val="005E4604"/>
    <w:rsid w:val="005E462F"/>
    <w:rsid w:val="005E4A5D"/>
    <w:rsid w:val="005E4B27"/>
    <w:rsid w:val="005E4CFC"/>
    <w:rsid w:val="005E5060"/>
    <w:rsid w:val="005E50F5"/>
    <w:rsid w:val="005E5130"/>
    <w:rsid w:val="005E5134"/>
    <w:rsid w:val="005E5395"/>
    <w:rsid w:val="005E5452"/>
    <w:rsid w:val="005E5489"/>
    <w:rsid w:val="005E54A4"/>
    <w:rsid w:val="005E5719"/>
    <w:rsid w:val="005E5930"/>
    <w:rsid w:val="005E5D44"/>
    <w:rsid w:val="005E5EB2"/>
    <w:rsid w:val="005E6089"/>
    <w:rsid w:val="005E6096"/>
    <w:rsid w:val="005E60D6"/>
    <w:rsid w:val="005E632E"/>
    <w:rsid w:val="005E6456"/>
    <w:rsid w:val="005E6567"/>
    <w:rsid w:val="005E6587"/>
    <w:rsid w:val="005E6604"/>
    <w:rsid w:val="005E6692"/>
    <w:rsid w:val="005E6791"/>
    <w:rsid w:val="005E69CD"/>
    <w:rsid w:val="005E6A92"/>
    <w:rsid w:val="005E6CD5"/>
    <w:rsid w:val="005E6D39"/>
    <w:rsid w:val="005E6EA8"/>
    <w:rsid w:val="005E6F7D"/>
    <w:rsid w:val="005E6FEF"/>
    <w:rsid w:val="005E717F"/>
    <w:rsid w:val="005E71A5"/>
    <w:rsid w:val="005E72EB"/>
    <w:rsid w:val="005E7369"/>
    <w:rsid w:val="005E745D"/>
    <w:rsid w:val="005E7740"/>
    <w:rsid w:val="005E77B1"/>
    <w:rsid w:val="005E77CF"/>
    <w:rsid w:val="005E785F"/>
    <w:rsid w:val="005E7913"/>
    <w:rsid w:val="005E7C90"/>
    <w:rsid w:val="005F01B9"/>
    <w:rsid w:val="005F025B"/>
    <w:rsid w:val="005F0465"/>
    <w:rsid w:val="005F0493"/>
    <w:rsid w:val="005F05B9"/>
    <w:rsid w:val="005F05DE"/>
    <w:rsid w:val="005F062A"/>
    <w:rsid w:val="005F0672"/>
    <w:rsid w:val="005F0722"/>
    <w:rsid w:val="005F07D1"/>
    <w:rsid w:val="005F0848"/>
    <w:rsid w:val="005F0881"/>
    <w:rsid w:val="005F090D"/>
    <w:rsid w:val="005F0BD7"/>
    <w:rsid w:val="005F0C9D"/>
    <w:rsid w:val="005F0CBF"/>
    <w:rsid w:val="005F0CD1"/>
    <w:rsid w:val="005F0DAD"/>
    <w:rsid w:val="005F0FE8"/>
    <w:rsid w:val="005F100F"/>
    <w:rsid w:val="005F108C"/>
    <w:rsid w:val="005F1224"/>
    <w:rsid w:val="005F1376"/>
    <w:rsid w:val="005F156B"/>
    <w:rsid w:val="005F1784"/>
    <w:rsid w:val="005F19E2"/>
    <w:rsid w:val="005F1A54"/>
    <w:rsid w:val="005F1B4D"/>
    <w:rsid w:val="005F1C79"/>
    <w:rsid w:val="005F210B"/>
    <w:rsid w:val="005F21AD"/>
    <w:rsid w:val="005F25CA"/>
    <w:rsid w:val="005F2740"/>
    <w:rsid w:val="005F278C"/>
    <w:rsid w:val="005F29FF"/>
    <w:rsid w:val="005F2A24"/>
    <w:rsid w:val="005F2A2F"/>
    <w:rsid w:val="005F2BD4"/>
    <w:rsid w:val="005F2C15"/>
    <w:rsid w:val="005F2C61"/>
    <w:rsid w:val="005F2D48"/>
    <w:rsid w:val="005F2E88"/>
    <w:rsid w:val="005F2EBB"/>
    <w:rsid w:val="005F2FA8"/>
    <w:rsid w:val="005F31DD"/>
    <w:rsid w:val="005F34C0"/>
    <w:rsid w:val="005F3905"/>
    <w:rsid w:val="005F39E1"/>
    <w:rsid w:val="005F3C98"/>
    <w:rsid w:val="005F3EF8"/>
    <w:rsid w:val="005F402B"/>
    <w:rsid w:val="005F4473"/>
    <w:rsid w:val="005F449D"/>
    <w:rsid w:val="005F456D"/>
    <w:rsid w:val="005F459F"/>
    <w:rsid w:val="005F4606"/>
    <w:rsid w:val="005F4768"/>
    <w:rsid w:val="005F47B0"/>
    <w:rsid w:val="005F480C"/>
    <w:rsid w:val="005F485C"/>
    <w:rsid w:val="005F4A8A"/>
    <w:rsid w:val="005F4AC9"/>
    <w:rsid w:val="005F4B38"/>
    <w:rsid w:val="005F4B5E"/>
    <w:rsid w:val="005F4B98"/>
    <w:rsid w:val="005F4C5D"/>
    <w:rsid w:val="005F4D30"/>
    <w:rsid w:val="005F5012"/>
    <w:rsid w:val="005F50F7"/>
    <w:rsid w:val="005F5169"/>
    <w:rsid w:val="005F51DE"/>
    <w:rsid w:val="005F547E"/>
    <w:rsid w:val="005F55F8"/>
    <w:rsid w:val="005F5731"/>
    <w:rsid w:val="005F5753"/>
    <w:rsid w:val="005F58A3"/>
    <w:rsid w:val="005F5A12"/>
    <w:rsid w:val="005F5B1D"/>
    <w:rsid w:val="005F5B38"/>
    <w:rsid w:val="005F5DEC"/>
    <w:rsid w:val="005F5E9B"/>
    <w:rsid w:val="005F5EEA"/>
    <w:rsid w:val="005F611C"/>
    <w:rsid w:val="005F63D7"/>
    <w:rsid w:val="005F659E"/>
    <w:rsid w:val="005F6631"/>
    <w:rsid w:val="005F66B3"/>
    <w:rsid w:val="005F68DB"/>
    <w:rsid w:val="005F6979"/>
    <w:rsid w:val="005F6BC1"/>
    <w:rsid w:val="005F6C6B"/>
    <w:rsid w:val="005F6D31"/>
    <w:rsid w:val="005F6DB1"/>
    <w:rsid w:val="005F6E1D"/>
    <w:rsid w:val="005F73E1"/>
    <w:rsid w:val="005F759B"/>
    <w:rsid w:val="005F77C6"/>
    <w:rsid w:val="005F781C"/>
    <w:rsid w:val="005F7889"/>
    <w:rsid w:val="005F7ACB"/>
    <w:rsid w:val="005F7B07"/>
    <w:rsid w:val="005F7F4F"/>
    <w:rsid w:val="00600189"/>
    <w:rsid w:val="006001EB"/>
    <w:rsid w:val="0060022D"/>
    <w:rsid w:val="00600808"/>
    <w:rsid w:val="0060093C"/>
    <w:rsid w:val="00600AAA"/>
    <w:rsid w:val="00600D43"/>
    <w:rsid w:val="00600D60"/>
    <w:rsid w:val="00600DBB"/>
    <w:rsid w:val="00600E10"/>
    <w:rsid w:val="00601178"/>
    <w:rsid w:val="00601213"/>
    <w:rsid w:val="0060129A"/>
    <w:rsid w:val="00601558"/>
    <w:rsid w:val="00601630"/>
    <w:rsid w:val="00601736"/>
    <w:rsid w:val="006017B9"/>
    <w:rsid w:val="00601947"/>
    <w:rsid w:val="0060198D"/>
    <w:rsid w:val="00601B68"/>
    <w:rsid w:val="00601D2B"/>
    <w:rsid w:val="00601E7D"/>
    <w:rsid w:val="00602210"/>
    <w:rsid w:val="00602254"/>
    <w:rsid w:val="00602632"/>
    <w:rsid w:val="0060272F"/>
    <w:rsid w:val="0060299C"/>
    <w:rsid w:val="00602A74"/>
    <w:rsid w:val="00602BEE"/>
    <w:rsid w:val="00602BFC"/>
    <w:rsid w:val="00602C82"/>
    <w:rsid w:val="00602E08"/>
    <w:rsid w:val="0060321A"/>
    <w:rsid w:val="0060353A"/>
    <w:rsid w:val="006035C5"/>
    <w:rsid w:val="0060366A"/>
    <w:rsid w:val="00603B33"/>
    <w:rsid w:val="00603B59"/>
    <w:rsid w:val="00603E97"/>
    <w:rsid w:val="00603F97"/>
    <w:rsid w:val="006040A1"/>
    <w:rsid w:val="006040A9"/>
    <w:rsid w:val="00604117"/>
    <w:rsid w:val="006042D7"/>
    <w:rsid w:val="006044F0"/>
    <w:rsid w:val="00604659"/>
    <w:rsid w:val="0060493A"/>
    <w:rsid w:val="0060498C"/>
    <w:rsid w:val="006049E3"/>
    <w:rsid w:val="00604AF5"/>
    <w:rsid w:val="00604C6D"/>
    <w:rsid w:val="00604DBD"/>
    <w:rsid w:val="00604F07"/>
    <w:rsid w:val="00604F5F"/>
    <w:rsid w:val="00604FFE"/>
    <w:rsid w:val="0060507B"/>
    <w:rsid w:val="006051AD"/>
    <w:rsid w:val="00605320"/>
    <w:rsid w:val="00605416"/>
    <w:rsid w:val="00605532"/>
    <w:rsid w:val="0060559B"/>
    <w:rsid w:val="006056F8"/>
    <w:rsid w:val="0060576E"/>
    <w:rsid w:val="0060578A"/>
    <w:rsid w:val="00605793"/>
    <w:rsid w:val="006057C4"/>
    <w:rsid w:val="006057EF"/>
    <w:rsid w:val="00605D50"/>
    <w:rsid w:val="00605DFD"/>
    <w:rsid w:val="00605E11"/>
    <w:rsid w:val="00605E5B"/>
    <w:rsid w:val="00605E94"/>
    <w:rsid w:val="00605FE6"/>
    <w:rsid w:val="0060604E"/>
    <w:rsid w:val="0060613E"/>
    <w:rsid w:val="00606198"/>
    <w:rsid w:val="006061B6"/>
    <w:rsid w:val="006061DF"/>
    <w:rsid w:val="00606358"/>
    <w:rsid w:val="006064EA"/>
    <w:rsid w:val="00606507"/>
    <w:rsid w:val="00606738"/>
    <w:rsid w:val="0060679F"/>
    <w:rsid w:val="006067A2"/>
    <w:rsid w:val="0060683B"/>
    <w:rsid w:val="0060685F"/>
    <w:rsid w:val="00606911"/>
    <w:rsid w:val="006069CF"/>
    <w:rsid w:val="00606E84"/>
    <w:rsid w:val="006070D6"/>
    <w:rsid w:val="00607338"/>
    <w:rsid w:val="0060767A"/>
    <w:rsid w:val="00607846"/>
    <w:rsid w:val="0060789B"/>
    <w:rsid w:val="0060789C"/>
    <w:rsid w:val="00607A0E"/>
    <w:rsid w:val="00607B31"/>
    <w:rsid w:val="0061011A"/>
    <w:rsid w:val="00610136"/>
    <w:rsid w:val="0061026D"/>
    <w:rsid w:val="00610468"/>
    <w:rsid w:val="006105D1"/>
    <w:rsid w:val="006105E0"/>
    <w:rsid w:val="00610906"/>
    <w:rsid w:val="00610966"/>
    <w:rsid w:val="00610D8F"/>
    <w:rsid w:val="00610F10"/>
    <w:rsid w:val="00610F74"/>
    <w:rsid w:val="00610F90"/>
    <w:rsid w:val="00610FAC"/>
    <w:rsid w:val="0061108C"/>
    <w:rsid w:val="006110C6"/>
    <w:rsid w:val="00611434"/>
    <w:rsid w:val="00611524"/>
    <w:rsid w:val="00611525"/>
    <w:rsid w:val="0061170E"/>
    <w:rsid w:val="0061177F"/>
    <w:rsid w:val="006119A5"/>
    <w:rsid w:val="00611BB9"/>
    <w:rsid w:val="00611C4B"/>
    <w:rsid w:val="00611CE5"/>
    <w:rsid w:val="00611F8B"/>
    <w:rsid w:val="00611F94"/>
    <w:rsid w:val="00611FBC"/>
    <w:rsid w:val="006123A3"/>
    <w:rsid w:val="006125A7"/>
    <w:rsid w:val="006125F5"/>
    <w:rsid w:val="00612634"/>
    <w:rsid w:val="006126CD"/>
    <w:rsid w:val="0061274A"/>
    <w:rsid w:val="00612760"/>
    <w:rsid w:val="0061282E"/>
    <w:rsid w:val="00612838"/>
    <w:rsid w:val="006128F8"/>
    <w:rsid w:val="006128FF"/>
    <w:rsid w:val="0061295D"/>
    <w:rsid w:val="00612B14"/>
    <w:rsid w:val="00612EBE"/>
    <w:rsid w:val="00612F2E"/>
    <w:rsid w:val="00612FD9"/>
    <w:rsid w:val="0061334E"/>
    <w:rsid w:val="00613436"/>
    <w:rsid w:val="0061369B"/>
    <w:rsid w:val="00613948"/>
    <w:rsid w:val="00613DEC"/>
    <w:rsid w:val="00613F0C"/>
    <w:rsid w:val="006140C8"/>
    <w:rsid w:val="006140FE"/>
    <w:rsid w:val="00614161"/>
    <w:rsid w:val="0061433D"/>
    <w:rsid w:val="00614702"/>
    <w:rsid w:val="00614EE7"/>
    <w:rsid w:val="00614FA0"/>
    <w:rsid w:val="00615119"/>
    <w:rsid w:val="00615310"/>
    <w:rsid w:val="00615465"/>
    <w:rsid w:val="006154E9"/>
    <w:rsid w:val="006155DF"/>
    <w:rsid w:val="00615A18"/>
    <w:rsid w:val="00615AC1"/>
    <w:rsid w:val="00615BEC"/>
    <w:rsid w:val="00615D06"/>
    <w:rsid w:val="00615DBD"/>
    <w:rsid w:val="00615DEB"/>
    <w:rsid w:val="00615E69"/>
    <w:rsid w:val="00615EF7"/>
    <w:rsid w:val="00615F5E"/>
    <w:rsid w:val="00616049"/>
    <w:rsid w:val="00616159"/>
    <w:rsid w:val="006161CB"/>
    <w:rsid w:val="00616621"/>
    <w:rsid w:val="0061671B"/>
    <w:rsid w:val="00616756"/>
    <w:rsid w:val="006169CB"/>
    <w:rsid w:val="00616ADD"/>
    <w:rsid w:val="00616AFE"/>
    <w:rsid w:val="00616F98"/>
    <w:rsid w:val="0061729B"/>
    <w:rsid w:val="006172C9"/>
    <w:rsid w:val="006173C3"/>
    <w:rsid w:val="006175C5"/>
    <w:rsid w:val="00617789"/>
    <w:rsid w:val="0061785F"/>
    <w:rsid w:val="006179BC"/>
    <w:rsid w:val="00617A10"/>
    <w:rsid w:val="00617B62"/>
    <w:rsid w:val="006200FB"/>
    <w:rsid w:val="00620206"/>
    <w:rsid w:val="006203BB"/>
    <w:rsid w:val="00620410"/>
    <w:rsid w:val="00620496"/>
    <w:rsid w:val="0062052C"/>
    <w:rsid w:val="00620644"/>
    <w:rsid w:val="006206C9"/>
    <w:rsid w:val="006206D1"/>
    <w:rsid w:val="0062073B"/>
    <w:rsid w:val="006209B3"/>
    <w:rsid w:val="00620A0F"/>
    <w:rsid w:val="00620A64"/>
    <w:rsid w:val="00620AEF"/>
    <w:rsid w:val="00620B25"/>
    <w:rsid w:val="00620C1E"/>
    <w:rsid w:val="00620D90"/>
    <w:rsid w:val="00620D9E"/>
    <w:rsid w:val="00620F99"/>
    <w:rsid w:val="0062118D"/>
    <w:rsid w:val="00621415"/>
    <w:rsid w:val="006215DC"/>
    <w:rsid w:val="00621781"/>
    <w:rsid w:val="00621986"/>
    <w:rsid w:val="006219D4"/>
    <w:rsid w:val="00621A15"/>
    <w:rsid w:val="00621AF6"/>
    <w:rsid w:val="00621BE9"/>
    <w:rsid w:val="00621BEB"/>
    <w:rsid w:val="00621C0B"/>
    <w:rsid w:val="00621DED"/>
    <w:rsid w:val="00621E44"/>
    <w:rsid w:val="00621ED9"/>
    <w:rsid w:val="00621F95"/>
    <w:rsid w:val="00622079"/>
    <w:rsid w:val="006221BC"/>
    <w:rsid w:val="0062225F"/>
    <w:rsid w:val="0062243F"/>
    <w:rsid w:val="006226C5"/>
    <w:rsid w:val="0062274E"/>
    <w:rsid w:val="00622858"/>
    <w:rsid w:val="00622875"/>
    <w:rsid w:val="006228B3"/>
    <w:rsid w:val="00622A37"/>
    <w:rsid w:val="00622B2D"/>
    <w:rsid w:val="00622C5E"/>
    <w:rsid w:val="00622C97"/>
    <w:rsid w:val="00622E0D"/>
    <w:rsid w:val="00623200"/>
    <w:rsid w:val="0062321F"/>
    <w:rsid w:val="006232D5"/>
    <w:rsid w:val="006232F8"/>
    <w:rsid w:val="00623443"/>
    <w:rsid w:val="0062347A"/>
    <w:rsid w:val="006235F6"/>
    <w:rsid w:val="0062363E"/>
    <w:rsid w:val="006236E8"/>
    <w:rsid w:val="006237F4"/>
    <w:rsid w:val="00623A3C"/>
    <w:rsid w:val="00623AA7"/>
    <w:rsid w:val="00623B48"/>
    <w:rsid w:val="00623C2C"/>
    <w:rsid w:val="00623D4F"/>
    <w:rsid w:val="00623E62"/>
    <w:rsid w:val="0062401B"/>
    <w:rsid w:val="0062404D"/>
    <w:rsid w:val="00624183"/>
    <w:rsid w:val="006243BC"/>
    <w:rsid w:val="006244AC"/>
    <w:rsid w:val="006247BA"/>
    <w:rsid w:val="00624831"/>
    <w:rsid w:val="00624976"/>
    <w:rsid w:val="00624A8D"/>
    <w:rsid w:val="00624C6F"/>
    <w:rsid w:val="00624DBF"/>
    <w:rsid w:val="00624DEA"/>
    <w:rsid w:val="00624E04"/>
    <w:rsid w:val="00624E54"/>
    <w:rsid w:val="0062502D"/>
    <w:rsid w:val="00625086"/>
    <w:rsid w:val="0062517B"/>
    <w:rsid w:val="00625328"/>
    <w:rsid w:val="00625466"/>
    <w:rsid w:val="006254DE"/>
    <w:rsid w:val="006259EF"/>
    <w:rsid w:val="00625BA8"/>
    <w:rsid w:val="00625C08"/>
    <w:rsid w:val="00625D11"/>
    <w:rsid w:val="0062614D"/>
    <w:rsid w:val="006261ED"/>
    <w:rsid w:val="00626226"/>
    <w:rsid w:val="00626439"/>
    <w:rsid w:val="00626646"/>
    <w:rsid w:val="006266AA"/>
    <w:rsid w:val="0062688F"/>
    <w:rsid w:val="006269D4"/>
    <w:rsid w:val="00626A29"/>
    <w:rsid w:val="00626B3F"/>
    <w:rsid w:val="00626CA7"/>
    <w:rsid w:val="00626CE1"/>
    <w:rsid w:val="00626DBE"/>
    <w:rsid w:val="00626EEE"/>
    <w:rsid w:val="00626F0B"/>
    <w:rsid w:val="00626F5C"/>
    <w:rsid w:val="006270DB"/>
    <w:rsid w:val="006274A6"/>
    <w:rsid w:val="0062750E"/>
    <w:rsid w:val="006275BE"/>
    <w:rsid w:val="00627836"/>
    <w:rsid w:val="00627C53"/>
    <w:rsid w:val="00627EE1"/>
    <w:rsid w:val="00627F0D"/>
    <w:rsid w:val="006302BC"/>
    <w:rsid w:val="006302FD"/>
    <w:rsid w:val="0063090C"/>
    <w:rsid w:val="00630C20"/>
    <w:rsid w:val="00630DBB"/>
    <w:rsid w:val="00630E52"/>
    <w:rsid w:val="00630E96"/>
    <w:rsid w:val="00630F4F"/>
    <w:rsid w:val="00630FD5"/>
    <w:rsid w:val="0063146A"/>
    <w:rsid w:val="006316CB"/>
    <w:rsid w:val="006318D5"/>
    <w:rsid w:val="00631E28"/>
    <w:rsid w:val="00632000"/>
    <w:rsid w:val="006322A9"/>
    <w:rsid w:val="006322FA"/>
    <w:rsid w:val="00632623"/>
    <w:rsid w:val="006328E4"/>
    <w:rsid w:val="00632971"/>
    <w:rsid w:val="006329D1"/>
    <w:rsid w:val="00632BDC"/>
    <w:rsid w:val="00632CA1"/>
    <w:rsid w:val="00632D1B"/>
    <w:rsid w:val="00632E85"/>
    <w:rsid w:val="00632F4B"/>
    <w:rsid w:val="00632FA6"/>
    <w:rsid w:val="006330A3"/>
    <w:rsid w:val="00633223"/>
    <w:rsid w:val="0063328F"/>
    <w:rsid w:val="006332DF"/>
    <w:rsid w:val="00633399"/>
    <w:rsid w:val="006333E2"/>
    <w:rsid w:val="00633445"/>
    <w:rsid w:val="0063372D"/>
    <w:rsid w:val="006338E3"/>
    <w:rsid w:val="006338E6"/>
    <w:rsid w:val="00633B90"/>
    <w:rsid w:val="00633CCA"/>
    <w:rsid w:val="00633E80"/>
    <w:rsid w:val="00633F4F"/>
    <w:rsid w:val="00633FB9"/>
    <w:rsid w:val="00634011"/>
    <w:rsid w:val="00634139"/>
    <w:rsid w:val="0063414F"/>
    <w:rsid w:val="006341BD"/>
    <w:rsid w:val="006346FC"/>
    <w:rsid w:val="00634A42"/>
    <w:rsid w:val="00634B09"/>
    <w:rsid w:val="00634CEE"/>
    <w:rsid w:val="00634DBC"/>
    <w:rsid w:val="00634DF5"/>
    <w:rsid w:val="00634E18"/>
    <w:rsid w:val="00634E59"/>
    <w:rsid w:val="00634F2E"/>
    <w:rsid w:val="00634F5E"/>
    <w:rsid w:val="00635274"/>
    <w:rsid w:val="00635365"/>
    <w:rsid w:val="006356DC"/>
    <w:rsid w:val="00635749"/>
    <w:rsid w:val="0063581A"/>
    <w:rsid w:val="006359B5"/>
    <w:rsid w:val="00635A09"/>
    <w:rsid w:val="00635F24"/>
    <w:rsid w:val="00635FB5"/>
    <w:rsid w:val="00635FCD"/>
    <w:rsid w:val="00636062"/>
    <w:rsid w:val="006364F7"/>
    <w:rsid w:val="0063650D"/>
    <w:rsid w:val="0063656A"/>
    <w:rsid w:val="00636603"/>
    <w:rsid w:val="0063662D"/>
    <w:rsid w:val="006366D2"/>
    <w:rsid w:val="00636721"/>
    <w:rsid w:val="00636811"/>
    <w:rsid w:val="006369BF"/>
    <w:rsid w:val="006369F5"/>
    <w:rsid w:val="00636A4F"/>
    <w:rsid w:val="00636B1F"/>
    <w:rsid w:val="00636CC1"/>
    <w:rsid w:val="00636E87"/>
    <w:rsid w:val="0063726C"/>
    <w:rsid w:val="00637388"/>
    <w:rsid w:val="00637406"/>
    <w:rsid w:val="0063743E"/>
    <w:rsid w:val="00637450"/>
    <w:rsid w:val="006374B6"/>
    <w:rsid w:val="0063752B"/>
    <w:rsid w:val="00637854"/>
    <w:rsid w:val="00637AA3"/>
    <w:rsid w:val="00637B36"/>
    <w:rsid w:val="00637FC8"/>
    <w:rsid w:val="00637FF8"/>
    <w:rsid w:val="006402A3"/>
    <w:rsid w:val="006403FF"/>
    <w:rsid w:val="00640832"/>
    <w:rsid w:val="0064096B"/>
    <w:rsid w:val="00640A97"/>
    <w:rsid w:val="00640BFF"/>
    <w:rsid w:val="00640E55"/>
    <w:rsid w:val="00640F39"/>
    <w:rsid w:val="00640FA5"/>
    <w:rsid w:val="006410A1"/>
    <w:rsid w:val="00641262"/>
    <w:rsid w:val="00641295"/>
    <w:rsid w:val="006412E4"/>
    <w:rsid w:val="00641634"/>
    <w:rsid w:val="00641767"/>
    <w:rsid w:val="0064176E"/>
    <w:rsid w:val="0064190F"/>
    <w:rsid w:val="00641992"/>
    <w:rsid w:val="00641C25"/>
    <w:rsid w:val="00641DFB"/>
    <w:rsid w:val="00641E2C"/>
    <w:rsid w:val="00641FBE"/>
    <w:rsid w:val="006420C3"/>
    <w:rsid w:val="006420E6"/>
    <w:rsid w:val="006422BB"/>
    <w:rsid w:val="006424C7"/>
    <w:rsid w:val="0064269F"/>
    <w:rsid w:val="00642971"/>
    <w:rsid w:val="00642A80"/>
    <w:rsid w:val="00642C31"/>
    <w:rsid w:val="00642C8A"/>
    <w:rsid w:val="00642E9E"/>
    <w:rsid w:val="0064302A"/>
    <w:rsid w:val="0064328A"/>
    <w:rsid w:val="006432F2"/>
    <w:rsid w:val="0064349E"/>
    <w:rsid w:val="006434AE"/>
    <w:rsid w:val="00643562"/>
    <w:rsid w:val="006436CA"/>
    <w:rsid w:val="006437A4"/>
    <w:rsid w:val="006438C5"/>
    <w:rsid w:val="00643AAA"/>
    <w:rsid w:val="00643B1F"/>
    <w:rsid w:val="00643C3D"/>
    <w:rsid w:val="00643D2E"/>
    <w:rsid w:val="00643EFE"/>
    <w:rsid w:val="0064407D"/>
    <w:rsid w:val="00644179"/>
    <w:rsid w:val="0064432C"/>
    <w:rsid w:val="00644665"/>
    <w:rsid w:val="006446A3"/>
    <w:rsid w:val="0064498A"/>
    <w:rsid w:val="00644DAD"/>
    <w:rsid w:val="00644DBE"/>
    <w:rsid w:val="00644E16"/>
    <w:rsid w:val="00644F21"/>
    <w:rsid w:val="00645076"/>
    <w:rsid w:val="0064508E"/>
    <w:rsid w:val="00645104"/>
    <w:rsid w:val="0064511F"/>
    <w:rsid w:val="006451F0"/>
    <w:rsid w:val="00645211"/>
    <w:rsid w:val="0064522F"/>
    <w:rsid w:val="0064531C"/>
    <w:rsid w:val="00645363"/>
    <w:rsid w:val="00645380"/>
    <w:rsid w:val="006453F6"/>
    <w:rsid w:val="00645A19"/>
    <w:rsid w:val="00645D5D"/>
    <w:rsid w:val="00645E5B"/>
    <w:rsid w:val="00645F02"/>
    <w:rsid w:val="00645F83"/>
    <w:rsid w:val="0064620B"/>
    <w:rsid w:val="00646224"/>
    <w:rsid w:val="00646594"/>
    <w:rsid w:val="00646678"/>
    <w:rsid w:val="006466A3"/>
    <w:rsid w:val="00646707"/>
    <w:rsid w:val="00646962"/>
    <w:rsid w:val="00646C92"/>
    <w:rsid w:val="00646EAC"/>
    <w:rsid w:val="00646FB7"/>
    <w:rsid w:val="00646FBA"/>
    <w:rsid w:val="006470A1"/>
    <w:rsid w:val="006470DA"/>
    <w:rsid w:val="00647133"/>
    <w:rsid w:val="0064731F"/>
    <w:rsid w:val="0064747B"/>
    <w:rsid w:val="00647528"/>
    <w:rsid w:val="006477A4"/>
    <w:rsid w:val="0064790C"/>
    <w:rsid w:val="00647ADD"/>
    <w:rsid w:val="00647B03"/>
    <w:rsid w:val="00647C26"/>
    <w:rsid w:val="00647C33"/>
    <w:rsid w:val="00647FF1"/>
    <w:rsid w:val="00650211"/>
    <w:rsid w:val="0065034A"/>
    <w:rsid w:val="0065035F"/>
    <w:rsid w:val="0065043D"/>
    <w:rsid w:val="00650488"/>
    <w:rsid w:val="0065085D"/>
    <w:rsid w:val="006509AF"/>
    <w:rsid w:val="006509EB"/>
    <w:rsid w:val="00650AD9"/>
    <w:rsid w:val="00650B94"/>
    <w:rsid w:val="00650BEA"/>
    <w:rsid w:val="00650CD8"/>
    <w:rsid w:val="00650E4C"/>
    <w:rsid w:val="0065138A"/>
    <w:rsid w:val="006513E8"/>
    <w:rsid w:val="006514AC"/>
    <w:rsid w:val="0065158A"/>
    <w:rsid w:val="00651650"/>
    <w:rsid w:val="0065191F"/>
    <w:rsid w:val="00651A1B"/>
    <w:rsid w:val="00651CDA"/>
    <w:rsid w:val="00652003"/>
    <w:rsid w:val="0065222A"/>
    <w:rsid w:val="006523C5"/>
    <w:rsid w:val="00652409"/>
    <w:rsid w:val="006526ED"/>
    <w:rsid w:val="0065289A"/>
    <w:rsid w:val="0065292D"/>
    <w:rsid w:val="00652999"/>
    <w:rsid w:val="00652A02"/>
    <w:rsid w:val="00652B81"/>
    <w:rsid w:val="00652C4E"/>
    <w:rsid w:val="00652CA2"/>
    <w:rsid w:val="00652F6A"/>
    <w:rsid w:val="0065321B"/>
    <w:rsid w:val="006532B1"/>
    <w:rsid w:val="0065331C"/>
    <w:rsid w:val="0065333E"/>
    <w:rsid w:val="0065338C"/>
    <w:rsid w:val="0065340E"/>
    <w:rsid w:val="0065348A"/>
    <w:rsid w:val="0065353F"/>
    <w:rsid w:val="0065360A"/>
    <w:rsid w:val="0065371C"/>
    <w:rsid w:val="006539DB"/>
    <w:rsid w:val="00653EA3"/>
    <w:rsid w:val="00653EA4"/>
    <w:rsid w:val="00653F51"/>
    <w:rsid w:val="00653F55"/>
    <w:rsid w:val="00653F67"/>
    <w:rsid w:val="00654399"/>
    <w:rsid w:val="006544A7"/>
    <w:rsid w:val="00654613"/>
    <w:rsid w:val="006549D7"/>
    <w:rsid w:val="00654C79"/>
    <w:rsid w:val="00654EB0"/>
    <w:rsid w:val="00654ECD"/>
    <w:rsid w:val="00654F7E"/>
    <w:rsid w:val="00655049"/>
    <w:rsid w:val="006550C8"/>
    <w:rsid w:val="006550E3"/>
    <w:rsid w:val="00655145"/>
    <w:rsid w:val="006552A8"/>
    <w:rsid w:val="0065531B"/>
    <w:rsid w:val="0065561B"/>
    <w:rsid w:val="0065572D"/>
    <w:rsid w:val="006559F9"/>
    <w:rsid w:val="00655A2D"/>
    <w:rsid w:val="00655AF4"/>
    <w:rsid w:val="00655CBE"/>
    <w:rsid w:val="00655D26"/>
    <w:rsid w:val="00655D83"/>
    <w:rsid w:val="00655F1F"/>
    <w:rsid w:val="00655FA3"/>
    <w:rsid w:val="00655FD1"/>
    <w:rsid w:val="00655FDA"/>
    <w:rsid w:val="00655FE0"/>
    <w:rsid w:val="006564F1"/>
    <w:rsid w:val="006566A5"/>
    <w:rsid w:val="0065676D"/>
    <w:rsid w:val="00656772"/>
    <w:rsid w:val="0065677C"/>
    <w:rsid w:val="0065678A"/>
    <w:rsid w:val="00656824"/>
    <w:rsid w:val="0065698A"/>
    <w:rsid w:val="00656B9B"/>
    <w:rsid w:val="00656BCB"/>
    <w:rsid w:val="00656D3C"/>
    <w:rsid w:val="00656EEA"/>
    <w:rsid w:val="00657046"/>
    <w:rsid w:val="0065722F"/>
    <w:rsid w:val="0065726C"/>
    <w:rsid w:val="006576C3"/>
    <w:rsid w:val="00657849"/>
    <w:rsid w:val="00657B85"/>
    <w:rsid w:val="00657CB2"/>
    <w:rsid w:val="00657D91"/>
    <w:rsid w:val="00657DD4"/>
    <w:rsid w:val="00657F25"/>
    <w:rsid w:val="00657F9F"/>
    <w:rsid w:val="00657FBD"/>
    <w:rsid w:val="006602C3"/>
    <w:rsid w:val="00660479"/>
    <w:rsid w:val="006604A7"/>
    <w:rsid w:val="00660674"/>
    <w:rsid w:val="00660922"/>
    <w:rsid w:val="00660963"/>
    <w:rsid w:val="00660A53"/>
    <w:rsid w:val="00660D55"/>
    <w:rsid w:val="00660F42"/>
    <w:rsid w:val="00660FBB"/>
    <w:rsid w:val="0066105A"/>
    <w:rsid w:val="006610E7"/>
    <w:rsid w:val="006611C7"/>
    <w:rsid w:val="0066121C"/>
    <w:rsid w:val="006612FE"/>
    <w:rsid w:val="006613E6"/>
    <w:rsid w:val="006614CE"/>
    <w:rsid w:val="006614FF"/>
    <w:rsid w:val="00661675"/>
    <w:rsid w:val="0066184E"/>
    <w:rsid w:val="00661D0E"/>
    <w:rsid w:val="00661D6B"/>
    <w:rsid w:val="00661DCC"/>
    <w:rsid w:val="00661E0B"/>
    <w:rsid w:val="00662039"/>
    <w:rsid w:val="0066203C"/>
    <w:rsid w:val="0066217D"/>
    <w:rsid w:val="00662211"/>
    <w:rsid w:val="00662273"/>
    <w:rsid w:val="00662365"/>
    <w:rsid w:val="00662582"/>
    <w:rsid w:val="0066293A"/>
    <w:rsid w:val="00662AC5"/>
    <w:rsid w:val="00662B10"/>
    <w:rsid w:val="00662C1F"/>
    <w:rsid w:val="00662CED"/>
    <w:rsid w:val="00662D03"/>
    <w:rsid w:val="00662E9E"/>
    <w:rsid w:val="00662E9F"/>
    <w:rsid w:val="0066315A"/>
    <w:rsid w:val="006633E1"/>
    <w:rsid w:val="006636FE"/>
    <w:rsid w:val="00663991"/>
    <w:rsid w:val="00663B40"/>
    <w:rsid w:val="00663CBA"/>
    <w:rsid w:val="00663F75"/>
    <w:rsid w:val="0066404B"/>
    <w:rsid w:val="006640CC"/>
    <w:rsid w:val="00664149"/>
    <w:rsid w:val="00664174"/>
    <w:rsid w:val="00664551"/>
    <w:rsid w:val="00664693"/>
    <w:rsid w:val="006648EE"/>
    <w:rsid w:val="00664BB3"/>
    <w:rsid w:val="00664BDC"/>
    <w:rsid w:val="00664C03"/>
    <w:rsid w:val="00664D56"/>
    <w:rsid w:val="00664FEB"/>
    <w:rsid w:val="006652CB"/>
    <w:rsid w:val="006652FB"/>
    <w:rsid w:val="00665328"/>
    <w:rsid w:val="00665360"/>
    <w:rsid w:val="00665519"/>
    <w:rsid w:val="006656E8"/>
    <w:rsid w:val="00665760"/>
    <w:rsid w:val="00665771"/>
    <w:rsid w:val="006658D2"/>
    <w:rsid w:val="00665923"/>
    <w:rsid w:val="00665999"/>
    <w:rsid w:val="006659B2"/>
    <w:rsid w:val="00665C10"/>
    <w:rsid w:val="00665DB5"/>
    <w:rsid w:val="00665F94"/>
    <w:rsid w:val="00666251"/>
    <w:rsid w:val="00666256"/>
    <w:rsid w:val="006664F2"/>
    <w:rsid w:val="0066671E"/>
    <w:rsid w:val="00666864"/>
    <w:rsid w:val="00666939"/>
    <w:rsid w:val="00666A0B"/>
    <w:rsid w:val="00666AF5"/>
    <w:rsid w:val="00666B11"/>
    <w:rsid w:val="00666C1A"/>
    <w:rsid w:val="00666CB3"/>
    <w:rsid w:val="00666D08"/>
    <w:rsid w:val="00666E55"/>
    <w:rsid w:val="00667000"/>
    <w:rsid w:val="0066701B"/>
    <w:rsid w:val="00667418"/>
    <w:rsid w:val="00667426"/>
    <w:rsid w:val="0066746D"/>
    <w:rsid w:val="00667698"/>
    <w:rsid w:val="00667791"/>
    <w:rsid w:val="006678EF"/>
    <w:rsid w:val="00667913"/>
    <w:rsid w:val="00667A83"/>
    <w:rsid w:val="00667AEE"/>
    <w:rsid w:val="00667C00"/>
    <w:rsid w:val="00667C9E"/>
    <w:rsid w:val="00667CFF"/>
    <w:rsid w:val="00667F67"/>
    <w:rsid w:val="00667F7B"/>
    <w:rsid w:val="006701F2"/>
    <w:rsid w:val="00670752"/>
    <w:rsid w:val="006707A0"/>
    <w:rsid w:val="00670952"/>
    <w:rsid w:val="00670E45"/>
    <w:rsid w:val="00670EEB"/>
    <w:rsid w:val="00670F6E"/>
    <w:rsid w:val="00670FF2"/>
    <w:rsid w:val="0067128A"/>
    <w:rsid w:val="0067172D"/>
    <w:rsid w:val="0067181E"/>
    <w:rsid w:val="0067183E"/>
    <w:rsid w:val="00671910"/>
    <w:rsid w:val="006719AD"/>
    <w:rsid w:val="00671E56"/>
    <w:rsid w:val="00671E98"/>
    <w:rsid w:val="00671EAA"/>
    <w:rsid w:val="00671F36"/>
    <w:rsid w:val="00671F44"/>
    <w:rsid w:val="00672098"/>
    <w:rsid w:val="006721C2"/>
    <w:rsid w:val="00672455"/>
    <w:rsid w:val="006725CD"/>
    <w:rsid w:val="006725E4"/>
    <w:rsid w:val="00672988"/>
    <w:rsid w:val="00672AA1"/>
    <w:rsid w:val="00672B22"/>
    <w:rsid w:val="00672B88"/>
    <w:rsid w:val="00672E35"/>
    <w:rsid w:val="00672E53"/>
    <w:rsid w:val="00672E69"/>
    <w:rsid w:val="00672E7E"/>
    <w:rsid w:val="006731C7"/>
    <w:rsid w:val="0067321C"/>
    <w:rsid w:val="0067323B"/>
    <w:rsid w:val="006733A0"/>
    <w:rsid w:val="00673577"/>
    <w:rsid w:val="00673594"/>
    <w:rsid w:val="00673723"/>
    <w:rsid w:val="00673857"/>
    <w:rsid w:val="00673903"/>
    <w:rsid w:val="00673911"/>
    <w:rsid w:val="00673966"/>
    <w:rsid w:val="00673A66"/>
    <w:rsid w:val="00673C85"/>
    <w:rsid w:val="00673CA1"/>
    <w:rsid w:val="00673E03"/>
    <w:rsid w:val="00673E19"/>
    <w:rsid w:val="00673E59"/>
    <w:rsid w:val="00673F10"/>
    <w:rsid w:val="00673FAE"/>
    <w:rsid w:val="006741B9"/>
    <w:rsid w:val="006742DF"/>
    <w:rsid w:val="00674310"/>
    <w:rsid w:val="0067433A"/>
    <w:rsid w:val="00674399"/>
    <w:rsid w:val="0067440D"/>
    <w:rsid w:val="006744CC"/>
    <w:rsid w:val="00674608"/>
    <w:rsid w:val="00674731"/>
    <w:rsid w:val="006748F4"/>
    <w:rsid w:val="006749CA"/>
    <w:rsid w:val="00674A62"/>
    <w:rsid w:val="00674C64"/>
    <w:rsid w:val="00674D4F"/>
    <w:rsid w:val="00674D52"/>
    <w:rsid w:val="00674E00"/>
    <w:rsid w:val="00674F2F"/>
    <w:rsid w:val="00675371"/>
    <w:rsid w:val="0067560B"/>
    <w:rsid w:val="0067566B"/>
    <w:rsid w:val="006756ED"/>
    <w:rsid w:val="0067574E"/>
    <w:rsid w:val="006757C5"/>
    <w:rsid w:val="006757FB"/>
    <w:rsid w:val="00675E1C"/>
    <w:rsid w:val="00675E85"/>
    <w:rsid w:val="00675EDE"/>
    <w:rsid w:val="00675F33"/>
    <w:rsid w:val="00676370"/>
    <w:rsid w:val="00676451"/>
    <w:rsid w:val="0067645F"/>
    <w:rsid w:val="006764B4"/>
    <w:rsid w:val="0067684D"/>
    <w:rsid w:val="00676897"/>
    <w:rsid w:val="006768E1"/>
    <w:rsid w:val="0067697D"/>
    <w:rsid w:val="00676B16"/>
    <w:rsid w:val="00676CF7"/>
    <w:rsid w:val="00676D6E"/>
    <w:rsid w:val="00676DF7"/>
    <w:rsid w:val="006770D5"/>
    <w:rsid w:val="006772F4"/>
    <w:rsid w:val="0067739C"/>
    <w:rsid w:val="006773BB"/>
    <w:rsid w:val="00677411"/>
    <w:rsid w:val="0067754F"/>
    <w:rsid w:val="006776E3"/>
    <w:rsid w:val="006776F3"/>
    <w:rsid w:val="00677DFE"/>
    <w:rsid w:val="00677E0D"/>
    <w:rsid w:val="00677EC8"/>
    <w:rsid w:val="006803EB"/>
    <w:rsid w:val="006804B6"/>
    <w:rsid w:val="006804CC"/>
    <w:rsid w:val="006804E7"/>
    <w:rsid w:val="0068064E"/>
    <w:rsid w:val="0068067D"/>
    <w:rsid w:val="0068068E"/>
    <w:rsid w:val="006807B7"/>
    <w:rsid w:val="00680A71"/>
    <w:rsid w:val="00680AE2"/>
    <w:rsid w:val="00680CA2"/>
    <w:rsid w:val="00680CE9"/>
    <w:rsid w:val="00680D7B"/>
    <w:rsid w:val="00680F1A"/>
    <w:rsid w:val="006810C7"/>
    <w:rsid w:val="006811D4"/>
    <w:rsid w:val="00681296"/>
    <w:rsid w:val="006812AE"/>
    <w:rsid w:val="006814BE"/>
    <w:rsid w:val="006815F4"/>
    <w:rsid w:val="00681617"/>
    <w:rsid w:val="00681797"/>
    <w:rsid w:val="00681A09"/>
    <w:rsid w:val="00681A2B"/>
    <w:rsid w:val="00681AF6"/>
    <w:rsid w:val="00681F00"/>
    <w:rsid w:val="00681F15"/>
    <w:rsid w:val="00681FE4"/>
    <w:rsid w:val="006820E8"/>
    <w:rsid w:val="0068231E"/>
    <w:rsid w:val="00682527"/>
    <w:rsid w:val="006826FA"/>
    <w:rsid w:val="006827A4"/>
    <w:rsid w:val="006827BA"/>
    <w:rsid w:val="006828A9"/>
    <w:rsid w:val="00682B76"/>
    <w:rsid w:val="00682C32"/>
    <w:rsid w:val="00682D23"/>
    <w:rsid w:val="00682E67"/>
    <w:rsid w:val="00682E71"/>
    <w:rsid w:val="00682F03"/>
    <w:rsid w:val="006830A1"/>
    <w:rsid w:val="006831DF"/>
    <w:rsid w:val="006834F1"/>
    <w:rsid w:val="0068352A"/>
    <w:rsid w:val="00683680"/>
    <w:rsid w:val="006838B7"/>
    <w:rsid w:val="006839B4"/>
    <w:rsid w:val="00683AF4"/>
    <w:rsid w:val="00683C21"/>
    <w:rsid w:val="00683E83"/>
    <w:rsid w:val="006840F9"/>
    <w:rsid w:val="0068415F"/>
    <w:rsid w:val="0068429D"/>
    <w:rsid w:val="00684369"/>
    <w:rsid w:val="00684533"/>
    <w:rsid w:val="006846B5"/>
    <w:rsid w:val="00684789"/>
    <w:rsid w:val="006847E2"/>
    <w:rsid w:val="00684842"/>
    <w:rsid w:val="00684932"/>
    <w:rsid w:val="006849C7"/>
    <w:rsid w:val="00684A5A"/>
    <w:rsid w:val="00684BCF"/>
    <w:rsid w:val="00684CEE"/>
    <w:rsid w:val="0068510E"/>
    <w:rsid w:val="0068520B"/>
    <w:rsid w:val="0068523D"/>
    <w:rsid w:val="00685316"/>
    <w:rsid w:val="00685355"/>
    <w:rsid w:val="006854A9"/>
    <w:rsid w:val="0068575F"/>
    <w:rsid w:val="006859E4"/>
    <w:rsid w:val="00685B4A"/>
    <w:rsid w:val="00685DA2"/>
    <w:rsid w:val="00685E62"/>
    <w:rsid w:val="00685EE2"/>
    <w:rsid w:val="00685EFD"/>
    <w:rsid w:val="0068604E"/>
    <w:rsid w:val="00686250"/>
    <w:rsid w:val="006864DE"/>
    <w:rsid w:val="006864E5"/>
    <w:rsid w:val="00686607"/>
    <w:rsid w:val="00686650"/>
    <w:rsid w:val="0068667D"/>
    <w:rsid w:val="006866E1"/>
    <w:rsid w:val="00686710"/>
    <w:rsid w:val="0068678B"/>
    <w:rsid w:val="0068683A"/>
    <w:rsid w:val="006868D1"/>
    <w:rsid w:val="006869AF"/>
    <w:rsid w:val="00686B44"/>
    <w:rsid w:val="00686B8C"/>
    <w:rsid w:val="00686CE2"/>
    <w:rsid w:val="00686D55"/>
    <w:rsid w:val="00687000"/>
    <w:rsid w:val="00687203"/>
    <w:rsid w:val="00687224"/>
    <w:rsid w:val="00687299"/>
    <w:rsid w:val="0068735C"/>
    <w:rsid w:val="006874F8"/>
    <w:rsid w:val="00687531"/>
    <w:rsid w:val="006875D8"/>
    <w:rsid w:val="006875F0"/>
    <w:rsid w:val="006877E2"/>
    <w:rsid w:val="00687904"/>
    <w:rsid w:val="00687E05"/>
    <w:rsid w:val="00687ECF"/>
    <w:rsid w:val="00690040"/>
    <w:rsid w:val="006902C0"/>
    <w:rsid w:val="006904E9"/>
    <w:rsid w:val="00690633"/>
    <w:rsid w:val="00690B6D"/>
    <w:rsid w:val="00690C06"/>
    <w:rsid w:val="00690CDC"/>
    <w:rsid w:val="00690F30"/>
    <w:rsid w:val="00691182"/>
    <w:rsid w:val="006914AC"/>
    <w:rsid w:val="0069150F"/>
    <w:rsid w:val="00691574"/>
    <w:rsid w:val="006916BD"/>
    <w:rsid w:val="00691A54"/>
    <w:rsid w:val="00691AE8"/>
    <w:rsid w:val="00691B5D"/>
    <w:rsid w:val="00691B72"/>
    <w:rsid w:val="00691BA0"/>
    <w:rsid w:val="00691CB6"/>
    <w:rsid w:val="00691E2A"/>
    <w:rsid w:val="006920DC"/>
    <w:rsid w:val="00692129"/>
    <w:rsid w:val="006921A6"/>
    <w:rsid w:val="00692330"/>
    <w:rsid w:val="0069239F"/>
    <w:rsid w:val="006923C5"/>
    <w:rsid w:val="00692671"/>
    <w:rsid w:val="00692770"/>
    <w:rsid w:val="006928D0"/>
    <w:rsid w:val="00692A21"/>
    <w:rsid w:val="00692A64"/>
    <w:rsid w:val="00692A97"/>
    <w:rsid w:val="00692BB5"/>
    <w:rsid w:val="00692BF7"/>
    <w:rsid w:val="00692F8B"/>
    <w:rsid w:val="00693074"/>
    <w:rsid w:val="0069369D"/>
    <w:rsid w:val="006936D5"/>
    <w:rsid w:val="0069373D"/>
    <w:rsid w:val="00693863"/>
    <w:rsid w:val="0069387A"/>
    <w:rsid w:val="0069389B"/>
    <w:rsid w:val="00693A10"/>
    <w:rsid w:val="00693B43"/>
    <w:rsid w:val="00693C00"/>
    <w:rsid w:val="00693C59"/>
    <w:rsid w:val="00693CDD"/>
    <w:rsid w:val="00693CE7"/>
    <w:rsid w:val="00693D45"/>
    <w:rsid w:val="00693DCB"/>
    <w:rsid w:val="00693E73"/>
    <w:rsid w:val="00693EA4"/>
    <w:rsid w:val="00693EBD"/>
    <w:rsid w:val="00693F06"/>
    <w:rsid w:val="00694030"/>
    <w:rsid w:val="006940DB"/>
    <w:rsid w:val="00694191"/>
    <w:rsid w:val="006942F6"/>
    <w:rsid w:val="00694508"/>
    <w:rsid w:val="0069456C"/>
    <w:rsid w:val="0069460E"/>
    <w:rsid w:val="00694661"/>
    <w:rsid w:val="00694670"/>
    <w:rsid w:val="00694756"/>
    <w:rsid w:val="00694905"/>
    <w:rsid w:val="00694C17"/>
    <w:rsid w:val="00694F87"/>
    <w:rsid w:val="00695170"/>
    <w:rsid w:val="00695188"/>
    <w:rsid w:val="0069519B"/>
    <w:rsid w:val="006951F7"/>
    <w:rsid w:val="00695210"/>
    <w:rsid w:val="0069523F"/>
    <w:rsid w:val="0069527F"/>
    <w:rsid w:val="006952DF"/>
    <w:rsid w:val="006953A8"/>
    <w:rsid w:val="006954F8"/>
    <w:rsid w:val="006954F9"/>
    <w:rsid w:val="00695748"/>
    <w:rsid w:val="00695775"/>
    <w:rsid w:val="006957BD"/>
    <w:rsid w:val="0069583C"/>
    <w:rsid w:val="006958DA"/>
    <w:rsid w:val="006959C5"/>
    <w:rsid w:val="006959C8"/>
    <w:rsid w:val="00695DBF"/>
    <w:rsid w:val="00695DE0"/>
    <w:rsid w:val="00695E08"/>
    <w:rsid w:val="00695E78"/>
    <w:rsid w:val="00695EA4"/>
    <w:rsid w:val="00695F4E"/>
    <w:rsid w:val="00696096"/>
    <w:rsid w:val="006962F5"/>
    <w:rsid w:val="0069637D"/>
    <w:rsid w:val="0069648E"/>
    <w:rsid w:val="0069666B"/>
    <w:rsid w:val="00696696"/>
    <w:rsid w:val="006967B7"/>
    <w:rsid w:val="00696844"/>
    <w:rsid w:val="00696BEA"/>
    <w:rsid w:val="00696C1B"/>
    <w:rsid w:val="00696D49"/>
    <w:rsid w:val="00696DBC"/>
    <w:rsid w:val="00696EE5"/>
    <w:rsid w:val="00697169"/>
    <w:rsid w:val="0069718F"/>
    <w:rsid w:val="006972EE"/>
    <w:rsid w:val="006972FB"/>
    <w:rsid w:val="00697360"/>
    <w:rsid w:val="0069793C"/>
    <w:rsid w:val="006979E6"/>
    <w:rsid w:val="00697A08"/>
    <w:rsid w:val="00697A85"/>
    <w:rsid w:val="00697B37"/>
    <w:rsid w:val="00697DD8"/>
    <w:rsid w:val="006A006A"/>
    <w:rsid w:val="006A00AD"/>
    <w:rsid w:val="006A0561"/>
    <w:rsid w:val="006A0562"/>
    <w:rsid w:val="006A0609"/>
    <w:rsid w:val="006A0687"/>
    <w:rsid w:val="006A06A5"/>
    <w:rsid w:val="006A06BE"/>
    <w:rsid w:val="006A07B5"/>
    <w:rsid w:val="006A0B40"/>
    <w:rsid w:val="006A0C0B"/>
    <w:rsid w:val="006A0C60"/>
    <w:rsid w:val="006A0E38"/>
    <w:rsid w:val="006A0ECB"/>
    <w:rsid w:val="006A1421"/>
    <w:rsid w:val="006A16C7"/>
    <w:rsid w:val="006A18D6"/>
    <w:rsid w:val="006A18E9"/>
    <w:rsid w:val="006A199E"/>
    <w:rsid w:val="006A1B52"/>
    <w:rsid w:val="006A1BD4"/>
    <w:rsid w:val="006A1E79"/>
    <w:rsid w:val="006A2057"/>
    <w:rsid w:val="006A2140"/>
    <w:rsid w:val="006A219B"/>
    <w:rsid w:val="006A2276"/>
    <w:rsid w:val="006A24F1"/>
    <w:rsid w:val="006A2518"/>
    <w:rsid w:val="006A2559"/>
    <w:rsid w:val="006A2640"/>
    <w:rsid w:val="006A286F"/>
    <w:rsid w:val="006A2984"/>
    <w:rsid w:val="006A2A48"/>
    <w:rsid w:val="006A2BE3"/>
    <w:rsid w:val="006A2C38"/>
    <w:rsid w:val="006A2CBF"/>
    <w:rsid w:val="006A2EEC"/>
    <w:rsid w:val="006A308A"/>
    <w:rsid w:val="006A3235"/>
    <w:rsid w:val="006A32F3"/>
    <w:rsid w:val="006A33C4"/>
    <w:rsid w:val="006A33EB"/>
    <w:rsid w:val="006A3563"/>
    <w:rsid w:val="006A3652"/>
    <w:rsid w:val="006A3657"/>
    <w:rsid w:val="006A365B"/>
    <w:rsid w:val="006A371A"/>
    <w:rsid w:val="006A3793"/>
    <w:rsid w:val="006A399E"/>
    <w:rsid w:val="006A3E6C"/>
    <w:rsid w:val="006A3F47"/>
    <w:rsid w:val="006A3F8F"/>
    <w:rsid w:val="006A4142"/>
    <w:rsid w:val="006A4194"/>
    <w:rsid w:val="006A41C6"/>
    <w:rsid w:val="006A433E"/>
    <w:rsid w:val="006A43A1"/>
    <w:rsid w:val="006A43EE"/>
    <w:rsid w:val="006A4503"/>
    <w:rsid w:val="006A4516"/>
    <w:rsid w:val="006A4745"/>
    <w:rsid w:val="006A483F"/>
    <w:rsid w:val="006A4974"/>
    <w:rsid w:val="006A4A36"/>
    <w:rsid w:val="006A4B27"/>
    <w:rsid w:val="006A4BC3"/>
    <w:rsid w:val="006A4D68"/>
    <w:rsid w:val="006A500F"/>
    <w:rsid w:val="006A544E"/>
    <w:rsid w:val="006A5689"/>
    <w:rsid w:val="006A5B15"/>
    <w:rsid w:val="006A5B35"/>
    <w:rsid w:val="006A5CAB"/>
    <w:rsid w:val="006A5CB7"/>
    <w:rsid w:val="006A5FBD"/>
    <w:rsid w:val="006A60A7"/>
    <w:rsid w:val="006A62DC"/>
    <w:rsid w:val="006A6339"/>
    <w:rsid w:val="006A63EA"/>
    <w:rsid w:val="006A64D0"/>
    <w:rsid w:val="006A650F"/>
    <w:rsid w:val="006A65B1"/>
    <w:rsid w:val="006A65D8"/>
    <w:rsid w:val="006A65F5"/>
    <w:rsid w:val="006A696B"/>
    <w:rsid w:val="006A6997"/>
    <w:rsid w:val="006A6ED0"/>
    <w:rsid w:val="006A6F08"/>
    <w:rsid w:val="006A6F2D"/>
    <w:rsid w:val="006A7077"/>
    <w:rsid w:val="006A70DA"/>
    <w:rsid w:val="006A7314"/>
    <w:rsid w:val="006A735F"/>
    <w:rsid w:val="006A73DD"/>
    <w:rsid w:val="006A73F5"/>
    <w:rsid w:val="006A75EA"/>
    <w:rsid w:val="006A7643"/>
    <w:rsid w:val="006A76BC"/>
    <w:rsid w:val="006A7A80"/>
    <w:rsid w:val="006A7AD5"/>
    <w:rsid w:val="006A7B19"/>
    <w:rsid w:val="006A7BCC"/>
    <w:rsid w:val="006A7D0C"/>
    <w:rsid w:val="006A7D9F"/>
    <w:rsid w:val="006A7E79"/>
    <w:rsid w:val="006B0013"/>
    <w:rsid w:val="006B032C"/>
    <w:rsid w:val="006B05B6"/>
    <w:rsid w:val="006B06F1"/>
    <w:rsid w:val="006B077D"/>
    <w:rsid w:val="006B0783"/>
    <w:rsid w:val="006B07B9"/>
    <w:rsid w:val="006B087B"/>
    <w:rsid w:val="006B097E"/>
    <w:rsid w:val="006B0A7C"/>
    <w:rsid w:val="006B0AB3"/>
    <w:rsid w:val="006B0BD2"/>
    <w:rsid w:val="006B0C01"/>
    <w:rsid w:val="006B0C09"/>
    <w:rsid w:val="006B0C49"/>
    <w:rsid w:val="006B0C56"/>
    <w:rsid w:val="006B0C9D"/>
    <w:rsid w:val="006B0E21"/>
    <w:rsid w:val="006B122F"/>
    <w:rsid w:val="006B151D"/>
    <w:rsid w:val="006B154D"/>
    <w:rsid w:val="006B175C"/>
    <w:rsid w:val="006B17C4"/>
    <w:rsid w:val="006B18EB"/>
    <w:rsid w:val="006B1965"/>
    <w:rsid w:val="006B1AED"/>
    <w:rsid w:val="006B1B69"/>
    <w:rsid w:val="006B1BC2"/>
    <w:rsid w:val="006B1BD2"/>
    <w:rsid w:val="006B1C05"/>
    <w:rsid w:val="006B1D82"/>
    <w:rsid w:val="006B1E8D"/>
    <w:rsid w:val="006B1EFF"/>
    <w:rsid w:val="006B22F5"/>
    <w:rsid w:val="006B2451"/>
    <w:rsid w:val="006B24B2"/>
    <w:rsid w:val="006B24F8"/>
    <w:rsid w:val="006B254D"/>
    <w:rsid w:val="006B26AA"/>
    <w:rsid w:val="006B2B91"/>
    <w:rsid w:val="006B2F35"/>
    <w:rsid w:val="006B336C"/>
    <w:rsid w:val="006B33C8"/>
    <w:rsid w:val="006B34B9"/>
    <w:rsid w:val="006B35A4"/>
    <w:rsid w:val="006B3626"/>
    <w:rsid w:val="006B37F4"/>
    <w:rsid w:val="006B3946"/>
    <w:rsid w:val="006B3B11"/>
    <w:rsid w:val="006B3CDA"/>
    <w:rsid w:val="006B3D8B"/>
    <w:rsid w:val="006B3FF1"/>
    <w:rsid w:val="006B406B"/>
    <w:rsid w:val="006B40F1"/>
    <w:rsid w:val="006B412D"/>
    <w:rsid w:val="006B4255"/>
    <w:rsid w:val="006B4266"/>
    <w:rsid w:val="006B42C6"/>
    <w:rsid w:val="006B42F2"/>
    <w:rsid w:val="006B44C3"/>
    <w:rsid w:val="006B4566"/>
    <w:rsid w:val="006B46B3"/>
    <w:rsid w:val="006B4874"/>
    <w:rsid w:val="006B497E"/>
    <w:rsid w:val="006B4BB2"/>
    <w:rsid w:val="006B4C38"/>
    <w:rsid w:val="006B4C64"/>
    <w:rsid w:val="006B4D86"/>
    <w:rsid w:val="006B4E3D"/>
    <w:rsid w:val="006B4FFE"/>
    <w:rsid w:val="006B50DC"/>
    <w:rsid w:val="006B51B8"/>
    <w:rsid w:val="006B5275"/>
    <w:rsid w:val="006B52FB"/>
    <w:rsid w:val="006B5638"/>
    <w:rsid w:val="006B57B5"/>
    <w:rsid w:val="006B58CE"/>
    <w:rsid w:val="006B5911"/>
    <w:rsid w:val="006B592E"/>
    <w:rsid w:val="006B595E"/>
    <w:rsid w:val="006B5CB9"/>
    <w:rsid w:val="006B5E5B"/>
    <w:rsid w:val="006B625B"/>
    <w:rsid w:val="006B62A4"/>
    <w:rsid w:val="006B630F"/>
    <w:rsid w:val="006B6AE6"/>
    <w:rsid w:val="006B6B1E"/>
    <w:rsid w:val="006B6B5D"/>
    <w:rsid w:val="006B6D10"/>
    <w:rsid w:val="006B6D6A"/>
    <w:rsid w:val="006B6E1B"/>
    <w:rsid w:val="006B6E86"/>
    <w:rsid w:val="006B711F"/>
    <w:rsid w:val="006B7126"/>
    <w:rsid w:val="006B7145"/>
    <w:rsid w:val="006B7178"/>
    <w:rsid w:val="006B729D"/>
    <w:rsid w:val="006B74BE"/>
    <w:rsid w:val="006B74C6"/>
    <w:rsid w:val="006B75AC"/>
    <w:rsid w:val="006B75C0"/>
    <w:rsid w:val="006B76EF"/>
    <w:rsid w:val="006B76FE"/>
    <w:rsid w:val="006B77AD"/>
    <w:rsid w:val="006B7936"/>
    <w:rsid w:val="006B7AAD"/>
    <w:rsid w:val="006B7B05"/>
    <w:rsid w:val="006B7B13"/>
    <w:rsid w:val="006B7C43"/>
    <w:rsid w:val="006B7C91"/>
    <w:rsid w:val="006B7D03"/>
    <w:rsid w:val="006B7D69"/>
    <w:rsid w:val="006B7DA6"/>
    <w:rsid w:val="006B7E16"/>
    <w:rsid w:val="006B7E70"/>
    <w:rsid w:val="006B7E9C"/>
    <w:rsid w:val="006B7F92"/>
    <w:rsid w:val="006C0276"/>
    <w:rsid w:val="006C0340"/>
    <w:rsid w:val="006C03E6"/>
    <w:rsid w:val="006C04B2"/>
    <w:rsid w:val="006C0504"/>
    <w:rsid w:val="006C0870"/>
    <w:rsid w:val="006C0879"/>
    <w:rsid w:val="006C0CCA"/>
    <w:rsid w:val="006C0D37"/>
    <w:rsid w:val="006C0D69"/>
    <w:rsid w:val="006C106C"/>
    <w:rsid w:val="006C112D"/>
    <w:rsid w:val="006C12FE"/>
    <w:rsid w:val="006C13C2"/>
    <w:rsid w:val="006C1479"/>
    <w:rsid w:val="006C1867"/>
    <w:rsid w:val="006C1917"/>
    <w:rsid w:val="006C1949"/>
    <w:rsid w:val="006C1B46"/>
    <w:rsid w:val="006C1BF4"/>
    <w:rsid w:val="006C1E16"/>
    <w:rsid w:val="006C1E64"/>
    <w:rsid w:val="006C200E"/>
    <w:rsid w:val="006C207D"/>
    <w:rsid w:val="006C20B7"/>
    <w:rsid w:val="006C22AF"/>
    <w:rsid w:val="006C272E"/>
    <w:rsid w:val="006C2735"/>
    <w:rsid w:val="006C285D"/>
    <w:rsid w:val="006C2A34"/>
    <w:rsid w:val="006C2A44"/>
    <w:rsid w:val="006C2EBE"/>
    <w:rsid w:val="006C2F64"/>
    <w:rsid w:val="006C31EB"/>
    <w:rsid w:val="006C324B"/>
    <w:rsid w:val="006C32A7"/>
    <w:rsid w:val="006C32B9"/>
    <w:rsid w:val="006C34C5"/>
    <w:rsid w:val="006C351B"/>
    <w:rsid w:val="006C38CC"/>
    <w:rsid w:val="006C3B10"/>
    <w:rsid w:val="006C3CB9"/>
    <w:rsid w:val="006C3E6B"/>
    <w:rsid w:val="006C3FC8"/>
    <w:rsid w:val="006C41D3"/>
    <w:rsid w:val="006C426D"/>
    <w:rsid w:val="006C44B4"/>
    <w:rsid w:val="006C45B9"/>
    <w:rsid w:val="006C4670"/>
    <w:rsid w:val="006C4680"/>
    <w:rsid w:val="006C4792"/>
    <w:rsid w:val="006C4798"/>
    <w:rsid w:val="006C491B"/>
    <w:rsid w:val="006C4B70"/>
    <w:rsid w:val="006C4D7B"/>
    <w:rsid w:val="006C4E84"/>
    <w:rsid w:val="006C50DD"/>
    <w:rsid w:val="006C51AD"/>
    <w:rsid w:val="006C51B4"/>
    <w:rsid w:val="006C520E"/>
    <w:rsid w:val="006C54CD"/>
    <w:rsid w:val="006C5751"/>
    <w:rsid w:val="006C575B"/>
    <w:rsid w:val="006C57F0"/>
    <w:rsid w:val="006C5ADA"/>
    <w:rsid w:val="006C5BF7"/>
    <w:rsid w:val="006C5C19"/>
    <w:rsid w:val="006C5D37"/>
    <w:rsid w:val="006C5EFC"/>
    <w:rsid w:val="006C5F4E"/>
    <w:rsid w:val="006C615F"/>
    <w:rsid w:val="006C624C"/>
    <w:rsid w:val="006C6278"/>
    <w:rsid w:val="006C6621"/>
    <w:rsid w:val="006C67AF"/>
    <w:rsid w:val="006C68EA"/>
    <w:rsid w:val="006C6954"/>
    <w:rsid w:val="006C6CAE"/>
    <w:rsid w:val="006C7037"/>
    <w:rsid w:val="006C70A5"/>
    <w:rsid w:val="006C72A8"/>
    <w:rsid w:val="006C7556"/>
    <w:rsid w:val="006C7558"/>
    <w:rsid w:val="006C7A97"/>
    <w:rsid w:val="006C7F5C"/>
    <w:rsid w:val="006D0124"/>
    <w:rsid w:val="006D023B"/>
    <w:rsid w:val="006D02BE"/>
    <w:rsid w:val="006D02D6"/>
    <w:rsid w:val="006D045E"/>
    <w:rsid w:val="006D06CA"/>
    <w:rsid w:val="006D0878"/>
    <w:rsid w:val="006D0902"/>
    <w:rsid w:val="006D0993"/>
    <w:rsid w:val="006D0A19"/>
    <w:rsid w:val="006D0AC5"/>
    <w:rsid w:val="006D104F"/>
    <w:rsid w:val="006D1280"/>
    <w:rsid w:val="006D12EC"/>
    <w:rsid w:val="006D1541"/>
    <w:rsid w:val="006D1577"/>
    <w:rsid w:val="006D17BE"/>
    <w:rsid w:val="006D1A17"/>
    <w:rsid w:val="006D1A48"/>
    <w:rsid w:val="006D1C0C"/>
    <w:rsid w:val="006D1D9D"/>
    <w:rsid w:val="006D1F86"/>
    <w:rsid w:val="006D21C7"/>
    <w:rsid w:val="006D242F"/>
    <w:rsid w:val="006D2506"/>
    <w:rsid w:val="006D2576"/>
    <w:rsid w:val="006D28A9"/>
    <w:rsid w:val="006D2AEA"/>
    <w:rsid w:val="006D2B29"/>
    <w:rsid w:val="006D2BA9"/>
    <w:rsid w:val="006D2CF4"/>
    <w:rsid w:val="006D2D81"/>
    <w:rsid w:val="006D2E1A"/>
    <w:rsid w:val="006D3043"/>
    <w:rsid w:val="006D3110"/>
    <w:rsid w:val="006D3344"/>
    <w:rsid w:val="006D337A"/>
    <w:rsid w:val="006D33D5"/>
    <w:rsid w:val="006D3620"/>
    <w:rsid w:val="006D36AA"/>
    <w:rsid w:val="006D36D2"/>
    <w:rsid w:val="006D37B0"/>
    <w:rsid w:val="006D38F0"/>
    <w:rsid w:val="006D3AFE"/>
    <w:rsid w:val="006D3B9C"/>
    <w:rsid w:val="006D3CE6"/>
    <w:rsid w:val="006D3E71"/>
    <w:rsid w:val="006D3F04"/>
    <w:rsid w:val="006D3F76"/>
    <w:rsid w:val="006D404E"/>
    <w:rsid w:val="006D406C"/>
    <w:rsid w:val="006D409C"/>
    <w:rsid w:val="006D429F"/>
    <w:rsid w:val="006D439F"/>
    <w:rsid w:val="006D4661"/>
    <w:rsid w:val="006D46C7"/>
    <w:rsid w:val="006D487B"/>
    <w:rsid w:val="006D496E"/>
    <w:rsid w:val="006D4A20"/>
    <w:rsid w:val="006D4B6D"/>
    <w:rsid w:val="006D4B94"/>
    <w:rsid w:val="006D4C10"/>
    <w:rsid w:val="006D4C33"/>
    <w:rsid w:val="006D4C39"/>
    <w:rsid w:val="006D4E88"/>
    <w:rsid w:val="006D5044"/>
    <w:rsid w:val="006D5265"/>
    <w:rsid w:val="006D52F5"/>
    <w:rsid w:val="006D543A"/>
    <w:rsid w:val="006D54D2"/>
    <w:rsid w:val="006D55A3"/>
    <w:rsid w:val="006D5600"/>
    <w:rsid w:val="006D5612"/>
    <w:rsid w:val="006D5775"/>
    <w:rsid w:val="006D5834"/>
    <w:rsid w:val="006D58A3"/>
    <w:rsid w:val="006D59E1"/>
    <w:rsid w:val="006D5A5A"/>
    <w:rsid w:val="006D5A84"/>
    <w:rsid w:val="006D5AA0"/>
    <w:rsid w:val="006D5C52"/>
    <w:rsid w:val="006D5DC3"/>
    <w:rsid w:val="006D5E53"/>
    <w:rsid w:val="006D60BF"/>
    <w:rsid w:val="006D60C9"/>
    <w:rsid w:val="006D619D"/>
    <w:rsid w:val="006D61F3"/>
    <w:rsid w:val="006D620F"/>
    <w:rsid w:val="006D6485"/>
    <w:rsid w:val="006D64A4"/>
    <w:rsid w:val="006D68E4"/>
    <w:rsid w:val="006D6CFF"/>
    <w:rsid w:val="006D7007"/>
    <w:rsid w:val="006D73D7"/>
    <w:rsid w:val="006D74D5"/>
    <w:rsid w:val="006D74EB"/>
    <w:rsid w:val="006D75C2"/>
    <w:rsid w:val="006D76DD"/>
    <w:rsid w:val="006D79EE"/>
    <w:rsid w:val="006D7AB7"/>
    <w:rsid w:val="006D7C3D"/>
    <w:rsid w:val="006D7D70"/>
    <w:rsid w:val="006D7D7C"/>
    <w:rsid w:val="006D7E60"/>
    <w:rsid w:val="006D7E82"/>
    <w:rsid w:val="006D7E98"/>
    <w:rsid w:val="006E018D"/>
    <w:rsid w:val="006E0271"/>
    <w:rsid w:val="006E02E8"/>
    <w:rsid w:val="006E0313"/>
    <w:rsid w:val="006E03D5"/>
    <w:rsid w:val="006E05FB"/>
    <w:rsid w:val="006E07AD"/>
    <w:rsid w:val="006E07C9"/>
    <w:rsid w:val="006E0849"/>
    <w:rsid w:val="006E0988"/>
    <w:rsid w:val="006E0A9D"/>
    <w:rsid w:val="006E0AFF"/>
    <w:rsid w:val="006E0CD8"/>
    <w:rsid w:val="006E0DCA"/>
    <w:rsid w:val="006E0EAE"/>
    <w:rsid w:val="006E0F02"/>
    <w:rsid w:val="006E105C"/>
    <w:rsid w:val="006E1119"/>
    <w:rsid w:val="006E11C7"/>
    <w:rsid w:val="006E1268"/>
    <w:rsid w:val="006E131A"/>
    <w:rsid w:val="006E13BA"/>
    <w:rsid w:val="006E1430"/>
    <w:rsid w:val="006E14A9"/>
    <w:rsid w:val="006E1517"/>
    <w:rsid w:val="006E160D"/>
    <w:rsid w:val="006E1621"/>
    <w:rsid w:val="006E1726"/>
    <w:rsid w:val="006E1825"/>
    <w:rsid w:val="006E188B"/>
    <w:rsid w:val="006E18CF"/>
    <w:rsid w:val="006E1906"/>
    <w:rsid w:val="006E19DD"/>
    <w:rsid w:val="006E1A6B"/>
    <w:rsid w:val="006E1B52"/>
    <w:rsid w:val="006E1CDA"/>
    <w:rsid w:val="006E1EE6"/>
    <w:rsid w:val="006E235F"/>
    <w:rsid w:val="006E23CB"/>
    <w:rsid w:val="006E249F"/>
    <w:rsid w:val="006E24B8"/>
    <w:rsid w:val="006E2607"/>
    <w:rsid w:val="006E2673"/>
    <w:rsid w:val="006E276A"/>
    <w:rsid w:val="006E29F4"/>
    <w:rsid w:val="006E2A84"/>
    <w:rsid w:val="006E2D90"/>
    <w:rsid w:val="006E2DA8"/>
    <w:rsid w:val="006E2DF4"/>
    <w:rsid w:val="006E2E65"/>
    <w:rsid w:val="006E2E70"/>
    <w:rsid w:val="006E2EA6"/>
    <w:rsid w:val="006E3070"/>
    <w:rsid w:val="006E30D5"/>
    <w:rsid w:val="006E32B1"/>
    <w:rsid w:val="006E3580"/>
    <w:rsid w:val="006E3925"/>
    <w:rsid w:val="006E3980"/>
    <w:rsid w:val="006E3B49"/>
    <w:rsid w:val="006E3CDA"/>
    <w:rsid w:val="006E3EB7"/>
    <w:rsid w:val="006E3F48"/>
    <w:rsid w:val="006E4106"/>
    <w:rsid w:val="006E41BF"/>
    <w:rsid w:val="006E41C7"/>
    <w:rsid w:val="006E41FF"/>
    <w:rsid w:val="006E43A4"/>
    <w:rsid w:val="006E43DB"/>
    <w:rsid w:val="006E461B"/>
    <w:rsid w:val="006E47D9"/>
    <w:rsid w:val="006E482F"/>
    <w:rsid w:val="006E4AE9"/>
    <w:rsid w:val="006E4F3E"/>
    <w:rsid w:val="006E5038"/>
    <w:rsid w:val="006E5144"/>
    <w:rsid w:val="006E518B"/>
    <w:rsid w:val="006E5323"/>
    <w:rsid w:val="006E546B"/>
    <w:rsid w:val="006E54A7"/>
    <w:rsid w:val="006E5505"/>
    <w:rsid w:val="006E5526"/>
    <w:rsid w:val="006E55EF"/>
    <w:rsid w:val="006E56FC"/>
    <w:rsid w:val="006E5A2A"/>
    <w:rsid w:val="006E5D8C"/>
    <w:rsid w:val="006E5DBA"/>
    <w:rsid w:val="006E5EA7"/>
    <w:rsid w:val="006E5FF3"/>
    <w:rsid w:val="006E61A0"/>
    <w:rsid w:val="006E6207"/>
    <w:rsid w:val="006E638A"/>
    <w:rsid w:val="006E64FF"/>
    <w:rsid w:val="006E65DA"/>
    <w:rsid w:val="006E6622"/>
    <w:rsid w:val="006E6633"/>
    <w:rsid w:val="006E6729"/>
    <w:rsid w:val="006E6742"/>
    <w:rsid w:val="006E6928"/>
    <w:rsid w:val="006E6A33"/>
    <w:rsid w:val="006E6A38"/>
    <w:rsid w:val="006E6A9F"/>
    <w:rsid w:val="006E6C17"/>
    <w:rsid w:val="006E6E39"/>
    <w:rsid w:val="006E70B4"/>
    <w:rsid w:val="006E7156"/>
    <w:rsid w:val="006E7197"/>
    <w:rsid w:val="006E71CA"/>
    <w:rsid w:val="006E73F4"/>
    <w:rsid w:val="006E74F3"/>
    <w:rsid w:val="006E7798"/>
    <w:rsid w:val="006E77BA"/>
    <w:rsid w:val="006E786C"/>
    <w:rsid w:val="006E78E0"/>
    <w:rsid w:val="006E7A50"/>
    <w:rsid w:val="006E7B46"/>
    <w:rsid w:val="006E7D34"/>
    <w:rsid w:val="006E7D91"/>
    <w:rsid w:val="006E7DE2"/>
    <w:rsid w:val="006F0002"/>
    <w:rsid w:val="006F00D8"/>
    <w:rsid w:val="006F019D"/>
    <w:rsid w:val="006F03EF"/>
    <w:rsid w:val="006F0400"/>
    <w:rsid w:val="006F0611"/>
    <w:rsid w:val="006F08F7"/>
    <w:rsid w:val="006F090E"/>
    <w:rsid w:val="006F0932"/>
    <w:rsid w:val="006F09EB"/>
    <w:rsid w:val="006F0A6A"/>
    <w:rsid w:val="006F0AAF"/>
    <w:rsid w:val="006F0D00"/>
    <w:rsid w:val="006F0DE9"/>
    <w:rsid w:val="006F0EDF"/>
    <w:rsid w:val="006F1450"/>
    <w:rsid w:val="006F1453"/>
    <w:rsid w:val="006F14C0"/>
    <w:rsid w:val="006F1733"/>
    <w:rsid w:val="006F1843"/>
    <w:rsid w:val="006F191E"/>
    <w:rsid w:val="006F1CEB"/>
    <w:rsid w:val="006F1DFA"/>
    <w:rsid w:val="006F1F00"/>
    <w:rsid w:val="006F1F3A"/>
    <w:rsid w:val="006F2375"/>
    <w:rsid w:val="006F23CE"/>
    <w:rsid w:val="006F24C4"/>
    <w:rsid w:val="006F2797"/>
    <w:rsid w:val="006F288E"/>
    <w:rsid w:val="006F290C"/>
    <w:rsid w:val="006F2948"/>
    <w:rsid w:val="006F2AAB"/>
    <w:rsid w:val="006F2B8D"/>
    <w:rsid w:val="006F2BA3"/>
    <w:rsid w:val="006F2DF7"/>
    <w:rsid w:val="006F2E75"/>
    <w:rsid w:val="006F2EB4"/>
    <w:rsid w:val="006F3091"/>
    <w:rsid w:val="006F3168"/>
    <w:rsid w:val="006F329F"/>
    <w:rsid w:val="006F32F8"/>
    <w:rsid w:val="006F3331"/>
    <w:rsid w:val="006F3526"/>
    <w:rsid w:val="006F3538"/>
    <w:rsid w:val="006F36AE"/>
    <w:rsid w:val="006F3733"/>
    <w:rsid w:val="006F3759"/>
    <w:rsid w:val="006F37C3"/>
    <w:rsid w:val="006F37CA"/>
    <w:rsid w:val="006F3A19"/>
    <w:rsid w:val="006F3AFE"/>
    <w:rsid w:val="006F3BDB"/>
    <w:rsid w:val="006F4114"/>
    <w:rsid w:val="006F449F"/>
    <w:rsid w:val="006F4568"/>
    <w:rsid w:val="006F45E7"/>
    <w:rsid w:val="006F4881"/>
    <w:rsid w:val="006F4928"/>
    <w:rsid w:val="006F4963"/>
    <w:rsid w:val="006F497D"/>
    <w:rsid w:val="006F4A64"/>
    <w:rsid w:val="006F4BD5"/>
    <w:rsid w:val="006F4D21"/>
    <w:rsid w:val="006F4EAE"/>
    <w:rsid w:val="006F4ED2"/>
    <w:rsid w:val="006F512A"/>
    <w:rsid w:val="006F5150"/>
    <w:rsid w:val="006F57BD"/>
    <w:rsid w:val="006F5884"/>
    <w:rsid w:val="006F5891"/>
    <w:rsid w:val="006F5B92"/>
    <w:rsid w:val="006F5D1B"/>
    <w:rsid w:val="006F5E29"/>
    <w:rsid w:val="006F6131"/>
    <w:rsid w:val="006F624A"/>
    <w:rsid w:val="006F660B"/>
    <w:rsid w:val="006F682C"/>
    <w:rsid w:val="006F686A"/>
    <w:rsid w:val="006F697A"/>
    <w:rsid w:val="006F6B3E"/>
    <w:rsid w:val="006F6B72"/>
    <w:rsid w:val="006F6C1B"/>
    <w:rsid w:val="006F6C2F"/>
    <w:rsid w:val="006F6DDF"/>
    <w:rsid w:val="006F7041"/>
    <w:rsid w:val="006F71E6"/>
    <w:rsid w:val="006F73E4"/>
    <w:rsid w:val="006F7535"/>
    <w:rsid w:val="006F7599"/>
    <w:rsid w:val="006F76AD"/>
    <w:rsid w:val="006F7D24"/>
    <w:rsid w:val="006F7D7F"/>
    <w:rsid w:val="0070010D"/>
    <w:rsid w:val="00700129"/>
    <w:rsid w:val="007001B7"/>
    <w:rsid w:val="007002DD"/>
    <w:rsid w:val="00700905"/>
    <w:rsid w:val="0070094F"/>
    <w:rsid w:val="00700AD4"/>
    <w:rsid w:val="00700D7C"/>
    <w:rsid w:val="007010BC"/>
    <w:rsid w:val="00701323"/>
    <w:rsid w:val="00701362"/>
    <w:rsid w:val="007014BE"/>
    <w:rsid w:val="007014D5"/>
    <w:rsid w:val="0070150E"/>
    <w:rsid w:val="0070168A"/>
    <w:rsid w:val="0070173B"/>
    <w:rsid w:val="007018E3"/>
    <w:rsid w:val="007019CA"/>
    <w:rsid w:val="00701B63"/>
    <w:rsid w:val="00701C24"/>
    <w:rsid w:val="00701C4D"/>
    <w:rsid w:val="00701C8A"/>
    <w:rsid w:val="00701C91"/>
    <w:rsid w:val="007020AF"/>
    <w:rsid w:val="007023B1"/>
    <w:rsid w:val="007027EE"/>
    <w:rsid w:val="007028B5"/>
    <w:rsid w:val="00702999"/>
    <w:rsid w:val="0070299F"/>
    <w:rsid w:val="007029CA"/>
    <w:rsid w:val="00702A64"/>
    <w:rsid w:val="00702A7A"/>
    <w:rsid w:val="00702D2B"/>
    <w:rsid w:val="00702E72"/>
    <w:rsid w:val="00702EBF"/>
    <w:rsid w:val="00702FCE"/>
    <w:rsid w:val="0070313E"/>
    <w:rsid w:val="007031E3"/>
    <w:rsid w:val="007031F9"/>
    <w:rsid w:val="00703550"/>
    <w:rsid w:val="00703993"/>
    <w:rsid w:val="007039A7"/>
    <w:rsid w:val="00703B38"/>
    <w:rsid w:val="00703B90"/>
    <w:rsid w:val="00703BE2"/>
    <w:rsid w:val="00703CAE"/>
    <w:rsid w:val="0070418F"/>
    <w:rsid w:val="00704233"/>
    <w:rsid w:val="0070489B"/>
    <w:rsid w:val="00704908"/>
    <w:rsid w:val="00704961"/>
    <w:rsid w:val="00704C8C"/>
    <w:rsid w:val="00704D80"/>
    <w:rsid w:val="00704FE6"/>
    <w:rsid w:val="00705140"/>
    <w:rsid w:val="0070514C"/>
    <w:rsid w:val="00705159"/>
    <w:rsid w:val="007053FA"/>
    <w:rsid w:val="00705507"/>
    <w:rsid w:val="007055C8"/>
    <w:rsid w:val="0070560B"/>
    <w:rsid w:val="00705692"/>
    <w:rsid w:val="00705702"/>
    <w:rsid w:val="0070573A"/>
    <w:rsid w:val="007058D3"/>
    <w:rsid w:val="00705A66"/>
    <w:rsid w:val="00705AD4"/>
    <w:rsid w:val="00705F30"/>
    <w:rsid w:val="00705F81"/>
    <w:rsid w:val="00705F95"/>
    <w:rsid w:val="00706018"/>
    <w:rsid w:val="0070649C"/>
    <w:rsid w:val="00706574"/>
    <w:rsid w:val="007066F2"/>
    <w:rsid w:val="007067B5"/>
    <w:rsid w:val="00706840"/>
    <w:rsid w:val="00706971"/>
    <w:rsid w:val="007069DF"/>
    <w:rsid w:val="00706C2F"/>
    <w:rsid w:val="00706FDD"/>
    <w:rsid w:val="00707010"/>
    <w:rsid w:val="0070703C"/>
    <w:rsid w:val="0070736B"/>
    <w:rsid w:val="00707471"/>
    <w:rsid w:val="0070747D"/>
    <w:rsid w:val="00707499"/>
    <w:rsid w:val="0070751C"/>
    <w:rsid w:val="0070764B"/>
    <w:rsid w:val="00707816"/>
    <w:rsid w:val="00707F8F"/>
    <w:rsid w:val="00707FC3"/>
    <w:rsid w:val="0071018B"/>
    <w:rsid w:val="00710213"/>
    <w:rsid w:val="0071025D"/>
    <w:rsid w:val="007102BA"/>
    <w:rsid w:val="007104C5"/>
    <w:rsid w:val="007104DE"/>
    <w:rsid w:val="00710815"/>
    <w:rsid w:val="0071095D"/>
    <w:rsid w:val="007109DC"/>
    <w:rsid w:val="00710A91"/>
    <w:rsid w:val="00710CF3"/>
    <w:rsid w:val="00710D53"/>
    <w:rsid w:val="00710EE6"/>
    <w:rsid w:val="00710FCC"/>
    <w:rsid w:val="007110FD"/>
    <w:rsid w:val="0071194D"/>
    <w:rsid w:val="00711996"/>
    <w:rsid w:val="00711B28"/>
    <w:rsid w:val="00711C55"/>
    <w:rsid w:val="00711CE4"/>
    <w:rsid w:val="00711CFC"/>
    <w:rsid w:val="00711E8C"/>
    <w:rsid w:val="00711EBB"/>
    <w:rsid w:val="007120EA"/>
    <w:rsid w:val="0071233A"/>
    <w:rsid w:val="00712369"/>
    <w:rsid w:val="00712831"/>
    <w:rsid w:val="00712B7A"/>
    <w:rsid w:val="00712BCB"/>
    <w:rsid w:val="00712BF3"/>
    <w:rsid w:val="00712C2A"/>
    <w:rsid w:val="00712D4D"/>
    <w:rsid w:val="00712DB1"/>
    <w:rsid w:val="00712ED7"/>
    <w:rsid w:val="00712ED9"/>
    <w:rsid w:val="00712FD9"/>
    <w:rsid w:val="007130C6"/>
    <w:rsid w:val="007133B9"/>
    <w:rsid w:val="00713483"/>
    <w:rsid w:val="00713520"/>
    <w:rsid w:val="007136E8"/>
    <w:rsid w:val="00713768"/>
    <w:rsid w:val="00713B72"/>
    <w:rsid w:val="00713CA6"/>
    <w:rsid w:val="00713CB3"/>
    <w:rsid w:val="00713E74"/>
    <w:rsid w:val="00713F32"/>
    <w:rsid w:val="00713F86"/>
    <w:rsid w:val="007140E8"/>
    <w:rsid w:val="007140F3"/>
    <w:rsid w:val="0071485C"/>
    <w:rsid w:val="00714911"/>
    <w:rsid w:val="00714919"/>
    <w:rsid w:val="00714AD8"/>
    <w:rsid w:val="00714ADE"/>
    <w:rsid w:val="00714B5C"/>
    <w:rsid w:val="00714C3C"/>
    <w:rsid w:val="00714C98"/>
    <w:rsid w:val="00714CA6"/>
    <w:rsid w:val="00715170"/>
    <w:rsid w:val="0071527E"/>
    <w:rsid w:val="007152CD"/>
    <w:rsid w:val="007152F1"/>
    <w:rsid w:val="007153F5"/>
    <w:rsid w:val="0071545B"/>
    <w:rsid w:val="00715528"/>
    <w:rsid w:val="00715795"/>
    <w:rsid w:val="007158A5"/>
    <w:rsid w:val="00715AB5"/>
    <w:rsid w:val="00715B09"/>
    <w:rsid w:val="00715C31"/>
    <w:rsid w:val="00715DE6"/>
    <w:rsid w:val="00715F2B"/>
    <w:rsid w:val="00715F6F"/>
    <w:rsid w:val="00715FE7"/>
    <w:rsid w:val="0071604C"/>
    <w:rsid w:val="0071613F"/>
    <w:rsid w:val="00716326"/>
    <w:rsid w:val="0071672E"/>
    <w:rsid w:val="007167F7"/>
    <w:rsid w:val="007168B9"/>
    <w:rsid w:val="007169BF"/>
    <w:rsid w:val="00716FFF"/>
    <w:rsid w:val="00717092"/>
    <w:rsid w:val="007170FD"/>
    <w:rsid w:val="007171EA"/>
    <w:rsid w:val="00717448"/>
    <w:rsid w:val="0071748B"/>
    <w:rsid w:val="007174C2"/>
    <w:rsid w:val="0071765A"/>
    <w:rsid w:val="00717665"/>
    <w:rsid w:val="007178AA"/>
    <w:rsid w:val="0071795B"/>
    <w:rsid w:val="00717D40"/>
    <w:rsid w:val="00720450"/>
    <w:rsid w:val="0072074D"/>
    <w:rsid w:val="007207AC"/>
    <w:rsid w:val="007207C7"/>
    <w:rsid w:val="00720883"/>
    <w:rsid w:val="00720A44"/>
    <w:rsid w:val="00720A92"/>
    <w:rsid w:val="00720F0F"/>
    <w:rsid w:val="0072107B"/>
    <w:rsid w:val="007210B4"/>
    <w:rsid w:val="00721343"/>
    <w:rsid w:val="00721417"/>
    <w:rsid w:val="00721576"/>
    <w:rsid w:val="00721706"/>
    <w:rsid w:val="007217A3"/>
    <w:rsid w:val="00721B69"/>
    <w:rsid w:val="00721C5E"/>
    <w:rsid w:val="00721DBA"/>
    <w:rsid w:val="00721F47"/>
    <w:rsid w:val="00721F83"/>
    <w:rsid w:val="00722468"/>
    <w:rsid w:val="007224C6"/>
    <w:rsid w:val="007225C7"/>
    <w:rsid w:val="00722691"/>
    <w:rsid w:val="007228AF"/>
    <w:rsid w:val="007228CA"/>
    <w:rsid w:val="007229B4"/>
    <w:rsid w:val="00722B6D"/>
    <w:rsid w:val="00722CCE"/>
    <w:rsid w:val="00722D02"/>
    <w:rsid w:val="00722E57"/>
    <w:rsid w:val="00722F2A"/>
    <w:rsid w:val="0072345F"/>
    <w:rsid w:val="00723720"/>
    <w:rsid w:val="00723A5E"/>
    <w:rsid w:val="00723B92"/>
    <w:rsid w:val="00723BC4"/>
    <w:rsid w:val="007240A0"/>
    <w:rsid w:val="007241ED"/>
    <w:rsid w:val="007241F8"/>
    <w:rsid w:val="00724269"/>
    <w:rsid w:val="00724350"/>
    <w:rsid w:val="0072443C"/>
    <w:rsid w:val="007245F4"/>
    <w:rsid w:val="007246E6"/>
    <w:rsid w:val="007248D6"/>
    <w:rsid w:val="007249B9"/>
    <w:rsid w:val="00724B76"/>
    <w:rsid w:val="00724C1A"/>
    <w:rsid w:val="00724C20"/>
    <w:rsid w:val="00724D5D"/>
    <w:rsid w:val="00724F5D"/>
    <w:rsid w:val="00724F69"/>
    <w:rsid w:val="007253BE"/>
    <w:rsid w:val="0072558A"/>
    <w:rsid w:val="00725742"/>
    <w:rsid w:val="00725767"/>
    <w:rsid w:val="00725794"/>
    <w:rsid w:val="007257B5"/>
    <w:rsid w:val="00725AF9"/>
    <w:rsid w:val="00725B31"/>
    <w:rsid w:val="00725DB6"/>
    <w:rsid w:val="00725F8C"/>
    <w:rsid w:val="00725F91"/>
    <w:rsid w:val="007262D0"/>
    <w:rsid w:val="007262E9"/>
    <w:rsid w:val="00726333"/>
    <w:rsid w:val="007263BA"/>
    <w:rsid w:val="00726603"/>
    <w:rsid w:val="00726766"/>
    <w:rsid w:val="007267BA"/>
    <w:rsid w:val="007268DA"/>
    <w:rsid w:val="007269D6"/>
    <w:rsid w:val="00726A76"/>
    <w:rsid w:val="00726AE8"/>
    <w:rsid w:val="00726B6D"/>
    <w:rsid w:val="00726CD9"/>
    <w:rsid w:val="00726F3F"/>
    <w:rsid w:val="007271B5"/>
    <w:rsid w:val="007271ED"/>
    <w:rsid w:val="00727621"/>
    <w:rsid w:val="007276F4"/>
    <w:rsid w:val="00727C6E"/>
    <w:rsid w:val="00727D75"/>
    <w:rsid w:val="00727E69"/>
    <w:rsid w:val="00727E8F"/>
    <w:rsid w:val="00730097"/>
    <w:rsid w:val="0073036D"/>
    <w:rsid w:val="00730407"/>
    <w:rsid w:val="0073083A"/>
    <w:rsid w:val="007308EF"/>
    <w:rsid w:val="007309A1"/>
    <w:rsid w:val="00730C6A"/>
    <w:rsid w:val="00730D98"/>
    <w:rsid w:val="00730E3D"/>
    <w:rsid w:val="00730FA4"/>
    <w:rsid w:val="00731161"/>
    <w:rsid w:val="007312C0"/>
    <w:rsid w:val="0073143A"/>
    <w:rsid w:val="00731816"/>
    <w:rsid w:val="00731870"/>
    <w:rsid w:val="00731883"/>
    <w:rsid w:val="00731A53"/>
    <w:rsid w:val="00731B07"/>
    <w:rsid w:val="00731B78"/>
    <w:rsid w:val="00731D52"/>
    <w:rsid w:val="00731E42"/>
    <w:rsid w:val="00732061"/>
    <w:rsid w:val="00732102"/>
    <w:rsid w:val="00732127"/>
    <w:rsid w:val="00732179"/>
    <w:rsid w:val="00732A0B"/>
    <w:rsid w:val="00732A22"/>
    <w:rsid w:val="00732ADB"/>
    <w:rsid w:val="00732B55"/>
    <w:rsid w:val="00732EC7"/>
    <w:rsid w:val="007332B5"/>
    <w:rsid w:val="007335CA"/>
    <w:rsid w:val="00733687"/>
    <w:rsid w:val="00733926"/>
    <w:rsid w:val="00733A7E"/>
    <w:rsid w:val="00733AAC"/>
    <w:rsid w:val="00733B01"/>
    <w:rsid w:val="00733B9A"/>
    <w:rsid w:val="00733CD0"/>
    <w:rsid w:val="00733D0B"/>
    <w:rsid w:val="00733E06"/>
    <w:rsid w:val="00733E6E"/>
    <w:rsid w:val="00733F20"/>
    <w:rsid w:val="00733F47"/>
    <w:rsid w:val="00733F54"/>
    <w:rsid w:val="00733FD0"/>
    <w:rsid w:val="00734065"/>
    <w:rsid w:val="007340D0"/>
    <w:rsid w:val="007340F1"/>
    <w:rsid w:val="00734267"/>
    <w:rsid w:val="00734426"/>
    <w:rsid w:val="0073453A"/>
    <w:rsid w:val="007345AC"/>
    <w:rsid w:val="007346FD"/>
    <w:rsid w:val="007347A6"/>
    <w:rsid w:val="007348FF"/>
    <w:rsid w:val="00734A38"/>
    <w:rsid w:val="00734C1A"/>
    <w:rsid w:val="00734C33"/>
    <w:rsid w:val="00734F41"/>
    <w:rsid w:val="00734F49"/>
    <w:rsid w:val="00734FAD"/>
    <w:rsid w:val="00735107"/>
    <w:rsid w:val="007351F0"/>
    <w:rsid w:val="00735250"/>
    <w:rsid w:val="00735278"/>
    <w:rsid w:val="007354A1"/>
    <w:rsid w:val="0073583F"/>
    <w:rsid w:val="007358DC"/>
    <w:rsid w:val="00735A52"/>
    <w:rsid w:val="00735AE6"/>
    <w:rsid w:val="00735AFC"/>
    <w:rsid w:val="00735D48"/>
    <w:rsid w:val="00735E67"/>
    <w:rsid w:val="0073627A"/>
    <w:rsid w:val="007363B7"/>
    <w:rsid w:val="00736509"/>
    <w:rsid w:val="00736650"/>
    <w:rsid w:val="00736A7A"/>
    <w:rsid w:val="00736C72"/>
    <w:rsid w:val="00736DDA"/>
    <w:rsid w:val="007373D3"/>
    <w:rsid w:val="0073785B"/>
    <w:rsid w:val="0073789E"/>
    <w:rsid w:val="00737ACD"/>
    <w:rsid w:val="00737B07"/>
    <w:rsid w:val="00737CF6"/>
    <w:rsid w:val="00737F55"/>
    <w:rsid w:val="00740068"/>
    <w:rsid w:val="007402C7"/>
    <w:rsid w:val="00740344"/>
    <w:rsid w:val="0074040F"/>
    <w:rsid w:val="007404E8"/>
    <w:rsid w:val="00740571"/>
    <w:rsid w:val="007406A2"/>
    <w:rsid w:val="00740721"/>
    <w:rsid w:val="0074075D"/>
    <w:rsid w:val="00740794"/>
    <w:rsid w:val="00740884"/>
    <w:rsid w:val="00740A42"/>
    <w:rsid w:val="00740B1F"/>
    <w:rsid w:val="00740C55"/>
    <w:rsid w:val="00740C66"/>
    <w:rsid w:val="00740D57"/>
    <w:rsid w:val="00740E47"/>
    <w:rsid w:val="00740E71"/>
    <w:rsid w:val="00740EAA"/>
    <w:rsid w:val="00741020"/>
    <w:rsid w:val="00741118"/>
    <w:rsid w:val="007412E4"/>
    <w:rsid w:val="0074164A"/>
    <w:rsid w:val="00741684"/>
    <w:rsid w:val="0074168B"/>
    <w:rsid w:val="00741690"/>
    <w:rsid w:val="00741854"/>
    <w:rsid w:val="00741882"/>
    <w:rsid w:val="00741BDA"/>
    <w:rsid w:val="00741C29"/>
    <w:rsid w:val="00741D4D"/>
    <w:rsid w:val="00741E10"/>
    <w:rsid w:val="00741E85"/>
    <w:rsid w:val="00741F65"/>
    <w:rsid w:val="00742057"/>
    <w:rsid w:val="00742114"/>
    <w:rsid w:val="007422F1"/>
    <w:rsid w:val="007424F8"/>
    <w:rsid w:val="007425D8"/>
    <w:rsid w:val="00742691"/>
    <w:rsid w:val="00742AB6"/>
    <w:rsid w:val="00742B18"/>
    <w:rsid w:val="00742DF5"/>
    <w:rsid w:val="00742EA2"/>
    <w:rsid w:val="007430D5"/>
    <w:rsid w:val="007431AE"/>
    <w:rsid w:val="00743228"/>
    <w:rsid w:val="00743368"/>
    <w:rsid w:val="007433B4"/>
    <w:rsid w:val="0074360F"/>
    <w:rsid w:val="00743A8A"/>
    <w:rsid w:val="00743AC2"/>
    <w:rsid w:val="00743BAB"/>
    <w:rsid w:val="00743CF6"/>
    <w:rsid w:val="00743DA7"/>
    <w:rsid w:val="00743E7A"/>
    <w:rsid w:val="0074429B"/>
    <w:rsid w:val="007443C6"/>
    <w:rsid w:val="007445CD"/>
    <w:rsid w:val="0074470B"/>
    <w:rsid w:val="00744730"/>
    <w:rsid w:val="007448FD"/>
    <w:rsid w:val="00744BE3"/>
    <w:rsid w:val="00744C9A"/>
    <w:rsid w:val="00744D2A"/>
    <w:rsid w:val="00744F7D"/>
    <w:rsid w:val="0074514F"/>
    <w:rsid w:val="00745165"/>
    <w:rsid w:val="007452EE"/>
    <w:rsid w:val="0074536E"/>
    <w:rsid w:val="00745640"/>
    <w:rsid w:val="0074569F"/>
    <w:rsid w:val="007458C1"/>
    <w:rsid w:val="00745977"/>
    <w:rsid w:val="007459B1"/>
    <w:rsid w:val="00745B7B"/>
    <w:rsid w:val="00745E64"/>
    <w:rsid w:val="00745F22"/>
    <w:rsid w:val="0074621C"/>
    <w:rsid w:val="00746263"/>
    <w:rsid w:val="0074657A"/>
    <w:rsid w:val="007465E9"/>
    <w:rsid w:val="007465F2"/>
    <w:rsid w:val="0074660B"/>
    <w:rsid w:val="0074667B"/>
    <w:rsid w:val="00746702"/>
    <w:rsid w:val="0074673A"/>
    <w:rsid w:val="007469BE"/>
    <w:rsid w:val="00746AC1"/>
    <w:rsid w:val="00746BF2"/>
    <w:rsid w:val="00746C72"/>
    <w:rsid w:val="00746CDF"/>
    <w:rsid w:val="00746E2B"/>
    <w:rsid w:val="007472A0"/>
    <w:rsid w:val="00747325"/>
    <w:rsid w:val="007473F8"/>
    <w:rsid w:val="00747512"/>
    <w:rsid w:val="00747770"/>
    <w:rsid w:val="007477CF"/>
    <w:rsid w:val="00747883"/>
    <w:rsid w:val="00747BA6"/>
    <w:rsid w:val="00747C7D"/>
    <w:rsid w:val="00747C96"/>
    <w:rsid w:val="00747EEA"/>
    <w:rsid w:val="00747F68"/>
    <w:rsid w:val="00750092"/>
    <w:rsid w:val="007500BD"/>
    <w:rsid w:val="0075026F"/>
    <w:rsid w:val="00750341"/>
    <w:rsid w:val="007503B6"/>
    <w:rsid w:val="007505CB"/>
    <w:rsid w:val="00750642"/>
    <w:rsid w:val="007507DE"/>
    <w:rsid w:val="007508D6"/>
    <w:rsid w:val="007509C9"/>
    <w:rsid w:val="00750A75"/>
    <w:rsid w:val="00750E89"/>
    <w:rsid w:val="0075125F"/>
    <w:rsid w:val="00751373"/>
    <w:rsid w:val="00751519"/>
    <w:rsid w:val="007516BD"/>
    <w:rsid w:val="0075177A"/>
    <w:rsid w:val="007518DF"/>
    <w:rsid w:val="007519E3"/>
    <w:rsid w:val="00751BEB"/>
    <w:rsid w:val="00751C91"/>
    <w:rsid w:val="00751D5A"/>
    <w:rsid w:val="00751E84"/>
    <w:rsid w:val="00751E90"/>
    <w:rsid w:val="00752085"/>
    <w:rsid w:val="0075229D"/>
    <w:rsid w:val="0075253B"/>
    <w:rsid w:val="0075256F"/>
    <w:rsid w:val="007526B8"/>
    <w:rsid w:val="0075281D"/>
    <w:rsid w:val="007528AA"/>
    <w:rsid w:val="007529EF"/>
    <w:rsid w:val="00752A2C"/>
    <w:rsid w:val="00752B5B"/>
    <w:rsid w:val="00752BA9"/>
    <w:rsid w:val="00752C19"/>
    <w:rsid w:val="00752FC7"/>
    <w:rsid w:val="007530BC"/>
    <w:rsid w:val="007530FB"/>
    <w:rsid w:val="007534C0"/>
    <w:rsid w:val="00753785"/>
    <w:rsid w:val="00753F95"/>
    <w:rsid w:val="00753F97"/>
    <w:rsid w:val="007541B9"/>
    <w:rsid w:val="007541E7"/>
    <w:rsid w:val="007541F3"/>
    <w:rsid w:val="00754205"/>
    <w:rsid w:val="0075423A"/>
    <w:rsid w:val="007542CA"/>
    <w:rsid w:val="00754316"/>
    <w:rsid w:val="00754486"/>
    <w:rsid w:val="00754700"/>
    <w:rsid w:val="007547C4"/>
    <w:rsid w:val="00754800"/>
    <w:rsid w:val="00754972"/>
    <w:rsid w:val="00754975"/>
    <w:rsid w:val="00754A38"/>
    <w:rsid w:val="00754AA6"/>
    <w:rsid w:val="00754AAF"/>
    <w:rsid w:val="00754C1D"/>
    <w:rsid w:val="00754CD0"/>
    <w:rsid w:val="00754DA6"/>
    <w:rsid w:val="00754DE5"/>
    <w:rsid w:val="00754E0D"/>
    <w:rsid w:val="00754E45"/>
    <w:rsid w:val="007551E3"/>
    <w:rsid w:val="0075525C"/>
    <w:rsid w:val="0075535A"/>
    <w:rsid w:val="007554E8"/>
    <w:rsid w:val="00755507"/>
    <w:rsid w:val="0075551C"/>
    <w:rsid w:val="007555AB"/>
    <w:rsid w:val="00755698"/>
    <w:rsid w:val="00755887"/>
    <w:rsid w:val="0075593E"/>
    <w:rsid w:val="00755980"/>
    <w:rsid w:val="00755A09"/>
    <w:rsid w:val="00755A22"/>
    <w:rsid w:val="00755A4D"/>
    <w:rsid w:val="00755B8E"/>
    <w:rsid w:val="00755CAD"/>
    <w:rsid w:val="00755CE2"/>
    <w:rsid w:val="00755D35"/>
    <w:rsid w:val="00755DC4"/>
    <w:rsid w:val="00755EC3"/>
    <w:rsid w:val="007561C5"/>
    <w:rsid w:val="00756387"/>
    <w:rsid w:val="007564F0"/>
    <w:rsid w:val="0075668A"/>
    <w:rsid w:val="00756731"/>
    <w:rsid w:val="0075687A"/>
    <w:rsid w:val="00756B07"/>
    <w:rsid w:val="00756C70"/>
    <w:rsid w:val="00756D94"/>
    <w:rsid w:val="00756E3C"/>
    <w:rsid w:val="00756F8B"/>
    <w:rsid w:val="00756FA6"/>
    <w:rsid w:val="00757023"/>
    <w:rsid w:val="00757496"/>
    <w:rsid w:val="0075749C"/>
    <w:rsid w:val="0075757E"/>
    <w:rsid w:val="00757631"/>
    <w:rsid w:val="00757A50"/>
    <w:rsid w:val="00757BCA"/>
    <w:rsid w:val="00757D5A"/>
    <w:rsid w:val="00760028"/>
    <w:rsid w:val="00760096"/>
    <w:rsid w:val="0076012D"/>
    <w:rsid w:val="00760473"/>
    <w:rsid w:val="007605D7"/>
    <w:rsid w:val="0076081E"/>
    <w:rsid w:val="0076091E"/>
    <w:rsid w:val="0076096B"/>
    <w:rsid w:val="00760C0F"/>
    <w:rsid w:val="00760CA0"/>
    <w:rsid w:val="00760E94"/>
    <w:rsid w:val="00761015"/>
    <w:rsid w:val="007610D6"/>
    <w:rsid w:val="00761255"/>
    <w:rsid w:val="007613A6"/>
    <w:rsid w:val="007617A7"/>
    <w:rsid w:val="00761974"/>
    <w:rsid w:val="00761B8E"/>
    <w:rsid w:val="00761F15"/>
    <w:rsid w:val="00762199"/>
    <w:rsid w:val="0076220A"/>
    <w:rsid w:val="007625E2"/>
    <w:rsid w:val="0076264F"/>
    <w:rsid w:val="007626D1"/>
    <w:rsid w:val="0076296C"/>
    <w:rsid w:val="00762B20"/>
    <w:rsid w:val="00762D20"/>
    <w:rsid w:val="00762F14"/>
    <w:rsid w:val="00762FB4"/>
    <w:rsid w:val="0076371F"/>
    <w:rsid w:val="00763B33"/>
    <w:rsid w:val="00763B9A"/>
    <w:rsid w:val="00763E04"/>
    <w:rsid w:val="00763E9F"/>
    <w:rsid w:val="00763F48"/>
    <w:rsid w:val="0076407C"/>
    <w:rsid w:val="00764087"/>
    <w:rsid w:val="007640F0"/>
    <w:rsid w:val="0076412D"/>
    <w:rsid w:val="00764254"/>
    <w:rsid w:val="007643BD"/>
    <w:rsid w:val="0076441E"/>
    <w:rsid w:val="00764434"/>
    <w:rsid w:val="0076467B"/>
    <w:rsid w:val="00764AF0"/>
    <w:rsid w:val="00764B32"/>
    <w:rsid w:val="00764C37"/>
    <w:rsid w:val="00764C46"/>
    <w:rsid w:val="00764C78"/>
    <w:rsid w:val="00764FBE"/>
    <w:rsid w:val="00765128"/>
    <w:rsid w:val="007653B2"/>
    <w:rsid w:val="007653EB"/>
    <w:rsid w:val="00765487"/>
    <w:rsid w:val="0076552C"/>
    <w:rsid w:val="00765878"/>
    <w:rsid w:val="00765884"/>
    <w:rsid w:val="0076591B"/>
    <w:rsid w:val="00765D10"/>
    <w:rsid w:val="00766304"/>
    <w:rsid w:val="00766361"/>
    <w:rsid w:val="0076664A"/>
    <w:rsid w:val="0076698B"/>
    <w:rsid w:val="00766AAD"/>
    <w:rsid w:val="00766BA1"/>
    <w:rsid w:val="00766CDE"/>
    <w:rsid w:val="00766D7B"/>
    <w:rsid w:val="00766D83"/>
    <w:rsid w:val="00766E1F"/>
    <w:rsid w:val="00766FCD"/>
    <w:rsid w:val="00767020"/>
    <w:rsid w:val="00767066"/>
    <w:rsid w:val="007670BA"/>
    <w:rsid w:val="0076710D"/>
    <w:rsid w:val="007671AF"/>
    <w:rsid w:val="007672D5"/>
    <w:rsid w:val="0076742B"/>
    <w:rsid w:val="0076750E"/>
    <w:rsid w:val="00767581"/>
    <w:rsid w:val="007675E3"/>
    <w:rsid w:val="007675E8"/>
    <w:rsid w:val="00767745"/>
    <w:rsid w:val="00767765"/>
    <w:rsid w:val="0076799E"/>
    <w:rsid w:val="00767CA0"/>
    <w:rsid w:val="00767CC0"/>
    <w:rsid w:val="00767E31"/>
    <w:rsid w:val="00767FF6"/>
    <w:rsid w:val="00770228"/>
    <w:rsid w:val="007702C1"/>
    <w:rsid w:val="007703C9"/>
    <w:rsid w:val="00770674"/>
    <w:rsid w:val="00770870"/>
    <w:rsid w:val="007709AE"/>
    <w:rsid w:val="00770A05"/>
    <w:rsid w:val="00770AD0"/>
    <w:rsid w:val="00770AF0"/>
    <w:rsid w:val="00770BEA"/>
    <w:rsid w:val="00770D9D"/>
    <w:rsid w:val="007712DB"/>
    <w:rsid w:val="0077145E"/>
    <w:rsid w:val="00771507"/>
    <w:rsid w:val="007717A5"/>
    <w:rsid w:val="007719CB"/>
    <w:rsid w:val="00771D34"/>
    <w:rsid w:val="00771D72"/>
    <w:rsid w:val="00771DB2"/>
    <w:rsid w:val="00771EBF"/>
    <w:rsid w:val="007720C2"/>
    <w:rsid w:val="0077219A"/>
    <w:rsid w:val="007721E9"/>
    <w:rsid w:val="007721F8"/>
    <w:rsid w:val="007723EB"/>
    <w:rsid w:val="00772A9D"/>
    <w:rsid w:val="00772B1F"/>
    <w:rsid w:val="00772B47"/>
    <w:rsid w:val="00772C26"/>
    <w:rsid w:val="00772CF9"/>
    <w:rsid w:val="00772F6F"/>
    <w:rsid w:val="007731E0"/>
    <w:rsid w:val="00773386"/>
    <w:rsid w:val="0077342E"/>
    <w:rsid w:val="007736AB"/>
    <w:rsid w:val="007736E7"/>
    <w:rsid w:val="00773721"/>
    <w:rsid w:val="0077375A"/>
    <w:rsid w:val="007737AC"/>
    <w:rsid w:val="00773803"/>
    <w:rsid w:val="00773A0B"/>
    <w:rsid w:val="00773D96"/>
    <w:rsid w:val="00774038"/>
    <w:rsid w:val="007740F5"/>
    <w:rsid w:val="00774281"/>
    <w:rsid w:val="007743F6"/>
    <w:rsid w:val="0077444A"/>
    <w:rsid w:val="0077466F"/>
    <w:rsid w:val="00774878"/>
    <w:rsid w:val="007749F8"/>
    <w:rsid w:val="00774A3E"/>
    <w:rsid w:val="00774BDA"/>
    <w:rsid w:val="00774D25"/>
    <w:rsid w:val="007750E6"/>
    <w:rsid w:val="007750F5"/>
    <w:rsid w:val="0077514A"/>
    <w:rsid w:val="0077536E"/>
    <w:rsid w:val="00775408"/>
    <w:rsid w:val="00775448"/>
    <w:rsid w:val="007758CB"/>
    <w:rsid w:val="007758F9"/>
    <w:rsid w:val="0077590A"/>
    <w:rsid w:val="00775983"/>
    <w:rsid w:val="0077598C"/>
    <w:rsid w:val="007759BA"/>
    <w:rsid w:val="00775A6F"/>
    <w:rsid w:val="00775AD2"/>
    <w:rsid w:val="00775B5D"/>
    <w:rsid w:val="00775B64"/>
    <w:rsid w:val="00775BA8"/>
    <w:rsid w:val="00775BB9"/>
    <w:rsid w:val="00775E24"/>
    <w:rsid w:val="00775F0D"/>
    <w:rsid w:val="00775F5E"/>
    <w:rsid w:val="0077606E"/>
    <w:rsid w:val="007760B4"/>
    <w:rsid w:val="007760CC"/>
    <w:rsid w:val="0077619F"/>
    <w:rsid w:val="00776200"/>
    <w:rsid w:val="007763B8"/>
    <w:rsid w:val="007763EE"/>
    <w:rsid w:val="00776504"/>
    <w:rsid w:val="00776527"/>
    <w:rsid w:val="00776639"/>
    <w:rsid w:val="00776699"/>
    <w:rsid w:val="00776794"/>
    <w:rsid w:val="007767BE"/>
    <w:rsid w:val="00776964"/>
    <w:rsid w:val="00776AC5"/>
    <w:rsid w:val="00776ACE"/>
    <w:rsid w:val="00776B57"/>
    <w:rsid w:val="00776CEE"/>
    <w:rsid w:val="00776EB8"/>
    <w:rsid w:val="00776FDF"/>
    <w:rsid w:val="00777247"/>
    <w:rsid w:val="007772CC"/>
    <w:rsid w:val="0077736E"/>
    <w:rsid w:val="0077741C"/>
    <w:rsid w:val="0077775B"/>
    <w:rsid w:val="00777923"/>
    <w:rsid w:val="00777AC3"/>
    <w:rsid w:val="00777DDD"/>
    <w:rsid w:val="00780898"/>
    <w:rsid w:val="00780D9E"/>
    <w:rsid w:val="00780DB5"/>
    <w:rsid w:val="00780E45"/>
    <w:rsid w:val="00780E8C"/>
    <w:rsid w:val="007814B5"/>
    <w:rsid w:val="00781814"/>
    <w:rsid w:val="00781838"/>
    <w:rsid w:val="00781901"/>
    <w:rsid w:val="0078194E"/>
    <w:rsid w:val="00781AEB"/>
    <w:rsid w:val="00781B9C"/>
    <w:rsid w:val="00781BDF"/>
    <w:rsid w:val="00781C7E"/>
    <w:rsid w:val="00781EA2"/>
    <w:rsid w:val="00781F40"/>
    <w:rsid w:val="007820A5"/>
    <w:rsid w:val="007822B2"/>
    <w:rsid w:val="007822DD"/>
    <w:rsid w:val="0078233D"/>
    <w:rsid w:val="00782407"/>
    <w:rsid w:val="007824A4"/>
    <w:rsid w:val="007824F1"/>
    <w:rsid w:val="0078265B"/>
    <w:rsid w:val="0078266D"/>
    <w:rsid w:val="007828AF"/>
    <w:rsid w:val="0078299E"/>
    <w:rsid w:val="007829CA"/>
    <w:rsid w:val="007829D6"/>
    <w:rsid w:val="00782A42"/>
    <w:rsid w:val="00782B00"/>
    <w:rsid w:val="00782B85"/>
    <w:rsid w:val="00782D9E"/>
    <w:rsid w:val="00782DF9"/>
    <w:rsid w:val="00782E8E"/>
    <w:rsid w:val="00782F1D"/>
    <w:rsid w:val="00782F38"/>
    <w:rsid w:val="007832E6"/>
    <w:rsid w:val="00783691"/>
    <w:rsid w:val="007836D2"/>
    <w:rsid w:val="007837A0"/>
    <w:rsid w:val="007837D4"/>
    <w:rsid w:val="00783858"/>
    <w:rsid w:val="007838B5"/>
    <w:rsid w:val="00783933"/>
    <w:rsid w:val="0078393A"/>
    <w:rsid w:val="007839EC"/>
    <w:rsid w:val="00783A96"/>
    <w:rsid w:val="00783D42"/>
    <w:rsid w:val="00783EB7"/>
    <w:rsid w:val="0078405D"/>
    <w:rsid w:val="007844EB"/>
    <w:rsid w:val="007846C4"/>
    <w:rsid w:val="00784736"/>
    <w:rsid w:val="00784943"/>
    <w:rsid w:val="00784D93"/>
    <w:rsid w:val="00784E08"/>
    <w:rsid w:val="00784F9E"/>
    <w:rsid w:val="0078508A"/>
    <w:rsid w:val="007850C1"/>
    <w:rsid w:val="0078522C"/>
    <w:rsid w:val="00785233"/>
    <w:rsid w:val="00785340"/>
    <w:rsid w:val="0078539B"/>
    <w:rsid w:val="0078556F"/>
    <w:rsid w:val="007857B0"/>
    <w:rsid w:val="007857B5"/>
    <w:rsid w:val="0078590F"/>
    <w:rsid w:val="0078599E"/>
    <w:rsid w:val="00785AE8"/>
    <w:rsid w:val="00785BD6"/>
    <w:rsid w:val="00785F8A"/>
    <w:rsid w:val="00786099"/>
    <w:rsid w:val="007860EC"/>
    <w:rsid w:val="007860FC"/>
    <w:rsid w:val="00786179"/>
    <w:rsid w:val="0078653C"/>
    <w:rsid w:val="00786747"/>
    <w:rsid w:val="00786CAA"/>
    <w:rsid w:val="00786CD1"/>
    <w:rsid w:val="00786E25"/>
    <w:rsid w:val="00786E2D"/>
    <w:rsid w:val="00786E7A"/>
    <w:rsid w:val="00786E9D"/>
    <w:rsid w:val="00786FBA"/>
    <w:rsid w:val="00787252"/>
    <w:rsid w:val="00787614"/>
    <w:rsid w:val="00787734"/>
    <w:rsid w:val="0078793B"/>
    <w:rsid w:val="00787A5D"/>
    <w:rsid w:val="00787A88"/>
    <w:rsid w:val="00787CCC"/>
    <w:rsid w:val="00787D55"/>
    <w:rsid w:val="00787FB6"/>
    <w:rsid w:val="0079015E"/>
    <w:rsid w:val="007901B9"/>
    <w:rsid w:val="00790476"/>
    <w:rsid w:val="007904F9"/>
    <w:rsid w:val="007905FB"/>
    <w:rsid w:val="0079067D"/>
    <w:rsid w:val="00790709"/>
    <w:rsid w:val="007908F6"/>
    <w:rsid w:val="00790BB3"/>
    <w:rsid w:val="00790BE5"/>
    <w:rsid w:val="00790CC4"/>
    <w:rsid w:val="00790CE0"/>
    <w:rsid w:val="00790D84"/>
    <w:rsid w:val="00790FA1"/>
    <w:rsid w:val="0079118C"/>
    <w:rsid w:val="00791228"/>
    <w:rsid w:val="007913B4"/>
    <w:rsid w:val="007913CE"/>
    <w:rsid w:val="007914D0"/>
    <w:rsid w:val="00791644"/>
    <w:rsid w:val="00791B75"/>
    <w:rsid w:val="00791C7B"/>
    <w:rsid w:val="00791C86"/>
    <w:rsid w:val="00791D34"/>
    <w:rsid w:val="00791D59"/>
    <w:rsid w:val="00791EE5"/>
    <w:rsid w:val="00792060"/>
    <w:rsid w:val="007920B8"/>
    <w:rsid w:val="007922B4"/>
    <w:rsid w:val="007922DE"/>
    <w:rsid w:val="007922F1"/>
    <w:rsid w:val="00792401"/>
    <w:rsid w:val="00792619"/>
    <w:rsid w:val="0079269C"/>
    <w:rsid w:val="007926CE"/>
    <w:rsid w:val="007927DD"/>
    <w:rsid w:val="007927EA"/>
    <w:rsid w:val="00792F42"/>
    <w:rsid w:val="0079307B"/>
    <w:rsid w:val="007930B5"/>
    <w:rsid w:val="007932CF"/>
    <w:rsid w:val="00793305"/>
    <w:rsid w:val="007933C5"/>
    <w:rsid w:val="00793544"/>
    <w:rsid w:val="007935FB"/>
    <w:rsid w:val="00793795"/>
    <w:rsid w:val="007937B1"/>
    <w:rsid w:val="007937B7"/>
    <w:rsid w:val="00793960"/>
    <w:rsid w:val="007939D4"/>
    <w:rsid w:val="007939F1"/>
    <w:rsid w:val="00793A32"/>
    <w:rsid w:val="00793CB2"/>
    <w:rsid w:val="00793DA0"/>
    <w:rsid w:val="00793F52"/>
    <w:rsid w:val="00793F93"/>
    <w:rsid w:val="007940AA"/>
    <w:rsid w:val="00794121"/>
    <w:rsid w:val="007942BC"/>
    <w:rsid w:val="0079432C"/>
    <w:rsid w:val="007945F1"/>
    <w:rsid w:val="00794873"/>
    <w:rsid w:val="00794A37"/>
    <w:rsid w:val="00794A6D"/>
    <w:rsid w:val="00794C0E"/>
    <w:rsid w:val="00794DAF"/>
    <w:rsid w:val="00794EE5"/>
    <w:rsid w:val="00794F14"/>
    <w:rsid w:val="007950CA"/>
    <w:rsid w:val="00795411"/>
    <w:rsid w:val="0079555E"/>
    <w:rsid w:val="00795699"/>
    <w:rsid w:val="00795806"/>
    <w:rsid w:val="00795A15"/>
    <w:rsid w:val="00795A90"/>
    <w:rsid w:val="00795AB7"/>
    <w:rsid w:val="00795BAB"/>
    <w:rsid w:val="00795F34"/>
    <w:rsid w:val="00795FCC"/>
    <w:rsid w:val="007960F9"/>
    <w:rsid w:val="007961D9"/>
    <w:rsid w:val="007963F1"/>
    <w:rsid w:val="00796761"/>
    <w:rsid w:val="00796998"/>
    <w:rsid w:val="00796B1E"/>
    <w:rsid w:val="00796B78"/>
    <w:rsid w:val="00796E28"/>
    <w:rsid w:val="00796FB7"/>
    <w:rsid w:val="007972F0"/>
    <w:rsid w:val="00797584"/>
    <w:rsid w:val="00797854"/>
    <w:rsid w:val="00797902"/>
    <w:rsid w:val="00797A79"/>
    <w:rsid w:val="00797AE1"/>
    <w:rsid w:val="00797AE9"/>
    <w:rsid w:val="00797BAE"/>
    <w:rsid w:val="00797D14"/>
    <w:rsid w:val="00797EC8"/>
    <w:rsid w:val="00797F69"/>
    <w:rsid w:val="007A02F6"/>
    <w:rsid w:val="007A066D"/>
    <w:rsid w:val="007A06F9"/>
    <w:rsid w:val="007A0718"/>
    <w:rsid w:val="007A07E3"/>
    <w:rsid w:val="007A0809"/>
    <w:rsid w:val="007A0A51"/>
    <w:rsid w:val="007A0A62"/>
    <w:rsid w:val="007A0A65"/>
    <w:rsid w:val="007A0B98"/>
    <w:rsid w:val="007A0CAE"/>
    <w:rsid w:val="007A0D2D"/>
    <w:rsid w:val="007A0F0A"/>
    <w:rsid w:val="007A10D1"/>
    <w:rsid w:val="007A12C9"/>
    <w:rsid w:val="007A1386"/>
    <w:rsid w:val="007A1400"/>
    <w:rsid w:val="007A14A3"/>
    <w:rsid w:val="007A161E"/>
    <w:rsid w:val="007A185C"/>
    <w:rsid w:val="007A191F"/>
    <w:rsid w:val="007A1936"/>
    <w:rsid w:val="007A1C50"/>
    <w:rsid w:val="007A1D2A"/>
    <w:rsid w:val="007A1D7B"/>
    <w:rsid w:val="007A1DC4"/>
    <w:rsid w:val="007A1E3B"/>
    <w:rsid w:val="007A1E9D"/>
    <w:rsid w:val="007A1F11"/>
    <w:rsid w:val="007A1FC6"/>
    <w:rsid w:val="007A204C"/>
    <w:rsid w:val="007A20F8"/>
    <w:rsid w:val="007A218A"/>
    <w:rsid w:val="007A2261"/>
    <w:rsid w:val="007A230D"/>
    <w:rsid w:val="007A230E"/>
    <w:rsid w:val="007A23F9"/>
    <w:rsid w:val="007A24A6"/>
    <w:rsid w:val="007A24EF"/>
    <w:rsid w:val="007A252E"/>
    <w:rsid w:val="007A258D"/>
    <w:rsid w:val="007A26F5"/>
    <w:rsid w:val="007A289E"/>
    <w:rsid w:val="007A296C"/>
    <w:rsid w:val="007A2A93"/>
    <w:rsid w:val="007A2AF8"/>
    <w:rsid w:val="007A2B0A"/>
    <w:rsid w:val="007A2B1B"/>
    <w:rsid w:val="007A2E25"/>
    <w:rsid w:val="007A309E"/>
    <w:rsid w:val="007A33EA"/>
    <w:rsid w:val="007A3560"/>
    <w:rsid w:val="007A3592"/>
    <w:rsid w:val="007A366A"/>
    <w:rsid w:val="007A3809"/>
    <w:rsid w:val="007A3896"/>
    <w:rsid w:val="007A39FC"/>
    <w:rsid w:val="007A3BAF"/>
    <w:rsid w:val="007A3CE7"/>
    <w:rsid w:val="007A3DCD"/>
    <w:rsid w:val="007A3E2A"/>
    <w:rsid w:val="007A3E2D"/>
    <w:rsid w:val="007A4476"/>
    <w:rsid w:val="007A4522"/>
    <w:rsid w:val="007A459A"/>
    <w:rsid w:val="007A489C"/>
    <w:rsid w:val="007A48CB"/>
    <w:rsid w:val="007A4958"/>
    <w:rsid w:val="007A4BCC"/>
    <w:rsid w:val="007A4E3F"/>
    <w:rsid w:val="007A4F09"/>
    <w:rsid w:val="007A4FDE"/>
    <w:rsid w:val="007A52F1"/>
    <w:rsid w:val="007A5446"/>
    <w:rsid w:val="007A5481"/>
    <w:rsid w:val="007A56EB"/>
    <w:rsid w:val="007A5BAD"/>
    <w:rsid w:val="007A5E4A"/>
    <w:rsid w:val="007A6105"/>
    <w:rsid w:val="007A6384"/>
    <w:rsid w:val="007A6523"/>
    <w:rsid w:val="007A6599"/>
    <w:rsid w:val="007A66BF"/>
    <w:rsid w:val="007A67DF"/>
    <w:rsid w:val="007A68BA"/>
    <w:rsid w:val="007A6970"/>
    <w:rsid w:val="007A6A13"/>
    <w:rsid w:val="007A6B91"/>
    <w:rsid w:val="007A6DA7"/>
    <w:rsid w:val="007A6E30"/>
    <w:rsid w:val="007A7037"/>
    <w:rsid w:val="007A70A2"/>
    <w:rsid w:val="007A7172"/>
    <w:rsid w:val="007A72CB"/>
    <w:rsid w:val="007A7807"/>
    <w:rsid w:val="007A78BF"/>
    <w:rsid w:val="007A798A"/>
    <w:rsid w:val="007A7B4B"/>
    <w:rsid w:val="007A7C9F"/>
    <w:rsid w:val="007A7DCD"/>
    <w:rsid w:val="007A7E23"/>
    <w:rsid w:val="007A7F61"/>
    <w:rsid w:val="007B0089"/>
    <w:rsid w:val="007B01EB"/>
    <w:rsid w:val="007B01EE"/>
    <w:rsid w:val="007B02C8"/>
    <w:rsid w:val="007B03C2"/>
    <w:rsid w:val="007B073B"/>
    <w:rsid w:val="007B089A"/>
    <w:rsid w:val="007B0A70"/>
    <w:rsid w:val="007B0ACB"/>
    <w:rsid w:val="007B0BF5"/>
    <w:rsid w:val="007B0D53"/>
    <w:rsid w:val="007B0E5E"/>
    <w:rsid w:val="007B1098"/>
    <w:rsid w:val="007B10E1"/>
    <w:rsid w:val="007B11B4"/>
    <w:rsid w:val="007B1275"/>
    <w:rsid w:val="007B12FC"/>
    <w:rsid w:val="007B13A6"/>
    <w:rsid w:val="007B175D"/>
    <w:rsid w:val="007B18B9"/>
    <w:rsid w:val="007B1A4F"/>
    <w:rsid w:val="007B1C3D"/>
    <w:rsid w:val="007B1E1F"/>
    <w:rsid w:val="007B1EB2"/>
    <w:rsid w:val="007B1F4B"/>
    <w:rsid w:val="007B2021"/>
    <w:rsid w:val="007B2055"/>
    <w:rsid w:val="007B2098"/>
    <w:rsid w:val="007B2238"/>
    <w:rsid w:val="007B236C"/>
    <w:rsid w:val="007B2371"/>
    <w:rsid w:val="007B2394"/>
    <w:rsid w:val="007B2474"/>
    <w:rsid w:val="007B2620"/>
    <w:rsid w:val="007B26D2"/>
    <w:rsid w:val="007B2718"/>
    <w:rsid w:val="007B2768"/>
    <w:rsid w:val="007B2847"/>
    <w:rsid w:val="007B29E4"/>
    <w:rsid w:val="007B2A20"/>
    <w:rsid w:val="007B2AC6"/>
    <w:rsid w:val="007B2CB5"/>
    <w:rsid w:val="007B2DBE"/>
    <w:rsid w:val="007B2DF4"/>
    <w:rsid w:val="007B2E2B"/>
    <w:rsid w:val="007B304A"/>
    <w:rsid w:val="007B30A2"/>
    <w:rsid w:val="007B31F2"/>
    <w:rsid w:val="007B32E8"/>
    <w:rsid w:val="007B35CC"/>
    <w:rsid w:val="007B3610"/>
    <w:rsid w:val="007B3841"/>
    <w:rsid w:val="007B388A"/>
    <w:rsid w:val="007B39B9"/>
    <w:rsid w:val="007B3A84"/>
    <w:rsid w:val="007B3C08"/>
    <w:rsid w:val="007B3C22"/>
    <w:rsid w:val="007B3C34"/>
    <w:rsid w:val="007B3DAC"/>
    <w:rsid w:val="007B3DFF"/>
    <w:rsid w:val="007B3E47"/>
    <w:rsid w:val="007B3EF2"/>
    <w:rsid w:val="007B3F0A"/>
    <w:rsid w:val="007B413F"/>
    <w:rsid w:val="007B4441"/>
    <w:rsid w:val="007B46A9"/>
    <w:rsid w:val="007B4731"/>
    <w:rsid w:val="007B48F3"/>
    <w:rsid w:val="007B499C"/>
    <w:rsid w:val="007B4CA2"/>
    <w:rsid w:val="007B4CA6"/>
    <w:rsid w:val="007B4D1F"/>
    <w:rsid w:val="007B4E16"/>
    <w:rsid w:val="007B4E35"/>
    <w:rsid w:val="007B4FEB"/>
    <w:rsid w:val="007B507F"/>
    <w:rsid w:val="007B50DC"/>
    <w:rsid w:val="007B51EE"/>
    <w:rsid w:val="007B5339"/>
    <w:rsid w:val="007B5966"/>
    <w:rsid w:val="007B5A76"/>
    <w:rsid w:val="007B5D8C"/>
    <w:rsid w:val="007B5DB8"/>
    <w:rsid w:val="007B5DD5"/>
    <w:rsid w:val="007B5E68"/>
    <w:rsid w:val="007B5EEF"/>
    <w:rsid w:val="007B618A"/>
    <w:rsid w:val="007B61AB"/>
    <w:rsid w:val="007B633F"/>
    <w:rsid w:val="007B6455"/>
    <w:rsid w:val="007B6604"/>
    <w:rsid w:val="007B6762"/>
    <w:rsid w:val="007B6768"/>
    <w:rsid w:val="007B68DF"/>
    <w:rsid w:val="007B69AC"/>
    <w:rsid w:val="007B6B2E"/>
    <w:rsid w:val="007B6BF4"/>
    <w:rsid w:val="007B6E20"/>
    <w:rsid w:val="007B6E52"/>
    <w:rsid w:val="007B6F24"/>
    <w:rsid w:val="007B6FD0"/>
    <w:rsid w:val="007B71CF"/>
    <w:rsid w:val="007B7232"/>
    <w:rsid w:val="007B7441"/>
    <w:rsid w:val="007B7445"/>
    <w:rsid w:val="007B7580"/>
    <w:rsid w:val="007B7742"/>
    <w:rsid w:val="007B7846"/>
    <w:rsid w:val="007B784E"/>
    <w:rsid w:val="007B7912"/>
    <w:rsid w:val="007B7A17"/>
    <w:rsid w:val="007B7D15"/>
    <w:rsid w:val="007B7E78"/>
    <w:rsid w:val="007C01BD"/>
    <w:rsid w:val="007C02D3"/>
    <w:rsid w:val="007C02DF"/>
    <w:rsid w:val="007C03E0"/>
    <w:rsid w:val="007C054C"/>
    <w:rsid w:val="007C05C8"/>
    <w:rsid w:val="007C06DE"/>
    <w:rsid w:val="007C0862"/>
    <w:rsid w:val="007C0A44"/>
    <w:rsid w:val="007C0D8B"/>
    <w:rsid w:val="007C1154"/>
    <w:rsid w:val="007C11A9"/>
    <w:rsid w:val="007C11DF"/>
    <w:rsid w:val="007C1280"/>
    <w:rsid w:val="007C128E"/>
    <w:rsid w:val="007C13A2"/>
    <w:rsid w:val="007C13FE"/>
    <w:rsid w:val="007C14ED"/>
    <w:rsid w:val="007C15ED"/>
    <w:rsid w:val="007C1697"/>
    <w:rsid w:val="007C178A"/>
    <w:rsid w:val="007C1818"/>
    <w:rsid w:val="007C1832"/>
    <w:rsid w:val="007C18BC"/>
    <w:rsid w:val="007C18E3"/>
    <w:rsid w:val="007C1BD2"/>
    <w:rsid w:val="007C1CDC"/>
    <w:rsid w:val="007C1E27"/>
    <w:rsid w:val="007C1F34"/>
    <w:rsid w:val="007C1F3F"/>
    <w:rsid w:val="007C2088"/>
    <w:rsid w:val="007C225C"/>
    <w:rsid w:val="007C2302"/>
    <w:rsid w:val="007C2303"/>
    <w:rsid w:val="007C2366"/>
    <w:rsid w:val="007C249E"/>
    <w:rsid w:val="007C2531"/>
    <w:rsid w:val="007C26B6"/>
    <w:rsid w:val="007C27C1"/>
    <w:rsid w:val="007C27D2"/>
    <w:rsid w:val="007C2D18"/>
    <w:rsid w:val="007C2E1C"/>
    <w:rsid w:val="007C30D0"/>
    <w:rsid w:val="007C332A"/>
    <w:rsid w:val="007C34BB"/>
    <w:rsid w:val="007C359A"/>
    <w:rsid w:val="007C361A"/>
    <w:rsid w:val="007C378F"/>
    <w:rsid w:val="007C37AF"/>
    <w:rsid w:val="007C3921"/>
    <w:rsid w:val="007C3B50"/>
    <w:rsid w:val="007C3BD6"/>
    <w:rsid w:val="007C3D4E"/>
    <w:rsid w:val="007C3D55"/>
    <w:rsid w:val="007C3E59"/>
    <w:rsid w:val="007C3F53"/>
    <w:rsid w:val="007C3F78"/>
    <w:rsid w:val="007C3FAE"/>
    <w:rsid w:val="007C3FC2"/>
    <w:rsid w:val="007C43C0"/>
    <w:rsid w:val="007C47A3"/>
    <w:rsid w:val="007C4901"/>
    <w:rsid w:val="007C4AD8"/>
    <w:rsid w:val="007C4EDB"/>
    <w:rsid w:val="007C4F74"/>
    <w:rsid w:val="007C5095"/>
    <w:rsid w:val="007C50AC"/>
    <w:rsid w:val="007C517E"/>
    <w:rsid w:val="007C523E"/>
    <w:rsid w:val="007C538B"/>
    <w:rsid w:val="007C5478"/>
    <w:rsid w:val="007C5490"/>
    <w:rsid w:val="007C55A4"/>
    <w:rsid w:val="007C5B01"/>
    <w:rsid w:val="007C5EA1"/>
    <w:rsid w:val="007C63B5"/>
    <w:rsid w:val="007C642B"/>
    <w:rsid w:val="007C6499"/>
    <w:rsid w:val="007C64D8"/>
    <w:rsid w:val="007C64E8"/>
    <w:rsid w:val="007C651D"/>
    <w:rsid w:val="007C66E8"/>
    <w:rsid w:val="007C67DB"/>
    <w:rsid w:val="007C6A7C"/>
    <w:rsid w:val="007C6AF7"/>
    <w:rsid w:val="007C6B0B"/>
    <w:rsid w:val="007C6C5E"/>
    <w:rsid w:val="007C6EAC"/>
    <w:rsid w:val="007C7300"/>
    <w:rsid w:val="007C7314"/>
    <w:rsid w:val="007C740B"/>
    <w:rsid w:val="007C744C"/>
    <w:rsid w:val="007C7482"/>
    <w:rsid w:val="007C767F"/>
    <w:rsid w:val="007C76AB"/>
    <w:rsid w:val="007C77C1"/>
    <w:rsid w:val="007C7803"/>
    <w:rsid w:val="007C787C"/>
    <w:rsid w:val="007C794F"/>
    <w:rsid w:val="007C7A50"/>
    <w:rsid w:val="007C7CB7"/>
    <w:rsid w:val="007C7E7F"/>
    <w:rsid w:val="007C7FA9"/>
    <w:rsid w:val="007D0152"/>
    <w:rsid w:val="007D01F3"/>
    <w:rsid w:val="007D06DE"/>
    <w:rsid w:val="007D0779"/>
    <w:rsid w:val="007D0860"/>
    <w:rsid w:val="007D088A"/>
    <w:rsid w:val="007D08A0"/>
    <w:rsid w:val="007D0901"/>
    <w:rsid w:val="007D0BC2"/>
    <w:rsid w:val="007D0E3C"/>
    <w:rsid w:val="007D0F75"/>
    <w:rsid w:val="007D12C3"/>
    <w:rsid w:val="007D142D"/>
    <w:rsid w:val="007D1586"/>
    <w:rsid w:val="007D1A85"/>
    <w:rsid w:val="007D1CC5"/>
    <w:rsid w:val="007D1CE5"/>
    <w:rsid w:val="007D1EDF"/>
    <w:rsid w:val="007D1F70"/>
    <w:rsid w:val="007D20F7"/>
    <w:rsid w:val="007D21E0"/>
    <w:rsid w:val="007D252E"/>
    <w:rsid w:val="007D27A3"/>
    <w:rsid w:val="007D285A"/>
    <w:rsid w:val="007D288D"/>
    <w:rsid w:val="007D2947"/>
    <w:rsid w:val="007D2ADE"/>
    <w:rsid w:val="007D2B8C"/>
    <w:rsid w:val="007D2C49"/>
    <w:rsid w:val="007D2CA1"/>
    <w:rsid w:val="007D2D85"/>
    <w:rsid w:val="007D2E31"/>
    <w:rsid w:val="007D2FCA"/>
    <w:rsid w:val="007D3195"/>
    <w:rsid w:val="007D31B6"/>
    <w:rsid w:val="007D34F6"/>
    <w:rsid w:val="007D362F"/>
    <w:rsid w:val="007D37D6"/>
    <w:rsid w:val="007D3A65"/>
    <w:rsid w:val="007D3CB8"/>
    <w:rsid w:val="007D3E90"/>
    <w:rsid w:val="007D3F67"/>
    <w:rsid w:val="007D3FE0"/>
    <w:rsid w:val="007D424C"/>
    <w:rsid w:val="007D499F"/>
    <w:rsid w:val="007D4B92"/>
    <w:rsid w:val="007D4C46"/>
    <w:rsid w:val="007D4C67"/>
    <w:rsid w:val="007D4DCF"/>
    <w:rsid w:val="007D4E17"/>
    <w:rsid w:val="007D51B9"/>
    <w:rsid w:val="007D5567"/>
    <w:rsid w:val="007D567F"/>
    <w:rsid w:val="007D59BC"/>
    <w:rsid w:val="007D5B57"/>
    <w:rsid w:val="007D5DF5"/>
    <w:rsid w:val="007D6120"/>
    <w:rsid w:val="007D6327"/>
    <w:rsid w:val="007D63CE"/>
    <w:rsid w:val="007D64B2"/>
    <w:rsid w:val="007D65E2"/>
    <w:rsid w:val="007D69A2"/>
    <w:rsid w:val="007D6A4C"/>
    <w:rsid w:val="007D6D9D"/>
    <w:rsid w:val="007D6E31"/>
    <w:rsid w:val="007D6F9A"/>
    <w:rsid w:val="007D7136"/>
    <w:rsid w:val="007D72D8"/>
    <w:rsid w:val="007D7418"/>
    <w:rsid w:val="007D7520"/>
    <w:rsid w:val="007D75AF"/>
    <w:rsid w:val="007D7602"/>
    <w:rsid w:val="007D789D"/>
    <w:rsid w:val="007D7ADB"/>
    <w:rsid w:val="007D7E08"/>
    <w:rsid w:val="007D7EC3"/>
    <w:rsid w:val="007E0013"/>
    <w:rsid w:val="007E011A"/>
    <w:rsid w:val="007E0265"/>
    <w:rsid w:val="007E0911"/>
    <w:rsid w:val="007E0F2F"/>
    <w:rsid w:val="007E1115"/>
    <w:rsid w:val="007E116D"/>
    <w:rsid w:val="007E151F"/>
    <w:rsid w:val="007E17AF"/>
    <w:rsid w:val="007E197F"/>
    <w:rsid w:val="007E19FC"/>
    <w:rsid w:val="007E1A77"/>
    <w:rsid w:val="007E1AC5"/>
    <w:rsid w:val="007E1B2A"/>
    <w:rsid w:val="007E1BD6"/>
    <w:rsid w:val="007E1C80"/>
    <w:rsid w:val="007E1D8E"/>
    <w:rsid w:val="007E1DEB"/>
    <w:rsid w:val="007E1EE3"/>
    <w:rsid w:val="007E1FB3"/>
    <w:rsid w:val="007E2199"/>
    <w:rsid w:val="007E22B1"/>
    <w:rsid w:val="007E2309"/>
    <w:rsid w:val="007E2359"/>
    <w:rsid w:val="007E2385"/>
    <w:rsid w:val="007E273C"/>
    <w:rsid w:val="007E2A13"/>
    <w:rsid w:val="007E2B8A"/>
    <w:rsid w:val="007E2CB9"/>
    <w:rsid w:val="007E2EBE"/>
    <w:rsid w:val="007E2ED6"/>
    <w:rsid w:val="007E2EF9"/>
    <w:rsid w:val="007E2F1A"/>
    <w:rsid w:val="007E3488"/>
    <w:rsid w:val="007E378A"/>
    <w:rsid w:val="007E39B0"/>
    <w:rsid w:val="007E3A0F"/>
    <w:rsid w:val="007E3A16"/>
    <w:rsid w:val="007E3C1C"/>
    <w:rsid w:val="007E3C4B"/>
    <w:rsid w:val="007E3DC3"/>
    <w:rsid w:val="007E3EA1"/>
    <w:rsid w:val="007E3F04"/>
    <w:rsid w:val="007E3FD4"/>
    <w:rsid w:val="007E4101"/>
    <w:rsid w:val="007E4194"/>
    <w:rsid w:val="007E41A2"/>
    <w:rsid w:val="007E4328"/>
    <w:rsid w:val="007E445F"/>
    <w:rsid w:val="007E44BB"/>
    <w:rsid w:val="007E4506"/>
    <w:rsid w:val="007E45EF"/>
    <w:rsid w:val="007E4628"/>
    <w:rsid w:val="007E4631"/>
    <w:rsid w:val="007E463C"/>
    <w:rsid w:val="007E49A5"/>
    <w:rsid w:val="007E49BB"/>
    <w:rsid w:val="007E4A4D"/>
    <w:rsid w:val="007E4A6B"/>
    <w:rsid w:val="007E4AFE"/>
    <w:rsid w:val="007E5046"/>
    <w:rsid w:val="007E50E6"/>
    <w:rsid w:val="007E516D"/>
    <w:rsid w:val="007E539D"/>
    <w:rsid w:val="007E5446"/>
    <w:rsid w:val="007E56BE"/>
    <w:rsid w:val="007E586E"/>
    <w:rsid w:val="007E5925"/>
    <w:rsid w:val="007E5979"/>
    <w:rsid w:val="007E5AC4"/>
    <w:rsid w:val="007E5AD7"/>
    <w:rsid w:val="007E5E38"/>
    <w:rsid w:val="007E5EE5"/>
    <w:rsid w:val="007E603A"/>
    <w:rsid w:val="007E60EA"/>
    <w:rsid w:val="007E6221"/>
    <w:rsid w:val="007E62C0"/>
    <w:rsid w:val="007E6486"/>
    <w:rsid w:val="007E65AD"/>
    <w:rsid w:val="007E6C52"/>
    <w:rsid w:val="007E6F86"/>
    <w:rsid w:val="007E7050"/>
    <w:rsid w:val="007E7777"/>
    <w:rsid w:val="007E77EF"/>
    <w:rsid w:val="007E7822"/>
    <w:rsid w:val="007E799A"/>
    <w:rsid w:val="007E79BC"/>
    <w:rsid w:val="007E7A42"/>
    <w:rsid w:val="007E7B0E"/>
    <w:rsid w:val="007E7CE7"/>
    <w:rsid w:val="007E7DAF"/>
    <w:rsid w:val="007E7DE8"/>
    <w:rsid w:val="007E7E98"/>
    <w:rsid w:val="007F00BB"/>
    <w:rsid w:val="007F00E2"/>
    <w:rsid w:val="007F016D"/>
    <w:rsid w:val="007F0301"/>
    <w:rsid w:val="007F0383"/>
    <w:rsid w:val="007F04C0"/>
    <w:rsid w:val="007F050A"/>
    <w:rsid w:val="007F05D7"/>
    <w:rsid w:val="007F0640"/>
    <w:rsid w:val="007F07BF"/>
    <w:rsid w:val="007F09C1"/>
    <w:rsid w:val="007F0A1E"/>
    <w:rsid w:val="007F0A21"/>
    <w:rsid w:val="007F0AAA"/>
    <w:rsid w:val="007F0AE7"/>
    <w:rsid w:val="007F0E1C"/>
    <w:rsid w:val="007F10FE"/>
    <w:rsid w:val="007F1130"/>
    <w:rsid w:val="007F11CA"/>
    <w:rsid w:val="007F127C"/>
    <w:rsid w:val="007F12AE"/>
    <w:rsid w:val="007F13A9"/>
    <w:rsid w:val="007F1596"/>
    <w:rsid w:val="007F1749"/>
    <w:rsid w:val="007F17BA"/>
    <w:rsid w:val="007F1A54"/>
    <w:rsid w:val="007F1B35"/>
    <w:rsid w:val="007F1B38"/>
    <w:rsid w:val="007F1B75"/>
    <w:rsid w:val="007F1C0E"/>
    <w:rsid w:val="007F1C62"/>
    <w:rsid w:val="007F1C9D"/>
    <w:rsid w:val="007F1DF6"/>
    <w:rsid w:val="007F1E45"/>
    <w:rsid w:val="007F1FF0"/>
    <w:rsid w:val="007F205A"/>
    <w:rsid w:val="007F20E1"/>
    <w:rsid w:val="007F2103"/>
    <w:rsid w:val="007F2239"/>
    <w:rsid w:val="007F2290"/>
    <w:rsid w:val="007F2297"/>
    <w:rsid w:val="007F22DB"/>
    <w:rsid w:val="007F2515"/>
    <w:rsid w:val="007F25FE"/>
    <w:rsid w:val="007F28D2"/>
    <w:rsid w:val="007F2B99"/>
    <w:rsid w:val="007F2CA2"/>
    <w:rsid w:val="007F2D2F"/>
    <w:rsid w:val="007F2E57"/>
    <w:rsid w:val="007F2ED8"/>
    <w:rsid w:val="007F3143"/>
    <w:rsid w:val="007F3286"/>
    <w:rsid w:val="007F3776"/>
    <w:rsid w:val="007F3785"/>
    <w:rsid w:val="007F3A9F"/>
    <w:rsid w:val="007F3B20"/>
    <w:rsid w:val="007F3B2D"/>
    <w:rsid w:val="007F3B30"/>
    <w:rsid w:val="007F3B41"/>
    <w:rsid w:val="007F3DA0"/>
    <w:rsid w:val="007F3E21"/>
    <w:rsid w:val="007F3EC8"/>
    <w:rsid w:val="007F3F0B"/>
    <w:rsid w:val="007F4029"/>
    <w:rsid w:val="007F407A"/>
    <w:rsid w:val="007F41E5"/>
    <w:rsid w:val="007F42C3"/>
    <w:rsid w:val="007F438C"/>
    <w:rsid w:val="007F4465"/>
    <w:rsid w:val="007F448E"/>
    <w:rsid w:val="007F44FD"/>
    <w:rsid w:val="007F49B8"/>
    <w:rsid w:val="007F4AE9"/>
    <w:rsid w:val="007F4CB2"/>
    <w:rsid w:val="007F4CB9"/>
    <w:rsid w:val="007F4D7B"/>
    <w:rsid w:val="007F4F8C"/>
    <w:rsid w:val="007F4FDB"/>
    <w:rsid w:val="007F5094"/>
    <w:rsid w:val="007F50BE"/>
    <w:rsid w:val="007F50F9"/>
    <w:rsid w:val="007F5259"/>
    <w:rsid w:val="007F5375"/>
    <w:rsid w:val="007F5639"/>
    <w:rsid w:val="007F5B6F"/>
    <w:rsid w:val="007F5EDF"/>
    <w:rsid w:val="007F5FF7"/>
    <w:rsid w:val="007F601F"/>
    <w:rsid w:val="007F6049"/>
    <w:rsid w:val="007F61C7"/>
    <w:rsid w:val="007F61D1"/>
    <w:rsid w:val="007F61DC"/>
    <w:rsid w:val="007F63EC"/>
    <w:rsid w:val="007F649A"/>
    <w:rsid w:val="007F6591"/>
    <w:rsid w:val="007F6682"/>
    <w:rsid w:val="007F66D1"/>
    <w:rsid w:val="007F675E"/>
    <w:rsid w:val="007F6790"/>
    <w:rsid w:val="007F683B"/>
    <w:rsid w:val="007F6907"/>
    <w:rsid w:val="007F6C6F"/>
    <w:rsid w:val="007F7020"/>
    <w:rsid w:val="007F70D5"/>
    <w:rsid w:val="007F7499"/>
    <w:rsid w:val="007F75C2"/>
    <w:rsid w:val="007F7602"/>
    <w:rsid w:val="007F76D0"/>
    <w:rsid w:val="007F77D5"/>
    <w:rsid w:val="007F79B9"/>
    <w:rsid w:val="007F7DE4"/>
    <w:rsid w:val="007F7EDE"/>
    <w:rsid w:val="007F7FD8"/>
    <w:rsid w:val="008001AD"/>
    <w:rsid w:val="00800274"/>
    <w:rsid w:val="00800568"/>
    <w:rsid w:val="00800647"/>
    <w:rsid w:val="0080076D"/>
    <w:rsid w:val="00800814"/>
    <w:rsid w:val="00800B5A"/>
    <w:rsid w:val="00800C09"/>
    <w:rsid w:val="00800C33"/>
    <w:rsid w:val="00800CF2"/>
    <w:rsid w:val="0080108B"/>
    <w:rsid w:val="00801240"/>
    <w:rsid w:val="0080125D"/>
    <w:rsid w:val="00801282"/>
    <w:rsid w:val="0080136D"/>
    <w:rsid w:val="008014F6"/>
    <w:rsid w:val="0080159A"/>
    <w:rsid w:val="008016FB"/>
    <w:rsid w:val="00801762"/>
    <w:rsid w:val="008017C5"/>
    <w:rsid w:val="008017F4"/>
    <w:rsid w:val="00801829"/>
    <w:rsid w:val="00801852"/>
    <w:rsid w:val="00801A5F"/>
    <w:rsid w:val="00801A67"/>
    <w:rsid w:val="00801BCA"/>
    <w:rsid w:val="00801C41"/>
    <w:rsid w:val="00801CDD"/>
    <w:rsid w:val="00801DAC"/>
    <w:rsid w:val="00801DE1"/>
    <w:rsid w:val="00801E49"/>
    <w:rsid w:val="00802095"/>
    <w:rsid w:val="008021CE"/>
    <w:rsid w:val="00802219"/>
    <w:rsid w:val="008023DE"/>
    <w:rsid w:val="008023FE"/>
    <w:rsid w:val="00802522"/>
    <w:rsid w:val="00802604"/>
    <w:rsid w:val="00802697"/>
    <w:rsid w:val="0080277B"/>
    <w:rsid w:val="00802972"/>
    <w:rsid w:val="008029E7"/>
    <w:rsid w:val="00802A09"/>
    <w:rsid w:val="00802D2B"/>
    <w:rsid w:val="00802D94"/>
    <w:rsid w:val="00802DCD"/>
    <w:rsid w:val="00802FAB"/>
    <w:rsid w:val="0080306F"/>
    <w:rsid w:val="0080319A"/>
    <w:rsid w:val="008036A1"/>
    <w:rsid w:val="008037A3"/>
    <w:rsid w:val="0080399A"/>
    <w:rsid w:val="00803AF7"/>
    <w:rsid w:val="00803B1F"/>
    <w:rsid w:val="00803D5F"/>
    <w:rsid w:val="00803DF2"/>
    <w:rsid w:val="00803FB5"/>
    <w:rsid w:val="00804173"/>
    <w:rsid w:val="008041CD"/>
    <w:rsid w:val="008042E6"/>
    <w:rsid w:val="0080439E"/>
    <w:rsid w:val="0080474C"/>
    <w:rsid w:val="00804821"/>
    <w:rsid w:val="00804AAE"/>
    <w:rsid w:val="00804B1A"/>
    <w:rsid w:val="00804BD3"/>
    <w:rsid w:val="00804FAF"/>
    <w:rsid w:val="0080504D"/>
    <w:rsid w:val="008051AF"/>
    <w:rsid w:val="008052DF"/>
    <w:rsid w:val="008053FA"/>
    <w:rsid w:val="00805579"/>
    <w:rsid w:val="008055E3"/>
    <w:rsid w:val="00805914"/>
    <w:rsid w:val="00805915"/>
    <w:rsid w:val="008059D5"/>
    <w:rsid w:val="00805A5A"/>
    <w:rsid w:val="00805C14"/>
    <w:rsid w:val="00805C16"/>
    <w:rsid w:val="00805C75"/>
    <w:rsid w:val="00805CD8"/>
    <w:rsid w:val="00805CFA"/>
    <w:rsid w:val="00805D76"/>
    <w:rsid w:val="00805EEB"/>
    <w:rsid w:val="00805EF8"/>
    <w:rsid w:val="00806068"/>
    <w:rsid w:val="0080637B"/>
    <w:rsid w:val="0080649F"/>
    <w:rsid w:val="008064F8"/>
    <w:rsid w:val="00806526"/>
    <w:rsid w:val="0080665C"/>
    <w:rsid w:val="00806681"/>
    <w:rsid w:val="008066E6"/>
    <w:rsid w:val="008066E9"/>
    <w:rsid w:val="008067C3"/>
    <w:rsid w:val="008068DF"/>
    <w:rsid w:val="00806C99"/>
    <w:rsid w:val="00806F0B"/>
    <w:rsid w:val="0080721F"/>
    <w:rsid w:val="008072C9"/>
    <w:rsid w:val="00807332"/>
    <w:rsid w:val="008073DF"/>
    <w:rsid w:val="00807679"/>
    <w:rsid w:val="008077B0"/>
    <w:rsid w:val="00807A51"/>
    <w:rsid w:val="00807BB6"/>
    <w:rsid w:val="00807C3D"/>
    <w:rsid w:val="00807D3C"/>
    <w:rsid w:val="00807E14"/>
    <w:rsid w:val="00807E96"/>
    <w:rsid w:val="008101C7"/>
    <w:rsid w:val="008101E5"/>
    <w:rsid w:val="0081031C"/>
    <w:rsid w:val="008106E3"/>
    <w:rsid w:val="008107A4"/>
    <w:rsid w:val="0081095B"/>
    <w:rsid w:val="0081095F"/>
    <w:rsid w:val="00810AB1"/>
    <w:rsid w:val="00810AE7"/>
    <w:rsid w:val="00810B34"/>
    <w:rsid w:val="00810C7F"/>
    <w:rsid w:val="00810D5F"/>
    <w:rsid w:val="00810F41"/>
    <w:rsid w:val="00811165"/>
    <w:rsid w:val="00811286"/>
    <w:rsid w:val="00811C2C"/>
    <w:rsid w:val="00811F03"/>
    <w:rsid w:val="008124B6"/>
    <w:rsid w:val="00812AAA"/>
    <w:rsid w:val="00812ACC"/>
    <w:rsid w:val="00812B3D"/>
    <w:rsid w:val="00812C41"/>
    <w:rsid w:val="00812ECC"/>
    <w:rsid w:val="00813215"/>
    <w:rsid w:val="008132BD"/>
    <w:rsid w:val="0081359D"/>
    <w:rsid w:val="00813742"/>
    <w:rsid w:val="008138C4"/>
    <w:rsid w:val="00813A35"/>
    <w:rsid w:val="00813B4F"/>
    <w:rsid w:val="00813EE7"/>
    <w:rsid w:val="00813F0A"/>
    <w:rsid w:val="00814015"/>
    <w:rsid w:val="00814315"/>
    <w:rsid w:val="00814459"/>
    <w:rsid w:val="00814470"/>
    <w:rsid w:val="0081454F"/>
    <w:rsid w:val="0081461D"/>
    <w:rsid w:val="00814696"/>
    <w:rsid w:val="00814829"/>
    <w:rsid w:val="008148D3"/>
    <w:rsid w:val="00814919"/>
    <w:rsid w:val="00814A27"/>
    <w:rsid w:val="00814DE1"/>
    <w:rsid w:val="00814FDF"/>
    <w:rsid w:val="008150D2"/>
    <w:rsid w:val="0081518E"/>
    <w:rsid w:val="008153EB"/>
    <w:rsid w:val="00815456"/>
    <w:rsid w:val="008154AA"/>
    <w:rsid w:val="008154CB"/>
    <w:rsid w:val="008155AE"/>
    <w:rsid w:val="00815801"/>
    <w:rsid w:val="008159A9"/>
    <w:rsid w:val="008159DE"/>
    <w:rsid w:val="00815A7F"/>
    <w:rsid w:val="00815F38"/>
    <w:rsid w:val="00815FA8"/>
    <w:rsid w:val="00815FCC"/>
    <w:rsid w:val="008161A3"/>
    <w:rsid w:val="008165F9"/>
    <w:rsid w:val="00816C2C"/>
    <w:rsid w:val="00816C68"/>
    <w:rsid w:val="00816D1D"/>
    <w:rsid w:val="00816DA0"/>
    <w:rsid w:val="00816E06"/>
    <w:rsid w:val="00816FB0"/>
    <w:rsid w:val="00817096"/>
    <w:rsid w:val="00817170"/>
    <w:rsid w:val="00817213"/>
    <w:rsid w:val="00817342"/>
    <w:rsid w:val="008174E6"/>
    <w:rsid w:val="00817585"/>
    <w:rsid w:val="0081771B"/>
    <w:rsid w:val="00817886"/>
    <w:rsid w:val="008178AE"/>
    <w:rsid w:val="00817A92"/>
    <w:rsid w:val="00817CE9"/>
    <w:rsid w:val="00817E9E"/>
    <w:rsid w:val="00817EB3"/>
    <w:rsid w:val="00817EFE"/>
    <w:rsid w:val="00820037"/>
    <w:rsid w:val="0082003C"/>
    <w:rsid w:val="008204DF"/>
    <w:rsid w:val="00820696"/>
    <w:rsid w:val="00820771"/>
    <w:rsid w:val="008207DB"/>
    <w:rsid w:val="00820A03"/>
    <w:rsid w:val="00820AE6"/>
    <w:rsid w:val="00820E41"/>
    <w:rsid w:val="00820E79"/>
    <w:rsid w:val="00820FCA"/>
    <w:rsid w:val="008211D5"/>
    <w:rsid w:val="00821358"/>
    <w:rsid w:val="008213E7"/>
    <w:rsid w:val="0082142F"/>
    <w:rsid w:val="00821482"/>
    <w:rsid w:val="008214D7"/>
    <w:rsid w:val="0082163F"/>
    <w:rsid w:val="00821673"/>
    <w:rsid w:val="0082175A"/>
    <w:rsid w:val="00821784"/>
    <w:rsid w:val="00821805"/>
    <w:rsid w:val="008218DE"/>
    <w:rsid w:val="008219EB"/>
    <w:rsid w:val="00821A5A"/>
    <w:rsid w:val="00821C4B"/>
    <w:rsid w:val="00821CC7"/>
    <w:rsid w:val="00821EBF"/>
    <w:rsid w:val="00822097"/>
    <w:rsid w:val="00822203"/>
    <w:rsid w:val="008222E8"/>
    <w:rsid w:val="00822488"/>
    <w:rsid w:val="0082250C"/>
    <w:rsid w:val="0082255A"/>
    <w:rsid w:val="00822742"/>
    <w:rsid w:val="008229D3"/>
    <w:rsid w:val="00822A6D"/>
    <w:rsid w:val="00822B23"/>
    <w:rsid w:val="00822C98"/>
    <w:rsid w:val="00822CAE"/>
    <w:rsid w:val="00822DD6"/>
    <w:rsid w:val="00822F43"/>
    <w:rsid w:val="0082337D"/>
    <w:rsid w:val="008234A6"/>
    <w:rsid w:val="008234E6"/>
    <w:rsid w:val="0082353A"/>
    <w:rsid w:val="00823548"/>
    <w:rsid w:val="00823663"/>
    <w:rsid w:val="00823B03"/>
    <w:rsid w:val="00823B43"/>
    <w:rsid w:val="00823BE0"/>
    <w:rsid w:val="00823E4C"/>
    <w:rsid w:val="00823F4E"/>
    <w:rsid w:val="00823F72"/>
    <w:rsid w:val="0082435A"/>
    <w:rsid w:val="008243E5"/>
    <w:rsid w:val="008244E3"/>
    <w:rsid w:val="00824576"/>
    <w:rsid w:val="00824591"/>
    <w:rsid w:val="0082490E"/>
    <w:rsid w:val="00824A49"/>
    <w:rsid w:val="00824C58"/>
    <w:rsid w:val="00824C9E"/>
    <w:rsid w:val="00824D50"/>
    <w:rsid w:val="00824D95"/>
    <w:rsid w:val="00824DA5"/>
    <w:rsid w:val="00824E51"/>
    <w:rsid w:val="00824F03"/>
    <w:rsid w:val="00825125"/>
    <w:rsid w:val="00825280"/>
    <w:rsid w:val="008252A8"/>
    <w:rsid w:val="008252FF"/>
    <w:rsid w:val="00825394"/>
    <w:rsid w:val="0082541A"/>
    <w:rsid w:val="0082566A"/>
    <w:rsid w:val="0082592E"/>
    <w:rsid w:val="0082598D"/>
    <w:rsid w:val="00825A08"/>
    <w:rsid w:val="00825AE2"/>
    <w:rsid w:val="00825C60"/>
    <w:rsid w:val="00825CF4"/>
    <w:rsid w:val="00825D0B"/>
    <w:rsid w:val="00825F64"/>
    <w:rsid w:val="0082624C"/>
    <w:rsid w:val="0082630F"/>
    <w:rsid w:val="0082637C"/>
    <w:rsid w:val="00826397"/>
    <w:rsid w:val="008264ED"/>
    <w:rsid w:val="0082672F"/>
    <w:rsid w:val="00826742"/>
    <w:rsid w:val="0082689C"/>
    <w:rsid w:val="00826B75"/>
    <w:rsid w:val="00826B93"/>
    <w:rsid w:val="00826C16"/>
    <w:rsid w:val="00826D57"/>
    <w:rsid w:val="00826F7D"/>
    <w:rsid w:val="008270F8"/>
    <w:rsid w:val="0082739A"/>
    <w:rsid w:val="008277D7"/>
    <w:rsid w:val="00827B65"/>
    <w:rsid w:val="00827B76"/>
    <w:rsid w:val="00827EBC"/>
    <w:rsid w:val="00827F2F"/>
    <w:rsid w:val="00827FD0"/>
    <w:rsid w:val="0083002A"/>
    <w:rsid w:val="0083007D"/>
    <w:rsid w:val="00830290"/>
    <w:rsid w:val="0083043D"/>
    <w:rsid w:val="0083052D"/>
    <w:rsid w:val="008305B2"/>
    <w:rsid w:val="0083074B"/>
    <w:rsid w:val="00830950"/>
    <w:rsid w:val="00830ADB"/>
    <w:rsid w:val="00830CC5"/>
    <w:rsid w:val="00830CF1"/>
    <w:rsid w:val="00830E82"/>
    <w:rsid w:val="0083104B"/>
    <w:rsid w:val="008311D5"/>
    <w:rsid w:val="00831302"/>
    <w:rsid w:val="0083134F"/>
    <w:rsid w:val="008313A6"/>
    <w:rsid w:val="008313DE"/>
    <w:rsid w:val="00831427"/>
    <w:rsid w:val="008314C4"/>
    <w:rsid w:val="00831620"/>
    <w:rsid w:val="0083162C"/>
    <w:rsid w:val="0083165A"/>
    <w:rsid w:val="00831689"/>
    <w:rsid w:val="008318DB"/>
    <w:rsid w:val="00831BCC"/>
    <w:rsid w:val="00831E1C"/>
    <w:rsid w:val="00831E4C"/>
    <w:rsid w:val="00831EDF"/>
    <w:rsid w:val="00831F6C"/>
    <w:rsid w:val="00831F71"/>
    <w:rsid w:val="00831F83"/>
    <w:rsid w:val="00831FC0"/>
    <w:rsid w:val="008320C4"/>
    <w:rsid w:val="008321B9"/>
    <w:rsid w:val="008322E5"/>
    <w:rsid w:val="008323A9"/>
    <w:rsid w:val="0083241E"/>
    <w:rsid w:val="0083243B"/>
    <w:rsid w:val="0083247B"/>
    <w:rsid w:val="00832612"/>
    <w:rsid w:val="0083269D"/>
    <w:rsid w:val="00832736"/>
    <w:rsid w:val="008328FB"/>
    <w:rsid w:val="00832B33"/>
    <w:rsid w:val="00832C71"/>
    <w:rsid w:val="00832C79"/>
    <w:rsid w:val="00832EF0"/>
    <w:rsid w:val="00832FDA"/>
    <w:rsid w:val="008330AF"/>
    <w:rsid w:val="00833179"/>
    <w:rsid w:val="008333C8"/>
    <w:rsid w:val="008334CD"/>
    <w:rsid w:val="008334F7"/>
    <w:rsid w:val="008335C6"/>
    <w:rsid w:val="00833672"/>
    <w:rsid w:val="00833995"/>
    <w:rsid w:val="00833ABE"/>
    <w:rsid w:val="00833B8D"/>
    <w:rsid w:val="00834002"/>
    <w:rsid w:val="0083403F"/>
    <w:rsid w:val="0083418C"/>
    <w:rsid w:val="00834242"/>
    <w:rsid w:val="008342BC"/>
    <w:rsid w:val="0083430F"/>
    <w:rsid w:val="0083431B"/>
    <w:rsid w:val="0083460A"/>
    <w:rsid w:val="008346EE"/>
    <w:rsid w:val="00834750"/>
    <w:rsid w:val="00834797"/>
    <w:rsid w:val="008347B2"/>
    <w:rsid w:val="00834A3D"/>
    <w:rsid w:val="00834EBC"/>
    <w:rsid w:val="00834FA3"/>
    <w:rsid w:val="0083508B"/>
    <w:rsid w:val="00835105"/>
    <w:rsid w:val="0083515B"/>
    <w:rsid w:val="0083524A"/>
    <w:rsid w:val="00835361"/>
    <w:rsid w:val="00835390"/>
    <w:rsid w:val="008354EC"/>
    <w:rsid w:val="00835662"/>
    <w:rsid w:val="008358D9"/>
    <w:rsid w:val="00835B00"/>
    <w:rsid w:val="00835BB0"/>
    <w:rsid w:val="00835BD0"/>
    <w:rsid w:val="00835FC3"/>
    <w:rsid w:val="0083613D"/>
    <w:rsid w:val="008361D1"/>
    <w:rsid w:val="008364CC"/>
    <w:rsid w:val="00836661"/>
    <w:rsid w:val="008366D7"/>
    <w:rsid w:val="00836830"/>
    <w:rsid w:val="00836BD1"/>
    <w:rsid w:val="00836C2A"/>
    <w:rsid w:val="00836CC7"/>
    <w:rsid w:val="00837164"/>
    <w:rsid w:val="00837475"/>
    <w:rsid w:val="00837696"/>
    <w:rsid w:val="008376AF"/>
    <w:rsid w:val="00837714"/>
    <w:rsid w:val="00837ACB"/>
    <w:rsid w:val="00837B29"/>
    <w:rsid w:val="00837D5D"/>
    <w:rsid w:val="00837D9C"/>
    <w:rsid w:val="00837E0A"/>
    <w:rsid w:val="00837FBF"/>
    <w:rsid w:val="00837FD9"/>
    <w:rsid w:val="00837FFD"/>
    <w:rsid w:val="008400D3"/>
    <w:rsid w:val="008401A2"/>
    <w:rsid w:val="00840499"/>
    <w:rsid w:val="0084055D"/>
    <w:rsid w:val="00840648"/>
    <w:rsid w:val="00840A78"/>
    <w:rsid w:val="00840C1D"/>
    <w:rsid w:val="00840C3A"/>
    <w:rsid w:val="00840D6A"/>
    <w:rsid w:val="00841017"/>
    <w:rsid w:val="0084105E"/>
    <w:rsid w:val="00841299"/>
    <w:rsid w:val="008412BB"/>
    <w:rsid w:val="008413CB"/>
    <w:rsid w:val="008413E2"/>
    <w:rsid w:val="008413F2"/>
    <w:rsid w:val="008414DB"/>
    <w:rsid w:val="008414E5"/>
    <w:rsid w:val="00841538"/>
    <w:rsid w:val="0084159F"/>
    <w:rsid w:val="008415FB"/>
    <w:rsid w:val="008416F2"/>
    <w:rsid w:val="008417C6"/>
    <w:rsid w:val="00841A1D"/>
    <w:rsid w:val="00841A38"/>
    <w:rsid w:val="00841C3F"/>
    <w:rsid w:val="00841C83"/>
    <w:rsid w:val="00841F2B"/>
    <w:rsid w:val="00842138"/>
    <w:rsid w:val="00842139"/>
    <w:rsid w:val="008422B7"/>
    <w:rsid w:val="0084245B"/>
    <w:rsid w:val="008425C5"/>
    <w:rsid w:val="0084260E"/>
    <w:rsid w:val="008427FB"/>
    <w:rsid w:val="00842858"/>
    <w:rsid w:val="00842899"/>
    <w:rsid w:val="00842BA1"/>
    <w:rsid w:val="00842BE0"/>
    <w:rsid w:val="00842CE8"/>
    <w:rsid w:val="00842DAA"/>
    <w:rsid w:val="00842F02"/>
    <w:rsid w:val="00842F2B"/>
    <w:rsid w:val="00842FF3"/>
    <w:rsid w:val="008430F3"/>
    <w:rsid w:val="0084327A"/>
    <w:rsid w:val="008432AB"/>
    <w:rsid w:val="008433BF"/>
    <w:rsid w:val="00843583"/>
    <w:rsid w:val="008436FB"/>
    <w:rsid w:val="00843791"/>
    <w:rsid w:val="00843C0B"/>
    <w:rsid w:val="00843C35"/>
    <w:rsid w:val="00843D65"/>
    <w:rsid w:val="00843E13"/>
    <w:rsid w:val="008441A9"/>
    <w:rsid w:val="0084479C"/>
    <w:rsid w:val="008448E0"/>
    <w:rsid w:val="00844AF2"/>
    <w:rsid w:val="00844CAB"/>
    <w:rsid w:val="00844F28"/>
    <w:rsid w:val="00844F4A"/>
    <w:rsid w:val="008450C8"/>
    <w:rsid w:val="0084540C"/>
    <w:rsid w:val="00845415"/>
    <w:rsid w:val="00845420"/>
    <w:rsid w:val="00845493"/>
    <w:rsid w:val="0084549A"/>
    <w:rsid w:val="00845589"/>
    <w:rsid w:val="008455EA"/>
    <w:rsid w:val="0084566F"/>
    <w:rsid w:val="0084568E"/>
    <w:rsid w:val="008457CB"/>
    <w:rsid w:val="008458D9"/>
    <w:rsid w:val="00845A76"/>
    <w:rsid w:val="00845A81"/>
    <w:rsid w:val="00845ADF"/>
    <w:rsid w:val="00845C37"/>
    <w:rsid w:val="00845DA1"/>
    <w:rsid w:val="00845FC3"/>
    <w:rsid w:val="008460CD"/>
    <w:rsid w:val="00846146"/>
    <w:rsid w:val="00846153"/>
    <w:rsid w:val="008463E0"/>
    <w:rsid w:val="00846635"/>
    <w:rsid w:val="008466C1"/>
    <w:rsid w:val="00846782"/>
    <w:rsid w:val="00846808"/>
    <w:rsid w:val="00846C20"/>
    <w:rsid w:val="00846E93"/>
    <w:rsid w:val="008470E7"/>
    <w:rsid w:val="0084715E"/>
    <w:rsid w:val="00847390"/>
    <w:rsid w:val="0084750B"/>
    <w:rsid w:val="00847600"/>
    <w:rsid w:val="00847607"/>
    <w:rsid w:val="00847704"/>
    <w:rsid w:val="008477BF"/>
    <w:rsid w:val="0084795F"/>
    <w:rsid w:val="00847B5B"/>
    <w:rsid w:val="00847B62"/>
    <w:rsid w:val="00847BC2"/>
    <w:rsid w:val="00847CBD"/>
    <w:rsid w:val="00847CC7"/>
    <w:rsid w:val="00847D5F"/>
    <w:rsid w:val="00847D6E"/>
    <w:rsid w:val="008502A4"/>
    <w:rsid w:val="008503D0"/>
    <w:rsid w:val="008507D0"/>
    <w:rsid w:val="0085090F"/>
    <w:rsid w:val="008509C9"/>
    <w:rsid w:val="00850A84"/>
    <w:rsid w:val="00850A9B"/>
    <w:rsid w:val="00850BA3"/>
    <w:rsid w:val="00850E84"/>
    <w:rsid w:val="0085106C"/>
    <w:rsid w:val="00851163"/>
    <w:rsid w:val="008511CE"/>
    <w:rsid w:val="0085154E"/>
    <w:rsid w:val="00851641"/>
    <w:rsid w:val="00851689"/>
    <w:rsid w:val="00851A0D"/>
    <w:rsid w:val="00851C34"/>
    <w:rsid w:val="00851C3D"/>
    <w:rsid w:val="00851C6C"/>
    <w:rsid w:val="00851E2F"/>
    <w:rsid w:val="00851ECE"/>
    <w:rsid w:val="00851F75"/>
    <w:rsid w:val="0085209A"/>
    <w:rsid w:val="008520C3"/>
    <w:rsid w:val="00852205"/>
    <w:rsid w:val="008523D2"/>
    <w:rsid w:val="00852896"/>
    <w:rsid w:val="008528ED"/>
    <w:rsid w:val="00852BBA"/>
    <w:rsid w:val="00852F0F"/>
    <w:rsid w:val="008530AD"/>
    <w:rsid w:val="00853116"/>
    <w:rsid w:val="00853146"/>
    <w:rsid w:val="0085317D"/>
    <w:rsid w:val="008531B5"/>
    <w:rsid w:val="008532C9"/>
    <w:rsid w:val="008535DE"/>
    <w:rsid w:val="0085370E"/>
    <w:rsid w:val="008537B5"/>
    <w:rsid w:val="00853DBE"/>
    <w:rsid w:val="00853DDC"/>
    <w:rsid w:val="00854003"/>
    <w:rsid w:val="00854124"/>
    <w:rsid w:val="00854370"/>
    <w:rsid w:val="0085439E"/>
    <w:rsid w:val="00854425"/>
    <w:rsid w:val="008544E3"/>
    <w:rsid w:val="008545E6"/>
    <w:rsid w:val="00854654"/>
    <w:rsid w:val="0085479D"/>
    <w:rsid w:val="008548D4"/>
    <w:rsid w:val="00854A20"/>
    <w:rsid w:val="00854E88"/>
    <w:rsid w:val="0085526D"/>
    <w:rsid w:val="00855332"/>
    <w:rsid w:val="00855426"/>
    <w:rsid w:val="0085554D"/>
    <w:rsid w:val="008558C8"/>
    <w:rsid w:val="00855990"/>
    <w:rsid w:val="00855A6E"/>
    <w:rsid w:val="00855B21"/>
    <w:rsid w:val="00855B34"/>
    <w:rsid w:val="00855B60"/>
    <w:rsid w:val="00855C0B"/>
    <w:rsid w:val="00855C53"/>
    <w:rsid w:val="00855EB5"/>
    <w:rsid w:val="00855F65"/>
    <w:rsid w:val="00856106"/>
    <w:rsid w:val="00856351"/>
    <w:rsid w:val="00856443"/>
    <w:rsid w:val="0085648C"/>
    <w:rsid w:val="008565DE"/>
    <w:rsid w:val="008567BC"/>
    <w:rsid w:val="008567DC"/>
    <w:rsid w:val="0085681E"/>
    <w:rsid w:val="008568B8"/>
    <w:rsid w:val="00856A34"/>
    <w:rsid w:val="00856A81"/>
    <w:rsid w:val="00856A9B"/>
    <w:rsid w:val="00856B98"/>
    <w:rsid w:val="00856E30"/>
    <w:rsid w:val="00856FCC"/>
    <w:rsid w:val="00857047"/>
    <w:rsid w:val="00857071"/>
    <w:rsid w:val="00857139"/>
    <w:rsid w:val="00857153"/>
    <w:rsid w:val="00857478"/>
    <w:rsid w:val="0085747B"/>
    <w:rsid w:val="008576E0"/>
    <w:rsid w:val="008577A6"/>
    <w:rsid w:val="00857834"/>
    <w:rsid w:val="00857843"/>
    <w:rsid w:val="0085799B"/>
    <w:rsid w:val="00857C6D"/>
    <w:rsid w:val="00857C85"/>
    <w:rsid w:val="00857CBA"/>
    <w:rsid w:val="00857CF7"/>
    <w:rsid w:val="00857D53"/>
    <w:rsid w:val="00857F40"/>
    <w:rsid w:val="00857F42"/>
    <w:rsid w:val="00860192"/>
    <w:rsid w:val="00860239"/>
    <w:rsid w:val="008603F8"/>
    <w:rsid w:val="00860570"/>
    <w:rsid w:val="008605C3"/>
    <w:rsid w:val="00860760"/>
    <w:rsid w:val="008607C0"/>
    <w:rsid w:val="0086081F"/>
    <w:rsid w:val="0086084E"/>
    <w:rsid w:val="00860943"/>
    <w:rsid w:val="008609ED"/>
    <w:rsid w:val="00860ADC"/>
    <w:rsid w:val="00860BA1"/>
    <w:rsid w:val="00860E2C"/>
    <w:rsid w:val="00861003"/>
    <w:rsid w:val="00861173"/>
    <w:rsid w:val="0086125A"/>
    <w:rsid w:val="00861270"/>
    <w:rsid w:val="008612F0"/>
    <w:rsid w:val="0086133D"/>
    <w:rsid w:val="00861456"/>
    <w:rsid w:val="0086161D"/>
    <w:rsid w:val="0086172E"/>
    <w:rsid w:val="00861778"/>
    <w:rsid w:val="008617C4"/>
    <w:rsid w:val="008617D4"/>
    <w:rsid w:val="008618C1"/>
    <w:rsid w:val="008619A4"/>
    <w:rsid w:val="00861B5B"/>
    <w:rsid w:val="00861C2E"/>
    <w:rsid w:val="00861CFB"/>
    <w:rsid w:val="00861DBA"/>
    <w:rsid w:val="00861E2F"/>
    <w:rsid w:val="00861EF8"/>
    <w:rsid w:val="00862049"/>
    <w:rsid w:val="0086228C"/>
    <w:rsid w:val="008622B6"/>
    <w:rsid w:val="008622FB"/>
    <w:rsid w:val="00862383"/>
    <w:rsid w:val="008623DC"/>
    <w:rsid w:val="0086240D"/>
    <w:rsid w:val="008626E5"/>
    <w:rsid w:val="008627A3"/>
    <w:rsid w:val="008628E6"/>
    <w:rsid w:val="00862A31"/>
    <w:rsid w:val="00862A6B"/>
    <w:rsid w:val="00862BC2"/>
    <w:rsid w:val="00862EAA"/>
    <w:rsid w:val="00862F61"/>
    <w:rsid w:val="00862FF5"/>
    <w:rsid w:val="00863065"/>
    <w:rsid w:val="0086315E"/>
    <w:rsid w:val="008633CD"/>
    <w:rsid w:val="008633E5"/>
    <w:rsid w:val="0086361F"/>
    <w:rsid w:val="008637C8"/>
    <w:rsid w:val="0086386C"/>
    <w:rsid w:val="00863949"/>
    <w:rsid w:val="00863AC5"/>
    <w:rsid w:val="00863AD0"/>
    <w:rsid w:val="00863B73"/>
    <w:rsid w:val="00863BF0"/>
    <w:rsid w:val="00863DB1"/>
    <w:rsid w:val="00863DB4"/>
    <w:rsid w:val="00863E01"/>
    <w:rsid w:val="00863F2B"/>
    <w:rsid w:val="00864258"/>
    <w:rsid w:val="008644E8"/>
    <w:rsid w:val="0086451A"/>
    <w:rsid w:val="0086495A"/>
    <w:rsid w:val="008649C6"/>
    <w:rsid w:val="00864AD4"/>
    <w:rsid w:val="00864B12"/>
    <w:rsid w:val="00864C7E"/>
    <w:rsid w:val="00864CD8"/>
    <w:rsid w:val="00864E41"/>
    <w:rsid w:val="0086500E"/>
    <w:rsid w:val="00865017"/>
    <w:rsid w:val="00865134"/>
    <w:rsid w:val="00865279"/>
    <w:rsid w:val="0086529F"/>
    <w:rsid w:val="0086534E"/>
    <w:rsid w:val="00865439"/>
    <w:rsid w:val="0086567A"/>
    <w:rsid w:val="00865682"/>
    <w:rsid w:val="008657DC"/>
    <w:rsid w:val="00865943"/>
    <w:rsid w:val="00865C40"/>
    <w:rsid w:val="00865D77"/>
    <w:rsid w:val="00865E01"/>
    <w:rsid w:val="0086611E"/>
    <w:rsid w:val="0086624D"/>
    <w:rsid w:val="00866328"/>
    <w:rsid w:val="008663C9"/>
    <w:rsid w:val="0086666A"/>
    <w:rsid w:val="00866678"/>
    <w:rsid w:val="0086690F"/>
    <w:rsid w:val="008669AF"/>
    <w:rsid w:val="00866AEB"/>
    <w:rsid w:val="00866C07"/>
    <w:rsid w:val="00866D40"/>
    <w:rsid w:val="00866DED"/>
    <w:rsid w:val="00866F01"/>
    <w:rsid w:val="00866F23"/>
    <w:rsid w:val="00866F61"/>
    <w:rsid w:val="008671BE"/>
    <w:rsid w:val="0086755B"/>
    <w:rsid w:val="00867694"/>
    <w:rsid w:val="00867FE9"/>
    <w:rsid w:val="00870118"/>
    <w:rsid w:val="0087026C"/>
    <w:rsid w:val="0087048E"/>
    <w:rsid w:val="00870770"/>
    <w:rsid w:val="00870798"/>
    <w:rsid w:val="008707F5"/>
    <w:rsid w:val="00870A25"/>
    <w:rsid w:val="00870BDD"/>
    <w:rsid w:val="00870C8A"/>
    <w:rsid w:val="00870CC5"/>
    <w:rsid w:val="00870DDB"/>
    <w:rsid w:val="0087114E"/>
    <w:rsid w:val="0087117E"/>
    <w:rsid w:val="00871187"/>
    <w:rsid w:val="008711AB"/>
    <w:rsid w:val="008711B9"/>
    <w:rsid w:val="0087128E"/>
    <w:rsid w:val="008714BD"/>
    <w:rsid w:val="0087156F"/>
    <w:rsid w:val="0087164D"/>
    <w:rsid w:val="00871653"/>
    <w:rsid w:val="0087179F"/>
    <w:rsid w:val="00872258"/>
    <w:rsid w:val="00872383"/>
    <w:rsid w:val="008724CB"/>
    <w:rsid w:val="008726F6"/>
    <w:rsid w:val="008728C2"/>
    <w:rsid w:val="00872C18"/>
    <w:rsid w:val="00872DFE"/>
    <w:rsid w:val="00872F01"/>
    <w:rsid w:val="008731BE"/>
    <w:rsid w:val="00873480"/>
    <w:rsid w:val="00873545"/>
    <w:rsid w:val="008736CD"/>
    <w:rsid w:val="00873777"/>
    <w:rsid w:val="00873789"/>
    <w:rsid w:val="00873876"/>
    <w:rsid w:val="008738FF"/>
    <w:rsid w:val="00873960"/>
    <w:rsid w:val="008739CF"/>
    <w:rsid w:val="00873BAA"/>
    <w:rsid w:val="00873BEC"/>
    <w:rsid w:val="00873E07"/>
    <w:rsid w:val="00873F67"/>
    <w:rsid w:val="0087407F"/>
    <w:rsid w:val="008740CB"/>
    <w:rsid w:val="00874329"/>
    <w:rsid w:val="008743D2"/>
    <w:rsid w:val="008743FB"/>
    <w:rsid w:val="00874877"/>
    <w:rsid w:val="008748CC"/>
    <w:rsid w:val="008749A2"/>
    <w:rsid w:val="00874C4D"/>
    <w:rsid w:val="00874ECD"/>
    <w:rsid w:val="00874EF6"/>
    <w:rsid w:val="008750AD"/>
    <w:rsid w:val="008753F1"/>
    <w:rsid w:val="00875649"/>
    <w:rsid w:val="008756A7"/>
    <w:rsid w:val="00875AE3"/>
    <w:rsid w:val="00875B32"/>
    <w:rsid w:val="00875C95"/>
    <w:rsid w:val="00875CDC"/>
    <w:rsid w:val="00875DB4"/>
    <w:rsid w:val="00875DEF"/>
    <w:rsid w:val="00875EC4"/>
    <w:rsid w:val="00876026"/>
    <w:rsid w:val="0087619C"/>
    <w:rsid w:val="0087641C"/>
    <w:rsid w:val="0087644F"/>
    <w:rsid w:val="008768B1"/>
    <w:rsid w:val="008768DD"/>
    <w:rsid w:val="00876913"/>
    <w:rsid w:val="00876953"/>
    <w:rsid w:val="00876B4B"/>
    <w:rsid w:val="00876C56"/>
    <w:rsid w:val="00876C7D"/>
    <w:rsid w:val="00876FC8"/>
    <w:rsid w:val="00876FDA"/>
    <w:rsid w:val="0087700A"/>
    <w:rsid w:val="00877032"/>
    <w:rsid w:val="0087711B"/>
    <w:rsid w:val="00877437"/>
    <w:rsid w:val="008774C7"/>
    <w:rsid w:val="008775BF"/>
    <w:rsid w:val="00877743"/>
    <w:rsid w:val="00877780"/>
    <w:rsid w:val="0087780A"/>
    <w:rsid w:val="0087794C"/>
    <w:rsid w:val="00877A23"/>
    <w:rsid w:val="00877A9A"/>
    <w:rsid w:val="00877C19"/>
    <w:rsid w:val="00877C88"/>
    <w:rsid w:val="00877EB2"/>
    <w:rsid w:val="00877EFB"/>
    <w:rsid w:val="008802DE"/>
    <w:rsid w:val="008803A3"/>
    <w:rsid w:val="0088051A"/>
    <w:rsid w:val="0088053A"/>
    <w:rsid w:val="0088073E"/>
    <w:rsid w:val="00880805"/>
    <w:rsid w:val="00880895"/>
    <w:rsid w:val="00880B45"/>
    <w:rsid w:val="00880B58"/>
    <w:rsid w:val="00880C03"/>
    <w:rsid w:val="00880F5D"/>
    <w:rsid w:val="00881223"/>
    <w:rsid w:val="00881262"/>
    <w:rsid w:val="008812F8"/>
    <w:rsid w:val="008814C6"/>
    <w:rsid w:val="0088157D"/>
    <w:rsid w:val="0088167E"/>
    <w:rsid w:val="008816E1"/>
    <w:rsid w:val="008816FE"/>
    <w:rsid w:val="00881733"/>
    <w:rsid w:val="00881861"/>
    <w:rsid w:val="00881A5D"/>
    <w:rsid w:val="00881FB8"/>
    <w:rsid w:val="0088211C"/>
    <w:rsid w:val="00882193"/>
    <w:rsid w:val="0088226C"/>
    <w:rsid w:val="008822C2"/>
    <w:rsid w:val="008822EB"/>
    <w:rsid w:val="008823CE"/>
    <w:rsid w:val="00882467"/>
    <w:rsid w:val="008824CD"/>
    <w:rsid w:val="0088250F"/>
    <w:rsid w:val="0088261B"/>
    <w:rsid w:val="00882803"/>
    <w:rsid w:val="0088284B"/>
    <w:rsid w:val="008829D5"/>
    <w:rsid w:val="00882B34"/>
    <w:rsid w:val="00882D0B"/>
    <w:rsid w:val="00882E47"/>
    <w:rsid w:val="00882E77"/>
    <w:rsid w:val="00883097"/>
    <w:rsid w:val="00883167"/>
    <w:rsid w:val="008832FB"/>
    <w:rsid w:val="00883446"/>
    <w:rsid w:val="0088344A"/>
    <w:rsid w:val="008834D2"/>
    <w:rsid w:val="00883631"/>
    <w:rsid w:val="008836A2"/>
    <w:rsid w:val="008838FB"/>
    <w:rsid w:val="00883A7E"/>
    <w:rsid w:val="00883A8D"/>
    <w:rsid w:val="00883ABA"/>
    <w:rsid w:val="00883CC7"/>
    <w:rsid w:val="00883D48"/>
    <w:rsid w:val="00883F89"/>
    <w:rsid w:val="00884120"/>
    <w:rsid w:val="0088419E"/>
    <w:rsid w:val="00884378"/>
    <w:rsid w:val="008844E4"/>
    <w:rsid w:val="00884540"/>
    <w:rsid w:val="0088459D"/>
    <w:rsid w:val="00884636"/>
    <w:rsid w:val="0088471D"/>
    <w:rsid w:val="00884834"/>
    <w:rsid w:val="00884879"/>
    <w:rsid w:val="008849E8"/>
    <w:rsid w:val="00884C31"/>
    <w:rsid w:val="00884CB2"/>
    <w:rsid w:val="00884D3D"/>
    <w:rsid w:val="00884FFA"/>
    <w:rsid w:val="0088514F"/>
    <w:rsid w:val="008851A8"/>
    <w:rsid w:val="008854F0"/>
    <w:rsid w:val="00885537"/>
    <w:rsid w:val="00885540"/>
    <w:rsid w:val="008856D0"/>
    <w:rsid w:val="008857AA"/>
    <w:rsid w:val="00885905"/>
    <w:rsid w:val="00885A1D"/>
    <w:rsid w:val="00885C00"/>
    <w:rsid w:val="00885D59"/>
    <w:rsid w:val="00886132"/>
    <w:rsid w:val="00886358"/>
    <w:rsid w:val="00886432"/>
    <w:rsid w:val="008865E2"/>
    <w:rsid w:val="00886605"/>
    <w:rsid w:val="0088689F"/>
    <w:rsid w:val="008869AA"/>
    <w:rsid w:val="008869C9"/>
    <w:rsid w:val="00886A17"/>
    <w:rsid w:val="00886BBE"/>
    <w:rsid w:val="00886BF9"/>
    <w:rsid w:val="00886E5E"/>
    <w:rsid w:val="00886F03"/>
    <w:rsid w:val="00887023"/>
    <w:rsid w:val="00887266"/>
    <w:rsid w:val="00887420"/>
    <w:rsid w:val="008874E7"/>
    <w:rsid w:val="008874FB"/>
    <w:rsid w:val="00887594"/>
    <w:rsid w:val="008875C8"/>
    <w:rsid w:val="008876FD"/>
    <w:rsid w:val="00887822"/>
    <w:rsid w:val="00887911"/>
    <w:rsid w:val="0088798F"/>
    <w:rsid w:val="0088799F"/>
    <w:rsid w:val="00887ACB"/>
    <w:rsid w:val="00887C23"/>
    <w:rsid w:val="008901A1"/>
    <w:rsid w:val="00890376"/>
    <w:rsid w:val="00890604"/>
    <w:rsid w:val="0089068F"/>
    <w:rsid w:val="0089069A"/>
    <w:rsid w:val="0089076F"/>
    <w:rsid w:val="00890934"/>
    <w:rsid w:val="00890A1E"/>
    <w:rsid w:val="00890CAB"/>
    <w:rsid w:val="00890D78"/>
    <w:rsid w:val="00890E0A"/>
    <w:rsid w:val="00890EF4"/>
    <w:rsid w:val="00890FA7"/>
    <w:rsid w:val="0089100B"/>
    <w:rsid w:val="00891036"/>
    <w:rsid w:val="00891243"/>
    <w:rsid w:val="008915D1"/>
    <w:rsid w:val="00891837"/>
    <w:rsid w:val="00891874"/>
    <w:rsid w:val="008918C9"/>
    <w:rsid w:val="00891BFD"/>
    <w:rsid w:val="00891DDA"/>
    <w:rsid w:val="00891DEF"/>
    <w:rsid w:val="00891FF3"/>
    <w:rsid w:val="008921F6"/>
    <w:rsid w:val="0089224C"/>
    <w:rsid w:val="008922B2"/>
    <w:rsid w:val="0089241B"/>
    <w:rsid w:val="008927DC"/>
    <w:rsid w:val="00892856"/>
    <w:rsid w:val="008928E9"/>
    <w:rsid w:val="008929EC"/>
    <w:rsid w:val="00892D0B"/>
    <w:rsid w:val="00892F5A"/>
    <w:rsid w:val="00893056"/>
    <w:rsid w:val="0089313F"/>
    <w:rsid w:val="00893230"/>
    <w:rsid w:val="008933D8"/>
    <w:rsid w:val="00893590"/>
    <w:rsid w:val="008936AA"/>
    <w:rsid w:val="008937B6"/>
    <w:rsid w:val="008937F7"/>
    <w:rsid w:val="00893A3A"/>
    <w:rsid w:val="00893C1A"/>
    <w:rsid w:val="00893E24"/>
    <w:rsid w:val="00893F2A"/>
    <w:rsid w:val="00893F2F"/>
    <w:rsid w:val="00893FD3"/>
    <w:rsid w:val="00894023"/>
    <w:rsid w:val="00894057"/>
    <w:rsid w:val="00894136"/>
    <w:rsid w:val="008942EB"/>
    <w:rsid w:val="008944B0"/>
    <w:rsid w:val="008944B4"/>
    <w:rsid w:val="00894C20"/>
    <w:rsid w:val="00894D1C"/>
    <w:rsid w:val="00894D40"/>
    <w:rsid w:val="00894EB8"/>
    <w:rsid w:val="00894FBA"/>
    <w:rsid w:val="00895098"/>
    <w:rsid w:val="008951BC"/>
    <w:rsid w:val="00895244"/>
    <w:rsid w:val="00895409"/>
    <w:rsid w:val="0089543F"/>
    <w:rsid w:val="0089548C"/>
    <w:rsid w:val="00895596"/>
    <w:rsid w:val="00895A9B"/>
    <w:rsid w:val="00895BAB"/>
    <w:rsid w:val="00895CC3"/>
    <w:rsid w:val="00895E04"/>
    <w:rsid w:val="0089614D"/>
    <w:rsid w:val="00896232"/>
    <w:rsid w:val="00896256"/>
    <w:rsid w:val="0089634D"/>
    <w:rsid w:val="00896571"/>
    <w:rsid w:val="008965AE"/>
    <w:rsid w:val="00896935"/>
    <w:rsid w:val="00896A14"/>
    <w:rsid w:val="00896AB3"/>
    <w:rsid w:val="00896CAE"/>
    <w:rsid w:val="00896D48"/>
    <w:rsid w:val="00896D4A"/>
    <w:rsid w:val="00896DD2"/>
    <w:rsid w:val="008970AA"/>
    <w:rsid w:val="008972B6"/>
    <w:rsid w:val="008972F6"/>
    <w:rsid w:val="00897382"/>
    <w:rsid w:val="00897391"/>
    <w:rsid w:val="008973B0"/>
    <w:rsid w:val="0089746D"/>
    <w:rsid w:val="00897538"/>
    <w:rsid w:val="008977E1"/>
    <w:rsid w:val="008978A1"/>
    <w:rsid w:val="008978F0"/>
    <w:rsid w:val="00897964"/>
    <w:rsid w:val="00897D3B"/>
    <w:rsid w:val="00897E27"/>
    <w:rsid w:val="00897EE6"/>
    <w:rsid w:val="008A0170"/>
    <w:rsid w:val="008A0411"/>
    <w:rsid w:val="008A058C"/>
    <w:rsid w:val="008A0872"/>
    <w:rsid w:val="008A0AB7"/>
    <w:rsid w:val="008A0B2D"/>
    <w:rsid w:val="008A0B5B"/>
    <w:rsid w:val="008A0F10"/>
    <w:rsid w:val="008A1018"/>
    <w:rsid w:val="008A166B"/>
    <w:rsid w:val="008A1743"/>
    <w:rsid w:val="008A1886"/>
    <w:rsid w:val="008A1909"/>
    <w:rsid w:val="008A1A29"/>
    <w:rsid w:val="008A1CB9"/>
    <w:rsid w:val="008A1D99"/>
    <w:rsid w:val="008A1E1F"/>
    <w:rsid w:val="008A1E45"/>
    <w:rsid w:val="008A1EEF"/>
    <w:rsid w:val="008A2052"/>
    <w:rsid w:val="008A226C"/>
    <w:rsid w:val="008A239F"/>
    <w:rsid w:val="008A2496"/>
    <w:rsid w:val="008A24FE"/>
    <w:rsid w:val="008A25D0"/>
    <w:rsid w:val="008A291A"/>
    <w:rsid w:val="008A299D"/>
    <w:rsid w:val="008A29E2"/>
    <w:rsid w:val="008A2D8A"/>
    <w:rsid w:val="008A2E1B"/>
    <w:rsid w:val="008A3112"/>
    <w:rsid w:val="008A311B"/>
    <w:rsid w:val="008A313B"/>
    <w:rsid w:val="008A33E1"/>
    <w:rsid w:val="008A36EA"/>
    <w:rsid w:val="008A372A"/>
    <w:rsid w:val="008A374A"/>
    <w:rsid w:val="008A3775"/>
    <w:rsid w:val="008A3A1C"/>
    <w:rsid w:val="008A3AAB"/>
    <w:rsid w:val="008A3C24"/>
    <w:rsid w:val="008A3E38"/>
    <w:rsid w:val="008A3F0D"/>
    <w:rsid w:val="008A4043"/>
    <w:rsid w:val="008A4185"/>
    <w:rsid w:val="008A4248"/>
    <w:rsid w:val="008A4252"/>
    <w:rsid w:val="008A439C"/>
    <w:rsid w:val="008A4442"/>
    <w:rsid w:val="008A458F"/>
    <w:rsid w:val="008A4647"/>
    <w:rsid w:val="008A46CE"/>
    <w:rsid w:val="008A4859"/>
    <w:rsid w:val="008A4879"/>
    <w:rsid w:val="008A48C8"/>
    <w:rsid w:val="008A4A15"/>
    <w:rsid w:val="008A4A5E"/>
    <w:rsid w:val="008A4A66"/>
    <w:rsid w:val="008A4AD8"/>
    <w:rsid w:val="008A4B03"/>
    <w:rsid w:val="008A4C57"/>
    <w:rsid w:val="008A4D07"/>
    <w:rsid w:val="008A4F66"/>
    <w:rsid w:val="008A5064"/>
    <w:rsid w:val="008A51A8"/>
    <w:rsid w:val="008A5238"/>
    <w:rsid w:val="008A568E"/>
    <w:rsid w:val="008A56D9"/>
    <w:rsid w:val="008A577C"/>
    <w:rsid w:val="008A58C4"/>
    <w:rsid w:val="008A58C8"/>
    <w:rsid w:val="008A5915"/>
    <w:rsid w:val="008A59E9"/>
    <w:rsid w:val="008A5B91"/>
    <w:rsid w:val="008A5C84"/>
    <w:rsid w:val="008A5E73"/>
    <w:rsid w:val="008A5F20"/>
    <w:rsid w:val="008A61D5"/>
    <w:rsid w:val="008A634C"/>
    <w:rsid w:val="008A63EB"/>
    <w:rsid w:val="008A64F2"/>
    <w:rsid w:val="008A65BA"/>
    <w:rsid w:val="008A65C7"/>
    <w:rsid w:val="008A6617"/>
    <w:rsid w:val="008A6717"/>
    <w:rsid w:val="008A675F"/>
    <w:rsid w:val="008A67AF"/>
    <w:rsid w:val="008A6814"/>
    <w:rsid w:val="008A6886"/>
    <w:rsid w:val="008A6903"/>
    <w:rsid w:val="008A6A36"/>
    <w:rsid w:val="008A6AD8"/>
    <w:rsid w:val="008A6DF9"/>
    <w:rsid w:val="008A6F08"/>
    <w:rsid w:val="008A7072"/>
    <w:rsid w:val="008A707B"/>
    <w:rsid w:val="008A713D"/>
    <w:rsid w:val="008A7311"/>
    <w:rsid w:val="008A74DF"/>
    <w:rsid w:val="008A7538"/>
    <w:rsid w:val="008A75C7"/>
    <w:rsid w:val="008A75F5"/>
    <w:rsid w:val="008A7645"/>
    <w:rsid w:val="008A7984"/>
    <w:rsid w:val="008A79B3"/>
    <w:rsid w:val="008A7B66"/>
    <w:rsid w:val="008A7D12"/>
    <w:rsid w:val="008A7D5C"/>
    <w:rsid w:val="008A7ED5"/>
    <w:rsid w:val="008B002C"/>
    <w:rsid w:val="008B0089"/>
    <w:rsid w:val="008B00AD"/>
    <w:rsid w:val="008B0179"/>
    <w:rsid w:val="008B04C8"/>
    <w:rsid w:val="008B071F"/>
    <w:rsid w:val="008B090D"/>
    <w:rsid w:val="008B0A46"/>
    <w:rsid w:val="008B0B0F"/>
    <w:rsid w:val="008B0C23"/>
    <w:rsid w:val="008B0C3E"/>
    <w:rsid w:val="008B0D6E"/>
    <w:rsid w:val="008B0E86"/>
    <w:rsid w:val="008B0EAE"/>
    <w:rsid w:val="008B0F21"/>
    <w:rsid w:val="008B0FAF"/>
    <w:rsid w:val="008B1325"/>
    <w:rsid w:val="008B1418"/>
    <w:rsid w:val="008B1436"/>
    <w:rsid w:val="008B166E"/>
    <w:rsid w:val="008B178D"/>
    <w:rsid w:val="008B1813"/>
    <w:rsid w:val="008B1853"/>
    <w:rsid w:val="008B198E"/>
    <w:rsid w:val="008B1A26"/>
    <w:rsid w:val="008B1BCA"/>
    <w:rsid w:val="008B1EF0"/>
    <w:rsid w:val="008B1FD0"/>
    <w:rsid w:val="008B2112"/>
    <w:rsid w:val="008B21B8"/>
    <w:rsid w:val="008B22DB"/>
    <w:rsid w:val="008B2351"/>
    <w:rsid w:val="008B2397"/>
    <w:rsid w:val="008B2461"/>
    <w:rsid w:val="008B246C"/>
    <w:rsid w:val="008B25CD"/>
    <w:rsid w:val="008B273A"/>
    <w:rsid w:val="008B2745"/>
    <w:rsid w:val="008B28ED"/>
    <w:rsid w:val="008B291A"/>
    <w:rsid w:val="008B2971"/>
    <w:rsid w:val="008B29AE"/>
    <w:rsid w:val="008B2A16"/>
    <w:rsid w:val="008B2B07"/>
    <w:rsid w:val="008B2E2E"/>
    <w:rsid w:val="008B2F0C"/>
    <w:rsid w:val="008B2F2B"/>
    <w:rsid w:val="008B2F55"/>
    <w:rsid w:val="008B3205"/>
    <w:rsid w:val="008B3551"/>
    <w:rsid w:val="008B35FE"/>
    <w:rsid w:val="008B37D7"/>
    <w:rsid w:val="008B38EA"/>
    <w:rsid w:val="008B3C84"/>
    <w:rsid w:val="008B3D1F"/>
    <w:rsid w:val="008B3DC3"/>
    <w:rsid w:val="008B3E7F"/>
    <w:rsid w:val="008B416C"/>
    <w:rsid w:val="008B43CC"/>
    <w:rsid w:val="008B44A8"/>
    <w:rsid w:val="008B45D0"/>
    <w:rsid w:val="008B4610"/>
    <w:rsid w:val="008B469D"/>
    <w:rsid w:val="008B49C7"/>
    <w:rsid w:val="008B4B55"/>
    <w:rsid w:val="008B4C11"/>
    <w:rsid w:val="008B4E3D"/>
    <w:rsid w:val="008B4F10"/>
    <w:rsid w:val="008B5306"/>
    <w:rsid w:val="008B53A8"/>
    <w:rsid w:val="008B5472"/>
    <w:rsid w:val="008B557B"/>
    <w:rsid w:val="008B5628"/>
    <w:rsid w:val="008B56B6"/>
    <w:rsid w:val="008B5778"/>
    <w:rsid w:val="008B5869"/>
    <w:rsid w:val="008B587F"/>
    <w:rsid w:val="008B5D85"/>
    <w:rsid w:val="008B5DA4"/>
    <w:rsid w:val="008B619E"/>
    <w:rsid w:val="008B6288"/>
    <w:rsid w:val="008B65EB"/>
    <w:rsid w:val="008B664B"/>
    <w:rsid w:val="008B6678"/>
    <w:rsid w:val="008B669D"/>
    <w:rsid w:val="008B66F5"/>
    <w:rsid w:val="008B696B"/>
    <w:rsid w:val="008B6BCB"/>
    <w:rsid w:val="008B6DD9"/>
    <w:rsid w:val="008B6F61"/>
    <w:rsid w:val="008B6FD9"/>
    <w:rsid w:val="008B7165"/>
    <w:rsid w:val="008B739E"/>
    <w:rsid w:val="008B74A9"/>
    <w:rsid w:val="008B769A"/>
    <w:rsid w:val="008B77F4"/>
    <w:rsid w:val="008B7A13"/>
    <w:rsid w:val="008B7B05"/>
    <w:rsid w:val="008B7CFD"/>
    <w:rsid w:val="008B7D41"/>
    <w:rsid w:val="008B7DC8"/>
    <w:rsid w:val="008B7FC7"/>
    <w:rsid w:val="008C0331"/>
    <w:rsid w:val="008C0377"/>
    <w:rsid w:val="008C03D9"/>
    <w:rsid w:val="008C04DC"/>
    <w:rsid w:val="008C04EA"/>
    <w:rsid w:val="008C06A4"/>
    <w:rsid w:val="008C0948"/>
    <w:rsid w:val="008C0A5E"/>
    <w:rsid w:val="008C0BC2"/>
    <w:rsid w:val="008C0C5B"/>
    <w:rsid w:val="008C1094"/>
    <w:rsid w:val="008C10C4"/>
    <w:rsid w:val="008C1125"/>
    <w:rsid w:val="008C12EC"/>
    <w:rsid w:val="008C13DB"/>
    <w:rsid w:val="008C15C6"/>
    <w:rsid w:val="008C183E"/>
    <w:rsid w:val="008C1AE4"/>
    <w:rsid w:val="008C1B1B"/>
    <w:rsid w:val="008C1C09"/>
    <w:rsid w:val="008C1D21"/>
    <w:rsid w:val="008C1D3F"/>
    <w:rsid w:val="008C1DC3"/>
    <w:rsid w:val="008C2051"/>
    <w:rsid w:val="008C2376"/>
    <w:rsid w:val="008C2392"/>
    <w:rsid w:val="008C2589"/>
    <w:rsid w:val="008C259B"/>
    <w:rsid w:val="008C2704"/>
    <w:rsid w:val="008C27B0"/>
    <w:rsid w:val="008C2873"/>
    <w:rsid w:val="008C29C0"/>
    <w:rsid w:val="008C29F2"/>
    <w:rsid w:val="008C2E12"/>
    <w:rsid w:val="008C2E86"/>
    <w:rsid w:val="008C3500"/>
    <w:rsid w:val="008C3615"/>
    <w:rsid w:val="008C3735"/>
    <w:rsid w:val="008C3CD2"/>
    <w:rsid w:val="008C3E57"/>
    <w:rsid w:val="008C4193"/>
    <w:rsid w:val="008C41D7"/>
    <w:rsid w:val="008C41DB"/>
    <w:rsid w:val="008C427D"/>
    <w:rsid w:val="008C447F"/>
    <w:rsid w:val="008C45C1"/>
    <w:rsid w:val="008C4671"/>
    <w:rsid w:val="008C4870"/>
    <w:rsid w:val="008C492F"/>
    <w:rsid w:val="008C4995"/>
    <w:rsid w:val="008C49C4"/>
    <w:rsid w:val="008C4A75"/>
    <w:rsid w:val="008C4CA3"/>
    <w:rsid w:val="008C4F62"/>
    <w:rsid w:val="008C4F64"/>
    <w:rsid w:val="008C5087"/>
    <w:rsid w:val="008C52D9"/>
    <w:rsid w:val="008C5531"/>
    <w:rsid w:val="008C5838"/>
    <w:rsid w:val="008C5958"/>
    <w:rsid w:val="008C5A24"/>
    <w:rsid w:val="008C5AA3"/>
    <w:rsid w:val="008C610C"/>
    <w:rsid w:val="008C6342"/>
    <w:rsid w:val="008C63AD"/>
    <w:rsid w:val="008C648C"/>
    <w:rsid w:val="008C6720"/>
    <w:rsid w:val="008C6872"/>
    <w:rsid w:val="008C6A5A"/>
    <w:rsid w:val="008C6ABB"/>
    <w:rsid w:val="008C7190"/>
    <w:rsid w:val="008C7252"/>
    <w:rsid w:val="008C72C9"/>
    <w:rsid w:val="008C731E"/>
    <w:rsid w:val="008C73BF"/>
    <w:rsid w:val="008C76AA"/>
    <w:rsid w:val="008C76B6"/>
    <w:rsid w:val="008C7799"/>
    <w:rsid w:val="008C791D"/>
    <w:rsid w:val="008C7F3C"/>
    <w:rsid w:val="008C7FB0"/>
    <w:rsid w:val="008D014E"/>
    <w:rsid w:val="008D018D"/>
    <w:rsid w:val="008D01C0"/>
    <w:rsid w:val="008D0219"/>
    <w:rsid w:val="008D0419"/>
    <w:rsid w:val="008D05B7"/>
    <w:rsid w:val="008D0BD6"/>
    <w:rsid w:val="008D0D47"/>
    <w:rsid w:val="008D0D90"/>
    <w:rsid w:val="008D0EC8"/>
    <w:rsid w:val="008D12D9"/>
    <w:rsid w:val="008D137A"/>
    <w:rsid w:val="008D166F"/>
    <w:rsid w:val="008D1690"/>
    <w:rsid w:val="008D1995"/>
    <w:rsid w:val="008D1DAE"/>
    <w:rsid w:val="008D1E7D"/>
    <w:rsid w:val="008D21D3"/>
    <w:rsid w:val="008D2287"/>
    <w:rsid w:val="008D2330"/>
    <w:rsid w:val="008D24E1"/>
    <w:rsid w:val="008D24F3"/>
    <w:rsid w:val="008D2686"/>
    <w:rsid w:val="008D272A"/>
    <w:rsid w:val="008D2AD5"/>
    <w:rsid w:val="008D2BCD"/>
    <w:rsid w:val="008D321E"/>
    <w:rsid w:val="008D3327"/>
    <w:rsid w:val="008D3369"/>
    <w:rsid w:val="008D3457"/>
    <w:rsid w:val="008D35BE"/>
    <w:rsid w:val="008D365E"/>
    <w:rsid w:val="008D3757"/>
    <w:rsid w:val="008D3C67"/>
    <w:rsid w:val="008D3CE6"/>
    <w:rsid w:val="008D3CEA"/>
    <w:rsid w:val="008D4033"/>
    <w:rsid w:val="008D410A"/>
    <w:rsid w:val="008D4226"/>
    <w:rsid w:val="008D439F"/>
    <w:rsid w:val="008D43C1"/>
    <w:rsid w:val="008D4666"/>
    <w:rsid w:val="008D4779"/>
    <w:rsid w:val="008D48A7"/>
    <w:rsid w:val="008D4B9B"/>
    <w:rsid w:val="008D4C40"/>
    <w:rsid w:val="008D4DE2"/>
    <w:rsid w:val="008D4F4A"/>
    <w:rsid w:val="008D4FD7"/>
    <w:rsid w:val="008D501D"/>
    <w:rsid w:val="008D5073"/>
    <w:rsid w:val="008D5217"/>
    <w:rsid w:val="008D523C"/>
    <w:rsid w:val="008D5243"/>
    <w:rsid w:val="008D5385"/>
    <w:rsid w:val="008D53B0"/>
    <w:rsid w:val="008D55E8"/>
    <w:rsid w:val="008D570B"/>
    <w:rsid w:val="008D58F5"/>
    <w:rsid w:val="008D5AC3"/>
    <w:rsid w:val="008D5BBA"/>
    <w:rsid w:val="008D5E03"/>
    <w:rsid w:val="008D62B6"/>
    <w:rsid w:val="008D6307"/>
    <w:rsid w:val="008D63B9"/>
    <w:rsid w:val="008D6477"/>
    <w:rsid w:val="008D674B"/>
    <w:rsid w:val="008D6966"/>
    <w:rsid w:val="008D6A74"/>
    <w:rsid w:val="008D6C1A"/>
    <w:rsid w:val="008D6DF8"/>
    <w:rsid w:val="008D71CC"/>
    <w:rsid w:val="008D71E6"/>
    <w:rsid w:val="008D73D9"/>
    <w:rsid w:val="008D7569"/>
    <w:rsid w:val="008D7720"/>
    <w:rsid w:val="008D7861"/>
    <w:rsid w:val="008D78AF"/>
    <w:rsid w:val="008D7A15"/>
    <w:rsid w:val="008D7AB3"/>
    <w:rsid w:val="008D7C41"/>
    <w:rsid w:val="008D7D55"/>
    <w:rsid w:val="008D7D88"/>
    <w:rsid w:val="008D7DB7"/>
    <w:rsid w:val="008D7FE6"/>
    <w:rsid w:val="008E0080"/>
    <w:rsid w:val="008E019E"/>
    <w:rsid w:val="008E0211"/>
    <w:rsid w:val="008E0614"/>
    <w:rsid w:val="008E0960"/>
    <w:rsid w:val="008E0C57"/>
    <w:rsid w:val="008E0CDF"/>
    <w:rsid w:val="008E0D65"/>
    <w:rsid w:val="008E0ED2"/>
    <w:rsid w:val="008E0F6E"/>
    <w:rsid w:val="008E1286"/>
    <w:rsid w:val="008E1552"/>
    <w:rsid w:val="008E1623"/>
    <w:rsid w:val="008E172C"/>
    <w:rsid w:val="008E1768"/>
    <w:rsid w:val="008E1891"/>
    <w:rsid w:val="008E1AFD"/>
    <w:rsid w:val="008E1C6B"/>
    <w:rsid w:val="008E1D33"/>
    <w:rsid w:val="008E1DDE"/>
    <w:rsid w:val="008E1DE9"/>
    <w:rsid w:val="008E2005"/>
    <w:rsid w:val="008E20AD"/>
    <w:rsid w:val="008E2367"/>
    <w:rsid w:val="008E2613"/>
    <w:rsid w:val="008E27B8"/>
    <w:rsid w:val="008E285B"/>
    <w:rsid w:val="008E2B0A"/>
    <w:rsid w:val="008E2B1C"/>
    <w:rsid w:val="008E2F2F"/>
    <w:rsid w:val="008E3099"/>
    <w:rsid w:val="008E3215"/>
    <w:rsid w:val="008E33BF"/>
    <w:rsid w:val="008E363F"/>
    <w:rsid w:val="008E3784"/>
    <w:rsid w:val="008E37D0"/>
    <w:rsid w:val="008E3A04"/>
    <w:rsid w:val="008E3B93"/>
    <w:rsid w:val="008E3CB7"/>
    <w:rsid w:val="008E3D80"/>
    <w:rsid w:val="008E3F27"/>
    <w:rsid w:val="008E420A"/>
    <w:rsid w:val="008E44FC"/>
    <w:rsid w:val="008E4554"/>
    <w:rsid w:val="008E4618"/>
    <w:rsid w:val="008E4740"/>
    <w:rsid w:val="008E4936"/>
    <w:rsid w:val="008E4D3E"/>
    <w:rsid w:val="008E4E1E"/>
    <w:rsid w:val="008E52D0"/>
    <w:rsid w:val="008E534C"/>
    <w:rsid w:val="008E543F"/>
    <w:rsid w:val="008E54E4"/>
    <w:rsid w:val="008E5546"/>
    <w:rsid w:val="008E56FA"/>
    <w:rsid w:val="008E571B"/>
    <w:rsid w:val="008E5904"/>
    <w:rsid w:val="008E5BFE"/>
    <w:rsid w:val="008E5CD9"/>
    <w:rsid w:val="008E5CFA"/>
    <w:rsid w:val="008E5D92"/>
    <w:rsid w:val="008E5FC8"/>
    <w:rsid w:val="008E6003"/>
    <w:rsid w:val="008E60F2"/>
    <w:rsid w:val="008E612C"/>
    <w:rsid w:val="008E63C7"/>
    <w:rsid w:val="008E6471"/>
    <w:rsid w:val="008E6499"/>
    <w:rsid w:val="008E649B"/>
    <w:rsid w:val="008E657F"/>
    <w:rsid w:val="008E681E"/>
    <w:rsid w:val="008E688A"/>
    <w:rsid w:val="008E6AEF"/>
    <w:rsid w:val="008E6CD5"/>
    <w:rsid w:val="008E6CD6"/>
    <w:rsid w:val="008E6E1B"/>
    <w:rsid w:val="008E7097"/>
    <w:rsid w:val="008E7219"/>
    <w:rsid w:val="008E7845"/>
    <w:rsid w:val="008E78A3"/>
    <w:rsid w:val="008E7BAC"/>
    <w:rsid w:val="008E7BB7"/>
    <w:rsid w:val="008E7D43"/>
    <w:rsid w:val="008F0163"/>
    <w:rsid w:val="008F023E"/>
    <w:rsid w:val="008F0378"/>
    <w:rsid w:val="008F0415"/>
    <w:rsid w:val="008F07EA"/>
    <w:rsid w:val="008F08C9"/>
    <w:rsid w:val="008F0B71"/>
    <w:rsid w:val="008F0B82"/>
    <w:rsid w:val="008F0D99"/>
    <w:rsid w:val="008F1037"/>
    <w:rsid w:val="008F1043"/>
    <w:rsid w:val="008F12F5"/>
    <w:rsid w:val="008F18FA"/>
    <w:rsid w:val="008F194D"/>
    <w:rsid w:val="008F19DE"/>
    <w:rsid w:val="008F1B5E"/>
    <w:rsid w:val="008F1FE8"/>
    <w:rsid w:val="008F2015"/>
    <w:rsid w:val="008F23EB"/>
    <w:rsid w:val="008F242F"/>
    <w:rsid w:val="008F2469"/>
    <w:rsid w:val="008F26DA"/>
    <w:rsid w:val="008F27FB"/>
    <w:rsid w:val="008F2843"/>
    <w:rsid w:val="008F28F9"/>
    <w:rsid w:val="008F2A78"/>
    <w:rsid w:val="008F2D72"/>
    <w:rsid w:val="008F2EA9"/>
    <w:rsid w:val="008F2FD4"/>
    <w:rsid w:val="008F3010"/>
    <w:rsid w:val="008F3060"/>
    <w:rsid w:val="008F30E6"/>
    <w:rsid w:val="008F3184"/>
    <w:rsid w:val="008F335D"/>
    <w:rsid w:val="008F3429"/>
    <w:rsid w:val="008F3646"/>
    <w:rsid w:val="008F3794"/>
    <w:rsid w:val="008F3A62"/>
    <w:rsid w:val="008F3A88"/>
    <w:rsid w:val="008F3AF3"/>
    <w:rsid w:val="008F3B29"/>
    <w:rsid w:val="008F3C75"/>
    <w:rsid w:val="008F3CDC"/>
    <w:rsid w:val="008F3DC8"/>
    <w:rsid w:val="008F3E91"/>
    <w:rsid w:val="008F445E"/>
    <w:rsid w:val="008F4696"/>
    <w:rsid w:val="008F4816"/>
    <w:rsid w:val="008F48E3"/>
    <w:rsid w:val="008F4A3B"/>
    <w:rsid w:val="008F4ADF"/>
    <w:rsid w:val="008F4B72"/>
    <w:rsid w:val="008F4CFE"/>
    <w:rsid w:val="008F4E86"/>
    <w:rsid w:val="008F4F39"/>
    <w:rsid w:val="008F4F66"/>
    <w:rsid w:val="008F501B"/>
    <w:rsid w:val="008F50C6"/>
    <w:rsid w:val="008F51BA"/>
    <w:rsid w:val="008F5368"/>
    <w:rsid w:val="008F56CE"/>
    <w:rsid w:val="008F59EE"/>
    <w:rsid w:val="008F5E07"/>
    <w:rsid w:val="008F5E76"/>
    <w:rsid w:val="008F5F97"/>
    <w:rsid w:val="008F60FF"/>
    <w:rsid w:val="008F6116"/>
    <w:rsid w:val="008F61ED"/>
    <w:rsid w:val="008F628B"/>
    <w:rsid w:val="008F62A1"/>
    <w:rsid w:val="008F63C5"/>
    <w:rsid w:val="008F6503"/>
    <w:rsid w:val="008F6514"/>
    <w:rsid w:val="008F6524"/>
    <w:rsid w:val="008F669E"/>
    <w:rsid w:val="008F6B0D"/>
    <w:rsid w:val="008F6B1E"/>
    <w:rsid w:val="008F6D28"/>
    <w:rsid w:val="008F6D6C"/>
    <w:rsid w:val="008F6F81"/>
    <w:rsid w:val="008F6FEE"/>
    <w:rsid w:val="008F70FF"/>
    <w:rsid w:val="008F72B1"/>
    <w:rsid w:val="008F74D4"/>
    <w:rsid w:val="008F75FA"/>
    <w:rsid w:val="008F7605"/>
    <w:rsid w:val="008F761B"/>
    <w:rsid w:val="008F773A"/>
    <w:rsid w:val="008F7752"/>
    <w:rsid w:val="008F781A"/>
    <w:rsid w:val="008F791F"/>
    <w:rsid w:val="008F7A3A"/>
    <w:rsid w:val="008F7BC2"/>
    <w:rsid w:val="008F7D8D"/>
    <w:rsid w:val="008F7F29"/>
    <w:rsid w:val="008F7F95"/>
    <w:rsid w:val="009000E4"/>
    <w:rsid w:val="009002FB"/>
    <w:rsid w:val="009004CB"/>
    <w:rsid w:val="009005A8"/>
    <w:rsid w:val="009005FA"/>
    <w:rsid w:val="009008B8"/>
    <w:rsid w:val="009008D9"/>
    <w:rsid w:val="0090092C"/>
    <w:rsid w:val="009009B9"/>
    <w:rsid w:val="00900A33"/>
    <w:rsid w:val="00900B1E"/>
    <w:rsid w:val="00900BA6"/>
    <w:rsid w:val="00900BDA"/>
    <w:rsid w:val="00900C37"/>
    <w:rsid w:val="00900DF8"/>
    <w:rsid w:val="00900EC2"/>
    <w:rsid w:val="0090109C"/>
    <w:rsid w:val="00901161"/>
    <w:rsid w:val="00901329"/>
    <w:rsid w:val="00901456"/>
    <w:rsid w:val="009015C8"/>
    <w:rsid w:val="0090160E"/>
    <w:rsid w:val="0090168B"/>
    <w:rsid w:val="0090172B"/>
    <w:rsid w:val="009018EB"/>
    <w:rsid w:val="009019AC"/>
    <w:rsid w:val="00901A09"/>
    <w:rsid w:val="00901A0B"/>
    <w:rsid w:val="00901B3E"/>
    <w:rsid w:val="00901CEA"/>
    <w:rsid w:val="00901FE1"/>
    <w:rsid w:val="009020B9"/>
    <w:rsid w:val="009020CD"/>
    <w:rsid w:val="00902247"/>
    <w:rsid w:val="00902264"/>
    <w:rsid w:val="0090233B"/>
    <w:rsid w:val="0090238E"/>
    <w:rsid w:val="00902657"/>
    <w:rsid w:val="009026E2"/>
    <w:rsid w:val="009027A2"/>
    <w:rsid w:val="009029B2"/>
    <w:rsid w:val="00902AAF"/>
    <w:rsid w:val="00902D09"/>
    <w:rsid w:val="00902DAE"/>
    <w:rsid w:val="00902DEF"/>
    <w:rsid w:val="009032DC"/>
    <w:rsid w:val="0090331D"/>
    <w:rsid w:val="0090341D"/>
    <w:rsid w:val="009036E3"/>
    <w:rsid w:val="009038B3"/>
    <w:rsid w:val="00903C40"/>
    <w:rsid w:val="00903DA2"/>
    <w:rsid w:val="00903DBC"/>
    <w:rsid w:val="00903DD3"/>
    <w:rsid w:val="00903E2F"/>
    <w:rsid w:val="00903F85"/>
    <w:rsid w:val="009040B8"/>
    <w:rsid w:val="00904141"/>
    <w:rsid w:val="009042F9"/>
    <w:rsid w:val="00904677"/>
    <w:rsid w:val="00904951"/>
    <w:rsid w:val="00904A2A"/>
    <w:rsid w:val="00904A5F"/>
    <w:rsid w:val="00904ADD"/>
    <w:rsid w:val="00904B59"/>
    <w:rsid w:val="00904C38"/>
    <w:rsid w:val="00904C79"/>
    <w:rsid w:val="00904ED1"/>
    <w:rsid w:val="00904F8B"/>
    <w:rsid w:val="009050F2"/>
    <w:rsid w:val="00905329"/>
    <w:rsid w:val="009053B1"/>
    <w:rsid w:val="009055CE"/>
    <w:rsid w:val="00905716"/>
    <w:rsid w:val="009057B1"/>
    <w:rsid w:val="009058FF"/>
    <w:rsid w:val="00905AF7"/>
    <w:rsid w:val="00905C5D"/>
    <w:rsid w:val="00905E0B"/>
    <w:rsid w:val="00906008"/>
    <w:rsid w:val="00906092"/>
    <w:rsid w:val="00906192"/>
    <w:rsid w:val="009061FF"/>
    <w:rsid w:val="00906239"/>
    <w:rsid w:val="00906276"/>
    <w:rsid w:val="009065E7"/>
    <w:rsid w:val="009065F6"/>
    <w:rsid w:val="0090662D"/>
    <w:rsid w:val="0090678E"/>
    <w:rsid w:val="00906798"/>
    <w:rsid w:val="009067CE"/>
    <w:rsid w:val="00906887"/>
    <w:rsid w:val="0090692B"/>
    <w:rsid w:val="0090695B"/>
    <w:rsid w:val="00906DF3"/>
    <w:rsid w:val="00906DF9"/>
    <w:rsid w:val="00906EEF"/>
    <w:rsid w:val="0090701A"/>
    <w:rsid w:val="0090721F"/>
    <w:rsid w:val="009076FB"/>
    <w:rsid w:val="00907714"/>
    <w:rsid w:val="00907895"/>
    <w:rsid w:val="00907974"/>
    <w:rsid w:val="009079A7"/>
    <w:rsid w:val="00907A7F"/>
    <w:rsid w:val="00907FF5"/>
    <w:rsid w:val="009100DA"/>
    <w:rsid w:val="009100E8"/>
    <w:rsid w:val="009101B0"/>
    <w:rsid w:val="009101FC"/>
    <w:rsid w:val="0091029B"/>
    <w:rsid w:val="00910311"/>
    <w:rsid w:val="0091034A"/>
    <w:rsid w:val="0091046E"/>
    <w:rsid w:val="0091074F"/>
    <w:rsid w:val="00910828"/>
    <w:rsid w:val="0091098C"/>
    <w:rsid w:val="00910BAE"/>
    <w:rsid w:val="00910CCA"/>
    <w:rsid w:val="00910D36"/>
    <w:rsid w:val="00910DC5"/>
    <w:rsid w:val="00910EC9"/>
    <w:rsid w:val="00910F13"/>
    <w:rsid w:val="00911080"/>
    <w:rsid w:val="00911086"/>
    <w:rsid w:val="00911187"/>
    <w:rsid w:val="009111D7"/>
    <w:rsid w:val="00911204"/>
    <w:rsid w:val="00911499"/>
    <w:rsid w:val="00911502"/>
    <w:rsid w:val="009115CC"/>
    <w:rsid w:val="0091162A"/>
    <w:rsid w:val="00911860"/>
    <w:rsid w:val="00911A65"/>
    <w:rsid w:val="00911C0F"/>
    <w:rsid w:val="00911D00"/>
    <w:rsid w:val="009123A5"/>
    <w:rsid w:val="00912418"/>
    <w:rsid w:val="0091245A"/>
    <w:rsid w:val="009127F1"/>
    <w:rsid w:val="009128D7"/>
    <w:rsid w:val="00912952"/>
    <w:rsid w:val="0091296D"/>
    <w:rsid w:val="00912A6E"/>
    <w:rsid w:val="00912AA3"/>
    <w:rsid w:val="00912C26"/>
    <w:rsid w:val="00912E1E"/>
    <w:rsid w:val="00912FCE"/>
    <w:rsid w:val="009132B0"/>
    <w:rsid w:val="00913307"/>
    <w:rsid w:val="00913619"/>
    <w:rsid w:val="00913624"/>
    <w:rsid w:val="009136D9"/>
    <w:rsid w:val="009138C5"/>
    <w:rsid w:val="00913A4A"/>
    <w:rsid w:val="00913B1C"/>
    <w:rsid w:val="00913BD7"/>
    <w:rsid w:val="00913C37"/>
    <w:rsid w:val="00913ED4"/>
    <w:rsid w:val="00914103"/>
    <w:rsid w:val="0091418B"/>
    <w:rsid w:val="009149E5"/>
    <w:rsid w:val="00914C5F"/>
    <w:rsid w:val="00914EA6"/>
    <w:rsid w:val="00914EF2"/>
    <w:rsid w:val="00914F9C"/>
    <w:rsid w:val="00915044"/>
    <w:rsid w:val="00915180"/>
    <w:rsid w:val="00915294"/>
    <w:rsid w:val="0091549F"/>
    <w:rsid w:val="00915577"/>
    <w:rsid w:val="00915766"/>
    <w:rsid w:val="0091596F"/>
    <w:rsid w:val="00915990"/>
    <w:rsid w:val="00915F12"/>
    <w:rsid w:val="00916055"/>
    <w:rsid w:val="0091622B"/>
    <w:rsid w:val="00916303"/>
    <w:rsid w:val="0091686B"/>
    <w:rsid w:val="00916E65"/>
    <w:rsid w:val="00916F6B"/>
    <w:rsid w:val="0091721F"/>
    <w:rsid w:val="0091737D"/>
    <w:rsid w:val="0091739C"/>
    <w:rsid w:val="0091740E"/>
    <w:rsid w:val="00917420"/>
    <w:rsid w:val="009174AF"/>
    <w:rsid w:val="009174DE"/>
    <w:rsid w:val="009174EA"/>
    <w:rsid w:val="00917506"/>
    <w:rsid w:val="00917635"/>
    <w:rsid w:val="009176C4"/>
    <w:rsid w:val="00917741"/>
    <w:rsid w:val="00917874"/>
    <w:rsid w:val="009178AF"/>
    <w:rsid w:val="00917A04"/>
    <w:rsid w:val="00917A24"/>
    <w:rsid w:val="00917A47"/>
    <w:rsid w:val="00917D50"/>
    <w:rsid w:val="00917E03"/>
    <w:rsid w:val="00917F08"/>
    <w:rsid w:val="009200A5"/>
    <w:rsid w:val="009200B6"/>
    <w:rsid w:val="00920153"/>
    <w:rsid w:val="009203CD"/>
    <w:rsid w:val="009203F6"/>
    <w:rsid w:val="0092040C"/>
    <w:rsid w:val="0092056D"/>
    <w:rsid w:val="009206E0"/>
    <w:rsid w:val="009209DC"/>
    <w:rsid w:val="00920A5C"/>
    <w:rsid w:val="00920A99"/>
    <w:rsid w:val="00920AB7"/>
    <w:rsid w:val="00920C06"/>
    <w:rsid w:val="00920EE5"/>
    <w:rsid w:val="0092108F"/>
    <w:rsid w:val="0092110A"/>
    <w:rsid w:val="00921381"/>
    <w:rsid w:val="0092167B"/>
    <w:rsid w:val="00921813"/>
    <w:rsid w:val="0092185F"/>
    <w:rsid w:val="0092195E"/>
    <w:rsid w:val="00921BFD"/>
    <w:rsid w:val="00921CB3"/>
    <w:rsid w:val="00922089"/>
    <w:rsid w:val="009220A5"/>
    <w:rsid w:val="009220E7"/>
    <w:rsid w:val="009220EF"/>
    <w:rsid w:val="009221E6"/>
    <w:rsid w:val="0092222A"/>
    <w:rsid w:val="0092237B"/>
    <w:rsid w:val="009225F4"/>
    <w:rsid w:val="00922712"/>
    <w:rsid w:val="0092287D"/>
    <w:rsid w:val="0092296D"/>
    <w:rsid w:val="00922AE1"/>
    <w:rsid w:val="00922E6A"/>
    <w:rsid w:val="00922EA9"/>
    <w:rsid w:val="00922FC8"/>
    <w:rsid w:val="0092302C"/>
    <w:rsid w:val="00923092"/>
    <w:rsid w:val="0092312C"/>
    <w:rsid w:val="009236AD"/>
    <w:rsid w:val="00923880"/>
    <w:rsid w:val="009239F6"/>
    <w:rsid w:val="00923AAD"/>
    <w:rsid w:val="00923C7A"/>
    <w:rsid w:val="00923EA4"/>
    <w:rsid w:val="00923FCA"/>
    <w:rsid w:val="00924245"/>
    <w:rsid w:val="009243CD"/>
    <w:rsid w:val="00924526"/>
    <w:rsid w:val="00924801"/>
    <w:rsid w:val="00924841"/>
    <w:rsid w:val="00924848"/>
    <w:rsid w:val="009249BC"/>
    <w:rsid w:val="009249C8"/>
    <w:rsid w:val="00924A9D"/>
    <w:rsid w:val="00924B6E"/>
    <w:rsid w:val="00924C7E"/>
    <w:rsid w:val="00924E71"/>
    <w:rsid w:val="00924E79"/>
    <w:rsid w:val="00924F66"/>
    <w:rsid w:val="00925289"/>
    <w:rsid w:val="009255ED"/>
    <w:rsid w:val="00925634"/>
    <w:rsid w:val="009256E7"/>
    <w:rsid w:val="0092576F"/>
    <w:rsid w:val="00925917"/>
    <w:rsid w:val="00925A0D"/>
    <w:rsid w:val="00925A31"/>
    <w:rsid w:val="00925AAE"/>
    <w:rsid w:val="00925C18"/>
    <w:rsid w:val="00925D36"/>
    <w:rsid w:val="00925DFB"/>
    <w:rsid w:val="0092603E"/>
    <w:rsid w:val="009260BE"/>
    <w:rsid w:val="0092614F"/>
    <w:rsid w:val="0092631C"/>
    <w:rsid w:val="0092635D"/>
    <w:rsid w:val="0092661B"/>
    <w:rsid w:val="009266F8"/>
    <w:rsid w:val="0092686A"/>
    <w:rsid w:val="0092686D"/>
    <w:rsid w:val="00926936"/>
    <w:rsid w:val="00926C40"/>
    <w:rsid w:val="00926C8D"/>
    <w:rsid w:val="00926CCE"/>
    <w:rsid w:val="00927002"/>
    <w:rsid w:val="009270C9"/>
    <w:rsid w:val="00927107"/>
    <w:rsid w:val="009273A3"/>
    <w:rsid w:val="0092766E"/>
    <w:rsid w:val="009276BD"/>
    <w:rsid w:val="009276F8"/>
    <w:rsid w:val="00927706"/>
    <w:rsid w:val="0092784B"/>
    <w:rsid w:val="00927A3B"/>
    <w:rsid w:val="00927A5F"/>
    <w:rsid w:val="00927C11"/>
    <w:rsid w:val="00927F9B"/>
    <w:rsid w:val="00927FAA"/>
    <w:rsid w:val="00930130"/>
    <w:rsid w:val="00930196"/>
    <w:rsid w:val="009304AD"/>
    <w:rsid w:val="0093057A"/>
    <w:rsid w:val="0093065C"/>
    <w:rsid w:val="009306DB"/>
    <w:rsid w:val="00930794"/>
    <w:rsid w:val="0093079C"/>
    <w:rsid w:val="009309EF"/>
    <w:rsid w:val="009309FA"/>
    <w:rsid w:val="00930BBA"/>
    <w:rsid w:val="00930D22"/>
    <w:rsid w:val="00930DD2"/>
    <w:rsid w:val="00930F76"/>
    <w:rsid w:val="009310B3"/>
    <w:rsid w:val="00931260"/>
    <w:rsid w:val="009313D6"/>
    <w:rsid w:val="0093161E"/>
    <w:rsid w:val="00931674"/>
    <w:rsid w:val="00931848"/>
    <w:rsid w:val="00931928"/>
    <w:rsid w:val="00931963"/>
    <w:rsid w:val="009319AF"/>
    <w:rsid w:val="00931BC4"/>
    <w:rsid w:val="00932071"/>
    <w:rsid w:val="00932091"/>
    <w:rsid w:val="009320B2"/>
    <w:rsid w:val="009320B4"/>
    <w:rsid w:val="009321E2"/>
    <w:rsid w:val="0093223C"/>
    <w:rsid w:val="0093227B"/>
    <w:rsid w:val="009322EA"/>
    <w:rsid w:val="0093243B"/>
    <w:rsid w:val="0093245C"/>
    <w:rsid w:val="00932640"/>
    <w:rsid w:val="00932656"/>
    <w:rsid w:val="0093277B"/>
    <w:rsid w:val="009327B1"/>
    <w:rsid w:val="009328AD"/>
    <w:rsid w:val="009328B7"/>
    <w:rsid w:val="00932B22"/>
    <w:rsid w:val="00932BF7"/>
    <w:rsid w:val="00932C7C"/>
    <w:rsid w:val="00932DE1"/>
    <w:rsid w:val="00932F68"/>
    <w:rsid w:val="00932F79"/>
    <w:rsid w:val="0093312B"/>
    <w:rsid w:val="0093313B"/>
    <w:rsid w:val="009333AE"/>
    <w:rsid w:val="009335AA"/>
    <w:rsid w:val="00933787"/>
    <w:rsid w:val="009337C2"/>
    <w:rsid w:val="00933862"/>
    <w:rsid w:val="009338CE"/>
    <w:rsid w:val="00933A91"/>
    <w:rsid w:val="00933D35"/>
    <w:rsid w:val="009346D7"/>
    <w:rsid w:val="00934999"/>
    <w:rsid w:val="009349E3"/>
    <w:rsid w:val="00934C09"/>
    <w:rsid w:val="00934FB8"/>
    <w:rsid w:val="00934FE6"/>
    <w:rsid w:val="009351B1"/>
    <w:rsid w:val="009352FD"/>
    <w:rsid w:val="009353C8"/>
    <w:rsid w:val="00935438"/>
    <w:rsid w:val="009357E6"/>
    <w:rsid w:val="009358E8"/>
    <w:rsid w:val="00935C58"/>
    <w:rsid w:val="00935C6B"/>
    <w:rsid w:val="00935CB5"/>
    <w:rsid w:val="00935CFB"/>
    <w:rsid w:val="00935E3B"/>
    <w:rsid w:val="00935EF0"/>
    <w:rsid w:val="00935F96"/>
    <w:rsid w:val="00935FCA"/>
    <w:rsid w:val="0093609A"/>
    <w:rsid w:val="00936176"/>
    <w:rsid w:val="00936234"/>
    <w:rsid w:val="009362FB"/>
    <w:rsid w:val="009363C6"/>
    <w:rsid w:val="00936540"/>
    <w:rsid w:val="0093661F"/>
    <w:rsid w:val="009367B4"/>
    <w:rsid w:val="00936806"/>
    <w:rsid w:val="009368F4"/>
    <w:rsid w:val="0093698B"/>
    <w:rsid w:val="009369C3"/>
    <w:rsid w:val="009369D2"/>
    <w:rsid w:val="00936A3C"/>
    <w:rsid w:val="00936B83"/>
    <w:rsid w:val="00936CF9"/>
    <w:rsid w:val="00936D5E"/>
    <w:rsid w:val="00936F71"/>
    <w:rsid w:val="009370A2"/>
    <w:rsid w:val="0093721C"/>
    <w:rsid w:val="009374DD"/>
    <w:rsid w:val="009375AC"/>
    <w:rsid w:val="009375E8"/>
    <w:rsid w:val="0093766B"/>
    <w:rsid w:val="009378E4"/>
    <w:rsid w:val="00937A23"/>
    <w:rsid w:val="00940222"/>
    <w:rsid w:val="0094027A"/>
    <w:rsid w:val="0094028D"/>
    <w:rsid w:val="009402B6"/>
    <w:rsid w:val="009406DC"/>
    <w:rsid w:val="0094072F"/>
    <w:rsid w:val="00940739"/>
    <w:rsid w:val="00940846"/>
    <w:rsid w:val="0094086E"/>
    <w:rsid w:val="00940899"/>
    <w:rsid w:val="009408C4"/>
    <w:rsid w:val="009408FF"/>
    <w:rsid w:val="0094092B"/>
    <w:rsid w:val="00940A7F"/>
    <w:rsid w:val="00940A9C"/>
    <w:rsid w:val="00940CAB"/>
    <w:rsid w:val="00940DD1"/>
    <w:rsid w:val="00940EC4"/>
    <w:rsid w:val="0094166F"/>
    <w:rsid w:val="00941888"/>
    <w:rsid w:val="00941B5E"/>
    <w:rsid w:val="00941BCA"/>
    <w:rsid w:val="00941DC0"/>
    <w:rsid w:val="00942617"/>
    <w:rsid w:val="009426F7"/>
    <w:rsid w:val="00942711"/>
    <w:rsid w:val="009427FD"/>
    <w:rsid w:val="009429E7"/>
    <w:rsid w:val="00942CE4"/>
    <w:rsid w:val="00942CF2"/>
    <w:rsid w:val="00942D20"/>
    <w:rsid w:val="00942E4F"/>
    <w:rsid w:val="00942E61"/>
    <w:rsid w:val="00942E6A"/>
    <w:rsid w:val="00943224"/>
    <w:rsid w:val="00943231"/>
    <w:rsid w:val="0094328F"/>
    <w:rsid w:val="009432B0"/>
    <w:rsid w:val="0094334D"/>
    <w:rsid w:val="00943704"/>
    <w:rsid w:val="0094374E"/>
    <w:rsid w:val="009437D1"/>
    <w:rsid w:val="009437F4"/>
    <w:rsid w:val="0094386B"/>
    <w:rsid w:val="009439EB"/>
    <w:rsid w:val="00943B56"/>
    <w:rsid w:val="00943E11"/>
    <w:rsid w:val="00943E1D"/>
    <w:rsid w:val="009440F6"/>
    <w:rsid w:val="0094414C"/>
    <w:rsid w:val="00944205"/>
    <w:rsid w:val="009444CA"/>
    <w:rsid w:val="009446EE"/>
    <w:rsid w:val="0094470F"/>
    <w:rsid w:val="00944887"/>
    <w:rsid w:val="009448FD"/>
    <w:rsid w:val="0094493B"/>
    <w:rsid w:val="009449C9"/>
    <w:rsid w:val="00944BA4"/>
    <w:rsid w:val="00944C68"/>
    <w:rsid w:val="00944EC2"/>
    <w:rsid w:val="0094508B"/>
    <w:rsid w:val="009450B9"/>
    <w:rsid w:val="009453A3"/>
    <w:rsid w:val="0094541E"/>
    <w:rsid w:val="009454F9"/>
    <w:rsid w:val="009457E5"/>
    <w:rsid w:val="00945812"/>
    <w:rsid w:val="00945834"/>
    <w:rsid w:val="009458DA"/>
    <w:rsid w:val="0094591B"/>
    <w:rsid w:val="00945944"/>
    <w:rsid w:val="00945F07"/>
    <w:rsid w:val="009460F3"/>
    <w:rsid w:val="0094624D"/>
    <w:rsid w:val="009463B4"/>
    <w:rsid w:val="00946457"/>
    <w:rsid w:val="00946620"/>
    <w:rsid w:val="009468C9"/>
    <w:rsid w:val="00946906"/>
    <w:rsid w:val="00946D67"/>
    <w:rsid w:val="00946F31"/>
    <w:rsid w:val="00946FD0"/>
    <w:rsid w:val="00947043"/>
    <w:rsid w:val="009471F7"/>
    <w:rsid w:val="009474F0"/>
    <w:rsid w:val="0094791E"/>
    <w:rsid w:val="0094793A"/>
    <w:rsid w:val="00947B59"/>
    <w:rsid w:val="00947B80"/>
    <w:rsid w:val="00947CFD"/>
    <w:rsid w:val="00947D81"/>
    <w:rsid w:val="00947DA7"/>
    <w:rsid w:val="00947E36"/>
    <w:rsid w:val="00947F67"/>
    <w:rsid w:val="00947F91"/>
    <w:rsid w:val="00947FF2"/>
    <w:rsid w:val="00950166"/>
    <w:rsid w:val="009501BB"/>
    <w:rsid w:val="009502C1"/>
    <w:rsid w:val="00950520"/>
    <w:rsid w:val="00950541"/>
    <w:rsid w:val="009506C0"/>
    <w:rsid w:val="0095080A"/>
    <w:rsid w:val="009509DB"/>
    <w:rsid w:val="00950A60"/>
    <w:rsid w:val="00950A6D"/>
    <w:rsid w:val="00950B45"/>
    <w:rsid w:val="00950C4E"/>
    <w:rsid w:val="00950D93"/>
    <w:rsid w:val="00950E6D"/>
    <w:rsid w:val="00950E7D"/>
    <w:rsid w:val="00950EAC"/>
    <w:rsid w:val="00950EF8"/>
    <w:rsid w:val="0095139C"/>
    <w:rsid w:val="009514AA"/>
    <w:rsid w:val="009516F1"/>
    <w:rsid w:val="00951828"/>
    <w:rsid w:val="009518B3"/>
    <w:rsid w:val="009518BC"/>
    <w:rsid w:val="00951BDD"/>
    <w:rsid w:val="00951CB5"/>
    <w:rsid w:val="00951E91"/>
    <w:rsid w:val="0095205F"/>
    <w:rsid w:val="00952130"/>
    <w:rsid w:val="009521A5"/>
    <w:rsid w:val="00952762"/>
    <w:rsid w:val="009527B5"/>
    <w:rsid w:val="009528B0"/>
    <w:rsid w:val="00952B7A"/>
    <w:rsid w:val="00952C0C"/>
    <w:rsid w:val="00952C19"/>
    <w:rsid w:val="00952C7F"/>
    <w:rsid w:val="00952D2B"/>
    <w:rsid w:val="00952F41"/>
    <w:rsid w:val="009530CA"/>
    <w:rsid w:val="009531A5"/>
    <w:rsid w:val="009534D8"/>
    <w:rsid w:val="00953740"/>
    <w:rsid w:val="00953904"/>
    <w:rsid w:val="00953A05"/>
    <w:rsid w:val="00953CBA"/>
    <w:rsid w:val="00953E58"/>
    <w:rsid w:val="0095404D"/>
    <w:rsid w:val="009540E4"/>
    <w:rsid w:val="009541C9"/>
    <w:rsid w:val="009541DB"/>
    <w:rsid w:val="0095437F"/>
    <w:rsid w:val="00954499"/>
    <w:rsid w:val="00954627"/>
    <w:rsid w:val="009547D6"/>
    <w:rsid w:val="00954A34"/>
    <w:rsid w:val="00954ACB"/>
    <w:rsid w:val="00954F34"/>
    <w:rsid w:val="00954F70"/>
    <w:rsid w:val="009550A4"/>
    <w:rsid w:val="00955138"/>
    <w:rsid w:val="00955217"/>
    <w:rsid w:val="0095527A"/>
    <w:rsid w:val="009552D4"/>
    <w:rsid w:val="009553D9"/>
    <w:rsid w:val="00955731"/>
    <w:rsid w:val="00955745"/>
    <w:rsid w:val="00955D6E"/>
    <w:rsid w:val="00955E34"/>
    <w:rsid w:val="00955F8F"/>
    <w:rsid w:val="0095605F"/>
    <w:rsid w:val="00956165"/>
    <w:rsid w:val="00956271"/>
    <w:rsid w:val="0095674F"/>
    <w:rsid w:val="00956A3A"/>
    <w:rsid w:val="00956A6F"/>
    <w:rsid w:val="00956AB0"/>
    <w:rsid w:val="00956AD0"/>
    <w:rsid w:val="00956E32"/>
    <w:rsid w:val="00956E79"/>
    <w:rsid w:val="00956F5C"/>
    <w:rsid w:val="009570D9"/>
    <w:rsid w:val="009572A5"/>
    <w:rsid w:val="00957376"/>
    <w:rsid w:val="00957592"/>
    <w:rsid w:val="009575AE"/>
    <w:rsid w:val="00957917"/>
    <w:rsid w:val="0095792B"/>
    <w:rsid w:val="009579B0"/>
    <w:rsid w:val="00957B4C"/>
    <w:rsid w:val="00957C49"/>
    <w:rsid w:val="00957DB6"/>
    <w:rsid w:val="009600B7"/>
    <w:rsid w:val="00960284"/>
    <w:rsid w:val="009606A6"/>
    <w:rsid w:val="009606B3"/>
    <w:rsid w:val="009608CC"/>
    <w:rsid w:val="009608F3"/>
    <w:rsid w:val="0096109B"/>
    <w:rsid w:val="009612DC"/>
    <w:rsid w:val="009617E7"/>
    <w:rsid w:val="00961816"/>
    <w:rsid w:val="00961971"/>
    <w:rsid w:val="00961AAD"/>
    <w:rsid w:val="00961BD2"/>
    <w:rsid w:val="00961CBC"/>
    <w:rsid w:val="00961E1B"/>
    <w:rsid w:val="00961E28"/>
    <w:rsid w:val="00961E38"/>
    <w:rsid w:val="00962260"/>
    <w:rsid w:val="0096229B"/>
    <w:rsid w:val="00962421"/>
    <w:rsid w:val="0096276B"/>
    <w:rsid w:val="00962C34"/>
    <w:rsid w:val="00962CC1"/>
    <w:rsid w:val="00962E03"/>
    <w:rsid w:val="0096316F"/>
    <w:rsid w:val="0096328C"/>
    <w:rsid w:val="009632BA"/>
    <w:rsid w:val="009632CC"/>
    <w:rsid w:val="00963397"/>
    <w:rsid w:val="009635DE"/>
    <w:rsid w:val="0096381E"/>
    <w:rsid w:val="00963A18"/>
    <w:rsid w:val="00963A48"/>
    <w:rsid w:val="00963B57"/>
    <w:rsid w:val="00963B58"/>
    <w:rsid w:val="00963C5D"/>
    <w:rsid w:val="00963CD4"/>
    <w:rsid w:val="00963DB9"/>
    <w:rsid w:val="00963EB7"/>
    <w:rsid w:val="0096454C"/>
    <w:rsid w:val="0096455E"/>
    <w:rsid w:val="009647A0"/>
    <w:rsid w:val="00964803"/>
    <w:rsid w:val="009648AA"/>
    <w:rsid w:val="00964A64"/>
    <w:rsid w:val="00964CCE"/>
    <w:rsid w:val="00964E15"/>
    <w:rsid w:val="00964F94"/>
    <w:rsid w:val="0096512F"/>
    <w:rsid w:val="009651CF"/>
    <w:rsid w:val="009654F0"/>
    <w:rsid w:val="00965550"/>
    <w:rsid w:val="009655A2"/>
    <w:rsid w:val="009656C4"/>
    <w:rsid w:val="00965AAF"/>
    <w:rsid w:val="00965B27"/>
    <w:rsid w:val="00965C14"/>
    <w:rsid w:val="00965C92"/>
    <w:rsid w:val="00965EBF"/>
    <w:rsid w:val="00965EF1"/>
    <w:rsid w:val="009661C1"/>
    <w:rsid w:val="009661FC"/>
    <w:rsid w:val="00966277"/>
    <w:rsid w:val="00966337"/>
    <w:rsid w:val="009663B0"/>
    <w:rsid w:val="00966475"/>
    <w:rsid w:val="009665E9"/>
    <w:rsid w:val="009667A1"/>
    <w:rsid w:val="009668D9"/>
    <w:rsid w:val="00966939"/>
    <w:rsid w:val="00966A47"/>
    <w:rsid w:val="00966D17"/>
    <w:rsid w:val="009672EF"/>
    <w:rsid w:val="00967458"/>
    <w:rsid w:val="009674F9"/>
    <w:rsid w:val="0096754E"/>
    <w:rsid w:val="009675B2"/>
    <w:rsid w:val="0096780B"/>
    <w:rsid w:val="009679DC"/>
    <w:rsid w:val="009679EF"/>
    <w:rsid w:val="00967BDA"/>
    <w:rsid w:val="00967C3B"/>
    <w:rsid w:val="00967CBB"/>
    <w:rsid w:val="00967CCB"/>
    <w:rsid w:val="00967DB8"/>
    <w:rsid w:val="00967E02"/>
    <w:rsid w:val="00967EA8"/>
    <w:rsid w:val="009700F5"/>
    <w:rsid w:val="0097039A"/>
    <w:rsid w:val="009703C6"/>
    <w:rsid w:val="009704A6"/>
    <w:rsid w:val="00970611"/>
    <w:rsid w:val="00970826"/>
    <w:rsid w:val="0097084F"/>
    <w:rsid w:val="0097093C"/>
    <w:rsid w:val="00970A15"/>
    <w:rsid w:val="00970B17"/>
    <w:rsid w:val="00970C4D"/>
    <w:rsid w:val="00970D42"/>
    <w:rsid w:val="00970DD2"/>
    <w:rsid w:val="00970E79"/>
    <w:rsid w:val="00970FB4"/>
    <w:rsid w:val="00970FB9"/>
    <w:rsid w:val="009710E1"/>
    <w:rsid w:val="0097119D"/>
    <w:rsid w:val="0097140E"/>
    <w:rsid w:val="00971416"/>
    <w:rsid w:val="009715C2"/>
    <w:rsid w:val="0097181C"/>
    <w:rsid w:val="00971950"/>
    <w:rsid w:val="009719E2"/>
    <w:rsid w:val="00971B84"/>
    <w:rsid w:val="00971D12"/>
    <w:rsid w:val="00971D41"/>
    <w:rsid w:val="00971D70"/>
    <w:rsid w:val="00971F05"/>
    <w:rsid w:val="00971F36"/>
    <w:rsid w:val="00972398"/>
    <w:rsid w:val="00972635"/>
    <w:rsid w:val="0097288A"/>
    <w:rsid w:val="00972B39"/>
    <w:rsid w:val="00972DFE"/>
    <w:rsid w:val="00972E18"/>
    <w:rsid w:val="009730B1"/>
    <w:rsid w:val="009730E6"/>
    <w:rsid w:val="0097354A"/>
    <w:rsid w:val="00973943"/>
    <w:rsid w:val="009739FF"/>
    <w:rsid w:val="00973B32"/>
    <w:rsid w:val="00973C15"/>
    <w:rsid w:val="00973ECA"/>
    <w:rsid w:val="00973FB1"/>
    <w:rsid w:val="0097420A"/>
    <w:rsid w:val="00974236"/>
    <w:rsid w:val="00974426"/>
    <w:rsid w:val="009747C7"/>
    <w:rsid w:val="00974989"/>
    <w:rsid w:val="00974B5E"/>
    <w:rsid w:val="00974BBA"/>
    <w:rsid w:val="00974CEF"/>
    <w:rsid w:val="00974EEF"/>
    <w:rsid w:val="00974F2A"/>
    <w:rsid w:val="00974FA8"/>
    <w:rsid w:val="009750D0"/>
    <w:rsid w:val="0097510C"/>
    <w:rsid w:val="00975168"/>
    <w:rsid w:val="0097529C"/>
    <w:rsid w:val="0097536C"/>
    <w:rsid w:val="009754C6"/>
    <w:rsid w:val="00975518"/>
    <w:rsid w:val="0097564C"/>
    <w:rsid w:val="009757C4"/>
    <w:rsid w:val="00975990"/>
    <w:rsid w:val="00975A0C"/>
    <w:rsid w:val="00975C07"/>
    <w:rsid w:val="00975CF0"/>
    <w:rsid w:val="00975E84"/>
    <w:rsid w:val="00976096"/>
    <w:rsid w:val="0097609C"/>
    <w:rsid w:val="00976226"/>
    <w:rsid w:val="00976372"/>
    <w:rsid w:val="009767B2"/>
    <w:rsid w:val="0097684B"/>
    <w:rsid w:val="009768D1"/>
    <w:rsid w:val="0097699A"/>
    <w:rsid w:val="009769D9"/>
    <w:rsid w:val="00976B2C"/>
    <w:rsid w:val="00976CE9"/>
    <w:rsid w:val="00976E20"/>
    <w:rsid w:val="00976E82"/>
    <w:rsid w:val="00976EAC"/>
    <w:rsid w:val="00976ECE"/>
    <w:rsid w:val="00977033"/>
    <w:rsid w:val="0097743C"/>
    <w:rsid w:val="00977507"/>
    <w:rsid w:val="009776CC"/>
    <w:rsid w:val="009779A1"/>
    <w:rsid w:val="00977AE2"/>
    <w:rsid w:val="00977C76"/>
    <w:rsid w:val="00977D35"/>
    <w:rsid w:val="00977D81"/>
    <w:rsid w:val="00977D8F"/>
    <w:rsid w:val="00977E12"/>
    <w:rsid w:val="00980004"/>
    <w:rsid w:val="009801A3"/>
    <w:rsid w:val="00980260"/>
    <w:rsid w:val="0098034C"/>
    <w:rsid w:val="009803C6"/>
    <w:rsid w:val="009804E0"/>
    <w:rsid w:val="009804F5"/>
    <w:rsid w:val="00980567"/>
    <w:rsid w:val="009807AD"/>
    <w:rsid w:val="00980830"/>
    <w:rsid w:val="00980833"/>
    <w:rsid w:val="00980961"/>
    <w:rsid w:val="00980C2D"/>
    <w:rsid w:val="00980DC2"/>
    <w:rsid w:val="00980FFD"/>
    <w:rsid w:val="009810A0"/>
    <w:rsid w:val="009812B4"/>
    <w:rsid w:val="00981428"/>
    <w:rsid w:val="0098146D"/>
    <w:rsid w:val="00981529"/>
    <w:rsid w:val="00981990"/>
    <w:rsid w:val="00981A69"/>
    <w:rsid w:val="00981AF2"/>
    <w:rsid w:val="00981D3D"/>
    <w:rsid w:val="00981F80"/>
    <w:rsid w:val="00981FC5"/>
    <w:rsid w:val="0098204D"/>
    <w:rsid w:val="00982107"/>
    <w:rsid w:val="009825B0"/>
    <w:rsid w:val="0098265F"/>
    <w:rsid w:val="00982698"/>
    <w:rsid w:val="0098277E"/>
    <w:rsid w:val="009828D6"/>
    <w:rsid w:val="00982A99"/>
    <w:rsid w:val="00982AA6"/>
    <w:rsid w:val="00982E6C"/>
    <w:rsid w:val="00982EDB"/>
    <w:rsid w:val="00982F6B"/>
    <w:rsid w:val="009831A2"/>
    <w:rsid w:val="009831CD"/>
    <w:rsid w:val="00983399"/>
    <w:rsid w:val="009833F7"/>
    <w:rsid w:val="00983561"/>
    <w:rsid w:val="0098358B"/>
    <w:rsid w:val="00983A18"/>
    <w:rsid w:val="00983A9B"/>
    <w:rsid w:val="00983BA7"/>
    <w:rsid w:val="00983D1F"/>
    <w:rsid w:val="00983FE2"/>
    <w:rsid w:val="00984018"/>
    <w:rsid w:val="009840A8"/>
    <w:rsid w:val="009841C0"/>
    <w:rsid w:val="00984201"/>
    <w:rsid w:val="00984680"/>
    <w:rsid w:val="009846F6"/>
    <w:rsid w:val="009848FC"/>
    <w:rsid w:val="0098494B"/>
    <w:rsid w:val="0098499E"/>
    <w:rsid w:val="0098499F"/>
    <w:rsid w:val="00984A35"/>
    <w:rsid w:val="00984AB5"/>
    <w:rsid w:val="00984D60"/>
    <w:rsid w:val="00984DB4"/>
    <w:rsid w:val="00984DDC"/>
    <w:rsid w:val="00984F4B"/>
    <w:rsid w:val="00985012"/>
    <w:rsid w:val="009853A8"/>
    <w:rsid w:val="009854F2"/>
    <w:rsid w:val="009856B7"/>
    <w:rsid w:val="00985700"/>
    <w:rsid w:val="00985A7E"/>
    <w:rsid w:val="00985AC5"/>
    <w:rsid w:val="00986066"/>
    <w:rsid w:val="00986097"/>
    <w:rsid w:val="009860B0"/>
    <w:rsid w:val="00986117"/>
    <w:rsid w:val="00986168"/>
    <w:rsid w:val="0098622C"/>
    <w:rsid w:val="00986288"/>
    <w:rsid w:val="00986293"/>
    <w:rsid w:val="009862E7"/>
    <w:rsid w:val="00986365"/>
    <w:rsid w:val="00986371"/>
    <w:rsid w:val="00986707"/>
    <w:rsid w:val="00986762"/>
    <w:rsid w:val="009868DE"/>
    <w:rsid w:val="009868EA"/>
    <w:rsid w:val="00986986"/>
    <w:rsid w:val="00986C2A"/>
    <w:rsid w:val="00986D35"/>
    <w:rsid w:val="00986E9B"/>
    <w:rsid w:val="00986F98"/>
    <w:rsid w:val="00986FC4"/>
    <w:rsid w:val="00987161"/>
    <w:rsid w:val="0098737D"/>
    <w:rsid w:val="00987699"/>
    <w:rsid w:val="009878AC"/>
    <w:rsid w:val="009879C5"/>
    <w:rsid w:val="00987EBB"/>
    <w:rsid w:val="00990099"/>
    <w:rsid w:val="009900B2"/>
    <w:rsid w:val="00990106"/>
    <w:rsid w:val="009901A5"/>
    <w:rsid w:val="00990625"/>
    <w:rsid w:val="0099066C"/>
    <w:rsid w:val="0099083E"/>
    <w:rsid w:val="009908E0"/>
    <w:rsid w:val="009908E2"/>
    <w:rsid w:val="00990B90"/>
    <w:rsid w:val="00990DA3"/>
    <w:rsid w:val="00990E59"/>
    <w:rsid w:val="00990F24"/>
    <w:rsid w:val="00990F75"/>
    <w:rsid w:val="00990FC9"/>
    <w:rsid w:val="00991406"/>
    <w:rsid w:val="00991553"/>
    <w:rsid w:val="00991B43"/>
    <w:rsid w:val="00991D3C"/>
    <w:rsid w:val="00991D7B"/>
    <w:rsid w:val="00991EAA"/>
    <w:rsid w:val="00991EFF"/>
    <w:rsid w:val="00992012"/>
    <w:rsid w:val="0099202A"/>
    <w:rsid w:val="009922D8"/>
    <w:rsid w:val="0099248A"/>
    <w:rsid w:val="009924FC"/>
    <w:rsid w:val="00992522"/>
    <w:rsid w:val="00992676"/>
    <w:rsid w:val="009927DB"/>
    <w:rsid w:val="00992822"/>
    <w:rsid w:val="009928EC"/>
    <w:rsid w:val="00992ADE"/>
    <w:rsid w:val="00992B3F"/>
    <w:rsid w:val="00992B74"/>
    <w:rsid w:val="00992D58"/>
    <w:rsid w:val="0099311F"/>
    <w:rsid w:val="009932C4"/>
    <w:rsid w:val="0099370F"/>
    <w:rsid w:val="00993777"/>
    <w:rsid w:val="009938F9"/>
    <w:rsid w:val="00993937"/>
    <w:rsid w:val="00993A83"/>
    <w:rsid w:val="00993CF0"/>
    <w:rsid w:val="00994106"/>
    <w:rsid w:val="009941C6"/>
    <w:rsid w:val="0099459A"/>
    <w:rsid w:val="009945C4"/>
    <w:rsid w:val="00994988"/>
    <w:rsid w:val="00994A25"/>
    <w:rsid w:val="00994A63"/>
    <w:rsid w:val="00994B05"/>
    <w:rsid w:val="00994C2A"/>
    <w:rsid w:val="00994C76"/>
    <w:rsid w:val="00994DE3"/>
    <w:rsid w:val="00994E2A"/>
    <w:rsid w:val="00994FD4"/>
    <w:rsid w:val="00994FDC"/>
    <w:rsid w:val="0099500F"/>
    <w:rsid w:val="0099532F"/>
    <w:rsid w:val="009954C1"/>
    <w:rsid w:val="009955E6"/>
    <w:rsid w:val="009955ED"/>
    <w:rsid w:val="0099576E"/>
    <w:rsid w:val="0099581B"/>
    <w:rsid w:val="00995945"/>
    <w:rsid w:val="00995B04"/>
    <w:rsid w:val="00996210"/>
    <w:rsid w:val="00996275"/>
    <w:rsid w:val="00996350"/>
    <w:rsid w:val="0099665F"/>
    <w:rsid w:val="009967ED"/>
    <w:rsid w:val="00996855"/>
    <w:rsid w:val="00996993"/>
    <w:rsid w:val="009969C0"/>
    <w:rsid w:val="00996ADF"/>
    <w:rsid w:val="00996CF3"/>
    <w:rsid w:val="00996DED"/>
    <w:rsid w:val="00996EBD"/>
    <w:rsid w:val="009971E0"/>
    <w:rsid w:val="0099724F"/>
    <w:rsid w:val="00997382"/>
    <w:rsid w:val="009973C6"/>
    <w:rsid w:val="009975EC"/>
    <w:rsid w:val="0099787F"/>
    <w:rsid w:val="009979E2"/>
    <w:rsid w:val="009979F7"/>
    <w:rsid w:val="00997A45"/>
    <w:rsid w:val="00997C32"/>
    <w:rsid w:val="009A0192"/>
    <w:rsid w:val="009A026C"/>
    <w:rsid w:val="009A039F"/>
    <w:rsid w:val="009A051D"/>
    <w:rsid w:val="009A0785"/>
    <w:rsid w:val="009A07A0"/>
    <w:rsid w:val="009A0881"/>
    <w:rsid w:val="009A093B"/>
    <w:rsid w:val="009A098A"/>
    <w:rsid w:val="009A099E"/>
    <w:rsid w:val="009A0B14"/>
    <w:rsid w:val="009A0C53"/>
    <w:rsid w:val="009A0CE6"/>
    <w:rsid w:val="009A0D2C"/>
    <w:rsid w:val="009A0D94"/>
    <w:rsid w:val="009A0F71"/>
    <w:rsid w:val="009A1033"/>
    <w:rsid w:val="009A14A7"/>
    <w:rsid w:val="009A1536"/>
    <w:rsid w:val="009A1567"/>
    <w:rsid w:val="009A15C1"/>
    <w:rsid w:val="009A1828"/>
    <w:rsid w:val="009A1EFB"/>
    <w:rsid w:val="009A1F7F"/>
    <w:rsid w:val="009A2136"/>
    <w:rsid w:val="009A25BA"/>
    <w:rsid w:val="009A25CF"/>
    <w:rsid w:val="009A2679"/>
    <w:rsid w:val="009A287C"/>
    <w:rsid w:val="009A2A08"/>
    <w:rsid w:val="009A2BA0"/>
    <w:rsid w:val="009A2CAB"/>
    <w:rsid w:val="009A2CCD"/>
    <w:rsid w:val="009A2E84"/>
    <w:rsid w:val="009A32B0"/>
    <w:rsid w:val="009A3336"/>
    <w:rsid w:val="009A3359"/>
    <w:rsid w:val="009A358A"/>
    <w:rsid w:val="009A35C0"/>
    <w:rsid w:val="009A379A"/>
    <w:rsid w:val="009A38F0"/>
    <w:rsid w:val="009A3A39"/>
    <w:rsid w:val="009A3D44"/>
    <w:rsid w:val="009A3D8E"/>
    <w:rsid w:val="009A3DAC"/>
    <w:rsid w:val="009A3FCA"/>
    <w:rsid w:val="009A4002"/>
    <w:rsid w:val="009A423F"/>
    <w:rsid w:val="009A433F"/>
    <w:rsid w:val="009A4416"/>
    <w:rsid w:val="009A4560"/>
    <w:rsid w:val="009A4916"/>
    <w:rsid w:val="009A499D"/>
    <w:rsid w:val="009A49A7"/>
    <w:rsid w:val="009A4E22"/>
    <w:rsid w:val="009A4E57"/>
    <w:rsid w:val="009A4F6F"/>
    <w:rsid w:val="009A508E"/>
    <w:rsid w:val="009A50F1"/>
    <w:rsid w:val="009A518D"/>
    <w:rsid w:val="009A51E3"/>
    <w:rsid w:val="009A5259"/>
    <w:rsid w:val="009A535A"/>
    <w:rsid w:val="009A53BD"/>
    <w:rsid w:val="009A551D"/>
    <w:rsid w:val="009A560F"/>
    <w:rsid w:val="009A5653"/>
    <w:rsid w:val="009A5759"/>
    <w:rsid w:val="009A59A8"/>
    <w:rsid w:val="009A5B0C"/>
    <w:rsid w:val="009A5BDC"/>
    <w:rsid w:val="009A5FF9"/>
    <w:rsid w:val="009A604A"/>
    <w:rsid w:val="009A669E"/>
    <w:rsid w:val="009A66F5"/>
    <w:rsid w:val="009A66F9"/>
    <w:rsid w:val="009A6770"/>
    <w:rsid w:val="009A6AA2"/>
    <w:rsid w:val="009A6AA5"/>
    <w:rsid w:val="009A6C73"/>
    <w:rsid w:val="009A6CFC"/>
    <w:rsid w:val="009A6D0B"/>
    <w:rsid w:val="009A6E3A"/>
    <w:rsid w:val="009A6F46"/>
    <w:rsid w:val="009A7084"/>
    <w:rsid w:val="009A72B0"/>
    <w:rsid w:val="009A770F"/>
    <w:rsid w:val="009A780E"/>
    <w:rsid w:val="009A78CC"/>
    <w:rsid w:val="009A7981"/>
    <w:rsid w:val="009A7CAD"/>
    <w:rsid w:val="009A7F9D"/>
    <w:rsid w:val="009B00A5"/>
    <w:rsid w:val="009B00B1"/>
    <w:rsid w:val="009B00BC"/>
    <w:rsid w:val="009B010D"/>
    <w:rsid w:val="009B016F"/>
    <w:rsid w:val="009B018C"/>
    <w:rsid w:val="009B0434"/>
    <w:rsid w:val="009B050F"/>
    <w:rsid w:val="009B08C2"/>
    <w:rsid w:val="009B0926"/>
    <w:rsid w:val="009B09C6"/>
    <w:rsid w:val="009B0DD2"/>
    <w:rsid w:val="009B125E"/>
    <w:rsid w:val="009B12BB"/>
    <w:rsid w:val="009B1432"/>
    <w:rsid w:val="009B1529"/>
    <w:rsid w:val="009B1541"/>
    <w:rsid w:val="009B1581"/>
    <w:rsid w:val="009B1583"/>
    <w:rsid w:val="009B1619"/>
    <w:rsid w:val="009B177B"/>
    <w:rsid w:val="009B1844"/>
    <w:rsid w:val="009B193E"/>
    <w:rsid w:val="009B1954"/>
    <w:rsid w:val="009B1AFA"/>
    <w:rsid w:val="009B1C5B"/>
    <w:rsid w:val="009B1CA6"/>
    <w:rsid w:val="009B1CD8"/>
    <w:rsid w:val="009B1D61"/>
    <w:rsid w:val="009B1D78"/>
    <w:rsid w:val="009B1D81"/>
    <w:rsid w:val="009B1E45"/>
    <w:rsid w:val="009B21E5"/>
    <w:rsid w:val="009B21EB"/>
    <w:rsid w:val="009B224C"/>
    <w:rsid w:val="009B23BE"/>
    <w:rsid w:val="009B25D6"/>
    <w:rsid w:val="009B27FE"/>
    <w:rsid w:val="009B28FD"/>
    <w:rsid w:val="009B2955"/>
    <w:rsid w:val="009B2972"/>
    <w:rsid w:val="009B2D36"/>
    <w:rsid w:val="009B2E9A"/>
    <w:rsid w:val="009B2F1F"/>
    <w:rsid w:val="009B2F7B"/>
    <w:rsid w:val="009B3067"/>
    <w:rsid w:val="009B312A"/>
    <w:rsid w:val="009B327D"/>
    <w:rsid w:val="009B3388"/>
    <w:rsid w:val="009B342B"/>
    <w:rsid w:val="009B3437"/>
    <w:rsid w:val="009B35F7"/>
    <w:rsid w:val="009B3606"/>
    <w:rsid w:val="009B366C"/>
    <w:rsid w:val="009B36F8"/>
    <w:rsid w:val="009B3726"/>
    <w:rsid w:val="009B38CD"/>
    <w:rsid w:val="009B3BA4"/>
    <w:rsid w:val="009B3BC2"/>
    <w:rsid w:val="009B3BF4"/>
    <w:rsid w:val="009B3CBF"/>
    <w:rsid w:val="009B3DDD"/>
    <w:rsid w:val="009B3E39"/>
    <w:rsid w:val="009B3F89"/>
    <w:rsid w:val="009B424C"/>
    <w:rsid w:val="009B4475"/>
    <w:rsid w:val="009B454E"/>
    <w:rsid w:val="009B4659"/>
    <w:rsid w:val="009B4736"/>
    <w:rsid w:val="009B48FF"/>
    <w:rsid w:val="009B4A22"/>
    <w:rsid w:val="009B4B64"/>
    <w:rsid w:val="009B4DFE"/>
    <w:rsid w:val="009B4F01"/>
    <w:rsid w:val="009B4F75"/>
    <w:rsid w:val="009B5088"/>
    <w:rsid w:val="009B5278"/>
    <w:rsid w:val="009B533E"/>
    <w:rsid w:val="009B5342"/>
    <w:rsid w:val="009B5608"/>
    <w:rsid w:val="009B56A7"/>
    <w:rsid w:val="009B584E"/>
    <w:rsid w:val="009B5A48"/>
    <w:rsid w:val="009B5C52"/>
    <w:rsid w:val="009B5CD7"/>
    <w:rsid w:val="009B5DE5"/>
    <w:rsid w:val="009B5E52"/>
    <w:rsid w:val="009B5EFE"/>
    <w:rsid w:val="009B5FBA"/>
    <w:rsid w:val="009B603A"/>
    <w:rsid w:val="009B6048"/>
    <w:rsid w:val="009B60A7"/>
    <w:rsid w:val="009B60F4"/>
    <w:rsid w:val="009B6194"/>
    <w:rsid w:val="009B620E"/>
    <w:rsid w:val="009B632A"/>
    <w:rsid w:val="009B649C"/>
    <w:rsid w:val="009B64D7"/>
    <w:rsid w:val="009B65C8"/>
    <w:rsid w:val="009B6ABF"/>
    <w:rsid w:val="009B6B61"/>
    <w:rsid w:val="009B6BBF"/>
    <w:rsid w:val="009B6DF6"/>
    <w:rsid w:val="009B6E54"/>
    <w:rsid w:val="009B7312"/>
    <w:rsid w:val="009B77E1"/>
    <w:rsid w:val="009B781F"/>
    <w:rsid w:val="009B79D9"/>
    <w:rsid w:val="009B7A4F"/>
    <w:rsid w:val="009B7B1A"/>
    <w:rsid w:val="009B7BFB"/>
    <w:rsid w:val="009B7C32"/>
    <w:rsid w:val="009B7F6A"/>
    <w:rsid w:val="009C0118"/>
    <w:rsid w:val="009C0142"/>
    <w:rsid w:val="009C04BC"/>
    <w:rsid w:val="009C04DE"/>
    <w:rsid w:val="009C05C9"/>
    <w:rsid w:val="009C0635"/>
    <w:rsid w:val="009C06E7"/>
    <w:rsid w:val="009C0787"/>
    <w:rsid w:val="009C0A3B"/>
    <w:rsid w:val="009C0B57"/>
    <w:rsid w:val="009C0BB1"/>
    <w:rsid w:val="009C0D5B"/>
    <w:rsid w:val="009C0FAD"/>
    <w:rsid w:val="009C113E"/>
    <w:rsid w:val="009C1271"/>
    <w:rsid w:val="009C12C6"/>
    <w:rsid w:val="009C12CB"/>
    <w:rsid w:val="009C15D3"/>
    <w:rsid w:val="009C176B"/>
    <w:rsid w:val="009C187E"/>
    <w:rsid w:val="009C1A66"/>
    <w:rsid w:val="009C1BF8"/>
    <w:rsid w:val="009C1C6B"/>
    <w:rsid w:val="009C1CB5"/>
    <w:rsid w:val="009C1D3F"/>
    <w:rsid w:val="009C207D"/>
    <w:rsid w:val="009C2398"/>
    <w:rsid w:val="009C23F0"/>
    <w:rsid w:val="009C24C0"/>
    <w:rsid w:val="009C2867"/>
    <w:rsid w:val="009C29C7"/>
    <w:rsid w:val="009C2B4F"/>
    <w:rsid w:val="009C2D58"/>
    <w:rsid w:val="009C2DA8"/>
    <w:rsid w:val="009C2FDC"/>
    <w:rsid w:val="009C30B0"/>
    <w:rsid w:val="009C32CB"/>
    <w:rsid w:val="009C3489"/>
    <w:rsid w:val="009C34CB"/>
    <w:rsid w:val="009C3758"/>
    <w:rsid w:val="009C3764"/>
    <w:rsid w:val="009C3792"/>
    <w:rsid w:val="009C37A1"/>
    <w:rsid w:val="009C3975"/>
    <w:rsid w:val="009C39D0"/>
    <w:rsid w:val="009C3AB8"/>
    <w:rsid w:val="009C3CB0"/>
    <w:rsid w:val="009C3D76"/>
    <w:rsid w:val="009C3E05"/>
    <w:rsid w:val="009C3E07"/>
    <w:rsid w:val="009C3E22"/>
    <w:rsid w:val="009C4179"/>
    <w:rsid w:val="009C426C"/>
    <w:rsid w:val="009C46C9"/>
    <w:rsid w:val="009C47BA"/>
    <w:rsid w:val="009C4CF4"/>
    <w:rsid w:val="009C4D4D"/>
    <w:rsid w:val="009C527A"/>
    <w:rsid w:val="009C52B0"/>
    <w:rsid w:val="009C53EF"/>
    <w:rsid w:val="009C5659"/>
    <w:rsid w:val="009C5B16"/>
    <w:rsid w:val="009C5C2D"/>
    <w:rsid w:val="009C5C6A"/>
    <w:rsid w:val="009C5EE0"/>
    <w:rsid w:val="009C5FDF"/>
    <w:rsid w:val="009C62D3"/>
    <w:rsid w:val="009C65CC"/>
    <w:rsid w:val="009C6677"/>
    <w:rsid w:val="009C669B"/>
    <w:rsid w:val="009C66A2"/>
    <w:rsid w:val="009C68F5"/>
    <w:rsid w:val="009C6998"/>
    <w:rsid w:val="009C6A02"/>
    <w:rsid w:val="009C6A12"/>
    <w:rsid w:val="009C6BA1"/>
    <w:rsid w:val="009C6C71"/>
    <w:rsid w:val="009C6DD5"/>
    <w:rsid w:val="009C7054"/>
    <w:rsid w:val="009C7420"/>
    <w:rsid w:val="009C7464"/>
    <w:rsid w:val="009C7669"/>
    <w:rsid w:val="009C77B4"/>
    <w:rsid w:val="009C787E"/>
    <w:rsid w:val="009C7E11"/>
    <w:rsid w:val="009C7E2C"/>
    <w:rsid w:val="009C7EAC"/>
    <w:rsid w:val="009D0261"/>
    <w:rsid w:val="009D02BD"/>
    <w:rsid w:val="009D047E"/>
    <w:rsid w:val="009D0549"/>
    <w:rsid w:val="009D05E9"/>
    <w:rsid w:val="009D0648"/>
    <w:rsid w:val="009D0865"/>
    <w:rsid w:val="009D0925"/>
    <w:rsid w:val="009D09C8"/>
    <w:rsid w:val="009D0A58"/>
    <w:rsid w:val="009D0B7F"/>
    <w:rsid w:val="009D0B8D"/>
    <w:rsid w:val="009D0CE8"/>
    <w:rsid w:val="009D0E16"/>
    <w:rsid w:val="009D0E48"/>
    <w:rsid w:val="009D10E9"/>
    <w:rsid w:val="009D10FA"/>
    <w:rsid w:val="009D112E"/>
    <w:rsid w:val="009D1355"/>
    <w:rsid w:val="009D13B2"/>
    <w:rsid w:val="009D1568"/>
    <w:rsid w:val="009D1641"/>
    <w:rsid w:val="009D1715"/>
    <w:rsid w:val="009D18B3"/>
    <w:rsid w:val="009D193C"/>
    <w:rsid w:val="009D1A2C"/>
    <w:rsid w:val="009D1BDA"/>
    <w:rsid w:val="009D1D44"/>
    <w:rsid w:val="009D1D58"/>
    <w:rsid w:val="009D1DC4"/>
    <w:rsid w:val="009D1F90"/>
    <w:rsid w:val="009D21D8"/>
    <w:rsid w:val="009D242E"/>
    <w:rsid w:val="009D24C2"/>
    <w:rsid w:val="009D26AD"/>
    <w:rsid w:val="009D26BE"/>
    <w:rsid w:val="009D2739"/>
    <w:rsid w:val="009D273D"/>
    <w:rsid w:val="009D275B"/>
    <w:rsid w:val="009D292B"/>
    <w:rsid w:val="009D29B0"/>
    <w:rsid w:val="009D2AD3"/>
    <w:rsid w:val="009D2B84"/>
    <w:rsid w:val="009D2C35"/>
    <w:rsid w:val="009D2C7F"/>
    <w:rsid w:val="009D2E6B"/>
    <w:rsid w:val="009D330B"/>
    <w:rsid w:val="009D350E"/>
    <w:rsid w:val="009D3703"/>
    <w:rsid w:val="009D381B"/>
    <w:rsid w:val="009D3864"/>
    <w:rsid w:val="009D38EC"/>
    <w:rsid w:val="009D38F8"/>
    <w:rsid w:val="009D39F6"/>
    <w:rsid w:val="009D3A80"/>
    <w:rsid w:val="009D3AEB"/>
    <w:rsid w:val="009D3AFB"/>
    <w:rsid w:val="009D3C42"/>
    <w:rsid w:val="009D3D20"/>
    <w:rsid w:val="009D3D39"/>
    <w:rsid w:val="009D3DC9"/>
    <w:rsid w:val="009D3E95"/>
    <w:rsid w:val="009D40ED"/>
    <w:rsid w:val="009D417A"/>
    <w:rsid w:val="009D4192"/>
    <w:rsid w:val="009D4554"/>
    <w:rsid w:val="009D48A6"/>
    <w:rsid w:val="009D4A86"/>
    <w:rsid w:val="009D4B02"/>
    <w:rsid w:val="009D4B27"/>
    <w:rsid w:val="009D4D77"/>
    <w:rsid w:val="009D5069"/>
    <w:rsid w:val="009D511F"/>
    <w:rsid w:val="009D51DF"/>
    <w:rsid w:val="009D52E8"/>
    <w:rsid w:val="009D54A5"/>
    <w:rsid w:val="009D5A61"/>
    <w:rsid w:val="009D5A91"/>
    <w:rsid w:val="009D5AB1"/>
    <w:rsid w:val="009D5C55"/>
    <w:rsid w:val="009D5C73"/>
    <w:rsid w:val="009D5D3C"/>
    <w:rsid w:val="009D5E1B"/>
    <w:rsid w:val="009D60EC"/>
    <w:rsid w:val="009D60F1"/>
    <w:rsid w:val="009D6152"/>
    <w:rsid w:val="009D6155"/>
    <w:rsid w:val="009D6714"/>
    <w:rsid w:val="009D6CEF"/>
    <w:rsid w:val="009D6CF2"/>
    <w:rsid w:val="009D6E4A"/>
    <w:rsid w:val="009D7127"/>
    <w:rsid w:val="009D73B5"/>
    <w:rsid w:val="009D7497"/>
    <w:rsid w:val="009D7563"/>
    <w:rsid w:val="009D75C8"/>
    <w:rsid w:val="009D77CE"/>
    <w:rsid w:val="009D7813"/>
    <w:rsid w:val="009D7A16"/>
    <w:rsid w:val="009D7C9C"/>
    <w:rsid w:val="009D7D72"/>
    <w:rsid w:val="009D7F2A"/>
    <w:rsid w:val="009D7F2C"/>
    <w:rsid w:val="009E0040"/>
    <w:rsid w:val="009E025B"/>
    <w:rsid w:val="009E0284"/>
    <w:rsid w:val="009E044B"/>
    <w:rsid w:val="009E046F"/>
    <w:rsid w:val="009E04C5"/>
    <w:rsid w:val="009E0561"/>
    <w:rsid w:val="009E05B5"/>
    <w:rsid w:val="009E0775"/>
    <w:rsid w:val="009E09AF"/>
    <w:rsid w:val="009E0AC6"/>
    <w:rsid w:val="009E0D70"/>
    <w:rsid w:val="009E128E"/>
    <w:rsid w:val="009E1311"/>
    <w:rsid w:val="009E1385"/>
    <w:rsid w:val="009E13EA"/>
    <w:rsid w:val="009E141A"/>
    <w:rsid w:val="009E14A1"/>
    <w:rsid w:val="009E177A"/>
    <w:rsid w:val="009E17E2"/>
    <w:rsid w:val="009E181C"/>
    <w:rsid w:val="009E1931"/>
    <w:rsid w:val="009E1950"/>
    <w:rsid w:val="009E1C1F"/>
    <w:rsid w:val="009E1C2D"/>
    <w:rsid w:val="009E1EBF"/>
    <w:rsid w:val="009E2465"/>
    <w:rsid w:val="009E2794"/>
    <w:rsid w:val="009E28CC"/>
    <w:rsid w:val="009E29F5"/>
    <w:rsid w:val="009E2B2F"/>
    <w:rsid w:val="009E2B6B"/>
    <w:rsid w:val="009E2BCB"/>
    <w:rsid w:val="009E2C6F"/>
    <w:rsid w:val="009E2F49"/>
    <w:rsid w:val="009E2FB3"/>
    <w:rsid w:val="009E3193"/>
    <w:rsid w:val="009E3367"/>
    <w:rsid w:val="009E351E"/>
    <w:rsid w:val="009E36DE"/>
    <w:rsid w:val="009E3A40"/>
    <w:rsid w:val="009E3A9D"/>
    <w:rsid w:val="009E3D82"/>
    <w:rsid w:val="009E3DBC"/>
    <w:rsid w:val="009E3E71"/>
    <w:rsid w:val="009E42EE"/>
    <w:rsid w:val="009E458B"/>
    <w:rsid w:val="009E46A2"/>
    <w:rsid w:val="009E46A7"/>
    <w:rsid w:val="009E47BF"/>
    <w:rsid w:val="009E484F"/>
    <w:rsid w:val="009E4886"/>
    <w:rsid w:val="009E4939"/>
    <w:rsid w:val="009E4A80"/>
    <w:rsid w:val="009E4E3A"/>
    <w:rsid w:val="009E525D"/>
    <w:rsid w:val="009E5362"/>
    <w:rsid w:val="009E53B3"/>
    <w:rsid w:val="009E54C7"/>
    <w:rsid w:val="009E55B3"/>
    <w:rsid w:val="009E5865"/>
    <w:rsid w:val="009E58DE"/>
    <w:rsid w:val="009E5AB3"/>
    <w:rsid w:val="009E5C61"/>
    <w:rsid w:val="009E5D3B"/>
    <w:rsid w:val="009E5EBA"/>
    <w:rsid w:val="009E5F58"/>
    <w:rsid w:val="009E61FF"/>
    <w:rsid w:val="009E6292"/>
    <w:rsid w:val="009E6293"/>
    <w:rsid w:val="009E63C5"/>
    <w:rsid w:val="009E64B7"/>
    <w:rsid w:val="009E64E8"/>
    <w:rsid w:val="009E6563"/>
    <w:rsid w:val="009E66FE"/>
    <w:rsid w:val="009E68E0"/>
    <w:rsid w:val="009E6A0B"/>
    <w:rsid w:val="009E6C01"/>
    <w:rsid w:val="009E6F92"/>
    <w:rsid w:val="009E7021"/>
    <w:rsid w:val="009E71A7"/>
    <w:rsid w:val="009E728A"/>
    <w:rsid w:val="009E762F"/>
    <w:rsid w:val="009E792C"/>
    <w:rsid w:val="009E7A7E"/>
    <w:rsid w:val="009E7BF2"/>
    <w:rsid w:val="009E7C30"/>
    <w:rsid w:val="009E7C59"/>
    <w:rsid w:val="009F00E7"/>
    <w:rsid w:val="009F0171"/>
    <w:rsid w:val="009F03B9"/>
    <w:rsid w:val="009F0406"/>
    <w:rsid w:val="009F0739"/>
    <w:rsid w:val="009F07B6"/>
    <w:rsid w:val="009F0962"/>
    <w:rsid w:val="009F0A49"/>
    <w:rsid w:val="009F0A71"/>
    <w:rsid w:val="009F0A86"/>
    <w:rsid w:val="009F0AE8"/>
    <w:rsid w:val="009F0B95"/>
    <w:rsid w:val="009F0BF0"/>
    <w:rsid w:val="009F0C37"/>
    <w:rsid w:val="009F0E72"/>
    <w:rsid w:val="009F0FBF"/>
    <w:rsid w:val="009F1040"/>
    <w:rsid w:val="009F105E"/>
    <w:rsid w:val="009F10F6"/>
    <w:rsid w:val="009F1690"/>
    <w:rsid w:val="009F176C"/>
    <w:rsid w:val="009F176D"/>
    <w:rsid w:val="009F1A08"/>
    <w:rsid w:val="009F1DDE"/>
    <w:rsid w:val="009F1E3E"/>
    <w:rsid w:val="009F1FA3"/>
    <w:rsid w:val="009F1FD9"/>
    <w:rsid w:val="009F21DE"/>
    <w:rsid w:val="009F2231"/>
    <w:rsid w:val="009F2264"/>
    <w:rsid w:val="009F22AF"/>
    <w:rsid w:val="009F2403"/>
    <w:rsid w:val="009F2582"/>
    <w:rsid w:val="009F26AF"/>
    <w:rsid w:val="009F28F5"/>
    <w:rsid w:val="009F2B5B"/>
    <w:rsid w:val="009F2B67"/>
    <w:rsid w:val="009F2CF6"/>
    <w:rsid w:val="009F2D49"/>
    <w:rsid w:val="009F2FB1"/>
    <w:rsid w:val="009F322F"/>
    <w:rsid w:val="009F36AC"/>
    <w:rsid w:val="009F38F8"/>
    <w:rsid w:val="009F3A52"/>
    <w:rsid w:val="009F3CC2"/>
    <w:rsid w:val="009F3D38"/>
    <w:rsid w:val="009F43AD"/>
    <w:rsid w:val="009F4580"/>
    <w:rsid w:val="009F45D8"/>
    <w:rsid w:val="009F4680"/>
    <w:rsid w:val="009F4BEE"/>
    <w:rsid w:val="009F4DAD"/>
    <w:rsid w:val="009F4E78"/>
    <w:rsid w:val="009F50CC"/>
    <w:rsid w:val="009F51B8"/>
    <w:rsid w:val="009F51F9"/>
    <w:rsid w:val="009F52A2"/>
    <w:rsid w:val="009F542D"/>
    <w:rsid w:val="009F571D"/>
    <w:rsid w:val="009F5949"/>
    <w:rsid w:val="009F5AA8"/>
    <w:rsid w:val="009F5BCE"/>
    <w:rsid w:val="009F5BF0"/>
    <w:rsid w:val="009F5EB8"/>
    <w:rsid w:val="009F61F0"/>
    <w:rsid w:val="009F63E6"/>
    <w:rsid w:val="009F64DC"/>
    <w:rsid w:val="009F662D"/>
    <w:rsid w:val="009F6946"/>
    <w:rsid w:val="009F6BD4"/>
    <w:rsid w:val="009F6BED"/>
    <w:rsid w:val="009F6C02"/>
    <w:rsid w:val="009F6C9C"/>
    <w:rsid w:val="009F6D19"/>
    <w:rsid w:val="009F6DF5"/>
    <w:rsid w:val="009F6E3F"/>
    <w:rsid w:val="009F6F57"/>
    <w:rsid w:val="009F7191"/>
    <w:rsid w:val="009F72BE"/>
    <w:rsid w:val="009F7325"/>
    <w:rsid w:val="009F740E"/>
    <w:rsid w:val="009F7681"/>
    <w:rsid w:val="009F785B"/>
    <w:rsid w:val="009F78C9"/>
    <w:rsid w:val="009F7903"/>
    <w:rsid w:val="009F7B3E"/>
    <w:rsid w:val="009F7E37"/>
    <w:rsid w:val="009F7F35"/>
    <w:rsid w:val="009F7FA0"/>
    <w:rsid w:val="009F7FDC"/>
    <w:rsid w:val="00A0009A"/>
    <w:rsid w:val="00A0013B"/>
    <w:rsid w:val="00A00166"/>
    <w:rsid w:val="00A00223"/>
    <w:rsid w:val="00A00224"/>
    <w:rsid w:val="00A0029D"/>
    <w:rsid w:val="00A00671"/>
    <w:rsid w:val="00A006E8"/>
    <w:rsid w:val="00A0079D"/>
    <w:rsid w:val="00A0082B"/>
    <w:rsid w:val="00A00A45"/>
    <w:rsid w:val="00A00B39"/>
    <w:rsid w:val="00A00B47"/>
    <w:rsid w:val="00A00CFD"/>
    <w:rsid w:val="00A00DD7"/>
    <w:rsid w:val="00A00E2F"/>
    <w:rsid w:val="00A00F2B"/>
    <w:rsid w:val="00A01019"/>
    <w:rsid w:val="00A01095"/>
    <w:rsid w:val="00A0116F"/>
    <w:rsid w:val="00A0127A"/>
    <w:rsid w:val="00A0142D"/>
    <w:rsid w:val="00A01499"/>
    <w:rsid w:val="00A016AF"/>
    <w:rsid w:val="00A01710"/>
    <w:rsid w:val="00A0173B"/>
    <w:rsid w:val="00A01844"/>
    <w:rsid w:val="00A01D40"/>
    <w:rsid w:val="00A01ECE"/>
    <w:rsid w:val="00A01EDE"/>
    <w:rsid w:val="00A01F25"/>
    <w:rsid w:val="00A0206F"/>
    <w:rsid w:val="00A024E4"/>
    <w:rsid w:val="00A0275F"/>
    <w:rsid w:val="00A027E2"/>
    <w:rsid w:val="00A0295C"/>
    <w:rsid w:val="00A0299D"/>
    <w:rsid w:val="00A02B30"/>
    <w:rsid w:val="00A02C53"/>
    <w:rsid w:val="00A02CA7"/>
    <w:rsid w:val="00A02D91"/>
    <w:rsid w:val="00A02DFB"/>
    <w:rsid w:val="00A02E3E"/>
    <w:rsid w:val="00A03032"/>
    <w:rsid w:val="00A03087"/>
    <w:rsid w:val="00A0324C"/>
    <w:rsid w:val="00A03297"/>
    <w:rsid w:val="00A03313"/>
    <w:rsid w:val="00A03348"/>
    <w:rsid w:val="00A033CB"/>
    <w:rsid w:val="00A033FF"/>
    <w:rsid w:val="00A036C7"/>
    <w:rsid w:val="00A03775"/>
    <w:rsid w:val="00A0386E"/>
    <w:rsid w:val="00A0389E"/>
    <w:rsid w:val="00A039B2"/>
    <w:rsid w:val="00A03A18"/>
    <w:rsid w:val="00A03AF6"/>
    <w:rsid w:val="00A03BCD"/>
    <w:rsid w:val="00A03BFC"/>
    <w:rsid w:val="00A03CAA"/>
    <w:rsid w:val="00A03D05"/>
    <w:rsid w:val="00A04311"/>
    <w:rsid w:val="00A04501"/>
    <w:rsid w:val="00A0458B"/>
    <w:rsid w:val="00A0464B"/>
    <w:rsid w:val="00A047EB"/>
    <w:rsid w:val="00A0488B"/>
    <w:rsid w:val="00A04D28"/>
    <w:rsid w:val="00A04DED"/>
    <w:rsid w:val="00A0511A"/>
    <w:rsid w:val="00A0515D"/>
    <w:rsid w:val="00A0541F"/>
    <w:rsid w:val="00A054F2"/>
    <w:rsid w:val="00A0571C"/>
    <w:rsid w:val="00A0583C"/>
    <w:rsid w:val="00A05B8E"/>
    <w:rsid w:val="00A05BDD"/>
    <w:rsid w:val="00A05CC8"/>
    <w:rsid w:val="00A05D00"/>
    <w:rsid w:val="00A05D0F"/>
    <w:rsid w:val="00A05FC8"/>
    <w:rsid w:val="00A065C4"/>
    <w:rsid w:val="00A066D1"/>
    <w:rsid w:val="00A06A8A"/>
    <w:rsid w:val="00A06CD2"/>
    <w:rsid w:val="00A06D1B"/>
    <w:rsid w:val="00A06E4B"/>
    <w:rsid w:val="00A06E55"/>
    <w:rsid w:val="00A06ECD"/>
    <w:rsid w:val="00A0703A"/>
    <w:rsid w:val="00A07098"/>
    <w:rsid w:val="00A070EF"/>
    <w:rsid w:val="00A0746E"/>
    <w:rsid w:val="00A07490"/>
    <w:rsid w:val="00A078DC"/>
    <w:rsid w:val="00A07AB2"/>
    <w:rsid w:val="00A101E2"/>
    <w:rsid w:val="00A1066B"/>
    <w:rsid w:val="00A10777"/>
    <w:rsid w:val="00A10D52"/>
    <w:rsid w:val="00A11020"/>
    <w:rsid w:val="00A11179"/>
    <w:rsid w:val="00A1144D"/>
    <w:rsid w:val="00A117A1"/>
    <w:rsid w:val="00A117F6"/>
    <w:rsid w:val="00A11B64"/>
    <w:rsid w:val="00A11C37"/>
    <w:rsid w:val="00A11E5A"/>
    <w:rsid w:val="00A1220F"/>
    <w:rsid w:val="00A12395"/>
    <w:rsid w:val="00A123A4"/>
    <w:rsid w:val="00A1244A"/>
    <w:rsid w:val="00A1244F"/>
    <w:rsid w:val="00A12545"/>
    <w:rsid w:val="00A1263C"/>
    <w:rsid w:val="00A127AA"/>
    <w:rsid w:val="00A12845"/>
    <w:rsid w:val="00A12BCC"/>
    <w:rsid w:val="00A12BE1"/>
    <w:rsid w:val="00A12C09"/>
    <w:rsid w:val="00A12C82"/>
    <w:rsid w:val="00A12ECB"/>
    <w:rsid w:val="00A12F59"/>
    <w:rsid w:val="00A130C2"/>
    <w:rsid w:val="00A131BB"/>
    <w:rsid w:val="00A13361"/>
    <w:rsid w:val="00A136E8"/>
    <w:rsid w:val="00A1371D"/>
    <w:rsid w:val="00A13D41"/>
    <w:rsid w:val="00A141B3"/>
    <w:rsid w:val="00A143E8"/>
    <w:rsid w:val="00A14424"/>
    <w:rsid w:val="00A144E1"/>
    <w:rsid w:val="00A14662"/>
    <w:rsid w:val="00A14679"/>
    <w:rsid w:val="00A14685"/>
    <w:rsid w:val="00A148E3"/>
    <w:rsid w:val="00A1497A"/>
    <w:rsid w:val="00A1497B"/>
    <w:rsid w:val="00A149C4"/>
    <w:rsid w:val="00A14A26"/>
    <w:rsid w:val="00A14A96"/>
    <w:rsid w:val="00A14B5D"/>
    <w:rsid w:val="00A14C73"/>
    <w:rsid w:val="00A14C84"/>
    <w:rsid w:val="00A14CE9"/>
    <w:rsid w:val="00A15074"/>
    <w:rsid w:val="00A150F7"/>
    <w:rsid w:val="00A1518E"/>
    <w:rsid w:val="00A15202"/>
    <w:rsid w:val="00A15508"/>
    <w:rsid w:val="00A1558A"/>
    <w:rsid w:val="00A1565E"/>
    <w:rsid w:val="00A156BA"/>
    <w:rsid w:val="00A1570D"/>
    <w:rsid w:val="00A15DF0"/>
    <w:rsid w:val="00A15EFC"/>
    <w:rsid w:val="00A160C4"/>
    <w:rsid w:val="00A1612A"/>
    <w:rsid w:val="00A162F3"/>
    <w:rsid w:val="00A1634B"/>
    <w:rsid w:val="00A164FD"/>
    <w:rsid w:val="00A16666"/>
    <w:rsid w:val="00A1684D"/>
    <w:rsid w:val="00A16989"/>
    <w:rsid w:val="00A169C5"/>
    <w:rsid w:val="00A16A84"/>
    <w:rsid w:val="00A16B50"/>
    <w:rsid w:val="00A16D03"/>
    <w:rsid w:val="00A16E26"/>
    <w:rsid w:val="00A170A9"/>
    <w:rsid w:val="00A170B4"/>
    <w:rsid w:val="00A171F4"/>
    <w:rsid w:val="00A174C8"/>
    <w:rsid w:val="00A17715"/>
    <w:rsid w:val="00A1776F"/>
    <w:rsid w:val="00A17786"/>
    <w:rsid w:val="00A177D0"/>
    <w:rsid w:val="00A17940"/>
    <w:rsid w:val="00A17964"/>
    <w:rsid w:val="00A17990"/>
    <w:rsid w:val="00A17C86"/>
    <w:rsid w:val="00A17DA5"/>
    <w:rsid w:val="00A17E11"/>
    <w:rsid w:val="00A17E97"/>
    <w:rsid w:val="00A17F36"/>
    <w:rsid w:val="00A20180"/>
    <w:rsid w:val="00A2020A"/>
    <w:rsid w:val="00A205F9"/>
    <w:rsid w:val="00A2075C"/>
    <w:rsid w:val="00A20833"/>
    <w:rsid w:val="00A209C9"/>
    <w:rsid w:val="00A209FF"/>
    <w:rsid w:val="00A20A28"/>
    <w:rsid w:val="00A20ADB"/>
    <w:rsid w:val="00A20CCB"/>
    <w:rsid w:val="00A20EF2"/>
    <w:rsid w:val="00A21066"/>
    <w:rsid w:val="00A2119F"/>
    <w:rsid w:val="00A21293"/>
    <w:rsid w:val="00A213C3"/>
    <w:rsid w:val="00A213C4"/>
    <w:rsid w:val="00A21467"/>
    <w:rsid w:val="00A2176C"/>
    <w:rsid w:val="00A21841"/>
    <w:rsid w:val="00A21A30"/>
    <w:rsid w:val="00A21B2E"/>
    <w:rsid w:val="00A21CCF"/>
    <w:rsid w:val="00A22155"/>
    <w:rsid w:val="00A22225"/>
    <w:rsid w:val="00A22249"/>
    <w:rsid w:val="00A223B6"/>
    <w:rsid w:val="00A22551"/>
    <w:rsid w:val="00A2267B"/>
    <w:rsid w:val="00A2275B"/>
    <w:rsid w:val="00A22847"/>
    <w:rsid w:val="00A23047"/>
    <w:rsid w:val="00A2309C"/>
    <w:rsid w:val="00A2323D"/>
    <w:rsid w:val="00A2325C"/>
    <w:rsid w:val="00A23310"/>
    <w:rsid w:val="00A234A9"/>
    <w:rsid w:val="00A2357D"/>
    <w:rsid w:val="00A235D1"/>
    <w:rsid w:val="00A23CC3"/>
    <w:rsid w:val="00A23D46"/>
    <w:rsid w:val="00A23F5D"/>
    <w:rsid w:val="00A24004"/>
    <w:rsid w:val="00A240B2"/>
    <w:rsid w:val="00A2417F"/>
    <w:rsid w:val="00A2427E"/>
    <w:rsid w:val="00A24399"/>
    <w:rsid w:val="00A243A8"/>
    <w:rsid w:val="00A2456E"/>
    <w:rsid w:val="00A249B2"/>
    <w:rsid w:val="00A24BE7"/>
    <w:rsid w:val="00A24DFC"/>
    <w:rsid w:val="00A2506A"/>
    <w:rsid w:val="00A250C4"/>
    <w:rsid w:val="00A250CC"/>
    <w:rsid w:val="00A250E2"/>
    <w:rsid w:val="00A2531B"/>
    <w:rsid w:val="00A2533E"/>
    <w:rsid w:val="00A25490"/>
    <w:rsid w:val="00A25C6C"/>
    <w:rsid w:val="00A25CAC"/>
    <w:rsid w:val="00A25CDD"/>
    <w:rsid w:val="00A2628F"/>
    <w:rsid w:val="00A26342"/>
    <w:rsid w:val="00A263A0"/>
    <w:rsid w:val="00A26486"/>
    <w:rsid w:val="00A2679C"/>
    <w:rsid w:val="00A268D4"/>
    <w:rsid w:val="00A2696B"/>
    <w:rsid w:val="00A26989"/>
    <w:rsid w:val="00A26CBA"/>
    <w:rsid w:val="00A26CC9"/>
    <w:rsid w:val="00A26E1E"/>
    <w:rsid w:val="00A26F5B"/>
    <w:rsid w:val="00A27043"/>
    <w:rsid w:val="00A2705E"/>
    <w:rsid w:val="00A2716E"/>
    <w:rsid w:val="00A27324"/>
    <w:rsid w:val="00A273D8"/>
    <w:rsid w:val="00A275E9"/>
    <w:rsid w:val="00A276EB"/>
    <w:rsid w:val="00A277CB"/>
    <w:rsid w:val="00A2786F"/>
    <w:rsid w:val="00A27872"/>
    <w:rsid w:val="00A2787C"/>
    <w:rsid w:val="00A27955"/>
    <w:rsid w:val="00A27A2D"/>
    <w:rsid w:val="00A27A31"/>
    <w:rsid w:val="00A27BC3"/>
    <w:rsid w:val="00A27D5E"/>
    <w:rsid w:val="00A27E04"/>
    <w:rsid w:val="00A3004A"/>
    <w:rsid w:val="00A30066"/>
    <w:rsid w:val="00A3018D"/>
    <w:rsid w:val="00A3022D"/>
    <w:rsid w:val="00A302C0"/>
    <w:rsid w:val="00A303F1"/>
    <w:rsid w:val="00A30547"/>
    <w:rsid w:val="00A307BA"/>
    <w:rsid w:val="00A308AA"/>
    <w:rsid w:val="00A30AB0"/>
    <w:rsid w:val="00A30B04"/>
    <w:rsid w:val="00A30D5B"/>
    <w:rsid w:val="00A30EA8"/>
    <w:rsid w:val="00A31232"/>
    <w:rsid w:val="00A312CB"/>
    <w:rsid w:val="00A314E0"/>
    <w:rsid w:val="00A31514"/>
    <w:rsid w:val="00A315EE"/>
    <w:rsid w:val="00A317B2"/>
    <w:rsid w:val="00A31A44"/>
    <w:rsid w:val="00A31AA3"/>
    <w:rsid w:val="00A31C97"/>
    <w:rsid w:val="00A32022"/>
    <w:rsid w:val="00A321EF"/>
    <w:rsid w:val="00A32387"/>
    <w:rsid w:val="00A32557"/>
    <w:rsid w:val="00A329D2"/>
    <w:rsid w:val="00A32AC3"/>
    <w:rsid w:val="00A32B31"/>
    <w:rsid w:val="00A32BAA"/>
    <w:rsid w:val="00A32BBA"/>
    <w:rsid w:val="00A32BE3"/>
    <w:rsid w:val="00A32CA5"/>
    <w:rsid w:val="00A32D96"/>
    <w:rsid w:val="00A32DB6"/>
    <w:rsid w:val="00A32EE0"/>
    <w:rsid w:val="00A333D9"/>
    <w:rsid w:val="00A333FE"/>
    <w:rsid w:val="00A335FC"/>
    <w:rsid w:val="00A33AD4"/>
    <w:rsid w:val="00A33BC0"/>
    <w:rsid w:val="00A33C88"/>
    <w:rsid w:val="00A33F30"/>
    <w:rsid w:val="00A33F53"/>
    <w:rsid w:val="00A34000"/>
    <w:rsid w:val="00A3406F"/>
    <w:rsid w:val="00A3417C"/>
    <w:rsid w:val="00A34497"/>
    <w:rsid w:val="00A346F9"/>
    <w:rsid w:val="00A34BA0"/>
    <w:rsid w:val="00A34BA5"/>
    <w:rsid w:val="00A34C3C"/>
    <w:rsid w:val="00A34D22"/>
    <w:rsid w:val="00A34D85"/>
    <w:rsid w:val="00A34F15"/>
    <w:rsid w:val="00A34F8F"/>
    <w:rsid w:val="00A35126"/>
    <w:rsid w:val="00A3526D"/>
    <w:rsid w:val="00A353FD"/>
    <w:rsid w:val="00A35452"/>
    <w:rsid w:val="00A35616"/>
    <w:rsid w:val="00A3565E"/>
    <w:rsid w:val="00A356ED"/>
    <w:rsid w:val="00A356F9"/>
    <w:rsid w:val="00A358C1"/>
    <w:rsid w:val="00A35D42"/>
    <w:rsid w:val="00A35DED"/>
    <w:rsid w:val="00A36074"/>
    <w:rsid w:val="00A360F6"/>
    <w:rsid w:val="00A36191"/>
    <w:rsid w:val="00A36257"/>
    <w:rsid w:val="00A3636B"/>
    <w:rsid w:val="00A36506"/>
    <w:rsid w:val="00A369B1"/>
    <w:rsid w:val="00A36C6D"/>
    <w:rsid w:val="00A36CE8"/>
    <w:rsid w:val="00A36E0D"/>
    <w:rsid w:val="00A36E93"/>
    <w:rsid w:val="00A36F6D"/>
    <w:rsid w:val="00A36F9A"/>
    <w:rsid w:val="00A37115"/>
    <w:rsid w:val="00A3723C"/>
    <w:rsid w:val="00A37490"/>
    <w:rsid w:val="00A37590"/>
    <w:rsid w:val="00A3767A"/>
    <w:rsid w:val="00A3785C"/>
    <w:rsid w:val="00A37B0A"/>
    <w:rsid w:val="00A37D5D"/>
    <w:rsid w:val="00A37DAE"/>
    <w:rsid w:val="00A37DB4"/>
    <w:rsid w:val="00A37E46"/>
    <w:rsid w:val="00A37F7C"/>
    <w:rsid w:val="00A40004"/>
    <w:rsid w:val="00A40147"/>
    <w:rsid w:val="00A40466"/>
    <w:rsid w:val="00A404C6"/>
    <w:rsid w:val="00A405C1"/>
    <w:rsid w:val="00A40611"/>
    <w:rsid w:val="00A40697"/>
    <w:rsid w:val="00A40708"/>
    <w:rsid w:val="00A40B37"/>
    <w:rsid w:val="00A40B41"/>
    <w:rsid w:val="00A40BB4"/>
    <w:rsid w:val="00A40BEA"/>
    <w:rsid w:val="00A40C53"/>
    <w:rsid w:val="00A4101E"/>
    <w:rsid w:val="00A410A0"/>
    <w:rsid w:val="00A410C0"/>
    <w:rsid w:val="00A411BE"/>
    <w:rsid w:val="00A41216"/>
    <w:rsid w:val="00A41235"/>
    <w:rsid w:val="00A41703"/>
    <w:rsid w:val="00A41E61"/>
    <w:rsid w:val="00A41F24"/>
    <w:rsid w:val="00A42067"/>
    <w:rsid w:val="00A42121"/>
    <w:rsid w:val="00A421DF"/>
    <w:rsid w:val="00A42255"/>
    <w:rsid w:val="00A423D7"/>
    <w:rsid w:val="00A426EE"/>
    <w:rsid w:val="00A426F8"/>
    <w:rsid w:val="00A4279B"/>
    <w:rsid w:val="00A42857"/>
    <w:rsid w:val="00A42882"/>
    <w:rsid w:val="00A428C0"/>
    <w:rsid w:val="00A42955"/>
    <w:rsid w:val="00A42A2C"/>
    <w:rsid w:val="00A42D56"/>
    <w:rsid w:val="00A42E5B"/>
    <w:rsid w:val="00A42E6F"/>
    <w:rsid w:val="00A42EDC"/>
    <w:rsid w:val="00A4308A"/>
    <w:rsid w:val="00A43170"/>
    <w:rsid w:val="00A431E9"/>
    <w:rsid w:val="00A432D8"/>
    <w:rsid w:val="00A43330"/>
    <w:rsid w:val="00A4334C"/>
    <w:rsid w:val="00A435C9"/>
    <w:rsid w:val="00A435F6"/>
    <w:rsid w:val="00A437CB"/>
    <w:rsid w:val="00A4388C"/>
    <w:rsid w:val="00A438D8"/>
    <w:rsid w:val="00A43925"/>
    <w:rsid w:val="00A43A9B"/>
    <w:rsid w:val="00A43BB5"/>
    <w:rsid w:val="00A43C24"/>
    <w:rsid w:val="00A43DC3"/>
    <w:rsid w:val="00A43EA8"/>
    <w:rsid w:val="00A43F6D"/>
    <w:rsid w:val="00A43FDC"/>
    <w:rsid w:val="00A443E6"/>
    <w:rsid w:val="00A44436"/>
    <w:rsid w:val="00A44508"/>
    <w:rsid w:val="00A44513"/>
    <w:rsid w:val="00A445C9"/>
    <w:rsid w:val="00A446BA"/>
    <w:rsid w:val="00A446CA"/>
    <w:rsid w:val="00A449BC"/>
    <w:rsid w:val="00A44B43"/>
    <w:rsid w:val="00A44BC9"/>
    <w:rsid w:val="00A44C1A"/>
    <w:rsid w:val="00A44C8E"/>
    <w:rsid w:val="00A44EBA"/>
    <w:rsid w:val="00A44EF4"/>
    <w:rsid w:val="00A4501B"/>
    <w:rsid w:val="00A4527E"/>
    <w:rsid w:val="00A4528E"/>
    <w:rsid w:val="00A452DC"/>
    <w:rsid w:val="00A45303"/>
    <w:rsid w:val="00A45330"/>
    <w:rsid w:val="00A457DB"/>
    <w:rsid w:val="00A45CF8"/>
    <w:rsid w:val="00A45D08"/>
    <w:rsid w:val="00A45EC4"/>
    <w:rsid w:val="00A45F54"/>
    <w:rsid w:val="00A46004"/>
    <w:rsid w:val="00A46026"/>
    <w:rsid w:val="00A460A2"/>
    <w:rsid w:val="00A460C1"/>
    <w:rsid w:val="00A46511"/>
    <w:rsid w:val="00A46535"/>
    <w:rsid w:val="00A4654A"/>
    <w:rsid w:val="00A46550"/>
    <w:rsid w:val="00A467C3"/>
    <w:rsid w:val="00A467F3"/>
    <w:rsid w:val="00A46A0E"/>
    <w:rsid w:val="00A46CCE"/>
    <w:rsid w:val="00A46DC9"/>
    <w:rsid w:val="00A46E62"/>
    <w:rsid w:val="00A46EAB"/>
    <w:rsid w:val="00A46F97"/>
    <w:rsid w:val="00A4700A"/>
    <w:rsid w:val="00A4718D"/>
    <w:rsid w:val="00A4727A"/>
    <w:rsid w:val="00A474D6"/>
    <w:rsid w:val="00A47587"/>
    <w:rsid w:val="00A47864"/>
    <w:rsid w:val="00A47A1C"/>
    <w:rsid w:val="00A47CD6"/>
    <w:rsid w:val="00A47D23"/>
    <w:rsid w:val="00A47EA1"/>
    <w:rsid w:val="00A501C5"/>
    <w:rsid w:val="00A504FF"/>
    <w:rsid w:val="00A505C6"/>
    <w:rsid w:val="00A5084B"/>
    <w:rsid w:val="00A50B42"/>
    <w:rsid w:val="00A50F96"/>
    <w:rsid w:val="00A51181"/>
    <w:rsid w:val="00A5128F"/>
    <w:rsid w:val="00A512CC"/>
    <w:rsid w:val="00A513E2"/>
    <w:rsid w:val="00A51579"/>
    <w:rsid w:val="00A51692"/>
    <w:rsid w:val="00A51A0C"/>
    <w:rsid w:val="00A51A77"/>
    <w:rsid w:val="00A51BD3"/>
    <w:rsid w:val="00A51DF7"/>
    <w:rsid w:val="00A51ECD"/>
    <w:rsid w:val="00A521B4"/>
    <w:rsid w:val="00A521D6"/>
    <w:rsid w:val="00A522B2"/>
    <w:rsid w:val="00A52552"/>
    <w:rsid w:val="00A525C6"/>
    <w:rsid w:val="00A52656"/>
    <w:rsid w:val="00A52853"/>
    <w:rsid w:val="00A528AC"/>
    <w:rsid w:val="00A52CB5"/>
    <w:rsid w:val="00A52D3A"/>
    <w:rsid w:val="00A52D83"/>
    <w:rsid w:val="00A52DD8"/>
    <w:rsid w:val="00A52E8E"/>
    <w:rsid w:val="00A530F4"/>
    <w:rsid w:val="00A532F3"/>
    <w:rsid w:val="00A53454"/>
    <w:rsid w:val="00A534A3"/>
    <w:rsid w:val="00A534B9"/>
    <w:rsid w:val="00A535F1"/>
    <w:rsid w:val="00A536FA"/>
    <w:rsid w:val="00A538C3"/>
    <w:rsid w:val="00A538E6"/>
    <w:rsid w:val="00A5423F"/>
    <w:rsid w:val="00A5424D"/>
    <w:rsid w:val="00A542E7"/>
    <w:rsid w:val="00A54393"/>
    <w:rsid w:val="00A54942"/>
    <w:rsid w:val="00A54A30"/>
    <w:rsid w:val="00A54B40"/>
    <w:rsid w:val="00A54CB6"/>
    <w:rsid w:val="00A54CD3"/>
    <w:rsid w:val="00A553AC"/>
    <w:rsid w:val="00A5546C"/>
    <w:rsid w:val="00A5578C"/>
    <w:rsid w:val="00A557A8"/>
    <w:rsid w:val="00A557ED"/>
    <w:rsid w:val="00A55826"/>
    <w:rsid w:val="00A558B3"/>
    <w:rsid w:val="00A55929"/>
    <w:rsid w:val="00A559E6"/>
    <w:rsid w:val="00A55A4A"/>
    <w:rsid w:val="00A55AD5"/>
    <w:rsid w:val="00A55D00"/>
    <w:rsid w:val="00A560D8"/>
    <w:rsid w:val="00A561AA"/>
    <w:rsid w:val="00A56370"/>
    <w:rsid w:val="00A5649B"/>
    <w:rsid w:val="00A56588"/>
    <w:rsid w:val="00A56889"/>
    <w:rsid w:val="00A5696A"/>
    <w:rsid w:val="00A56BA0"/>
    <w:rsid w:val="00A56FE2"/>
    <w:rsid w:val="00A5707A"/>
    <w:rsid w:val="00A570EE"/>
    <w:rsid w:val="00A57157"/>
    <w:rsid w:val="00A5723A"/>
    <w:rsid w:val="00A57249"/>
    <w:rsid w:val="00A57278"/>
    <w:rsid w:val="00A57317"/>
    <w:rsid w:val="00A57327"/>
    <w:rsid w:val="00A5736B"/>
    <w:rsid w:val="00A573B8"/>
    <w:rsid w:val="00A57531"/>
    <w:rsid w:val="00A5761C"/>
    <w:rsid w:val="00A576A2"/>
    <w:rsid w:val="00A57710"/>
    <w:rsid w:val="00A57729"/>
    <w:rsid w:val="00A57AAB"/>
    <w:rsid w:val="00A57B9B"/>
    <w:rsid w:val="00A57CC4"/>
    <w:rsid w:val="00A57D97"/>
    <w:rsid w:val="00A57EA5"/>
    <w:rsid w:val="00A6004F"/>
    <w:rsid w:val="00A60260"/>
    <w:rsid w:val="00A60264"/>
    <w:rsid w:val="00A60328"/>
    <w:rsid w:val="00A60559"/>
    <w:rsid w:val="00A60798"/>
    <w:rsid w:val="00A6094E"/>
    <w:rsid w:val="00A60BB5"/>
    <w:rsid w:val="00A60CCF"/>
    <w:rsid w:val="00A60D48"/>
    <w:rsid w:val="00A60EB7"/>
    <w:rsid w:val="00A60EE5"/>
    <w:rsid w:val="00A612DE"/>
    <w:rsid w:val="00A61312"/>
    <w:rsid w:val="00A613CA"/>
    <w:rsid w:val="00A61510"/>
    <w:rsid w:val="00A615B3"/>
    <w:rsid w:val="00A61626"/>
    <w:rsid w:val="00A61633"/>
    <w:rsid w:val="00A61695"/>
    <w:rsid w:val="00A6181A"/>
    <w:rsid w:val="00A6186B"/>
    <w:rsid w:val="00A618F2"/>
    <w:rsid w:val="00A61993"/>
    <w:rsid w:val="00A61A1E"/>
    <w:rsid w:val="00A61B17"/>
    <w:rsid w:val="00A61B3E"/>
    <w:rsid w:val="00A61BA9"/>
    <w:rsid w:val="00A61DC3"/>
    <w:rsid w:val="00A61DE5"/>
    <w:rsid w:val="00A61FEF"/>
    <w:rsid w:val="00A6208E"/>
    <w:rsid w:val="00A62369"/>
    <w:rsid w:val="00A62500"/>
    <w:rsid w:val="00A6283B"/>
    <w:rsid w:val="00A628C6"/>
    <w:rsid w:val="00A62969"/>
    <w:rsid w:val="00A62984"/>
    <w:rsid w:val="00A62A53"/>
    <w:rsid w:val="00A62E46"/>
    <w:rsid w:val="00A63031"/>
    <w:rsid w:val="00A63126"/>
    <w:rsid w:val="00A631C9"/>
    <w:rsid w:val="00A6321F"/>
    <w:rsid w:val="00A6337A"/>
    <w:rsid w:val="00A63457"/>
    <w:rsid w:val="00A63488"/>
    <w:rsid w:val="00A6360C"/>
    <w:rsid w:val="00A636BD"/>
    <w:rsid w:val="00A6388A"/>
    <w:rsid w:val="00A638AF"/>
    <w:rsid w:val="00A63A39"/>
    <w:rsid w:val="00A63CF4"/>
    <w:rsid w:val="00A63DDC"/>
    <w:rsid w:val="00A63DEB"/>
    <w:rsid w:val="00A63E3E"/>
    <w:rsid w:val="00A63E42"/>
    <w:rsid w:val="00A63F7B"/>
    <w:rsid w:val="00A64009"/>
    <w:rsid w:val="00A640FD"/>
    <w:rsid w:val="00A641D1"/>
    <w:rsid w:val="00A64500"/>
    <w:rsid w:val="00A64526"/>
    <w:rsid w:val="00A647D0"/>
    <w:rsid w:val="00A64830"/>
    <w:rsid w:val="00A64AFC"/>
    <w:rsid w:val="00A64C13"/>
    <w:rsid w:val="00A64ED8"/>
    <w:rsid w:val="00A6508F"/>
    <w:rsid w:val="00A65095"/>
    <w:rsid w:val="00A65114"/>
    <w:rsid w:val="00A651CD"/>
    <w:rsid w:val="00A65201"/>
    <w:rsid w:val="00A652DC"/>
    <w:rsid w:val="00A65349"/>
    <w:rsid w:val="00A654CD"/>
    <w:rsid w:val="00A656C1"/>
    <w:rsid w:val="00A6577C"/>
    <w:rsid w:val="00A6595D"/>
    <w:rsid w:val="00A65AD8"/>
    <w:rsid w:val="00A65BAA"/>
    <w:rsid w:val="00A65C52"/>
    <w:rsid w:val="00A65CDD"/>
    <w:rsid w:val="00A65FDA"/>
    <w:rsid w:val="00A66024"/>
    <w:rsid w:val="00A6603F"/>
    <w:rsid w:val="00A663B8"/>
    <w:rsid w:val="00A66597"/>
    <w:rsid w:val="00A666DF"/>
    <w:rsid w:val="00A66743"/>
    <w:rsid w:val="00A6678E"/>
    <w:rsid w:val="00A667AE"/>
    <w:rsid w:val="00A6683E"/>
    <w:rsid w:val="00A66AD2"/>
    <w:rsid w:val="00A66ED1"/>
    <w:rsid w:val="00A66EE0"/>
    <w:rsid w:val="00A6709C"/>
    <w:rsid w:val="00A6742E"/>
    <w:rsid w:val="00A67717"/>
    <w:rsid w:val="00A67725"/>
    <w:rsid w:val="00A6781C"/>
    <w:rsid w:val="00A67881"/>
    <w:rsid w:val="00A67982"/>
    <w:rsid w:val="00A679AC"/>
    <w:rsid w:val="00A67CA6"/>
    <w:rsid w:val="00A67DA1"/>
    <w:rsid w:val="00A67DB9"/>
    <w:rsid w:val="00A700D6"/>
    <w:rsid w:val="00A700EE"/>
    <w:rsid w:val="00A70239"/>
    <w:rsid w:val="00A70294"/>
    <w:rsid w:val="00A7029A"/>
    <w:rsid w:val="00A703D2"/>
    <w:rsid w:val="00A70523"/>
    <w:rsid w:val="00A7069A"/>
    <w:rsid w:val="00A70761"/>
    <w:rsid w:val="00A70969"/>
    <w:rsid w:val="00A7097F"/>
    <w:rsid w:val="00A70C1B"/>
    <w:rsid w:val="00A711DE"/>
    <w:rsid w:val="00A7128E"/>
    <w:rsid w:val="00A71317"/>
    <w:rsid w:val="00A7133F"/>
    <w:rsid w:val="00A7167C"/>
    <w:rsid w:val="00A71851"/>
    <w:rsid w:val="00A718D0"/>
    <w:rsid w:val="00A71B96"/>
    <w:rsid w:val="00A71BD6"/>
    <w:rsid w:val="00A71E59"/>
    <w:rsid w:val="00A7269F"/>
    <w:rsid w:val="00A726FF"/>
    <w:rsid w:val="00A72714"/>
    <w:rsid w:val="00A72768"/>
    <w:rsid w:val="00A72867"/>
    <w:rsid w:val="00A729B7"/>
    <w:rsid w:val="00A72B06"/>
    <w:rsid w:val="00A72BA0"/>
    <w:rsid w:val="00A72BB6"/>
    <w:rsid w:val="00A72C57"/>
    <w:rsid w:val="00A72E1D"/>
    <w:rsid w:val="00A72F30"/>
    <w:rsid w:val="00A730B2"/>
    <w:rsid w:val="00A73862"/>
    <w:rsid w:val="00A73946"/>
    <w:rsid w:val="00A73B4B"/>
    <w:rsid w:val="00A73EFE"/>
    <w:rsid w:val="00A74073"/>
    <w:rsid w:val="00A74116"/>
    <w:rsid w:val="00A741A0"/>
    <w:rsid w:val="00A7424E"/>
    <w:rsid w:val="00A7444E"/>
    <w:rsid w:val="00A7464B"/>
    <w:rsid w:val="00A74662"/>
    <w:rsid w:val="00A74681"/>
    <w:rsid w:val="00A74746"/>
    <w:rsid w:val="00A747FE"/>
    <w:rsid w:val="00A74B48"/>
    <w:rsid w:val="00A74C60"/>
    <w:rsid w:val="00A74D2C"/>
    <w:rsid w:val="00A74E47"/>
    <w:rsid w:val="00A74E53"/>
    <w:rsid w:val="00A74F56"/>
    <w:rsid w:val="00A75029"/>
    <w:rsid w:val="00A75059"/>
    <w:rsid w:val="00A751F0"/>
    <w:rsid w:val="00A7523A"/>
    <w:rsid w:val="00A7536A"/>
    <w:rsid w:val="00A7541B"/>
    <w:rsid w:val="00A75445"/>
    <w:rsid w:val="00A75479"/>
    <w:rsid w:val="00A75646"/>
    <w:rsid w:val="00A756FB"/>
    <w:rsid w:val="00A75798"/>
    <w:rsid w:val="00A7599D"/>
    <w:rsid w:val="00A759F4"/>
    <w:rsid w:val="00A75D9F"/>
    <w:rsid w:val="00A75DD4"/>
    <w:rsid w:val="00A75E9F"/>
    <w:rsid w:val="00A75EEC"/>
    <w:rsid w:val="00A7605D"/>
    <w:rsid w:val="00A76391"/>
    <w:rsid w:val="00A764E8"/>
    <w:rsid w:val="00A7688A"/>
    <w:rsid w:val="00A76974"/>
    <w:rsid w:val="00A76E7A"/>
    <w:rsid w:val="00A76F74"/>
    <w:rsid w:val="00A770B6"/>
    <w:rsid w:val="00A7710E"/>
    <w:rsid w:val="00A77197"/>
    <w:rsid w:val="00A771F8"/>
    <w:rsid w:val="00A77312"/>
    <w:rsid w:val="00A77B94"/>
    <w:rsid w:val="00A77BAE"/>
    <w:rsid w:val="00A77C47"/>
    <w:rsid w:val="00A77D51"/>
    <w:rsid w:val="00A77DC4"/>
    <w:rsid w:val="00A77DD5"/>
    <w:rsid w:val="00A77E81"/>
    <w:rsid w:val="00A77F6B"/>
    <w:rsid w:val="00A801EC"/>
    <w:rsid w:val="00A80687"/>
    <w:rsid w:val="00A807DA"/>
    <w:rsid w:val="00A80958"/>
    <w:rsid w:val="00A80AE1"/>
    <w:rsid w:val="00A80B8B"/>
    <w:rsid w:val="00A80D7E"/>
    <w:rsid w:val="00A80E79"/>
    <w:rsid w:val="00A80ED4"/>
    <w:rsid w:val="00A80F53"/>
    <w:rsid w:val="00A810EE"/>
    <w:rsid w:val="00A8130A"/>
    <w:rsid w:val="00A81343"/>
    <w:rsid w:val="00A81448"/>
    <w:rsid w:val="00A8156E"/>
    <w:rsid w:val="00A815CC"/>
    <w:rsid w:val="00A81641"/>
    <w:rsid w:val="00A81BB6"/>
    <w:rsid w:val="00A81DCB"/>
    <w:rsid w:val="00A81E78"/>
    <w:rsid w:val="00A81F24"/>
    <w:rsid w:val="00A81F6B"/>
    <w:rsid w:val="00A82484"/>
    <w:rsid w:val="00A8258B"/>
    <w:rsid w:val="00A8258F"/>
    <w:rsid w:val="00A8271D"/>
    <w:rsid w:val="00A828D8"/>
    <w:rsid w:val="00A828DB"/>
    <w:rsid w:val="00A82D95"/>
    <w:rsid w:val="00A82DCC"/>
    <w:rsid w:val="00A82E43"/>
    <w:rsid w:val="00A8327E"/>
    <w:rsid w:val="00A832AC"/>
    <w:rsid w:val="00A8377D"/>
    <w:rsid w:val="00A837F5"/>
    <w:rsid w:val="00A8390C"/>
    <w:rsid w:val="00A839AE"/>
    <w:rsid w:val="00A83B29"/>
    <w:rsid w:val="00A83B3E"/>
    <w:rsid w:val="00A83B94"/>
    <w:rsid w:val="00A83BA5"/>
    <w:rsid w:val="00A83C41"/>
    <w:rsid w:val="00A83E66"/>
    <w:rsid w:val="00A83F21"/>
    <w:rsid w:val="00A83F75"/>
    <w:rsid w:val="00A83FE7"/>
    <w:rsid w:val="00A840AA"/>
    <w:rsid w:val="00A840CC"/>
    <w:rsid w:val="00A8412D"/>
    <w:rsid w:val="00A842F5"/>
    <w:rsid w:val="00A84463"/>
    <w:rsid w:val="00A8464D"/>
    <w:rsid w:val="00A84699"/>
    <w:rsid w:val="00A846DB"/>
    <w:rsid w:val="00A8480D"/>
    <w:rsid w:val="00A8484F"/>
    <w:rsid w:val="00A84A8B"/>
    <w:rsid w:val="00A84B1C"/>
    <w:rsid w:val="00A84BFB"/>
    <w:rsid w:val="00A84D7F"/>
    <w:rsid w:val="00A84DA1"/>
    <w:rsid w:val="00A85012"/>
    <w:rsid w:val="00A85108"/>
    <w:rsid w:val="00A851CB"/>
    <w:rsid w:val="00A853DF"/>
    <w:rsid w:val="00A854E3"/>
    <w:rsid w:val="00A855AD"/>
    <w:rsid w:val="00A856C8"/>
    <w:rsid w:val="00A859DC"/>
    <w:rsid w:val="00A85B48"/>
    <w:rsid w:val="00A85BD9"/>
    <w:rsid w:val="00A85C4A"/>
    <w:rsid w:val="00A85FDD"/>
    <w:rsid w:val="00A8621D"/>
    <w:rsid w:val="00A8677C"/>
    <w:rsid w:val="00A86A96"/>
    <w:rsid w:val="00A86C09"/>
    <w:rsid w:val="00A86E1C"/>
    <w:rsid w:val="00A86E94"/>
    <w:rsid w:val="00A86EA9"/>
    <w:rsid w:val="00A86ED2"/>
    <w:rsid w:val="00A86F09"/>
    <w:rsid w:val="00A86F34"/>
    <w:rsid w:val="00A86F46"/>
    <w:rsid w:val="00A86F98"/>
    <w:rsid w:val="00A86FF3"/>
    <w:rsid w:val="00A870F2"/>
    <w:rsid w:val="00A8747A"/>
    <w:rsid w:val="00A87720"/>
    <w:rsid w:val="00A877C9"/>
    <w:rsid w:val="00A87A6B"/>
    <w:rsid w:val="00A87E01"/>
    <w:rsid w:val="00A87EB5"/>
    <w:rsid w:val="00A87F3F"/>
    <w:rsid w:val="00A900DD"/>
    <w:rsid w:val="00A901D4"/>
    <w:rsid w:val="00A901E0"/>
    <w:rsid w:val="00A90221"/>
    <w:rsid w:val="00A90236"/>
    <w:rsid w:val="00A9023D"/>
    <w:rsid w:val="00A902B6"/>
    <w:rsid w:val="00A904D9"/>
    <w:rsid w:val="00A9062C"/>
    <w:rsid w:val="00A9067B"/>
    <w:rsid w:val="00A9099F"/>
    <w:rsid w:val="00A909D6"/>
    <w:rsid w:val="00A90D4E"/>
    <w:rsid w:val="00A90D5F"/>
    <w:rsid w:val="00A90D7A"/>
    <w:rsid w:val="00A90F9A"/>
    <w:rsid w:val="00A9114A"/>
    <w:rsid w:val="00A91333"/>
    <w:rsid w:val="00A91513"/>
    <w:rsid w:val="00A9161F"/>
    <w:rsid w:val="00A917B8"/>
    <w:rsid w:val="00A917CD"/>
    <w:rsid w:val="00A9186A"/>
    <w:rsid w:val="00A9199C"/>
    <w:rsid w:val="00A91A5B"/>
    <w:rsid w:val="00A91AA0"/>
    <w:rsid w:val="00A91D4E"/>
    <w:rsid w:val="00A91ECB"/>
    <w:rsid w:val="00A91F5A"/>
    <w:rsid w:val="00A921C0"/>
    <w:rsid w:val="00A925AA"/>
    <w:rsid w:val="00A925BB"/>
    <w:rsid w:val="00A929E7"/>
    <w:rsid w:val="00A92BF9"/>
    <w:rsid w:val="00A92C9B"/>
    <w:rsid w:val="00A92F18"/>
    <w:rsid w:val="00A92FAC"/>
    <w:rsid w:val="00A931D9"/>
    <w:rsid w:val="00A9360F"/>
    <w:rsid w:val="00A9361D"/>
    <w:rsid w:val="00A93828"/>
    <w:rsid w:val="00A93864"/>
    <w:rsid w:val="00A9386F"/>
    <w:rsid w:val="00A938E0"/>
    <w:rsid w:val="00A93A36"/>
    <w:rsid w:val="00A93B5F"/>
    <w:rsid w:val="00A93F78"/>
    <w:rsid w:val="00A94000"/>
    <w:rsid w:val="00A940C1"/>
    <w:rsid w:val="00A941A2"/>
    <w:rsid w:val="00A941D0"/>
    <w:rsid w:val="00A941D9"/>
    <w:rsid w:val="00A942EC"/>
    <w:rsid w:val="00A9453A"/>
    <w:rsid w:val="00A945E6"/>
    <w:rsid w:val="00A9495D"/>
    <w:rsid w:val="00A94AEE"/>
    <w:rsid w:val="00A94B2C"/>
    <w:rsid w:val="00A94E06"/>
    <w:rsid w:val="00A95164"/>
    <w:rsid w:val="00A95167"/>
    <w:rsid w:val="00A951A9"/>
    <w:rsid w:val="00A951DA"/>
    <w:rsid w:val="00A9526E"/>
    <w:rsid w:val="00A9535F"/>
    <w:rsid w:val="00A955A8"/>
    <w:rsid w:val="00A95675"/>
    <w:rsid w:val="00A9567A"/>
    <w:rsid w:val="00A956A3"/>
    <w:rsid w:val="00A956DB"/>
    <w:rsid w:val="00A956F0"/>
    <w:rsid w:val="00A95731"/>
    <w:rsid w:val="00A95B50"/>
    <w:rsid w:val="00A95BA0"/>
    <w:rsid w:val="00A95CB7"/>
    <w:rsid w:val="00A95D38"/>
    <w:rsid w:val="00A95D54"/>
    <w:rsid w:val="00A96049"/>
    <w:rsid w:val="00A9627C"/>
    <w:rsid w:val="00A96288"/>
    <w:rsid w:val="00A96359"/>
    <w:rsid w:val="00A967A6"/>
    <w:rsid w:val="00A969B8"/>
    <w:rsid w:val="00A969D5"/>
    <w:rsid w:val="00A96AF4"/>
    <w:rsid w:val="00A96B8D"/>
    <w:rsid w:val="00A96F0B"/>
    <w:rsid w:val="00A970B7"/>
    <w:rsid w:val="00A974DD"/>
    <w:rsid w:val="00A975DE"/>
    <w:rsid w:val="00A9774E"/>
    <w:rsid w:val="00A9775F"/>
    <w:rsid w:val="00A9789B"/>
    <w:rsid w:val="00A978C7"/>
    <w:rsid w:val="00A97A1A"/>
    <w:rsid w:val="00A97A33"/>
    <w:rsid w:val="00A97AF1"/>
    <w:rsid w:val="00A97B08"/>
    <w:rsid w:val="00A97EA8"/>
    <w:rsid w:val="00A97FE7"/>
    <w:rsid w:val="00AA0075"/>
    <w:rsid w:val="00AA0085"/>
    <w:rsid w:val="00AA01A7"/>
    <w:rsid w:val="00AA01D2"/>
    <w:rsid w:val="00AA031F"/>
    <w:rsid w:val="00AA0493"/>
    <w:rsid w:val="00AA05EC"/>
    <w:rsid w:val="00AA0741"/>
    <w:rsid w:val="00AA098B"/>
    <w:rsid w:val="00AA0B30"/>
    <w:rsid w:val="00AA0B46"/>
    <w:rsid w:val="00AA0B81"/>
    <w:rsid w:val="00AA0CDE"/>
    <w:rsid w:val="00AA0F52"/>
    <w:rsid w:val="00AA0F92"/>
    <w:rsid w:val="00AA104B"/>
    <w:rsid w:val="00AA1138"/>
    <w:rsid w:val="00AA122C"/>
    <w:rsid w:val="00AA12A7"/>
    <w:rsid w:val="00AA1465"/>
    <w:rsid w:val="00AA1588"/>
    <w:rsid w:val="00AA15F1"/>
    <w:rsid w:val="00AA17D4"/>
    <w:rsid w:val="00AA184B"/>
    <w:rsid w:val="00AA1B97"/>
    <w:rsid w:val="00AA1BFD"/>
    <w:rsid w:val="00AA1C54"/>
    <w:rsid w:val="00AA1D1B"/>
    <w:rsid w:val="00AA1DA9"/>
    <w:rsid w:val="00AA1E1B"/>
    <w:rsid w:val="00AA1E8F"/>
    <w:rsid w:val="00AA1FF4"/>
    <w:rsid w:val="00AA210E"/>
    <w:rsid w:val="00AA222F"/>
    <w:rsid w:val="00AA22B3"/>
    <w:rsid w:val="00AA2713"/>
    <w:rsid w:val="00AA28FE"/>
    <w:rsid w:val="00AA295B"/>
    <w:rsid w:val="00AA2C14"/>
    <w:rsid w:val="00AA2C71"/>
    <w:rsid w:val="00AA3037"/>
    <w:rsid w:val="00AA311A"/>
    <w:rsid w:val="00AA321A"/>
    <w:rsid w:val="00AA3227"/>
    <w:rsid w:val="00AA34A7"/>
    <w:rsid w:val="00AA3709"/>
    <w:rsid w:val="00AA391E"/>
    <w:rsid w:val="00AA3B12"/>
    <w:rsid w:val="00AA3DBB"/>
    <w:rsid w:val="00AA3ECC"/>
    <w:rsid w:val="00AA3EF5"/>
    <w:rsid w:val="00AA3FC6"/>
    <w:rsid w:val="00AA4008"/>
    <w:rsid w:val="00AA435C"/>
    <w:rsid w:val="00AA43FA"/>
    <w:rsid w:val="00AA465D"/>
    <w:rsid w:val="00AA4786"/>
    <w:rsid w:val="00AA4798"/>
    <w:rsid w:val="00AA4875"/>
    <w:rsid w:val="00AA49EC"/>
    <w:rsid w:val="00AA4BA7"/>
    <w:rsid w:val="00AA4CB3"/>
    <w:rsid w:val="00AA4CC8"/>
    <w:rsid w:val="00AA4EDB"/>
    <w:rsid w:val="00AA5349"/>
    <w:rsid w:val="00AA54A6"/>
    <w:rsid w:val="00AA54EB"/>
    <w:rsid w:val="00AA54F3"/>
    <w:rsid w:val="00AA55C5"/>
    <w:rsid w:val="00AA56CB"/>
    <w:rsid w:val="00AA58EA"/>
    <w:rsid w:val="00AA5AA9"/>
    <w:rsid w:val="00AA5C12"/>
    <w:rsid w:val="00AA5E52"/>
    <w:rsid w:val="00AA61F5"/>
    <w:rsid w:val="00AA63B7"/>
    <w:rsid w:val="00AA656D"/>
    <w:rsid w:val="00AA68A9"/>
    <w:rsid w:val="00AA6AB1"/>
    <w:rsid w:val="00AA6AF3"/>
    <w:rsid w:val="00AA6C1A"/>
    <w:rsid w:val="00AA6C47"/>
    <w:rsid w:val="00AA6C65"/>
    <w:rsid w:val="00AA6CA3"/>
    <w:rsid w:val="00AA6D5B"/>
    <w:rsid w:val="00AA6FC5"/>
    <w:rsid w:val="00AA7036"/>
    <w:rsid w:val="00AA7091"/>
    <w:rsid w:val="00AA7136"/>
    <w:rsid w:val="00AA721A"/>
    <w:rsid w:val="00AA7253"/>
    <w:rsid w:val="00AA72EF"/>
    <w:rsid w:val="00AA7358"/>
    <w:rsid w:val="00AA7401"/>
    <w:rsid w:val="00AA7843"/>
    <w:rsid w:val="00AA7A70"/>
    <w:rsid w:val="00AA7F99"/>
    <w:rsid w:val="00AA7FE1"/>
    <w:rsid w:val="00AB00E1"/>
    <w:rsid w:val="00AB0234"/>
    <w:rsid w:val="00AB02D5"/>
    <w:rsid w:val="00AB041B"/>
    <w:rsid w:val="00AB0518"/>
    <w:rsid w:val="00AB0AD3"/>
    <w:rsid w:val="00AB0C3A"/>
    <w:rsid w:val="00AB0C3D"/>
    <w:rsid w:val="00AB0C45"/>
    <w:rsid w:val="00AB0D2D"/>
    <w:rsid w:val="00AB0D8D"/>
    <w:rsid w:val="00AB0E7E"/>
    <w:rsid w:val="00AB129E"/>
    <w:rsid w:val="00AB13BB"/>
    <w:rsid w:val="00AB13CB"/>
    <w:rsid w:val="00AB13DF"/>
    <w:rsid w:val="00AB13FB"/>
    <w:rsid w:val="00AB14EF"/>
    <w:rsid w:val="00AB15FC"/>
    <w:rsid w:val="00AB171D"/>
    <w:rsid w:val="00AB1C94"/>
    <w:rsid w:val="00AB1D2B"/>
    <w:rsid w:val="00AB1E9B"/>
    <w:rsid w:val="00AB1F68"/>
    <w:rsid w:val="00AB20A9"/>
    <w:rsid w:val="00AB215C"/>
    <w:rsid w:val="00AB2256"/>
    <w:rsid w:val="00AB2278"/>
    <w:rsid w:val="00AB2319"/>
    <w:rsid w:val="00AB2353"/>
    <w:rsid w:val="00AB2518"/>
    <w:rsid w:val="00AB2691"/>
    <w:rsid w:val="00AB28DE"/>
    <w:rsid w:val="00AB2A20"/>
    <w:rsid w:val="00AB2B9F"/>
    <w:rsid w:val="00AB2E83"/>
    <w:rsid w:val="00AB318B"/>
    <w:rsid w:val="00AB319A"/>
    <w:rsid w:val="00AB31FE"/>
    <w:rsid w:val="00AB3523"/>
    <w:rsid w:val="00AB353A"/>
    <w:rsid w:val="00AB3579"/>
    <w:rsid w:val="00AB3858"/>
    <w:rsid w:val="00AB3886"/>
    <w:rsid w:val="00AB3BD9"/>
    <w:rsid w:val="00AB3C96"/>
    <w:rsid w:val="00AB40D7"/>
    <w:rsid w:val="00AB4141"/>
    <w:rsid w:val="00AB41AD"/>
    <w:rsid w:val="00AB4327"/>
    <w:rsid w:val="00AB449A"/>
    <w:rsid w:val="00AB4965"/>
    <w:rsid w:val="00AB4968"/>
    <w:rsid w:val="00AB4A85"/>
    <w:rsid w:val="00AB4BB0"/>
    <w:rsid w:val="00AB4C0D"/>
    <w:rsid w:val="00AB4DD6"/>
    <w:rsid w:val="00AB4F48"/>
    <w:rsid w:val="00AB5031"/>
    <w:rsid w:val="00AB507A"/>
    <w:rsid w:val="00AB51C1"/>
    <w:rsid w:val="00AB5274"/>
    <w:rsid w:val="00AB5407"/>
    <w:rsid w:val="00AB574A"/>
    <w:rsid w:val="00AB5893"/>
    <w:rsid w:val="00AB5900"/>
    <w:rsid w:val="00AB590A"/>
    <w:rsid w:val="00AB59DF"/>
    <w:rsid w:val="00AB5C42"/>
    <w:rsid w:val="00AB5CF1"/>
    <w:rsid w:val="00AB60B5"/>
    <w:rsid w:val="00AB61FA"/>
    <w:rsid w:val="00AB62BD"/>
    <w:rsid w:val="00AB62EE"/>
    <w:rsid w:val="00AB630A"/>
    <w:rsid w:val="00AB63D7"/>
    <w:rsid w:val="00AB6414"/>
    <w:rsid w:val="00AB65BE"/>
    <w:rsid w:val="00AB668E"/>
    <w:rsid w:val="00AB66BC"/>
    <w:rsid w:val="00AB66CC"/>
    <w:rsid w:val="00AB66DA"/>
    <w:rsid w:val="00AB66F0"/>
    <w:rsid w:val="00AB6D53"/>
    <w:rsid w:val="00AB6E5D"/>
    <w:rsid w:val="00AB7084"/>
    <w:rsid w:val="00AB7099"/>
    <w:rsid w:val="00AB70D1"/>
    <w:rsid w:val="00AB7678"/>
    <w:rsid w:val="00AB7681"/>
    <w:rsid w:val="00AB788C"/>
    <w:rsid w:val="00AB7904"/>
    <w:rsid w:val="00AB7A7B"/>
    <w:rsid w:val="00AC00AF"/>
    <w:rsid w:val="00AC01D1"/>
    <w:rsid w:val="00AC029B"/>
    <w:rsid w:val="00AC034F"/>
    <w:rsid w:val="00AC06FA"/>
    <w:rsid w:val="00AC0B29"/>
    <w:rsid w:val="00AC0CC6"/>
    <w:rsid w:val="00AC0E69"/>
    <w:rsid w:val="00AC10AD"/>
    <w:rsid w:val="00AC10D5"/>
    <w:rsid w:val="00AC13F4"/>
    <w:rsid w:val="00AC1401"/>
    <w:rsid w:val="00AC155F"/>
    <w:rsid w:val="00AC1673"/>
    <w:rsid w:val="00AC185F"/>
    <w:rsid w:val="00AC1C5D"/>
    <w:rsid w:val="00AC2081"/>
    <w:rsid w:val="00AC233E"/>
    <w:rsid w:val="00AC25CE"/>
    <w:rsid w:val="00AC27C6"/>
    <w:rsid w:val="00AC2890"/>
    <w:rsid w:val="00AC29D3"/>
    <w:rsid w:val="00AC2AB8"/>
    <w:rsid w:val="00AC2C08"/>
    <w:rsid w:val="00AC2EF8"/>
    <w:rsid w:val="00AC33F2"/>
    <w:rsid w:val="00AC346C"/>
    <w:rsid w:val="00AC3491"/>
    <w:rsid w:val="00AC34F3"/>
    <w:rsid w:val="00AC350E"/>
    <w:rsid w:val="00AC3513"/>
    <w:rsid w:val="00AC357B"/>
    <w:rsid w:val="00AC35F7"/>
    <w:rsid w:val="00AC368E"/>
    <w:rsid w:val="00AC36AB"/>
    <w:rsid w:val="00AC3913"/>
    <w:rsid w:val="00AC391D"/>
    <w:rsid w:val="00AC3AD1"/>
    <w:rsid w:val="00AC3B19"/>
    <w:rsid w:val="00AC3B82"/>
    <w:rsid w:val="00AC3C51"/>
    <w:rsid w:val="00AC3FC6"/>
    <w:rsid w:val="00AC4014"/>
    <w:rsid w:val="00AC41E6"/>
    <w:rsid w:val="00AC4211"/>
    <w:rsid w:val="00AC4230"/>
    <w:rsid w:val="00AC43D3"/>
    <w:rsid w:val="00AC43FC"/>
    <w:rsid w:val="00AC449A"/>
    <w:rsid w:val="00AC480E"/>
    <w:rsid w:val="00AC4923"/>
    <w:rsid w:val="00AC4BB9"/>
    <w:rsid w:val="00AC4C74"/>
    <w:rsid w:val="00AC4D12"/>
    <w:rsid w:val="00AC4FD8"/>
    <w:rsid w:val="00AC50FB"/>
    <w:rsid w:val="00AC53C6"/>
    <w:rsid w:val="00AC5439"/>
    <w:rsid w:val="00AC5811"/>
    <w:rsid w:val="00AC5814"/>
    <w:rsid w:val="00AC58B8"/>
    <w:rsid w:val="00AC5A5E"/>
    <w:rsid w:val="00AC5B95"/>
    <w:rsid w:val="00AC5C1B"/>
    <w:rsid w:val="00AC5C4D"/>
    <w:rsid w:val="00AC6332"/>
    <w:rsid w:val="00AC63A4"/>
    <w:rsid w:val="00AC655B"/>
    <w:rsid w:val="00AC65C2"/>
    <w:rsid w:val="00AC65D3"/>
    <w:rsid w:val="00AC66AB"/>
    <w:rsid w:val="00AC6749"/>
    <w:rsid w:val="00AC6961"/>
    <w:rsid w:val="00AC6A04"/>
    <w:rsid w:val="00AC6DB9"/>
    <w:rsid w:val="00AC6EEC"/>
    <w:rsid w:val="00AC6FB0"/>
    <w:rsid w:val="00AC700B"/>
    <w:rsid w:val="00AC71D8"/>
    <w:rsid w:val="00AC7741"/>
    <w:rsid w:val="00AC774E"/>
    <w:rsid w:val="00AC787F"/>
    <w:rsid w:val="00AC7892"/>
    <w:rsid w:val="00AC7C50"/>
    <w:rsid w:val="00AC7EC5"/>
    <w:rsid w:val="00AD015B"/>
    <w:rsid w:val="00AD0405"/>
    <w:rsid w:val="00AD049A"/>
    <w:rsid w:val="00AD050B"/>
    <w:rsid w:val="00AD0550"/>
    <w:rsid w:val="00AD056E"/>
    <w:rsid w:val="00AD07A7"/>
    <w:rsid w:val="00AD08FC"/>
    <w:rsid w:val="00AD0A58"/>
    <w:rsid w:val="00AD0BA7"/>
    <w:rsid w:val="00AD0C73"/>
    <w:rsid w:val="00AD0D9C"/>
    <w:rsid w:val="00AD0E44"/>
    <w:rsid w:val="00AD0F13"/>
    <w:rsid w:val="00AD1114"/>
    <w:rsid w:val="00AD1298"/>
    <w:rsid w:val="00AD13AD"/>
    <w:rsid w:val="00AD15A0"/>
    <w:rsid w:val="00AD177E"/>
    <w:rsid w:val="00AD17BB"/>
    <w:rsid w:val="00AD1B3E"/>
    <w:rsid w:val="00AD1DCD"/>
    <w:rsid w:val="00AD1E2D"/>
    <w:rsid w:val="00AD1E6D"/>
    <w:rsid w:val="00AD1EC7"/>
    <w:rsid w:val="00AD1F65"/>
    <w:rsid w:val="00AD1FA1"/>
    <w:rsid w:val="00AD1FB5"/>
    <w:rsid w:val="00AD2150"/>
    <w:rsid w:val="00AD2288"/>
    <w:rsid w:val="00AD2346"/>
    <w:rsid w:val="00AD2431"/>
    <w:rsid w:val="00AD24D7"/>
    <w:rsid w:val="00AD2530"/>
    <w:rsid w:val="00AD28EE"/>
    <w:rsid w:val="00AD290B"/>
    <w:rsid w:val="00AD2B0B"/>
    <w:rsid w:val="00AD2B0E"/>
    <w:rsid w:val="00AD322D"/>
    <w:rsid w:val="00AD33BC"/>
    <w:rsid w:val="00AD3472"/>
    <w:rsid w:val="00AD34A1"/>
    <w:rsid w:val="00AD3601"/>
    <w:rsid w:val="00AD36BE"/>
    <w:rsid w:val="00AD38BC"/>
    <w:rsid w:val="00AD3ACA"/>
    <w:rsid w:val="00AD3AD9"/>
    <w:rsid w:val="00AD3C5C"/>
    <w:rsid w:val="00AD41DD"/>
    <w:rsid w:val="00AD41E8"/>
    <w:rsid w:val="00AD44B8"/>
    <w:rsid w:val="00AD460D"/>
    <w:rsid w:val="00AD47A8"/>
    <w:rsid w:val="00AD4A30"/>
    <w:rsid w:val="00AD4A6E"/>
    <w:rsid w:val="00AD4A7A"/>
    <w:rsid w:val="00AD4D10"/>
    <w:rsid w:val="00AD503B"/>
    <w:rsid w:val="00AD505B"/>
    <w:rsid w:val="00AD5178"/>
    <w:rsid w:val="00AD5179"/>
    <w:rsid w:val="00AD5315"/>
    <w:rsid w:val="00AD53E5"/>
    <w:rsid w:val="00AD53FA"/>
    <w:rsid w:val="00AD56B2"/>
    <w:rsid w:val="00AD58DD"/>
    <w:rsid w:val="00AD5B11"/>
    <w:rsid w:val="00AD5DB9"/>
    <w:rsid w:val="00AD5EA0"/>
    <w:rsid w:val="00AD6037"/>
    <w:rsid w:val="00AD6566"/>
    <w:rsid w:val="00AD6698"/>
    <w:rsid w:val="00AD66C4"/>
    <w:rsid w:val="00AD68D8"/>
    <w:rsid w:val="00AD6975"/>
    <w:rsid w:val="00AD6BA7"/>
    <w:rsid w:val="00AD6E4C"/>
    <w:rsid w:val="00AD6FA6"/>
    <w:rsid w:val="00AD6FF4"/>
    <w:rsid w:val="00AD7023"/>
    <w:rsid w:val="00AD72D9"/>
    <w:rsid w:val="00AD7356"/>
    <w:rsid w:val="00AD7368"/>
    <w:rsid w:val="00AD73E9"/>
    <w:rsid w:val="00AD74A7"/>
    <w:rsid w:val="00AD76B0"/>
    <w:rsid w:val="00AD7791"/>
    <w:rsid w:val="00AD7982"/>
    <w:rsid w:val="00AD7E3F"/>
    <w:rsid w:val="00AD7E56"/>
    <w:rsid w:val="00AD7FDA"/>
    <w:rsid w:val="00AE0085"/>
    <w:rsid w:val="00AE01A4"/>
    <w:rsid w:val="00AE01D5"/>
    <w:rsid w:val="00AE02C5"/>
    <w:rsid w:val="00AE031F"/>
    <w:rsid w:val="00AE03A8"/>
    <w:rsid w:val="00AE04D0"/>
    <w:rsid w:val="00AE0592"/>
    <w:rsid w:val="00AE066A"/>
    <w:rsid w:val="00AE0699"/>
    <w:rsid w:val="00AE0719"/>
    <w:rsid w:val="00AE074C"/>
    <w:rsid w:val="00AE07CC"/>
    <w:rsid w:val="00AE0946"/>
    <w:rsid w:val="00AE0A3F"/>
    <w:rsid w:val="00AE0B51"/>
    <w:rsid w:val="00AE0BFD"/>
    <w:rsid w:val="00AE0C2D"/>
    <w:rsid w:val="00AE0D3E"/>
    <w:rsid w:val="00AE0DB4"/>
    <w:rsid w:val="00AE0F33"/>
    <w:rsid w:val="00AE1046"/>
    <w:rsid w:val="00AE1239"/>
    <w:rsid w:val="00AE139C"/>
    <w:rsid w:val="00AE148F"/>
    <w:rsid w:val="00AE15D6"/>
    <w:rsid w:val="00AE16A4"/>
    <w:rsid w:val="00AE177D"/>
    <w:rsid w:val="00AE1823"/>
    <w:rsid w:val="00AE1A53"/>
    <w:rsid w:val="00AE1AEF"/>
    <w:rsid w:val="00AE1B7F"/>
    <w:rsid w:val="00AE1D5F"/>
    <w:rsid w:val="00AE20E9"/>
    <w:rsid w:val="00AE22D9"/>
    <w:rsid w:val="00AE23AB"/>
    <w:rsid w:val="00AE2415"/>
    <w:rsid w:val="00AE245A"/>
    <w:rsid w:val="00AE2587"/>
    <w:rsid w:val="00AE2822"/>
    <w:rsid w:val="00AE2923"/>
    <w:rsid w:val="00AE29E3"/>
    <w:rsid w:val="00AE2B49"/>
    <w:rsid w:val="00AE2BA1"/>
    <w:rsid w:val="00AE2C3F"/>
    <w:rsid w:val="00AE2D2C"/>
    <w:rsid w:val="00AE2D8D"/>
    <w:rsid w:val="00AE3011"/>
    <w:rsid w:val="00AE306B"/>
    <w:rsid w:val="00AE311B"/>
    <w:rsid w:val="00AE3219"/>
    <w:rsid w:val="00AE32AF"/>
    <w:rsid w:val="00AE3404"/>
    <w:rsid w:val="00AE340B"/>
    <w:rsid w:val="00AE369A"/>
    <w:rsid w:val="00AE377B"/>
    <w:rsid w:val="00AE3B1E"/>
    <w:rsid w:val="00AE3CFF"/>
    <w:rsid w:val="00AE3D68"/>
    <w:rsid w:val="00AE3EBE"/>
    <w:rsid w:val="00AE3F96"/>
    <w:rsid w:val="00AE3FE4"/>
    <w:rsid w:val="00AE4051"/>
    <w:rsid w:val="00AE4061"/>
    <w:rsid w:val="00AE4070"/>
    <w:rsid w:val="00AE4078"/>
    <w:rsid w:val="00AE4106"/>
    <w:rsid w:val="00AE416E"/>
    <w:rsid w:val="00AE421F"/>
    <w:rsid w:val="00AE4379"/>
    <w:rsid w:val="00AE455B"/>
    <w:rsid w:val="00AE45EC"/>
    <w:rsid w:val="00AE46E5"/>
    <w:rsid w:val="00AE470E"/>
    <w:rsid w:val="00AE4790"/>
    <w:rsid w:val="00AE47C9"/>
    <w:rsid w:val="00AE4A64"/>
    <w:rsid w:val="00AE4C02"/>
    <w:rsid w:val="00AE4CC3"/>
    <w:rsid w:val="00AE5036"/>
    <w:rsid w:val="00AE509C"/>
    <w:rsid w:val="00AE5105"/>
    <w:rsid w:val="00AE5168"/>
    <w:rsid w:val="00AE51CA"/>
    <w:rsid w:val="00AE522B"/>
    <w:rsid w:val="00AE526A"/>
    <w:rsid w:val="00AE534B"/>
    <w:rsid w:val="00AE579B"/>
    <w:rsid w:val="00AE5898"/>
    <w:rsid w:val="00AE5C28"/>
    <w:rsid w:val="00AE5DEA"/>
    <w:rsid w:val="00AE5E93"/>
    <w:rsid w:val="00AE60CE"/>
    <w:rsid w:val="00AE60D5"/>
    <w:rsid w:val="00AE6166"/>
    <w:rsid w:val="00AE61A3"/>
    <w:rsid w:val="00AE620A"/>
    <w:rsid w:val="00AE635C"/>
    <w:rsid w:val="00AE638A"/>
    <w:rsid w:val="00AE643D"/>
    <w:rsid w:val="00AE656E"/>
    <w:rsid w:val="00AE65CC"/>
    <w:rsid w:val="00AE667C"/>
    <w:rsid w:val="00AE6725"/>
    <w:rsid w:val="00AE67B1"/>
    <w:rsid w:val="00AE6962"/>
    <w:rsid w:val="00AE6985"/>
    <w:rsid w:val="00AE6B81"/>
    <w:rsid w:val="00AE6D31"/>
    <w:rsid w:val="00AE6D92"/>
    <w:rsid w:val="00AE6FE9"/>
    <w:rsid w:val="00AE70B4"/>
    <w:rsid w:val="00AE7129"/>
    <w:rsid w:val="00AE71C0"/>
    <w:rsid w:val="00AE71DD"/>
    <w:rsid w:val="00AE7225"/>
    <w:rsid w:val="00AE736E"/>
    <w:rsid w:val="00AE76A4"/>
    <w:rsid w:val="00AE7D3E"/>
    <w:rsid w:val="00AE7E72"/>
    <w:rsid w:val="00AE7EBD"/>
    <w:rsid w:val="00AE7ED4"/>
    <w:rsid w:val="00AF008F"/>
    <w:rsid w:val="00AF00BB"/>
    <w:rsid w:val="00AF0137"/>
    <w:rsid w:val="00AF039E"/>
    <w:rsid w:val="00AF04D8"/>
    <w:rsid w:val="00AF0509"/>
    <w:rsid w:val="00AF0603"/>
    <w:rsid w:val="00AF088D"/>
    <w:rsid w:val="00AF08E6"/>
    <w:rsid w:val="00AF0977"/>
    <w:rsid w:val="00AF0A47"/>
    <w:rsid w:val="00AF0AAF"/>
    <w:rsid w:val="00AF0C24"/>
    <w:rsid w:val="00AF0D22"/>
    <w:rsid w:val="00AF0E1D"/>
    <w:rsid w:val="00AF0E2E"/>
    <w:rsid w:val="00AF12A8"/>
    <w:rsid w:val="00AF1352"/>
    <w:rsid w:val="00AF138E"/>
    <w:rsid w:val="00AF13B0"/>
    <w:rsid w:val="00AF1509"/>
    <w:rsid w:val="00AF1740"/>
    <w:rsid w:val="00AF1A0A"/>
    <w:rsid w:val="00AF1A4A"/>
    <w:rsid w:val="00AF1B0C"/>
    <w:rsid w:val="00AF1B50"/>
    <w:rsid w:val="00AF1B53"/>
    <w:rsid w:val="00AF1D3B"/>
    <w:rsid w:val="00AF1E36"/>
    <w:rsid w:val="00AF1EF9"/>
    <w:rsid w:val="00AF20B2"/>
    <w:rsid w:val="00AF22F3"/>
    <w:rsid w:val="00AF23A2"/>
    <w:rsid w:val="00AF279B"/>
    <w:rsid w:val="00AF2847"/>
    <w:rsid w:val="00AF2883"/>
    <w:rsid w:val="00AF299C"/>
    <w:rsid w:val="00AF2BFA"/>
    <w:rsid w:val="00AF2C83"/>
    <w:rsid w:val="00AF2D3E"/>
    <w:rsid w:val="00AF2D88"/>
    <w:rsid w:val="00AF2D96"/>
    <w:rsid w:val="00AF2E12"/>
    <w:rsid w:val="00AF2F03"/>
    <w:rsid w:val="00AF2FAA"/>
    <w:rsid w:val="00AF308F"/>
    <w:rsid w:val="00AF314B"/>
    <w:rsid w:val="00AF3162"/>
    <w:rsid w:val="00AF31EE"/>
    <w:rsid w:val="00AF3234"/>
    <w:rsid w:val="00AF3258"/>
    <w:rsid w:val="00AF3376"/>
    <w:rsid w:val="00AF36A8"/>
    <w:rsid w:val="00AF3719"/>
    <w:rsid w:val="00AF387B"/>
    <w:rsid w:val="00AF3A72"/>
    <w:rsid w:val="00AF3AA8"/>
    <w:rsid w:val="00AF3B23"/>
    <w:rsid w:val="00AF3B62"/>
    <w:rsid w:val="00AF3BD1"/>
    <w:rsid w:val="00AF4126"/>
    <w:rsid w:val="00AF4405"/>
    <w:rsid w:val="00AF4536"/>
    <w:rsid w:val="00AF45D7"/>
    <w:rsid w:val="00AF464B"/>
    <w:rsid w:val="00AF4671"/>
    <w:rsid w:val="00AF4711"/>
    <w:rsid w:val="00AF4ACF"/>
    <w:rsid w:val="00AF4B22"/>
    <w:rsid w:val="00AF4B54"/>
    <w:rsid w:val="00AF4B9B"/>
    <w:rsid w:val="00AF4BB9"/>
    <w:rsid w:val="00AF4C3E"/>
    <w:rsid w:val="00AF4C51"/>
    <w:rsid w:val="00AF4E40"/>
    <w:rsid w:val="00AF4E86"/>
    <w:rsid w:val="00AF4F14"/>
    <w:rsid w:val="00AF521A"/>
    <w:rsid w:val="00AF52EF"/>
    <w:rsid w:val="00AF5580"/>
    <w:rsid w:val="00AF55C0"/>
    <w:rsid w:val="00AF572A"/>
    <w:rsid w:val="00AF57C7"/>
    <w:rsid w:val="00AF57DF"/>
    <w:rsid w:val="00AF5DA5"/>
    <w:rsid w:val="00AF5DF0"/>
    <w:rsid w:val="00AF5F0E"/>
    <w:rsid w:val="00AF5F60"/>
    <w:rsid w:val="00AF5FE2"/>
    <w:rsid w:val="00AF606C"/>
    <w:rsid w:val="00AF6072"/>
    <w:rsid w:val="00AF638A"/>
    <w:rsid w:val="00AF65AC"/>
    <w:rsid w:val="00AF678D"/>
    <w:rsid w:val="00AF67E0"/>
    <w:rsid w:val="00AF6B36"/>
    <w:rsid w:val="00AF6BE5"/>
    <w:rsid w:val="00AF6C5A"/>
    <w:rsid w:val="00AF6E33"/>
    <w:rsid w:val="00AF7373"/>
    <w:rsid w:val="00AF73BB"/>
    <w:rsid w:val="00AF746F"/>
    <w:rsid w:val="00AF790C"/>
    <w:rsid w:val="00AF7CD5"/>
    <w:rsid w:val="00AF7F97"/>
    <w:rsid w:val="00AF7FB0"/>
    <w:rsid w:val="00B0035A"/>
    <w:rsid w:val="00B003AB"/>
    <w:rsid w:val="00B00434"/>
    <w:rsid w:val="00B005E4"/>
    <w:rsid w:val="00B00735"/>
    <w:rsid w:val="00B01064"/>
    <w:rsid w:val="00B01164"/>
    <w:rsid w:val="00B01231"/>
    <w:rsid w:val="00B01393"/>
    <w:rsid w:val="00B0140F"/>
    <w:rsid w:val="00B017A2"/>
    <w:rsid w:val="00B017DC"/>
    <w:rsid w:val="00B018E1"/>
    <w:rsid w:val="00B01B1F"/>
    <w:rsid w:val="00B01BC9"/>
    <w:rsid w:val="00B01DC3"/>
    <w:rsid w:val="00B01E91"/>
    <w:rsid w:val="00B01EAD"/>
    <w:rsid w:val="00B0206D"/>
    <w:rsid w:val="00B0207A"/>
    <w:rsid w:val="00B0208C"/>
    <w:rsid w:val="00B021B2"/>
    <w:rsid w:val="00B02507"/>
    <w:rsid w:val="00B02711"/>
    <w:rsid w:val="00B02713"/>
    <w:rsid w:val="00B02B9E"/>
    <w:rsid w:val="00B02C38"/>
    <w:rsid w:val="00B02D38"/>
    <w:rsid w:val="00B03072"/>
    <w:rsid w:val="00B030A4"/>
    <w:rsid w:val="00B03160"/>
    <w:rsid w:val="00B031B4"/>
    <w:rsid w:val="00B033A6"/>
    <w:rsid w:val="00B033F8"/>
    <w:rsid w:val="00B03419"/>
    <w:rsid w:val="00B03844"/>
    <w:rsid w:val="00B03B5C"/>
    <w:rsid w:val="00B03B64"/>
    <w:rsid w:val="00B03CE1"/>
    <w:rsid w:val="00B03DD2"/>
    <w:rsid w:val="00B03DE5"/>
    <w:rsid w:val="00B03EBC"/>
    <w:rsid w:val="00B04320"/>
    <w:rsid w:val="00B044CB"/>
    <w:rsid w:val="00B0450C"/>
    <w:rsid w:val="00B045AE"/>
    <w:rsid w:val="00B045D8"/>
    <w:rsid w:val="00B04793"/>
    <w:rsid w:val="00B0498D"/>
    <w:rsid w:val="00B04A70"/>
    <w:rsid w:val="00B04B76"/>
    <w:rsid w:val="00B04C69"/>
    <w:rsid w:val="00B04CC1"/>
    <w:rsid w:val="00B05097"/>
    <w:rsid w:val="00B050D6"/>
    <w:rsid w:val="00B05157"/>
    <w:rsid w:val="00B0521E"/>
    <w:rsid w:val="00B054C7"/>
    <w:rsid w:val="00B059E1"/>
    <w:rsid w:val="00B05B00"/>
    <w:rsid w:val="00B05B9D"/>
    <w:rsid w:val="00B05C4A"/>
    <w:rsid w:val="00B05D69"/>
    <w:rsid w:val="00B05D96"/>
    <w:rsid w:val="00B05DAD"/>
    <w:rsid w:val="00B05EF8"/>
    <w:rsid w:val="00B06034"/>
    <w:rsid w:val="00B06125"/>
    <w:rsid w:val="00B06200"/>
    <w:rsid w:val="00B0637D"/>
    <w:rsid w:val="00B063A9"/>
    <w:rsid w:val="00B064E4"/>
    <w:rsid w:val="00B0657B"/>
    <w:rsid w:val="00B0664C"/>
    <w:rsid w:val="00B068AD"/>
    <w:rsid w:val="00B06945"/>
    <w:rsid w:val="00B06BEA"/>
    <w:rsid w:val="00B06D9E"/>
    <w:rsid w:val="00B06E3F"/>
    <w:rsid w:val="00B06F08"/>
    <w:rsid w:val="00B06FF4"/>
    <w:rsid w:val="00B07046"/>
    <w:rsid w:val="00B072FF"/>
    <w:rsid w:val="00B07456"/>
    <w:rsid w:val="00B07B4E"/>
    <w:rsid w:val="00B07CAA"/>
    <w:rsid w:val="00B07CF4"/>
    <w:rsid w:val="00B07D13"/>
    <w:rsid w:val="00B07DC8"/>
    <w:rsid w:val="00B07E04"/>
    <w:rsid w:val="00B10020"/>
    <w:rsid w:val="00B100FF"/>
    <w:rsid w:val="00B1023F"/>
    <w:rsid w:val="00B10242"/>
    <w:rsid w:val="00B1034E"/>
    <w:rsid w:val="00B10585"/>
    <w:rsid w:val="00B1080F"/>
    <w:rsid w:val="00B10A2E"/>
    <w:rsid w:val="00B10AA3"/>
    <w:rsid w:val="00B10AAB"/>
    <w:rsid w:val="00B10BC9"/>
    <w:rsid w:val="00B10C38"/>
    <w:rsid w:val="00B10DD4"/>
    <w:rsid w:val="00B11027"/>
    <w:rsid w:val="00B11127"/>
    <w:rsid w:val="00B111C4"/>
    <w:rsid w:val="00B1127A"/>
    <w:rsid w:val="00B113EB"/>
    <w:rsid w:val="00B1148E"/>
    <w:rsid w:val="00B119C8"/>
    <w:rsid w:val="00B11A03"/>
    <w:rsid w:val="00B11C52"/>
    <w:rsid w:val="00B1222C"/>
    <w:rsid w:val="00B1228F"/>
    <w:rsid w:val="00B122B5"/>
    <w:rsid w:val="00B122C6"/>
    <w:rsid w:val="00B12333"/>
    <w:rsid w:val="00B1243C"/>
    <w:rsid w:val="00B1255D"/>
    <w:rsid w:val="00B129C3"/>
    <w:rsid w:val="00B12A2C"/>
    <w:rsid w:val="00B12AC8"/>
    <w:rsid w:val="00B12AE2"/>
    <w:rsid w:val="00B12AE6"/>
    <w:rsid w:val="00B12D0E"/>
    <w:rsid w:val="00B130A7"/>
    <w:rsid w:val="00B130F7"/>
    <w:rsid w:val="00B1313C"/>
    <w:rsid w:val="00B13186"/>
    <w:rsid w:val="00B13190"/>
    <w:rsid w:val="00B13354"/>
    <w:rsid w:val="00B13387"/>
    <w:rsid w:val="00B133B0"/>
    <w:rsid w:val="00B13423"/>
    <w:rsid w:val="00B13538"/>
    <w:rsid w:val="00B13D42"/>
    <w:rsid w:val="00B14137"/>
    <w:rsid w:val="00B1446D"/>
    <w:rsid w:val="00B148B5"/>
    <w:rsid w:val="00B14CA0"/>
    <w:rsid w:val="00B14F85"/>
    <w:rsid w:val="00B15034"/>
    <w:rsid w:val="00B1528B"/>
    <w:rsid w:val="00B15621"/>
    <w:rsid w:val="00B157FD"/>
    <w:rsid w:val="00B15AA4"/>
    <w:rsid w:val="00B15AC5"/>
    <w:rsid w:val="00B15B72"/>
    <w:rsid w:val="00B1608A"/>
    <w:rsid w:val="00B16127"/>
    <w:rsid w:val="00B161BB"/>
    <w:rsid w:val="00B161F5"/>
    <w:rsid w:val="00B16333"/>
    <w:rsid w:val="00B163D8"/>
    <w:rsid w:val="00B16663"/>
    <w:rsid w:val="00B1670E"/>
    <w:rsid w:val="00B1694E"/>
    <w:rsid w:val="00B169A8"/>
    <w:rsid w:val="00B16B63"/>
    <w:rsid w:val="00B16BC4"/>
    <w:rsid w:val="00B16C23"/>
    <w:rsid w:val="00B16C41"/>
    <w:rsid w:val="00B16CD5"/>
    <w:rsid w:val="00B16DB8"/>
    <w:rsid w:val="00B16E12"/>
    <w:rsid w:val="00B172C1"/>
    <w:rsid w:val="00B17436"/>
    <w:rsid w:val="00B1763D"/>
    <w:rsid w:val="00B176A9"/>
    <w:rsid w:val="00B17985"/>
    <w:rsid w:val="00B17A1C"/>
    <w:rsid w:val="00B17A2D"/>
    <w:rsid w:val="00B17AA6"/>
    <w:rsid w:val="00B17CCA"/>
    <w:rsid w:val="00B17EC8"/>
    <w:rsid w:val="00B17F61"/>
    <w:rsid w:val="00B17F74"/>
    <w:rsid w:val="00B20072"/>
    <w:rsid w:val="00B202B9"/>
    <w:rsid w:val="00B20469"/>
    <w:rsid w:val="00B204F7"/>
    <w:rsid w:val="00B20502"/>
    <w:rsid w:val="00B205FC"/>
    <w:rsid w:val="00B206E2"/>
    <w:rsid w:val="00B20773"/>
    <w:rsid w:val="00B20939"/>
    <w:rsid w:val="00B20B5A"/>
    <w:rsid w:val="00B20CAE"/>
    <w:rsid w:val="00B20FAC"/>
    <w:rsid w:val="00B21288"/>
    <w:rsid w:val="00B212F1"/>
    <w:rsid w:val="00B21325"/>
    <w:rsid w:val="00B2145A"/>
    <w:rsid w:val="00B2147B"/>
    <w:rsid w:val="00B2159E"/>
    <w:rsid w:val="00B216C7"/>
    <w:rsid w:val="00B216FC"/>
    <w:rsid w:val="00B21759"/>
    <w:rsid w:val="00B217C6"/>
    <w:rsid w:val="00B218ED"/>
    <w:rsid w:val="00B218FA"/>
    <w:rsid w:val="00B21ADF"/>
    <w:rsid w:val="00B21B9F"/>
    <w:rsid w:val="00B21DED"/>
    <w:rsid w:val="00B21FD5"/>
    <w:rsid w:val="00B22054"/>
    <w:rsid w:val="00B2216D"/>
    <w:rsid w:val="00B222EC"/>
    <w:rsid w:val="00B223D1"/>
    <w:rsid w:val="00B2252D"/>
    <w:rsid w:val="00B22856"/>
    <w:rsid w:val="00B228AE"/>
    <w:rsid w:val="00B2291B"/>
    <w:rsid w:val="00B229E9"/>
    <w:rsid w:val="00B22CCA"/>
    <w:rsid w:val="00B22D2E"/>
    <w:rsid w:val="00B22F1E"/>
    <w:rsid w:val="00B22FBD"/>
    <w:rsid w:val="00B23106"/>
    <w:rsid w:val="00B2323F"/>
    <w:rsid w:val="00B23424"/>
    <w:rsid w:val="00B2348C"/>
    <w:rsid w:val="00B234EB"/>
    <w:rsid w:val="00B23631"/>
    <w:rsid w:val="00B2363B"/>
    <w:rsid w:val="00B236A9"/>
    <w:rsid w:val="00B2372A"/>
    <w:rsid w:val="00B23774"/>
    <w:rsid w:val="00B239A1"/>
    <w:rsid w:val="00B23A2B"/>
    <w:rsid w:val="00B23C9D"/>
    <w:rsid w:val="00B23CB2"/>
    <w:rsid w:val="00B23DFB"/>
    <w:rsid w:val="00B23E91"/>
    <w:rsid w:val="00B23F61"/>
    <w:rsid w:val="00B23F97"/>
    <w:rsid w:val="00B23FBF"/>
    <w:rsid w:val="00B240B3"/>
    <w:rsid w:val="00B24198"/>
    <w:rsid w:val="00B2433F"/>
    <w:rsid w:val="00B24425"/>
    <w:rsid w:val="00B244A1"/>
    <w:rsid w:val="00B245F6"/>
    <w:rsid w:val="00B246FA"/>
    <w:rsid w:val="00B247C3"/>
    <w:rsid w:val="00B247D1"/>
    <w:rsid w:val="00B2489A"/>
    <w:rsid w:val="00B248E5"/>
    <w:rsid w:val="00B24B9C"/>
    <w:rsid w:val="00B24C94"/>
    <w:rsid w:val="00B2518A"/>
    <w:rsid w:val="00B251C9"/>
    <w:rsid w:val="00B254C5"/>
    <w:rsid w:val="00B2558D"/>
    <w:rsid w:val="00B255B0"/>
    <w:rsid w:val="00B255E7"/>
    <w:rsid w:val="00B2567A"/>
    <w:rsid w:val="00B256BF"/>
    <w:rsid w:val="00B256E8"/>
    <w:rsid w:val="00B258FD"/>
    <w:rsid w:val="00B25959"/>
    <w:rsid w:val="00B2599B"/>
    <w:rsid w:val="00B25B67"/>
    <w:rsid w:val="00B25BD5"/>
    <w:rsid w:val="00B25BD7"/>
    <w:rsid w:val="00B25E96"/>
    <w:rsid w:val="00B26028"/>
    <w:rsid w:val="00B260CA"/>
    <w:rsid w:val="00B2654A"/>
    <w:rsid w:val="00B266C6"/>
    <w:rsid w:val="00B266EA"/>
    <w:rsid w:val="00B2673B"/>
    <w:rsid w:val="00B2685B"/>
    <w:rsid w:val="00B26878"/>
    <w:rsid w:val="00B26B5D"/>
    <w:rsid w:val="00B26BB1"/>
    <w:rsid w:val="00B26FB9"/>
    <w:rsid w:val="00B27003"/>
    <w:rsid w:val="00B27079"/>
    <w:rsid w:val="00B270F6"/>
    <w:rsid w:val="00B27389"/>
    <w:rsid w:val="00B275C4"/>
    <w:rsid w:val="00B276EC"/>
    <w:rsid w:val="00B2771A"/>
    <w:rsid w:val="00B27761"/>
    <w:rsid w:val="00B279F7"/>
    <w:rsid w:val="00B27A14"/>
    <w:rsid w:val="00B27A53"/>
    <w:rsid w:val="00B27AB8"/>
    <w:rsid w:val="00B27D2B"/>
    <w:rsid w:val="00B27D52"/>
    <w:rsid w:val="00B27EA8"/>
    <w:rsid w:val="00B27EAB"/>
    <w:rsid w:val="00B30009"/>
    <w:rsid w:val="00B30124"/>
    <w:rsid w:val="00B303D3"/>
    <w:rsid w:val="00B30419"/>
    <w:rsid w:val="00B30466"/>
    <w:rsid w:val="00B304A4"/>
    <w:rsid w:val="00B3062D"/>
    <w:rsid w:val="00B3077A"/>
    <w:rsid w:val="00B30883"/>
    <w:rsid w:val="00B30BB2"/>
    <w:rsid w:val="00B30CA9"/>
    <w:rsid w:val="00B30FF8"/>
    <w:rsid w:val="00B31088"/>
    <w:rsid w:val="00B31098"/>
    <w:rsid w:val="00B311BC"/>
    <w:rsid w:val="00B3156F"/>
    <w:rsid w:val="00B31691"/>
    <w:rsid w:val="00B318C7"/>
    <w:rsid w:val="00B3195A"/>
    <w:rsid w:val="00B319C0"/>
    <w:rsid w:val="00B31A4F"/>
    <w:rsid w:val="00B31AA2"/>
    <w:rsid w:val="00B31B82"/>
    <w:rsid w:val="00B31C33"/>
    <w:rsid w:val="00B31CE5"/>
    <w:rsid w:val="00B31E06"/>
    <w:rsid w:val="00B31E07"/>
    <w:rsid w:val="00B31F21"/>
    <w:rsid w:val="00B32364"/>
    <w:rsid w:val="00B32765"/>
    <w:rsid w:val="00B32898"/>
    <w:rsid w:val="00B32A20"/>
    <w:rsid w:val="00B32CB1"/>
    <w:rsid w:val="00B32CE3"/>
    <w:rsid w:val="00B32DE2"/>
    <w:rsid w:val="00B3345A"/>
    <w:rsid w:val="00B3357B"/>
    <w:rsid w:val="00B33717"/>
    <w:rsid w:val="00B337DB"/>
    <w:rsid w:val="00B33860"/>
    <w:rsid w:val="00B3390F"/>
    <w:rsid w:val="00B33BAB"/>
    <w:rsid w:val="00B3430E"/>
    <w:rsid w:val="00B3449A"/>
    <w:rsid w:val="00B344D5"/>
    <w:rsid w:val="00B346F7"/>
    <w:rsid w:val="00B34814"/>
    <w:rsid w:val="00B348D7"/>
    <w:rsid w:val="00B34904"/>
    <w:rsid w:val="00B34CA9"/>
    <w:rsid w:val="00B34D01"/>
    <w:rsid w:val="00B34EAD"/>
    <w:rsid w:val="00B34FB6"/>
    <w:rsid w:val="00B351C9"/>
    <w:rsid w:val="00B35264"/>
    <w:rsid w:val="00B353E6"/>
    <w:rsid w:val="00B35576"/>
    <w:rsid w:val="00B35582"/>
    <w:rsid w:val="00B355AE"/>
    <w:rsid w:val="00B35915"/>
    <w:rsid w:val="00B35CA6"/>
    <w:rsid w:val="00B35DEF"/>
    <w:rsid w:val="00B35EE9"/>
    <w:rsid w:val="00B35F7D"/>
    <w:rsid w:val="00B36062"/>
    <w:rsid w:val="00B36087"/>
    <w:rsid w:val="00B3617F"/>
    <w:rsid w:val="00B361AF"/>
    <w:rsid w:val="00B361B1"/>
    <w:rsid w:val="00B362F4"/>
    <w:rsid w:val="00B36425"/>
    <w:rsid w:val="00B364B6"/>
    <w:rsid w:val="00B365C1"/>
    <w:rsid w:val="00B3673D"/>
    <w:rsid w:val="00B367BA"/>
    <w:rsid w:val="00B369C0"/>
    <w:rsid w:val="00B369E7"/>
    <w:rsid w:val="00B36A29"/>
    <w:rsid w:val="00B36A51"/>
    <w:rsid w:val="00B36CE7"/>
    <w:rsid w:val="00B36D39"/>
    <w:rsid w:val="00B37198"/>
    <w:rsid w:val="00B37215"/>
    <w:rsid w:val="00B37554"/>
    <w:rsid w:val="00B37691"/>
    <w:rsid w:val="00B3777C"/>
    <w:rsid w:val="00B377AA"/>
    <w:rsid w:val="00B377B5"/>
    <w:rsid w:val="00B3784D"/>
    <w:rsid w:val="00B378E2"/>
    <w:rsid w:val="00B37B7C"/>
    <w:rsid w:val="00B37C33"/>
    <w:rsid w:val="00B37CA2"/>
    <w:rsid w:val="00B37E26"/>
    <w:rsid w:val="00B37F62"/>
    <w:rsid w:val="00B40042"/>
    <w:rsid w:val="00B401DA"/>
    <w:rsid w:val="00B401F6"/>
    <w:rsid w:val="00B4033D"/>
    <w:rsid w:val="00B4041E"/>
    <w:rsid w:val="00B4070E"/>
    <w:rsid w:val="00B40C97"/>
    <w:rsid w:val="00B40C9D"/>
    <w:rsid w:val="00B40CED"/>
    <w:rsid w:val="00B40F1D"/>
    <w:rsid w:val="00B40FFB"/>
    <w:rsid w:val="00B41005"/>
    <w:rsid w:val="00B4100B"/>
    <w:rsid w:val="00B410B9"/>
    <w:rsid w:val="00B4112B"/>
    <w:rsid w:val="00B4143F"/>
    <w:rsid w:val="00B414E6"/>
    <w:rsid w:val="00B41515"/>
    <w:rsid w:val="00B41535"/>
    <w:rsid w:val="00B4153B"/>
    <w:rsid w:val="00B41737"/>
    <w:rsid w:val="00B41A85"/>
    <w:rsid w:val="00B41B80"/>
    <w:rsid w:val="00B41D25"/>
    <w:rsid w:val="00B41D35"/>
    <w:rsid w:val="00B41E47"/>
    <w:rsid w:val="00B41E9B"/>
    <w:rsid w:val="00B41E9E"/>
    <w:rsid w:val="00B42103"/>
    <w:rsid w:val="00B4218B"/>
    <w:rsid w:val="00B421D9"/>
    <w:rsid w:val="00B421F4"/>
    <w:rsid w:val="00B42234"/>
    <w:rsid w:val="00B42351"/>
    <w:rsid w:val="00B423C6"/>
    <w:rsid w:val="00B42409"/>
    <w:rsid w:val="00B42477"/>
    <w:rsid w:val="00B4259E"/>
    <w:rsid w:val="00B425DB"/>
    <w:rsid w:val="00B42664"/>
    <w:rsid w:val="00B42A79"/>
    <w:rsid w:val="00B42A9B"/>
    <w:rsid w:val="00B42F0B"/>
    <w:rsid w:val="00B42F2F"/>
    <w:rsid w:val="00B43397"/>
    <w:rsid w:val="00B433A4"/>
    <w:rsid w:val="00B43607"/>
    <w:rsid w:val="00B43622"/>
    <w:rsid w:val="00B43738"/>
    <w:rsid w:val="00B43765"/>
    <w:rsid w:val="00B43A63"/>
    <w:rsid w:val="00B43B74"/>
    <w:rsid w:val="00B43D61"/>
    <w:rsid w:val="00B44005"/>
    <w:rsid w:val="00B445A5"/>
    <w:rsid w:val="00B445FF"/>
    <w:rsid w:val="00B447F6"/>
    <w:rsid w:val="00B4488C"/>
    <w:rsid w:val="00B44A6A"/>
    <w:rsid w:val="00B44B21"/>
    <w:rsid w:val="00B44B9B"/>
    <w:rsid w:val="00B44BE3"/>
    <w:rsid w:val="00B44EDE"/>
    <w:rsid w:val="00B44F03"/>
    <w:rsid w:val="00B45033"/>
    <w:rsid w:val="00B451B1"/>
    <w:rsid w:val="00B451BC"/>
    <w:rsid w:val="00B45319"/>
    <w:rsid w:val="00B4537F"/>
    <w:rsid w:val="00B455F7"/>
    <w:rsid w:val="00B45640"/>
    <w:rsid w:val="00B4587F"/>
    <w:rsid w:val="00B45A9E"/>
    <w:rsid w:val="00B45CF6"/>
    <w:rsid w:val="00B45FD7"/>
    <w:rsid w:val="00B45FEF"/>
    <w:rsid w:val="00B46170"/>
    <w:rsid w:val="00B46178"/>
    <w:rsid w:val="00B4656D"/>
    <w:rsid w:val="00B4679A"/>
    <w:rsid w:val="00B469E7"/>
    <w:rsid w:val="00B46B20"/>
    <w:rsid w:val="00B46D39"/>
    <w:rsid w:val="00B46D3C"/>
    <w:rsid w:val="00B46D53"/>
    <w:rsid w:val="00B46E0F"/>
    <w:rsid w:val="00B4703E"/>
    <w:rsid w:val="00B4721F"/>
    <w:rsid w:val="00B472AE"/>
    <w:rsid w:val="00B47374"/>
    <w:rsid w:val="00B47447"/>
    <w:rsid w:val="00B4749C"/>
    <w:rsid w:val="00B476AD"/>
    <w:rsid w:val="00B476B4"/>
    <w:rsid w:val="00B476DC"/>
    <w:rsid w:val="00B47739"/>
    <w:rsid w:val="00B4797D"/>
    <w:rsid w:val="00B47A21"/>
    <w:rsid w:val="00B47AF6"/>
    <w:rsid w:val="00B47B75"/>
    <w:rsid w:val="00B47B8B"/>
    <w:rsid w:val="00B47BDB"/>
    <w:rsid w:val="00B47D2B"/>
    <w:rsid w:val="00B47DC2"/>
    <w:rsid w:val="00B47EC7"/>
    <w:rsid w:val="00B47F83"/>
    <w:rsid w:val="00B501DA"/>
    <w:rsid w:val="00B502D0"/>
    <w:rsid w:val="00B5036F"/>
    <w:rsid w:val="00B505AD"/>
    <w:rsid w:val="00B506EA"/>
    <w:rsid w:val="00B50765"/>
    <w:rsid w:val="00B50A0E"/>
    <w:rsid w:val="00B50BCF"/>
    <w:rsid w:val="00B50EEF"/>
    <w:rsid w:val="00B50F44"/>
    <w:rsid w:val="00B50F5F"/>
    <w:rsid w:val="00B51241"/>
    <w:rsid w:val="00B512CA"/>
    <w:rsid w:val="00B5158A"/>
    <w:rsid w:val="00B51665"/>
    <w:rsid w:val="00B516CD"/>
    <w:rsid w:val="00B51742"/>
    <w:rsid w:val="00B517DF"/>
    <w:rsid w:val="00B51832"/>
    <w:rsid w:val="00B51927"/>
    <w:rsid w:val="00B51E26"/>
    <w:rsid w:val="00B51FE3"/>
    <w:rsid w:val="00B520FF"/>
    <w:rsid w:val="00B5221A"/>
    <w:rsid w:val="00B52361"/>
    <w:rsid w:val="00B524B4"/>
    <w:rsid w:val="00B524D6"/>
    <w:rsid w:val="00B527BA"/>
    <w:rsid w:val="00B527C7"/>
    <w:rsid w:val="00B527E9"/>
    <w:rsid w:val="00B5282D"/>
    <w:rsid w:val="00B52893"/>
    <w:rsid w:val="00B5291A"/>
    <w:rsid w:val="00B52B23"/>
    <w:rsid w:val="00B52DC8"/>
    <w:rsid w:val="00B53004"/>
    <w:rsid w:val="00B53088"/>
    <w:rsid w:val="00B530A8"/>
    <w:rsid w:val="00B5338B"/>
    <w:rsid w:val="00B535DC"/>
    <w:rsid w:val="00B537AB"/>
    <w:rsid w:val="00B53A16"/>
    <w:rsid w:val="00B53BC4"/>
    <w:rsid w:val="00B53D2E"/>
    <w:rsid w:val="00B543D5"/>
    <w:rsid w:val="00B5444A"/>
    <w:rsid w:val="00B54652"/>
    <w:rsid w:val="00B548B1"/>
    <w:rsid w:val="00B54AF4"/>
    <w:rsid w:val="00B54C93"/>
    <w:rsid w:val="00B54CE7"/>
    <w:rsid w:val="00B54D1E"/>
    <w:rsid w:val="00B55203"/>
    <w:rsid w:val="00B5527D"/>
    <w:rsid w:val="00B552ED"/>
    <w:rsid w:val="00B5539D"/>
    <w:rsid w:val="00B554EA"/>
    <w:rsid w:val="00B555ED"/>
    <w:rsid w:val="00B5566A"/>
    <w:rsid w:val="00B556A4"/>
    <w:rsid w:val="00B55895"/>
    <w:rsid w:val="00B55A07"/>
    <w:rsid w:val="00B55BCE"/>
    <w:rsid w:val="00B55BE5"/>
    <w:rsid w:val="00B55CD3"/>
    <w:rsid w:val="00B55D60"/>
    <w:rsid w:val="00B55E06"/>
    <w:rsid w:val="00B55FB8"/>
    <w:rsid w:val="00B55FFA"/>
    <w:rsid w:val="00B56032"/>
    <w:rsid w:val="00B56196"/>
    <w:rsid w:val="00B56568"/>
    <w:rsid w:val="00B566CD"/>
    <w:rsid w:val="00B567F9"/>
    <w:rsid w:val="00B56941"/>
    <w:rsid w:val="00B56D27"/>
    <w:rsid w:val="00B56F0C"/>
    <w:rsid w:val="00B57165"/>
    <w:rsid w:val="00B573FC"/>
    <w:rsid w:val="00B574B3"/>
    <w:rsid w:val="00B57510"/>
    <w:rsid w:val="00B5754D"/>
    <w:rsid w:val="00B576B2"/>
    <w:rsid w:val="00B57781"/>
    <w:rsid w:val="00B57ABA"/>
    <w:rsid w:val="00B57B14"/>
    <w:rsid w:val="00B57E33"/>
    <w:rsid w:val="00B60186"/>
    <w:rsid w:val="00B6019C"/>
    <w:rsid w:val="00B60309"/>
    <w:rsid w:val="00B6044C"/>
    <w:rsid w:val="00B604AA"/>
    <w:rsid w:val="00B604EA"/>
    <w:rsid w:val="00B60711"/>
    <w:rsid w:val="00B60823"/>
    <w:rsid w:val="00B60890"/>
    <w:rsid w:val="00B60B37"/>
    <w:rsid w:val="00B60C92"/>
    <w:rsid w:val="00B60DA1"/>
    <w:rsid w:val="00B60DAE"/>
    <w:rsid w:val="00B60EAC"/>
    <w:rsid w:val="00B61298"/>
    <w:rsid w:val="00B612A5"/>
    <w:rsid w:val="00B615F0"/>
    <w:rsid w:val="00B616AD"/>
    <w:rsid w:val="00B616F5"/>
    <w:rsid w:val="00B61865"/>
    <w:rsid w:val="00B61A7B"/>
    <w:rsid w:val="00B6203E"/>
    <w:rsid w:val="00B62384"/>
    <w:rsid w:val="00B6250E"/>
    <w:rsid w:val="00B62819"/>
    <w:rsid w:val="00B62D37"/>
    <w:rsid w:val="00B62DC1"/>
    <w:rsid w:val="00B62E6F"/>
    <w:rsid w:val="00B62FE4"/>
    <w:rsid w:val="00B631A0"/>
    <w:rsid w:val="00B63566"/>
    <w:rsid w:val="00B635DE"/>
    <w:rsid w:val="00B636E1"/>
    <w:rsid w:val="00B636F6"/>
    <w:rsid w:val="00B63753"/>
    <w:rsid w:val="00B637BF"/>
    <w:rsid w:val="00B637F0"/>
    <w:rsid w:val="00B63935"/>
    <w:rsid w:val="00B63984"/>
    <w:rsid w:val="00B63D31"/>
    <w:rsid w:val="00B63D7F"/>
    <w:rsid w:val="00B64114"/>
    <w:rsid w:val="00B64494"/>
    <w:rsid w:val="00B645A8"/>
    <w:rsid w:val="00B646C3"/>
    <w:rsid w:val="00B64771"/>
    <w:rsid w:val="00B647DF"/>
    <w:rsid w:val="00B64864"/>
    <w:rsid w:val="00B64B49"/>
    <w:rsid w:val="00B64D65"/>
    <w:rsid w:val="00B64EAA"/>
    <w:rsid w:val="00B6510A"/>
    <w:rsid w:val="00B65D57"/>
    <w:rsid w:val="00B65DD7"/>
    <w:rsid w:val="00B65DF2"/>
    <w:rsid w:val="00B65FCB"/>
    <w:rsid w:val="00B66110"/>
    <w:rsid w:val="00B66137"/>
    <w:rsid w:val="00B6643E"/>
    <w:rsid w:val="00B6651C"/>
    <w:rsid w:val="00B66641"/>
    <w:rsid w:val="00B669AD"/>
    <w:rsid w:val="00B66B76"/>
    <w:rsid w:val="00B66C36"/>
    <w:rsid w:val="00B66D1C"/>
    <w:rsid w:val="00B66DAC"/>
    <w:rsid w:val="00B66DBB"/>
    <w:rsid w:val="00B66EBA"/>
    <w:rsid w:val="00B66EE9"/>
    <w:rsid w:val="00B66F41"/>
    <w:rsid w:val="00B67016"/>
    <w:rsid w:val="00B670D1"/>
    <w:rsid w:val="00B6711D"/>
    <w:rsid w:val="00B674C8"/>
    <w:rsid w:val="00B674D3"/>
    <w:rsid w:val="00B67830"/>
    <w:rsid w:val="00B67A4A"/>
    <w:rsid w:val="00B67AC2"/>
    <w:rsid w:val="00B67C65"/>
    <w:rsid w:val="00B67C9B"/>
    <w:rsid w:val="00B67F76"/>
    <w:rsid w:val="00B70386"/>
    <w:rsid w:val="00B708DD"/>
    <w:rsid w:val="00B70A79"/>
    <w:rsid w:val="00B70B97"/>
    <w:rsid w:val="00B70BE3"/>
    <w:rsid w:val="00B70C6E"/>
    <w:rsid w:val="00B70DF0"/>
    <w:rsid w:val="00B70EC2"/>
    <w:rsid w:val="00B70FEB"/>
    <w:rsid w:val="00B7134C"/>
    <w:rsid w:val="00B715EE"/>
    <w:rsid w:val="00B7174B"/>
    <w:rsid w:val="00B71771"/>
    <w:rsid w:val="00B717E2"/>
    <w:rsid w:val="00B717F0"/>
    <w:rsid w:val="00B7189E"/>
    <w:rsid w:val="00B71929"/>
    <w:rsid w:val="00B719D8"/>
    <w:rsid w:val="00B71A36"/>
    <w:rsid w:val="00B71A47"/>
    <w:rsid w:val="00B71A54"/>
    <w:rsid w:val="00B71AD1"/>
    <w:rsid w:val="00B71B9A"/>
    <w:rsid w:val="00B71BFC"/>
    <w:rsid w:val="00B722A9"/>
    <w:rsid w:val="00B72472"/>
    <w:rsid w:val="00B72590"/>
    <w:rsid w:val="00B725E2"/>
    <w:rsid w:val="00B7260E"/>
    <w:rsid w:val="00B72622"/>
    <w:rsid w:val="00B726EC"/>
    <w:rsid w:val="00B729A5"/>
    <w:rsid w:val="00B729C0"/>
    <w:rsid w:val="00B73114"/>
    <w:rsid w:val="00B7314D"/>
    <w:rsid w:val="00B7317A"/>
    <w:rsid w:val="00B731DC"/>
    <w:rsid w:val="00B7324B"/>
    <w:rsid w:val="00B73275"/>
    <w:rsid w:val="00B7358B"/>
    <w:rsid w:val="00B735D5"/>
    <w:rsid w:val="00B7371C"/>
    <w:rsid w:val="00B73795"/>
    <w:rsid w:val="00B7385A"/>
    <w:rsid w:val="00B7395D"/>
    <w:rsid w:val="00B73A22"/>
    <w:rsid w:val="00B73A77"/>
    <w:rsid w:val="00B73BB9"/>
    <w:rsid w:val="00B73CE4"/>
    <w:rsid w:val="00B73DD3"/>
    <w:rsid w:val="00B73F0E"/>
    <w:rsid w:val="00B73F39"/>
    <w:rsid w:val="00B73FBF"/>
    <w:rsid w:val="00B744A8"/>
    <w:rsid w:val="00B74943"/>
    <w:rsid w:val="00B74D6B"/>
    <w:rsid w:val="00B74DE3"/>
    <w:rsid w:val="00B7500D"/>
    <w:rsid w:val="00B75010"/>
    <w:rsid w:val="00B75211"/>
    <w:rsid w:val="00B752CE"/>
    <w:rsid w:val="00B753A8"/>
    <w:rsid w:val="00B753C8"/>
    <w:rsid w:val="00B75612"/>
    <w:rsid w:val="00B75937"/>
    <w:rsid w:val="00B7594B"/>
    <w:rsid w:val="00B75996"/>
    <w:rsid w:val="00B75B76"/>
    <w:rsid w:val="00B75D5F"/>
    <w:rsid w:val="00B75DE4"/>
    <w:rsid w:val="00B75EE6"/>
    <w:rsid w:val="00B76127"/>
    <w:rsid w:val="00B76208"/>
    <w:rsid w:val="00B76211"/>
    <w:rsid w:val="00B76415"/>
    <w:rsid w:val="00B76689"/>
    <w:rsid w:val="00B76896"/>
    <w:rsid w:val="00B7690F"/>
    <w:rsid w:val="00B76A12"/>
    <w:rsid w:val="00B76B43"/>
    <w:rsid w:val="00B76B6A"/>
    <w:rsid w:val="00B76BA3"/>
    <w:rsid w:val="00B76D29"/>
    <w:rsid w:val="00B76DC1"/>
    <w:rsid w:val="00B76DF2"/>
    <w:rsid w:val="00B76E41"/>
    <w:rsid w:val="00B7702B"/>
    <w:rsid w:val="00B7702F"/>
    <w:rsid w:val="00B77055"/>
    <w:rsid w:val="00B7718D"/>
    <w:rsid w:val="00B77199"/>
    <w:rsid w:val="00B7723D"/>
    <w:rsid w:val="00B7727B"/>
    <w:rsid w:val="00B7728F"/>
    <w:rsid w:val="00B7738A"/>
    <w:rsid w:val="00B7739D"/>
    <w:rsid w:val="00B77BCD"/>
    <w:rsid w:val="00B77F54"/>
    <w:rsid w:val="00B77FEE"/>
    <w:rsid w:val="00B80107"/>
    <w:rsid w:val="00B8018C"/>
    <w:rsid w:val="00B8044E"/>
    <w:rsid w:val="00B804CC"/>
    <w:rsid w:val="00B80510"/>
    <w:rsid w:val="00B8056C"/>
    <w:rsid w:val="00B805C9"/>
    <w:rsid w:val="00B805ED"/>
    <w:rsid w:val="00B806FD"/>
    <w:rsid w:val="00B8079A"/>
    <w:rsid w:val="00B808A4"/>
    <w:rsid w:val="00B808B0"/>
    <w:rsid w:val="00B8093E"/>
    <w:rsid w:val="00B8098E"/>
    <w:rsid w:val="00B809A7"/>
    <w:rsid w:val="00B809D1"/>
    <w:rsid w:val="00B80A89"/>
    <w:rsid w:val="00B80B36"/>
    <w:rsid w:val="00B80E3C"/>
    <w:rsid w:val="00B811C3"/>
    <w:rsid w:val="00B811DA"/>
    <w:rsid w:val="00B812DC"/>
    <w:rsid w:val="00B81384"/>
    <w:rsid w:val="00B81386"/>
    <w:rsid w:val="00B8169B"/>
    <w:rsid w:val="00B816CC"/>
    <w:rsid w:val="00B81A72"/>
    <w:rsid w:val="00B81AAD"/>
    <w:rsid w:val="00B81B71"/>
    <w:rsid w:val="00B81CB1"/>
    <w:rsid w:val="00B8229D"/>
    <w:rsid w:val="00B823AD"/>
    <w:rsid w:val="00B823C0"/>
    <w:rsid w:val="00B82551"/>
    <w:rsid w:val="00B826A9"/>
    <w:rsid w:val="00B82728"/>
    <w:rsid w:val="00B8274B"/>
    <w:rsid w:val="00B82793"/>
    <w:rsid w:val="00B82826"/>
    <w:rsid w:val="00B82C16"/>
    <w:rsid w:val="00B82E17"/>
    <w:rsid w:val="00B82F5D"/>
    <w:rsid w:val="00B831D7"/>
    <w:rsid w:val="00B83508"/>
    <w:rsid w:val="00B8352B"/>
    <w:rsid w:val="00B8368D"/>
    <w:rsid w:val="00B83A13"/>
    <w:rsid w:val="00B83CB0"/>
    <w:rsid w:val="00B83E29"/>
    <w:rsid w:val="00B83ECA"/>
    <w:rsid w:val="00B83F47"/>
    <w:rsid w:val="00B83F6B"/>
    <w:rsid w:val="00B83F6C"/>
    <w:rsid w:val="00B83FC0"/>
    <w:rsid w:val="00B84055"/>
    <w:rsid w:val="00B8425E"/>
    <w:rsid w:val="00B84381"/>
    <w:rsid w:val="00B8449E"/>
    <w:rsid w:val="00B84510"/>
    <w:rsid w:val="00B84659"/>
    <w:rsid w:val="00B847A2"/>
    <w:rsid w:val="00B847B5"/>
    <w:rsid w:val="00B848D9"/>
    <w:rsid w:val="00B8495A"/>
    <w:rsid w:val="00B84A0D"/>
    <w:rsid w:val="00B84B0D"/>
    <w:rsid w:val="00B84CBE"/>
    <w:rsid w:val="00B84CD1"/>
    <w:rsid w:val="00B84E3A"/>
    <w:rsid w:val="00B850E8"/>
    <w:rsid w:val="00B853B0"/>
    <w:rsid w:val="00B8555C"/>
    <w:rsid w:val="00B8555E"/>
    <w:rsid w:val="00B855BE"/>
    <w:rsid w:val="00B856D7"/>
    <w:rsid w:val="00B8582A"/>
    <w:rsid w:val="00B85C1E"/>
    <w:rsid w:val="00B8627E"/>
    <w:rsid w:val="00B863EC"/>
    <w:rsid w:val="00B864FC"/>
    <w:rsid w:val="00B865DF"/>
    <w:rsid w:val="00B8666F"/>
    <w:rsid w:val="00B8670F"/>
    <w:rsid w:val="00B86A5E"/>
    <w:rsid w:val="00B86BE2"/>
    <w:rsid w:val="00B86EE5"/>
    <w:rsid w:val="00B86F4D"/>
    <w:rsid w:val="00B86FCE"/>
    <w:rsid w:val="00B8704B"/>
    <w:rsid w:val="00B870BB"/>
    <w:rsid w:val="00B87271"/>
    <w:rsid w:val="00B87399"/>
    <w:rsid w:val="00B8756A"/>
    <w:rsid w:val="00B87608"/>
    <w:rsid w:val="00B8773F"/>
    <w:rsid w:val="00B8774B"/>
    <w:rsid w:val="00B87797"/>
    <w:rsid w:val="00B877A1"/>
    <w:rsid w:val="00B87814"/>
    <w:rsid w:val="00B8781D"/>
    <w:rsid w:val="00B87859"/>
    <w:rsid w:val="00B879FB"/>
    <w:rsid w:val="00B87A4F"/>
    <w:rsid w:val="00B87A8F"/>
    <w:rsid w:val="00B87CE2"/>
    <w:rsid w:val="00B87E5C"/>
    <w:rsid w:val="00B901D4"/>
    <w:rsid w:val="00B90531"/>
    <w:rsid w:val="00B90608"/>
    <w:rsid w:val="00B90761"/>
    <w:rsid w:val="00B90780"/>
    <w:rsid w:val="00B90C52"/>
    <w:rsid w:val="00B90C6B"/>
    <w:rsid w:val="00B90D5E"/>
    <w:rsid w:val="00B90EE0"/>
    <w:rsid w:val="00B90F49"/>
    <w:rsid w:val="00B9135F"/>
    <w:rsid w:val="00B918C3"/>
    <w:rsid w:val="00B919EB"/>
    <w:rsid w:val="00B91D6A"/>
    <w:rsid w:val="00B91E2C"/>
    <w:rsid w:val="00B91F7C"/>
    <w:rsid w:val="00B920B1"/>
    <w:rsid w:val="00B921E9"/>
    <w:rsid w:val="00B92277"/>
    <w:rsid w:val="00B922BA"/>
    <w:rsid w:val="00B9239E"/>
    <w:rsid w:val="00B923AC"/>
    <w:rsid w:val="00B92552"/>
    <w:rsid w:val="00B92569"/>
    <w:rsid w:val="00B926ED"/>
    <w:rsid w:val="00B929A3"/>
    <w:rsid w:val="00B92A0A"/>
    <w:rsid w:val="00B92A7E"/>
    <w:rsid w:val="00B92C1C"/>
    <w:rsid w:val="00B92C60"/>
    <w:rsid w:val="00B92F3D"/>
    <w:rsid w:val="00B93116"/>
    <w:rsid w:val="00B9318A"/>
    <w:rsid w:val="00B93679"/>
    <w:rsid w:val="00B9371A"/>
    <w:rsid w:val="00B93731"/>
    <w:rsid w:val="00B9376E"/>
    <w:rsid w:val="00B93878"/>
    <w:rsid w:val="00B93880"/>
    <w:rsid w:val="00B939AD"/>
    <w:rsid w:val="00B93A13"/>
    <w:rsid w:val="00B93AA4"/>
    <w:rsid w:val="00B93B75"/>
    <w:rsid w:val="00B93E05"/>
    <w:rsid w:val="00B93E37"/>
    <w:rsid w:val="00B93FBA"/>
    <w:rsid w:val="00B94062"/>
    <w:rsid w:val="00B94327"/>
    <w:rsid w:val="00B9432D"/>
    <w:rsid w:val="00B94345"/>
    <w:rsid w:val="00B946A3"/>
    <w:rsid w:val="00B94723"/>
    <w:rsid w:val="00B94AAE"/>
    <w:rsid w:val="00B94C06"/>
    <w:rsid w:val="00B94D54"/>
    <w:rsid w:val="00B94D6C"/>
    <w:rsid w:val="00B94F65"/>
    <w:rsid w:val="00B9502D"/>
    <w:rsid w:val="00B9516E"/>
    <w:rsid w:val="00B951E5"/>
    <w:rsid w:val="00B952A8"/>
    <w:rsid w:val="00B952CC"/>
    <w:rsid w:val="00B95398"/>
    <w:rsid w:val="00B95456"/>
    <w:rsid w:val="00B95618"/>
    <w:rsid w:val="00B9582F"/>
    <w:rsid w:val="00B95866"/>
    <w:rsid w:val="00B95878"/>
    <w:rsid w:val="00B95916"/>
    <w:rsid w:val="00B95A64"/>
    <w:rsid w:val="00B95D0C"/>
    <w:rsid w:val="00B95DAF"/>
    <w:rsid w:val="00B96055"/>
    <w:rsid w:val="00B961C2"/>
    <w:rsid w:val="00B96285"/>
    <w:rsid w:val="00B96293"/>
    <w:rsid w:val="00B963DE"/>
    <w:rsid w:val="00B96429"/>
    <w:rsid w:val="00B96467"/>
    <w:rsid w:val="00B9648A"/>
    <w:rsid w:val="00B966AC"/>
    <w:rsid w:val="00B969F8"/>
    <w:rsid w:val="00B96E05"/>
    <w:rsid w:val="00B96EF6"/>
    <w:rsid w:val="00B96F6A"/>
    <w:rsid w:val="00B970C2"/>
    <w:rsid w:val="00B970EB"/>
    <w:rsid w:val="00B9715D"/>
    <w:rsid w:val="00B97283"/>
    <w:rsid w:val="00B972FD"/>
    <w:rsid w:val="00B9738D"/>
    <w:rsid w:val="00B97514"/>
    <w:rsid w:val="00B97822"/>
    <w:rsid w:val="00B978D1"/>
    <w:rsid w:val="00B978E2"/>
    <w:rsid w:val="00B9797E"/>
    <w:rsid w:val="00B97A5D"/>
    <w:rsid w:val="00B97E0E"/>
    <w:rsid w:val="00B97EB1"/>
    <w:rsid w:val="00B97EB5"/>
    <w:rsid w:val="00B97F6E"/>
    <w:rsid w:val="00BA0014"/>
    <w:rsid w:val="00BA00B5"/>
    <w:rsid w:val="00BA0343"/>
    <w:rsid w:val="00BA0474"/>
    <w:rsid w:val="00BA0499"/>
    <w:rsid w:val="00BA06F8"/>
    <w:rsid w:val="00BA08E1"/>
    <w:rsid w:val="00BA0A42"/>
    <w:rsid w:val="00BA0A54"/>
    <w:rsid w:val="00BA0A55"/>
    <w:rsid w:val="00BA0B1A"/>
    <w:rsid w:val="00BA0BD9"/>
    <w:rsid w:val="00BA0DB6"/>
    <w:rsid w:val="00BA0ED6"/>
    <w:rsid w:val="00BA1125"/>
    <w:rsid w:val="00BA112C"/>
    <w:rsid w:val="00BA1448"/>
    <w:rsid w:val="00BA15EC"/>
    <w:rsid w:val="00BA1780"/>
    <w:rsid w:val="00BA17BD"/>
    <w:rsid w:val="00BA1818"/>
    <w:rsid w:val="00BA1821"/>
    <w:rsid w:val="00BA1956"/>
    <w:rsid w:val="00BA1968"/>
    <w:rsid w:val="00BA1A6D"/>
    <w:rsid w:val="00BA1C0F"/>
    <w:rsid w:val="00BA1C2B"/>
    <w:rsid w:val="00BA1CAE"/>
    <w:rsid w:val="00BA1F94"/>
    <w:rsid w:val="00BA2317"/>
    <w:rsid w:val="00BA2540"/>
    <w:rsid w:val="00BA2565"/>
    <w:rsid w:val="00BA25AA"/>
    <w:rsid w:val="00BA2A3A"/>
    <w:rsid w:val="00BA2A6A"/>
    <w:rsid w:val="00BA2AE7"/>
    <w:rsid w:val="00BA2EE3"/>
    <w:rsid w:val="00BA2F0C"/>
    <w:rsid w:val="00BA2F36"/>
    <w:rsid w:val="00BA3142"/>
    <w:rsid w:val="00BA3309"/>
    <w:rsid w:val="00BA3BE4"/>
    <w:rsid w:val="00BA3DFB"/>
    <w:rsid w:val="00BA3ECC"/>
    <w:rsid w:val="00BA3F85"/>
    <w:rsid w:val="00BA405B"/>
    <w:rsid w:val="00BA4258"/>
    <w:rsid w:val="00BA44E7"/>
    <w:rsid w:val="00BA4600"/>
    <w:rsid w:val="00BA4678"/>
    <w:rsid w:val="00BA46A7"/>
    <w:rsid w:val="00BA47FD"/>
    <w:rsid w:val="00BA48E0"/>
    <w:rsid w:val="00BA49CE"/>
    <w:rsid w:val="00BA4AD8"/>
    <w:rsid w:val="00BA4D38"/>
    <w:rsid w:val="00BA4D91"/>
    <w:rsid w:val="00BA4ED0"/>
    <w:rsid w:val="00BA4F55"/>
    <w:rsid w:val="00BA50D8"/>
    <w:rsid w:val="00BA518A"/>
    <w:rsid w:val="00BA51D1"/>
    <w:rsid w:val="00BA5398"/>
    <w:rsid w:val="00BA5473"/>
    <w:rsid w:val="00BA55F9"/>
    <w:rsid w:val="00BA56C8"/>
    <w:rsid w:val="00BA5723"/>
    <w:rsid w:val="00BA594B"/>
    <w:rsid w:val="00BA59E7"/>
    <w:rsid w:val="00BA5A4E"/>
    <w:rsid w:val="00BA5AA2"/>
    <w:rsid w:val="00BA5AB9"/>
    <w:rsid w:val="00BA5BF6"/>
    <w:rsid w:val="00BA623C"/>
    <w:rsid w:val="00BA63BA"/>
    <w:rsid w:val="00BA654C"/>
    <w:rsid w:val="00BA65AF"/>
    <w:rsid w:val="00BA667A"/>
    <w:rsid w:val="00BA6750"/>
    <w:rsid w:val="00BA68DC"/>
    <w:rsid w:val="00BA6B69"/>
    <w:rsid w:val="00BA6C84"/>
    <w:rsid w:val="00BA6CA2"/>
    <w:rsid w:val="00BA6E39"/>
    <w:rsid w:val="00BA6E99"/>
    <w:rsid w:val="00BA6F49"/>
    <w:rsid w:val="00BA70C7"/>
    <w:rsid w:val="00BA7463"/>
    <w:rsid w:val="00BA7729"/>
    <w:rsid w:val="00BA783D"/>
    <w:rsid w:val="00BA7850"/>
    <w:rsid w:val="00BA786F"/>
    <w:rsid w:val="00BA787B"/>
    <w:rsid w:val="00BA7990"/>
    <w:rsid w:val="00BA7ACB"/>
    <w:rsid w:val="00BA7DE5"/>
    <w:rsid w:val="00BB0066"/>
    <w:rsid w:val="00BB0084"/>
    <w:rsid w:val="00BB0288"/>
    <w:rsid w:val="00BB02BD"/>
    <w:rsid w:val="00BB030E"/>
    <w:rsid w:val="00BB0493"/>
    <w:rsid w:val="00BB04D5"/>
    <w:rsid w:val="00BB0890"/>
    <w:rsid w:val="00BB09BC"/>
    <w:rsid w:val="00BB0A32"/>
    <w:rsid w:val="00BB0A4B"/>
    <w:rsid w:val="00BB0A72"/>
    <w:rsid w:val="00BB0CCB"/>
    <w:rsid w:val="00BB0D76"/>
    <w:rsid w:val="00BB0F09"/>
    <w:rsid w:val="00BB0F45"/>
    <w:rsid w:val="00BB0FAF"/>
    <w:rsid w:val="00BB11E6"/>
    <w:rsid w:val="00BB120D"/>
    <w:rsid w:val="00BB129C"/>
    <w:rsid w:val="00BB12A6"/>
    <w:rsid w:val="00BB1778"/>
    <w:rsid w:val="00BB18CA"/>
    <w:rsid w:val="00BB1DEB"/>
    <w:rsid w:val="00BB1F1D"/>
    <w:rsid w:val="00BB1FA9"/>
    <w:rsid w:val="00BB215A"/>
    <w:rsid w:val="00BB2171"/>
    <w:rsid w:val="00BB25D3"/>
    <w:rsid w:val="00BB2A0D"/>
    <w:rsid w:val="00BB2A26"/>
    <w:rsid w:val="00BB2D3B"/>
    <w:rsid w:val="00BB2DFE"/>
    <w:rsid w:val="00BB2FA9"/>
    <w:rsid w:val="00BB30AA"/>
    <w:rsid w:val="00BB30D7"/>
    <w:rsid w:val="00BB319E"/>
    <w:rsid w:val="00BB32F5"/>
    <w:rsid w:val="00BB337B"/>
    <w:rsid w:val="00BB33AF"/>
    <w:rsid w:val="00BB3468"/>
    <w:rsid w:val="00BB358F"/>
    <w:rsid w:val="00BB35D2"/>
    <w:rsid w:val="00BB3702"/>
    <w:rsid w:val="00BB38C0"/>
    <w:rsid w:val="00BB3A19"/>
    <w:rsid w:val="00BB3D21"/>
    <w:rsid w:val="00BB3F1A"/>
    <w:rsid w:val="00BB4296"/>
    <w:rsid w:val="00BB4471"/>
    <w:rsid w:val="00BB4496"/>
    <w:rsid w:val="00BB44CD"/>
    <w:rsid w:val="00BB4842"/>
    <w:rsid w:val="00BB4A8F"/>
    <w:rsid w:val="00BB4B7A"/>
    <w:rsid w:val="00BB4BE9"/>
    <w:rsid w:val="00BB4C81"/>
    <w:rsid w:val="00BB4CC3"/>
    <w:rsid w:val="00BB4D04"/>
    <w:rsid w:val="00BB4FF2"/>
    <w:rsid w:val="00BB5075"/>
    <w:rsid w:val="00BB5371"/>
    <w:rsid w:val="00BB540B"/>
    <w:rsid w:val="00BB563B"/>
    <w:rsid w:val="00BB56DB"/>
    <w:rsid w:val="00BB5829"/>
    <w:rsid w:val="00BB5A73"/>
    <w:rsid w:val="00BB5BA5"/>
    <w:rsid w:val="00BB5E09"/>
    <w:rsid w:val="00BB5EE1"/>
    <w:rsid w:val="00BB5F6E"/>
    <w:rsid w:val="00BB5F83"/>
    <w:rsid w:val="00BB6156"/>
    <w:rsid w:val="00BB62F4"/>
    <w:rsid w:val="00BB6382"/>
    <w:rsid w:val="00BB6467"/>
    <w:rsid w:val="00BB6791"/>
    <w:rsid w:val="00BB72E8"/>
    <w:rsid w:val="00BB7367"/>
    <w:rsid w:val="00BB74DC"/>
    <w:rsid w:val="00BB759E"/>
    <w:rsid w:val="00BB76AD"/>
    <w:rsid w:val="00BB76B1"/>
    <w:rsid w:val="00BB7725"/>
    <w:rsid w:val="00BB78EC"/>
    <w:rsid w:val="00BB798E"/>
    <w:rsid w:val="00BB7AEA"/>
    <w:rsid w:val="00BB7BD1"/>
    <w:rsid w:val="00BB7BEA"/>
    <w:rsid w:val="00BB7F59"/>
    <w:rsid w:val="00BB7F5D"/>
    <w:rsid w:val="00BC01FB"/>
    <w:rsid w:val="00BC0263"/>
    <w:rsid w:val="00BC02E5"/>
    <w:rsid w:val="00BC0534"/>
    <w:rsid w:val="00BC05E7"/>
    <w:rsid w:val="00BC07FB"/>
    <w:rsid w:val="00BC09A5"/>
    <w:rsid w:val="00BC0A73"/>
    <w:rsid w:val="00BC0A96"/>
    <w:rsid w:val="00BC0E71"/>
    <w:rsid w:val="00BC0FC9"/>
    <w:rsid w:val="00BC133B"/>
    <w:rsid w:val="00BC13EF"/>
    <w:rsid w:val="00BC14D6"/>
    <w:rsid w:val="00BC1700"/>
    <w:rsid w:val="00BC1790"/>
    <w:rsid w:val="00BC179A"/>
    <w:rsid w:val="00BC18D5"/>
    <w:rsid w:val="00BC1937"/>
    <w:rsid w:val="00BC1E73"/>
    <w:rsid w:val="00BC1EA1"/>
    <w:rsid w:val="00BC1F14"/>
    <w:rsid w:val="00BC1F99"/>
    <w:rsid w:val="00BC21FD"/>
    <w:rsid w:val="00BC2289"/>
    <w:rsid w:val="00BC261A"/>
    <w:rsid w:val="00BC26A4"/>
    <w:rsid w:val="00BC2938"/>
    <w:rsid w:val="00BC29F9"/>
    <w:rsid w:val="00BC3259"/>
    <w:rsid w:val="00BC3347"/>
    <w:rsid w:val="00BC33A5"/>
    <w:rsid w:val="00BC349F"/>
    <w:rsid w:val="00BC350C"/>
    <w:rsid w:val="00BC3530"/>
    <w:rsid w:val="00BC3532"/>
    <w:rsid w:val="00BC372F"/>
    <w:rsid w:val="00BC3A33"/>
    <w:rsid w:val="00BC3BF6"/>
    <w:rsid w:val="00BC3BFC"/>
    <w:rsid w:val="00BC3DC3"/>
    <w:rsid w:val="00BC3F2E"/>
    <w:rsid w:val="00BC3F82"/>
    <w:rsid w:val="00BC4063"/>
    <w:rsid w:val="00BC40EE"/>
    <w:rsid w:val="00BC4378"/>
    <w:rsid w:val="00BC45B4"/>
    <w:rsid w:val="00BC46C8"/>
    <w:rsid w:val="00BC46FC"/>
    <w:rsid w:val="00BC489D"/>
    <w:rsid w:val="00BC4D29"/>
    <w:rsid w:val="00BC4D4B"/>
    <w:rsid w:val="00BC4FBA"/>
    <w:rsid w:val="00BC5151"/>
    <w:rsid w:val="00BC53E7"/>
    <w:rsid w:val="00BC53EB"/>
    <w:rsid w:val="00BC552B"/>
    <w:rsid w:val="00BC5598"/>
    <w:rsid w:val="00BC56E5"/>
    <w:rsid w:val="00BC57E3"/>
    <w:rsid w:val="00BC5938"/>
    <w:rsid w:val="00BC59F4"/>
    <w:rsid w:val="00BC5A9D"/>
    <w:rsid w:val="00BC5BC1"/>
    <w:rsid w:val="00BC5CC4"/>
    <w:rsid w:val="00BC5D6F"/>
    <w:rsid w:val="00BC5E37"/>
    <w:rsid w:val="00BC6338"/>
    <w:rsid w:val="00BC638C"/>
    <w:rsid w:val="00BC63B1"/>
    <w:rsid w:val="00BC6661"/>
    <w:rsid w:val="00BC69F0"/>
    <w:rsid w:val="00BC6CDB"/>
    <w:rsid w:val="00BC6F41"/>
    <w:rsid w:val="00BC70D8"/>
    <w:rsid w:val="00BC715D"/>
    <w:rsid w:val="00BC71DB"/>
    <w:rsid w:val="00BC742C"/>
    <w:rsid w:val="00BC759D"/>
    <w:rsid w:val="00BC75B4"/>
    <w:rsid w:val="00BC7761"/>
    <w:rsid w:val="00BC7783"/>
    <w:rsid w:val="00BC7AEA"/>
    <w:rsid w:val="00BC7E9B"/>
    <w:rsid w:val="00BC7F3C"/>
    <w:rsid w:val="00BC7FE9"/>
    <w:rsid w:val="00BD004F"/>
    <w:rsid w:val="00BD00D2"/>
    <w:rsid w:val="00BD00EE"/>
    <w:rsid w:val="00BD0161"/>
    <w:rsid w:val="00BD0193"/>
    <w:rsid w:val="00BD01D9"/>
    <w:rsid w:val="00BD03EA"/>
    <w:rsid w:val="00BD055A"/>
    <w:rsid w:val="00BD059E"/>
    <w:rsid w:val="00BD0842"/>
    <w:rsid w:val="00BD0851"/>
    <w:rsid w:val="00BD08F2"/>
    <w:rsid w:val="00BD09DC"/>
    <w:rsid w:val="00BD0AD5"/>
    <w:rsid w:val="00BD0CFC"/>
    <w:rsid w:val="00BD0D0B"/>
    <w:rsid w:val="00BD107F"/>
    <w:rsid w:val="00BD113B"/>
    <w:rsid w:val="00BD12B9"/>
    <w:rsid w:val="00BD1360"/>
    <w:rsid w:val="00BD1384"/>
    <w:rsid w:val="00BD13A3"/>
    <w:rsid w:val="00BD143B"/>
    <w:rsid w:val="00BD1531"/>
    <w:rsid w:val="00BD1703"/>
    <w:rsid w:val="00BD17DA"/>
    <w:rsid w:val="00BD1BBD"/>
    <w:rsid w:val="00BD1D34"/>
    <w:rsid w:val="00BD1ED7"/>
    <w:rsid w:val="00BD2170"/>
    <w:rsid w:val="00BD23F2"/>
    <w:rsid w:val="00BD24B2"/>
    <w:rsid w:val="00BD2535"/>
    <w:rsid w:val="00BD25B3"/>
    <w:rsid w:val="00BD25E8"/>
    <w:rsid w:val="00BD286F"/>
    <w:rsid w:val="00BD2939"/>
    <w:rsid w:val="00BD293D"/>
    <w:rsid w:val="00BD2A3C"/>
    <w:rsid w:val="00BD2A9B"/>
    <w:rsid w:val="00BD2C03"/>
    <w:rsid w:val="00BD2CB4"/>
    <w:rsid w:val="00BD2CB8"/>
    <w:rsid w:val="00BD2D3B"/>
    <w:rsid w:val="00BD2E63"/>
    <w:rsid w:val="00BD321A"/>
    <w:rsid w:val="00BD341E"/>
    <w:rsid w:val="00BD3558"/>
    <w:rsid w:val="00BD35F9"/>
    <w:rsid w:val="00BD3844"/>
    <w:rsid w:val="00BD38C5"/>
    <w:rsid w:val="00BD3B4F"/>
    <w:rsid w:val="00BD3C48"/>
    <w:rsid w:val="00BD3F3C"/>
    <w:rsid w:val="00BD41CA"/>
    <w:rsid w:val="00BD4205"/>
    <w:rsid w:val="00BD42DA"/>
    <w:rsid w:val="00BD452C"/>
    <w:rsid w:val="00BD4967"/>
    <w:rsid w:val="00BD4A37"/>
    <w:rsid w:val="00BD4AD6"/>
    <w:rsid w:val="00BD4B4B"/>
    <w:rsid w:val="00BD4BE9"/>
    <w:rsid w:val="00BD4E03"/>
    <w:rsid w:val="00BD512E"/>
    <w:rsid w:val="00BD5210"/>
    <w:rsid w:val="00BD5290"/>
    <w:rsid w:val="00BD53FF"/>
    <w:rsid w:val="00BD5545"/>
    <w:rsid w:val="00BD561A"/>
    <w:rsid w:val="00BD572C"/>
    <w:rsid w:val="00BD59EA"/>
    <w:rsid w:val="00BD5F01"/>
    <w:rsid w:val="00BD601A"/>
    <w:rsid w:val="00BD6504"/>
    <w:rsid w:val="00BD6791"/>
    <w:rsid w:val="00BD6BAF"/>
    <w:rsid w:val="00BD6E9D"/>
    <w:rsid w:val="00BD6EC5"/>
    <w:rsid w:val="00BD6FDA"/>
    <w:rsid w:val="00BD7021"/>
    <w:rsid w:val="00BD7111"/>
    <w:rsid w:val="00BD7316"/>
    <w:rsid w:val="00BD738A"/>
    <w:rsid w:val="00BD7469"/>
    <w:rsid w:val="00BD75B9"/>
    <w:rsid w:val="00BD7983"/>
    <w:rsid w:val="00BD7A59"/>
    <w:rsid w:val="00BD7AD7"/>
    <w:rsid w:val="00BD7D92"/>
    <w:rsid w:val="00BD7E7C"/>
    <w:rsid w:val="00BD7E87"/>
    <w:rsid w:val="00BD7EE3"/>
    <w:rsid w:val="00BE0010"/>
    <w:rsid w:val="00BE012A"/>
    <w:rsid w:val="00BE01DF"/>
    <w:rsid w:val="00BE0277"/>
    <w:rsid w:val="00BE0340"/>
    <w:rsid w:val="00BE0CB7"/>
    <w:rsid w:val="00BE0F7B"/>
    <w:rsid w:val="00BE11E7"/>
    <w:rsid w:val="00BE1204"/>
    <w:rsid w:val="00BE1387"/>
    <w:rsid w:val="00BE1415"/>
    <w:rsid w:val="00BE1584"/>
    <w:rsid w:val="00BE16FD"/>
    <w:rsid w:val="00BE1755"/>
    <w:rsid w:val="00BE196B"/>
    <w:rsid w:val="00BE1972"/>
    <w:rsid w:val="00BE19D4"/>
    <w:rsid w:val="00BE1A84"/>
    <w:rsid w:val="00BE1BBB"/>
    <w:rsid w:val="00BE1CDD"/>
    <w:rsid w:val="00BE1D50"/>
    <w:rsid w:val="00BE2052"/>
    <w:rsid w:val="00BE2091"/>
    <w:rsid w:val="00BE21A8"/>
    <w:rsid w:val="00BE24EF"/>
    <w:rsid w:val="00BE2507"/>
    <w:rsid w:val="00BE2626"/>
    <w:rsid w:val="00BE27CB"/>
    <w:rsid w:val="00BE2816"/>
    <w:rsid w:val="00BE28E9"/>
    <w:rsid w:val="00BE2A06"/>
    <w:rsid w:val="00BE2BF1"/>
    <w:rsid w:val="00BE2D42"/>
    <w:rsid w:val="00BE2FF4"/>
    <w:rsid w:val="00BE3180"/>
    <w:rsid w:val="00BE338F"/>
    <w:rsid w:val="00BE34D1"/>
    <w:rsid w:val="00BE3725"/>
    <w:rsid w:val="00BE37C7"/>
    <w:rsid w:val="00BE386D"/>
    <w:rsid w:val="00BE38B9"/>
    <w:rsid w:val="00BE3AF5"/>
    <w:rsid w:val="00BE3B19"/>
    <w:rsid w:val="00BE3D04"/>
    <w:rsid w:val="00BE3D4F"/>
    <w:rsid w:val="00BE3DB6"/>
    <w:rsid w:val="00BE3DED"/>
    <w:rsid w:val="00BE3E64"/>
    <w:rsid w:val="00BE412D"/>
    <w:rsid w:val="00BE42A1"/>
    <w:rsid w:val="00BE42AF"/>
    <w:rsid w:val="00BE42B4"/>
    <w:rsid w:val="00BE450A"/>
    <w:rsid w:val="00BE4611"/>
    <w:rsid w:val="00BE4704"/>
    <w:rsid w:val="00BE48AF"/>
    <w:rsid w:val="00BE48F4"/>
    <w:rsid w:val="00BE49E7"/>
    <w:rsid w:val="00BE4D08"/>
    <w:rsid w:val="00BE4E2B"/>
    <w:rsid w:val="00BE4EE6"/>
    <w:rsid w:val="00BE4F10"/>
    <w:rsid w:val="00BE508C"/>
    <w:rsid w:val="00BE50E0"/>
    <w:rsid w:val="00BE54DB"/>
    <w:rsid w:val="00BE5600"/>
    <w:rsid w:val="00BE5769"/>
    <w:rsid w:val="00BE585E"/>
    <w:rsid w:val="00BE59D6"/>
    <w:rsid w:val="00BE5A6F"/>
    <w:rsid w:val="00BE5B20"/>
    <w:rsid w:val="00BE5C5A"/>
    <w:rsid w:val="00BE5C76"/>
    <w:rsid w:val="00BE5CA4"/>
    <w:rsid w:val="00BE6049"/>
    <w:rsid w:val="00BE6076"/>
    <w:rsid w:val="00BE60B7"/>
    <w:rsid w:val="00BE6227"/>
    <w:rsid w:val="00BE6535"/>
    <w:rsid w:val="00BE66C2"/>
    <w:rsid w:val="00BE67A8"/>
    <w:rsid w:val="00BE6863"/>
    <w:rsid w:val="00BE68C5"/>
    <w:rsid w:val="00BE69B0"/>
    <w:rsid w:val="00BE6A48"/>
    <w:rsid w:val="00BE6B0C"/>
    <w:rsid w:val="00BE6CEB"/>
    <w:rsid w:val="00BE6D52"/>
    <w:rsid w:val="00BE6E44"/>
    <w:rsid w:val="00BE6E80"/>
    <w:rsid w:val="00BE6F7A"/>
    <w:rsid w:val="00BE6FF9"/>
    <w:rsid w:val="00BE7912"/>
    <w:rsid w:val="00BE7A44"/>
    <w:rsid w:val="00BE7A8E"/>
    <w:rsid w:val="00BE7E80"/>
    <w:rsid w:val="00BE7E94"/>
    <w:rsid w:val="00BE7FC1"/>
    <w:rsid w:val="00BF004F"/>
    <w:rsid w:val="00BF02A7"/>
    <w:rsid w:val="00BF0620"/>
    <w:rsid w:val="00BF0655"/>
    <w:rsid w:val="00BF0719"/>
    <w:rsid w:val="00BF07C6"/>
    <w:rsid w:val="00BF0A12"/>
    <w:rsid w:val="00BF0A3C"/>
    <w:rsid w:val="00BF0AF3"/>
    <w:rsid w:val="00BF0CB1"/>
    <w:rsid w:val="00BF1097"/>
    <w:rsid w:val="00BF10A6"/>
    <w:rsid w:val="00BF10BF"/>
    <w:rsid w:val="00BF1142"/>
    <w:rsid w:val="00BF165B"/>
    <w:rsid w:val="00BF17EA"/>
    <w:rsid w:val="00BF1ABB"/>
    <w:rsid w:val="00BF1AC2"/>
    <w:rsid w:val="00BF1B28"/>
    <w:rsid w:val="00BF1BA8"/>
    <w:rsid w:val="00BF1BC8"/>
    <w:rsid w:val="00BF1BF1"/>
    <w:rsid w:val="00BF1E99"/>
    <w:rsid w:val="00BF209D"/>
    <w:rsid w:val="00BF21F6"/>
    <w:rsid w:val="00BF254C"/>
    <w:rsid w:val="00BF26C4"/>
    <w:rsid w:val="00BF276A"/>
    <w:rsid w:val="00BF28FA"/>
    <w:rsid w:val="00BF2A99"/>
    <w:rsid w:val="00BF2B46"/>
    <w:rsid w:val="00BF2B4B"/>
    <w:rsid w:val="00BF2C8B"/>
    <w:rsid w:val="00BF2EB4"/>
    <w:rsid w:val="00BF2ED8"/>
    <w:rsid w:val="00BF2F3B"/>
    <w:rsid w:val="00BF2F9B"/>
    <w:rsid w:val="00BF3051"/>
    <w:rsid w:val="00BF3073"/>
    <w:rsid w:val="00BF31FA"/>
    <w:rsid w:val="00BF3241"/>
    <w:rsid w:val="00BF32EB"/>
    <w:rsid w:val="00BF3462"/>
    <w:rsid w:val="00BF3486"/>
    <w:rsid w:val="00BF34D7"/>
    <w:rsid w:val="00BF354F"/>
    <w:rsid w:val="00BF359E"/>
    <w:rsid w:val="00BF3734"/>
    <w:rsid w:val="00BF385D"/>
    <w:rsid w:val="00BF3871"/>
    <w:rsid w:val="00BF391E"/>
    <w:rsid w:val="00BF3962"/>
    <w:rsid w:val="00BF3AB3"/>
    <w:rsid w:val="00BF3E8C"/>
    <w:rsid w:val="00BF404C"/>
    <w:rsid w:val="00BF4091"/>
    <w:rsid w:val="00BF430D"/>
    <w:rsid w:val="00BF4389"/>
    <w:rsid w:val="00BF4390"/>
    <w:rsid w:val="00BF4586"/>
    <w:rsid w:val="00BF4798"/>
    <w:rsid w:val="00BF47B8"/>
    <w:rsid w:val="00BF48F4"/>
    <w:rsid w:val="00BF4953"/>
    <w:rsid w:val="00BF4AAA"/>
    <w:rsid w:val="00BF4B70"/>
    <w:rsid w:val="00BF4C9D"/>
    <w:rsid w:val="00BF4EB5"/>
    <w:rsid w:val="00BF5088"/>
    <w:rsid w:val="00BF5323"/>
    <w:rsid w:val="00BF5346"/>
    <w:rsid w:val="00BF5414"/>
    <w:rsid w:val="00BF5691"/>
    <w:rsid w:val="00BF5B11"/>
    <w:rsid w:val="00BF6362"/>
    <w:rsid w:val="00BF6440"/>
    <w:rsid w:val="00BF6445"/>
    <w:rsid w:val="00BF665F"/>
    <w:rsid w:val="00BF6784"/>
    <w:rsid w:val="00BF67CB"/>
    <w:rsid w:val="00BF67F8"/>
    <w:rsid w:val="00BF684B"/>
    <w:rsid w:val="00BF6C59"/>
    <w:rsid w:val="00BF6DC9"/>
    <w:rsid w:val="00BF6EAF"/>
    <w:rsid w:val="00BF6FF8"/>
    <w:rsid w:val="00BF7012"/>
    <w:rsid w:val="00BF7232"/>
    <w:rsid w:val="00BF7234"/>
    <w:rsid w:val="00BF76D1"/>
    <w:rsid w:val="00BF779C"/>
    <w:rsid w:val="00BF77A3"/>
    <w:rsid w:val="00BF781A"/>
    <w:rsid w:val="00BF79AB"/>
    <w:rsid w:val="00BF7A60"/>
    <w:rsid w:val="00BF7C73"/>
    <w:rsid w:val="00BF7CA4"/>
    <w:rsid w:val="00BF7DF1"/>
    <w:rsid w:val="00BF7E23"/>
    <w:rsid w:val="00BF7E6B"/>
    <w:rsid w:val="00BF7E81"/>
    <w:rsid w:val="00C001B1"/>
    <w:rsid w:val="00C002AB"/>
    <w:rsid w:val="00C0032F"/>
    <w:rsid w:val="00C00522"/>
    <w:rsid w:val="00C00558"/>
    <w:rsid w:val="00C00654"/>
    <w:rsid w:val="00C008C3"/>
    <w:rsid w:val="00C008C4"/>
    <w:rsid w:val="00C00937"/>
    <w:rsid w:val="00C00986"/>
    <w:rsid w:val="00C00AA4"/>
    <w:rsid w:val="00C00AED"/>
    <w:rsid w:val="00C00ED9"/>
    <w:rsid w:val="00C01284"/>
    <w:rsid w:val="00C0154B"/>
    <w:rsid w:val="00C016B3"/>
    <w:rsid w:val="00C017DC"/>
    <w:rsid w:val="00C01C72"/>
    <w:rsid w:val="00C01CD9"/>
    <w:rsid w:val="00C02043"/>
    <w:rsid w:val="00C02067"/>
    <w:rsid w:val="00C020D7"/>
    <w:rsid w:val="00C021C9"/>
    <w:rsid w:val="00C02227"/>
    <w:rsid w:val="00C022F6"/>
    <w:rsid w:val="00C02387"/>
    <w:rsid w:val="00C0239E"/>
    <w:rsid w:val="00C025E3"/>
    <w:rsid w:val="00C0280E"/>
    <w:rsid w:val="00C02DC1"/>
    <w:rsid w:val="00C02E18"/>
    <w:rsid w:val="00C02FB1"/>
    <w:rsid w:val="00C02FC0"/>
    <w:rsid w:val="00C03164"/>
    <w:rsid w:val="00C03165"/>
    <w:rsid w:val="00C034E0"/>
    <w:rsid w:val="00C03949"/>
    <w:rsid w:val="00C03A69"/>
    <w:rsid w:val="00C03A6D"/>
    <w:rsid w:val="00C03ADF"/>
    <w:rsid w:val="00C03D6B"/>
    <w:rsid w:val="00C03E59"/>
    <w:rsid w:val="00C03ED3"/>
    <w:rsid w:val="00C04006"/>
    <w:rsid w:val="00C0405B"/>
    <w:rsid w:val="00C040BC"/>
    <w:rsid w:val="00C040D3"/>
    <w:rsid w:val="00C04151"/>
    <w:rsid w:val="00C04291"/>
    <w:rsid w:val="00C04407"/>
    <w:rsid w:val="00C0454F"/>
    <w:rsid w:val="00C04622"/>
    <w:rsid w:val="00C047A1"/>
    <w:rsid w:val="00C0480C"/>
    <w:rsid w:val="00C04988"/>
    <w:rsid w:val="00C04B08"/>
    <w:rsid w:val="00C04E4C"/>
    <w:rsid w:val="00C05217"/>
    <w:rsid w:val="00C05281"/>
    <w:rsid w:val="00C05387"/>
    <w:rsid w:val="00C053FF"/>
    <w:rsid w:val="00C05412"/>
    <w:rsid w:val="00C05452"/>
    <w:rsid w:val="00C0553F"/>
    <w:rsid w:val="00C05564"/>
    <w:rsid w:val="00C0559F"/>
    <w:rsid w:val="00C05676"/>
    <w:rsid w:val="00C05839"/>
    <w:rsid w:val="00C05952"/>
    <w:rsid w:val="00C059F4"/>
    <w:rsid w:val="00C05A08"/>
    <w:rsid w:val="00C05A2D"/>
    <w:rsid w:val="00C05C57"/>
    <w:rsid w:val="00C05E86"/>
    <w:rsid w:val="00C05F12"/>
    <w:rsid w:val="00C05F95"/>
    <w:rsid w:val="00C05FBC"/>
    <w:rsid w:val="00C060B8"/>
    <w:rsid w:val="00C0623E"/>
    <w:rsid w:val="00C062C4"/>
    <w:rsid w:val="00C063B8"/>
    <w:rsid w:val="00C064F5"/>
    <w:rsid w:val="00C06550"/>
    <w:rsid w:val="00C0670E"/>
    <w:rsid w:val="00C06847"/>
    <w:rsid w:val="00C0686F"/>
    <w:rsid w:val="00C068FC"/>
    <w:rsid w:val="00C06902"/>
    <w:rsid w:val="00C06AA7"/>
    <w:rsid w:val="00C06AA8"/>
    <w:rsid w:val="00C06C54"/>
    <w:rsid w:val="00C06DCE"/>
    <w:rsid w:val="00C06DE1"/>
    <w:rsid w:val="00C06F52"/>
    <w:rsid w:val="00C06FB1"/>
    <w:rsid w:val="00C07242"/>
    <w:rsid w:val="00C07352"/>
    <w:rsid w:val="00C07372"/>
    <w:rsid w:val="00C074B1"/>
    <w:rsid w:val="00C07512"/>
    <w:rsid w:val="00C075C5"/>
    <w:rsid w:val="00C0768B"/>
    <w:rsid w:val="00C07739"/>
    <w:rsid w:val="00C077DB"/>
    <w:rsid w:val="00C078CD"/>
    <w:rsid w:val="00C078F7"/>
    <w:rsid w:val="00C078F9"/>
    <w:rsid w:val="00C07BBE"/>
    <w:rsid w:val="00C07E16"/>
    <w:rsid w:val="00C07E82"/>
    <w:rsid w:val="00C07E9E"/>
    <w:rsid w:val="00C07FA7"/>
    <w:rsid w:val="00C07FF2"/>
    <w:rsid w:val="00C10125"/>
    <w:rsid w:val="00C1026F"/>
    <w:rsid w:val="00C102E5"/>
    <w:rsid w:val="00C10412"/>
    <w:rsid w:val="00C10988"/>
    <w:rsid w:val="00C10BAD"/>
    <w:rsid w:val="00C10CEB"/>
    <w:rsid w:val="00C10DA9"/>
    <w:rsid w:val="00C10E02"/>
    <w:rsid w:val="00C10FF5"/>
    <w:rsid w:val="00C11012"/>
    <w:rsid w:val="00C110F0"/>
    <w:rsid w:val="00C1123B"/>
    <w:rsid w:val="00C11367"/>
    <w:rsid w:val="00C115AE"/>
    <w:rsid w:val="00C115F8"/>
    <w:rsid w:val="00C1166F"/>
    <w:rsid w:val="00C116E3"/>
    <w:rsid w:val="00C11739"/>
    <w:rsid w:val="00C1176E"/>
    <w:rsid w:val="00C118A2"/>
    <w:rsid w:val="00C11991"/>
    <w:rsid w:val="00C11993"/>
    <w:rsid w:val="00C119E9"/>
    <w:rsid w:val="00C11D7D"/>
    <w:rsid w:val="00C12090"/>
    <w:rsid w:val="00C12506"/>
    <w:rsid w:val="00C1257B"/>
    <w:rsid w:val="00C12676"/>
    <w:rsid w:val="00C1270D"/>
    <w:rsid w:val="00C12753"/>
    <w:rsid w:val="00C127BF"/>
    <w:rsid w:val="00C128A9"/>
    <w:rsid w:val="00C1295D"/>
    <w:rsid w:val="00C12A62"/>
    <w:rsid w:val="00C12AA3"/>
    <w:rsid w:val="00C12B09"/>
    <w:rsid w:val="00C12BA7"/>
    <w:rsid w:val="00C12C47"/>
    <w:rsid w:val="00C12F15"/>
    <w:rsid w:val="00C12F93"/>
    <w:rsid w:val="00C1345C"/>
    <w:rsid w:val="00C1372D"/>
    <w:rsid w:val="00C13842"/>
    <w:rsid w:val="00C1385E"/>
    <w:rsid w:val="00C13964"/>
    <w:rsid w:val="00C13AF9"/>
    <w:rsid w:val="00C13E2E"/>
    <w:rsid w:val="00C1401B"/>
    <w:rsid w:val="00C14111"/>
    <w:rsid w:val="00C1429D"/>
    <w:rsid w:val="00C142E0"/>
    <w:rsid w:val="00C14314"/>
    <w:rsid w:val="00C14467"/>
    <w:rsid w:val="00C144ED"/>
    <w:rsid w:val="00C14524"/>
    <w:rsid w:val="00C145B9"/>
    <w:rsid w:val="00C14809"/>
    <w:rsid w:val="00C148EE"/>
    <w:rsid w:val="00C1497E"/>
    <w:rsid w:val="00C14ACA"/>
    <w:rsid w:val="00C14BE2"/>
    <w:rsid w:val="00C14C67"/>
    <w:rsid w:val="00C14CC5"/>
    <w:rsid w:val="00C14D09"/>
    <w:rsid w:val="00C14F90"/>
    <w:rsid w:val="00C15066"/>
    <w:rsid w:val="00C15135"/>
    <w:rsid w:val="00C1523E"/>
    <w:rsid w:val="00C153E8"/>
    <w:rsid w:val="00C15558"/>
    <w:rsid w:val="00C155C6"/>
    <w:rsid w:val="00C156A0"/>
    <w:rsid w:val="00C157AF"/>
    <w:rsid w:val="00C15909"/>
    <w:rsid w:val="00C15941"/>
    <w:rsid w:val="00C159F6"/>
    <w:rsid w:val="00C15AF2"/>
    <w:rsid w:val="00C15BE7"/>
    <w:rsid w:val="00C15D5A"/>
    <w:rsid w:val="00C15E6D"/>
    <w:rsid w:val="00C1629E"/>
    <w:rsid w:val="00C1631F"/>
    <w:rsid w:val="00C164CD"/>
    <w:rsid w:val="00C16523"/>
    <w:rsid w:val="00C168BC"/>
    <w:rsid w:val="00C1690A"/>
    <w:rsid w:val="00C169B9"/>
    <w:rsid w:val="00C16E8A"/>
    <w:rsid w:val="00C17048"/>
    <w:rsid w:val="00C170DD"/>
    <w:rsid w:val="00C1713C"/>
    <w:rsid w:val="00C173C1"/>
    <w:rsid w:val="00C173FE"/>
    <w:rsid w:val="00C1749A"/>
    <w:rsid w:val="00C175FA"/>
    <w:rsid w:val="00C17634"/>
    <w:rsid w:val="00C1768C"/>
    <w:rsid w:val="00C17760"/>
    <w:rsid w:val="00C1776B"/>
    <w:rsid w:val="00C17AA8"/>
    <w:rsid w:val="00C17AC3"/>
    <w:rsid w:val="00C17C2F"/>
    <w:rsid w:val="00C17D96"/>
    <w:rsid w:val="00C17D9F"/>
    <w:rsid w:val="00C17E15"/>
    <w:rsid w:val="00C17E16"/>
    <w:rsid w:val="00C2019F"/>
    <w:rsid w:val="00C20243"/>
    <w:rsid w:val="00C2038F"/>
    <w:rsid w:val="00C206C9"/>
    <w:rsid w:val="00C20879"/>
    <w:rsid w:val="00C2097B"/>
    <w:rsid w:val="00C209B7"/>
    <w:rsid w:val="00C20B4B"/>
    <w:rsid w:val="00C20B4E"/>
    <w:rsid w:val="00C20C27"/>
    <w:rsid w:val="00C20C77"/>
    <w:rsid w:val="00C20CFA"/>
    <w:rsid w:val="00C210BC"/>
    <w:rsid w:val="00C2123A"/>
    <w:rsid w:val="00C21240"/>
    <w:rsid w:val="00C213C2"/>
    <w:rsid w:val="00C2146A"/>
    <w:rsid w:val="00C21856"/>
    <w:rsid w:val="00C21A4C"/>
    <w:rsid w:val="00C21A7C"/>
    <w:rsid w:val="00C21B16"/>
    <w:rsid w:val="00C21BE6"/>
    <w:rsid w:val="00C21E42"/>
    <w:rsid w:val="00C21E8E"/>
    <w:rsid w:val="00C22239"/>
    <w:rsid w:val="00C2229E"/>
    <w:rsid w:val="00C222BE"/>
    <w:rsid w:val="00C223FE"/>
    <w:rsid w:val="00C226FC"/>
    <w:rsid w:val="00C228C9"/>
    <w:rsid w:val="00C22A4D"/>
    <w:rsid w:val="00C22B78"/>
    <w:rsid w:val="00C22FA7"/>
    <w:rsid w:val="00C23229"/>
    <w:rsid w:val="00C2356F"/>
    <w:rsid w:val="00C2384B"/>
    <w:rsid w:val="00C238BC"/>
    <w:rsid w:val="00C239D3"/>
    <w:rsid w:val="00C23AF7"/>
    <w:rsid w:val="00C23B42"/>
    <w:rsid w:val="00C23ECA"/>
    <w:rsid w:val="00C24251"/>
    <w:rsid w:val="00C242CA"/>
    <w:rsid w:val="00C243D6"/>
    <w:rsid w:val="00C2446F"/>
    <w:rsid w:val="00C245F0"/>
    <w:rsid w:val="00C24628"/>
    <w:rsid w:val="00C24675"/>
    <w:rsid w:val="00C2479D"/>
    <w:rsid w:val="00C24860"/>
    <w:rsid w:val="00C24938"/>
    <w:rsid w:val="00C24A53"/>
    <w:rsid w:val="00C24DC8"/>
    <w:rsid w:val="00C25012"/>
    <w:rsid w:val="00C251F4"/>
    <w:rsid w:val="00C25218"/>
    <w:rsid w:val="00C25355"/>
    <w:rsid w:val="00C2542E"/>
    <w:rsid w:val="00C25733"/>
    <w:rsid w:val="00C257B9"/>
    <w:rsid w:val="00C25809"/>
    <w:rsid w:val="00C25886"/>
    <w:rsid w:val="00C259FD"/>
    <w:rsid w:val="00C25C76"/>
    <w:rsid w:val="00C25D2E"/>
    <w:rsid w:val="00C25D98"/>
    <w:rsid w:val="00C25DEC"/>
    <w:rsid w:val="00C25E22"/>
    <w:rsid w:val="00C260E1"/>
    <w:rsid w:val="00C26127"/>
    <w:rsid w:val="00C2619F"/>
    <w:rsid w:val="00C2624C"/>
    <w:rsid w:val="00C262C7"/>
    <w:rsid w:val="00C263A1"/>
    <w:rsid w:val="00C26416"/>
    <w:rsid w:val="00C26609"/>
    <w:rsid w:val="00C26791"/>
    <w:rsid w:val="00C26798"/>
    <w:rsid w:val="00C269BF"/>
    <w:rsid w:val="00C26D75"/>
    <w:rsid w:val="00C26DBF"/>
    <w:rsid w:val="00C26DCD"/>
    <w:rsid w:val="00C27045"/>
    <w:rsid w:val="00C27096"/>
    <w:rsid w:val="00C271A9"/>
    <w:rsid w:val="00C27274"/>
    <w:rsid w:val="00C272D7"/>
    <w:rsid w:val="00C27312"/>
    <w:rsid w:val="00C2736B"/>
    <w:rsid w:val="00C27374"/>
    <w:rsid w:val="00C2740D"/>
    <w:rsid w:val="00C274D2"/>
    <w:rsid w:val="00C27586"/>
    <w:rsid w:val="00C275CA"/>
    <w:rsid w:val="00C27ADA"/>
    <w:rsid w:val="00C27C27"/>
    <w:rsid w:val="00C27CC2"/>
    <w:rsid w:val="00C27D51"/>
    <w:rsid w:val="00C27F01"/>
    <w:rsid w:val="00C3008D"/>
    <w:rsid w:val="00C30120"/>
    <w:rsid w:val="00C3013B"/>
    <w:rsid w:val="00C3013F"/>
    <w:rsid w:val="00C30164"/>
    <w:rsid w:val="00C301A3"/>
    <w:rsid w:val="00C30263"/>
    <w:rsid w:val="00C30459"/>
    <w:rsid w:val="00C3057E"/>
    <w:rsid w:val="00C308DC"/>
    <w:rsid w:val="00C30A45"/>
    <w:rsid w:val="00C30BB7"/>
    <w:rsid w:val="00C30C72"/>
    <w:rsid w:val="00C30C98"/>
    <w:rsid w:val="00C30DF7"/>
    <w:rsid w:val="00C30E41"/>
    <w:rsid w:val="00C3106A"/>
    <w:rsid w:val="00C3118B"/>
    <w:rsid w:val="00C312AC"/>
    <w:rsid w:val="00C3167D"/>
    <w:rsid w:val="00C3175A"/>
    <w:rsid w:val="00C31854"/>
    <w:rsid w:val="00C31A14"/>
    <w:rsid w:val="00C31F13"/>
    <w:rsid w:val="00C31F35"/>
    <w:rsid w:val="00C3211B"/>
    <w:rsid w:val="00C32266"/>
    <w:rsid w:val="00C32379"/>
    <w:rsid w:val="00C32706"/>
    <w:rsid w:val="00C3285E"/>
    <w:rsid w:val="00C32A1D"/>
    <w:rsid w:val="00C32A8B"/>
    <w:rsid w:val="00C32B2C"/>
    <w:rsid w:val="00C32BCB"/>
    <w:rsid w:val="00C32C2B"/>
    <w:rsid w:val="00C32C63"/>
    <w:rsid w:val="00C32CDF"/>
    <w:rsid w:val="00C32E32"/>
    <w:rsid w:val="00C32F3F"/>
    <w:rsid w:val="00C32FCB"/>
    <w:rsid w:val="00C33087"/>
    <w:rsid w:val="00C3392E"/>
    <w:rsid w:val="00C33A6B"/>
    <w:rsid w:val="00C33FFD"/>
    <w:rsid w:val="00C34011"/>
    <w:rsid w:val="00C340B1"/>
    <w:rsid w:val="00C340E0"/>
    <w:rsid w:val="00C3415C"/>
    <w:rsid w:val="00C34319"/>
    <w:rsid w:val="00C34367"/>
    <w:rsid w:val="00C34447"/>
    <w:rsid w:val="00C3444C"/>
    <w:rsid w:val="00C34480"/>
    <w:rsid w:val="00C34798"/>
    <w:rsid w:val="00C34862"/>
    <w:rsid w:val="00C34AEC"/>
    <w:rsid w:val="00C34CD3"/>
    <w:rsid w:val="00C34CF0"/>
    <w:rsid w:val="00C35026"/>
    <w:rsid w:val="00C35107"/>
    <w:rsid w:val="00C3533D"/>
    <w:rsid w:val="00C35358"/>
    <w:rsid w:val="00C353B0"/>
    <w:rsid w:val="00C35842"/>
    <w:rsid w:val="00C35847"/>
    <w:rsid w:val="00C35D63"/>
    <w:rsid w:val="00C35E5E"/>
    <w:rsid w:val="00C35E88"/>
    <w:rsid w:val="00C35F53"/>
    <w:rsid w:val="00C3605C"/>
    <w:rsid w:val="00C3615C"/>
    <w:rsid w:val="00C361D7"/>
    <w:rsid w:val="00C36227"/>
    <w:rsid w:val="00C36724"/>
    <w:rsid w:val="00C367B6"/>
    <w:rsid w:val="00C36869"/>
    <w:rsid w:val="00C369FD"/>
    <w:rsid w:val="00C36A49"/>
    <w:rsid w:val="00C36CA4"/>
    <w:rsid w:val="00C36DAC"/>
    <w:rsid w:val="00C36F97"/>
    <w:rsid w:val="00C37004"/>
    <w:rsid w:val="00C372C4"/>
    <w:rsid w:val="00C373EF"/>
    <w:rsid w:val="00C374BB"/>
    <w:rsid w:val="00C37541"/>
    <w:rsid w:val="00C3783B"/>
    <w:rsid w:val="00C37882"/>
    <w:rsid w:val="00C378D3"/>
    <w:rsid w:val="00C37B38"/>
    <w:rsid w:val="00C37C72"/>
    <w:rsid w:val="00C37D55"/>
    <w:rsid w:val="00C37D98"/>
    <w:rsid w:val="00C37DB2"/>
    <w:rsid w:val="00C37F0C"/>
    <w:rsid w:val="00C40032"/>
    <w:rsid w:val="00C40099"/>
    <w:rsid w:val="00C403CF"/>
    <w:rsid w:val="00C40702"/>
    <w:rsid w:val="00C40A0D"/>
    <w:rsid w:val="00C40A1B"/>
    <w:rsid w:val="00C40BD7"/>
    <w:rsid w:val="00C40C37"/>
    <w:rsid w:val="00C40CCB"/>
    <w:rsid w:val="00C40E01"/>
    <w:rsid w:val="00C40ED5"/>
    <w:rsid w:val="00C40F72"/>
    <w:rsid w:val="00C40FA0"/>
    <w:rsid w:val="00C410CD"/>
    <w:rsid w:val="00C41212"/>
    <w:rsid w:val="00C41223"/>
    <w:rsid w:val="00C41277"/>
    <w:rsid w:val="00C412B1"/>
    <w:rsid w:val="00C4131D"/>
    <w:rsid w:val="00C41342"/>
    <w:rsid w:val="00C41389"/>
    <w:rsid w:val="00C4140C"/>
    <w:rsid w:val="00C4144A"/>
    <w:rsid w:val="00C4150E"/>
    <w:rsid w:val="00C4191F"/>
    <w:rsid w:val="00C41BED"/>
    <w:rsid w:val="00C41D2B"/>
    <w:rsid w:val="00C41D86"/>
    <w:rsid w:val="00C42119"/>
    <w:rsid w:val="00C42195"/>
    <w:rsid w:val="00C422B9"/>
    <w:rsid w:val="00C42346"/>
    <w:rsid w:val="00C424B9"/>
    <w:rsid w:val="00C4297E"/>
    <w:rsid w:val="00C42AAE"/>
    <w:rsid w:val="00C42AFB"/>
    <w:rsid w:val="00C42D83"/>
    <w:rsid w:val="00C42E79"/>
    <w:rsid w:val="00C43102"/>
    <w:rsid w:val="00C431A3"/>
    <w:rsid w:val="00C43367"/>
    <w:rsid w:val="00C434CA"/>
    <w:rsid w:val="00C43C50"/>
    <w:rsid w:val="00C440CA"/>
    <w:rsid w:val="00C441CE"/>
    <w:rsid w:val="00C4423A"/>
    <w:rsid w:val="00C4457E"/>
    <w:rsid w:val="00C44722"/>
    <w:rsid w:val="00C44858"/>
    <w:rsid w:val="00C4485D"/>
    <w:rsid w:val="00C4489C"/>
    <w:rsid w:val="00C44B27"/>
    <w:rsid w:val="00C44C0F"/>
    <w:rsid w:val="00C44C44"/>
    <w:rsid w:val="00C44EBC"/>
    <w:rsid w:val="00C44EF8"/>
    <w:rsid w:val="00C44F2C"/>
    <w:rsid w:val="00C44F9A"/>
    <w:rsid w:val="00C44FBC"/>
    <w:rsid w:val="00C44FCB"/>
    <w:rsid w:val="00C45492"/>
    <w:rsid w:val="00C4554A"/>
    <w:rsid w:val="00C455DC"/>
    <w:rsid w:val="00C458BF"/>
    <w:rsid w:val="00C4594C"/>
    <w:rsid w:val="00C45A1B"/>
    <w:rsid w:val="00C45DBD"/>
    <w:rsid w:val="00C45EFD"/>
    <w:rsid w:val="00C46154"/>
    <w:rsid w:val="00C462E6"/>
    <w:rsid w:val="00C46490"/>
    <w:rsid w:val="00C465D7"/>
    <w:rsid w:val="00C46701"/>
    <w:rsid w:val="00C468A3"/>
    <w:rsid w:val="00C46A18"/>
    <w:rsid w:val="00C46C70"/>
    <w:rsid w:val="00C46C7B"/>
    <w:rsid w:val="00C46F79"/>
    <w:rsid w:val="00C47114"/>
    <w:rsid w:val="00C4738F"/>
    <w:rsid w:val="00C47399"/>
    <w:rsid w:val="00C475FD"/>
    <w:rsid w:val="00C476C8"/>
    <w:rsid w:val="00C477CB"/>
    <w:rsid w:val="00C47839"/>
    <w:rsid w:val="00C4797B"/>
    <w:rsid w:val="00C47984"/>
    <w:rsid w:val="00C47986"/>
    <w:rsid w:val="00C479A6"/>
    <w:rsid w:val="00C47AF2"/>
    <w:rsid w:val="00C47BE5"/>
    <w:rsid w:val="00C47C42"/>
    <w:rsid w:val="00C47C4C"/>
    <w:rsid w:val="00C47CD7"/>
    <w:rsid w:val="00C47D10"/>
    <w:rsid w:val="00C47E0C"/>
    <w:rsid w:val="00C500BD"/>
    <w:rsid w:val="00C50497"/>
    <w:rsid w:val="00C50570"/>
    <w:rsid w:val="00C50652"/>
    <w:rsid w:val="00C5075E"/>
    <w:rsid w:val="00C50901"/>
    <w:rsid w:val="00C50915"/>
    <w:rsid w:val="00C50972"/>
    <w:rsid w:val="00C50C74"/>
    <w:rsid w:val="00C50D51"/>
    <w:rsid w:val="00C50EFF"/>
    <w:rsid w:val="00C51260"/>
    <w:rsid w:val="00C51457"/>
    <w:rsid w:val="00C514D5"/>
    <w:rsid w:val="00C515F4"/>
    <w:rsid w:val="00C5162D"/>
    <w:rsid w:val="00C5180F"/>
    <w:rsid w:val="00C5182D"/>
    <w:rsid w:val="00C51CD6"/>
    <w:rsid w:val="00C52078"/>
    <w:rsid w:val="00C52089"/>
    <w:rsid w:val="00C52105"/>
    <w:rsid w:val="00C52196"/>
    <w:rsid w:val="00C524DC"/>
    <w:rsid w:val="00C5256A"/>
    <w:rsid w:val="00C52689"/>
    <w:rsid w:val="00C52960"/>
    <w:rsid w:val="00C52D13"/>
    <w:rsid w:val="00C52EDC"/>
    <w:rsid w:val="00C52FAD"/>
    <w:rsid w:val="00C531D8"/>
    <w:rsid w:val="00C531DC"/>
    <w:rsid w:val="00C531DD"/>
    <w:rsid w:val="00C53EA9"/>
    <w:rsid w:val="00C5407B"/>
    <w:rsid w:val="00C541F9"/>
    <w:rsid w:val="00C54417"/>
    <w:rsid w:val="00C544A6"/>
    <w:rsid w:val="00C545D9"/>
    <w:rsid w:val="00C549A4"/>
    <w:rsid w:val="00C54A78"/>
    <w:rsid w:val="00C54A83"/>
    <w:rsid w:val="00C54D21"/>
    <w:rsid w:val="00C54D34"/>
    <w:rsid w:val="00C54D48"/>
    <w:rsid w:val="00C54E3B"/>
    <w:rsid w:val="00C55133"/>
    <w:rsid w:val="00C5520F"/>
    <w:rsid w:val="00C55213"/>
    <w:rsid w:val="00C55253"/>
    <w:rsid w:val="00C55284"/>
    <w:rsid w:val="00C55386"/>
    <w:rsid w:val="00C553B5"/>
    <w:rsid w:val="00C553C0"/>
    <w:rsid w:val="00C5553C"/>
    <w:rsid w:val="00C55780"/>
    <w:rsid w:val="00C55AC4"/>
    <w:rsid w:val="00C55CC1"/>
    <w:rsid w:val="00C56091"/>
    <w:rsid w:val="00C5669F"/>
    <w:rsid w:val="00C567D7"/>
    <w:rsid w:val="00C5696E"/>
    <w:rsid w:val="00C56C70"/>
    <w:rsid w:val="00C56D75"/>
    <w:rsid w:val="00C56F7F"/>
    <w:rsid w:val="00C5700D"/>
    <w:rsid w:val="00C572B9"/>
    <w:rsid w:val="00C57318"/>
    <w:rsid w:val="00C57544"/>
    <w:rsid w:val="00C57597"/>
    <w:rsid w:val="00C577BB"/>
    <w:rsid w:val="00C578B8"/>
    <w:rsid w:val="00C57AE2"/>
    <w:rsid w:val="00C57BFA"/>
    <w:rsid w:val="00C57C45"/>
    <w:rsid w:val="00C57D88"/>
    <w:rsid w:val="00C57ECE"/>
    <w:rsid w:val="00C601BF"/>
    <w:rsid w:val="00C60374"/>
    <w:rsid w:val="00C60422"/>
    <w:rsid w:val="00C604BD"/>
    <w:rsid w:val="00C605B2"/>
    <w:rsid w:val="00C607C1"/>
    <w:rsid w:val="00C607EA"/>
    <w:rsid w:val="00C60877"/>
    <w:rsid w:val="00C60C30"/>
    <w:rsid w:val="00C60D04"/>
    <w:rsid w:val="00C60DC3"/>
    <w:rsid w:val="00C6114E"/>
    <w:rsid w:val="00C612D9"/>
    <w:rsid w:val="00C612FC"/>
    <w:rsid w:val="00C61324"/>
    <w:rsid w:val="00C61453"/>
    <w:rsid w:val="00C61525"/>
    <w:rsid w:val="00C6155D"/>
    <w:rsid w:val="00C61660"/>
    <w:rsid w:val="00C619EE"/>
    <w:rsid w:val="00C61AE2"/>
    <w:rsid w:val="00C61C36"/>
    <w:rsid w:val="00C61DE1"/>
    <w:rsid w:val="00C61F8C"/>
    <w:rsid w:val="00C62061"/>
    <w:rsid w:val="00C62089"/>
    <w:rsid w:val="00C621E6"/>
    <w:rsid w:val="00C62217"/>
    <w:rsid w:val="00C622A5"/>
    <w:rsid w:val="00C62308"/>
    <w:rsid w:val="00C6235C"/>
    <w:rsid w:val="00C623DC"/>
    <w:rsid w:val="00C62686"/>
    <w:rsid w:val="00C6278C"/>
    <w:rsid w:val="00C62887"/>
    <w:rsid w:val="00C62971"/>
    <w:rsid w:val="00C6299B"/>
    <w:rsid w:val="00C62B95"/>
    <w:rsid w:val="00C62D14"/>
    <w:rsid w:val="00C62E7F"/>
    <w:rsid w:val="00C63067"/>
    <w:rsid w:val="00C6308D"/>
    <w:rsid w:val="00C631A7"/>
    <w:rsid w:val="00C63288"/>
    <w:rsid w:val="00C633D2"/>
    <w:rsid w:val="00C6352E"/>
    <w:rsid w:val="00C635B5"/>
    <w:rsid w:val="00C636C8"/>
    <w:rsid w:val="00C63780"/>
    <w:rsid w:val="00C637D6"/>
    <w:rsid w:val="00C638AC"/>
    <w:rsid w:val="00C63ACE"/>
    <w:rsid w:val="00C63AD5"/>
    <w:rsid w:val="00C63E0D"/>
    <w:rsid w:val="00C63E78"/>
    <w:rsid w:val="00C63F1A"/>
    <w:rsid w:val="00C63FEC"/>
    <w:rsid w:val="00C6407C"/>
    <w:rsid w:val="00C642A7"/>
    <w:rsid w:val="00C642B1"/>
    <w:rsid w:val="00C642CE"/>
    <w:rsid w:val="00C644DC"/>
    <w:rsid w:val="00C646FE"/>
    <w:rsid w:val="00C6487D"/>
    <w:rsid w:val="00C649F6"/>
    <w:rsid w:val="00C64B5E"/>
    <w:rsid w:val="00C64EB4"/>
    <w:rsid w:val="00C65019"/>
    <w:rsid w:val="00C650BB"/>
    <w:rsid w:val="00C65191"/>
    <w:rsid w:val="00C653AD"/>
    <w:rsid w:val="00C654A6"/>
    <w:rsid w:val="00C65576"/>
    <w:rsid w:val="00C6563E"/>
    <w:rsid w:val="00C656D9"/>
    <w:rsid w:val="00C65780"/>
    <w:rsid w:val="00C65AA5"/>
    <w:rsid w:val="00C65B76"/>
    <w:rsid w:val="00C65CE7"/>
    <w:rsid w:val="00C65F13"/>
    <w:rsid w:val="00C661C0"/>
    <w:rsid w:val="00C66303"/>
    <w:rsid w:val="00C66542"/>
    <w:rsid w:val="00C6654C"/>
    <w:rsid w:val="00C66968"/>
    <w:rsid w:val="00C670DA"/>
    <w:rsid w:val="00C671C9"/>
    <w:rsid w:val="00C67271"/>
    <w:rsid w:val="00C67304"/>
    <w:rsid w:val="00C67573"/>
    <w:rsid w:val="00C675DA"/>
    <w:rsid w:val="00C67779"/>
    <w:rsid w:val="00C677CD"/>
    <w:rsid w:val="00C679D4"/>
    <w:rsid w:val="00C67B2B"/>
    <w:rsid w:val="00C701A8"/>
    <w:rsid w:val="00C701CE"/>
    <w:rsid w:val="00C70280"/>
    <w:rsid w:val="00C7034C"/>
    <w:rsid w:val="00C70439"/>
    <w:rsid w:val="00C70883"/>
    <w:rsid w:val="00C708D5"/>
    <w:rsid w:val="00C70A4C"/>
    <w:rsid w:val="00C71112"/>
    <w:rsid w:val="00C711A5"/>
    <w:rsid w:val="00C71288"/>
    <w:rsid w:val="00C71468"/>
    <w:rsid w:val="00C7146A"/>
    <w:rsid w:val="00C71476"/>
    <w:rsid w:val="00C714A7"/>
    <w:rsid w:val="00C716CE"/>
    <w:rsid w:val="00C717BD"/>
    <w:rsid w:val="00C71999"/>
    <w:rsid w:val="00C71AB8"/>
    <w:rsid w:val="00C71B39"/>
    <w:rsid w:val="00C72053"/>
    <w:rsid w:val="00C72075"/>
    <w:rsid w:val="00C72093"/>
    <w:rsid w:val="00C720E8"/>
    <w:rsid w:val="00C722C5"/>
    <w:rsid w:val="00C722EF"/>
    <w:rsid w:val="00C72435"/>
    <w:rsid w:val="00C725B5"/>
    <w:rsid w:val="00C726DF"/>
    <w:rsid w:val="00C727E2"/>
    <w:rsid w:val="00C72829"/>
    <w:rsid w:val="00C72895"/>
    <w:rsid w:val="00C729C8"/>
    <w:rsid w:val="00C72A51"/>
    <w:rsid w:val="00C72C40"/>
    <w:rsid w:val="00C72C59"/>
    <w:rsid w:val="00C72E05"/>
    <w:rsid w:val="00C73002"/>
    <w:rsid w:val="00C73418"/>
    <w:rsid w:val="00C7345D"/>
    <w:rsid w:val="00C734E4"/>
    <w:rsid w:val="00C73601"/>
    <w:rsid w:val="00C73895"/>
    <w:rsid w:val="00C73980"/>
    <w:rsid w:val="00C73AD9"/>
    <w:rsid w:val="00C73B82"/>
    <w:rsid w:val="00C73C84"/>
    <w:rsid w:val="00C73E0F"/>
    <w:rsid w:val="00C73F40"/>
    <w:rsid w:val="00C73F68"/>
    <w:rsid w:val="00C740AA"/>
    <w:rsid w:val="00C7415C"/>
    <w:rsid w:val="00C741BD"/>
    <w:rsid w:val="00C74481"/>
    <w:rsid w:val="00C74507"/>
    <w:rsid w:val="00C74610"/>
    <w:rsid w:val="00C7480D"/>
    <w:rsid w:val="00C749F4"/>
    <w:rsid w:val="00C74A8D"/>
    <w:rsid w:val="00C74B06"/>
    <w:rsid w:val="00C74BB2"/>
    <w:rsid w:val="00C74C9D"/>
    <w:rsid w:val="00C74DB3"/>
    <w:rsid w:val="00C74E2A"/>
    <w:rsid w:val="00C75045"/>
    <w:rsid w:val="00C752B7"/>
    <w:rsid w:val="00C7544C"/>
    <w:rsid w:val="00C754A8"/>
    <w:rsid w:val="00C754CD"/>
    <w:rsid w:val="00C75561"/>
    <w:rsid w:val="00C755A7"/>
    <w:rsid w:val="00C75635"/>
    <w:rsid w:val="00C75764"/>
    <w:rsid w:val="00C75954"/>
    <w:rsid w:val="00C75B3E"/>
    <w:rsid w:val="00C75B64"/>
    <w:rsid w:val="00C75E14"/>
    <w:rsid w:val="00C75E27"/>
    <w:rsid w:val="00C75F30"/>
    <w:rsid w:val="00C7610C"/>
    <w:rsid w:val="00C762CF"/>
    <w:rsid w:val="00C762F5"/>
    <w:rsid w:val="00C7646A"/>
    <w:rsid w:val="00C76523"/>
    <w:rsid w:val="00C76568"/>
    <w:rsid w:val="00C76599"/>
    <w:rsid w:val="00C765E5"/>
    <w:rsid w:val="00C76625"/>
    <w:rsid w:val="00C7676D"/>
    <w:rsid w:val="00C76A47"/>
    <w:rsid w:val="00C76E07"/>
    <w:rsid w:val="00C76EA9"/>
    <w:rsid w:val="00C77084"/>
    <w:rsid w:val="00C7720A"/>
    <w:rsid w:val="00C7725B"/>
    <w:rsid w:val="00C7736B"/>
    <w:rsid w:val="00C7737A"/>
    <w:rsid w:val="00C773D1"/>
    <w:rsid w:val="00C7789B"/>
    <w:rsid w:val="00C77A8B"/>
    <w:rsid w:val="00C77CC2"/>
    <w:rsid w:val="00C77DCD"/>
    <w:rsid w:val="00C77EEF"/>
    <w:rsid w:val="00C800A9"/>
    <w:rsid w:val="00C8019E"/>
    <w:rsid w:val="00C80325"/>
    <w:rsid w:val="00C806FD"/>
    <w:rsid w:val="00C80771"/>
    <w:rsid w:val="00C807F7"/>
    <w:rsid w:val="00C8091B"/>
    <w:rsid w:val="00C80937"/>
    <w:rsid w:val="00C809B7"/>
    <w:rsid w:val="00C80AFE"/>
    <w:rsid w:val="00C80BD4"/>
    <w:rsid w:val="00C80CDD"/>
    <w:rsid w:val="00C811B9"/>
    <w:rsid w:val="00C813DF"/>
    <w:rsid w:val="00C815B3"/>
    <w:rsid w:val="00C81800"/>
    <w:rsid w:val="00C81830"/>
    <w:rsid w:val="00C81930"/>
    <w:rsid w:val="00C81A71"/>
    <w:rsid w:val="00C81A93"/>
    <w:rsid w:val="00C81ADC"/>
    <w:rsid w:val="00C81B91"/>
    <w:rsid w:val="00C81D74"/>
    <w:rsid w:val="00C821CF"/>
    <w:rsid w:val="00C82439"/>
    <w:rsid w:val="00C82474"/>
    <w:rsid w:val="00C82563"/>
    <w:rsid w:val="00C826BA"/>
    <w:rsid w:val="00C827AF"/>
    <w:rsid w:val="00C827C5"/>
    <w:rsid w:val="00C82832"/>
    <w:rsid w:val="00C82890"/>
    <w:rsid w:val="00C829B1"/>
    <w:rsid w:val="00C82C22"/>
    <w:rsid w:val="00C82E34"/>
    <w:rsid w:val="00C82E99"/>
    <w:rsid w:val="00C82EE5"/>
    <w:rsid w:val="00C83163"/>
    <w:rsid w:val="00C83239"/>
    <w:rsid w:val="00C832B1"/>
    <w:rsid w:val="00C8331A"/>
    <w:rsid w:val="00C8347E"/>
    <w:rsid w:val="00C834F9"/>
    <w:rsid w:val="00C83806"/>
    <w:rsid w:val="00C83840"/>
    <w:rsid w:val="00C83873"/>
    <w:rsid w:val="00C83888"/>
    <w:rsid w:val="00C83930"/>
    <w:rsid w:val="00C83AA0"/>
    <w:rsid w:val="00C83D4A"/>
    <w:rsid w:val="00C842A8"/>
    <w:rsid w:val="00C84478"/>
    <w:rsid w:val="00C84583"/>
    <w:rsid w:val="00C84657"/>
    <w:rsid w:val="00C84748"/>
    <w:rsid w:val="00C84762"/>
    <w:rsid w:val="00C84D26"/>
    <w:rsid w:val="00C84E03"/>
    <w:rsid w:val="00C84E9E"/>
    <w:rsid w:val="00C84EA3"/>
    <w:rsid w:val="00C84ED7"/>
    <w:rsid w:val="00C84EDE"/>
    <w:rsid w:val="00C84FCD"/>
    <w:rsid w:val="00C85229"/>
    <w:rsid w:val="00C85454"/>
    <w:rsid w:val="00C8550D"/>
    <w:rsid w:val="00C8569C"/>
    <w:rsid w:val="00C856A4"/>
    <w:rsid w:val="00C8583C"/>
    <w:rsid w:val="00C85B7F"/>
    <w:rsid w:val="00C85C3E"/>
    <w:rsid w:val="00C85C9B"/>
    <w:rsid w:val="00C85EE5"/>
    <w:rsid w:val="00C85F2B"/>
    <w:rsid w:val="00C86307"/>
    <w:rsid w:val="00C8632B"/>
    <w:rsid w:val="00C8635A"/>
    <w:rsid w:val="00C86624"/>
    <w:rsid w:val="00C86699"/>
    <w:rsid w:val="00C866A5"/>
    <w:rsid w:val="00C866EE"/>
    <w:rsid w:val="00C86817"/>
    <w:rsid w:val="00C86AF3"/>
    <w:rsid w:val="00C86B06"/>
    <w:rsid w:val="00C86D10"/>
    <w:rsid w:val="00C86F4D"/>
    <w:rsid w:val="00C8708F"/>
    <w:rsid w:val="00C87096"/>
    <w:rsid w:val="00C87349"/>
    <w:rsid w:val="00C874AB"/>
    <w:rsid w:val="00C87558"/>
    <w:rsid w:val="00C8763F"/>
    <w:rsid w:val="00C87653"/>
    <w:rsid w:val="00C8779F"/>
    <w:rsid w:val="00C87A9A"/>
    <w:rsid w:val="00C87B22"/>
    <w:rsid w:val="00C87BC3"/>
    <w:rsid w:val="00C87C02"/>
    <w:rsid w:val="00C87EDF"/>
    <w:rsid w:val="00C87F50"/>
    <w:rsid w:val="00C90036"/>
    <w:rsid w:val="00C9005C"/>
    <w:rsid w:val="00C90271"/>
    <w:rsid w:val="00C9039B"/>
    <w:rsid w:val="00C90842"/>
    <w:rsid w:val="00C9093A"/>
    <w:rsid w:val="00C90992"/>
    <w:rsid w:val="00C90A4A"/>
    <w:rsid w:val="00C90ACC"/>
    <w:rsid w:val="00C90B78"/>
    <w:rsid w:val="00C90C0A"/>
    <w:rsid w:val="00C90DFC"/>
    <w:rsid w:val="00C90E51"/>
    <w:rsid w:val="00C9105A"/>
    <w:rsid w:val="00C9105B"/>
    <w:rsid w:val="00C91091"/>
    <w:rsid w:val="00C910AC"/>
    <w:rsid w:val="00C91182"/>
    <w:rsid w:val="00C91220"/>
    <w:rsid w:val="00C9122B"/>
    <w:rsid w:val="00C913AF"/>
    <w:rsid w:val="00C913FA"/>
    <w:rsid w:val="00C91435"/>
    <w:rsid w:val="00C91479"/>
    <w:rsid w:val="00C915A9"/>
    <w:rsid w:val="00C91715"/>
    <w:rsid w:val="00C917B4"/>
    <w:rsid w:val="00C917CF"/>
    <w:rsid w:val="00C91B29"/>
    <w:rsid w:val="00C91CDE"/>
    <w:rsid w:val="00C91DC1"/>
    <w:rsid w:val="00C91E4A"/>
    <w:rsid w:val="00C91F29"/>
    <w:rsid w:val="00C91FDB"/>
    <w:rsid w:val="00C92054"/>
    <w:rsid w:val="00C92250"/>
    <w:rsid w:val="00C924F5"/>
    <w:rsid w:val="00C9253C"/>
    <w:rsid w:val="00C92548"/>
    <w:rsid w:val="00C9263F"/>
    <w:rsid w:val="00C926E0"/>
    <w:rsid w:val="00C926FB"/>
    <w:rsid w:val="00C929C1"/>
    <w:rsid w:val="00C92A72"/>
    <w:rsid w:val="00C92B78"/>
    <w:rsid w:val="00C92E6B"/>
    <w:rsid w:val="00C93200"/>
    <w:rsid w:val="00C93596"/>
    <w:rsid w:val="00C936FE"/>
    <w:rsid w:val="00C93777"/>
    <w:rsid w:val="00C939FC"/>
    <w:rsid w:val="00C93AC6"/>
    <w:rsid w:val="00C93C29"/>
    <w:rsid w:val="00C93FA9"/>
    <w:rsid w:val="00C940E6"/>
    <w:rsid w:val="00C941B1"/>
    <w:rsid w:val="00C94240"/>
    <w:rsid w:val="00C944E0"/>
    <w:rsid w:val="00C947A6"/>
    <w:rsid w:val="00C947EF"/>
    <w:rsid w:val="00C94891"/>
    <w:rsid w:val="00C948FB"/>
    <w:rsid w:val="00C94C13"/>
    <w:rsid w:val="00C94C67"/>
    <w:rsid w:val="00C94C71"/>
    <w:rsid w:val="00C95068"/>
    <w:rsid w:val="00C9518B"/>
    <w:rsid w:val="00C95320"/>
    <w:rsid w:val="00C95375"/>
    <w:rsid w:val="00C95420"/>
    <w:rsid w:val="00C95665"/>
    <w:rsid w:val="00C95752"/>
    <w:rsid w:val="00C95848"/>
    <w:rsid w:val="00C958BB"/>
    <w:rsid w:val="00C95A5F"/>
    <w:rsid w:val="00C95A62"/>
    <w:rsid w:val="00C95AB7"/>
    <w:rsid w:val="00C95D91"/>
    <w:rsid w:val="00C95E8D"/>
    <w:rsid w:val="00C95FD1"/>
    <w:rsid w:val="00C96114"/>
    <w:rsid w:val="00C96630"/>
    <w:rsid w:val="00C96AF2"/>
    <w:rsid w:val="00C96B4A"/>
    <w:rsid w:val="00C96BFF"/>
    <w:rsid w:val="00C96D6A"/>
    <w:rsid w:val="00C96E7A"/>
    <w:rsid w:val="00C96F05"/>
    <w:rsid w:val="00C970BE"/>
    <w:rsid w:val="00C971B0"/>
    <w:rsid w:val="00C97607"/>
    <w:rsid w:val="00C97706"/>
    <w:rsid w:val="00C978AC"/>
    <w:rsid w:val="00C979FE"/>
    <w:rsid w:val="00C97BBD"/>
    <w:rsid w:val="00C97C51"/>
    <w:rsid w:val="00C97C82"/>
    <w:rsid w:val="00C97CB8"/>
    <w:rsid w:val="00C97D11"/>
    <w:rsid w:val="00C97D55"/>
    <w:rsid w:val="00C97FAA"/>
    <w:rsid w:val="00C97FF9"/>
    <w:rsid w:val="00CA0103"/>
    <w:rsid w:val="00CA0124"/>
    <w:rsid w:val="00CA015F"/>
    <w:rsid w:val="00CA028D"/>
    <w:rsid w:val="00CA0321"/>
    <w:rsid w:val="00CA03D5"/>
    <w:rsid w:val="00CA0403"/>
    <w:rsid w:val="00CA05AD"/>
    <w:rsid w:val="00CA05FD"/>
    <w:rsid w:val="00CA0811"/>
    <w:rsid w:val="00CA08AE"/>
    <w:rsid w:val="00CA0D47"/>
    <w:rsid w:val="00CA0F38"/>
    <w:rsid w:val="00CA0FC1"/>
    <w:rsid w:val="00CA0FFC"/>
    <w:rsid w:val="00CA1201"/>
    <w:rsid w:val="00CA12D2"/>
    <w:rsid w:val="00CA134C"/>
    <w:rsid w:val="00CA144E"/>
    <w:rsid w:val="00CA149D"/>
    <w:rsid w:val="00CA155F"/>
    <w:rsid w:val="00CA16E2"/>
    <w:rsid w:val="00CA18B4"/>
    <w:rsid w:val="00CA18BB"/>
    <w:rsid w:val="00CA1916"/>
    <w:rsid w:val="00CA1A60"/>
    <w:rsid w:val="00CA1A79"/>
    <w:rsid w:val="00CA1DC8"/>
    <w:rsid w:val="00CA1EBA"/>
    <w:rsid w:val="00CA1F06"/>
    <w:rsid w:val="00CA2133"/>
    <w:rsid w:val="00CA21E2"/>
    <w:rsid w:val="00CA237C"/>
    <w:rsid w:val="00CA251C"/>
    <w:rsid w:val="00CA268A"/>
    <w:rsid w:val="00CA2724"/>
    <w:rsid w:val="00CA2AAE"/>
    <w:rsid w:val="00CA2BEE"/>
    <w:rsid w:val="00CA2C7F"/>
    <w:rsid w:val="00CA2ECC"/>
    <w:rsid w:val="00CA2EFC"/>
    <w:rsid w:val="00CA2F92"/>
    <w:rsid w:val="00CA325F"/>
    <w:rsid w:val="00CA3298"/>
    <w:rsid w:val="00CA33DC"/>
    <w:rsid w:val="00CA3416"/>
    <w:rsid w:val="00CA341D"/>
    <w:rsid w:val="00CA372B"/>
    <w:rsid w:val="00CA39AC"/>
    <w:rsid w:val="00CA3A2F"/>
    <w:rsid w:val="00CA3B6A"/>
    <w:rsid w:val="00CA3CBD"/>
    <w:rsid w:val="00CA3EDB"/>
    <w:rsid w:val="00CA3F7F"/>
    <w:rsid w:val="00CA403F"/>
    <w:rsid w:val="00CA4064"/>
    <w:rsid w:val="00CA40DF"/>
    <w:rsid w:val="00CA4199"/>
    <w:rsid w:val="00CA47E5"/>
    <w:rsid w:val="00CA4802"/>
    <w:rsid w:val="00CA4B38"/>
    <w:rsid w:val="00CA4B5A"/>
    <w:rsid w:val="00CA4C5A"/>
    <w:rsid w:val="00CA4F42"/>
    <w:rsid w:val="00CA4F76"/>
    <w:rsid w:val="00CA5007"/>
    <w:rsid w:val="00CA506B"/>
    <w:rsid w:val="00CA525A"/>
    <w:rsid w:val="00CA529F"/>
    <w:rsid w:val="00CA5309"/>
    <w:rsid w:val="00CA54BE"/>
    <w:rsid w:val="00CA54C3"/>
    <w:rsid w:val="00CA54F6"/>
    <w:rsid w:val="00CA56B0"/>
    <w:rsid w:val="00CA5776"/>
    <w:rsid w:val="00CA57E0"/>
    <w:rsid w:val="00CA585B"/>
    <w:rsid w:val="00CA590B"/>
    <w:rsid w:val="00CA5B53"/>
    <w:rsid w:val="00CA5D79"/>
    <w:rsid w:val="00CA5EE4"/>
    <w:rsid w:val="00CA5EE7"/>
    <w:rsid w:val="00CA67E5"/>
    <w:rsid w:val="00CA683A"/>
    <w:rsid w:val="00CA695B"/>
    <w:rsid w:val="00CA6B5E"/>
    <w:rsid w:val="00CA6C29"/>
    <w:rsid w:val="00CA6EAA"/>
    <w:rsid w:val="00CA70B6"/>
    <w:rsid w:val="00CA72B2"/>
    <w:rsid w:val="00CA7313"/>
    <w:rsid w:val="00CA7425"/>
    <w:rsid w:val="00CA7442"/>
    <w:rsid w:val="00CA7476"/>
    <w:rsid w:val="00CA7542"/>
    <w:rsid w:val="00CA7613"/>
    <w:rsid w:val="00CA76B8"/>
    <w:rsid w:val="00CA779E"/>
    <w:rsid w:val="00CA7957"/>
    <w:rsid w:val="00CA7AE5"/>
    <w:rsid w:val="00CA7AF9"/>
    <w:rsid w:val="00CA7B3E"/>
    <w:rsid w:val="00CA7C22"/>
    <w:rsid w:val="00CA7C48"/>
    <w:rsid w:val="00CA7D44"/>
    <w:rsid w:val="00CA7DED"/>
    <w:rsid w:val="00CA7FF7"/>
    <w:rsid w:val="00CB0040"/>
    <w:rsid w:val="00CB005D"/>
    <w:rsid w:val="00CB00A6"/>
    <w:rsid w:val="00CB00F5"/>
    <w:rsid w:val="00CB01A2"/>
    <w:rsid w:val="00CB01B9"/>
    <w:rsid w:val="00CB055E"/>
    <w:rsid w:val="00CB056F"/>
    <w:rsid w:val="00CB0808"/>
    <w:rsid w:val="00CB0A04"/>
    <w:rsid w:val="00CB0B26"/>
    <w:rsid w:val="00CB0D17"/>
    <w:rsid w:val="00CB0D9C"/>
    <w:rsid w:val="00CB159B"/>
    <w:rsid w:val="00CB19DD"/>
    <w:rsid w:val="00CB1A14"/>
    <w:rsid w:val="00CB1B1E"/>
    <w:rsid w:val="00CB1B96"/>
    <w:rsid w:val="00CB1BE9"/>
    <w:rsid w:val="00CB1CCB"/>
    <w:rsid w:val="00CB1F1B"/>
    <w:rsid w:val="00CB231A"/>
    <w:rsid w:val="00CB24FE"/>
    <w:rsid w:val="00CB2B8A"/>
    <w:rsid w:val="00CB2D4C"/>
    <w:rsid w:val="00CB2F9A"/>
    <w:rsid w:val="00CB312D"/>
    <w:rsid w:val="00CB31E6"/>
    <w:rsid w:val="00CB3369"/>
    <w:rsid w:val="00CB33C0"/>
    <w:rsid w:val="00CB3404"/>
    <w:rsid w:val="00CB35A6"/>
    <w:rsid w:val="00CB35EA"/>
    <w:rsid w:val="00CB35F0"/>
    <w:rsid w:val="00CB35F1"/>
    <w:rsid w:val="00CB3691"/>
    <w:rsid w:val="00CB386F"/>
    <w:rsid w:val="00CB3AA1"/>
    <w:rsid w:val="00CB3D72"/>
    <w:rsid w:val="00CB3E6D"/>
    <w:rsid w:val="00CB3E94"/>
    <w:rsid w:val="00CB3EAB"/>
    <w:rsid w:val="00CB3EED"/>
    <w:rsid w:val="00CB3F97"/>
    <w:rsid w:val="00CB402B"/>
    <w:rsid w:val="00CB445C"/>
    <w:rsid w:val="00CB4642"/>
    <w:rsid w:val="00CB47DA"/>
    <w:rsid w:val="00CB4864"/>
    <w:rsid w:val="00CB4B09"/>
    <w:rsid w:val="00CB4BA9"/>
    <w:rsid w:val="00CB505C"/>
    <w:rsid w:val="00CB50DB"/>
    <w:rsid w:val="00CB52A3"/>
    <w:rsid w:val="00CB5320"/>
    <w:rsid w:val="00CB549E"/>
    <w:rsid w:val="00CB54B8"/>
    <w:rsid w:val="00CB5557"/>
    <w:rsid w:val="00CB5592"/>
    <w:rsid w:val="00CB598E"/>
    <w:rsid w:val="00CB5BF3"/>
    <w:rsid w:val="00CB5C12"/>
    <w:rsid w:val="00CB5CB5"/>
    <w:rsid w:val="00CB5D48"/>
    <w:rsid w:val="00CB5E42"/>
    <w:rsid w:val="00CB5EA6"/>
    <w:rsid w:val="00CB5EF3"/>
    <w:rsid w:val="00CB5F62"/>
    <w:rsid w:val="00CB5F66"/>
    <w:rsid w:val="00CB5FF3"/>
    <w:rsid w:val="00CB61D0"/>
    <w:rsid w:val="00CB625D"/>
    <w:rsid w:val="00CB65E7"/>
    <w:rsid w:val="00CB660B"/>
    <w:rsid w:val="00CB6822"/>
    <w:rsid w:val="00CB6844"/>
    <w:rsid w:val="00CB69AC"/>
    <w:rsid w:val="00CB69DB"/>
    <w:rsid w:val="00CB6AF5"/>
    <w:rsid w:val="00CB70E4"/>
    <w:rsid w:val="00CB7121"/>
    <w:rsid w:val="00CB71A5"/>
    <w:rsid w:val="00CB7211"/>
    <w:rsid w:val="00CB7564"/>
    <w:rsid w:val="00CB7637"/>
    <w:rsid w:val="00CB76AF"/>
    <w:rsid w:val="00CB76F1"/>
    <w:rsid w:val="00CB783C"/>
    <w:rsid w:val="00CB789C"/>
    <w:rsid w:val="00CB78AC"/>
    <w:rsid w:val="00CB7A2F"/>
    <w:rsid w:val="00CB7D88"/>
    <w:rsid w:val="00CB7DDA"/>
    <w:rsid w:val="00CB7E6A"/>
    <w:rsid w:val="00CB7E7F"/>
    <w:rsid w:val="00CC0351"/>
    <w:rsid w:val="00CC0419"/>
    <w:rsid w:val="00CC0500"/>
    <w:rsid w:val="00CC0942"/>
    <w:rsid w:val="00CC09CC"/>
    <w:rsid w:val="00CC0A1B"/>
    <w:rsid w:val="00CC0B26"/>
    <w:rsid w:val="00CC0DBC"/>
    <w:rsid w:val="00CC0E4D"/>
    <w:rsid w:val="00CC0EDD"/>
    <w:rsid w:val="00CC11A7"/>
    <w:rsid w:val="00CC13E8"/>
    <w:rsid w:val="00CC14B9"/>
    <w:rsid w:val="00CC158F"/>
    <w:rsid w:val="00CC1812"/>
    <w:rsid w:val="00CC1A83"/>
    <w:rsid w:val="00CC1B04"/>
    <w:rsid w:val="00CC1B7D"/>
    <w:rsid w:val="00CC1B9A"/>
    <w:rsid w:val="00CC1C29"/>
    <w:rsid w:val="00CC1C3F"/>
    <w:rsid w:val="00CC1DB1"/>
    <w:rsid w:val="00CC1E9D"/>
    <w:rsid w:val="00CC22E6"/>
    <w:rsid w:val="00CC2363"/>
    <w:rsid w:val="00CC248B"/>
    <w:rsid w:val="00CC26C0"/>
    <w:rsid w:val="00CC2768"/>
    <w:rsid w:val="00CC2854"/>
    <w:rsid w:val="00CC2A52"/>
    <w:rsid w:val="00CC2B0E"/>
    <w:rsid w:val="00CC2B5D"/>
    <w:rsid w:val="00CC2BC5"/>
    <w:rsid w:val="00CC2C9F"/>
    <w:rsid w:val="00CC2D66"/>
    <w:rsid w:val="00CC2E39"/>
    <w:rsid w:val="00CC2EBC"/>
    <w:rsid w:val="00CC30B8"/>
    <w:rsid w:val="00CC3183"/>
    <w:rsid w:val="00CC3291"/>
    <w:rsid w:val="00CC32C0"/>
    <w:rsid w:val="00CC34E4"/>
    <w:rsid w:val="00CC3557"/>
    <w:rsid w:val="00CC3564"/>
    <w:rsid w:val="00CC3621"/>
    <w:rsid w:val="00CC3725"/>
    <w:rsid w:val="00CC37BA"/>
    <w:rsid w:val="00CC37BC"/>
    <w:rsid w:val="00CC3BEB"/>
    <w:rsid w:val="00CC4053"/>
    <w:rsid w:val="00CC4201"/>
    <w:rsid w:val="00CC424F"/>
    <w:rsid w:val="00CC4421"/>
    <w:rsid w:val="00CC4549"/>
    <w:rsid w:val="00CC4715"/>
    <w:rsid w:val="00CC4AE9"/>
    <w:rsid w:val="00CC4AEE"/>
    <w:rsid w:val="00CC4B13"/>
    <w:rsid w:val="00CC4C6A"/>
    <w:rsid w:val="00CC4D4D"/>
    <w:rsid w:val="00CC4DF5"/>
    <w:rsid w:val="00CC502C"/>
    <w:rsid w:val="00CC5235"/>
    <w:rsid w:val="00CC5495"/>
    <w:rsid w:val="00CC566A"/>
    <w:rsid w:val="00CC5885"/>
    <w:rsid w:val="00CC5B34"/>
    <w:rsid w:val="00CC5BBE"/>
    <w:rsid w:val="00CC5BEF"/>
    <w:rsid w:val="00CC5C9D"/>
    <w:rsid w:val="00CC5F82"/>
    <w:rsid w:val="00CC5F8C"/>
    <w:rsid w:val="00CC5FEF"/>
    <w:rsid w:val="00CC62ED"/>
    <w:rsid w:val="00CC66D0"/>
    <w:rsid w:val="00CC67C4"/>
    <w:rsid w:val="00CC6888"/>
    <w:rsid w:val="00CC6B2E"/>
    <w:rsid w:val="00CC6B66"/>
    <w:rsid w:val="00CC6E76"/>
    <w:rsid w:val="00CC6F14"/>
    <w:rsid w:val="00CC713C"/>
    <w:rsid w:val="00CC71C3"/>
    <w:rsid w:val="00CC723B"/>
    <w:rsid w:val="00CC7256"/>
    <w:rsid w:val="00CC7260"/>
    <w:rsid w:val="00CC7390"/>
    <w:rsid w:val="00CC74E2"/>
    <w:rsid w:val="00CC794E"/>
    <w:rsid w:val="00CC7AC6"/>
    <w:rsid w:val="00CC7E63"/>
    <w:rsid w:val="00CC7E6F"/>
    <w:rsid w:val="00CC7ED2"/>
    <w:rsid w:val="00CD00E9"/>
    <w:rsid w:val="00CD0186"/>
    <w:rsid w:val="00CD048D"/>
    <w:rsid w:val="00CD0596"/>
    <w:rsid w:val="00CD05A1"/>
    <w:rsid w:val="00CD09FB"/>
    <w:rsid w:val="00CD0A54"/>
    <w:rsid w:val="00CD0AAD"/>
    <w:rsid w:val="00CD0AFE"/>
    <w:rsid w:val="00CD0CA0"/>
    <w:rsid w:val="00CD0D53"/>
    <w:rsid w:val="00CD0D6A"/>
    <w:rsid w:val="00CD0E34"/>
    <w:rsid w:val="00CD0E85"/>
    <w:rsid w:val="00CD0EDF"/>
    <w:rsid w:val="00CD1057"/>
    <w:rsid w:val="00CD1123"/>
    <w:rsid w:val="00CD112D"/>
    <w:rsid w:val="00CD11D5"/>
    <w:rsid w:val="00CD11D9"/>
    <w:rsid w:val="00CD1299"/>
    <w:rsid w:val="00CD15A2"/>
    <w:rsid w:val="00CD160D"/>
    <w:rsid w:val="00CD1624"/>
    <w:rsid w:val="00CD1873"/>
    <w:rsid w:val="00CD19D6"/>
    <w:rsid w:val="00CD1A40"/>
    <w:rsid w:val="00CD1BF9"/>
    <w:rsid w:val="00CD1D6D"/>
    <w:rsid w:val="00CD1D7D"/>
    <w:rsid w:val="00CD1F1A"/>
    <w:rsid w:val="00CD2012"/>
    <w:rsid w:val="00CD2017"/>
    <w:rsid w:val="00CD20EA"/>
    <w:rsid w:val="00CD2200"/>
    <w:rsid w:val="00CD22C6"/>
    <w:rsid w:val="00CD2499"/>
    <w:rsid w:val="00CD257A"/>
    <w:rsid w:val="00CD259D"/>
    <w:rsid w:val="00CD2636"/>
    <w:rsid w:val="00CD270A"/>
    <w:rsid w:val="00CD2959"/>
    <w:rsid w:val="00CD2990"/>
    <w:rsid w:val="00CD2A50"/>
    <w:rsid w:val="00CD2AD0"/>
    <w:rsid w:val="00CD2BEB"/>
    <w:rsid w:val="00CD2D18"/>
    <w:rsid w:val="00CD2FB2"/>
    <w:rsid w:val="00CD3130"/>
    <w:rsid w:val="00CD31B7"/>
    <w:rsid w:val="00CD3284"/>
    <w:rsid w:val="00CD339D"/>
    <w:rsid w:val="00CD3908"/>
    <w:rsid w:val="00CD39CC"/>
    <w:rsid w:val="00CD3AE6"/>
    <w:rsid w:val="00CD3D77"/>
    <w:rsid w:val="00CD3DD0"/>
    <w:rsid w:val="00CD3E9D"/>
    <w:rsid w:val="00CD3F28"/>
    <w:rsid w:val="00CD41A4"/>
    <w:rsid w:val="00CD4470"/>
    <w:rsid w:val="00CD4A0F"/>
    <w:rsid w:val="00CD4A1E"/>
    <w:rsid w:val="00CD4B34"/>
    <w:rsid w:val="00CD4E3D"/>
    <w:rsid w:val="00CD4E8F"/>
    <w:rsid w:val="00CD4ECD"/>
    <w:rsid w:val="00CD4FF2"/>
    <w:rsid w:val="00CD50D2"/>
    <w:rsid w:val="00CD5150"/>
    <w:rsid w:val="00CD516D"/>
    <w:rsid w:val="00CD534B"/>
    <w:rsid w:val="00CD541B"/>
    <w:rsid w:val="00CD5440"/>
    <w:rsid w:val="00CD5479"/>
    <w:rsid w:val="00CD54F0"/>
    <w:rsid w:val="00CD5651"/>
    <w:rsid w:val="00CD5729"/>
    <w:rsid w:val="00CD5A0A"/>
    <w:rsid w:val="00CD5EA5"/>
    <w:rsid w:val="00CD5F04"/>
    <w:rsid w:val="00CD60A6"/>
    <w:rsid w:val="00CD6288"/>
    <w:rsid w:val="00CD648A"/>
    <w:rsid w:val="00CD64DD"/>
    <w:rsid w:val="00CD666C"/>
    <w:rsid w:val="00CD69AF"/>
    <w:rsid w:val="00CD6C54"/>
    <w:rsid w:val="00CD6CED"/>
    <w:rsid w:val="00CD6E47"/>
    <w:rsid w:val="00CD6ED6"/>
    <w:rsid w:val="00CD6FD2"/>
    <w:rsid w:val="00CD6FEE"/>
    <w:rsid w:val="00CD6FEF"/>
    <w:rsid w:val="00CD7121"/>
    <w:rsid w:val="00CD718D"/>
    <w:rsid w:val="00CD72DA"/>
    <w:rsid w:val="00CD730E"/>
    <w:rsid w:val="00CD73EB"/>
    <w:rsid w:val="00CD7512"/>
    <w:rsid w:val="00CD7733"/>
    <w:rsid w:val="00CD786D"/>
    <w:rsid w:val="00CD790C"/>
    <w:rsid w:val="00CD79D9"/>
    <w:rsid w:val="00CD7B5A"/>
    <w:rsid w:val="00CD7B70"/>
    <w:rsid w:val="00CE0002"/>
    <w:rsid w:val="00CE04FC"/>
    <w:rsid w:val="00CE0710"/>
    <w:rsid w:val="00CE07EE"/>
    <w:rsid w:val="00CE0838"/>
    <w:rsid w:val="00CE0A19"/>
    <w:rsid w:val="00CE1150"/>
    <w:rsid w:val="00CE1371"/>
    <w:rsid w:val="00CE14DB"/>
    <w:rsid w:val="00CE15DE"/>
    <w:rsid w:val="00CE1A18"/>
    <w:rsid w:val="00CE1BB9"/>
    <w:rsid w:val="00CE1C0B"/>
    <w:rsid w:val="00CE1E7D"/>
    <w:rsid w:val="00CE2405"/>
    <w:rsid w:val="00CE26D7"/>
    <w:rsid w:val="00CE2706"/>
    <w:rsid w:val="00CE28EB"/>
    <w:rsid w:val="00CE290F"/>
    <w:rsid w:val="00CE2979"/>
    <w:rsid w:val="00CE2A1A"/>
    <w:rsid w:val="00CE2A2F"/>
    <w:rsid w:val="00CE2A8E"/>
    <w:rsid w:val="00CE2C39"/>
    <w:rsid w:val="00CE2D61"/>
    <w:rsid w:val="00CE2D99"/>
    <w:rsid w:val="00CE2DBB"/>
    <w:rsid w:val="00CE2EA7"/>
    <w:rsid w:val="00CE2FA4"/>
    <w:rsid w:val="00CE3108"/>
    <w:rsid w:val="00CE335A"/>
    <w:rsid w:val="00CE3393"/>
    <w:rsid w:val="00CE3413"/>
    <w:rsid w:val="00CE3691"/>
    <w:rsid w:val="00CE377F"/>
    <w:rsid w:val="00CE398E"/>
    <w:rsid w:val="00CE3A71"/>
    <w:rsid w:val="00CE3B7D"/>
    <w:rsid w:val="00CE3C79"/>
    <w:rsid w:val="00CE3EEA"/>
    <w:rsid w:val="00CE3F30"/>
    <w:rsid w:val="00CE44DD"/>
    <w:rsid w:val="00CE46AC"/>
    <w:rsid w:val="00CE46AD"/>
    <w:rsid w:val="00CE46FE"/>
    <w:rsid w:val="00CE4863"/>
    <w:rsid w:val="00CE4904"/>
    <w:rsid w:val="00CE4A30"/>
    <w:rsid w:val="00CE4C61"/>
    <w:rsid w:val="00CE4D04"/>
    <w:rsid w:val="00CE4DFE"/>
    <w:rsid w:val="00CE4F11"/>
    <w:rsid w:val="00CE4FCE"/>
    <w:rsid w:val="00CE5484"/>
    <w:rsid w:val="00CE5536"/>
    <w:rsid w:val="00CE555A"/>
    <w:rsid w:val="00CE55AB"/>
    <w:rsid w:val="00CE55F2"/>
    <w:rsid w:val="00CE5699"/>
    <w:rsid w:val="00CE578D"/>
    <w:rsid w:val="00CE5846"/>
    <w:rsid w:val="00CE58B0"/>
    <w:rsid w:val="00CE5922"/>
    <w:rsid w:val="00CE592F"/>
    <w:rsid w:val="00CE5A0B"/>
    <w:rsid w:val="00CE5AA0"/>
    <w:rsid w:val="00CE5AE3"/>
    <w:rsid w:val="00CE5B51"/>
    <w:rsid w:val="00CE5E0C"/>
    <w:rsid w:val="00CE5E17"/>
    <w:rsid w:val="00CE5E8F"/>
    <w:rsid w:val="00CE5F6F"/>
    <w:rsid w:val="00CE6234"/>
    <w:rsid w:val="00CE6382"/>
    <w:rsid w:val="00CE63CD"/>
    <w:rsid w:val="00CE6783"/>
    <w:rsid w:val="00CE6843"/>
    <w:rsid w:val="00CE6880"/>
    <w:rsid w:val="00CE689A"/>
    <w:rsid w:val="00CE68F7"/>
    <w:rsid w:val="00CE69AD"/>
    <w:rsid w:val="00CE69EC"/>
    <w:rsid w:val="00CE6AE7"/>
    <w:rsid w:val="00CE6BAF"/>
    <w:rsid w:val="00CE6F8F"/>
    <w:rsid w:val="00CE7127"/>
    <w:rsid w:val="00CE72FE"/>
    <w:rsid w:val="00CE73DA"/>
    <w:rsid w:val="00CE73FE"/>
    <w:rsid w:val="00CE74E3"/>
    <w:rsid w:val="00CE7572"/>
    <w:rsid w:val="00CE79ED"/>
    <w:rsid w:val="00CE7AE8"/>
    <w:rsid w:val="00CE7B03"/>
    <w:rsid w:val="00CE7C3A"/>
    <w:rsid w:val="00CE7DD5"/>
    <w:rsid w:val="00CE7F76"/>
    <w:rsid w:val="00CE7FB4"/>
    <w:rsid w:val="00CE7FF2"/>
    <w:rsid w:val="00CF007B"/>
    <w:rsid w:val="00CF01C0"/>
    <w:rsid w:val="00CF01E5"/>
    <w:rsid w:val="00CF03ED"/>
    <w:rsid w:val="00CF079B"/>
    <w:rsid w:val="00CF07D0"/>
    <w:rsid w:val="00CF0A91"/>
    <w:rsid w:val="00CF0B23"/>
    <w:rsid w:val="00CF0B3B"/>
    <w:rsid w:val="00CF0B8C"/>
    <w:rsid w:val="00CF0D32"/>
    <w:rsid w:val="00CF0D78"/>
    <w:rsid w:val="00CF0E7D"/>
    <w:rsid w:val="00CF11AF"/>
    <w:rsid w:val="00CF11C8"/>
    <w:rsid w:val="00CF16F2"/>
    <w:rsid w:val="00CF1710"/>
    <w:rsid w:val="00CF1853"/>
    <w:rsid w:val="00CF1928"/>
    <w:rsid w:val="00CF1AE1"/>
    <w:rsid w:val="00CF1AF7"/>
    <w:rsid w:val="00CF1C5A"/>
    <w:rsid w:val="00CF1D54"/>
    <w:rsid w:val="00CF1F3E"/>
    <w:rsid w:val="00CF1F57"/>
    <w:rsid w:val="00CF1F8B"/>
    <w:rsid w:val="00CF2053"/>
    <w:rsid w:val="00CF2159"/>
    <w:rsid w:val="00CF22DC"/>
    <w:rsid w:val="00CF2461"/>
    <w:rsid w:val="00CF25E3"/>
    <w:rsid w:val="00CF2994"/>
    <w:rsid w:val="00CF2A26"/>
    <w:rsid w:val="00CF2BDF"/>
    <w:rsid w:val="00CF2D15"/>
    <w:rsid w:val="00CF2D37"/>
    <w:rsid w:val="00CF3288"/>
    <w:rsid w:val="00CF329E"/>
    <w:rsid w:val="00CF3417"/>
    <w:rsid w:val="00CF347F"/>
    <w:rsid w:val="00CF34B1"/>
    <w:rsid w:val="00CF3576"/>
    <w:rsid w:val="00CF35AD"/>
    <w:rsid w:val="00CF37BB"/>
    <w:rsid w:val="00CF37E9"/>
    <w:rsid w:val="00CF37FD"/>
    <w:rsid w:val="00CF39B3"/>
    <w:rsid w:val="00CF3D7D"/>
    <w:rsid w:val="00CF44AD"/>
    <w:rsid w:val="00CF44B4"/>
    <w:rsid w:val="00CF461B"/>
    <w:rsid w:val="00CF468A"/>
    <w:rsid w:val="00CF4956"/>
    <w:rsid w:val="00CF4BEE"/>
    <w:rsid w:val="00CF4D0B"/>
    <w:rsid w:val="00CF4F33"/>
    <w:rsid w:val="00CF4FE3"/>
    <w:rsid w:val="00CF5014"/>
    <w:rsid w:val="00CF523A"/>
    <w:rsid w:val="00CF5348"/>
    <w:rsid w:val="00CF53EE"/>
    <w:rsid w:val="00CF54EA"/>
    <w:rsid w:val="00CF575B"/>
    <w:rsid w:val="00CF57DF"/>
    <w:rsid w:val="00CF58FC"/>
    <w:rsid w:val="00CF5917"/>
    <w:rsid w:val="00CF5A75"/>
    <w:rsid w:val="00CF5B5A"/>
    <w:rsid w:val="00CF5D8F"/>
    <w:rsid w:val="00CF5E55"/>
    <w:rsid w:val="00CF5E8B"/>
    <w:rsid w:val="00CF5F0A"/>
    <w:rsid w:val="00CF5F59"/>
    <w:rsid w:val="00CF6013"/>
    <w:rsid w:val="00CF61D0"/>
    <w:rsid w:val="00CF61F3"/>
    <w:rsid w:val="00CF628E"/>
    <w:rsid w:val="00CF62F0"/>
    <w:rsid w:val="00CF6407"/>
    <w:rsid w:val="00CF6579"/>
    <w:rsid w:val="00CF65FC"/>
    <w:rsid w:val="00CF661E"/>
    <w:rsid w:val="00CF66CF"/>
    <w:rsid w:val="00CF6881"/>
    <w:rsid w:val="00CF6884"/>
    <w:rsid w:val="00CF6992"/>
    <w:rsid w:val="00CF6A99"/>
    <w:rsid w:val="00CF6C35"/>
    <w:rsid w:val="00CF6C3D"/>
    <w:rsid w:val="00CF6C56"/>
    <w:rsid w:val="00CF6E2F"/>
    <w:rsid w:val="00CF703D"/>
    <w:rsid w:val="00CF70D8"/>
    <w:rsid w:val="00CF71A7"/>
    <w:rsid w:val="00CF72ED"/>
    <w:rsid w:val="00CF7346"/>
    <w:rsid w:val="00CF7721"/>
    <w:rsid w:val="00CF773B"/>
    <w:rsid w:val="00CF780D"/>
    <w:rsid w:val="00CF78A4"/>
    <w:rsid w:val="00CF78E3"/>
    <w:rsid w:val="00CF7A15"/>
    <w:rsid w:val="00CF7AF7"/>
    <w:rsid w:val="00D00041"/>
    <w:rsid w:val="00D000BC"/>
    <w:rsid w:val="00D002F0"/>
    <w:rsid w:val="00D003DE"/>
    <w:rsid w:val="00D0041B"/>
    <w:rsid w:val="00D007C1"/>
    <w:rsid w:val="00D00927"/>
    <w:rsid w:val="00D00C26"/>
    <w:rsid w:val="00D0103A"/>
    <w:rsid w:val="00D012CA"/>
    <w:rsid w:val="00D01330"/>
    <w:rsid w:val="00D01363"/>
    <w:rsid w:val="00D01415"/>
    <w:rsid w:val="00D0162C"/>
    <w:rsid w:val="00D0164B"/>
    <w:rsid w:val="00D01753"/>
    <w:rsid w:val="00D0178F"/>
    <w:rsid w:val="00D0180C"/>
    <w:rsid w:val="00D01977"/>
    <w:rsid w:val="00D019EB"/>
    <w:rsid w:val="00D01B06"/>
    <w:rsid w:val="00D01B93"/>
    <w:rsid w:val="00D01C3C"/>
    <w:rsid w:val="00D02146"/>
    <w:rsid w:val="00D021F6"/>
    <w:rsid w:val="00D0279F"/>
    <w:rsid w:val="00D027DE"/>
    <w:rsid w:val="00D029D9"/>
    <w:rsid w:val="00D02EFA"/>
    <w:rsid w:val="00D02F2A"/>
    <w:rsid w:val="00D02FAA"/>
    <w:rsid w:val="00D0307D"/>
    <w:rsid w:val="00D03120"/>
    <w:rsid w:val="00D0328A"/>
    <w:rsid w:val="00D0345F"/>
    <w:rsid w:val="00D037B5"/>
    <w:rsid w:val="00D037BC"/>
    <w:rsid w:val="00D03890"/>
    <w:rsid w:val="00D03892"/>
    <w:rsid w:val="00D038A7"/>
    <w:rsid w:val="00D03B68"/>
    <w:rsid w:val="00D03B80"/>
    <w:rsid w:val="00D03BF6"/>
    <w:rsid w:val="00D03C1E"/>
    <w:rsid w:val="00D03D1E"/>
    <w:rsid w:val="00D03D8C"/>
    <w:rsid w:val="00D04561"/>
    <w:rsid w:val="00D04568"/>
    <w:rsid w:val="00D04745"/>
    <w:rsid w:val="00D047DA"/>
    <w:rsid w:val="00D04A01"/>
    <w:rsid w:val="00D04C70"/>
    <w:rsid w:val="00D04C8B"/>
    <w:rsid w:val="00D04D95"/>
    <w:rsid w:val="00D05467"/>
    <w:rsid w:val="00D05679"/>
    <w:rsid w:val="00D05738"/>
    <w:rsid w:val="00D05793"/>
    <w:rsid w:val="00D0587C"/>
    <w:rsid w:val="00D05924"/>
    <w:rsid w:val="00D05AF2"/>
    <w:rsid w:val="00D05FA3"/>
    <w:rsid w:val="00D06399"/>
    <w:rsid w:val="00D06532"/>
    <w:rsid w:val="00D065B0"/>
    <w:rsid w:val="00D06647"/>
    <w:rsid w:val="00D066A7"/>
    <w:rsid w:val="00D066B8"/>
    <w:rsid w:val="00D066C8"/>
    <w:rsid w:val="00D06856"/>
    <w:rsid w:val="00D068CC"/>
    <w:rsid w:val="00D06990"/>
    <w:rsid w:val="00D06B39"/>
    <w:rsid w:val="00D06B3D"/>
    <w:rsid w:val="00D06E03"/>
    <w:rsid w:val="00D070A8"/>
    <w:rsid w:val="00D07238"/>
    <w:rsid w:val="00D0728A"/>
    <w:rsid w:val="00D0779E"/>
    <w:rsid w:val="00D077A4"/>
    <w:rsid w:val="00D0780A"/>
    <w:rsid w:val="00D07947"/>
    <w:rsid w:val="00D079E9"/>
    <w:rsid w:val="00D07AB7"/>
    <w:rsid w:val="00D07B96"/>
    <w:rsid w:val="00D07C09"/>
    <w:rsid w:val="00D07C60"/>
    <w:rsid w:val="00D07E71"/>
    <w:rsid w:val="00D07F8C"/>
    <w:rsid w:val="00D102C3"/>
    <w:rsid w:val="00D1067F"/>
    <w:rsid w:val="00D10842"/>
    <w:rsid w:val="00D108B0"/>
    <w:rsid w:val="00D10AF1"/>
    <w:rsid w:val="00D10BA0"/>
    <w:rsid w:val="00D10BA3"/>
    <w:rsid w:val="00D10DFD"/>
    <w:rsid w:val="00D10F2F"/>
    <w:rsid w:val="00D10FDA"/>
    <w:rsid w:val="00D1103F"/>
    <w:rsid w:val="00D111C0"/>
    <w:rsid w:val="00D11235"/>
    <w:rsid w:val="00D113F3"/>
    <w:rsid w:val="00D1140C"/>
    <w:rsid w:val="00D1152D"/>
    <w:rsid w:val="00D11619"/>
    <w:rsid w:val="00D117FD"/>
    <w:rsid w:val="00D118A7"/>
    <w:rsid w:val="00D11B53"/>
    <w:rsid w:val="00D11F32"/>
    <w:rsid w:val="00D11F3D"/>
    <w:rsid w:val="00D12047"/>
    <w:rsid w:val="00D1246E"/>
    <w:rsid w:val="00D125F4"/>
    <w:rsid w:val="00D12781"/>
    <w:rsid w:val="00D12996"/>
    <w:rsid w:val="00D12C01"/>
    <w:rsid w:val="00D12C5B"/>
    <w:rsid w:val="00D12E0E"/>
    <w:rsid w:val="00D12EF7"/>
    <w:rsid w:val="00D12EF9"/>
    <w:rsid w:val="00D130D1"/>
    <w:rsid w:val="00D132EA"/>
    <w:rsid w:val="00D136F8"/>
    <w:rsid w:val="00D137D9"/>
    <w:rsid w:val="00D13977"/>
    <w:rsid w:val="00D13D8E"/>
    <w:rsid w:val="00D13F01"/>
    <w:rsid w:val="00D13F30"/>
    <w:rsid w:val="00D13F6B"/>
    <w:rsid w:val="00D13FED"/>
    <w:rsid w:val="00D14057"/>
    <w:rsid w:val="00D1406D"/>
    <w:rsid w:val="00D143FB"/>
    <w:rsid w:val="00D1445F"/>
    <w:rsid w:val="00D14558"/>
    <w:rsid w:val="00D1466E"/>
    <w:rsid w:val="00D14687"/>
    <w:rsid w:val="00D14693"/>
    <w:rsid w:val="00D146BC"/>
    <w:rsid w:val="00D14CC0"/>
    <w:rsid w:val="00D14E17"/>
    <w:rsid w:val="00D1512D"/>
    <w:rsid w:val="00D1523D"/>
    <w:rsid w:val="00D152EE"/>
    <w:rsid w:val="00D1532C"/>
    <w:rsid w:val="00D15446"/>
    <w:rsid w:val="00D15544"/>
    <w:rsid w:val="00D155A7"/>
    <w:rsid w:val="00D156FE"/>
    <w:rsid w:val="00D157A1"/>
    <w:rsid w:val="00D1591F"/>
    <w:rsid w:val="00D15960"/>
    <w:rsid w:val="00D15A42"/>
    <w:rsid w:val="00D15A9F"/>
    <w:rsid w:val="00D15B03"/>
    <w:rsid w:val="00D15B84"/>
    <w:rsid w:val="00D15C38"/>
    <w:rsid w:val="00D15C82"/>
    <w:rsid w:val="00D15CD3"/>
    <w:rsid w:val="00D15E00"/>
    <w:rsid w:val="00D15E98"/>
    <w:rsid w:val="00D15EDB"/>
    <w:rsid w:val="00D16073"/>
    <w:rsid w:val="00D160CC"/>
    <w:rsid w:val="00D161EA"/>
    <w:rsid w:val="00D16206"/>
    <w:rsid w:val="00D162E7"/>
    <w:rsid w:val="00D1635C"/>
    <w:rsid w:val="00D163AD"/>
    <w:rsid w:val="00D1663A"/>
    <w:rsid w:val="00D169EE"/>
    <w:rsid w:val="00D169FE"/>
    <w:rsid w:val="00D16B2A"/>
    <w:rsid w:val="00D16B40"/>
    <w:rsid w:val="00D16CA3"/>
    <w:rsid w:val="00D16CEC"/>
    <w:rsid w:val="00D16CFC"/>
    <w:rsid w:val="00D16DF4"/>
    <w:rsid w:val="00D16E9E"/>
    <w:rsid w:val="00D16F3D"/>
    <w:rsid w:val="00D171FE"/>
    <w:rsid w:val="00D1724E"/>
    <w:rsid w:val="00D17460"/>
    <w:rsid w:val="00D17482"/>
    <w:rsid w:val="00D17734"/>
    <w:rsid w:val="00D177B9"/>
    <w:rsid w:val="00D177E3"/>
    <w:rsid w:val="00D178DE"/>
    <w:rsid w:val="00D17C9C"/>
    <w:rsid w:val="00D17D7D"/>
    <w:rsid w:val="00D2003F"/>
    <w:rsid w:val="00D20093"/>
    <w:rsid w:val="00D200F9"/>
    <w:rsid w:val="00D20288"/>
    <w:rsid w:val="00D20452"/>
    <w:rsid w:val="00D205DE"/>
    <w:rsid w:val="00D206AD"/>
    <w:rsid w:val="00D20742"/>
    <w:rsid w:val="00D207D3"/>
    <w:rsid w:val="00D20C78"/>
    <w:rsid w:val="00D2129C"/>
    <w:rsid w:val="00D2131D"/>
    <w:rsid w:val="00D2172D"/>
    <w:rsid w:val="00D21789"/>
    <w:rsid w:val="00D21793"/>
    <w:rsid w:val="00D2192F"/>
    <w:rsid w:val="00D219C7"/>
    <w:rsid w:val="00D21A55"/>
    <w:rsid w:val="00D21D63"/>
    <w:rsid w:val="00D21DBA"/>
    <w:rsid w:val="00D2227B"/>
    <w:rsid w:val="00D22475"/>
    <w:rsid w:val="00D227CA"/>
    <w:rsid w:val="00D22931"/>
    <w:rsid w:val="00D229CF"/>
    <w:rsid w:val="00D22AF3"/>
    <w:rsid w:val="00D22B05"/>
    <w:rsid w:val="00D22BA1"/>
    <w:rsid w:val="00D22EC3"/>
    <w:rsid w:val="00D22EFC"/>
    <w:rsid w:val="00D22F1C"/>
    <w:rsid w:val="00D230A6"/>
    <w:rsid w:val="00D231D3"/>
    <w:rsid w:val="00D2324E"/>
    <w:rsid w:val="00D234F2"/>
    <w:rsid w:val="00D23598"/>
    <w:rsid w:val="00D235D8"/>
    <w:rsid w:val="00D236E5"/>
    <w:rsid w:val="00D23750"/>
    <w:rsid w:val="00D23A91"/>
    <w:rsid w:val="00D23F70"/>
    <w:rsid w:val="00D23FA4"/>
    <w:rsid w:val="00D241A0"/>
    <w:rsid w:val="00D241A1"/>
    <w:rsid w:val="00D24309"/>
    <w:rsid w:val="00D24D4B"/>
    <w:rsid w:val="00D24DF6"/>
    <w:rsid w:val="00D24F0E"/>
    <w:rsid w:val="00D24F1E"/>
    <w:rsid w:val="00D24F2F"/>
    <w:rsid w:val="00D24FAD"/>
    <w:rsid w:val="00D25051"/>
    <w:rsid w:val="00D25157"/>
    <w:rsid w:val="00D2577B"/>
    <w:rsid w:val="00D2583F"/>
    <w:rsid w:val="00D25B23"/>
    <w:rsid w:val="00D25BC8"/>
    <w:rsid w:val="00D25DDD"/>
    <w:rsid w:val="00D25E08"/>
    <w:rsid w:val="00D25E2B"/>
    <w:rsid w:val="00D26021"/>
    <w:rsid w:val="00D2638A"/>
    <w:rsid w:val="00D263C8"/>
    <w:rsid w:val="00D26556"/>
    <w:rsid w:val="00D26597"/>
    <w:rsid w:val="00D265C1"/>
    <w:rsid w:val="00D26775"/>
    <w:rsid w:val="00D26887"/>
    <w:rsid w:val="00D268B5"/>
    <w:rsid w:val="00D268FC"/>
    <w:rsid w:val="00D26900"/>
    <w:rsid w:val="00D26A59"/>
    <w:rsid w:val="00D26C56"/>
    <w:rsid w:val="00D26D4D"/>
    <w:rsid w:val="00D26F5F"/>
    <w:rsid w:val="00D2704A"/>
    <w:rsid w:val="00D271E3"/>
    <w:rsid w:val="00D271FC"/>
    <w:rsid w:val="00D272A5"/>
    <w:rsid w:val="00D27809"/>
    <w:rsid w:val="00D2785D"/>
    <w:rsid w:val="00D27860"/>
    <w:rsid w:val="00D278D1"/>
    <w:rsid w:val="00D278F3"/>
    <w:rsid w:val="00D27A4A"/>
    <w:rsid w:val="00D27AF6"/>
    <w:rsid w:val="00D27C47"/>
    <w:rsid w:val="00D27FB6"/>
    <w:rsid w:val="00D30129"/>
    <w:rsid w:val="00D3025B"/>
    <w:rsid w:val="00D302B0"/>
    <w:rsid w:val="00D303F0"/>
    <w:rsid w:val="00D3053F"/>
    <w:rsid w:val="00D30646"/>
    <w:rsid w:val="00D30839"/>
    <w:rsid w:val="00D30987"/>
    <w:rsid w:val="00D309B7"/>
    <w:rsid w:val="00D30CC0"/>
    <w:rsid w:val="00D30E81"/>
    <w:rsid w:val="00D30F06"/>
    <w:rsid w:val="00D30F51"/>
    <w:rsid w:val="00D30FE2"/>
    <w:rsid w:val="00D31108"/>
    <w:rsid w:val="00D31224"/>
    <w:rsid w:val="00D31381"/>
    <w:rsid w:val="00D3139A"/>
    <w:rsid w:val="00D313D0"/>
    <w:rsid w:val="00D3156C"/>
    <w:rsid w:val="00D317AA"/>
    <w:rsid w:val="00D317DC"/>
    <w:rsid w:val="00D318A6"/>
    <w:rsid w:val="00D3194F"/>
    <w:rsid w:val="00D31970"/>
    <w:rsid w:val="00D319E8"/>
    <w:rsid w:val="00D31BE5"/>
    <w:rsid w:val="00D31CBD"/>
    <w:rsid w:val="00D31D1C"/>
    <w:rsid w:val="00D31E0D"/>
    <w:rsid w:val="00D31E71"/>
    <w:rsid w:val="00D320EC"/>
    <w:rsid w:val="00D32387"/>
    <w:rsid w:val="00D323CA"/>
    <w:rsid w:val="00D326E9"/>
    <w:rsid w:val="00D326F8"/>
    <w:rsid w:val="00D32A62"/>
    <w:rsid w:val="00D32B9C"/>
    <w:rsid w:val="00D32C8F"/>
    <w:rsid w:val="00D32CBB"/>
    <w:rsid w:val="00D32CC3"/>
    <w:rsid w:val="00D32FBA"/>
    <w:rsid w:val="00D33087"/>
    <w:rsid w:val="00D330A7"/>
    <w:rsid w:val="00D33180"/>
    <w:rsid w:val="00D33585"/>
    <w:rsid w:val="00D336E1"/>
    <w:rsid w:val="00D33768"/>
    <w:rsid w:val="00D3376C"/>
    <w:rsid w:val="00D33878"/>
    <w:rsid w:val="00D33A49"/>
    <w:rsid w:val="00D33BD1"/>
    <w:rsid w:val="00D33C7D"/>
    <w:rsid w:val="00D33D00"/>
    <w:rsid w:val="00D33E8A"/>
    <w:rsid w:val="00D33EAB"/>
    <w:rsid w:val="00D3421E"/>
    <w:rsid w:val="00D34329"/>
    <w:rsid w:val="00D3432C"/>
    <w:rsid w:val="00D3444D"/>
    <w:rsid w:val="00D346BC"/>
    <w:rsid w:val="00D347B5"/>
    <w:rsid w:val="00D34887"/>
    <w:rsid w:val="00D34972"/>
    <w:rsid w:val="00D34987"/>
    <w:rsid w:val="00D349B6"/>
    <w:rsid w:val="00D34E03"/>
    <w:rsid w:val="00D34E9B"/>
    <w:rsid w:val="00D3509A"/>
    <w:rsid w:val="00D351B9"/>
    <w:rsid w:val="00D351DB"/>
    <w:rsid w:val="00D352FD"/>
    <w:rsid w:val="00D3561F"/>
    <w:rsid w:val="00D35715"/>
    <w:rsid w:val="00D35723"/>
    <w:rsid w:val="00D357CD"/>
    <w:rsid w:val="00D358C0"/>
    <w:rsid w:val="00D3592A"/>
    <w:rsid w:val="00D35A19"/>
    <w:rsid w:val="00D35B52"/>
    <w:rsid w:val="00D35B70"/>
    <w:rsid w:val="00D35C14"/>
    <w:rsid w:val="00D35E79"/>
    <w:rsid w:val="00D35ED9"/>
    <w:rsid w:val="00D35F2E"/>
    <w:rsid w:val="00D36110"/>
    <w:rsid w:val="00D3614E"/>
    <w:rsid w:val="00D361DA"/>
    <w:rsid w:val="00D36300"/>
    <w:rsid w:val="00D3631A"/>
    <w:rsid w:val="00D3645E"/>
    <w:rsid w:val="00D36475"/>
    <w:rsid w:val="00D364F7"/>
    <w:rsid w:val="00D36847"/>
    <w:rsid w:val="00D36D14"/>
    <w:rsid w:val="00D36D69"/>
    <w:rsid w:val="00D37090"/>
    <w:rsid w:val="00D371CB"/>
    <w:rsid w:val="00D3725E"/>
    <w:rsid w:val="00D3731B"/>
    <w:rsid w:val="00D3736A"/>
    <w:rsid w:val="00D37460"/>
    <w:rsid w:val="00D374C6"/>
    <w:rsid w:val="00D37A77"/>
    <w:rsid w:val="00D37F34"/>
    <w:rsid w:val="00D40066"/>
    <w:rsid w:val="00D401D7"/>
    <w:rsid w:val="00D402A9"/>
    <w:rsid w:val="00D404D8"/>
    <w:rsid w:val="00D4092E"/>
    <w:rsid w:val="00D40B89"/>
    <w:rsid w:val="00D40BCD"/>
    <w:rsid w:val="00D40CB4"/>
    <w:rsid w:val="00D40CE0"/>
    <w:rsid w:val="00D40E91"/>
    <w:rsid w:val="00D410DE"/>
    <w:rsid w:val="00D413AF"/>
    <w:rsid w:val="00D414F7"/>
    <w:rsid w:val="00D415A2"/>
    <w:rsid w:val="00D41726"/>
    <w:rsid w:val="00D41AE4"/>
    <w:rsid w:val="00D41BD8"/>
    <w:rsid w:val="00D41DCC"/>
    <w:rsid w:val="00D41ED9"/>
    <w:rsid w:val="00D41FFC"/>
    <w:rsid w:val="00D42083"/>
    <w:rsid w:val="00D420DD"/>
    <w:rsid w:val="00D4215F"/>
    <w:rsid w:val="00D42190"/>
    <w:rsid w:val="00D42362"/>
    <w:rsid w:val="00D4242F"/>
    <w:rsid w:val="00D424E8"/>
    <w:rsid w:val="00D425C3"/>
    <w:rsid w:val="00D427A8"/>
    <w:rsid w:val="00D4288F"/>
    <w:rsid w:val="00D428CB"/>
    <w:rsid w:val="00D42A3D"/>
    <w:rsid w:val="00D42CAD"/>
    <w:rsid w:val="00D42D6F"/>
    <w:rsid w:val="00D430C4"/>
    <w:rsid w:val="00D43106"/>
    <w:rsid w:val="00D431EA"/>
    <w:rsid w:val="00D4330C"/>
    <w:rsid w:val="00D434AC"/>
    <w:rsid w:val="00D4354A"/>
    <w:rsid w:val="00D4357E"/>
    <w:rsid w:val="00D43669"/>
    <w:rsid w:val="00D43751"/>
    <w:rsid w:val="00D437F8"/>
    <w:rsid w:val="00D43895"/>
    <w:rsid w:val="00D43971"/>
    <w:rsid w:val="00D43986"/>
    <w:rsid w:val="00D43A2A"/>
    <w:rsid w:val="00D43CCA"/>
    <w:rsid w:val="00D43E95"/>
    <w:rsid w:val="00D442D0"/>
    <w:rsid w:val="00D443BD"/>
    <w:rsid w:val="00D44554"/>
    <w:rsid w:val="00D448BB"/>
    <w:rsid w:val="00D44BA8"/>
    <w:rsid w:val="00D44BD6"/>
    <w:rsid w:val="00D44F0A"/>
    <w:rsid w:val="00D452B1"/>
    <w:rsid w:val="00D4533E"/>
    <w:rsid w:val="00D4542F"/>
    <w:rsid w:val="00D4547D"/>
    <w:rsid w:val="00D454DF"/>
    <w:rsid w:val="00D4562C"/>
    <w:rsid w:val="00D456F4"/>
    <w:rsid w:val="00D45969"/>
    <w:rsid w:val="00D45A72"/>
    <w:rsid w:val="00D45BA8"/>
    <w:rsid w:val="00D45F5C"/>
    <w:rsid w:val="00D461F5"/>
    <w:rsid w:val="00D46376"/>
    <w:rsid w:val="00D46498"/>
    <w:rsid w:val="00D46678"/>
    <w:rsid w:val="00D467C3"/>
    <w:rsid w:val="00D46969"/>
    <w:rsid w:val="00D469EC"/>
    <w:rsid w:val="00D46A06"/>
    <w:rsid w:val="00D46BEA"/>
    <w:rsid w:val="00D46D6E"/>
    <w:rsid w:val="00D46DD2"/>
    <w:rsid w:val="00D46E21"/>
    <w:rsid w:val="00D46ED5"/>
    <w:rsid w:val="00D46EFE"/>
    <w:rsid w:val="00D471F7"/>
    <w:rsid w:val="00D472BE"/>
    <w:rsid w:val="00D47A55"/>
    <w:rsid w:val="00D47AA6"/>
    <w:rsid w:val="00D47B77"/>
    <w:rsid w:val="00D47B9B"/>
    <w:rsid w:val="00D47D03"/>
    <w:rsid w:val="00D47E0C"/>
    <w:rsid w:val="00D503CC"/>
    <w:rsid w:val="00D50583"/>
    <w:rsid w:val="00D50849"/>
    <w:rsid w:val="00D509D8"/>
    <w:rsid w:val="00D50D8B"/>
    <w:rsid w:val="00D50DB2"/>
    <w:rsid w:val="00D50F85"/>
    <w:rsid w:val="00D51398"/>
    <w:rsid w:val="00D515D3"/>
    <w:rsid w:val="00D51633"/>
    <w:rsid w:val="00D519CE"/>
    <w:rsid w:val="00D51A79"/>
    <w:rsid w:val="00D51A86"/>
    <w:rsid w:val="00D51B00"/>
    <w:rsid w:val="00D51EC6"/>
    <w:rsid w:val="00D52027"/>
    <w:rsid w:val="00D52259"/>
    <w:rsid w:val="00D523C3"/>
    <w:rsid w:val="00D525B6"/>
    <w:rsid w:val="00D52638"/>
    <w:rsid w:val="00D52684"/>
    <w:rsid w:val="00D52691"/>
    <w:rsid w:val="00D5292D"/>
    <w:rsid w:val="00D52A6A"/>
    <w:rsid w:val="00D52F6E"/>
    <w:rsid w:val="00D52F72"/>
    <w:rsid w:val="00D53001"/>
    <w:rsid w:val="00D53235"/>
    <w:rsid w:val="00D53285"/>
    <w:rsid w:val="00D532F4"/>
    <w:rsid w:val="00D534B2"/>
    <w:rsid w:val="00D53585"/>
    <w:rsid w:val="00D5372C"/>
    <w:rsid w:val="00D538CA"/>
    <w:rsid w:val="00D53A18"/>
    <w:rsid w:val="00D53AEB"/>
    <w:rsid w:val="00D53D36"/>
    <w:rsid w:val="00D53E50"/>
    <w:rsid w:val="00D5409F"/>
    <w:rsid w:val="00D54284"/>
    <w:rsid w:val="00D5452E"/>
    <w:rsid w:val="00D54866"/>
    <w:rsid w:val="00D548B8"/>
    <w:rsid w:val="00D5492A"/>
    <w:rsid w:val="00D54992"/>
    <w:rsid w:val="00D54A74"/>
    <w:rsid w:val="00D55087"/>
    <w:rsid w:val="00D550BA"/>
    <w:rsid w:val="00D551DF"/>
    <w:rsid w:val="00D55515"/>
    <w:rsid w:val="00D55739"/>
    <w:rsid w:val="00D55855"/>
    <w:rsid w:val="00D559F9"/>
    <w:rsid w:val="00D55AF3"/>
    <w:rsid w:val="00D55B59"/>
    <w:rsid w:val="00D55C06"/>
    <w:rsid w:val="00D560E8"/>
    <w:rsid w:val="00D562DB"/>
    <w:rsid w:val="00D562EB"/>
    <w:rsid w:val="00D5632D"/>
    <w:rsid w:val="00D5644C"/>
    <w:rsid w:val="00D56477"/>
    <w:rsid w:val="00D5659E"/>
    <w:rsid w:val="00D5683B"/>
    <w:rsid w:val="00D56905"/>
    <w:rsid w:val="00D56912"/>
    <w:rsid w:val="00D569DB"/>
    <w:rsid w:val="00D56CA8"/>
    <w:rsid w:val="00D56EB8"/>
    <w:rsid w:val="00D5700D"/>
    <w:rsid w:val="00D571D4"/>
    <w:rsid w:val="00D573DC"/>
    <w:rsid w:val="00D57443"/>
    <w:rsid w:val="00D57467"/>
    <w:rsid w:val="00D5770A"/>
    <w:rsid w:val="00D579C7"/>
    <w:rsid w:val="00D57AFB"/>
    <w:rsid w:val="00D57BD6"/>
    <w:rsid w:val="00D57C9A"/>
    <w:rsid w:val="00D57E03"/>
    <w:rsid w:val="00D60052"/>
    <w:rsid w:val="00D6020C"/>
    <w:rsid w:val="00D60432"/>
    <w:rsid w:val="00D605EB"/>
    <w:rsid w:val="00D606B1"/>
    <w:rsid w:val="00D60844"/>
    <w:rsid w:val="00D60889"/>
    <w:rsid w:val="00D609F9"/>
    <w:rsid w:val="00D60BFD"/>
    <w:rsid w:val="00D60CE8"/>
    <w:rsid w:val="00D60FC3"/>
    <w:rsid w:val="00D610B9"/>
    <w:rsid w:val="00D6124B"/>
    <w:rsid w:val="00D61260"/>
    <w:rsid w:val="00D6130E"/>
    <w:rsid w:val="00D61442"/>
    <w:rsid w:val="00D6150C"/>
    <w:rsid w:val="00D61902"/>
    <w:rsid w:val="00D61956"/>
    <w:rsid w:val="00D61C6A"/>
    <w:rsid w:val="00D61C7E"/>
    <w:rsid w:val="00D623F4"/>
    <w:rsid w:val="00D623FF"/>
    <w:rsid w:val="00D624E4"/>
    <w:rsid w:val="00D62839"/>
    <w:rsid w:val="00D62AD9"/>
    <w:rsid w:val="00D62F13"/>
    <w:rsid w:val="00D62FAE"/>
    <w:rsid w:val="00D631EF"/>
    <w:rsid w:val="00D631FB"/>
    <w:rsid w:val="00D6322F"/>
    <w:rsid w:val="00D63334"/>
    <w:rsid w:val="00D63408"/>
    <w:rsid w:val="00D63535"/>
    <w:rsid w:val="00D635BB"/>
    <w:rsid w:val="00D63695"/>
    <w:rsid w:val="00D637B3"/>
    <w:rsid w:val="00D638C8"/>
    <w:rsid w:val="00D63A76"/>
    <w:rsid w:val="00D63AE9"/>
    <w:rsid w:val="00D63B35"/>
    <w:rsid w:val="00D63B57"/>
    <w:rsid w:val="00D63BA9"/>
    <w:rsid w:val="00D63BCA"/>
    <w:rsid w:val="00D63CE6"/>
    <w:rsid w:val="00D63D38"/>
    <w:rsid w:val="00D63D9F"/>
    <w:rsid w:val="00D63EF8"/>
    <w:rsid w:val="00D63F4E"/>
    <w:rsid w:val="00D63F9B"/>
    <w:rsid w:val="00D6424E"/>
    <w:rsid w:val="00D64318"/>
    <w:rsid w:val="00D643FF"/>
    <w:rsid w:val="00D644DA"/>
    <w:rsid w:val="00D64522"/>
    <w:rsid w:val="00D64855"/>
    <w:rsid w:val="00D64AB8"/>
    <w:rsid w:val="00D64AF4"/>
    <w:rsid w:val="00D64D18"/>
    <w:rsid w:val="00D64D52"/>
    <w:rsid w:val="00D64DA4"/>
    <w:rsid w:val="00D64E70"/>
    <w:rsid w:val="00D64F1D"/>
    <w:rsid w:val="00D64F5A"/>
    <w:rsid w:val="00D650C8"/>
    <w:rsid w:val="00D65164"/>
    <w:rsid w:val="00D6530A"/>
    <w:rsid w:val="00D655C3"/>
    <w:rsid w:val="00D6597D"/>
    <w:rsid w:val="00D65B2E"/>
    <w:rsid w:val="00D65DA7"/>
    <w:rsid w:val="00D65E0B"/>
    <w:rsid w:val="00D65F13"/>
    <w:rsid w:val="00D65F14"/>
    <w:rsid w:val="00D660B4"/>
    <w:rsid w:val="00D661B8"/>
    <w:rsid w:val="00D66212"/>
    <w:rsid w:val="00D6633D"/>
    <w:rsid w:val="00D66567"/>
    <w:rsid w:val="00D66606"/>
    <w:rsid w:val="00D66C37"/>
    <w:rsid w:val="00D66FC9"/>
    <w:rsid w:val="00D67184"/>
    <w:rsid w:val="00D672C4"/>
    <w:rsid w:val="00D67372"/>
    <w:rsid w:val="00D6793D"/>
    <w:rsid w:val="00D67A2C"/>
    <w:rsid w:val="00D67A9D"/>
    <w:rsid w:val="00D67AF9"/>
    <w:rsid w:val="00D67B3E"/>
    <w:rsid w:val="00D67E3B"/>
    <w:rsid w:val="00D700B7"/>
    <w:rsid w:val="00D700CE"/>
    <w:rsid w:val="00D7016C"/>
    <w:rsid w:val="00D70617"/>
    <w:rsid w:val="00D707B7"/>
    <w:rsid w:val="00D707D2"/>
    <w:rsid w:val="00D70AB4"/>
    <w:rsid w:val="00D70B28"/>
    <w:rsid w:val="00D70B93"/>
    <w:rsid w:val="00D70BB0"/>
    <w:rsid w:val="00D70BD6"/>
    <w:rsid w:val="00D70C76"/>
    <w:rsid w:val="00D70E68"/>
    <w:rsid w:val="00D70E6A"/>
    <w:rsid w:val="00D70EBB"/>
    <w:rsid w:val="00D70FAB"/>
    <w:rsid w:val="00D71330"/>
    <w:rsid w:val="00D718D5"/>
    <w:rsid w:val="00D71992"/>
    <w:rsid w:val="00D71A39"/>
    <w:rsid w:val="00D71B16"/>
    <w:rsid w:val="00D71B3B"/>
    <w:rsid w:val="00D71B89"/>
    <w:rsid w:val="00D71CB7"/>
    <w:rsid w:val="00D71D1B"/>
    <w:rsid w:val="00D71E1A"/>
    <w:rsid w:val="00D71F37"/>
    <w:rsid w:val="00D71FA1"/>
    <w:rsid w:val="00D722EC"/>
    <w:rsid w:val="00D72359"/>
    <w:rsid w:val="00D727BF"/>
    <w:rsid w:val="00D7284B"/>
    <w:rsid w:val="00D72901"/>
    <w:rsid w:val="00D72AFF"/>
    <w:rsid w:val="00D72CAD"/>
    <w:rsid w:val="00D72E2B"/>
    <w:rsid w:val="00D72EC4"/>
    <w:rsid w:val="00D72F5A"/>
    <w:rsid w:val="00D72FBC"/>
    <w:rsid w:val="00D72FCB"/>
    <w:rsid w:val="00D73015"/>
    <w:rsid w:val="00D73050"/>
    <w:rsid w:val="00D7312F"/>
    <w:rsid w:val="00D73260"/>
    <w:rsid w:val="00D73343"/>
    <w:rsid w:val="00D734E3"/>
    <w:rsid w:val="00D7369A"/>
    <w:rsid w:val="00D73803"/>
    <w:rsid w:val="00D7385C"/>
    <w:rsid w:val="00D7391D"/>
    <w:rsid w:val="00D73942"/>
    <w:rsid w:val="00D73A4D"/>
    <w:rsid w:val="00D73FE9"/>
    <w:rsid w:val="00D74192"/>
    <w:rsid w:val="00D741A0"/>
    <w:rsid w:val="00D7433C"/>
    <w:rsid w:val="00D74477"/>
    <w:rsid w:val="00D7451B"/>
    <w:rsid w:val="00D74596"/>
    <w:rsid w:val="00D74847"/>
    <w:rsid w:val="00D74B21"/>
    <w:rsid w:val="00D74BE6"/>
    <w:rsid w:val="00D74C7F"/>
    <w:rsid w:val="00D74CBD"/>
    <w:rsid w:val="00D74E60"/>
    <w:rsid w:val="00D74F98"/>
    <w:rsid w:val="00D74FC2"/>
    <w:rsid w:val="00D74FE8"/>
    <w:rsid w:val="00D750B4"/>
    <w:rsid w:val="00D7511B"/>
    <w:rsid w:val="00D753D5"/>
    <w:rsid w:val="00D75436"/>
    <w:rsid w:val="00D7545E"/>
    <w:rsid w:val="00D75487"/>
    <w:rsid w:val="00D75542"/>
    <w:rsid w:val="00D7565B"/>
    <w:rsid w:val="00D75770"/>
    <w:rsid w:val="00D7579A"/>
    <w:rsid w:val="00D75B48"/>
    <w:rsid w:val="00D75C15"/>
    <w:rsid w:val="00D76310"/>
    <w:rsid w:val="00D76367"/>
    <w:rsid w:val="00D763E1"/>
    <w:rsid w:val="00D76479"/>
    <w:rsid w:val="00D765B0"/>
    <w:rsid w:val="00D768AE"/>
    <w:rsid w:val="00D769E9"/>
    <w:rsid w:val="00D76A0E"/>
    <w:rsid w:val="00D76B9D"/>
    <w:rsid w:val="00D76BF7"/>
    <w:rsid w:val="00D76D2B"/>
    <w:rsid w:val="00D76FD7"/>
    <w:rsid w:val="00D77029"/>
    <w:rsid w:val="00D7740B"/>
    <w:rsid w:val="00D7741F"/>
    <w:rsid w:val="00D776D1"/>
    <w:rsid w:val="00D77D61"/>
    <w:rsid w:val="00D80040"/>
    <w:rsid w:val="00D8013A"/>
    <w:rsid w:val="00D801CD"/>
    <w:rsid w:val="00D80215"/>
    <w:rsid w:val="00D80228"/>
    <w:rsid w:val="00D80358"/>
    <w:rsid w:val="00D804FC"/>
    <w:rsid w:val="00D805F1"/>
    <w:rsid w:val="00D8074D"/>
    <w:rsid w:val="00D80886"/>
    <w:rsid w:val="00D8091A"/>
    <w:rsid w:val="00D80A37"/>
    <w:rsid w:val="00D80B60"/>
    <w:rsid w:val="00D80F31"/>
    <w:rsid w:val="00D80FAB"/>
    <w:rsid w:val="00D811A0"/>
    <w:rsid w:val="00D81205"/>
    <w:rsid w:val="00D81644"/>
    <w:rsid w:val="00D8164C"/>
    <w:rsid w:val="00D81712"/>
    <w:rsid w:val="00D81723"/>
    <w:rsid w:val="00D81983"/>
    <w:rsid w:val="00D81BBD"/>
    <w:rsid w:val="00D81ED4"/>
    <w:rsid w:val="00D81F8F"/>
    <w:rsid w:val="00D81FF2"/>
    <w:rsid w:val="00D8209E"/>
    <w:rsid w:val="00D8241E"/>
    <w:rsid w:val="00D825D7"/>
    <w:rsid w:val="00D825EA"/>
    <w:rsid w:val="00D828B6"/>
    <w:rsid w:val="00D828D7"/>
    <w:rsid w:val="00D829C7"/>
    <w:rsid w:val="00D82B16"/>
    <w:rsid w:val="00D82C06"/>
    <w:rsid w:val="00D82CBE"/>
    <w:rsid w:val="00D82D8E"/>
    <w:rsid w:val="00D83215"/>
    <w:rsid w:val="00D833D7"/>
    <w:rsid w:val="00D83484"/>
    <w:rsid w:val="00D83567"/>
    <w:rsid w:val="00D8365D"/>
    <w:rsid w:val="00D83730"/>
    <w:rsid w:val="00D83806"/>
    <w:rsid w:val="00D83B0F"/>
    <w:rsid w:val="00D83BC3"/>
    <w:rsid w:val="00D83FDB"/>
    <w:rsid w:val="00D84246"/>
    <w:rsid w:val="00D8428B"/>
    <w:rsid w:val="00D8439A"/>
    <w:rsid w:val="00D843AD"/>
    <w:rsid w:val="00D844C4"/>
    <w:rsid w:val="00D8494F"/>
    <w:rsid w:val="00D849CA"/>
    <w:rsid w:val="00D84CEA"/>
    <w:rsid w:val="00D8513E"/>
    <w:rsid w:val="00D85228"/>
    <w:rsid w:val="00D85230"/>
    <w:rsid w:val="00D853D0"/>
    <w:rsid w:val="00D8558B"/>
    <w:rsid w:val="00D857BF"/>
    <w:rsid w:val="00D858F2"/>
    <w:rsid w:val="00D859DF"/>
    <w:rsid w:val="00D85A9A"/>
    <w:rsid w:val="00D85AB5"/>
    <w:rsid w:val="00D85DB2"/>
    <w:rsid w:val="00D8609B"/>
    <w:rsid w:val="00D860F8"/>
    <w:rsid w:val="00D861E2"/>
    <w:rsid w:val="00D86240"/>
    <w:rsid w:val="00D86266"/>
    <w:rsid w:val="00D862BE"/>
    <w:rsid w:val="00D86622"/>
    <w:rsid w:val="00D86738"/>
    <w:rsid w:val="00D868AC"/>
    <w:rsid w:val="00D869C4"/>
    <w:rsid w:val="00D86C63"/>
    <w:rsid w:val="00D86C7D"/>
    <w:rsid w:val="00D86E6B"/>
    <w:rsid w:val="00D86F83"/>
    <w:rsid w:val="00D8712B"/>
    <w:rsid w:val="00D87254"/>
    <w:rsid w:val="00D87401"/>
    <w:rsid w:val="00D87513"/>
    <w:rsid w:val="00D8778B"/>
    <w:rsid w:val="00D878A9"/>
    <w:rsid w:val="00D8794D"/>
    <w:rsid w:val="00D87AD1"/>
    <w:rsid w:val="00D87BD0"/>
    <w:rsid w:val="00D87FA8"/>
    <w:rsid w:val="00D900D5"/>
    <w:rsid w:val="00D901D0"/>
    <w:rsid w:val="00D902CD"/>
    <w:rsid w:val="00D904D2"/>
    <w:rsid w:val="00D905D9"/>
    <w:rsid w:val="00D90751"/>
    <w:rsid w:val="00D9076A"/>
    <w:rsid w:val="00D907B9"/>
    <w:rsid w:val="00D90A93"/>
    <w:rsid w:val="00D90CB6"/>
    <w:rsid w:val="00D90FD8"/>
    <w:rsid w:val="00D9106C"/>
    <w:rsid w:val="00D91157"/>
    <w:rsid w:val="00D91609"/>
    <w:rsid w:val="00D918D5"/>
    <w:rsid w:val="00D91A58"/>
    <w:rsid w:val="00D91AA5"/>
    <w:rsid w:val="00D91BFE"/>
    <w:rsid w:val="00D91D83"/>
    <w:rsid w:val="00D91F53"/>
    <w:rsid w:val="00D92012"/>
    <w:rsid w:val="00D922ED"/>
    <w:rsid w:val="00D92321"/>
    <w:rsid w:val="00D92414"/>
    <w:rsid w:val="00D925BD"/>
    <w:rsid w:val="00D925E7"/>
    <w:rsid w:val="00D9287B"/>
    <w:rsid w:val="00D928B0"/>
    <w:rsid w:val="00D9297B"/>
    <w:rsid w:val="00D92A27"/>
    <w:rsid w:val="00D92AED"/>
    <w:rsid w:val="00D92AFB"/>
    <w:rsid w:val="00D92BBE"/>
    <w:rsid w:val="00D92D78"/>
    <w:rsid w:val="00D92DFE"/>
    <w:rsid w:val="00D92E70"/>
    <w:rsid w:val="00D92F25"/>
    <w:rsid w:val="00D93060"/>
    <w:rsid w:val="00D931DA"/>
    <w:rsid w:val="00D932D1"/>
    <w:rsid w:val="00D932FB"/>
    <w:rsid w:val="00D93395"/>
    <w:rsid w:val="00D934E2"/>
    <w:rsid w:val="00D936DB"/>
    <w:rsid w:val="00D93856"/>
    <w:rsid w:val="00D93AC3"/>
    <w:rsid w:val="00D93B12"/>
    <w:rsid w:val="00D93BC7"/>
    <w:rsid w:val="00D93E36"/>
    <w:rsid w:val="00D93ECA"/>
    <w:rsid w:val="00D94011"/>
    <w:rsid w:val="00D940EE"/>
    <w:rsid w:val="00D9438E"/>
    <w:rsid w:val="00D94425"/>
    <w:rsid w:val="00D94467"/>
    <w:rsid w:val="00D944A2"/>
    <w:rsid w:val="00D944CB"/>
    <w:rsid w:val="00D945D5"/>
    <w:rsid w:val="00D94B76"/>
    <w:rsid w:val="00D94B89"/>
    <w:rsid w:val="00D94B9C"/>
    <w:rsid w:val="00D94C5A"/>
    <w:rsid w:val="00D94EF5"/>
    <w:rsid w:val="00D94FBE"/>
    <w:rsid w:val="00D9511E"/>
    <w:rsid w:val="00D9527E"/>
    <w:rsid w:val="00D95368"/>
    <w:rsid w:val="00D95510"/>
    <w:rsid w:val="00D955CA"/>
    <w:rsid w:val="00D95704"/>
    <w:rsid w:val="00D957A2"/>
    <w:rsid w:val="00D95905"/>
    <w:rsid w:val="00D95C79"/>
    <w:rsid w:val="00D95D14"/>
    <w:rsid w:val="00D95D7A"/>
    <w:rsid w:val="00D95DDA"/>
    <w:rsid w:val="00D95EA5"/>
    <w:rsid w:val="00D95EBA"/>
    <w:rsid w:val="00D96023"/>
    <w:rsid w:val="00D960CF"/>
    <w:rsid w:val="00D961CB"/>
    <w:rsid w:val="00D9631F"/>
    <w:rsid w:val="00D96637"/>
    <w:rsid w:val="00D96665"/>
    <w:rsid w:val="00D96805"/>
    <w:rsid w:val="00D96A78"/>
    <w:rsid w:val="00D96AE7"/>
    <w:rsid w:val="00D96B2A"/>
    <w:rsid w:val="00D96E84"/>
    <w:rsid w:val="00D96FA6"/>
    <w:rsid w:val="00D971C9"/>
    <w:rsid w:val="00D97347"/>
    <w:rsid w:val="00D973A9"/>
    <w:rsid w:val="00D973B9"/>
    <w:rsid w:val="00D97680"/>
    <w:rsid w:val="00D9771C"/>
    <w:rsid w:val="00D9777A"/>
    <w:rsid w:val="00D97891"/>
    <w:rsid w:val="00D97BC1"/>
    <w:rsid w:val="00D97CE7"/>
    <w:rsid w:val="00D97EC3"/>
    <w:rsid w:val="00D97FAD"/>
    <w:rsid w:val="00DA0091"/>
    <w:rsid w:val="00DA0139"/>
    <w:rsid w:val="00DA01B8"/>
    <w:rsid w:val="00DA034F"/>
    <w:rsid w:val="00DA03F7"/>
    <w:rsid w:val="00DA0583"/>
    <w:rsid w:val="00DA068C"/>
    <w:rsid w:val="00DA079B"/>
    <w:rsid w:val="00DA082E"/>
    <w:rsid w:val="00DA08DB"/>
    <w:rsid w:val="00DA0A65"/>
    <w:rsid w:val="00DA0D26"/>
    <w:rsid w:val="00DA0D93"/>
    <w:rsid w:val="00DA0E37"/>
    <w:rsid w:val="00DA0F2E"/>
    <w:rsid w:val="00DA0F57"/>
    <w:rsid w:val="00DA102B"/>
    <w:rsid w:val="00DA1053"/>
    <w:rsid w:val="00DA105F"/>
    <w:rsid w:val="00DA10A7"/>
    <w:rsid w:val="00DA113B"/>
    <w:rsid w:val="00DA1212"/>
    <w:rsid w:val="00DA174F"/>
    <w:rsid w:val="00DA1825"/>
    <w:rsid w:val="00DA1842"/>
    <w:rsid w:val="00DA184D"/>
    <w:rsid w:val="00DA184F"/>
    <w:rsid w:val="00DA1947"/>
    <w:rsid w:val="00DA1A55"/>
    <w:rsid w:val="00DA1C20"/>
    <w:rsid w:val="00DA2031"/>
    <w:rsid w:val="00DA2084"/>
    <w:rsid w:val="00DA20C8"/>
    <w:rsid w:val="00DA2197"/>
    <w:rsid w:val="00DA24AF"/>
    <w:rsid w:val="00DA263D"/>
    <w:rsid w:val="00DA2659"/>
    <w:rsid w:val="00DA2866"/>
    <w:rsid w:val="00DA29F2"/>
    <w:rsid w:val="00DA2B7F"/>
    <w:rsid w:val="00DA2BD7"/>
    <w:rsid w:val="00DA2BE7"/>
    <w:rsid w:val="00DA2D98"/>
    <w:rsid w:val="00DA2E27"/>
    <w:rsid w:val="00DA300B"/>
    <w:rsid w:val="00DA3084"/>
    <w:rsid w:val="00DA33A5"/>
    <w:rsid w:val="00DA354E"/>
    <w:rsid w:val="00DA3621"/>
    <w:rsid w:val="00DA3662"/>
    <w:rsid w:val="00DA36E1"/>
    <w:rsid w:val="00DA3995"/>
    <w:rsid w:val="00DA39C8"/>
    <w:rsid w:val="00DA3A6B"/>
    <w:rsid w:val="00DA3BF3"/>
    <w:rsid w:val="00DA3D89"/>
    <w:rsid w:val="00DA3E39"/>
    <w:rsid w:val="00DA3E92"/>
    <w:rsid w:val="00DA3EE3"/>
    <w:rsid w:val="00DA3F69"/>
    <w:rsid w:val="00DA41E9"/>
    <w:rsid w:val="00DA42BC"/>
    <w:rsid w:val="00DA4459"/>
    <w:rsid w:val="00DA4490"/>
    <w:rsid w:val="00DA45BA"/>
    <w:rsid w:val="00DA45D9"/>
    <w:rsid w:val="00DA464D"/>
    <w:rsid w:val="00DA46C6"/>
    <w:rsid w:val="00DA4740"/>
    <w:rsid w:val="00DA4AC7"/>
    <w:rsid w:val="00DA4B5E"/>
    <w:rsid w:val="00DA4C6C"/>
    <w:rsid w:val="00DA4E9F"/>
    <w:rsid w:val="00DA5147"/>
    <w:rsid w:val="00DA5152"/>
    <w:rsid w:val="00DA54FC"/>
    <w:rsid w:val="00DA5564"/>
    <w:rsid w:val="00DA568F"/>
    <w:rsid w:val="00DA5C5F"/>
    <w:rsid w:val="00DA5C7E"/>
    <w:rsid w:val="00DA5CF9"/>
    <w:rsid w:val="00DA5D2B"/>
    <w:rsid w:val="00DA5D76"/>
    <w:rsid w:val="00DA5FCE"/>
    <w:rsid w:val="00DA6050"/>
    <w:rsid w:val="00DA6289"/>
    <w:rsid w:val="00DA6330"/>
    <w:rsid w:val="00DA6387"/>
    <w:rsid w:val="00DA6426"/>
    <w:rsid w:val="00DA6767"/>
    <w:rsid w:val="00DA68C4"/>
    <w:rsid w:val="00DA6ABF"/>
    <w:rsid w:val="00DA6AC9"/>
    <w:rsid w:val="00DA6BC8"/>
    <w:rsid w:val="00DA6EC7"/>
    <w:rsid w:val="00DA6EF3"/>
    <w:rsid w:val="00DA6F04"/>
    <w:rsid w:val="00DA6FBD"/>
    <w:rsid w:val="00DA6FC2"/>
    <w:rsid w:val="00DA70B3"/>
    <w:rsid w:val="00DA741A"/>
    <w:rsid w:val="00DA751F"/>
    <w:rsid w:val="00DA7843"/>
    <w:rsid w:val="00DA7AB7"/>
    <w:rsid w:val="00DA7D88"/>
    <w:rsid w:val="00DA7EC8"/>
    <w:rsid w:val="00DA7F62"/>
    <w:rsid w:val="00DA7F6D"/>
    <w:rsid w:val="00DB004A"/>
    <w:rsid w:val="00DB0488"/>
    <w:rsid w:val="00DB048F"/>
    <w:rsid w:val="00DB0757"/>
    <w:rsid w:val="00DB0769"/>
    <w:rsid w:val="00DB08B2"/>
    <w:rsid w:val="00DB0A87"/>
    <w:rsid w:val="00DB0C78"/>
    <w:rsid w:val="00DB0CFF"/>
    <w:rsid w:val="00DB0D7B"/>
    <w:rsid w:val="00DB0EC9"/>
    <w:rsid w:val="00DB0FEB"/>
    <w:rsid w:val="00DB107E"/>
    <w:rsid w:val="00DB119B"/>
    <w:rsid w:val="00DB126B"/>
    <w:rsid w:val="00DB12D0"/>
    <w:rsid w:val="00DB148E"/>
    <w:rsid w:val="00DB17AA"/>
    <w:rsid w:val="00DB1834"/>
    <w:rsid w:val="00DB187E"/>
    <w:rsid w:val="00DB1954"/>
    <w:rsid w:val="00DB196A"/>
    <w:rsid w:val="00DB1A9E"/>
    <w:rsid w:val="00DB1D63"/>
    <w:rsid w:val="00DB1F37"/>
    <w:rsid w:val="00DB1FF2"/>
    <w:rsid w:val="00DB1FF6"/>
    <w:rsid w:val="00DB219F"/>
    <w:rsid w:val="00DB21B4"/>
    <w:rsid w:val="00DB2204"/>
    <w:rsid w:val="00DB2367"/>
    <w:rsid w:val="00DB23C6"/>
    <w:rsid w:val="00DB2428"/>
    <w:rsid w:val="00DB24BB"/>
    <w:rsid w:val="00DB267A"/>
    <w:rsid w:val="00DB26D3"/>
    <w:rsid w:val="00DB271B"/>
    <w:rsid w:val="00DB28C3"/>
    <w:rsid w:val="00DB29CB"/>
    <w:rsid w:val="00DB2A92"/>
    <w:rsid w:val="00DB2ACF"/>
    <w:rsid w:val="00DB2B5D"/>
    <w:rsid w:val="00DB2BBE"/>
    <w:rsid w:val="00DB2D71"/>
    <w:rsid w:val="00DB2E53"/>
    <w:rsid w:val="00DB2E6B"/>
    <w:rsid w:val="00DB2E99"/>
    <w:rsid w:val="00DB2F5C"/>
    <w:rsid w:val="00DB3229"/>
    <w:rsid w:val="00DB3291"/>
    <w:rsid w:val="00DB3486"/>
    <w:rsid w:val="00DB35DE"/>
    <w:rsid w:val="00DB3670"/>
    <w:rsid w:val="00DB3802"/>
    <w:rsid w:val="00DB38E6"/>
    <w:rsid w:val="00DB3ACA"/>
    <w:rsid w:val="00DB3CD2"/>
    <w:rsid w:val="00DB3DAF"/>
    <w:rsid w:val="00DB4327"/>
    <w:rsid w:val="00DB447E"/>
    <w:rsid w:val="00DB44B8"/>
    <w:rsid w:val="00DB4556"/>
    <w:rsid w:val="00DB47B3"/>
    <w:rsid w:val="00DB4821"/>
    <w:rsid w:val="00DB4A80"/>
    <w:rsid w:val="00DB4C23"/>
    <w:rsid w:val="00DB4C6A"/>
    <w:rsid w:val="00DB4C7D"/>
    <w:rsid w:val="00DB4CFF"/>
    <w:rsid w:val="00DB4D72"/>
    <w:rsid w:val="00DB4E89"/>
    <w:rsid w:val="00DB50C8"/>
    <w:rsid w:val="00DB5244"/>
    <w:rsid w:val="00DB53BE"/>
    <w:rsid w:val="00DB554D"/>
    <w:rsid w:val="00DB5596"/>
    <w:rsid w:val="00DB5641"/>
    <w:rsid w:val="00DB57AC"/>
    <w:rsid w:val="00DB5C4F"/>
    <w:rsid w:val="00DB5C9C"/>
    <w:rsid w:val="00DB5D46"/>
    <w:rsid w:val="00DB5E9F"/>
    <w:rsid w:val="00DB5FF2"/>
    <w:rsid w:val="00DB6119"/>
    <w:rsid w:val="00DB6284"/>
    <w:rsid w:val="00DB6417"/>
    <w:rsid w:val="00DB6522"/>
    <w:rsid w:val="00DB6530"/>
    <w:rsid w:val="00DB6582"/>
    <w:rsid w:val="00DB65FF"/>
    <w:rsid w:val="00DB66E4"/>
    <w:rsid w:val="00DB672F"/>
    <w:rsid w:val="00DB68BC"/>
    <w:rsid w:val="00DB6A30"/>
    <w:rsid w:val="00DB6B38"/>
    <w:rsid w:val="00DB6B5B"/>
    <w:rsid w:val="00DB6BA5"/>
    <w:rsid w:val="00DB6BEE"/>
    <w:rsid w:val="00DB6C0C"/>
    <w:rsid w:val="00DB6C16"/>
    <w:rsid w:val="00DB6D7F"/>
    <w:rsid w:val="00DB6FEA"/>
    <w:rsid w:val="00DB728D"/>
    <w:rsid w:val="00DB7434"/>
    <w:rsid w:val="00DB7444"/>
    <w:rsid w:val="00DB790D"/>
    <w:rsid w:val="00DB7947"/>
    <w:rsid w:val="00DB7965"/>
    <w:rsid w:val="00DB7A28"/>
    <w:rsid w:val="00DB7A52"/>
    <w:rsid w:val="00DB7BC4"/>
    <w:rsid w:val="00DB7D34"/>
    <w:rsid w:val="00DB7DFB"/>
    <w:rsid w:val="00DB7E01"/>
    <w:rsid w:val="00DB7F62"/>
    <w:rsid w:val="00DB7FDC"/>
    <w:rsid w:val="00DC014E"/>
    <w:rsid w:val="00DC0308"/>
    <w:rsid w:val="00DC031A"/>
    <w:rsid w:val="00DC04EC"/>
    <w:rsid w:val="00DC05B0"/>
    <w:rsid w:val="00DC0604"/>
    <w:rsid w:val="00DC0741"/>
    <w:rsid w:val="00DC08F5"/>
    <w:rsid w:val="00DC0BAC"/>
    <w:rsid w:val="00DC0D81"/>
    <w:rsid w:val="00DC0D89"/>
    <w:rsid w:val="00DC0E39"/>
    <w:rsid w:val="00DC107E"/>
    <w:rsid w:val="00DC12E2"/>
    <w:rsid w:val="00DC1851"/>
    <w:rsid w:val="00DC1BA1"/>
    <w:rsid w:val="00DC1BE1"/>
    <w:rsid w:val="00DC1D73"/>
    <w:rsid w:val="00DC1E08"/>
    <w:rsid w:val="00DC1EBA"/>
    <w:rsid w:val="00DC2087"/>
    <w:rsid w:val="00DC211F"/>
    <w:rsid w:val="00DC2190"/>
    <w:rsid w:val="00DC21B7"/>
    <w:rsid w:val="00DC2223"/>
    <w:rsid w:val="00DC232E"/>
    <w:rsid w:val="00DC2481"/>
    <w:rsid w:val="00DC24F4"/>
    <w:rsid w:val="00DC2637"/>
    <w:rsid w:val="00DC263F"/>
    <w:rsid w:val="00DC26D5"/>
    <w:rsid w:val="00DC28A2"/>
    <w:rsid w:val="00DC291A"/>
    <w:rsid w:val="00DC2A41"/>
    <w:rsid w:val="00DC2A55"/>
    <w:rsid w:val="00DC2B07"/>
    <w:rsid w:val="00DC2B4C"/>
    <w:rsid w:val="00DC2BBD"/>
    <w:rsid w:val="00DC2F9C"/>
    <w:rsid w:val="00DC2FC0"/>
    <w:rsid w:val="00DC2FD4"/>
    <w:rsid w:val="00DC3009"/>
    <w:rsid w:val="00DC302E"/>
    <w:rsid w:val="00DC3540"/>
    <w:rsid w:val="00DC3584"/>
    <w:rsid w:val="00DC36F9"/>
    <w:rsid w:val="00DC3924"/>
    <w:rsid w:val="00DC3A60"/>
    <w:rsid w:val="00DC3B2E"/>
    <w:rsid w:val="00DC3E5C"/>
    <w:rsid w:val="00DC3EDC"/>
    <w:rsid w:val="00DC4184"/>
    <w:rsid w:val="00DC425E"/>
    <w:rsid w:val="00DC43F8"/>
    <w:rsid w:val="00DC4504"/>
    <w:rsid w:val="00DC458D"/>
    <w:rsid w:val="00DC45B4"/>
    <w:rsid w:val="00DC47FA"/>
    <w:rsid w:val="00DC4A63"/>
    <w:rsid w:val="00DC4ACD"/>
    <w:rsid w:val="00DC4E50"/>
    <w:rsid w:val="00DC5247"/>
    <w:rsid w:val="00DC53DD"/>
    <w:rsid w:val="00DC548B"/>
    <w:rsid w:val="00DC54B8"/>
    <w:rsid w:val="00DC5595"/>
    <w:rsid w:val="00DC5775"/>
    <w:rsid w:val="00DC58D5"/>
    <w:rsid w:val="00DC5B1D"/>
    <w:rsid w:val="00DC5C7D"/>
    <w:rsid w:val="00DC5F6D"/>
    <w:rsid w:val="00DC5FF3"/>
    <w:rsid w:val="00DC62BD"/>
    <w:rsid w:val="00DC6381"/>
    <w:rsid w:val="00DC645A"/>
    <w:rsid w:val="00DC6695"/>
    <w:rsid w:val="00DC6696"/>
    <w:rsid w:val="00DC6836"/>
    <w:rsid w:val="00DC68D4"/>
    <w:rsid w:val="00DC6945"/>
    <w:rsid w:val="00DC6980"/>
    <w:rsid w:val="00DC6BB1"/>
    <w:rsid w:val="00DC6C65"/>
    <w:rsid w:val="00DC6CC5"/>
    <w:rsid w:val="00DC6D1D"/>
    <w:rsid w:val="00DC6DE5"/>
    <w:rsid w:val="00DC6EC8"/>
    <w:rsid w:val="00DC7032"/>
    <w:rsid w:val="00DC73C8"/>
    <w:rsid w:val="00DC7424"/>
    <w:rsid w:val="00DC75FE"/>
    <w:rsid w:val="00DC764A"/>
    <w:rsid w:val="00DC7765"/>
    <w:rsid w:val="00DC7A99"/>
    <w:rsid w:val="00DC7AFB"/>
    <w:rsid w:val="00DC7BA2"/>
    <w:rsid w:val="00DC7D81"/>
    <w:rsid w:val="00DC7E4C"/>
    <w:rsid w:val="00DC7F2A"/>
    <w:rsid w:val="00DC7F49"/>
    <w:rsid w:val="00DD005A"/>
    <w:rsid w:val="00DD019F"/>
    <w:rsid w:val="00DD0652"/>
    <w:rsid w:val="00DD0681"/>
    <w:rsid w:val="00DD0A3F"/>
    <w:rsid w:val="00DD0AC2"/>
    <w:rsid w:val="00DD0B2F"/>
    <w:rsid w:val="00DD0BA2"/>
    <w:rsid w:val="00DD0BD8"/>
    <w:rsid w:val="00DD0C66"/>
    <w:rsid w:val="00DD0F4A"/>
    <w:rsid w:val="00DD10E1"/>
    <w:rsid w:val="00DD1109"/>
    <w:rsid w:val="00DD11F9"/>
    <w:rsid w:val="00DD12D2"/>
    <w:rsid w:val="00DD1426"/>
    <w:rsid w:val="00DD1526"/>
    <w:rsid w:val="00DD15F9"/>
    <w:rsid w:val="00DD17E8"/>
    <w:rsid w:val="00DD17FD"/>
    <w:rsid w:val="00DD195E"/>
    <w:rsid w:val="00DD19D5"/>
    <w:rsid w:val="00DD1C1E"/>
    <w:rsid w:val="00DD1E7E"/>
    <w:rsid w:val="00DD1E80"/>
    <w:rsid w:val="00DD1EC0"/>
    <w:rsid w:val="00DD1F2F"/>
    <w:rsid w:val="00DD21AD"/>
    <w:rsid w:val="00DD21E2"/>
    <w:rsid w:val="00DD2308"/>
    <w:rsid w:val="00DD24E7"/>
    <w:rsid w:val="00DD256D"/>
    <w:rsid w:val="00DD27D8"/>
    <w:rsid w:val="00DD2C07"/>
    <w:rsid w:val="00DD2CFD"/>
    <w:rsid w:val="00DD2D67"/>
    <w:rsid w:val="00DD2EFF"/>
    <w:rsid w:val="00DD2F5A"/>
    <w:rsid w:val="00DD3144"/>
    <w:rsid w:val="00DD3175"/>
    <w:rsid w:val="00DD31C1"/>
    <w:rsid w:val="00DD32AE"/>
    <w:rsid w:val="00DD35D4"/>
    <w:rsid w:val="00DD3710"/>
    <w:rsid w:val="00DD371E"/>
    <w:rsid w:val="00DD3755"/>
    <w:rsid w:val="00DD3832"/>
    <w:rsid w:val="00DD3AF0"/>
    <w:rsid w:val="00DD3C94"/>
    <w:rsid w:val="00DD3CD0"/>
    <w:rsid w:val="00DD3F90"/>
    <w:rsid w:val="00DD4283"/>
    <w:rsid w:val="00DD43A5"/>
    <w:rsid w:val="00DD445D"/>
    <w:rsid w:val="00DD4626"/>
    <w:rsid w:val="00DD4B37"/>
    <w:rsid w:val="00DD4C37"/>
    <w:rsid w:val="00DD4E57"/>
    <w:rsid w:val="00DD4E76"/>
    <w:rsid w:val="00DD4FB4"/>
    <w:rsid w:val="00DD5205"/>
    <w:rsid w:val="00DD5224"/>
    <w:rsid w:val="00DD53C7"/>
    <w:rsid w:val="00DD5780"/>
    <w:rsid w:val="00DD581F"/>
    <w:rsid w:val="00DD59CC"/>
    <w:rsid w:val="00DD59E5"/>
    <w:rsid w:val="00DD5A70"/>
    <w:rsid w:val="00DD5BD0"/>
    <w:rsid w:val="00DD5BFD"/>
    <w:rsid w:val="00DD5ED3"/>
    <w:rsid w:val="00DD62C9"/>
    <w:rsid w:val="00DD631E"/>
    <w:rsid w:val="00DD66A6"/>
    <w:rsid w:val="00DD66F7"/>
    <w:rsid w:val="00DD66FE"/>
    <w:rsid w:val="00DD67D8"/>
    <w:rsid w:val="00DD6909"/>
    <w:rsid w:val="00DD698A"/>
    <w:rsid w:val="00DD6A4F"/>
    <w:rsid w:val="00DD6BA0"/>
    <w:rsid w:val="00DD757E"/>
    <w:rsid w:val="00DD75A8"/>
    <w:rsid w:val="00DD75B4"/>
    <w:rsid w:val="00DD773C"/>
    <w:rsid w:val="00DD78C0"/>
    <w:rsid w:val="00DD7A36"/>
    <w:rsid w:val="00DD7B07"/>
    <w:rsid w:val="00DD7B91"/>
    <w:rsid w:val="00DD7C4D"/>
    <w:rsid w:val="00DD7CAA"/>
    <w:rsid w:val="00DD7D76"/>
    <w:rsid w:val="00DD7E00"/>
    <w:rsid w:val="00DD7E65"/>
    <w:rsid w:val="00DD7ECB"/>
    <w:rsid w:val="00DE0631"/>
    <w:rsid w:val="00DE06F0"/>
    <w:rsid w:val="00DE0755"/>
    <w:rsid w:val="00DE078F"/>
    <w:rsid w:val="00DE0943"/>
    <w:rsid w:val="00DE09EC"/>
    <w:rsid w:val="00DE0E80"/>
    <w:rsid w:val="00DE0FEB"/>
    <w:rsid w:val="00DE1038"/>
    <w:rsid w:val="00DE1045"/>
    <w:rsid w:val="00DE1081"/>
    <w:rsid w:val="00DE116A"/>
    <w:rsid w:val="00DE1389"/>
    <w:rsid w:val="00DE1392"/>
    <w:rsid w:val="00DE16A0"/>
    <w:rsid w:val="00DE18BA"/>
    <w:rsid w:val="00DE19E6"/>
    <w:rsid w:val="00DE1A6D"/>
    <w:rsid w:val="00DE1AB3"/>
    <w:rsid w:val="00DE1DAC"/>
    <w:rsid w:val="00DE1E26"/>
    <w:rsid w:val="00DE1F50"/>
    <w:rsid w:val="00DE1F68"/>
    <w:rsid w:val="00DE204B"/>
    <w:rsid w:val="00DE2150"/>
    <w:rsid w:val="00DE21CE"/>
    <w:rsid w:val="00DE221D"/>
    <w:rsid w:val="00DE229E"/>
    <w:rsid w:val="00DE24F5"/>
    <w:rsid w:val="00DE25F4"/>
    <w:rsid w:val="00DE26AF"/>
    <w:rsid w:val="00DE288C"/>
    <w:rsid w:val="00DE28B2"/>
    <w:rsid w:val="00DE2AC4"/>
    <w:rsid w:val="00DE2C06"/>
    <w:rsid w:val="00DE2EFD"/>
    <w:rsid w:val="00DE30A0"/>
    <w:rsid w:val="00DE3363"/>
    <w:rsid w:val="00DE37EE"/>
    <w:rsid w:val="00DE37F8"/>
    <w:rsid w:val="00DE3987"/>
    <w:rsid w:val="00DE3A1C"/>
    <w:rsid w:val="00DE3AB9"/>
    <w:rsid w:val="00DE3BC5"/>
    <w:rsid w:val="00DE3C4F"/>
    <w:rsid w:val="00DE3D40"/>
    <w:rsid w:val="00DE3DE8"/>
    <w:rsid w:val="00DE4412"/>
    <w:rsid w:val="00DE44B4"/>
    <w:rsid w:val="00DE44BA"/>
    <w:rsid w:val="00DE4513"/>
    <w:rsid w:val="00DE4856"/>
    <w:rsid w:val="00DE4AE4"/>
    <w:rsid w:val="00DE4B92"/>
    <w:rsid w:val="00DE4C92"/>
    <w:rsid w:val="00DE4D96"/>
    <w:rsid w:val="00DE4E9D"/>
    <w:rsid w:val="00DE4FB6"/>
    <w:rsid w:val="00DE509A"/>
    <w:rsid w:val="00DE5229"/>
    <w:rsid w:val="00DE52F8"/>
    <w:rsid w:val="00DE5345"/>
    <w:rsid w:val="00DE53CF"/>
    <w:rsid w:val="00DE556D"/>
    <w:rsid w:val="00DE5595"/>
    <w:rsid w:val="00DE5881"/>
    <w:rsid w:val="00DE589F"/>
    <w:rsid w:val="00DE5BD5"/>
    <w:rsid w:val="00DE5CBE"/>
    <w:rsid w:val="00DE5DA0"/>
    <w:rsid w:val="00DE5E04"/>
    <w:rsid w:val="00DE5E14"/>
    <w:rsid w:val="00DE5F73"/>
    <w:rsid w:val="00DE60CF"/>
    <w:rsid w:val="00DE6114"/>
    <w:rsid w:val="00DE6253"/>
    <w:rsid w:val="00DE6257"/>
    <w:rsid w:val="00DE626F"/>
    <w:rsid w:val="00DE6310"/>
    <w:rsid w:val="00DE6397"/>
    <w:rsid w:val="00DE640F"/>
    <w:rsid w:val="00DE644D"/>
    <w:rsid w:val="00DE6523"/>
    <w:rsid w:val="00DE6806"/>
    <w:rsid w:val="00DE684E"/>
    <w:rsid w:val="00DE6867"/>
    <w:rsid w:val="00DE6B53"/>
    <w:rsid w:val="00DE6F2C"/>
    <w:rsid w:val="00DE6FA0"/>
    <w:rsid w:val="00DE7185"/>
    <w:rsid w:val="00DE74C3"/>
    <w:rsid w:val="00DE7610"/>
    <w:rsid w:val="00DE7D47"/>
    <w:rsid w:val="00DF0007"/>
    <w:rsid w:val="00DF020F"/>
    <w:rsid w:val="00DF02D3"/>
    <w:rsid w:val="00DF02DA"/>
    <w:rsid w:val="00DF0362"/>
    <w:rsid w:val="00DF04C9"/>
    <w:rsid w:val="00DF04CC"/>
    <w:rsid w:val="00DF0520"/>
    <w:rsid w:val="00DF05AE"/>
    <w:rsid w:val="00DF067A"/>
    <w:rsid w:val="00DF08DE"/>
    <w:rsid w:val="00DF0976"/>
    <w:rsid w:val="00DF09AE"/>
    <w:rsid w:val="00DF09E1"/>
    <w:rsid w:val="00DF09EE"/>
    <w:rsid w:val="00DF0A15"/>
    <w:rsid w:val="00DF0C2F"/>
    <w:rsid w:val="00DF0E95"/>
    <w:rsid w:val="00DF14A2"/>
    <w:rsid w:val="00DF1527"/>
    <w:rsid w:val="00DF16C3"/>
    <w:rsid w:val="00DF1715"/>
    <w:rsid w:val="00DF1721"/>
    <w:rsid w:val="00DF188D"/>
    <w:rsid w:val="00DF18D6"/>
    <w:rsid w:val="00DF190D"/>
    <w:rsid w:val="00DF1918"/>
    <w:rsid w:val="00DF1A4A"/>
    <w:rsid w:val="00DF1A6B"/>
    <w:rsid w:val="00DF1A96"/>
    <w:rsid w:val="00DF1C65"/>
    <w:rsid w:val="00DF1E63"/>
    <w:rsid w:val="00DF20B5"/>
    <w:rsid w:val="00DF2128"/>
    <w:rsid w:val="00DF21A4"/>
    <w:rsid w:val="00DF2676"/>
    <w:rsid w:val="00DF2760"/>
    <w:rsid w:val="00DF2846"/>
    <w:rsid w:val="00DF2A6F"/>
    <w:rsid w:val="00DF2A72"/>
    <w:rsid w:val="00DF2AC9"/>
    <w:rsid w:val="00DF2AD4"/>
    <w:rsid w:val="00DF2AFC"/>
    <w:rsid w:val="00DF2C02"/>
    <w:rsid w:val="00DF2CC0"/>
    <w:rsid w:val="00DF2E2F"/>
    <w:rsid w:val="00DF2F29"/>
    <w:rsid w:val="00DF2F32"/>
    <w:rsid w:val="00DF2FF1"/>
    <w:rsid w:val="00DF321A"/>
    <w:rsid w:val="00DF332F"/>
    <w:rsid w:val="00DF33C0"/>
    <w:rsid w:val="00DF3420"/>
    <w:rsid w:val="00DF35FC"/>
    <w:rsid w:val="00DF3734"/>
    <w:rsid w:val="00DF388A"/>
    <w:rsid w:val="00DF38B6"/>
    <w:rsid w:val="00DF3AB1"/>
    <w:rsid w:val="00DF3AF6"/>
    <w:rsid w:val="00DF3B1F"/>
    <w:rsid w:val="00DF3CCD"/>
    <w:rsid w:val="00DF3E4D"/>
    <w:rsid w:val="00DF42A2"/>
    <w:rsid w:val="00DF4374"/>
    <w:rsid w:val="00DF43FA"/>
    <w:rsid w:val="00DF4577"/>
    <w:rsid w:val="00DF47F9"/>
    <w:rsid w:val="00DF48D1"/>
    <w:rsid w:val="00DF4A39"/>
    <w:rsid w:val="00DF4EBB"/>
    <w:rsid w:val="00DF4F06"/>
    <w:rsid w:val="00DF4FDB"/>
    <w:rsid w:val="00DF5143"/>
    <w:rsid w:val="00DF518A"/>
    <w:rsid w:val="00DF5209"/>
    <w:rsid w:val="00DF5287"/>
    <w:rsid w:val="00DF52D9"/>
    <w:rsid w:val="00DF5338"/>
    <w:rsid w:val="00DF54C0"/>
    <w:rsid w:val="00DF584E"/>
    <w:rsid w:val="00DF5864"/>
    <w:rsid w:val="00DF5924"/>
    <w:rsid w:val="00DF595D"/>
    <w:rsid w:val="00DF5A13"/>
    <w:rsid w:val="00DF5ACF"/>
    <w:rsid w:val="00DF5CC1"/>
    <w:rsid w:val="00DF5D84"/>
    <w:rsid w:val="00DF5E1C"/>
    <w:rsid w:val="00DF5E70"/>
    <w:rsid w:val="00DF5F62"/>
    <w:rsid w:val="00DF61D6"/>
    <w:rsid w:val="00DF6277"/>
    <w:rsid w:val="00DF634E"/>
    <w:rsid w:val="00DF64D8"/>
    <w:rsid w:val="00DF64D9"/>
    <w:rsid w:val="00DF668B"/>
    <w:rsid w:val="00DF6843"/>
    <w:rsid w:val="00DF6976"/>
    <w:rsid w:val="00DF6ADB"/>
    <w:rsid w:val="00DF6B1D"/>
    <w:rsid w:val="00DF6D66"/>
    <w:rsid w:val="00DF6EA0"/>
    <w:rsid w:val="00DF6EF4"/>
    <w:rsid w:val="00DF6F39"/>
    <w:rsid w:val="00DF6F8C"/>
    <w:rsid w:val="00DF70DF"/>
    <w:rsid w:val="00DF7388"/>
    <w:rsid w:val="00DF73BC"/>
    <w:rsid w:val="00DF7631"/>
    <w:rsid w:val="00DF771F"/>
    <w:rsid w:val="00DF7A7D"/>
    <w:rsid w:val="00DF7B70"/>
    <w:rsid w:val="00DF7D06"/>
    <w:rsid w:val="00DF7D1D"/>
    <w:rsid w:val="00DF7D21"/>
    <w:rsid w:val="00DF7DA1"/>
    <w:rsid w:val="00DF7E28"/>
    <w:rsid w:val="00E00017"/>
    <w:rsid w:val="00E0010A"/>
    <w:rsid w:val="00E00257"/>
    <w:rsid w:val="00E00563"/>
    <w:rsid w:val="00E00619"/>
    <w:rsid w:val="00E00695"/>
    <w:rsid w:val="00E00BDE"/>
    <w:rsid w:val="00E00CDB"/>
    <w:rsid w:val="00E00D76"/>
    <w:rsid w:val="00E00D82"/>
    <w:rsid w:val="00E00FE7"/>
    <w:rsid w:val="00E011E9"/>
    <w:rsid w:val="00E0142E"/>
    <w:rsid w:val="00E014A7"/>
    <w:rsid w:val="00E015E7"/>
    <w:rsid w:val="00E01651"/>
    <w:rsid w:val="00E0167D"/>
    <w:rsid w:val="00E016A5"/>
    <w:rsid w:val="00E01A0B"/>
    <w:rsid w:val="00E01A3B"/>
    <w:rsid w:val="00E01B4B"/>
    <w:rsid w:val="00E01BD9"/>
    <w:rsid w:val="00E01E5D"/>
    <w:rsid w:val="00E02146"/>
    <w:rsid w:val="00E0225B"/>
    <w:rsid w:val="00E024EE"/>
    <w:rsid w:val="00E025C4"/>
    <w:rsid w:val="00E026C6"/>
    <w:rsid w:val="00E028A5"/>
    <w:rsid w:val="00E02B4D"/>
    <w:rsid w:val="00E02B72"/>
    <w:rsid w:val="00E02D45"/>
    <w:rsid w:val="00E0310F"/>
    <w:rsid w:val="00E033AE"/>
    <w:rsid w:val="00E033FB"/>
    <w:rsid w:val="00E0356C"/>
    <w:rsid w:val="00E035B8"/>
    <w:rsid w:val="00E035ED"/>
    <w:rsid w:val="00E03920"/>
    <w:rsid w:val="00E039A0"/>
    <w:rsid w:val="00E03A32"/>
    <w:rsid w:val="00E03C32"/>
    <w:rsid w:val="00E03C71"/>
    <w:rsid w:val="00E03FA5"/>
    <w:rsid w:val="00E04074"/>
    <w:rsid w:val="00E0430F"/>
    <w:rsid w:val="00E0454A"/>
    <w:rsid w:val="00E0466C"/>
    <w:rsid w:val="00E04694"/>
    <w:rsid w:val="00E04701"/>
    <w:rsid w:val="00E048B7"/>
    <w:rsid w:val="00E04925"/>
    <w:rsid w:val="00E04A34"/>
    <w:rsid w:val="00E04BD1"/>
    <w:rsid w:val="00E04F39"/>
    <w:rsid w:val="00E04FD2"/>
    <w:rsid w:val="00E05039"/>
    <w:rsid w:val="00E050BA"/>
    <w:rsid w:val="00E05146"/>
    <w:rsid w:val="00E0538F"/>
    <w:rsid w:val="00E0557C"/>
    <w:rsid w:val="00E057F4"/>
    <w:rsid w:val="00E05971"/>
    <w:rsid w:val="00E05A51"/>
    <w:rsid w:val="00E05B65"/>
    <w:rsid w:val="00E05B8A"/>
    <w:rsid w:val="00E05CC1"/>
    <w:rsid w:val="00E05E7F"/>
    <w:rsid w:val="00E0610E"/>
    <w:rsid w:val="00E0619A"/>
    <w:rsid w:val="00E0619D"/>
    <w:rsid w:val="00E062F7"/>
    <w:rsid w:val="00E0638C"/>
    <w:rsid w:val="00E063B4"/>
    <w:rsid w:val="00E063DB"/>
    <w:rsid w:val="00E065AB"/>
    <w:rsid w:val="00E0662C"/>
    <w:rsid w:val="00E0665F"/>
    <w:rsid w:val="00E066FA"/>
    <w:rsid w:val="00E067F0"/>
    <w:rsid w:val="00E069AB"/>
    <w:rsid w:val="00E06CB4"/>
    <w:rsid w:val="00E06E43"/>
    <w:rsid w:val="00E06E5C"/>
    <w:rsid w:val="00E06EE6"/>
    <w:rsid w:val="00E070C0"/>
    <w:rsid w:val="00E073BF"/>
    <w:rsid w:val="00E076D1"/>
    <w:rsid w:val="00E07AC9"/>
    <w:rsid w:val="00E07E42"/>
    <w:rsid w:val="00E07F5A"/>
    <w:rsid w:val="00E10070"/>
    <w:rsid w:val="00E10156"/>
    <w:rsid w:val="00E1051E"/>
    <w:rsid w:val="00E106DF"/>
    <w:rsid w:val="00E106FF"/>
    <w:rsid w:val="00E10823"/>
    <w:rsid w:val="00E1085F"/>
    <w:rsid w:val="00E10917"/>
    <w:rsid w:val="00E10B8E"/>
    <w:rsid w:val="00E10D78"/>
    <w:rsid w:val="00E10E3A"/>
    <w:rsid w:val="00E10E72"/>
    <w:rsid w:val="00E1111A"/>
    <w:rsid w:val="00E112A3"/>
    <w:rsid w:val="00E115CF"/>
    <w:rsid w:val="00E11687"/>
    <w:rsid w:val="00E1175A"/>
    <w:rsid w:val="00E11991"/>
    <w:rsid w:val="00E11ACF"/>
    <w:rsid w:val="00E11B02"/>
    <w:rsid w:val="00E11B92"/>
    <w:rsid w:val="00E11C68"/>
    <w:rsid w:val="00E11D23"/>
    <w:rsid w:val="00E11D37"/>
    <w:rsid w:val="00E11DC1"/>
    <w:rsid w:val="00E11F72"/>
    <w:rsid w:val="00E1213B"/>
    <w:rsid w:val="00E121DF"/>
    <w:rsid w:val="00E12477"/>
    <w:rsid w:val="00E124B4"/>
    <w:rsid w:val="00E125BB"/>
    <w:rsid w:val="00E12613"/>
    <w:rsid w:val="00E12673"/>
    <w:rsid w:val="00E1273D"/>
    <w:rsid w:val="00E12784"/>
    <w:rsid w:val="00E12AEE"/>
    <w:rsid w:val="00E12C3F"/>
    <w:rsid w:val="00E12C7C"/>
    <w:rsid w:val="00E12DD0"/>
    <w:rsid w:val="00E12ED1"/>
    <w:rsid w:val="00E12FC5"/>
    <w:rsid w:val="00E12FCA"/>
    <w:rsid w:val="00E13053"/>
    <w:rsid w:val="00E1358D"/>
    <w:rsid w:val="00E13658"/>
    <w:rsid w:val="00E1375C"/>
    <w:rsid w:val="00E13995"/>
    <w:rsid w:val="00E13CE8"/>
    <w:rsid w:val="00E13DC1"/>
    <w:rsid w:val="00E13DDC"/>
    <w:rsid w:val="00E13F27"/>
    <w:rsid w:val="00E13F74"/>
    <w:rsid w:val="00E1429A"/>
    <w:rsid w:val="00E142B6"/>
    <w:rsid w:val="00E14421"/>
    <w:rsid w:val="00E14432"/>
    <w:rsid w:val="00E149C0"/>
    <w:rsid w:val="00E149E1"/>
    <w:rsid w:val="00E14CD5"/>
    <w:rsid w:val="00E14F8E"/>
    <w:rsid w:val="00E14FB6"/>
    <w:rsid w:val="00E153F5"/>
    <w:rsid w:val="00E155A8"/>
    <w:rsid w:val="00E15652"/>
    <w:rsid w:val="00E1565D"/>
    <w:rsid w:val="00E15662"/>
    <w:rsid w:val="00E157AC"/>
    <w:rsid w:val="00E157BF"/>
    <w:rsid w:val="00E159BF"/>
    <w:rsid w:val="00E15E60"/>
    <w:rsid w:val="00E15E82"/>
    <w:rsid w:val="00E15F4F"/>
    <w:rsid w:val="00E161C5"/>
    <w:rsid w:val="00E16594"/>
    <w:rsid w:val="00E1667B"/>
    <w:rsid w:val="00E1675F"/>
    <w:rsid w:val="00E16867"/>
    <w:rsid w:val="00E16991"/>
    <w:rsid w:val="00E16A06"/>
    <w:rsid w:val="00E16B69"/>
    <w:rsid w:val="00E16D0D"/>
    <w:rsid w:val="00E16F36"/>
    <w:rsid w:val="00E170D7"/>
    <w:rsid w:val="00E17124"/>
    <w:rsid w:val="00E171C0"/>
    <w:rsid w:val="00E175F4"/>
    <w:rsid w:val="00E17AAE"/>
    <w:rsid w:val="00E17AE9"/>
    <w:rsid w:val="00E17B0B"/>
    <w:rsid w:val="00E17B78"/>
    <w:rsid w:val="00E17BB0"/>
    <w:rsid w:val="00E20033"/>
    <w:rsid w:val="00E202BE"/>
    <w:rsid w:val="00E205BE"/>
    <w:rsid w:val="00E206DD"/>
    <w:rsid w:val="00E2077E"/>
    <w:rsid w:val="00E20C99"/>
    <w:rsid w:val="00E20D2A"/>
    <w:rsid w:val="00E20FB4"/>
    <w:rsid w:val="00E2112B"/>
    <w:rsid w:val="00E21141"/>
    <w:rsid w:val="00E2129F"/>
    <w:rsid w:val="00E212A3"/>
    <w:rsid w:val="00E2131F"/>
    <w:rsid w:val="00E21335"/>
    <w:rsid w:val="00E213E1"/>
    <w:rsid w:val="00E2165B"/>
    <w:rsid w:val="00E21665"/>
    <w:rsid w:val="00E21C2C"/>
    <w:rsid w:val="00E21CB8"/>
    <w:rsid w:val="00E21CBF"/>
    <w:rsid w:val="00E21DCF"/>
    <w:rsid w:val="00E21DD7"/>
    <w:rsid w:val="00E21E12"/>
    <w:rsid w:val="00E22141"/>
    <w:rsid w:val="00E22172"/>
    <w:rsid w:val="00E22471"/>
    <w:rsid w:val="00E224E2"/>
    <w:rsid w:val="00E226A7"/>
    <w:rsid w:val="00E228FC"/>
    <w:rsid w:val="00E22A05"/>
    <w:rsid w:val="00E22B43"/>
    <w:rsid w:val="00E22C65"/>
    <w:rsid w:val="00E22DA3"/>
    <w:rsid w:val="00E22E69"/>
    <w:rsid w:val="00E22EB4"/>
    <w:rsid w:val="00E2345E"/>
    <w:rsid w:val="00E2355C"/>
    <w:rsid w:val="00E235C2"/>
    <w:rsid w:val="00E238AB"/>
    <w:rsid w:val="00E239AA"/>
    <w:rsid w:val="00E23A7C"/>
    <w:rsid w:val="00E23C3A"/>
    <w:rsid w:val="00E23D7A"/>
    <w:rsid w:val="00E23D84"/>
    <w:rsid w:val="00E23E9B"/>
    <w:rsid w:val="00E23FD4"/>
    <w:rsid w:val="00E2411C"/>
    <w:rsid w:val="00E24182"/>
    <w:rsid w:val="00E241AA"/>
    <w:rsid w:val="00E24361"/>
    <w:rsid w:val="00E24369"/>
    <w:rsid w:val="00E243DD"/>
    <w:rsid w:val="00E244AB"/>
    <w:rsid w:val="00E24745"/>
    <w:rsid w:val="00E248AD"/>
    <w:rsid w:val="00E2494C"/>
    <w:rsid w:val="00E24A17"/>
    <w:rsid w:val="00E24A79"/>
    <w:rsid w:val="00E24AEE"/>
    <w:rsid w:val="00E24B19"/>
    <w:rsid w:val="00E24B3F"/>
    <w:rsid w:val="00E24DF7"/>
    <w:rsid w:val="00E24F7B"/>
    <w:rsid w:val="00E24FB1"/>
    <w:rsid w:val="00E2504A"/>
    <w:rsid w:val="00E252DF"/>
    <w:rsid w:val="00E252E6"/>
    <w:rsid w:val="00E2532E"/>
    <w:rsid w:val="00E2546A"/>
    <w:rsid w:val="00E25557"/>
    <w:rsid w:val="00E25631"/>
    <w:rsid w:val="00E2585B"/>
    <w:rsid w:val="00E259C9"/>
    <w:rsid w:val="00E25A16"/>
    <w:rsid w:val="00E25AD5"/>
    <w:rsid w:val="00E25DDE"/>
    <w:rsid w:val="00E25F22"/>
    <w:rsid w:val="00E26335"/>
    <w:rsid w:val="00E26341"/>
    <w:rsid w:val="00E2634D"/>
    <w:rsid w:val="00E2635F"/>
    <w:rsid w:val="00E2636A"/>
    <w:rsid w:val="00E263D8"/>
    <w:rsid w:val="00E26447"/>
    <w:rsid w:val="00E26592"/>
    <w:rsid w:val="00E26707"/>
    <w:rsid w:val="00E26722"/>
    <w:rsid w:val="00E26AE3"/>
    <w:rsid w:val="00E26B6D"/>
    <w:rsid w:val="00E26C14"/>
    <w:rsid w:val="00E26CA9"/>
    <w:rsid w:val="00E27054"/>
    <w:rsid w:val="00E27078"/>
    <w:rsid w:val="00E27304"/>
    <w:rsid w:val="00E2736A"/>
    <w:rsid w:val="00E2737E"/>
    <w:rsid w:val="00E273D6"/>
    <w:rsid w:val="00E27412"/>
    <w:rsid w:val="00E2752D"/>
    <w:rsid w:val="00E276D2"/>
    <w:rsid w:val="00E27756"/>
    <w:rsid w:val="00E27E08"/>
    <w:rsid w:val="00E27E83"/>
    <w:rsid w:val="00E27F79"/>
    <w:rsid w:val="00E30008"/>
    <w:rsid w:val="00E300EE"/>
    <w:rsid w:val="00E3013A"/>
    <w:rsid w:val="00E302D7"/>
    <w:rsid w:val="00E304AF"/>
    <w:rsid w:val="00E304E2"/>
    <w:rsid w:val="00E3052E"/>
    <w:rsid w:val="00E30554"/>
    <w:rsid w:val="00E307BC"/>
    <w:rsid w:val="00E3083C"/>
    <w:rsid w:val="00E308C1"/>
    <w:rsid w:val="00E308C7"/>
    <w:rsid w:val="00E30CAC"/>
    <w:rsid w:val="00E30FEF"/>
    <w:rsid w:val="00E31083"/>
    <w:rsid w:val="00E3138E"/>
    <w:rsid w:val="00E31452"/>
    <w:rsid w:val="00E31519"/>
    <w:rsid w:val="00E31576"/>
    <w:rsid w:val="00E315EA"/>
    <w:rsid w:val="00E31689"/>
    <w:rsid w:val="00E31744"/>
    <w:rsid w:val="00E31802"/>
    <w:rsid w:val="00E318A9"/>
    <w:rsid w:val="00E31D51"/>
    <w:rsid w:val="00E32021"/>
    <w:rsid w:val="00E3205C"/>
    <w:rsid w:val="00E32153"/>
    <w:rsid w:val="00E32235"/>
    <w:rsid w:val="00E32236"/>
    <w:rsid w:val="00E32313"/>
    <w:rsid w:val="00E32365"/>
    <w:rsid w:val="00E32511"/>
    <w:rsid w:val="00E3261E"/>
    <w:rsid w:val="00E328FE"/>
    <w:rsid w:val="00E32F3E"/>
    <w:rsid w:val="00E330BF"/>
    <w:rsid w:val="00E331BD"/>
    <w:rsid w:val="00E331C5"/>
    <w:rsid w:val="00E33580"/>
    <w:rsid w:val="00E33D22"/>
    <w:rsid w:val="00E341A7"/>
    <w:rsid w:val="00E342FD"/>
    <w:rsid w:val="00E34621"/>
    <w:rsid w:val="00E346A3"/>
    <w:rsid w:val="00E349CB"/>
    <w:rsid w:val="00E34A6D"/>
    <w:rsid w:val="00E34AA7"/>
    <w:rsid w:val="00E34B7B"/>
    <w:rsid w:val="00E34BC0"/>
    <w:rsid w:val="00E3528C"/>
    <w:rsid w:val="00E352D5"/>
    <w:rsid w:val="00E353DC"/>
    <w:rsid w:val="00E35520"/>
    <w:rsid w:val="00E3576A"/>
    <w:rsid w:val="00E3581E"/>
    <w:rsid w:val="00E35E2A"/>
    <w:rsid w:val="00E36008"/>
    <w:rsid w:val="00E363AD"/>
    <w:rsid w:val="00E363D5"/>
    <w:rsid w:val="00E363FE"/>
    <w:rsid w:val="00E3661B"/>
    <w:rsid w:val="00E3666E"/>
    <w:rsid w:val="00E367D4"/>
    <w:rsid w:val="00E368BD"/>
    <w:rsid w:val="00E36A96"/>
    <w:rsid w:val="00E36C95"/>
    <w:rsid w:val="00E36D18"/>
    <w:rsid w:val="00E370B4"/>
    <w:rsid w:val="00E37135"/>
    <w:rsid w:val="00E37355"/>
    <w:rsid w:val="00E373AA"/>
    <w:rsid w:val="00E37405"/>
    <w:rsid w:val="00E374C6"/>
    <w:rsid w:val="00E3760A"/>
    <w:rsid w:val="00E3767A"/>
    <w:rsid w:val="00E3795F"/>
    <w:rsid w:val="00E37AAC"/>
    <w:rsid w:val="00E37C8D"/>
    <w:rsid w:val="00E37DA3"/>
    <w:rsid w:val="00E37E20"/>
    <w:rsid w:val="00E37F5C"/>
    <w:rsid w:val="00E37FC8"/>
    <w:rsid w:val="00E4004F"/>
    <w:rsid w:val="00E40294"/>
    <w:rsid w:val="00E4039A"/>
    <w:rsid w:val="00E40531"/>
    <w:rsid w:val="00E40577"/>
    <w:rsid w:val="00E406BC"/>
    <w:rsid w:val="00E40806"/>
    <w:rsid w:val="00E40A0D"/>
    <w:rsid w:val="00E40A8A"/>
    <w:rsid w:val="00E40A93"/>
    <w:rsid w:val="00E40B50"/>
    <w:rsid w:val="00E40E9D"/>
    <w:rsid w:val="00E40FA4"/>
    <w:rsid w:val="00E41128"/>
    <w:rsid w:val="00E411A2"/>
    <w:rsid w:val="00E411B4"/>
    <w:rsid w:val="00E41205"/>
    <w:rsid w:val="00E412AB"/>
    <w:rsid w:val="00E412AD"/>
    <w:rsid w:val="00E413D0"/>
    <w:rsid w:val="00E41443"/>
    <w:rsid w:val="00E41495"/>
    <w:rsid w:val="00E415CA"/>
    <w:rsid w:val="00E4169E"/>
    <w:rsid w:val="00E41A35"/>
    <w:rsid w:val="00E41B2A"/>
    <w:rsid w:val="00E41DB0"/>
    <w:rsid w:val="00E41EE1"/>
    <w:rsid w:val="00E41F39"/>
    <w:rsid w:val="00E42089"/>
    <w:rsid w:val="00E420D0"/>
    <w:rsid w:val="00E422C0"/>
    <w:rsid w:val="00E42430"/>
    <w:rsid w:val="00E4253B"/>
    <w:rsid w:val="00E4285B"/>
    <w:rsid w:val="00E42A15"/>
    <w:rsid w:val="00E42E9D"/>
    <w:rsid w:val="00E42ED0"/>
    <w:rsid w:val="00E42FB5"/>
    <w:rsid w:val="00E4302E"/>
    <w:rsid w:val="00E43071"/>
    <w:rsid w:val="00E4307D"/>
    <w:rsid w:val="00E43110"/>
    <w:rsid w:val="00E4342C"/>
    <w:rsid w:val="00E434E5"/>
    <w:rsid w:val="00E43580"/>
    <w:rsid w:val="00E439B4"/>
    <w:rsid w:val="00E43B3D"/>
    <w:rsid w:val="00E43BCD"/>
    <w:rsid w:val="00E43BEC"/>
    <w:rsid w:val="00E43C67"/>
    <w:rsid w:val="00E43D82"/>
    <w:rsid w:val="00E44064"/>
    <w:rsid w:val="00E44150"/>
    <w:rsid w:val="00E4416A"/>
    <w:rsid w:val="00E445B1"/>
    <w:rsid w:val="00E44754"/>
    <w:rsid w:val="00E44A28"/>
    <w:rsid w:val="00E44AFE"/>
    <w:rsid w:val="00E44CA7"/>
    <w:rsid w:val="00E44CE5"/>
    <w:rsid w:val="00E44D71"/>
    <w:rsid w:val="00E44F6F"/>
    <w:rsid w:val="00E45499"/>
    <w:rsid w:val="00E454BF"/>
    <w:rsid w:val="00E45593"/>
    <w:rsid w:val="00E45B56"/>
    <w:rsid w:val="00E45CC9"/>
    <w:rsid w:val="00E45E33"/>
    <w:rsid w:val="00E45F83"/>
    <w:rsid w:val="00E45F8E"/>
    <w:rsid w:val="00E4607D"/>
    <w:rsid w:val="00E46309"/>
    <w:rsid w:val="00E4644F"/>
    <w:rsid w:val="00E46931"/>
    <w:rsid w:val="00E46C73"/>
    <w:rsid w:val="00E46C83"/>
    <w:rsid w:val="00E46D50"/>
    <w:rsid w:val="00E46D61"/>
    <w:rsid w:val="00E46DD0"/>
    <w:rsid w:val="00E46EB3"/>
    <w:rsid w:val="00E46EBC"/>
    <w:rsid w:val="00E46ED3"/>
    <w:rsid w:val="00E46F94"/>
    <w:rsid w:val="00E470F6"/>
    <w:rsid w:val="00E4724D"/>
    <w:rsid w:val="00E474C7"/>
    <w:rsid w:val="00E475DE"/>
    <w:rsid w:val="00E475EE"/>
    <w:rsid w:val="00E4765A"/>
    <w:rsid w:val="00E47A97"/>
    <w:rsid w:val="00E47D09"/>
    <w:rsid w:val="00E47D62"/>
    <w:rsid w:val="00E47E71"/>
    <w:rsid w:val="00E47ED2"/>
    <w:rsid w:val="00E50003"/>
    <w:rsid w:val="00E50005"/>
    <w:rsid w:val="00E5004F"/>
    <w:rsid w:val="00E50053"/>
    <w:rsid w:val="00E50535"/>
    <w:rsid w:val="00E506E1"/>
    <w:rsid w:val="00E5071F"/>
    <w:rsid w:val="00E508C9"/>
    <w:rsid w:val="00E50929"/>
    <w:rsid w:val="00E50BD9"/>
    <w:rsid w:val="00E50CA3"/>
    <w:rsid w:val="00E50D1C"/>
    <w:rsid w:val="00E50D32"/>
    <w:rsid w:val="00E50E0D"/>
    <w:rsid w:val="00E50EDC"/>
    <w:rsid w:val="00E51326"/>
    <w:rsid w:val="00E51393"/>
    <w:rsid w:val="00E51612"/>
    <w:rsid w:val="00E5164D"/>
    <w:rsid w:val="00E517B5"/>
    <w:rsid w:val="00E517C8"/>
    <w:rsid w:val="00E5189B"/>
    <w:rsid w:val="00E51A65"/>
    <w:rsid w:val="00E51B82"/>
    <w:rsid w:val="00E51FC3"/>
    <w:rsid w:val="00E5204E"/>
    <w:rsid w:val="00E520F0"/>
    <w:rsid w:val="00E52439"/>
    <w:rsid w:val="00E5247E"/>
    <w:rsid w:val="00E52551"/>
    <w:rsid w:val="00E52744"/>
    <w:rsid w:val="00E52929"/>
    <w:rsid w:val="00E52995"/>
    <w:rsid w:val="00E52AE0"/>
    <w:rsid w:val="00E52B3D"/>
    <w:rsid w:val="00E52C19"/>
    <w:rsid w:val="00E52CBA"/>
    <w:rsid w:val="00E52D0E"/>
    <w:rsid w:val="00E52D75"/>
    <w:rsid w:val="00E52DF8"/>
    <w:rsid w:val="00E52E01"/>
    <w:rsid w:val="00E52E9C"/>
    <w:rsid w:val="00E52EB0"/>
    <w:rsid w:val="00E53079"/>
    <w:rsid w:val="00E53156"/>
    <w:rsid w:val="00E531F2"/>
    <w:rsid w:val="00E53304"/>
    <w:rsid w:val="00E535F5"/>
    <w:rsid w:val="00E5366E"/>
    <w:rsid w:val="00E53693"/>
    <w:rsid w:val="00E53952"/>
    <w:rsid w:val="00E5396B"/>
    <w:rsid w:val="00E53A34"/>
    <w:rsid w:val="00E53A88"/>
    <w:rsid w:val="00E53ABB"/>
    <w:rsid w:val="00E53AFC"/>
    <w:rsid w:val="00E53FC9"/>
    <w:rsid w:val="00E54006"/>
    <w:rsid w:val="00E5424D"/>
    <w:rsid w:val="00E54341"/>
    <w:rsid w:val="00E5442F"/>
    <w:rsid w:val="00E546A2"/>
    <w:rsid w:val="00E546AA"/>
    <w:rsid w:val="00E5471B"/>
    <w:rsid w:val="00E54812"/>
    <w:rsid w:val="00E5489F"/>
    <w:rsid w:val="00E548D7"/>
    <w:rsid w:val="00E5492B"/>
    <w:rsid w:val="00E54CA1"/>
    <w:rsid w:val="00E54D62"/>
    <w:rsid w:val="00E54D97"/>
    <w:rsid w:val="00E54E5B"/>
    <w:rsid w:val="00E54F13"/>
    <w:rsid w:val="00E55114"/>
    <w:rsid w:val="00E556E1"/>
    <w:rsid w:val="00E558DC"/>
    <w:rsid w:val="00E5592D"/>
    <w:rsid w:val="00E55ED3"/>
    <w:rsid w:val="00E560B2"/>
    <w:rsid w:val="00E5618C"/>
    <w:rsid w:val="00E5625A"/>
    <w:rsid w:val="00E562A1"/>
    <w:rsid w:val="00E56310"/>
    <w:rsid w:val="00E5639E"/>
    <w:rsid w:val="00E56668"/>
    <w:rsid w:val="00E56780"/>
    <w:rsid w:val="00E567F4"/>
    <w:rsid w:val="00E569ED"/>
    <w:rsid w:val="00E56A58"/>
    <w:rsid w:val="00E56B50"/>
    <w:rsid w:val="00E56D22"/>
    <w:rsid w:val="00E56E05"/>
    <w:rsid w:val="00E56EE7"/>
    <w:rsid w:val="00E56FD5"/>
    <w:rsid w:val="00E57133"/>
    <w:rsid w:val="00E573E2"/>
    <w:rsid w:val="00E5756A"/>
    <w:rsid w:val="00E57589"/>
    <w:rsid w:val="00E5777E"/>
    <w:rsid w:val="00E578A4"/>
    <w:rsid w:val="00E57926"/>
    <w:rsid w:val="00E57A33"/>
    <w:rsid w:val="00E57A47"/>
    <w:rsid w:val="00E57A87"/>
    <w:rsid w:val="00E57AA2"/>
    <w:rsid w:val="00E57B20"/>
    <w:rsid w:val="00E57C3D"/>
    <w:rsid w:val="00E57F8D"/>
    <w:rsid w:val="00E605ED"/>
    <w:rsid w:val="00E606A9"/>
    <w:rsid w:val="00E609AB"/>
    <w:rsid w:val="00E60B1E"/>
    <w:rsid w:val="00E60BDE"/>
    <w:rsid w:val="00E60C81"/>
    <w:rsid w:val="00E60CE0"/>
    <w:rsid w:val="00E60FA6"/>
    <w:rsid w:val="00E61095"/>
    <w:rsid w:val="00E611AA"/>
    <w:rsid w:val="00E61420"/>
    <w:rsid w:val="00E615A8"/>
    <w:rsid w:val="00E61633"/>
    <w:rsid w:val="00E6169A"/>
    <w:rsid w:val="00E6171B"/>
    <w:rsid w:val="00E619F5"/>
    <w:rsid w:val="00E61F7B"/>
    <w:rsid w:val="00E6214D"/>
    <w:rsid w:val="00E62160"/>
    <w:rsid w:val="00E6218E"/>
    <w:rsid w:val="00E62246"/>
    <w:rsid w:val="00E6238B"/>
    <w:rsid w:val="00E62418"/>
    <w:rsid w:val="00E62586"/>
    <w:rsid w:val="00E62608"/>
    <w:rsid w:val="00E6266E"/>
    <w:rsid w:val="00E62994"/>
    <w:rsid w:val="00E62A29"/>
    <w:rsid w:val="00E62C3B"/>
    <w:rsid w:val="00E62C6F"/>
    <w:rsid w:val="00E62E12"/>
    <w:rsid w:val="00E63321"/>
    <w:rsid w:val="00E6336C"/>
    <w:rsid w:val="00E6343F"/>
    <w:rsid w:val="00E634B5"/>
    <w:rsid w:val="00E6359D"/>
    <w:rsid w:val="00E635A7"/>
    <w:rsid w:val="00E635B1"/>
    <w:rsid w:val="00E63656"/>
    <w:rsid w:val="00E636B7"/>
    <w:rsid w:val="00E637D4"/>
    <w:rsid w:val="00E63880"/>
    <w:rsid w:val="00E63970"/>
    <w:rsid w:val="00E63BCD"/>
    <w:rsid w:val="00E63C0A"/>
    <w:rsid w:val="00E63DD3"/>
    <w:rsid w:val="00E63ED3"/>
    <w:rsid w:val="00E63F88"/>
    <w:rsid w:val="00E64026"/>
    <w:rsid w:val="00E64253"/>
    <w:rsid w:val="00E642F4"/>
    <w:rsid w:val="00E6450C"/>
    <w:rsid w:val="00E645B3"/>
    <w:rsid w:val="00E6462E"/>
    <w:rsid w:val="00E64871"/>
    <w:rsid w:val="00E64876"/>
    <w:rsid w:val="00E6487B"/>
    <w:rsid w:val="00E64888"/>
    <w:rsid w:val="00E6488B"/>
    <w:rsid w:val="00E64C45"/>
    <w:rsid w:val="00E64C74"/>
    <w:rsid w:val="00E64D9B"/>
    <w:rsid w:val="00E64E6D"/>
    <w:rsid w:val="00E64FE8"/>
    <w:rsid w:val="00E65105"/>
    <w:rsid w:val="00E65114"/>
    <w:rsid w:val="00E6516D"/>
    <w:rsid w:val="00E65231"/>
    <w:rsid w:val="00E65388"/>
    <w:rsid w:val="00E654C6"/>
    <w:rsid w:val="00E655D7"/>
    <w:rsid w:val="00E6569D"/>
    <w:rsid w:val="00E659E0"/>
    <w:rsid w:val="00E659E1"/>
    <w:rsid w:val="00E65A6E"/>
    <w:rsid w:val="00E65AF9"/>
    <w:rsid w:val="00E65B21"/>
    <w:rsid w:val="00E65C35"/>
    <w:rsid w:val="00E65E5F"/>
    <w:rsid w:val="00E661CE"/>
    <w:rsid w:val="00E6622F"/>
    <w:rsid w:val="00E663AA"/>
    <w:rsid w:val="00E664CF"/>
    <w:rsid w:val="00E665C9"/>
    <w:rsid w:val="00E6699F"/>
    <w:rsid w:val="00E66AFB"/>
    <w:rsid w:val="00E66DCF"/>
    <w:rsid w:val="00E66F34"/>
    <w:rsid w:val="00E671C1"/>
    <w:rsid w:val="00E67463"/>
    <w:rsid w:val="00E674C8"/>
    <w:rsid w:val="00E6752C"/>
    <w:rsid w:val="00E67553"/>
    <w:rsid w:val="00E678C6"/>
    <w:rsid w:val="00E679D0"/>
    <w:rsid w:val="00E67C18"/>
    <w:rsid w:val="00E67CD1"/>
    <w:rsid w:val="00E67D69"/>
    <w:rsid w:val="00E67E39"/>
    <w:rsid w:val="00E70124"/>
    <w:rsid w:val="00E7016B"/>
    <w:rsid w:val="00E70431"/>
    <w:rsid w:val="00E70857"/>
    <w:rsid w:val="00E70910"/>
    <w:rsid w:val="00E70972"/>
    <w:rsid w:val="00E70C65"/>
    <w:rsid w:val="00E70C7D"/>
    <w:rsid w:val="00E70DF6"/>
    <w:rsid w:val="00E71100"/>
    <w:rsid w:val="00E71101"/>
    <w:rsid w:val="00E711EF"/>
    <w:rsid w:val="00E712AB"/>
    <w:rsid w:val="00E713EC"/>
    <w:rsid w:val="00E716DB"/>
    <w:rsid w:val="00E7192E"/>
    <w:rsid w:val="00E71B6D"/>
    <w:rsid w:val="00E71B97"/>
    <w:rsid w:val="00E71BF2"/>
    <w:rsid w:val="00E71D30"/>
    <w:rsid w:val="00E71F40"/>
    <w:rsid w:val="00E72253"/>
    <w:rsid w:val="00E722EB"/>
    <w:rsid w:val="00E7268F"/>
    <w:rsid w:val="00E72850"/>
    <w:rsid w:val="00E729D8"/>
    <w:rsid w:val="00E72C29"/>
    <w:rsid w:val="00E72CA6"/>
    <w:rsid w:val="00E72CAF"/>
    <w:rsid w:val="00E73046"/>
    <w:rsid w:val="00E73108"/>
    <w:rsid w:val="00E7317C"/>
    <w:rsid w:val="00E73192"/>
    <w:rsid w:val="00E731CF"/>
    <w:rsid w:val="00E731D1"/>
    <w:rsid w:val="00E73315"/>
    <w:rsid w:val="00E73327"/>
    <w:rsid w:val="00E73541"/>
    <w:rsid w:val="00E73649"/>
    <w:rsid w:val="00E7364D"/>
    <w:rsid w:val="00E736AA"/>
    <w:rsid w:val="00E7382F"/>
    <w:rsid w:val="00E7387D"/>
    <w:rsid w:val="00E73A2C"/>
    <w:rsid w:val="00E73D3A"/>
    <w:rsid w:val="00E7400C"/>
    <w:rsid w:val="00E7404A"/>
    <w:rsid w:val="00E7428B"/>
    <w:rsid w:val="00E744C9"/>
    <w:rsid w:val="00E744DD"/>
    <w:rsid w:val="00E744E2"/>
    <w:rsid w:val="00E746DD"/>
    <w:rsid w:val="00E7483E"/>
    <w:rsid w:val="00E7487E"/>
    <w:rsid w:val="00E74980"/>
    <w:rsid w:val="00E749C7"/>
    <w:rsid w:val="00E74BDF"/>
    <w:rsid w:val="00E74C32"/>
    <w:rsid w:val="00E74C97"/>
    <w:rsid w:val="00E7505C"/>
    <w:rsid w:val="00E75115"/>
    <w:rsid w:val="00E7522B"/>
    <w:rsid w:val="00E75308"/>
    <w:rsid w:val="00E75343"/>
    <w:rsid w:val="00E75766"/>
    <w:rsid w:val="00E757A6"/>
    <w:rsid w:val="00E757F6"/>
    <w:rsid w:val="00E75886"/>
    <w:rsid w:val="00E75B86"/>
    <w:rsid w:val="00E75D0B"/>
    <w:rsid w:val="00E75FE6"/>
    <w:rsid w:val="00E75FEF"/>
    <w:rsid w:val="00E7601E"/>
    <w:rsid w:val="00E76111"/>
    <w:rsid w:val="00E76249"/>
    <w:rsid w:val="00E763BE"/>
    <w:rsid w:val="00E764D2"/>
    <w:rsid w:val="00E76650"/>
    <w:rsid w:val="00E76BEC"/>
    <w:rsid w:val="00E76CCB"/>
    <w:rsid w:val="00E76F00"/>
    <w:rsid w:val="00E76FAD"/>
    <w:rsid w:val="00E76FD2"/>
    <w:rsid w:val="00E7708A"/>
    <w:rsid w:val="00E772F9"/>
    <w:rsid w:val="00E773E4"/>
    <w:rsid w:val="00E77417"/>
    <w:rsid w:val="00E77708"/>
    <w:rsid w:val="00E7774F"/>
    <w:rsid w:val="00E778CE"/>
    <w:rsid w:val="00E779F3"/>
    <w:rsid w:val="00E77B05"/>
    <w:rsid w:val="00E77FBE"/>
    <w:rsid w:val="00E800F8"/>
    <w:rsid w:val="00E801D7"/>
    <w:rsid w:val="00E8039F"/>
    <w:rsid w:val="00E804BB"/>
    <w:rsid w:val="00E807D3"/>
    <w:rsid w:val="00E807FC"/>
    <w:rsid w:val="00E80907"/>
    <w:rsid w:val="00E80A4D"/>
    <w:rsid w:val="00E80CC9"/>
    <w:rsid w:val="00E80DC9"/>
    <w:rsid w:val="00E80FBF"/>
    <w:rsid w:val="00E81579"/>
    <w:rsid w:val="00E81765"/>
    <w:rsid w:val="00E81905"/>
    <w:rsid w:val="00E81956"/>
    <w:rsid w:val="00E81C0E"/>
    <w:rsid w:val="00E81CC7"/>
    <w:rsid w:val="00E81CC9"/>
    <w:rsid w:val="00E81D35"/>
    <w:rsid w:val="00E81DAC"/>
    <w:rsid w:val="00E81E31"/>
    <w:rsid w:val="00E81E5D"/>
    <w:rsid w:val="00E81E63"/>
    <w:rsid w:val="00E81F3D"/>
    <w:rsid w:val="00E81FA5"/>
    <w:rsid w:val="00E81FF0"/>
    <w:rsid w:val="00E82081"/>
    <w:rsid w:val="00E820C9"/>
    <w:rsid w:val="00E82290"/>
    <w:rsid w:val="00E82294"/>
    <w:rsid w:val="00E823D3"/>
    <w:rsid w:val="00E82798"/>
    <w:rsid w:val="00E82887"/>
    <w:rsid w:val="00E82935"/>
    <w:rsid w:val="00E82A16"/>
    <w:rsid w:val="00E82AB4"/>
    <w:rsid w:val="00E82B98"/>
    <w:rsid w:val="00E82BB4"/>
    <w:rsid w:val="00E82E05"/>
    <w:rsid w:val="00E82F1B"/>
    <w:rsid w:val="00E83160"/>
    <w:rsid w:val="00E833DA"/>
    <w:rsid w:val="00E834B1"/>
    <w:rsid w:val="00E83594"/>
    <w:rsid w:val="00E836EC"/>
    <w:rsid w:val="00E8376B"/>
    <w:rsid w:val="00E838D3"/>
    <w:rsid w:val="00E83A70"/>
    <w:rsid w:val="00E83B2A"/>
    <w:rsid w:val="00E83B2F"/>
    <w:rsid w:val="00E83D03"/>
    <w:rsid w:val="00E843CB"/>
    <w:rsid w:val="00E84560"/>
    <w:rsid w:val="00E8473B"/>
    <w:rsid w:val="00E849E0"/>
    <w:rsid w:val="00E84A99"/>
    <w:rsid w:val="00E84B0E"/>
    <w:rsid w:val="00E84DA2"/>
    <w:rsid w:val="00E85020"/>
    <w:rsid w:val="00E852B7"/>
    <w:rsid w:val="00E855B2"/>
    <w:rsid w:val="00E8570C"/>
    <w:rsid w:val="00E85712"/>
    <w:rsid w:val="00E85A29"/>
    <w:rsid w:val="00E85B7D"/>
    <w:rsid w:val="00E85C31"/>
    <w:rsid w:val="00E85FF0"/>
    <w:rsid w:val="00E86072"/>
    <w:rsid w:val="00E86111"/>
    <w:rsid w:val="00E8617D"/>
    <w:rsid w:val="00E8618B"/>
    <w:rsid w:val="00E8625A"/>
    <w:rsid w:val="00E862B2"/>
    <w:rsid w:val="00E862B9"/>
    <w:rsid w:val="00E86316"/>
    <w:rsid w:val="00E863F2"/>
    <w:rsid w:val="00E86414"/>
    <w:rsid w:val="00E86539"/>
    <w:rsid w:val="00E8659A"/>
    <w:rsid w:val="00E8665A"/>
    <w:rsid w:val="00E86777"/>
    <w:rsid w:val="00E86C50"/>
    <w:rsid w:val="00E86CD1"/>
    <w:rsid w:val="00E86ECD"/>
    <w:rsid w:val="00E86EE8"/>
    <w:rsid w:val="00E86EF0"/>
    <w:rsid w:val="00E86F50"/>
    <w:rsid w:val="00E86F6E"/>
    <w:rsid w:val="00E870F8"/>
    <w:rsid w:val="00E87306"/>
    <w:rsid w:val="00E8737B"/>
    <w:rsid w:val="00E873CC"/>
    <w:rsid w:val="00E876E7"/>
    <w:rsid w:val="00E876F3"/>
    <w:rsid w:val="00E877D2"/>
    <w:rsid w:val="00E87ABB"/>
    <w:rsid w:val="00E87CAE"/>
    <w:rsid w:val="00E87E30"/>
    <w:rsid w:val="00E87F38"/>
    <w:rsid w:val="00E87F93"/>
    <w:rsid w:val="00E9023B"/>
    <w:rsid w:val="00E902AE"/>
    <w:rsid w:val="00E90341"/>
    <w:rsid w:val="00E903A2"/>
    <w:rsid w:val="00E90536"/>
    <w:rsid w:val="00E9069E"/>
    <w:rsid w:val="00E908C0"/>
    <w:rsid w:val="00E9098A"/>
    <w:rsid w:val="00E909F5"/>
    <w:rsid w:val="00E90E5E"/>
    <w:rsid w:val="00E90EB0"/>
    <w:rsid w:val="00E90FFE"/>
    <w:rsid w:val="00E9121C"/>
    <w:rsid w:val="00E91289"/>
    <w:rsid w:val="00E9189E"/>
    <w:rsid w:val="00E9195F"/>
    <w:rsid w:val="00E91BBE"/>
    <w:rsid w:val="00E91C55"/>
    <w:rsid w:val="00E91DF5"/>
    <w:rsid w:val="00E920C3"/>
    <w:rsid w:val="00E9227B"/>
    <w:rsid w:val="00E92366"/>
    <w:rsid w:val="00E92468"/>
    <w:rsid w:val="00E924C8"/>
    <w:rsid w:val="00E92BB7"/>
    <w:rsid w:val="00E92DB9"/>
    <w:rsid w:val="00E92EAB"/>
    <w:rsid w:val="00E92EB9"/>
    <w:rsid w:val="00E92EF0"/>
    <w:rsid w:val="00E93041"/>
    <w:rsid w:val="00E93076"/>
    <w:rsid w:val="00E9315B"/>
    <w:rsid w:val="00E9325B"/>
    <w:rsid w:val="00E9333F"/>
    <w:rsid w:val="00E93453"/>
    <w:rsid w:val="00E9350E"/>
    <w:rsid w:val="00E9361C"/>
    <w:rsid w:val="00E9368F"/>
    <w:rsid w:val="00E93ADE"/>
    <w:rsid w:val="00E93C0A"/>
    <w:rsid w:val="00E940A3"/>
    <w:rsid w:val="00E94194"/>
    <w:rsid w:val="00E94318"/>
    <w:rsid w:val="00E94603"/>
    <w:rsid w:val="00E94722"/>
    <w:rsid w:val="00E94890"/>
    <w:rsid w:val="00E949EB"/>
    <w:rsid w:val="00E94BA7"/>
    <w:rsid w:val="00E94F92"/>
    <w:rsid w:val="00E94F99"/>
    <w:rsid w:val="00E94FD0"/>
    <w:rsid w:val="00E95150"/>
    <w:rsid w:val="00E954AA"/>
    <w:rsid w:val="00E9564D"/>
    <w:rsid w:val="00E956C1"/>
    <w:rsid w:val="00E95853"/>
    <w:rsid w:val="00E9593C"/>
    <w:rsid w:val="00E95B89"/>
    <w:rsid w:val="00E95E4E"/>
    <w:rsid w:val="00E960C1"/>
    <w:rsid w:val="00E96175"/>
    <w:rsid w:val="00E961CD"/>
    <w:rsid w:val="00E9653D"/>
    <w:rsid w:val="00E9653F"/>
    <w:rsid w:val="00E96606"/>
    <w:rsid w:val="00E966E5"/>
    <w:rsid w:val="00E967D5"/>
    <w:rsid w:val="00E96B05"/>
    <w:rsid w:val="00E96C8A"/>
    <w:rsid w:val="00E96FA5"/>
    <w:rsid w:val="00E9742D"/>
    <w:rsid w:val="00E974C3"/>
    <w:rsid w:val="00E9761C"/>
    <w:rsid w:val="00E9777C"/>
    <w:rsid w:val="00E9789C"/>
    <w:rsid w:val="00E97B4A"/>
    <w:rsid w:val="00EA0145"/>
    <w:rsid w:val="00EA0197"/>
    <w:rsid w:val="00EA047F"/>
    <w:rsid w:val="00EA04B2"/>
    <w:rsid w:val="00EA063B"/>
    <w:rsid w:val="00EA0665"/>
    <w:rsid w:val="00EA0760"/>
    <w:rsid w:val="00EA07BA"/>
    <w:rsid w:val="00EA0824"/>
    <w:rsid w:val="00EA0B29"/>
    <w:rsid w:val="00EA0C9F"/>
    <w:rsid w:val="00EA0D46"/>
    <w:rsid w:val="00EA0E83"/>
    <w:rsid w:val="00EA11B6"/>
    <w:rsid w:val="00EA11F9"/>
    <w:rsid w:val="00EA120B"/>
    <w:rsid w:val="00EA12F5"/>
    <w:rsid w:val="00EA13AE"/>
    <w:rsid w:val="00EA15CA"/>
    <w:rsid w:val="00EA17EB"/>
    <w:rsid w:val="00EA1931"/>
    <w:rsid w:val="00EA1B61"/>
    <w:rsid w:val="00EA1C1E"/>
    <w:rsid w:val="00EA1D87"/>
    <w:rsid w:val="00EA1DCA"/>
    <w:rsid w:val="00EA1E5D"/>
    <w:rsid w:val="00EA24C4"/>
    <w:rsid w:val="00EA264D"/>
    <w:rsid w:val="00EA2D5D"/>
    <w:rsid w:val="00EA2D80"/>
    <w:rsid w:val="00EA2DE5"/>
    <w:rsid w:val="00EA306F"/>
    <w:rsid w:val="00EA30A8"/>
    <w:rsid w:val="00EA32FE"/>
    <w:rsid w:val="00EA3407"/>
    <w:rsid w:val="00EA35DE"/>
    <w:rsid w:val="00EA379C"/>
    <w:rsid w:val="00EA3AF2"/>
    <w:rsid w:val="00EA3B08"/>
    <w:rsid w:val="00EA3B13"/>
    <w:rsid w:val="00EA3B76"/>
    <w:rsid w:val="00EA3BF8"/>
    <w:rsid w:val="00EA3C1C"/>
    <w:rsid w:val="00EA3CA9"/>
    <w:rsid w:val="00EA3D31"/>
    <w:rsid w:val="00EA3D5D"/>
    <w:rsid w:val="00EA3EA5"/>
    <w:rsid w:val="00EA3EE3"/>
    <w:rsid w:val="00EA3F66"/>
    <w:rsid w:val="00EA4087"/>
    <w:rsid w:val="00EA4181"/>
    <w:rsid w:val="00EA4263"/>
    <w:rsid w:val="00EA43D7"/>
    <w:rsid w:val="00EA4752"/>
    <w:rsid w:val="00EA4761"/>
    <w:rsid w:val="00EA483B"/>
    <w:rsid w:val="00EA4C02"/>
    <w:rsid w:val="00EA4DC8"/>
    <w:rsid w:val="00EA5127"/>
    <w:rsid w:val="00EA540D"/>
    <w:rsid w:val="00EA54E7"/>
    <w:rsid w:val="00EA5867"/>
    <w:rsid w:val="00EA5E25"/>
    <w:rsid w:val="00EA5F32"/>
    <w:rsid w:val="00EA6418"/>
    <w:rsid w:val="00EA6458"/>
    <w:rsid w:val="00EA652A"/>
    <w:rsid w:val="00EA6543"/>
    <w:rsid w:val="00EA65D9"/>
    <w:rsid w:val="00EA6632"/>
    <w:rsid w:val="00EA67F4"/>
    <w:rsid w:val="00EA68B9"/>
    <w:rsid w:val="00EA68EB"/>
    <w:rsid w:val="00EA69EE"/>
    <w:rsid w:val="00EA69EF"/>
    <w:rsid w:val="00EA69F5"/>
    <w:rsid w:val="00EA6A6D"/>
    <w:rsid w:val="00EA6A73"/>
    <w:rsid w:val="00EA6B65"/>
    <w:rsid w:val="00EA6BDC"/>
    <w:rsid w:val="00EA6D5A"/>
    <w:rsid w:val="00EA6D7E"/>
    <w:rsid w:val="00EA6E25"/>
    <w:rsid w:val="00EA6EB8"/>
    <w:rsid w:val="00EA7192"/>
    <w:rsid w:val="00EA7291"/>
    <w:rsid w:val="00EA72B1"/>
    <w:rsid w:val="00EA731F"/>
    <w:rsid w:val="00EA740D"/>
    <w:rsid w:val="00EA7415"/>
    <w:rsid w:val="00EA76B9"/>
    <w:rsid w:val="00EA7799"/>
    <w:rsid w:val="00EA7A8A"/>
    <w:rsid w:val="00EA7E1F"/>
    <w:rsid w:val="00EA7ECC"/>
    <w:rsid w:val="00EA7F27"/>
    <w:rsid w:val="00EB02A4"/>
    <w:rsid w:val="00EB0487"/>
    <w:rsid w:val="00EB06EB"/>
    <w:rsid w:val="00EB076C"/>
    <w:rsid w:val="00EB08DC"/>
    <w:rsid w:val="00EB090B"/>
    <w:rsid w:val="00EB0B2B"/>
    <w:rsid w:val="00EB0FF4"/>
    <w:rsid w:val="00EB110E"/>
    <w:rsid w:val="00EB1213"/>
    <w:rsid w:val="00EB1262"/>
    <w:rsid w:val="00EB12CE"/>
    <w:rsid w:val="00EB180F"/>
    <w:rsid w:val="00EB1888"/>
    <w:rsid w:val="00EB1FCD"/>
    <w:rsid w:val="00EB2085"/>
    <w:rsid w:val="00EB215F"/>
    <w:rsid w:val="00EB21AD"/>
    <w:rsid w:val="00EB221B"/>
    <w:rsid w:val="00EB2286"/>
    <w:rsid w:val="00EB229B"/>
    <w:rsid w:val="00EB23E4"/>
    <w:rsid w:val="00EB24DC"/>
    <w:rsid w:val="00EB2651"/>
    <w:rsid w:val="00EB26D6"/>
    <w:rsid w:val="00EB2761"/>
    <w:rsid w:val="00EB2897"/>
    <w:rsid w:val="00EB2B88"/>
    <w:rsid w:val="00EB2C04"/>
    <w:rsid w:val="00EB2D80"/>
    <w:rsid w:val="00EB2DC8"/>
    <w:rsid w:val="00EB2E28"/>
    <w:rsid w:val="00EB315D"/>
    <w:rsid w:val="00EB3242"/>
    <w:rsid w:val="00EB33E4"/>
    <w:rsid w:val="00EB3831"/>
    <w:rsid w:val="00EB38D8"/>
    <w:rsid w:val="00EB3AF4"/>
    <w:rsid w:val="00EB3C2F"/>
    <w:rsid w:val="00EB3CF2"/>
    <w:rsid w:val="00EB3D69"/>
    <w:rsid w:val="00EB3E8A"/>
    <w:rsid w:val="00EB4163"/>
    <w:rsid w:val="00EB421E"/>
    <w:rsid w:val="00EB4792"/>
    <w:rsid w:val="00EB47C5"/>
    <w:rsid w:val="00EB4948"/>
    <w:rsid w:val="00EB4A8E"/>
    <w:rsid w:val="00EB4A90"/>
    <w:rsid w:val="00EB4A9A"/>
    <w:rsid w:val="00EB4AE1"/>
    <w:rsid w:val="00EB4B55"/>
    <w:rsid w:val="00EB4DC6"/>
    <w:rsid w:val="00EB4E6D"/>
    <w:rsid w:val="00EB4F54"/>
    <w:rsid w:val="00EB4FCA"/>
    <w:rsid w:val="00EB5177"/>
    <w:rsid w:val="00EB5413"/>
    <w:rsid w:val="00EB5566"/>
    <w:rsid w:val="00EB5A8B"/>
    <w:rsid w:val="00EB5B38"/>
    <w:rsid w:val="00EB5D11"/>
    <w:rsid w:val="00EB5DF7"/>
    <w:rsid w:val="00EB5ECB"/>
    <w:rsid w:val="00EB61F4"/>
    <w:rsid w:val="00EB6538"/>
    <w:rsid w:val="00EB65EF"/>
    <w:rsid w:val="00EB66A1"/>
    <w:rsid w:val="00EB6816"/>
    <w:rsid w:val="00EB6B04"/>
    <w:rsid w:val="00EB6B15"/>
    <w:rsid w:val="00EB6B90"/>
    <w:rsid w:val="00EB7061"/>
    <w:rsid w:val="00EB71BB"/>
    <w:rsid w:val="00EB7223"/>
    <w:rsid w:val="00EB73DF"/>
    <w:rsid w:val="00EB74B7"/>
    <w:rsid w:val="00EB74C9"/>
    <w:rsid w:val="00EB7538"/>
    <w:rsid w:val="00EB755B"/>
    <w:rsid w:val="00EB7619"/>
    <w:rsid w:val="00EB7A85"/>
    <w:rsid w:val="00EB7B0F"/>
    <w:rsid w:val="00EB7C43"/>
    <w:rsid w:val="00EB7D02"/>
    <w:rsid w:val="00EB7F9E"/>
    <w:rsid w:val="00EC0034"/>
    <w:rsid w:val="00EC07F3"/>
    <w:rsid w:val="00EC0845"/>
    <w:rsid w:val="00EC085A"/>
    <w:rsid w:val="00EC08AD"/>
    <w:rsid w:val="00EC0A0B"/>
    <w:rsid w:val="00EC0ABF"/>
    <w:rsid w:val="00EC0AEB"/>
    <w:rsid w:val="00EC0B36"/>
    <w:rsid w:val="00EC0C32"/>
    <w:rsid w:val="00EC0C59"/>
    <w:rsid w:val="00EC0C6D"/>
    <w:rsid w:val="00EC0CA8"/>
    <w:rsid w:val="00EC0E22"/>
    <w:rsid w:val="00EC0E54"/>
    <w:rsid w:val="00EC0F8C"/>
    <w:rsid w:val="00EC10A4"/>
    <w:rsid w:val="00EC1BAA"/>
    <w:rsid w:val="00EC1C50"/>
    <w:rsid w:val="00EC1FB4"/>
    <w:rsid w:val="00EC20D5"/>
    <w:rsid w:val="00EC2197"/>
    <w:rsid w:val="00EC22C2"/>
    <w:rsid w:val="00EC23FE"/>
    <w:rsid w:val="00EC2672"/>
    <w:rsid w:val="00EC2771"/>
    <w:rsid w:val="00EC288F"/>
    <w:rsid w:val="00EC289C"/>
    <w:rsid w:val="00EC295A"/>
    <w:rsid w:val="00EC29E1"/>
    <w:rsid w:val="00EC31AC"/>
    <w:rsid w:val="00EC321A"/>
    <w:rsid w:val="00EC3354"/>
    <w:rsid w:val="00EC3508"/>
    <w:rsid w:val="00EC358A"/>
    <w:rsid w:val="00EC35A6"/>
    <w:rsid w:val="00EC36EF"/>
    <w:rsid w:val="00EC3899"/>
    <w:rsid w:val="00EC38FF"/>
    <w:rsid w:val="00EC393D"/>
    <w:rsid w:val="00EC3A27"/>
    <w:rsid w:val="00EC3B36"/>
    <w:rsid w:val="00EC3C3C"/>
    <w:rsid w:val="00EC3E31"/>
    <w:rsid w:val="00EC4205"/>
    <w:rsid w:val="00EC432E"/>
    <w:rsid w:val="00EC4686"/>
    <w:rsid w:val="00EC4722"/>
    <w:rsid w:val="00EC47D3"/>
    <w:rsid w:val="00EC4832"/>
    <w:rsid w:val="00EC4982"/>
    <w:rsid w:val="00EC4CED"/>
    <w:rsid w:val="00EC4D88"/>
    <w:rsid w:val="00EC4E26"/>
    <w:rsid w:val="00EC4E5E"/>
    <w:rsid w:val="00EC4F03"/>
    <w:rsid w:val="00EC5106"/>
    <w:rsid w:val="00EC5202"/>
    <w:rsid w:val="00EC52D1"/>
    <w:rsid w:val="00EC53D0"/>
    <w:rsid w:val="00EC541A"/>
    <w:rsid w:val="00EC55A8"/>
    <w:rsid w:val="00EC55E6"/>
    <w:rsid w:val="00EC56B5"/>
    <w:rsid w:val="00EC57A6"/>
    <w:rsid w:val="00EC580B"/>
    <w:rsid w:val="00EC5A1D"/>
    <w:rsid w:val="00EC5ADE"/>
    <w:rsid w:val="00EC5CEE"/>
    <w:rsid w:val="00EC5EFD"/>
    <w:rsid w:val="00EC6014"/>
    <w:rsid w:val="00EC61BF"/>
    <w:rsid w:val="00EC6234"/>
    <w:rsid w:val="00EC629E"/>
    <w:rsid w:val="00EC62E5"/>
    <w:rsid w:val="00EC63C2"/>
    <w:rsid w:val="00EC6419"/>
    <w:rsid w:val="00EC6431"/>
    <w:rsid w:val="00EC6627"/>
    <w:rsid w:val="00EC6B87"/>
    <w:rsid w:val="00EC6C31"/>
    <w:rsid w:val="00EC6E7B"/>
    <w:rsid w:val="00EC6EA2"/>
    <w:rsid w:val="00EC6F55"/>
    <w:rsid w:val="00EC722D"/>
    <w:rsid w:val="00EC7256"/>
    <w:rsid w:val="00EC7347"/>
    <w:rsid w:val="00EC7449"/>
    <w:rsid w:val="00EC78F7"/>
    <w:rsid w:val="00EC79F9"/>
    <w:rsid w:val="00EC7A62"/>
    <w:rsid w:val="00EC7BDE"/>
    <w:rsid w:val="00EC7FA8"/>
    <w:rsid w:val="00EC7FF2"/>
    <w:rsid w:val="00ED0033"/>
    <w:rsid w:val="00ED016B"/>
    <w:rsid w:val="00ED0265"/>
    <w:rsid w:val="00ED0420"/>
    <w:rsid w:val="00ED042A"/>
    <w:rsid w:val="00ED04F8"/>
    <w:rsid w:val="00ED073E"/>
    <w:rsid w:val="00ED0974"/>
    <w:rsid w:val="00ED09DF"/>
    <w:rsid w:val="00ED0A98"/>
    <w:rsid w:val="00ED0AAB"/>
    <w:rsid w:val="00ED0B97"/>
    <w:rsid w:val="00ED0CEC"/>
    <w:rsid w:val="00ED0EB9"/>
    <w:rsid w:val="00ED0F38"/>
    <w:rsid w:val="00ED10BE"/>
    <w:rsid w:val="00ED10F8"/>
    <w:rsid w:val="00ED137E"/>
    <w:rsid w:val="00ED13D4"/>
    <w:rsid w:val="00ED13DE"/>
    <w:rsid w:val="00ED140A"/>
    <w:rsid w:val="00ED147F"/>
    <w:rsid w:val="00ED1519"/>
    <w:rsid w:val="00ED1AA9"/>
    <w:rsid w:val="00ED1BDD"/>
    <w:rsid w:val="00ED1D1A"/>
    <w:rsid w:val="00ED21B9"/>
    <w:rsid w:val="00ED2376"/>
    <w:rsid w:val="00ED25BC"/>
    <w:rsid w:val="00ED25BF"/>
    <w:rsid w:val="00ED274D"/>
    <w:rsid w:val="00ED27B0"/>
    <w:rsid w:val="00ED28DB"/>
    <w:rsid w:val="00ED28F6"/>
    <w:rsid w:val="00ED29B0"/>
    <w:rsid w:val="00ED29B1"/>
    <w:rsid w:val="00ED29D0"/>
    <w:rsid w:val="00ED2AA3"/>
    <w:rsid w:val="00ED2E46"/>
    <w:rsid w:val="00ED2E9C"/>
    <w:rsid w:val="00ED315E"/>
    <w:rsid w:val="00ED3264"/>
    <w:rsid w:val="00ED32EF"/>
    <w:rsid w:val="00ED369E"/>
    <w:rsid w:val="00ED3709"/>
    <w:rsid w:val="00ED37C8"/>
    <w:rsid w:val="00ED38EA"/>
    <w:rsid w:val="00ED3924"/>
    <w:rsid w:val="00ED3C1C"/>
    <w:rsid w:val="00ED3D23"/>
    <w:rsid w:val="00ED3D4A"/>
    <w:rsid w:val="00ED3EFE"/>
    <w:rsid w:val="00ED4106"/>
    <w:rsid w:val="00ED414D"/>
    <w:rsid w:val="00ED41C9"/>
    <w:rsid w:val="00ED41E0"/>
    <w:rsid w:val="00ED43C4"/>
    <w:rsid w:val="00ED44AF"/>
    <w:rsid w:val="00ED451C"/>
    <w:rsid w:val="00ED454D"/>
    <w:rsid w:val="00ED49D0"/>
    <w:rsid w:val="00ED4B9C"/>
    <w:rsid w:val="00ED4BAD"/>
    <w:rsid w:val="00ED4D3A"/>
    <w:rsid w:val="00ED503A"/>
    <w:rsid w:val="00ED503D"/>
    <w:rsid w:val="00ED523B"/>
    <w:rsid w:val="00ED526C"/>
    <w:rsid w:val="00ED55EA"/>
    <w:rsid w:val="00ED5752"/>
    <w:rsid w:val="00ED59AE"/>
    <w:rsid w:val="00ED5C54"/>
    <w:rsid w:val="00ED60A7"/>
    <w:rsid w:val="00ED6171"/>
    <w:rsid w:val="00ED64BB"/>
    <w:rsid w:val="00ED6653"/>
    <w:rsid w:val="00ED69A9"/>
    <w:rsid w:val="00ED6A16"/>
    <w:rsid w:val="00ED6A58"/>
    <w:rsid w:val="00ED6BD4"/>
    <w:rsid w:val="00ED6F34"/>
    <w:rsid w:val="00ED6FC3"/>
    <w:rsid w:val="00ED7045"/>
    <w:rsid w:val="00ED715F"/>
    <w:rsid w:val="00ED72D9"/>
    <w:rsid w:val="00ED72E2"/>
    <w:rsid w:val="00ED72EB"/>
    <w:rsid w:val="00ED74C2"/>
    <w:rsid w:val="00ED75A0"/>
    <w:rsid w:val="00ED77A1"/>
    <w:rsid w:val="00ED78E2"/>
    <w:rsid w:val="00ED78F5"/>
    <w:rsid w:val="00ED7B42"/>
    <w:rsid w:val="00ED7B43"/>
    <w:rsid w:val="00ED7DC0"/>
    <w:rsid w:val="00ED7DF2"/>
    <w:rsid w:val="00ED7EA1"/>
    <w:rsid w:val="00ED7EDA"/>
    <w:rsid w:val="00ED7F4E"/>
    <w:rsid w:val="00EE03F3"/>
    <w:rsid w:val="00EE04E6"/>
    <w:rsid w:val="00EE054C"/>
    <w:rsid w:val="00EE0696"/>
    <w:rsid w:val="00EE098A"/>
    <w:rsid w:val="00EE09AE"/>
    <w:rsid w:val="00EE0E81"/>
    <w:rsid w:val="00EE1085"/>
    <w:rsid w:val="00EE126E"/>
    <w:rsid w:val="00EE1290"/>
    <w:rsid w:val="00EE132D"/>
    <w:rsid w:val="00EE13CB"/>
    <w:rsid w:val="00EE162C"/>
    <w:rsid w:val="00EE1A81"/>
    <w:rsid w:val="00EE1B18"/>
    <w:rsid w:val="00EE1CDE"/>
    <w:rsid w:val="00EE1D6C"/>
    <w:rsid w:val="00EE1DA6"/>
    <w:rsid w:val="00EE21D9"/>
    <w:rsid w:val="00EE2263"/>
    <w:rsid w:val="00EE235D"/>
    <w:rsid w:val="00EE2469"/>
    <w:rsid w:val="00EE255C"/>
    <w:rsid w:val="00EE26B9"/>
    <w:rsid w:val="00EE281F"/>
    <w:rsid w:val="00EE2877"/>
    <w:rsid w:val="00EE28CE"/>
    <w:rsid w:val="00EE2D4B"/>
    <w:rsid w:val="00EE2DC2"/>
    <w:rsid w:val="00EE3127"/>
    <w:rsid w:val="00EE32D4"/>
    <w:rsid w:val="00EE3378"/>
    <w:rsid w:val="00EE34C3"/>
    <w:rsid w:val="00EE3683"/>
    <w:rsid w:val="00EE376E"/>
    <w:rsid w:val="00EE37CB"/>
    <w:rsid w:val="00EE3841"/>
    <w:rsid w:val="00EE385B"/>
    <w:rsid w:val="00EE3926"/>
    <w:rsid w:val="00EE3A9D"/>
    <w:rsid w:val="00EE3B41"/>
    <w:rsid w:val="00EE3BA9"/>
    <w:rsid w:val="00EE3CE8"/>
    <w:rsid w:val="00EE3CF4"/>
    <w:rsid w:val="00EE3EC6"/>
    <w:rsid w:val="00EE3F10"/>
    <w:rsid w:val="00EE437C"/>
    <w:rsid w:val="00EE4496"/>
    <w:rsid w:val="00EE46ED"/>
    <w:rsid w:val="00EE4792"/>
    <w:rsid w:val="00EE4839"/>
    <w:rsid w:val="00EE4A0A"/>
    <w:rsid w:val="00EE4B13"/>
    <w:rsid w:val="00EE4C21"/>
    <w:rsid w:val="00EE4CD4"/>
    <w:rsid w:val="00EE4DAB"/>
    <w:rsid w:val="00EE4F83"/>
    <w:rsid w:val="00EE4F8F"/>
    <w:rsid w:val="00EE4F9C"/>
    <w:rsid w:val="00EE4FA9"/>
    <w:rsid w:val="00EE4FC8"/>
    <w:rsid w:val="00EE5041"/>
    <w:rsid w:val="00EE5201"/>
    <w:rsid w:val="00EE523B"/>
    <w:rsid w:val="00EE54C9"/>
    <w:rsid w:val="00EE5512"/>
    <w:rsid w:val="00EE5747"/>
    <w:rsid w:val="00EE57BD"/>
    <w:rsid w:val="00EE59F6"/>
    <w:rsid w:val="00EE5CEB"/>
    <w:rsid w:val="00EE6177"/>
    <w:rsid w:val="00EE6296"/>
    <w:rsid w:val="00EE6349"/>
    <w:rsid w:val="00EE63BA"/>
    <w:rsid w:val="00EE655F"/>
    <w:rsid w:val="00EE65BE"/>
    <w:rsid w:val="00EE6746"/>
    <w:rsid w:val="00EE6D3C"/>
    <w:rsid w:val="00EE6D6E"/>
    <w:rsid w:val="00EE6DEB"/>
    <w:rsid w:val="00EE6EF8"/>
    <w:rsid w:val="00EE6F26"/>
    <w:rsid w:val="00EE7112"/>
    <w:rsid w:val="00EE717A"/>
    <w:rsid w:val="00EE7240"/>
    <w:rsid w:val="00EE74EB"/>
    <w:rsid w:val="00EE7515"/>
    <w:rsid w:val="00EE78E7"/>
    <w:rsid w:val="00EE794D"/>
    <w:rsid w:val="00EE7A71"/>
    <w:rsid w:val="00EE7B83"/>
    <w:rsid w:val="00EE7C7C"/>
    <w:rsid w:val="00EE7D1E"/>
    <w:rsid w:val="00EE7FEA"/>
    <w:rsid w:val="00EF0090"/>
    <w:rsid w:val="00EF02D1"/>
    <w:rsid w:val="00EF0389"/>
    <w:rsid w:val="00EF051E"/>
    <w:rsid w:val="00EF0ACD"/>
    <w:rsid w:val="00EF0B69"/>
    <w:rsid w:val="00EF0D78"/>
    <w:rsid w:val="00EF15C4"/>
    <w:rsid w:val="00EF15F8"/>
    <w:rsid w:val="00EF1A86"/>
    <w:rsid w:val="00EF1BCC"/>
    <w:rsid w:val="00EF1FAB"/>
    <w:rsid w:val="00EF2189"/>
    <w:rsid w:val="00EF23A5"/>
    <w:rsid w:val="00EF23D0"/>
    <w:rsid w:val="00EF26ED"/>
    <w:rsid w:val="00EF26F3"/>
    <w:rsid w:val="00EF2852"/>
    <w:rsid w:val="00EF2A97"/>
    <w:rsid w:val="00EF2FD8"/>
    <w:rsid w:val="00EF3121"/>
    <w:rsid w:val="00EF3257"/>
    <w:rsid w:val="00EF3641"/>
    <w:rsid w:val="00EF386A"/>
    <w:rsid w:val="00EF398E"/>
    <w:rsid w:val="00EF3A4F"/>
    <w:rsid w:val="00EF3ADB"/>
    <w:rsid w:val="00EF3AF1"/>
    <w:rsid w:val="00EF3C28"/>
    <w:rsid w:val="00EF3CEC"/>
    <w:rsid w:val="00EF3E89"/>
    <w:rsid w:val="00EF4072"/>
    <w:rsid w:val="00EF4092"/>
    <w:rsid w:val="00EF418D"/>
    <w:rsid w:val="00EF41F5"/>
    <w:rsid w:val="00EF43DD"/>
    <w:rsid w:val="00EF4455"/>
    <w:rsid w:val="00EF44E8"/>
    <w:rsid w:val="00EF4526"/>
    <w:rsid w:val="00EF48CD"/>
    <w:rsid w:val="00EF48E9"/>
    <w:rsid w:val="00EF4954"/>
    <w:rsid w:val="00EF4A5C"/>
    <w:rsid w:val="00EF4B1F"/>
    <w:rsid w:val="00EF4B6A"/>
    <w:rsid w:val="00EF4BF3"/>
    <w:rsid w:val="00EF4C8C"/>
    <w:rsid w:val="00EF4C97"/>
    <w:rsid w:val="00EF4D7E"/>
    <w:rsid w:val="00EF4E44"/>
    <w:rsid w:val="00EF4FE3"/>
    <w:rsid w:val="00EF50C0"/>
    <w:rsid w:val="00EF5229"/>
    <w:rsid w:val="00EF53DA"/>
    <w:rsid w:val="00EF5675"/>
    <w:rsid w:val="00EF5857"/>
    <w:rsid w:val="00EF5902"/>
    <w:rsid w:val="00EF5AC3"/>
    <w:rsid w:val="00EF5AF3"/>
    <w:rsid w:val="00EF5D30"/>
    <w:rsid w:val="00EF5F51"/>
    <w:rsid w:val="00EF5FA4"/>
    <w:rsid w:val="00EF62E4"/>
    <w:rsid w:val="00EF658E"/>
    <w:rsid w:val="00EF69AB"/>
    <w:rsid w:val="00EF69FE"/>
    <w:rsid w:val="00EF6A70"/>
    <w:rsid w:val="00EF6DFE"/>
    <w:rsid w:val="00EF6E72"/>
    <w:rsid w:val="00EF6EB2"/>
    <w:rsid w:val="00EF6F65"/>
    <w:rsid w:val="00EF6FB7"/>
    <w:rsid w:val="00EF7083"/>
    <w:rsid w:val="00EF72D0"/>
    <w:rsid w:val="00EF7323"/>
    <w:rsid w:val="00EF7342"/>
    <w:rsid w:val="00EF736C"/>
    <w:rsid w:val="00EF7370"/>
    <w:rsid w:val="00EF7512"/>
    <w:rsid w:val="00EF75A1"/>
    <w:rsid w:val="00EF77C1"/>
    <w:rsid w:val="00EF7A32"/>
    <w:rsid w:val="00EF7ABA"/>
    <w:rsid w:val="00EF7AF5"/>
    <w:rsid w:val="00EF7BF6"/>
    <w:rsid w:val="00EF7CB6"/>
    <w:rsid w:val="00EF7CCA"/>
    <w:rsid w:val="00EF7D38"/>
    <w:rsid w:val="00EF7EFA"/>
    <w:rsid w:val="00EF7F29"/>
    <w:rsid w:val="00EF7F94"/>
    <w:rsid w:val="00F00099"/>
    <w:rsid w:val="00F000EC"/>
    <w:rsid w:val="00F00148"/>
    <w:rsid w:val="00F001BC"/>
    <w:rsid w:val="00F0046D"/>
    <w:rsid w:val="00F005A3"/>
    <w:rsid w:val="00F0062F"/>
    <w:rsid w:val="00F00859"/>
    <w:rsid w:val="00F009C3"/>
    <w:rsid w:val="00F00A16"/>
    <w:rsid w:val="00F00D2F"/>
    <w:rsid w:val="00F00D34"/>
    <w:rsid w:val="00F00D39"/>
    <w:rsid w:val="00F00EF8"/>
    <w:rsid w:val="00F010B8"/>
    <w:rsid w:val="00F010C0"/>
    <w:rsid w:val="00F01796"/>
    <w:rsid w:val="00F017F0"/>
    <w:rsid w:val="00F01809"/>
    <w:rsid w:val="00F01A49"/>
    <w:rsid w:val="00F01A77"/>
    <w:rsid w:val="00F01CFF"/>
    <w:rsid w:val="00F01D70"/>
    <w:rsid w:val="00F01EB1"/>
    <w:rsid w:val="00F01EF5"/>
    <w:rsid w:val="00F01F04"/>
    <w:rsid w:val="00F02180"/>
    <w:rsid w:val="00F022B1"/>
    <w:rsid w:val="00F02349"/>
    <w:rsid w:val="00F02382"/>
    <w:rsid w:val="00F023F8"/>
    <w:rsid w:val="00F02695"/>
    <w:rsid w:val="00F0276A"/>
    <w:rsid w:val="00F02779"/>
    <w:rsid w:val="00F0297B"/>
    <w:rsid w:val="00F02B69"/>
    <w:rsid w:val="00F02E5C"/>
    <w:rsid w:val="00F02EE1"/>
    <w:rsid w:val="00F02FC7"/>
    <w:rsid w:val="00F03174"/>
    <w:rsid w:val="00F03423"/>
    <w:rsid w:val="00F03498"/>
    <w:rsid w:val="00F034AC"/>
    <w:rsid w:val="00F03535"/>
    <w:rsid w:val="00F03A18"/>
    <w:rsid w:val="00F03B71"/>
    <w:rsid w:val="00F03B79"/>
    <w:rsid w:val="00F03D3E"/>
    <w:rsid w:val="00F03D99"/>
    <w:rsid w:val="00F03F5D"/>
    <w:rsid w:val="00F04537"/>
    <w:rsid w:val="00F04660"/>
    <w:rsid w:val="00F04992"/>
    <w:rsid w:val="00F04AE1"/>
    <w:rsid w:val="00F04B03"/>
    <w:rsid w:val="00F04D6C"/>
    <w:rsid w:val="00F04DC8"/>
    <w:rsid w:val="00F04E42"/>
    <w:rsid w:val="00F04F1A"/>
    <w:rsid w:val="00F04F28"/>
    <w:rsid w:val="00F04FA0"/>
    <w:rsid w:val="00F05204"/>
    <w:rsid w:val="00F052E3"/>
    <w:rsid w:val="00F054F3"/>
    <w:rsid w:val="00F05639"/>
    <w:rsid w:val="00F056D8"/>
    <w:rsid w:val="00F057D5"/>
    <w:rsid w:val="00F05848"/>
    <w:rsid w:val="00F05C00"/>
    <w:rsid w:val="00F05C37"/>
    <w:rsid w:val="00F05C88"/>
    <w:rsid w:val="00F05E28"/>
    <w:rsid w:val="00F060C7"/>
    <w:rsid w:val="00F06123"/>
    <w:rsid w:val="00F06152"/>
    <w:rsid w:val="00F062F4"/>
    <w:rsid w:val="00F0638D"/>
    <w:rsid w:val="00F065E8"/>
    <w:rsid w:val="00F06923"/>
    <w:rsid w:val="00F06971"/>
    <w:rsid w:val="00F069E6"/>
    <w:rsid w:val="00F06A44"/>
    <w:rsid w:val="00F06AF4"/>
    <w:rsid w:val="00F06B36"/>
    <w:rsid w:val="00F06D9C"/>
    <w:rsid w:val="00F06DA3"/>
    <w:rsid w:val="00F06E69"/>
    <w:rsid w:val="00F0712C"/>
    <w:rsid w:val="00F0730E"/>
    <w:rsid w:val="00F07426"/>
    <w:rsid w:val="00F07563"/>
    <w:rsid w:val="00F07603"/>
    <w:rsid w:val="00F077C6"/>
    <w:rsid w:val="00F07875"/>
    <w:rsid w:val="00F078D6"/>
    <w:rsid w:val="00F07A57"/>
    <w:rsid w:val="00F07B25"/>
    <w:rsid w:val="00F07DC1"/>
    <w:rsid w:val="00F07DE9"/>
    <w:rsid w:val="00F07DF5"/>
    <w:rsid w:val="00F07EB9"/>
    <w:rsid w:val="00F100D6"/>
    <w:rsid w:val="00F100F4"/>
    <w:rsid w:val="00F101F1"/>
    <w:rsid w:val="00F1022A"/>
    <w:rsid w:val="00F1024B"/>
    <w:rsid w:val="00F102EB"/>
    <w:rsid w:val="00F10302"/>
    <w:rsid w:val="00F10343"/>
    <w:rsid w:val="00F103D5"/>
    <w:rsid w:val="00F103F3"/>
    <w:rsid w:val="00F1058B"/>
    <w:rsid w:val="00F108BC"/>
    <w:rsid w:val="00F1096D"/>
    <w:rsid w:val="00F10AED"/>
    <w:rsid w:val="00F10BCB"/>
    <w:rsid w:val="00F10C6C"/>
    <w:rsid w:val="00F10DA6"/>
    <w:rsid w:val="00F10F37"/>
    <w:rsid w:val="00F1119C"/>
    <w:rsid w:val="00F11217"/>
    <w:rsid w:val="00F11284"/>
    <w:rsid w:val="00F1142A"/>
    <w:rsid w:val="00F114FA"/>
    <w:rsid w:val="00F115F1"/>
    <w:rsid w:val="00F11837"/>
    <w:rsid w:val="00F11853"/>
    <w:rsid w:val="00F118E2"/>
    <w:rsid w:val="00F11906"/>
    <w:rsid w:val="00F11930"/>
    <w:rsid w:val="00F11ACB"/>
    <w:rsid w:val="00F11BC2"/>
    <w:rsid w:val="00F11BEA"/>
    <w:rsid w:val="00F11BF1"/>
    <w:rsid w:val="00F11CE1"/>
    <w:rsid w:val="00F11D77"/>
    <w:rsid w:val="00F11E5D"/>
    <w:rsid w:val="00F11EFE"/>
    <w:rsid w:val="00F11F3D"/>
    <w:rsid w:val="00F11F62"/>
    <w:rsid w:val="00F12065"/>
    <w:rsid w:val="00F1214C"/>
    <w:rsid w:val="00F121B8"/>
    <w:rsid w:val="00F122A1"/>
    <w:rsid w:val="00F123A2"/>
    <w:rsid w:val="00F126E7"/>
    <w:rsid w:val="00F127C0"/>
    <w:rsid w:val="00F12881"/>
    <w:rsid w:val="00F1289A"/>
    <w:rsid w:val="00F12932"/>
    <w:rsid w:val="00F129C8"/>
    <w:rsid w:val="00F12C4B"/>
    <w:rsid w:val="00F12C65"/>
    <w:rsid w:val="00F12CC0"/>
    <w:rsid w:val="00F12D68"/>
    <w:rsid w:val="00F12E14"/>
    <w:rsid w:val="00F12E47"/>
    <w:rsid w:val="00F133E2"/>
    <w:rsid w:val="00F1347B"/>
    <w:rsid w:val="00F13544"/>
    <w:rsid w:val="00F13653"/>
    <w:rsid w:val="00F13702"/>
    <w:rsid w:val="00F13796"/>
    <w:rsid w:val="00F13943"/>
    <w:rsid w:val="00F139B4"/>
    <w:rsid w:val="00F13F2B"/>
    <w:rsid w:val="00F13F80"/>
    <w:rsid w:val="00F13FE6"/>
    <w:rsid w:val="00F14312"/>
    <w:rsid w:val="00F14612"/>
    <w:rsid w:val="00F1474D"/>
    <w:rsid w:val="00F148BE"/>
    <w:rsid w:val="00F148C8"/>
    <w:rsid w:val="00F14963"/>
    <w:rsid w:val="00F149E0"/>
    <w:rsid w:val="00F14AE6"/>
    <w:rsid w:val="00F14BB2"/>
    <w:rsid w:val="00F14C8C"/>
    <w:rsid w:val="00F14C9A"/>
    <w:rsid w:val="00F14E29"/>
    <w:rsid w:val="00F14FDF"/>
    <w:rsid w:val="00F15126"/>
    <w:rsid w:val="00F154D0"/>
    <w:rsid w:val="00F155A9"/>
    <w:rsid w:val="00F15675"/>
    <w:rsid w:val="00F1568F"/>
    <w:rsid w:val="00F158AE"/>
    <w:rsid w:val="00F158BC"/>
    <w:rsid w:val="00F15B2B"/>
    <w:rsid w:val="00F15BE0"/>
    <w:rsid w:val="00F15E4F"/>
    <w:rsid w:val="00F15FAC"/>
    <w:rsid w:val="00F161D8"/>
    <w:rsid w:val="00F1649F"/>
    <w:rsid w:val="00F164F8"/>
    <w:rsid w:val="00F166F4"/>
    <w:rsid w:val="00F16713"/>
    <w:rsid w:val="00F167B9"/>
    <w:rsid w:val="00F1682E"/>
    <w:rsid w:val="00F16853"/>
    <w:rsid w:val="00F1687C"/>
    <w:rsid w:val="00F16ADE"/>
    <w:rsid w:val="00F16B94"/>
    <w:rsid w:val="00F16C8C"/>
    <w:rsid w:val="00F1701E"/>
    <w:rsid w:val="00F1708E"/>
    <w:rsid w:val="00F175FE"/>
    <w:rsid w:val="00F177C1"/>
    <w:rsid w:val="00F17A61"/>
    <w:rsid w:val="00F17CF6"/>
    <w:rsid w:val="00F17D60"/>
    <w:rsid w:val="00F17F10"/>
    <w:rsid w:val="00F2001D"/>
    <w:rsid w:val="00F20043"/>
    <w:rsid w:val="00F20053"/>
    <w:rsid w:val="00F200B4"/>
    <w:rsid w:val="00F2057E"/>
    <w:rsid w:val="00F2059E"/>
    <w:rsid w:val="00F20766"/>
    <w:rsid w:val="00F2077E"/>
    <w:rsid w:val="00F207D4"/>
    <w:rsid w:val="00F207F0"/>
    <w:rsid w:val="00F20808"/>
    <w:rsid w:val="00F2092B"/>
    <w:rsid w:val="00F20AD2"/>
    <w:rsid w:val="00F20DF3"/>
    <w:rsid w:val="00F20FBF"/>
    <w:rsid w:val="00F21101"/>
    <w:rsid w:val="00F2111C"/>
    <w:rsid w:val="00F21337"/>
    <w:rsid w:val="00F214E2"/>
    <w:rsid w:val="00F214F1"/>
    <w:rsid w:val="00F216E0"/>
    <w:rsid w:val="00F217D2"/>
    <w:rsid w:val="00F218B3"/>
    <w:rsid w:val="00F21CD0"/>
    <w:rsid w:val="00F21CEF"/>
    <w:rsid w:val="00F21DF1"/>
    <w:rsid w:val="00F21EAA"/>
    <w:rsid w:val="00F21F77"/>
    <w:rsid w:val="00F21FF7"/>
    <w:rsid w:val="00F22161"/>
    <w:rsid w:val="00F224C0"/>
    <w:rsid w:val="00F225B9"/>
    <w:rsid w:val="00F2273B"/>
    <w:rsid w:val="00F22752"/>
    <w:rsid w:val="00F22A55"/>
    <w:rsid w:val="00F22C28"/>
    <w:rsid w:val="00F22CDE"/>
    <w:rsid w:val="00F22D7A"/>
    <w:rsid w:val="00F22D8E"/>
    <w:rsid w:val="00F23040"/>
    <w:rsid w:val="00F230A1"/>
    <w:rsid w:val="00F2333F"/>
    <w:rsid w:val="00F233A7"/>
    <w:rsid w:val="00F233D3"/>
    <w:rsid w:val="00F23453"/>
    <w:rsid w:val="00F236FA"/>
    <w:rsid w:val="00F238C9"/>
    <w:rsid w:val="00F238D0"/>
    <w:rsid w:val="00F23BA2"/>
    <w:rsid w:val="00F23C21"/>
    <w:rsid w:val="00F23C67"/>
    <w:rsid w:val="00F23DCB"/>
    <w:rsid w:val="00F23EAA"/>
    <w:rsid w:val="00F23FF9"/>
    <w:rsid w:val="00F24060"/>
    <w:rsid w:val="00F243F2"/>
    <w:rsid w:val="00F244F7"/>
    <w:rsid w:val="00F24505"/>
    <w:rsid w:val="00F24579"/>
    <w:rsid w:val="00F245E8"/>
    <w:rsid w:val="00F245FA"/>
    <w:rsid w:val="00F24615"/>
    <w:rsid w:val="00F24635"/>
    <w:rsid w:val="00F24860"/>
    <w:rsid w:val="00F248A0"/>
    <w:rsid w:val="00F24B26"/>
    <w:rsid w:val="00F24BBC"/>
    <w:rsid w:val="00F24E74"/>
    <w:rsid w:val="00F24F9B"/>
    <w:rsid w:val="00F25069"/>
    <w:rsid w:val="00F250FF"/>
    <w:rsid w:val="00F25140"/>
    <w:rsid w:val="00F25171"/>
    <w:rsid w:val="00F25208"/>
    <w:rsid w:val="00F254DA"/>
    <w:rsid w:val="00F255A1"/>
    <w:rsid w:val="00F25707"/>
    <w:rsid w:val="00F2573B"/>
    <w:rsid w:val="00F2599B"/>
    <w:rsid w:val="00F259D3"/>
    <w:rsid w:val="00F25CE5"/>
    <w:rsid w:val="00F25F8D"/>
    <w:rsid w:val="00F260A3"/>
    <w:rsid w:val="00F2623D"/>
    <w:rsid w:val="00F26257"/>
    <w:rsid w:val="00F2628F"/>
    <w:rsid w:val="00F26485"/>
    <w:rsid w:val="00F265BB"/>
    <w:rsid w:val="00F265D4"/>
    <w:rsid w:val="00F26865"/>
    <w:rsid w:val="00F2686A"/>
    <w:rsid w:val="00F26A80"/>
    <w:rsid w:val="00F26AD0"/>
    <w:rsid w:val="00F26AEB"/>
    <w:rsid w:val="00F26E66"/>
    <w:rsid w:val="00F26EB8"/>
    <w:rsid w:val="00F26F26"/>
    <w:rsid w:val="00F27041"/>
    <w:rsid w:val="00F27148"/>
    <w:rsid w:val="00F2724C"/>
    <w:rsid w:val="00F27308"/>
    <w:rsid w:val="00F274B7"/>
    <w:rsid w:val="00F2752F"/>
    <w:rsid w:val="00F276D3"/>
    <w:rsid w:val="00F279F9"/>
    <w:rsid w:val="00F27B14"/>
    <w:rsid w:val="00F27B4E"/>
    <w:rsid w:val="00F27BF9"/>
    <w:rsid w:val="00F27CF0"/>
    <w:rsid w:val="00F3001E"/>
    <w:rsid w:val="00F30075"/>
    <w:rsid w:val="00F3008D"/>
    <w:rsid w:val="00F301BD"/>
    <w:rsid w:val="00F302EE"/>
    <w:rsid w:val="00F30309"/>
    <w:rsid w:val="00F3043C"/>
    <w:rsid w:val="00F304F0"/>
    <w:rsid w:val="00F3078F"/>
    <w:rsid w:val="00F30856"/>
    <w:rsid w:val="00F308E8"/>
    <w:rsid w:val="00F3097D"/>
    <w:rsid w:val="00F30A90"/>
    <w:rsid w:val="00F30C55"/>
    <w:rsid w:val="00F30E8C"/>
    <w:rsid w:val="00F30E91"/>
    <w:rsid w:val="00F30F34"/>
    <w:rsid w:val="00F30FFC"/>
    <w:rsid w:val="00F310B9"/>
    <w:rsid w:val="00F311FF"/>
    <w:rsid w:val="00F313C7"/>
    <w:rsid w:val="00F31464"/>
    <w:rsid w:val="00F314A0"/>
    <w:rsid w:val="00F3169E"/>
    <w:rsid w:val="00F316D4"/>
    <w:rsid w:val="00F316F2"/>
    <w:rsid w:val="00F3175B"/>
    <w:rsid w:val="00F3198A"/>
    <w:rsid w:val="00F31A67"/>
    <w:rsid w:val="00F31B2F"/>
    <w:rsid w:val="00F31C10"/>
    <w:rsid w:val="00F31C86"/>
    <w:rsid w:val="00F31ED2"/>
    <w:rsid w:val="00F31F0A"/>
    <w:rsid w:val="00F32020"/>
    <w:rsid w:val="00F3206B"/>
    <w:rsid w:val="00F32186"/>
    <w:rsid w:val="00F32348"/>
    <w:rsid w:val="00F324EC"/>
    <w:rsid w:val="00F32520"/>
    <w:rsid w:val="00F32607"/>
    <w:rsid w:val="00F32623"/>
    <w:rsid w:val="00F32671"/>
    <w:rsid w:val="00F3269B"/>
    <w:rsid w:val="00F326E4"/>
    <w:rsid w:val="00F326FE"/>
    <w:rsid w:val="00F327D9"/>
    <w:rsid w:val="00F3282C"/>
    <w:rsid w:val="00F32856"/>
    <w:rsid w:val="00F328BD"/>
    <w:rsid w:val="00F32989"/>
    <w:rsid w:val="00F32DF5"/>
    <w:rsid w:val="00F32F43"/>
    <w:rsid w:val="00F333B7"/>
    <w:rsid w:val="00F33529"/>
    <w:rsid w:val="00F33735"/>
    <w:rsid w:val="00F3377D"/>
    <w:rsid w:val="00F338A8"/>
    <w:rsid w:val="00F338CD"/>
    <w:rsid w:val="00F3397F"/>
    <w:rsid w:val="00F3432C"/>
    <w:rsid w:val="00F345DF"/>
    <w:rsid w:val="00F34602"/>
    <w:rsid w:val="00F34889"/>
    <w:rsid w:val="00F34998"/>
    <w:rsid w:val="00F34A7E"/>
    <w:rsid w:val="00F34F55"/>
    <w:rsid w:val="00F350ED"/>
    <w:rsid w:val="00F35213"/>
    <w:rsid w:val="00F35619"/>
    <w:rsid w:val="00F35694"/>
    <w:rsid w:val="00F3580B"/>
    <w:rsid w:val="00F35887"/>
    <w:rsid w:val="00F35935"/>
    <w:rsid w:val="00F35A34"/>
    <w:rsid w:val="00F35ADA"/>
    <w:rsid w:val="00F35DDF"/>
    <w:rsid w:val="00F35E20"/>
    <w:rsid w:val="00F35EF6"/>
    <w:rsid w:val="00F3608D"/>
    <w:rsid w:val="00F360B5"/>
    <w:rsid w:val="00F360BB"/>
    <w:rsid w:val="00F36200"/>
    <w:rsid w:val="00F3629A"/>
    <w:rsid w:val="00F36328"/>
    <w:rsid w:val="00F363E9"/>
    <w:rsid w:val="00F364F8"/>
    <w:rsid w:val="00F367FE"/>
    <w:rsid w:val="00F369B9"/>
    <w:rsid w:val="00F36CC2"/>
    <w:rsid w:val="00F36D85"/>
    <w:rsid w:val="00F36ED1"/>
    <w:rsid w:val="00F36F32"/>
    <w:rsid w:val="00F37019"/>
    <w:rsid w:val="00F3705C"/>
    <w:rsid w:val="00F37097"/>
    <w:rsid w:val="00F3712B"/>
    <w:rsid w:val="00F37466"/>
    <w:rsid w:val="00F3791A"/>
    <w:rsid w:val="00F37A59"/>
    <w:rsid w:val="00F37B0D"/>
    <w:rsid w:val="00F37B6B"/>
    <w:rsid w:val="00F37CB1"/>
    <w:rsid w:val="00F37E48"/>
    <w:rsid w:val="00F37E61"/>
    <w:rsid w:val="00F37EF4"/>
    <w:rsid w:val="00F40049"/>
    <w:rsid w:val="00F401A8"/>
    <w:rsid w:val="00F401EB"/>
    <w:rsid w:val="00F401EF"/>
    <w:rsid w:val="00F40296"/>
    <w:rsid w:val="00F402BA"/>
    <w:rsid w:val="00F4051A"/>
    <w:rsid w:val="00F4069D"/>
    <w:rsid w:val="00F406EA"/>
    <w:rsid w:val="00F407E6"/>
    <w:rsid w:val="00F4087E"/>
    <w:rsid w:val="00F40A58"/>
    <w:rsid w:val="00F40B76"/>
    <w:rsid w:val="00F40B8F"/>
    <w:rsid w:val="00F40D85"/>
    <w:rsid w:val="00F40DBB"/>
    <w:rsid w:val="00F40F15"/>
    <w:rsid w:val="00F41227"/>
    <w:rsid w:val="00F4130C"/>
    <w:rsid w:val="00F414D6"/>
    <w:rsid w:val="00F41713"/>
    <w:rsid w:val="00F417BE"/>
    <w:rsid w:val="00F4181C"/>
    <w:rsid w:val="00F41967"/>
    <w:rsid w:val="00F41A77"/>
    <w:rsid w:val="00F41B66"/>
    <w:rsid w:val="00F41D0C"/>
    <w:rsid w:val="00F41DCB"/>
    <w:rsid w:val="00F41F73"/>
    <w:rsid w:val="00F420A5"/>
    <w:rsid w:val="00F421F4"/>
    <w:rsid w:val="00F4224D"/>
    <w:rsid w:val="00F423FA"/>
    <w:rsid w:val="00F424F0"/>
    <w:rsid w:val="00F4250D"/>
    <w:rsid w:val="00F4275A"/>
    <w:rsid w:val="00F42980"/>
    <w:rsid w:val="00F42B5C"/>
    <w:rsid w:val="00F42BA1"/>
    <w:rsid w:val="00F42C3D"/>
    <w:rsid w:val="00F42CE6"/>
    <w:rsid w:val="00F42DC7"/>
    <w:rsid w:val="00F42ED2"/>
    <w:rsid w:val="00F42F88"/>
    <w:rsid w:val="00F430D6"/>
    <w:rsid w:val="00F431C8"/>
    <w:rsid w:val="00F432B9"/>
    <w:rsid w:val="00F43675"/>
    <w:rsid w:val="00F436BE"/>
    <w:rsid w:val="00F4371B"/>
    <w:rsid w:val="00F43892"/>
    <w:rsid w:val="00F43AA1"/>
    <w:rsid w:val="00F43B21"/>
    <w:rsid w:val="00F43B68"/>
    <w:rsid w:val="00F43C9E"/>
    <w:rsid w:val="00F43D72"/>
    <w:rsid w:val="00F43F6B"/>
    <w:rsid w:val="00F43F94"/>
    <w:rsid w:val="00F441B1"/>
    <w:rsid w:val="00F44220"/>
    <w:rsid w:val="00F44432"/>
    <w:rsid w:val="00F4460B"/>
    <w:rsid w:val="00F446B4"/>
    <w:rsid w:val="00F447BC"/>
    <w:rsid w:val="00F44D51"/>
    <w:rsid w:val="00F44E48"/>
    <w:rsid w:val="00F44FA4"/>
    <w:rsid w:val="00F44FBD"/>
    <w:rsid w:val="00F44FEB"/>
    <w:rsid w:val="00F45237"/>
    <w:rsid w:val="00F4543F"/>
    <w:rsid w:val="00F45583"/>
    <w:rsid w:val="00F45650"/>
    <w:rsid w:val="00F457F3"/>
    <w:rsid w:val="00F458EF"/>
    <w:rsid w:val="00F45996"/>
    <w:rsid w:val="00F45CE9"/>
    <w:rsid w:val="00F45D03"/>
    <w:rsid w:val="00F45F61"/>
    <w:rsid w:val="00F462E8"/>
    <w:rsid w:val="00F4630C"/>
    <w:rsid w:val="00F46446"/>
    <w:rsid w:val="00F46B3F"/>
    <w:rsid w:val="00F46B98"/>
    <w:rsid w:val="00F46CE4"/>
    <w:rsid w:val="00F46F8E"/>
    <w:rsid w:val="00F471C3"/>
    <w:rsid w:val="00F47451"/>
    <w:rsid w:val="00F475D0"/>
    <w:rsid w:val="00F47612"/>
    <w:rsid w:val="00F47715"/>
    <w:rsid w:val="00F477A4"/>
    <w:rsid w:val="00F47809"/>
    <w:rsid w:val="00F4780A"/>
    <w:rsid w:val="00F478A0"/>
    <w:rsid w:val="00F478AB"/>
    <w:rsid w:val="00F479EB"/>
    <w:rsid w:val="00F47A08"/>
    <w:rsid w:val="00F47A0B"/>
    <w:rsid w:val="00F47A4F"/>
    <w:rsid w:val="00F47BAF"/>
    <w:rsid w:val="00F47C15"/>
    <w:rsid w:val="00F47C26"/>
    <w:rsid w:val="00F47D0C"/>
    <w:rsid w:val="00F47D17"/>
    <w:rsid w:val="00F5035D"/>
    <w:rsid w:val="00F50445"/>
    <w:rsid w:val="00F50468"/>
    <w:rsid w:val="00F506BF"/>
    <w:rsid w:val="00F507C9"/>
    <w:rsid w:val="00F507E5"/>
    <w:rsid w:val="00F50B6E"/>
    <w:rsid w:val="00F50C87"/>
    <w:rsid w:val="00F50E5D"/>
    <w:rsid w:val="00F5110B"/>
    <w:rsid w:val="00F51160"/>
    <w:rsid w:val="00F5122B"/>
    <w:rsid w:val="00F5133E"/>
    <w:rsid w:val="00F51608"/>
    <w:rsid w:val="00F51794"/>
    <w:rsid w:val="00F518C5"/>
    <w:rsid w:val="00F518EB"/>
    <w:rsid w:val="00F51AB2"/>
    <w:rsid w:val="00F51B0B"/>
    <w:rsid w:val="00F51C24"/>
    <w:rsid w:val="00F51C4B"/>
    <w:rsid w:val="00F51FB8"/>
    <w:rsid w:val="00F51FBF"/>
    <w:rsid w:val="00F52003"/>
    <w:rsid w:val="00F5203C"/>
    <w:rsid w:val="00F52119"/>
    <w:rsid w:val="00F52198"/>
    <w:rsid w:val="00F52362"/>
    <w:rsid w:val="00F52462"/>
    <w:rsid w:val="00F52C3A"/>
    <w:rsid w:val="00F52CEB"/>
    <w:rsid w:val="00F52D6B"/>
    <w:rsid w:val="00F52E9F"/>
    <w:rsid w:val="00F52EEF"/>
    <w:rsid w:val="00F5310C"/>
    <w:rsid w:val="00F53134"/>
    <w:rsid w:val="00F53164"/>
    <w:rsid w:val="00F53188"/>
    <w:rsid w:val="00F5319B"/>
    <w:rsid w:val="00F535BA"/>
    <w:rsid w:val="00F53744"/>
    <w:rsid w:val="00F5384D"/>
    <w:rsid w:val="00F539BA"/>
    <w:rsid w:val="00F53A3D"/>
    <w:rsid w:val="00F53BD0"/>
    <w:rsid w:val="00F53E57"/>
    <w:rsid w:val="00F53E73"/>
    <w:rsid w:val="00F53F2D"/>
    <w:rsid w:val="00F542F2"/>
    <w:rsid w:val="00F545DA"/>
    <w:rsid w:val="00F54665"/>
    <w:rsid w:val="00F5467C"/>
    <w:rsid w:val="00F547C4"/>
    <w:rsid w:val="00F547D0"/>
    <w:rsid w:val="00F54823"/>
    <w:rsid w:val="00F5483C"/>
    <w:rsid w:val="00F5487A"/>
    <w:rsid w:val="00F5489A"/>
    <w:rsid w:val="00F54A24"/>
    <w:rsid w:val="00F54A72"/>
    <w:rsid w:val="00F54BFB"/>
    <w:rsid w:val="00F54DBE"/>
    <w:rsid w:val="00F55147"/>
    <w:rsid w:val="00F5517E"/>
    <w:rsid w:val="00F55244"/>
    <w:rsid w:val="00F5525E"/>
    <w:rsid w:val="00F55303"/>
    <w:rsid w:val="00F55472"/>
    <w:rsid w:val="00F55473"/>
    <w:rsid w:val="00F5564D"/>
    <w:rsid w:val="00F55681"/>
    <w:rsid w:val="00F55696"/>
    <w:rsid w:val="00F5580D"/>
    <w:rsid w:val="00F55989"/>
    <w:rsid w:val="00F55B08"/>
    <w:rsid w:val="00F55D29"/>
    <w:rsid w:val="00F55D9E"/>
    <w:rsid w:val="00F55DA0"/>
    <w:rsid w:val="00F55E8E"/>
    <w:rsid w:val="00F55FFD"/>
    <w:rsid w:val="00F56085"/>
    <w:rsid w:val="00F5624D"/>
    <w:rsid w:val="00F564C4"/>
    <w:rsid w:val="00F565AE"/>
    <w:rsid w:val="00F5699A"/>
    <w:rsid w:val="00F56AF7"/>
    <w:rsid w:val="00F56C77"/>
    <w:rsid w:val="00F56D65"/>
    <w:rsid w:val="00F57271"/>
    <w:rsid w:val="00F57440"/>
    <w:rsid w:val="00F574F9"/>
    <w:rsid w:val="00F57835"/>
    <w:rsid w:val="00F57940"/>
    <w:rsid w:val="00F57981"/>
    <w:rsid w:val="00F57B31"/>
    <w:rsid w:val="00F57D24"/>
    <w:rsid w:val="00F57D80"/>
    <w:rsid w:val="00F57FF9"/>
    <w:rsid w:val="00F60039"/>
    <w:rsid w:val="00F60189"/>
    <w:rsid w:val="00F60521"/>
    <w:rsid w:val="00F60682"/>
    <w:rsid w:val="00F606BC"/>
    <w:rsid w:val="00F6070F"/>
    <w:rsid w:val="00F608E8"/>
    <w:rsid w:val="00F60A76"/>
    <w:rsid w:val="00F60D1B"/>
    <w:rsid w:val="00F60F3A"/>
    <w:rsid w:val="00F610C3"/>
    <w:rsid w:val="00F61434"/>
    <w:rsid w:val="00F61481"/>
    <w:rsid w:val="00F615B8"/>
    <w:rsid w:val="00F615C6"/>
    <w:rsid w:val="00F61649"/>
    <w:rsid w:val="00F619CD"/>
    <w:rsid w:val="00F61AC0"/>
    <w:rsid w:val="00F61E10"/>
    <w:rsid w:val="00F61EA6"/>
    <w:rsid w:val="00F61EE3"/>
    <w:rsid w:val="00F61F2E"/>
    <w:rsid w:val="00F61FA7"/>
    <w:rsid w:val="00F62143"/>
    <w:rsid w:val="00F6222B"/>
    <w:rsid w:val="00F62341"/>
    <w:rsid w:val="00F62405"/>
    <w:rsid w:val="00F62490"/>
    <w:rsid w:val="00F624C5"/>
    <w:rsid w:val="00F625F3"/>
    <w:rsid w:val="00F6265C"/>
    <w:rsid w:val="00F62685"/>
    <w:rsid w:val="00F62918"/>
    <w:rsid w:val="00F629A8"/>
    <w:rsid w:val="00F62D18"/>
    <w:rsid w:val="00F62F31"/>
    <w:rsid w:val="00F6328D"/>
    <w:rsid w:val="00F632C4"/>
    <w:rsid w:val="00F63631"/>
    <w:rsid w:val="00F6364A"/>
    <w:rsid w:val="00F636D9"/>
    <w:rsid w:val="00F6382C"/>
    <w:rsid w:val="00F63AF5"/>
    <w:rsid w:val="00F63AF6"/>
    <w:rsid w:val="00F63B0E"/>
    <w:rsid w:val="00F63D93"/>
    <w:rsid w:val="00F63F70"/>
    <w:rsid w:val="00F63F7B"/>
    <w:rsid w:val="00F64154"/>
    <w:rsid w:val="00F6432F"/>
    <w:rsid w:val="00F6458F"/>
    <w:rsid w:val="00F645D5"/>
    <w:rsid w:val="00F6463E"/>
    <w:rsid w:val="00F6465B"/>
    <w:rsid w:val="00F647A2"/>
    <w:rsid w:val="00F647B9"/>
    <w:rsid w:val="00F6491E"/>
    <w:rsid w:val="00F649C8"/>
    <w:rsid w:val="00F649FE"/>
    <w:rsid w:val="00F64A62"/>
    <w:rsid w:val="00F64D29"/>
    <w:rsid w:val="00F64FED"/>
    <w:rsid w:val="00F650EB"/>
    <w:rsid w:val="00F65111"/>
    <w:rsid w:val="00F6521A"/>
    <w:rsid w:val="00F654FF"/>
    <w:rsid w:val="00F65563"/>
    <w:rsid w:val="00F6574E"/>
    <w:rsid w:val="00F65757"/>
    <w:rsid w:val="00F65775"/>
    <w:rsid w:val="00F6590D"/>
    <w:rsid w:val="00F65A78"/>
    <w:rsid w:val="00F65C5E"/>
    <w:rsid w:val="00F65CE6"/>
    <w:rsid w:val="00F65D16"/>
    <w:rsid w:val="00F65D98"/>
    <w:rsid w:val="00F65DD5"/>
    <w:rsid w:val="00F65E26"/>
    <w:rsid w:val="00F65E32"/>
    <w:rsid w:val="00F65E36"/>
    <w:rsid w:val="00F65F1C"/>
    <w:rsid w:val="00F6637C"/>
    <w:rsid w:val="00F665BE"/>
    <w:rsid w:val="00F665DE"/>
    <w:rsid w:val="00F66660"/>
    <w:rsid w:val="00F667FB"/>
    <w:rsid w:val="00F669F8"/>
    <w:rsid w:val="00F66A7B"/>
    <w:rsid w:val="00F66BA3"/>
    <w:rsid w:val="00F66D57"/>
    <w:rsid w:val="00F66D5E"/>
    <w:rsid w:val="00F66D62"/>
    <w:rsid w:val="00F66E2B"/>
    <w:rsid w:val="00F66E8F"/>
    <w:rsid w:val="00F66ECB"/>
    <w:rsid w:val="00F66FE6"/>
    <w:rsid w:val="00F67138"/>
    <w:rsid w:val="00F67144"/>
    <w:rsid w:val="00F671A7"/>
    <w:rsid w:val="00F671B9"/>
    <w:rsid w:val="00F67558"/>
    <w:rsid w:val="00F675B2"/>
    <w:rsid w:val="00F675E8"/>
    <w:rsid w:val="00F67803"/>
    <w:rsid w:val="00F6780E"/>
    <w:rsid w:val="00F67981"/>
    <w:rsid w:val="00F679FC"/>
    <w:rsid w:val="00F67AEE"/>
    <w:rsid w:val="00F67B08"/>
    <w:rsid w:val="00F67B24"/>
    <w:rsid w:val="00F67B6D"/>
    <w:rsid w:val="00F67DAE"/>
    <w:rsid w:val="00F67E3B"/>
    <w:rsid w:val="00F67EFE"/>
    <w:rsid w:val="00F67F3C"/>
    <w:rsid w:val="00F70094"/>
    <w:rsid w:val="00F70360"/>
    <w:rsid w:val="00F703FE"/>
    <w:rsid w:val="00F70495"/>
    <w:rsid w:val="00F70514"/>
    <w:rsid w:val="00F707A5"/>
    <w:rsid w:val="00F707FA"/>
    <w:rsid w:val="00F70811"/>
    <w:rsid w:val="00F708BA"/>
    <w:rsid w:val="00F70944"/>
    <w:rsid w:val="00F70A8A"/>
    <w:rsid w:val="00F70B36"/>
    <w:rsid w:val="00F70CED"/>
    <w:rsid w:val="00F7101D"/>
    <w:rsid w:val="00F71341"/>
    <w:rsid w:val="00F7137C"/>
    <w:rsid w:val="00F713D8"/>
    <w:rsid w:val="00F71549"/>
    <w:rsid w:val="00F71604"/>
    <w:rsid w:val="00F71619"/>
    <w:rsid w:val="00F7166B"/>
    <w:rsid w:val="00F71774"/>
    <w:rsid w:val="00F71A66"/>
    <w:rsid w:val="00F71B9B"/>
    <w:rsid w:val="00F71C70"/>
    <w:rsid w:val="00F71DDD"/>
    <w:rsid w:val="00F71E81"/>
    <w:rsid w:val="00F72166"/>
    <w:rsid w:val="00F7257A"/>
    <w:rsid w:val="00F725AB"/>
    <w:rsid w:val="00F7266C"/>
    <w:rsid w:val="00F727BE"/>
    <w:rsid w:val="00F7299B"/>
    <w:rsid w:val="00F72C47"/>
    <w:rsid w:val="00F73198"/>
    <w:rsid w:val="00F731E8"/>
    <w:rsid w:val="00F73206"/>
    <w:rsid w:val="00F73537"/>
    <w:rsid w:val="00F736D3"/>
    <w:rsid w:val="00F736E1"/>
    <w:rsid w:val="00F737A4"/>
    <w:rsid w:val="00F738A0"/>
    <w:rsid w:val="00F73945"/>
    <w:rsid w:val="00F73A1E"/>
    <w:rsid w:val="00F73E81"/>
    <w:rsid w:val="00F7409D"/>
    <w:rsid w:val="00F74548"/>
    <w:rsid w:val="00F745BF"/>
    <w:rsid w:val="00F745EE"/>
    <w:rsid w:val="00F747D9"/>
    <w:rsid w:val="00F74844"/>
    <w:rsid w:val="00F74B1A"/>
    <w:rsid w:val="00F74B32"/>
    <w:rsid w:val="00F74BAA"/>
    <w:rsid w:val="00F74D09"/>
    <w:rsid w:val="00F74FB1"/>
    <w:rsid w:val="00F75006"/>
    <w:rsid w:val="00F751E2"/>
    <w:rsid w:val="00F752A3"/>
    <w:rsid w:val="00F7540C"/>
    <w:rsid w:val="00F75533"/>
    <w:rsid w:val="00F75546"/>
    <w:rsid w:val="00F75625"/>
    <w:rsid w:val="00F758BA"/>
    <w:rsid w:val="00F758C2"/>
    <w:rsid w:val="00F7598C"/>
    <w:rsid w:val="00F75A31"/>
    <w:rsid w:val="00F75A5B"/>
    <w:rsid w:val="00F75A69"/>
    <w:rsid w:val="00F75B9A"/>
    <w:rsid w:val="00F75C3A"/>
    <w:rsid w:val="00F75F07"/>
    <w:rsid w:val="00F75F17"/>
    <w:rsid w:val="00F75FA1"/>
    <w:rsid w:val="00F760AC"/>
    <w:rsid w:val="00F760B4"/>
    <w:rsid w:val="00F7613E"/>
    <w:rsid w:val="00F76174"/>
    <w:rsid w:val="00F76183"/>
    <w:rsid w:val="00F761B6"/>
    <w:rsid w:val="00F762B5"/>
    <w:rsid w:val="00F762DB"/>
    <w:rsid w:val="00F763BB"/>
    <w:rsid w:val="00F766D2"/>
    <w:rsid w:val="00F76755"/>
    <w:rsid w:val="00F76B20"/>
    <w:rsid w:val="00F76B78"/>
    <w:rsid w:val="00F76D13"/>
    <w:rsid w:val="00F76E2B"/>
    <w:rsid w:val="00F76EBE"/>
    <w:rsid w:val="00F76F36"/>
    <w:rsid w:val="00F7711D"/>
    <w:rsid w:val="00F77175"/>
    <w:rsid w:val="00F773DE"/>
    <w:rsid w:val="00F7749D"/>
    <w:rsid w:val="00F7762B"/>
    <w:rsid w:val="00F7773D"/>
    <w:rsid w:val="00F77A39"/>
    <w:rsid w:val="00F77AA1"/>
    <w:rsid w:val="00F77AC2"/>
    <w:rsid w:val="00F77ACD"/>
    <w:rsid w:val="00F77C34"/>
    <w:rsid w:val="00F77D4C"/>
    <w:rsid w:val="00F77ED7"/>
    <w:rsid w:val="00F8014D"/>
    <w:rsid w:val="00F801A3"/>
    <w:rsid w:val="00F8043C"/>
    <w:rsid w:val="00F80611"/>
    <w:rsid w:val="00F80751"/>
    <w:rsid w:val="00F80B91"/>
    <w:rsid w:val="00F80BF4"/>
    <w:rsid w:val="00F80F8B"/>
    <w:rsid w:val="00F810E5"/>
    <w:rsid w:val="00F812AB"/>
    <w:rsid w:val="00F8159C"/>
    <w:rsid w:val="00F815D0"/>
    <w:rsid w:val="00F815EF"/>
    <w:rsid w:val="00F816AD"/>
    <w:rsid w:val="00F81BC2"/>
    <w:rsid w:val="00F82003"/>
    <w:rsid w:val="00F8219F"/>
    <w:rsid w:val="00F821C1"/>
    <w:rsid w:val="00F8228C"/>
    <w:rsid w:val="00F82488"/>
    <w:rsid w:val="00F829A2"/>
    <w:rsid w:val="00F82DC5"/>
    <w:rsid w:val="00F82E7C"/>
    <w:rsid w:val="00F82FB7"/>
    <w:rsid w:val="00F82FBC"/>
    <w:rsid w:val="00F8304F"/>
    <w:rsid w:val="00F830EB"/>
    <w:rsid w:val="00F83478"/>
    <w:rsid w:val="00F83808"/>
    <w:rsid w:val="00F83961"/>
    <w:rsid w:val="00F83BE2"/>
    <w:rsid w:val="00F83C19"/>
    <w:rsid w:val="00F83DBC"/>
    <w:rsid w:val="00F83F19"/>
    <w:rsid w:val="00F840D6"/>
    <w:rsid w:val="00F841A9"/>
    <w:rsid w:val="00F841DC"/>
    <w:rsid w:val="00F8428E"/>
    <w:rsid w:val="00F8439B"/>
    <w:rsid w:val="00F843AC"/>
    <w:rsid w:val="00F84410"/>
    <w:rsid w:val="00F845C7"/>
    <w:rsid w:val="00F847AA"/>
    <w:rsid w:val="00F84C3D"/>
    <w:rsid w:val="00F84CBE"/>
    <w:rsid w:val="00F84F6E"/>
    <w:rsid w:val="00F84FDB"/>
    <w:rsid w:val="00F8505C"/>
    <w:rsid w:val="00F85171"/>
    <w:rsid w:val="00F851E3"/>
    <w:rsid w:val="00F855C7"/>
    <w:rsid w:val="00F855D0"/>
    <w:rsid w:val="00F85761"/>
    <w:rsid w:val="00F85791"/>
    <w:rsid w:val="00F857A2"/>
    <w:rsid w:val="00F8590C"/>
    <w:rsid w:val="00F85F7A"/>
    <w:rsid w:val="00F8672A"/>
    <w:rsid w:val="00F8697D"/>
    <w:rsid w:val="00F8698A"/>
    <w:rsid w:val="00F869C0"/>
    <w:rsid w:val="00F86B45"/>
    <w:rsid w:val="00F86B97"/>
    <w:rsid w:val="00F86BFE"/>
    <w:rsid w:val="00F86C07"/>
    <w:rsid w:val="00F86D80"/>
    <w:rsid w:val="00F86FA1"/>
    <w:rsid w:val="00F86FD0"/>
    <w:rsid w:val="00F87102"/>
    <w:rsid w:val="00F8715A"/>
    <w:rsid w:val="00F8718C"/>
    <w:rsid w:val="00F874DB"/>
    <w:rsid w:val="00F87502"/>
    <w:rsid w:val="00F876EF"/>
    <w:rsid w:val="00F8776E"/>
    <w:rsid w:val="00F87965"/>
    <w:rsid w:val="00F87B2B"/>
    <w:rsid w:val="00F87B89"/>
    <w:rsid w:val="00F87EFE"/>
    <w:rsid w:val="00F87F5A"/>
    <w:rsid w:val="00F90013"/>
    <w:rsid w:val="00F9004E"/>
    <w:rsid w:val="00F900C6"/>
    <w:rsid w:val="00F9027B"/>
    <w:rsid w:val="00F9030A"/>
    <w:rsid w:val="00F90311"/>
    <w:rsid w:val="00F903D7"/>
    <w:rsid w:val="00F90718"/>
    <w:rsid w:val="00F90769"/>
    <w:rsid w:val="00F908EB"/>
    <w:rsid w:val="00F90A55"/>
    <w:rsid w:val="00F90A6B"/>
    <w:rsid w:val="00F90B30"/>
    <w:rsid w:val="00F90BC5"/>
    <w:rsid w:val="00F90BE9"/>
    <w:rsid w:val="00F90CC8"/>
    <w:rsid w:val="00F90CE5"/>
    <w:rsid w:val="00F90DB0"/>
    <w:rsid w:val="00F90E3B"/>
    <w:rsid w:val="00F90F3C"/>
    <w:rsid w:val="00F90FB2"/>
    <w:rsid w:val="00F91097"/>
    <w:rsid w:val="00F9123F"/>
    <w:rsid w:val="00F912AE"/>
    <w:rsid w:val="00F91639"/>
    <w:rsid w:val="00F917E4"/>
    <w:rsid w:val="00F91A87"/>
    <w:rsid w:val="00F91F55"/>
    <w:rsid w:val="00F92299"/>
    <w:rsid w:val="00F92368"/>
    <w:rsid w:val="00F92721"/>
    <w:rsid w:val="00F927B4"/>
    <w:rsid w:val="00F929DE"/>
    <w:rsid w:val="00F92A63"/>
    <w:rsid w:val="00F93351"/>
    <w:rsid w:val="00F93615"/>
    <w:rsid w:val="00F93641"/>
    <w:rsid w:val="00F938A0"/>
    <w:rsid w:val="00F938BA"/>
    <w:rsid w:val="00F938EF"/>
    <w:rsid w:val="00F93A57"/>
    <w:rsid w:val="00F93C4F"/>
    <w:rsid w:val="00F93D9E"/>
    <w:rsid w:val="00F93E2F"/>
    <w:rsid w:val="00F93FAA"/>
    <w:rsid w:val="00F93FD2"/>
    <w:rsid w:val="00F94197"/>
    <w:rsid w:val="00F94DD9"/>
    <w:rsid w:val="00F94F7D"/>
    <w:rsid w:val="00F9509C"/>
    <w:rsid w:val="00F950D5"/>
    <w:rsid w:val="00F9511B"/>
    <w:rsid w:val="00F951DF"/>
    <w:rsid w:val="00F9522E"/>
    <w:rsid w:val="00F952E0"/>
    <w:rsid w:val="00F9553B"/>
    <w:rsid w:val="00F95669"/>
    <w:rsid w:val="00F95948"/>
    <w:rsid w:val="00F95AB1"/>
    <w:rsid w:val="00F95CB8"/>
    <w:rsid w:val="00F95DFB"/>
    <w:rsid w:val="00F95E3B"/>
    <w:rsid w:val="00F95FF1"/>
    <w:rsid w:val="00F96207"/>
    <w:rsid w:val="00F963FD"/>
    <w:rsid w:val="00F964FF"/>
    <w:rsid w:val="00F968B2"/>
    <w:rsid w:val="00F96A04"/>
    <w:rsid w:val="00F96A65"/>
    <w:rsid w:val="00F96BCC"/>
    <w:rsid w:val="00F96C67"/>
    <w:rsid w:val="00F96C9D"/>
    <w:rsid w:val="00F96D64"/>
    <w:rsid w:val="00F97092"/>
    <w:rsid w:val="00F970C8"/>
    <w:rsid w:val="00F97118"/>
    <w:rsid w:val="00F974FE"/>
    <w:rsid w:val="00F97568"/>
    <w:rsid w:val="00F9770F"/>
    <w:rsid w:val="00F97825"/>
    <w:rsid w:val="00F97AC1"/>
    <w:rsid w:val="00F97DDD"/>
    <w:rsid w:val="00F97E30"/>
    <w:rsid w:val="00F97F02"/>
    <w:rsid w:val="00F97F4E"/>
    <w:rsid w:val="00FA002E"/>
    <w:rsid w:val="00FA00E7"/>
    <w:rsid w:val="00FA017B"/>
    <w:rsid w:val="00FA0326"/>
    <w:rsid w:val="00FA069E"/>
    <w:rsid w:val="00FA06EA"/>
    <w:rsid w:val="00FA075D"/>
    <w:rsid w:val="00FA0766"/>
    <w:rsid w:val="00FA0868"/>
    <w:rsid w:val="00FA092F"/>
    <w:rsid w:val="00FA0948"/>
    <w:rsid w:val="00FA0E50"/>
    <w:rsid w:val="00FA0E74"/>
    <w:rsid w:val="00FA0FD9"/>
    <w:rsid w:val="00FA10AE"/>
    <w:rsid w:val="00FA11C4"/>
    <w:rsid w:val="00FA11F7"/>
    <w:rsid w:val="00FA1391"/>
    <w:rsid w:val="00FA1455"/>
    <w:rsid w:val="00FA15B5"/>
    <w:rsid w:val="00FA16A3"/>
    <w:rsid w:val="00FA16BB"/>
    <w:rsid w:val="00FA1A9F"/>
    <w:rsid w:val="00FA1B2B"/>
    <w:rsid w:val="00FA1B30"/>
    <w:rsid w:val="00FA1B33"/>
    <w:rsid w:val="00FA1C02"/>
    <w:rsid w:val="00FA1C1D"/>
    <w:rsid w:val="00FA1EED"/>
    <w:rsid w:val="00FA1F86"/>
    <w:rsid w:val="00FA20B1"/>
    <w:rsid w:val="00FA2314"/>
    <w:rsid w:val="00FA2454"/>
    <w:rsid w:val="00FA264B"/>
    <w:rsid w:val="00FA2B34"/>
    <w:rsid w:val="00FA2B36"/>
    <w:rsid w:val="00FA2CE5"/>
    <w:rsid w:val="00FA2DDD"/>
    <w:rsid w:val="00FA2ECC"/>
    <w:rsid w:val="00FA3155"/>
    <w:rsid w:val="00FA3199"/>
    <w:rsid w:val="00FA32B4"/>
    <w:rsid w:val="00FA3407"/>
    <w:rsid w:val="00FA3476"/>
    <w:rsid w:val="00FA34EF"/>
    <w:rsid w:val="00FA380E"/>
    <w:rsid w:val="00FA38C3"/>
    <w:rsid w:val="00FA39A2"/>
    <w:rsid w:val="00FA3F60"/>
    <w:rsid w:val="00FA40BA"/>
    <w:rsid w:val="00FA4221"/>
    <w:rsid w:val="00FA424A"/>
    <w:rsid w:val="00FA43B7"/>
    <w:rsid w:val="00FA447A"/>
    <w:rsid w:val="00FA4730"/>
    <w:rsid w:val="00FA4B1F"/>
    <w:rsid w:val="00FA4F56"/>
    <w:rsid w:val="00FA4FA5"/>
    <w:rsid w:val="00FA50F4"/>
    <w:rsid w:val="00FA5174"/>
    <w:rsid w:val="00FA5313"/>
    <w:rsid w:val="00FA54F5"/>
    <w:rsid w:val="00FA5500"/>
    <w:rsid w:val="00FA55B0"/>
    <w:rsid w:val="00FA56C2"/>
    <w:rsid w:val="00FA57F0"/>
    <w:rsid w:val="00FA5889"/>
    <w:rsid w:val="00FA58CF"/>
    <w:rsid w:val="00FA5990"/>
    <w:rsid w:val="00FA5DE8"/>
    <w:rsid w:val="00FA5E89"/>
    <w:rsid w:val="00FA5E9A"/>
    <w:rsid w:val="00FA60B1"/>
    <w:rsid w:val="00FA6143"/>
    <w:rsid w:val="00FA6340"/>
    <w:rsid w:val="00FA63DE"/>
    <w:rsid w:val="00FA63F1"/>
    <w:rsid w:val="00FA644B"/>
    <w:rsid w:val="00FA653C"/>
    <w:rsid w:val="00FA6607"/>
    <w:rsid w:val="00FA6696"/>
    <w:rsid w:val="00FA6796"/>
    <w:rsid w:val="00FA67B4"/>
    <w:rsid w:val="00FA67BC"/>
    <w:rsid w:val="00FA6B37"/>
    <w:rsid w:val="00FA6D2A"/>
    <w:rsid w:val="00FA6F66"/>
    <w:rsid w:val="00FA7026"/>
    <w:rsid w:val="00FA70E0"/>
    <w:rsid w:val="00FA7157"/>
    <w:rsid w:val="00FA7198"/>
    <w:rsid w:val="00FA7341"/>
    <w:rsid w:val="00FA75EA"/>
    <w:rsid w:val="00FA7752"/>
    <w:rsid w:val="00FA7796"/>
    <w:rsid w:val="00FA7AD2"/>
    <w:rsid w:val="00FA7BE5"/>
    <w:rsid w:val="00FA7CAA"/>
    <w:rsid w:val="00FA7EE2"/>
    <w:rsid w:val="00FA7EF2"/>
    <w:rsid w:val="00FB0201"/>
    <w:rsid w:val="00FB03A1"/>
    <w:rsid w:val="00FB0504"/>
    <w:rsid w:val="00FB0797"/>
    <w:rsid w:val="00FB0B0F"/>
    <w:rsid w:val="00FB0DFF"/>
    <w:rsid w:val="00FB0EA1"/>
    <w:rsid w:val="00FB0F6C"/>
    <w:rsid w:val="00FB1159"/>
    <w:rsid w:val="00FB12D6"/>
    <w:rsid w:val="00FB143A"/>
    <w:rsid w:val="00FB14E5"/>
    <w:rsid w:val="00FB18CE"/>
    <w:rsid w:val="00FB18D6"/>
    <w:rsid w:val="00FB1C66"/>
    <w:rsid w:val="00FB1DBB"/>
    <w:rsid w:val="00FB1E2B"/>
    <w:rsid w:val="00FB1E5F"/>
    <w:rsid w:val="00FB2010"/>
    <w:rsid w:val="00FB2072"/>
    <w:rsid w:val="00FB20A6"/>
    <w:rsid w:val="00FB2205"/>
    <w:rsid w:val="00FB2244"/>
    <w:rsid w:val="00FB249F"/>
    <w:rsid w:val="00FB24C0"/>
    <w:rsid w:val="00FB24F3"/>
    <w:rsid w:val="00FB252F"/>
    <w:rsid w:val="00FB26C8"/>
    <w:rsid w:val="00FB2798"/>
    <w:rsid w:val="00FB2881"/>
    <w:rsid w:val="00FB2AF1"/>
    <w:rsid w:val="00FB2B27"/>
    <w:rsid w:val="00FB2B9D"/>
    <w:rsid w:val="00FB2BB1"/>
    <w:rsid w:val="00FB2C52"/>
    <w:rsid w:val="00FB2C89"/>
    <w:rsid w:val="00FB2C95"/>
    <w:rsid w:val="00FB2D21"/>
    <w:rsid w:val="00FB2D6A"/>
    <w:rsid w:val="00FB2DDF"/>
    <w:rsid w:val="00FB2E2B"/>
    <w:rsid w:val="00FB2F77"/>
    <w:rsid w:val="00FB3027"/>
    <w:rsid w:val="00FB3046"/>
    <w:rsid w:val="00FB3154"/>
    <w:rsid w:val="00FB31EE"/>
    <w:rsid w:val="00FB3264"/>
    <w:rsid w:val="00FB34B5"/>
    <w:rsid w:val="00FB3598"/>
    <w:rsid w:val="00FB3641"/>
    <w:rsid w:val="00FB36E1"/>
    <w:rsid w:val="00FB3890"/>
    <w:rsid w:val="00FB395B"/>
    <w:rsid w:val="00FB3A57"/>
    <w:rsid w:val="00FB3AB1"/>
    <w:rsid w:val="00FB3BBD"/>
    <w:rsid w:val="00FB3CF6"/>
    <w:rsid w:val="00FB3EF9"/>
    <w:rsid w:val="00FB4195"/>
    <w:rsid w:val="00FB41B4"/>
    <w:rsid w:val="00FB41C1"/>
    <w:rsid w:val="00FB4277"/>
    <w:rsid w:val="00FB45FC"/>
    <w:rsid w:val="00FB4699"/>
    <w:rsid w:val="00FB4717"/>
    <w:rsid w:val="00FB49B2"/>
    <w:rsid w:val="00FB49E0"/>
    <w:rsid w:val="00FB4A85"/>
    <w:rsid w:val="00FB4B6F"/>
    <w:rsid w:val="00FB505A"/>
    <w:rsid w:val="00FB50A6"/>
    <w:rsid w:val="00FB5199"/>
    <w:rsid w:val="00FB539A"/>
    <w:rsid w:val="00FB5525"/>
    <w:rsid w:val="00FB557A"/>
    <w:rsid w:val="00FB56BD"/>
    <w:rsid w:val="00FB5AE6"/>
    <w:rsid w:val="00FB5AF9"/>
    <w:rsid w:val="00FB5BC4"/>
    <w:rsid w:val="00FB6081"/>
    <w:rsid w:val="00FB60AB"/>
    <w:rsid w:val="00FB60C9"/>
    <w:rsid w:val="00FB6209"/>
    <w:rsid w:val="00FB6284"/>
    <w:rsid w:val="00FB645D"/>
    <w:rsid w:val="00FB650B"/>
    <w:rsid w:val="00FB690A"/>
    <w:rsid w:val="00FB6913"/>
    <w:rsid w:val="00FB6B59"/>
    <w:rsid w:val="00FB6CF8"/>
    <w:rsid w:val="00FB6E6A"/>
    <w:rsid w:val="00FB6EC9"/>
    <w:rsid w:val="00FB7094"/>
    <w:rsid w:val="00FB71D5"/>
    <w:rsid w:val="00FB7353"/>
    <w:rsid w:val="00FB7590"/>
    <w:rsid w:val="00FB7767"/>
    <w:rsid w:val="00FB79F5"/>
    <w:rsid w:val="00FB7AB1"/>
    <w:rsid w:val="00FB7B52"/>
    <w:rsid w:val="00FB7C4F"/>
    <w:rsid w:val="00FB7C5D"/>
    <w:rsid w:val="00FB7CAE"/>
    <w:rsid w:val="00FB7E3B"/>
    <w:rsid w:val="00FC010E"/>
    <w:rsid w:val="00FC047F"/>
    <w:rsid w:val="00FC0594"/>
    <w:rsid w:val="00FC06EF"/>
    <w:rsid w:val="00FC0955"/>
    <w:rsid w:val="00FC09D2"/>
    <w:rsid w:val="00FC09F4"/>
    <w:rsid w:val="00FC0C03"/>
    <w:rsid w:val="00FC0C74"/>
    <w:rsid w:val="00FC0E82"/>
    <w:rsid w:val="00FC0E99"/>
    <w:rsid w:val="00FC11AA"/>
    <w:rsid w:val="00FC122F"/>
    <w:rsid w:val="00FC12C5"/>
    <w:rsid w:val="00FC1424"/>
    <w:rsid w:val="00FC1496"/>
    <w:rsid w:val="00FC17B0"/>
    <w:rsid w:val="00FC194D"/>
    <w:rsid w:val="00FC1A3F"/>
    <w:rsid w:val="00FC1B84"/>
    <w:rsid w:val="00FC1E56"/>
    <w:rsid w:val="00FC2111"/>
    <w:rsid w:val="00FC24F6"/>
    <w:rsid w:val="00FC2580"/>
    <w:rsid w:val="00FC25A9"/>
    <w:rsid w:val="00FC26DF"/>
    <w:rsid w:val="00FC273A"/>
    <w:rsid w:val="00FC2CA4"/>
    <w:rsid w:val="00FC2D2D"/>
    <w:rsid w:val="00FC2F0E"/>
    <w:rsid w:val="00FC2FDC"/>
    <w:rsid w:val="00FC3103"/>
    <w:rsid w:val="00FC32EC"/>
    <w:rsid w:val="00FC33AF"/>
    <w:rsid w:val="00FC347A"/>
    <w:rsid w:val="00FC38D7"/>
    <w:rsid w:val="00FC391C"/>
    <w:rsid w:val="00FC3967"/>
    <w:rsid w:val="00FC3ADB"/>
    <w:rsid w:val="00FC3BE7"/>
    <w:rsid w:val="00FC3C83"/>
    <w:rsid w:val="00FC3EFF"/>
    <w:rsid w:val="00FC427E"/>
    <w:rsid w:val="00FC42AF"/>
    <w:rsid w:val="00FC430C"/>
    <w:rsid w:val="00FC43D2"/>
    <w:rsid w:val="00FC4EB6"/>
    <w:rsid w:val="00FC4F57"/>
    <w:rsid w:val="00FC511F"/>
    <w:rsid w:val="00FC54B1"/>
    <w:rsid w:val="00FC551F"/>
    <w:rsid w:val="00FC55F6"/>
    <w:rsid w:val="00FC590F"/>
    <w:rsid w:val="00FC595A"/>
    <w:rsid w:val="00FC5995"/>
    <w:rsid w:val="00FC59DC"/>
    <w:rsid w:val="00FC5CB6"/>
    <w:rsid w:val="00FC5D59"/>
    <w:rsid w:val="00FC5EDA"/>
    <w:rsid w:val="00FC6011"/>
    <w:rsid w:val="00FC608A"/>
    <w:rsid w:val="00FC6095"/>
    <w:rsid w:val="00FC60D1"/>
    <w:rsid w:val="00FC6156"/>
    <w:rsid w:val="00FC6218"/>
    <w:rsid w:val="00FC6303"/>
    <w:rsid w:val="00FC6425"/>
    <w:rsid w:val="00FC64F7"/>
    <w:rsid w:val="00FC6762"/>
    <w:rsid w:val="00FC6851"/>
    <w:rsid w:val="00FC6A9C"/>
    <w:rsid w:val="00FC6AA8"/>
    <w:rsid w:val="00FC6B60"/>
    <w:rsid w:val="00FC6C80"/>
    <w:rsid w:val="00FC6DC5"/>
    <w:rsid w:val="00FC6DF4"/>
    <w:rsid w:val="00FC6E68"/>
    <w:rsid w:val="00FC6F25"/>
    <w:rsid w:val="00FC728F"/>
    <w:rsid w:val="00FC73A6"/>
    <w:rsid w:val="00FC73C7"/>
    <w:rsid w:val="00FC742A"/>
    <w:rsid w:val="00FC7531"/>
    <w:rsid w:val="00FC76CC"/>
    <w:rsid w:val="00FC7860"/>
    <w:rsid w:val="00FC786F"/>
    <w:rsid w:val="00FC7898"/>
    <w:rsid w:val="00FC79E0"/>
    <w:rsid w:val="00FC7A01"/>
    <w:rsid w:val="00FC7ACA"/>
    <w:rsid w:val="00FC7CB9"/>
    <w:rsid w:val="00FC7DBC"/>
    <w:rsid w:val="00FC7F77"/>
    <w:rsid w:val="00FD02A4"/>
    <w:rsid w:val="00FD0501"/>
    <w:rsid w:val="00FD05D6"/>
    <w:rsid w:val="00FD06DD"/>
    <w:rsid w:val="00FD0912"/>
    <w:rsid w:val="00FD0A0D"/>
    <w:rsid w:val="00FD0AE3"/>
    <w:rsid w:val="00FD0AEC"/>
    <w:rsid w:val="00FD0C60"/>
    <w:rsid w:val="00FD0F5A"/>
    <w:rsid w:val="00FD1143"/>
    <w:rsid w:val="00FD13FB"/>
    <w:rsid w:val="00FD146A"/>
    <w:rsid w:val="00FD1492"/>
    <w:rsid w:val="00FD1551"/>
    <w:rsid w:val="00FD1655"/>
    <w:rsid w:val="00FD1748"/>
    <w:rsid w:val="00FD17EE"/>
    <w:rsid w:val="00FD17F6"/>
    <w:rsid w:val="00FD182B"/>
    <w:rsid w:val="00FD1891"/>
    <w:rsid w:val="00FD193E"/>
    <w:rsid w:val="00FD1A15"/>
    <w:rsid w:val="00FD1D7F"/>
    <w:rsid w:val="00FD1E9A"/>
    <w:rsid w:val="00FD1EF7"/>
    <w:rsid w:val="00FD27A7"/>
    <w:rsid w:val="00FD2854"/>
    <w:rsid w:val="00FD28E2"/>
    <w:rsid w:val="00FD297D"/>
    <w:rsid w:val="00FD29BA"/>
    <w:rsid w:val="00FD2E08"/>
    <w:rsid w:val="00FD2FE3"/>
    <w:rsid w:val="00FD2FE8"/>
    <w:rsid w:val="00FD3152"/>
    <w:rsid w:val="00FD33F4"/>
    <w:rsid w:val="00FD34C4"/>
    <w:rsid w:val="00FD34FF"/>
    <w:rsid w:val="00FD36F7"/>
    <w:rsid w:val="00FD373D"/>
    <w:rsid w:val="00FD3907"/>
    <w:rsid w:val="00FD3A9C"/>
    <w:rsid w:val="00FD3AB4"/>
    <w:rsid w:val="00FD3E43"/>
    <w:rsid w:val="00FD3E63"/>
    <w:rsid w:val="00FD414C"/>
    <w:rsid w:val="00FD4303"/>
    <w:rsid w:val="00FD467E"/>
    <w:rsid w:val="00FD48CD"/>
    <w:rsid w:val="00FD4938"/>
    <w:rsid w:val="00FD4BA7"/>
    <w:rsid w:val="00FD4D06"/>
    <w:rsid w:val="00FD5153"/>
    <w:rsid w:val="00FD5234"/>
    <w:rsid w:val="00FD56BD"/>
    <w:rsid w:val="00FD57B1"/>
    <w:rsid w:val="00FD582B"/>
    <w:rsid w:val="00FD5831"/>
    <w:rsid w:val="00FD58D2"/>
    <w:rsid w:val="00FD599B"/>
    <w:rsid w:val="00FD5A23"/>
    <w:rsid w:val="00FD5BEE"/>
    <w:rsid w:val="00FD5DA5"/>
    <w:rsid w:val="00FD5E5B"/>
    <w:rsid w:val="00FD5F32"/>
    <w:rsid w:val="00FD6001"/>
    <w:rsid w:val="00FD6109"/>
    <w:rsid w:val="00FD63D5"/>
    <w:rsid w:val="00FD63D8"/>
    <w:rsid w:val="00FD63F8"/>
    <w:rsid w:val="00FD6437"/>
    <w:rsid w:val="00FD64FB"/>
    <w:rsid w:val="00FD6673"/>
    <w:rsid w:val="00FD66BB"/>
    <w:rsid w:val="00FD66EE"/>
    <w:rsid w:val="00FD67D2"/>
    <w:rsid w:val="00FD6B84"/>
    <w:rsid w:val="00FD6C73"/>
    <w:rsid w:val="00FD6CB4"/>
    <w:rsid w:val="00FD6DC9"/>
    <w:rsid w:val="00FD6E23"/>
    <w:rsid w:val="00FD726E"/>
    <w:rsid w:val="00FD726F"/>
    <w:rsid w:val="00FD73EA"/>
    <w:rsid w:val="00FD73FA"/>
    <w:rsid w:val="00FD750F"/>
    <w:rsid w:val="00FD7516"/>
    <w:rsid w:val="00FD755E"/>
    <w:rsid w:val="00FD75CF"/>
    <w:rsid w:val="00FD76E7"/>
    <w:rsid w:val="00FD78BC"/>
    <w:rsid w:val="00FD797F"/>
    <w:rsid w:val="00FD7A0C"/>
    <w:rsid w:val="00FD7CFB"/>
    <w:rsid w:val="00FD7D59"/>
    <w:rsid w:val="00FD7EBE"/>
    <w:rsid w:val="00FD7F88"/>
    <w:rsid w:val="00FD7F8A"/>
    <w:rsid w:val="00FE02C6"/>
    <w:rsid w:val="00FE03C6"/>
    <w:rsid w:val="00FE05B9"/>
    <w:rsid w:val="00FE0600"/>
    <w:rsid w:val="00FE07D5"/>
    <w:rsid w:val="00FE0818"/>
    <w:rsid w:val="00FE0ADC"/>
    <w:rsid w:val="00FE0CA6"/>
    <w:rsid w:val="00FE0CE7"/>
    <w:rsid w:val="00FE0D62"/>
    <w:rsid w:val="00FE0EA6"/>
    <w:rsid w:val="00FE11F3"/>
    <w:rsid w:val="00FE123E"/>
    <w:rsid w:val="00FE1240"/>
    <w:rsid w:val="00FE12F0"/>
    <w:rsid w:val="00FE1339"/>
    <w:rsid w:val="00FE136B"/>
    <w:rsid w:val="00FE13DD"/>
    <w:rsid w:val="00FE1419"/>
    <w:rsid w:val="00FE15B2"/>
    <w:rsid w:val="00FE16CF"/>
    <w:rsid w:val="00FE170D"/>
    <w:rsid w:val="00FE1800"/>
    <w:rsid w:val="00FE1922"/>
    <w:rsid w:val="00FE1982"/>
    <w:rsid w:val="00FE1B1B"/>
    <w:rsid w:val="00FE1CB3"/>
    <w:rsid w:val="00FE1D27"/>
    <w:rsid w:val="00FE1DAE"/>
    <w:rsid w:val="00FE1FD0"/>
    <w:rsid w:val="00FE206A"/>
    <w:rsid w:val="00FE22D9"/>
    <w:rsid w:val="00FE2322"/>
    <w:rsid w:val="00FE252E"/>
    <w:rsid w:val="00FE25B8"/>
    <w:rsid w:val="00FE27A4"/>
    <w:rsid w:val="00FE285C"/>
    <w:rsid w:val="00FE28AB"/>
    <w:rsid w:val="00FE296F"/>
    <w:rsid w:val="00FE29F8"/>
    <w:rsid w:val="00FE2A39"/>
    <w:rsid w:val="00FE2C9D"/>
    <w:rsid w:val="00FE2CF5"/>
    <w:rsid w:val="00FE2DE5"/>
    <w:rsid w:val="00FE2FB6"/>
    <w:rsid w:val="00FE2FD0"/>
    <w:rsid w:val="00FE328D"/>
    <w:rsid w:val="00FE32CF"/>
    <w:rsid w:val="00FE33A3"/>
    <w:rsid w:val="00FE3740"/>
    <w:rsid w:val="00FE37FE"/>
    <w:rsid w:val="00FE389B"/>
    <w:rsid w:val="00FE398D"/>
    <w:rsid w:val="00FE3B7F"/>
    <w:rsid w:val="00FE3E5A"/>
    <w:rsid w:val="00FE3EEF"/>
    <w:rsid w:val="00FE3F2B"/>
    <w:rsid w:val="00FE406C"/>
    <w:rsid w:val="00FE4078"/>
    <w:rsid w:val="00FE42C8"/>
    <w:rsid w:val="00FE431D"/>
    <w:rsid w:val="00FE4457"/>
    <w:rsid w:val="00FE45B5"/>
    <w:rsid w:val="00FE46BF"/>
    <w:rsid w:val="00FE48C3"/>
    <w:rsid w:val="00FE49C1"/>
    <w:rsid w:val="00FE4C73"/>
    <w:rsid w:val="00FE4E0F"/>
    <w:rsid w:val="00FE4E1F"/>
    <w:rsid w:val="00FE4E80"/>
    <w:rsid w:val="00FE4F6E"/>
    <w:rsid w:val="00FE5316"/>
    <w:rsid w:val="00FE534F"/>
    <w:rsid w:val="00FE5483"/>
    <w:rsid w:val="00FE564E"/>
    <w:rsid w:val="00FE5B25"/>
    <w:rsid w:val="00FE5C36"/>
    <w:rsid w:val="00FE61C8"/>
    <w:rsid w:val="00FE61D5"/>
    <w:rsid w:val="00FE63C1"/>
    <w:rsid w:val="00FE66AB"/>
    <w:rsid w:val="00FE6715"/>
    <w:rsid w:val="00FE67A0"/>
    <w:rsid w:val="00FE687E"/>
    <w:rsid w:val="00FE6959"/>
    <w:rsid w:val="00FE6A4F"/>
    <w:rsid w:val="00FE6A8E"/>
    <w:rsid w:val="00FE6CD3"/>
    <w:rsid w:val="00FE6DE5"/>
    <w:rsid w:val="00FE6F1B"/>
    <w:rsid w:val="00FE6F24"/>
    <w:rsid w:val="00FE6F30"/>
    <w:rsid w:val="00FE703C"/>
    <w:rsid w:val="00FE77B0"/>
    <w:rsid w:val="00FE77E9"/>
    <w:rsid w:val="00FE78C0"/>
    <w:rsid w:val="00FE79A9"/>
    <w:rsid w:val="00FE7C1B"/>
    <w:rsid w:val="00FE7C61"/>
    <w:rsid w:val="00FE7E57"/>
    <w:rsid w:val="00FE7EF4"/>
    <w:rsid w:val="00FE7F57"/>
    <w:rsid w:val="00FF00B0"/>
    <w:rsid w:val="00FF019C"/>
    <w:rsid w:val="00FF0399"/>
    <w:rsid w:val="00FF03DE"/>
    <w:rsid w:val="00FF0474"/>
    <w:rsid w:val="00FF06D1"/>
    <w:rsid w:val="00FF072F"/>
    <w:rsid w:val="00FF0757"/>
    <w:rsid w:val="00FF07BF"/>
    <w:rsid w:val="00FF0897"/>
    <w:rsid w:val="00FF09D2"/>
    <w:rsid w:val="00FF0C16"/>
    <w:rsid w:val="00FF0C1E"/>
    <w:rsid w:val="00FF0D9C"/>
    <w:rsid w:val="00FF0E65"/>
    <w:rsid w:val="00FF10F5"/>
    <w:rsid w:val="00FF196E"/>
    <w:rsid w:val="00FF19A0"/>
    <w:rsid w:val="00FF1AD4"/>
    <w:rsid w:val="00FF1AF9"/>
    <w:rsid w:val="00FF1B8C"/>
    <w:rsid w:val="00FF1CC6"/>
    <w:rsid w:val="00FF1FA9"/>
    <w:rsid w:val="00FF2025"/>
    <w:rsid w:val="00FF20D8"/>
    <w:rsid w:val="00FF2335"/>
    <w:rsid w:val="00FF2519"/>
    <w:rsid w:val="00FF25FB"/>
    <w:rsid w:val="00FF2792"/>
    <w:rsid w:val="00FF2798"/>
    <w:rsid w:val="00FF27D0"/>
    <w:rsid w:val="00FF29DC"/>
    <w:rsid w:val="00FF2A06"/>
    <w:rsid w:val="00FF2C5D"/>
    <w:rsid w:val="00FF2E18"/>
    <w:rsid w:val="00FF2F50"/>
    <w:rsid w:val="00FF312D"/>
    <w:rsid w:val="00FF3165"/>
    <w:rsid w:val="00FF3200"/>
    <w:rsid w:val="00FF351B"/>
    <w:rsid w:val="00FF35F8"/>
    <w:rsid w:val="00FF39B3"/>
    <w:rsid w:val="00FF3A82"/>
    <w:rsid w:val="00FF3AAC"/>
    <w:rsid w:val="00FF3AC8"/>
    <w:rsid w:val="00FF3CCF"/>
    <w:rsid w:val="00FF3F1B"/>
    <w:rsid w:val="00FF4012"/>
    <w:rsid w:val="00FF4074"/>
    <w:rsid w:val="00FF4377"/>
    <w:rsid w:val="00FF43AE"/>
    <w:rsid w:val="00FF43DF"/>
    <w:rsid w:val="00FF465D"/>
    <w:rsid w:val="00FF467C"/>
    <w:rsid w:val="00FF46F7"/>
    <w:rsid w:val="00FF473F"/>
    <w:rsid w:val="00FF4994"/>
    <w:rsid w:val="00FF4A63"/>
    <w:rsid w:val="00FF4C71"/>
    <w:rsid w:val="00FF4C87"/>
    <w:rsid w:val="00FF4E7E"/>
    <w:rsid w:val="00FF4EEC"/>
    <w:rsid w:val="00FF5241"/>
    <w:rsid w:val="00FF52B3"/>
    <w:rsid w:val="00FF580D"/>
    <w:rsid w:val="00FF5918"/>
    <w:rsid w:val="00FF5C05"/>
    <w:rsid w:val="00FF5C2E"/>
    <w:rsid w:val="00FF5C5B"/>
    <w:rsid w:val="00FF5C8E"/>
    <w:rsid w:val="00FF5F15"/>
    <w:rsid w:val="00FF607C"/>
    <w:rsid w:val="00FF6251"/>
    <w:rsid w:val="00FF6266"/>
    <w:rsid w:val="00FF656C"/>
    <w:rsid w:val="00FF65A4"/>
    <w:rsid w:val="00FF675B"/>
    <w:rsid w:val="00FF67DD"/>
    <w:rsid w:val="00FF67FC"/>
    <w:rsid w:val="00FF6840"/>
    <w:rsid w:val="00FF6957"/>
    <w:rsid w:val="00FF6A08"/>
    <w:rsid w:val="00FF6CAF"/>
    <w:rsid w:val="00FF6CDD"/>
    <w:rsid w:val="00FF6E29"/>
    <w:rsid w:val="00FF6F8E"/>
    <w:rsid w:val="00FF6FE6"/>
    <w:rsid w:val="00FF703E"/>
    <w:rsid w:val="00FF715C"/>
    <w:rsid w:val="00FF71C4"/>
    <w:rsid w:val="00FF7232"/>
    <w:rsid w:val="00FF72A2"/>
    <w:rsid w:val="00FF7448"/>
    <w:rsid w:val="00FF74CA"/>
    <w:rsid w:val="00FF74D8"/>
    <w:rsid w:val="00FF7945"/>
    <w:rsid w:val="00FF7A0B"/>
    <w:rsid w:val="00FF7A6D"/>
    <w:rsid w:val="00FF7AEA"/>
    <w:rsid w:val="00FF7B4B"/>
    <w:rsid w:val="00FF7D15"/>
    <w:rsid w:val="00FF7EC2"/>
    <w:rsid w:val="00FF7FDF"/>
    <w:rsid w:val="044CCB8D"/>
    <w:rsid w:val="04758AB1"/>
    <w:rsid w:val="059F5BD7"/>
    <w:rsid w:val="0690B589"/>
    <w:rsid w:val="073EAB17"/>
    <w:rsid w:val="0810460F"/>
    <w:rsid w:val="0B0B912D"/>
    <w:rsid w:val="0C084E36"/>
    <w:rsid w:val="0CE10107"/>
    <w:rsid w:val="0FDAF770"/>
    <w:rsid w:val="10679A2A"/>
    <w:rsid w:val="11286A29"/>
    <w:rsid w:val="11FB185E"/>
    <w:rsid w:val="13222246"/>
    <w:rsid w:val="135F98C2"/>
    <w:rsid w:val="15B31B1F"/>
    <w:rsid w:val="162A35D0"/>
    <w:rsid w:val="1984FE00"/>
    <w:rsid w:val="1C6E261C"/>
    <w:rsid w:val="1CCEECAC"/>
    <w:rsid w:val="1D155DF9"/>
    <w:rsid w:val="1DBA5D72"/>
    <w:rsid w:val="1E71CFD1"/>
    <w:rsid w:val="22E7C999"/>
    <w:rsid w:val="2340751C"/>
    <w:rsid w:val="23CC30D3"/>
    <w:rsid w:val="26C574F3"/>
    <w:rsid w:val="28C78E94"/>
    <w:rsid w:val="2AD0E654"/>
    <w:rsid w:val="2AECF81D"/>
    <w:rsid w:val="2C8280F6"/>
    <w:rsid w:val="2EB33B2E"/>
    <w:rsid w:val="3172E3B4"/>
    <w:rsid w:val="3291EBDC"/>
    <w:rsid w:val="365C6584"/>
    <w:rsid w:val="36ACB3E9"/>
    <w:rsid w:val="3798C7E1"/>
    <w:rsid w:val="384B0DAC"/>
    <w:rsid w:val="3867CA18"/>
    <w:rsid w:val="3B102285"/>
    <w:rsid w:val="3B5446AE"/>
    <w:rsid w:val="406D8186"/>
    <w:rsid w:val="40C2D2B1"/>
    <w:rsid w:val="425F0DC4"/>
    <w:rsid w:val="439AD9F8"/>
    <w:rsid w:val="4462FE14"/>
    <w:rsid w:val="4531E2E1"/>
    <w:rsid w:val="455725AE"/>
    <w:rsid w:val="47093A00"/>
    <w:rsid w:val="48B6AADA"/>
    <w:rsid w:val="48E64D9B"/>
    <w:rsid w:val="4B81D5E5"/>
    <w:rsid w:val="4D533481"/>
    <w:rsid w:val="4DD31F6C"/>
    <w:rsid w:val="4F8FB087"/>
    <w:rsid w:val="505A6EAE"/>
    <w:rsid w:val="51CB2CAB"/>
    <w:rsid w:val="52CC5A63"/>
    <w:rsid w:val="52D21BDF"/>
    <w:rsid w:val="54EB88A7"/>
    <w:rsid w:val="55EB108A"/>
    <w:rsid w:val="57157EDA"/>
    <w:rsid w:val="5D3B300F"/>
    <w:rsid w:val="5EA4A619"/>
    <w:rsid w:val="5F752915"/>
    <w:rsid w:val="60CCF9E7"/>
    <w:rsid w:val="60E705DA"/>
    <w:rsid w:val="61B8436F"/>
    <w:rsid w:val="6282A59B"/>
    <w:rsid w:val="64F90B3F"/>
    <w:rsid w:val="6583B0FF"/>
    <w:rsid w:val="6622E9B7"/>
    <w:rsid w:val="664AA846"/>
    <w:rsid w:val="669B42AF"/>
    <w:rsid w:val="66C82956"/>
    <w:rsid w:val="6789EDED"/>
    <w:rsid w:val="67C90618"/>
    <w:rsid w:val="67D4D4F3"/>
    <w:rsid w:val="68E57BD0"/>
    <w:rsid w:val="68FBE272"/>
    <w:rsid w:val="6A531FBF"/>
    <w:rsid w:val="6BAA90A9"/>
    <w:rsid w:val="6CC8A657"/>
    <w:rsid w:val="6F940D3C"/>
    <w:rsid w:val="730282FC"/>
    <w:rsid w:val="75FF4F01"/>
    <w:rsid w:val="7721E55F"/>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01410D"/>
  <w15:docId w15:val="{213C1429-1B95-4DE5-9467-FD41AD216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70761"/>
    <w:pPr>
      <w:spacing w:after="120" w:line="276" w:lineRule="auto"/>
      <w:jc w:val="both"/>
    </w:pPr>
    <w:rPr>
      <w:rFonts w:eastAsia="Arial Unicode MS" w:cstheme="minorHAnsi"/>
      <w:color w:val="002060"/>
      <w:szCs w:val="20"/>
    </w:rPr>
  </w:style>
  <w:style w:type="paragraph" w:styleId="Nagwek1">
    <w:name w:val="heading 1"/>
    <w:next w:val="Normalny"/>
    <w:link w:val="Nagwek1Znak"/>
    <w:uiPriority w:val="99"/>
    <w:qFormat/>
    <w:rsid w:val="002D4FAF"/>
    <w:pPr>
      <w:numPr>
        <w:numId w:val="13"/>
      </w:numPr>
      <w:spacing w:before="360" w:after="240" w:line="276" w:lineRule="auto"/>
      <w:outlineLvl w:val="0"/>
    </w:pPr>
    <w:rPr>
      <w:rFonts w:eastAsia="MS Mincho" w:cstheme="minorHAnsi"/>
      <w:b/>
      <w:color w:val="002060"/>
      <w:sz w:val="36"/>
      <w:szCs w:val="36"/>
      <w:lang w:eastAsia="pl-PL"/>
    </w:rPr>
  </w:style>
  <w:style w:type="paragraph" w:styleId="Nagwek2">
    <w:name w:val="heading 2"/>
    <w:next w:val="Normalny"/>
    <w:link w:val="Nagwek2Znak"/>
    <w:uiPriority w:val="99"/>
    <w:unhideWhenUsed/>
    <w:qFormat/>
    <w:rsid w:val="009B1CD8"/>
    <w:pPr>
      <w:numPr>
        <w:ilvl w:val="1"/>
        <w:numId w:val="13"/>
      </w:numPr>
      <w:spacing w:before="360" w:after="240" w:line="276" w:lineRule="auto"/>
      <w:ind w:left="709"/>
      <w:outlineLvl w:val="1"/>
    </w:pPr>
    <w:rPr>
      <w:rFonts w:eastAsia="MS Mincho" w:cstheme="minorHAnsi"/>
      <w:b/>
      <w:color w:val="002060"/>
      <w:sz w:val="32"/>
      <w:szCs w:val="32"/>
      <w:lang w:eastAsia="pl-PL"/>
    </w:rPr>
  </w:style>
  <w:style w:type="paragraph" w:styleId="Nagwek3">
    <w:name w:val="heading 3"/>
    <w:basedOn w:val="Nagwek2"/>
    <w:next w:val="Normalny"/>
    <w:link w:val="Nagwek3Znak"/>
    <w:unhideWhenUsed/>
    <w:qFormat/>
    <w:rsid w:val="007C3E59"/>
    <w:pPr>
      <w:numPr>
        <w:ilvl w:val="2"/>
      </w:numPr>
      <w:spacing w:after="360"/>
      <w:ind w:left="851" w:hanging="851"/>
      <w:outlineLvl w:val="2"/>
    </w:pPr>
    <w:rPr>
      <w:sz w:val="28"/>
      <w:szCs w:val="28"/>
    </w:rPr>
  </w:style>
  <w:style w:type="paragraph" w:styleId="Nagwek4">
    <w:name w:val="heading 4"/>
    <w:basedOn w:val="Normalny"/>
    <w:next w:val="Normalny"/>
    <w:link w:val="Nagwek4Znak"/>
    <w:uiPriority w:val="99"/>
    <w:unhideWhenUsed/>
    <w:qFormat/>
    <w:rsid w:val="00B77FEE"/>
    <w:pPr>
      <w:shd w:val="clear" w:color="auto" w:fill="BDD6EE" w:themeFill="accent1" w:themeFillTint="66"/>
      <w:spacing w:before="240" w:after="240" w:line="240" w:lineRule="auto"/>
      <w:ind w:left="992" w:hanging="992"/>
      <w:jc w:val="left"/>
      <w:outlineLvl w:val="3"/>
    </w:pPr>
    <w:rPr>
      <w:rFonts w:eastAsia="Times New Roman"/>
      <w:b/>
      <w:iCs/>
      <w:sz w:val="24"/>
      <w:szCs w:val="24"/>
      <w:lang w:eastAsia="pl-PL"/>
    </w:rPr>
  </w:style>
  <w:style w:type="paragraph" w:styleId="Nagwek5">
    <w:name w:val="heading 5"/>
    <w:basedOn w:val="Normalny"/>
    <w:next w:val="Normalny"/>
    <w:link w:val="Nagwek5Znak"/>
    <w:uiPriority w:val="9"/>
    <w:unhideWhenUsed/>
    <w:qFormat/>
    <w:rsid w:val="002F68E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A37590"/>
    <w:rPr>
      <w:rFonts w:eastAsia="MS Mincho" w:cstheme="minorHAnsi"/>
      <w:b/>
      <w:color w:val="002060"/>
      <w:sz w:val="36"/>
      <w:szCs w:val="36"/>
      <w:lang w:eastAsia="pl-PL"/>
    </w:rPr>
  </w:style>
  <w:style w:type="character" w:customStyle="1" w:styleId="Nagwek2Znak">
    <w:name w:val="Nagłówek 2 Znak"/>
    <w:basedOn w:val="Domylnaczcionkaakapitu"/>
    <w:link w:val="Nagwek2"/>
    <w:uiPriority w:val="99"/>
    <w:rsid w:val="009B1CD8"/>
    <w:rPr>
      <w:rFonts w:eastAsia="MS Mincho" w:cstheme="minorHAnsi"/>
      <w:b/>
      <w:color w:val="002060"/>
      <w:sz w:val="32"/>
      <w:szCs w:val="32"/>
      <w:lang w:eastAsia="pl-PL"/>
    </w:rPr>
  </w:style>
  <w:style w:type="character" w:customStyle="1" w:styleId="Nagwek4Znak">
    <w:name w:val="Nagłówek 4 Znak"/>
    <w:basedOn w:val="Domylnaczcionkaakapitu"/>
    <w:link w:val="Nagwek4"/>
    <w:uiPriority w:val="99"/>
    <w:rsid w:val="00CF66CF"/>
    <w:rPr>
      <w:rFonts w:eastAsia="Times New Roman" w:cstheme="minorHAnsi"/>
      <w:b/>
      <w:iCs/>
      <w:color w:val="002060"/>
      <w:sz w:val="24"/>
      <w:szCs w:val="24"/>
      <w:shd w:val="clear" w:color="auto" w:fill="BDD6EE" w:themeFill="accent1" w:themeFillTint="66"/>
      <w:lang w:eastAsia="pl-PL"/>
    </w:rPr>
  </w:style>
  <w:style w:type="paragraph" w:styleId="Tekstprzypisudolnego">
    <w:name w:val="footnote text"/>
    <w:aliases w:val="Podrozdział,Footnote,Podrozdzia3,-E Fuﬂnotentext,Fuﬂnotentext Ursprung,Fußnotentext Ursprung,-E Fußnotentext,Footnote text,Tekst przypisu Znak Znak Znak Znak,Tekst przypisu Znak Znak Znak Znak Znak,Fußnote,FOOTNOTES,Znak Znak Znak"/>
    <w:basedOn w:val="Normalny"/>
    <w:link w:val="TekstprzypisudolnegoZnak"/>
    <w:autoRedefine/>
    <w:uiPriority w:val="99"/>
    <w:qFormat/>
    <w:rsid w:val="0049710D"/>
    <w:pPr>
      <w:spacing w:after="60" w:line="240" w:lineRule="auto"/>
    </w:pPr>
    <w:rPr>
      <w:sz w:val="16"/>
      <w:szCs w:val="16"/>
    </w:rPr>
  </w:style>
  <w:style w:type="character" w:customStyle="1" w:styleId="TekstprzypisudolnegoZnak">
    <w:name w:val="Tekst przypisu dolnego Znak"/>
    <w:aliases w:val="Podrozdział Znak,Footnote Znak,Podrozdzia3 Znak,-E Fuﬂnotentext Znak,Fuﬂnotentext Ursprung Znak,Fußnotentext Ursprung Znak,-E Fußnotentext Znak,Footnote text Znak,Tekst przypisu Znak Znak Znak Znak Znak1,Fußnote Znak"/>
    <w:basedOn w:val="Domylnaczcionkaakapitu"/>
    <w:link w:val="Tekstprzypisudolnego"/>
    <w:uiPriority w:val="99"/>
    <w:qFormat/>
    <w:rsid w:val="0049710D"/>
    <w:rPr>
      <w:rFonts w:eastAsia="Arial Unicode MS" w:cstheme="minorHAnsi"/>
      <w:color w:val="002060"/>
      <w:sz w:val="16"/>
      <w:szCs w:val="16"/>
    </w:rPr>
  </w:style>
  <w:style w:type="character" w:styleId="Odwoanieprzypisudolnego">
    <w:name w:val="footnote reference"/>
    <w:aliases w:val="Footnote Reference Number,Footnote symbol,Footnote Reference Superscript,Znak Znak11,Odwołanie przypisu,tekst przypisu dolnego,Odwołanie przypisu1,przypis dolny,Überschrift 4 Zchn1,Título 4 Car Zchn,note TES"/>
    <w:basedOn w:val="Domylnaczcionkaakapitu"/>
    <w:qFormat/>
    <w:rsid w:val="00A37590"/>
    <w:rPr>
      <w:rFonts w:cs="Times New Roman"/>
      <w:vertAlign w:val="superscript"/>
    </w:rPr>
  </w:style>
  <w:style w:type="paragraph" w:styleId="Spistreci2">
    <w:name w:val="toc 2"/>
    <w:basedOn w:val="Normalny"/>
    <w:next w:val="Normalny"/>
    <w:autoRedefine/>
    <w:uiPriority w:val="39"/>
    <w:rsid w:val="00A37590"/>
    <w:pPr>
      <w:spacing w:after="0"/>
      <w:ind w:left="220"/>
      <w:jc w:val="left"/>
    </w:pPr>
    <w:rPr>
      <w:smallCaps/>
      <w:sz w:val="20"/>
    </w:rPr>
  </w:style>
  <w:style w:type="character" w:styleId="Hipercze">
    <w:name w:val="Hyperlink"/>
    <w:basedOn w:val="Domylnaczcionkaakapitu"/>
    <w:uiPriority w:val="99"/>
    <w:rsid w:val="00344317"/>
    <w:rPr>
      <w:rFonts w:asciiTheme="minorHAnsi" w:hAnsiTheme="minorHAnsi" w:cs="MS Gothic"/>
      <w:bCs/>
      <w:color w:val="0000FF"/>
      <w:sz w:val="24"/>
      <w:szCs w:val="24"/>
      <w:u w:val="none"/>
    </w:rPr>
  </w:style>
  <w:style w:type="paragraph" w:styleId="Spistreci1">
    <w:name w:val="toc 1"/>
    <w:basedOn w:val="Normalny"/>
    <w:next w:val="Normalny"/>
    <w:autoRedefine/>
    <w:uiPriority w:val="39"/>
    <w:unhideWhenUsed/>
    <w:rsid w:val="00154F5E"/>
    <w:pPr>
      <w:tabs>
        <w:tab w:val="left" w:pos="440"/>
        <w:tab w:val="right" w:leader="underscore" w:pos="9062"/>
      </w:tabs>
      <w:spacing w:before="120"/>
      <w:jc w:val="left"/>
    </w:pPr>
    <w:rPr>
      <w:b/>
      <w:bCs/>
      <w:caps/>
      <w:sz w:val="20"/>
    </w:rPr>
  </w:style>
  <w:style w:type="paragraph" w:styleId="Nagwek">
    <w:name w:val="header"/>
    <w:basedOn w:val="Normalny"/>
    <w:link w:val="NagwekZnak"/>
    <w:uiPriority w:val="99"/>
    <w:rsid w:val="00A37590"/>
    <w:pPr>
      <w:tabs>
        <w:tab w:val="center" w:pos="4536"/>
        <w:tab w:val="right" w:pos="9072"/>
      </w:tabs>
    </w:pPr>
  </w:style>
  <w:style w:type="character" w:customStyle="1" w:styleId="NagwekZnak">
    <w:name w:val="Nagłówek Znak"/>
    <w:basedOn w:val="Domylnaczcionkaakapitu"/>
    <w:link w:val="Nagwek"/>
    <w:uiPriority w:val="99"/>
    <w:rsid w:val="00A37590"/>
    <w:rPr>
      <w:rFonts w:eastAsia="Times New Roman" w:cstheme="minorHAnsi"/>
      <w:color w:val="002060"/>
      <w:szCs w:val="20"/>
    </w:rPr>
  </w:style>
  <w:style w:type="paragraph" w:styleId="Stopka">
    <w:name w:val="footer"/>
    <w:basedOn w:val="Normalny"/>
    <w:link w:val="StopkaZnak"/>
    <w:uiPriority w:val="99"/>
    <w:rsid w:val="00A37590"/>
    <w:pPr>
      <w:tabs>
        <w:tab w:val="center" w:pos="4536"/>
        <w:tab w:val="right" w:pos="9072"/>
      </w:tabs>
    </w:pPr>
  </w:style>
  <w:style w:type="character" w:customStyle="1" w:styleId="StopkaZnak">
    <w:name w:val="Stopka Znak"/>
    <w:basedOn w:val="Domylnaczcionkaakapitu"/>
    <w:link w:val="Stopka"/>
    <w:uiPriority w:val="99"/>
    <w:rsid w:val="00A37590"/>
    <w:rPr>
      <w:rFonts w:eastAsia="Times New Roman" w:cstheme="minorHAnsi"/>
      <w:color w:val="002060"/>
      <w:szCs w:val="20"/>
    </w:rPr>
  </w:style>
  <w:style w:type="paragraph" w:styleId="Akapitzlist">
    <w:name w:val="List Paragraph"/>
    <w:aliases w:val="Signature,Numerowanie,A_wyliczenie,K-P_odwolanie,Akapit z listą5,maz_wyliczenie,opis dzialania,Podpis1,BulletC,Table of contents numbered,Akapit z listą5CxSpLast,Tekst punktowanie,Akapit z listą 1,Akapit z listą BS,Obiekt,List Paragraph1"/>
    <w:link w:val="AkapitzlistZnak"/>
    <w:uiPriority w:val="34"/>
    <w:qFormat/>
    <w:rsid w:val="004214AC"/>
    <w:pPr>
      <w:numPr>
        <w:numId w:val="1"/>
      </w:numPr>
      <w:spacing w:after="120" w:line="276" w:lineRule="auto"/>
      <w:jc w:val="both"/>
    </w:pPr>
    <w:rPr>
      <w:rFonts w:eastAsia="Times New Roman" w:cstheme="minorHAnsi"/>
      <w:color w:val="002060"/>
      <w:szCs w:val="20"/>
      <w:lang w:eastAsia="pl-PL"/>
    </w:rPr>
  </w:style>
  <w:style w:type="paragraph" w:customStyle="1" w:styleId="Default">
    <w:name w:val="Default"/>
    <w:rsid w:val="00A37590"/>
    <w:pPr>
      <w:autoSpaceDE w:val="0"/>
      <w:autoSpaceDN w:val="0"/>
      <w:adjustRightInd w:val="0"/>
      <w:spacing w:after="120" w:line="276" w:lineRule="auto"/>
    </w:pPr>
    <w:rPr>
      <w:rFonts w:cs="Arial"/>
      <w:color w:val="002060"/>
      <w:szCs w:val="24"/>
    </w:rPr>
  </w:style>
  <w:style w:type="paragraph" w:styleId="Legenda">
    <w:name w:val="caption"/>
    <w:next w:val="Normalny"/>
    <w:link w:val="LegendaZnak"/>
    <w:uiPriority w:val="35"/>
    <w:qFormat/>
    <w:rsid w:val="00A37590"/>
    <w:pPr>
      <w:spacing w:before="120" w:after="120" w:line="240" w:lineRule="auto"/>
      <w:jc w:val="both"/>
    </w:pPr>
    <w:rPr>
      <w:rFonts w:eastAsia="Times New Roman" w:cstheme="minorHAnsi"/>
      <w:b/>
      <w:bCs/>
      <w:color w:val="002060"/>
      <w:sz w:val="18"/>
      <w:szCs w:val="20"/>
      <w:lang w:eastAsia="pl-PL"/>
    </w:rPr>
  </w:style>
  <w:style w:type="character" w:customStyle="1" w:styleId="LegendaZnak">
    <w:name w:val="Legenda Znak"/>
    <w:basedOn w:val="Domylnaczcionkaakapitu"/>
    <w:link w:val="Legenda"/>
    <w:uiPriority w:val="35"/>
    <w:locked/>
    <w:rsid w:val="00A37590"/>
    <w:rPr>
      <w:rFonts w:eastAsia="Times New Roman" w:cstheme="minorHAnsi"/>
      <w:b/>
      <w:bCs/>
      <w:color w:val="002060"/>
      <w:sz w:val="18"/>
      <w:szCs w:val="20"/>
      <w:lang w:eastAsia="pl-PL"/>
    </w:rPr>
  </w:style>
  <w:style w:type="table" w:styleId="Tabela-Siatka">
    <w:name w:val="Table Grid"/>
    <w:basedOn w:val="Standardowy"/>
    <w:uiPriority w:val="39"/>
    <w:rsid w:val="00A37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4">
    <w:name w:val="toc 4"/>
    <w:basedOn w:val="Normalny"/>
    <w:next w:val="Normalny"/>
    <w:autoRedefine/>
    <w:uiPriority w:val="39"/>
    <w:rsid w:val="00A37590"/>
    <w:pPr>
      <w:spacing w:after="0"/>
      <w:ind w:left="660"/>
      <w:jc w:val="left"/>
    </w:pPr>
    <w:rPr>
      <w:sz w:val="18"/>
      <w:szCs w:val="18"/>
    </w:rPr>
  </w:style>
  <w:style w:type="paragraph" w:customStyle="1" w:styleId="Nagwek3a">
    <w:name w:val="Nagłówek 3a"/>
    <w:next w:val="Normalny"/>
    <w:autoRedefine/>
    <w:uiPriority w:val="99"/>
    <w:qFormat/>
    <w:rsid w:val="00324C4F"/>
    <w:pPr>
      <w:spacing w:before="240" w:after="240" w:line="240" w:lineRule="auto"/>
      <w:jc w:val="both"/>
      <w:outlineLvl w:val="2"/>
    </w:pPr>
    <w:rPr>
      <w:rFonts w:ascii="MS Gothic" w:eastAsia="Yu Mincho Light" w:hAnsi="MS Gothic" w:cs="Yu Mincho Light"/>
      <w:b/>
      <w:bCs/>
      <w:iCs/>
      <w:lang w:eastAsia="pl-PL"/>
    </w:rPr>
  </w:style>
  <w:style w:type="character" w:customStyle="1" w:styleId="AkapitzlistZnak">
    <w:name w:val="Akapit z listą Znak"/>
    <w:aliases w:val="Signature Znak,Numerowanie Znak,A_wyliczenie Znak,K-P_odwolanie Znak,Akapit z listą5 Znak,maz_wyliczenie Znak,opis dzialania Znak,Podpis1 Znak,BulletC Znak,Table of contents numbered Znak,Akapit z listą5CxSpLast Znak,Obiekt Znak"/>
    <w:basedOn w:val="Domylnaczcionkaakapitu"/>
    <w:link w:val="Akapitzlist"/>
    <w:uiPriority w:val="34"/>
    <w:qFormat/>
    <w:locked/>
    <w:rsid w:val="00C531DD"/>
    <w:rPr>
      <w:rFonts w:eastAsia="Times New Roman" w:cstheme="minorHAnsi"/>
      <w:color w:val="002060"/>
      <w:szCs w:val="20"/>
      <w:lang w:eastAsia="pl-PL"/>
    </w:rPr>
  </w:style>
  <w:style w:type="paragraph" w:styleId="Spisilustracji">
    <w:name w:val="table of figures"/>
    <w:basedOn w:val="Normalny"/>
    <w:next w:val="Normalny"/>
    <w:uiPriority w:val="99"/>
    <w:unhideWhenUsed/>
    <w:rsid w:val="00A842F5"/>
    <w:pPr>
      <w:spacing w:after="0"/>
      <w:ind w:left="440" w:hanging="440"/>
      <w:jc w:val="left"/>
    </w:pPr>
    <w:rPr>
      <w:smallCaps/>
      <w:sz w:val="20"/>
    </w:rPr>
  </w:style>
  <w:style w:type="paragraph" w:styleId="Spistreci3">
    <w:name w:val="toc 3"/>
    <w:basedOn w:val="Normalny"/>
    <w:next w:val="Normalny"/>
    <w:autoRedefine/>
    <w:uiPriority w:val="39"/>
    <w:unhideWhenUsed/>
    <w:rsid w:val="006E0271"/>
    <w:pPr>
      <w:spacing w:after="0"/>
      <w:ind w:left="440"/>
      <w:jc w:val="left"/>
    </w:pPr>
    <w:rPr>
      <w:i/>
      <w:iCs/>
      <w:sz w:val="20"/>
    </w:rPr>
  </w:style>
  <w:style w:type="paragraph" w:styleId="Tekstdymka">
    <w:name w:val="Balloon Text"/>
    <w:basedOn w:val="Normalny"/>
    <w:link w:val="TekstdymkaZnak"/>
    <w:uiPriority w:val="99"/>
    <w:semiHidden/>
    <w:unhideWhenUsed/>
    <w:rsid w:val="008148D3"/>
    <w:pPr>
      <w:spacing w:after="0"/>
    </w:pPr>
    <w:rPr>
      <w:rFonts w:ascii="Yu Mincho Light" w:eastAsia="Calibri Light" w:hAnsi="Yu Mincho Light" w:cs="Yu Mincho Light"/>
      <w:sz w:val="18"/>
      <w:szCs w:val="18"/>
    </w:rPr>
  </w:style>
  <w:style w:type="character" w:customStyle="1" w:styleId="TekstdymkaZnak">
    <w:name w:val="Tekst dymka Znak"/>
    <w:basedOn w:val="Domylnaczcionkaakapitu"/>
    <w:link w:val="Tekstdymka"/>
    <w:uiPriority w:val="99"/>
    <w:semiHidden/>
    <w:rsid w:val="008148D3"/>
    <w:rPr>
      <w:rFonts w:ascii="Yu Mincho Light" w:eastAsia="Calibri Light" w:hAnsi="Yu Mincho Light" w:cs="Yu Mincho Light"/>
      <w:color w:val="002060"/>
      <w:sz w:val="18"/>
      <w:szCs w:val="18"/>
    </w:rPr>
  </w:style>
  <w:style w:type="character" w:styleId="Odwoaniedokomentarza">
    <w:name w:val="annotation reference"/>
    <w:basedOn w:val="Domylnaczcionkaakapitu"/>
    <w:uiPriority w:val="99"/>
    <w:unhideWhenUsed/>
    <w:qFormat/>
    <w:rsid w:val="00B56196"/>
    <w:rPr>
      <w:sz w:val="16"/>
      <w:szCs w:val="16"/>
    </w:rPr>
  </w:style>
  <w:style w:type="paragraph" w:styleId="Tekstkomentarza">
    <w:name w:val="annotation text"/>
    <w:basedOn w:val="Normalny"/>
    <w:link w:val="TekstkomentarzaZnak"/>
    <w:uiPriority w:val="99"/>
    <w:unhideWhenUsed/>
    <w:rsid w:val="00B56196"/>
    <w:rPr>
      <w:sz w:val="20"/>
    </w:rPr>
  </w:style>
  <w:style w:type="character" w:customStyle="1" w:styleId="TekstkomentarzaZnak">
    <w:name w:val="Tekst komentarza Znak"/>
    <w:basedOn w:val="Domylnaczcionkaakapitu"/>
    <w:link w:val="Tekstkomentarza"/>
    <w:uiPriority w:val="99"/>
    <w:rsid w:val="00B56196"/>
    <w:rPr>
      <w:rFonts w:eastAsia="Times New Roman" w:cstheme="minorHAnsi"/>
      <w:color w:val="002060"/>
      <w:sz w:val="20"/>
      <w:szCs w:val="20"/>
    </w:rPr>
  </w:style>
  <w:style w:type="paragraph" w:styleId="Tematkomentarza">
    <w:name w:val="annotation subject"/>
    <w:basedOn w:val="Tekstkomentarza"/>
    <w:next w:val="Tekstkomentarza"/>
    <w:link w:val="TematkomentarzaZnak"/>
    <w:uiPriority w:val="99"/>
    <w:semiHidden/>
    <w:unhideWhenUsed/>
    <w:rsid w:val="00B56196"/>
    <w:rPr>
      <w:b/>
      <w:bCs/>
    </w:rPr>
  </w:style>
  <w:style w:type="character" w:customStyle="1" w:styleId="TematkomentarzaZnak">
    <w:name w:val="Temat komentarza Znak"/>
    <w:basedOn w:val="TekstkomentarzaZnak"/>
    <w:link w:val="Tematkomentarza"/>
    <w:uiPriority w:val="99"/>
    <w:semiHidden/>
    <w:rsid w:val="00B56196"/>
    <w:rPr>
      <w:rFonts w:eastAsia="Times New Roman" w:cstheme="minorHAnsi"/>
      <w:b/>
      <w:bCs/>
      <w:color w:val="002060"/>
      <w:sz w:val="20"/>
      <w:szCs w:val="20"/>
    </w:rPr>
  </w:style>
  <w:style w:type="paragraph" w:styleId="Tekstprzypisukocowego">
    <w:name w:val="endnote text"/>
    <w:basedOn w:val="Normalny"/>
    <w:link w:val="TekstprzypisukocowegoZnak"/>
    <w:uiPriority w:val="99"/>
    <w:semiHidden/>
    <w:unhideWhenUsed/>
    <w:rsid w:val="00E330BF"/>
    <w:pPr>
      <w:spacing w:after="0"/>
    </w:pPr>
    <w:rPr>
      <w:sz w:val="20"/>
    </w:rPr>
  </w:style>
  <w:style w:type="character" w:customStyle="1" w:styleId="TekstprzypisukocowegoZnak">
    <w:name w:val="Tekst przypisu końcowego Znak"/>
    <w:basedOn w:val="Domylnaczcionkaakapitu"/>
    <w:link w:val="Tekstprzypisukocowego"/>
    <w:uiPriority w:val="99"/>
    <w:semiHidden/>
    <w:rsid w:val="00E330BF"/>
    <w:rPr>
      <w:rFonts w:eastAsia="Times New Roman" w:cstheme="minorHAnsi"/>
      <w:color w:val="002060"/>
      <w:sz w:val="20"/>
      <w:szCs w:val="20"/>
    </w:rPr>
  </w:style>
  <w:style w:type="character" w:styleId="Odwoanieprzypisukocowego">
    <w:name w:val="endnote reference"/>
    <w:basedOn w:val="Domylnaczcionkaakapitu"/>
    <w:uiPriority w:val="99"/>
    <w:semiHidden/>
    <w:unhideWhenUsed/>
    <w:rsid w:val="00E330BF"/>
    <w:rPr>
      <w:vertAlign w:val="superscript"/>
    </w:rPr>
  </w:style>
  <w:style w:type="character" w:customStyle="1" w:styleId="Nagwek3Znak">
    <w:name w:val="Nagłówek 3 Znak"/>
    <w:basedOn w:val="Domylnaczcionkaakapitu"/>
    <w:link w:val="Nagwek3"/>
    <w:rsid w:val="007C3E59"/>
    <w:rPr>
      <w:rFonts w:eastAsia="MS Mincho" w:cstheme="minorHAnsi"/>
      <w:b/>
      <w:color w:val="002060"/>
      <w:sz w:val="28"/>
      <w:szCs w:val="28"/>
      <w:lang w:eastAsia="pl-PL"/>
    </w:rPr>
  </w:style>
  <w:style w:type="paragraph" w:styleId="Poprawka">
    <w:name w:val="Revision"/>
    <w:hidden/>
    <w:uiPriority w:val="99"/>
    <w:semiHidden/>
    <w:rsid w:val="0057408D"/>
    <w:pPr>
      <w:spacing w:after="0" w:line="240" w:lineRule="auto"/>
    </w:pPr>
    <w:rPr>
      <w:rFonts w:eastAsia="Arial Unicode MS" w:cstheme="minorHAnsi"/>
      <w:color w:val="002060"/>
      <w:szCs w:val="20"/>
    </w:rPr>
  </w:style>
  <w:style w:type="paragraph" w:styleId="Bezodstpw">
    <w:name w:val="No Spacing"/>
    <w:uiPriority w:val="1"/>
    <w:qFormat/>
    <w:rsid w:val="00D957A2"/>
    <w:pPr>
      <w:spacing w:after="0" w:line="240" w:lineRule="auto"/>
      <w:jc w:val="both"/>
    </w:pPr>
    <w:rPr>
      <w:rFonts w:eastAsia="Arial Unicode MS" w:cstheme="minorHAnsi"/>
      <w:color w:val="002060"/>
      <w:szCs w:val="20"/>
    </w:rPr>
  </w:style>
  <w:style w:type="numbering" w:customStyle="1" w:styleId="Biecalista1">
    <w:name w:val="Bieżąca lista1"/>
    <w:uiPriority w:val="99"/>
    <w:rsid w:val="00590B04"/>
    <w:pPr>
      <w:numPr>
        <w:numId w:val="16"/>
      </w:numPr>
    </w:pPr>
  </w:style>
  <w:style w:type="character" w:customStyle="1" w:styleId="UnresolvedMention1">
    <w:name w:val="Unresolved Mention1"/>
    <w:basedOn w:val="Domylnaczcionkaakapitu"/>
    <w:uiPriority w:val="99"/>
    <w:semiHidden/>
    <w:unhideWhenUsed/>
    <w:rsid w:val="009F4DAD"/>
    <w:rPr>
      <w:color w:val="605E5C"/>
      <w:shd w:val="clear" w:color="auto" w:fill="E1DFDD"/>
    </w:rPr>
  </w:style>
  <w:style w:type="paragraph" w:styleId="Spistreci5">
    <w:name w:val="toc 5"/>
    <w:basedOn w:val="Normalny"/>
    <w:next w:val="Normalny"/>
    <w:autoRedefine/>
    <w:uiPriority w:val="39"/>
    <w:unhideWhenUsed/>
    <w:rsid w:val="00E304AF"/>
    <w:pPr>
      <w:spacing w:after="0"/>
      <w:ind w:left="880"/>
      <w:jc w:val="left"/>
    </w:pPr>
    <w:rPr>
      <w:sz w:val="18"/>
      <w:szCs w:val="18"/>
    </w:rPr>
  </w:style>
  <w:style w:type="paragraph" w:styleId="Spistreci6">
    <w:name w:val="toc 6"/>
    <w:basedOn w:val="Normalny"/>
    <w:next w:val="Normalny"/>
    <w:autoRedefine/>
    <w:uiPriority w:val="39"/>
    <w:unhideWhenUsed/>
    <w:rsid w:val="00E304AF"/>
    <w:pPr>
      <w:spacing w:after="0"/>
      <w:ind w:left="1100"/>
      <w:jc w:val="left"/>
    </w:pPr>
    <w:rPr>
      <w:sz w:val="18"/>
      <w:szCs w:val="18"/>
    </w:rPr>
  </w:style>
  <w:style w:type="paragraph" w:styleId="Spistreci7">
    <w:name w:val="toc 7"/>
    <w:basedOn w:val="Normalny"/>
    <w:next w:val="Normalny"/>
    <w:autoRedefine/>
    <w:uiPriority w:val="39"/>
    <w:unhideWhenUsed/>
    <w:rsid w:val="00E304AF"/>
    <w:pPr>
      <w:spacing w:after="0"/>
      <w:ind w:left="1320"/>
      <w:jc w:val="left"/>
    </w:pPr>
    <w:rPr>
      <w:sz w:val="18"/>
      <w:szCs w:val="18"/>
    </w:rPr>
  </w:style>
  <w:style w:type="paragraph" w:styleId="Spistreci8">
    <w:name w:val="toc 8"/>
    <w:basedOn w:val="Normalny"/>
    <w:next w:val="Normalny"/>
    <w:autoRedefine/>
    <w:uiPriority w:val="39"/>
    <w:unhideWhenUsed/>
    <w:rsid w:val="00E304AF"/>
    <w:pPr>
      <w:spacing w:after="0"/>
      <w:ind w:left="1540"/>
      <w:jc w:val="left"/>
    </w:pPr>
    <w:rPr>
      <w:sz w:val="18"/>
      <w:szCs w:val="18"/>
    </w:rPr>
  </w:style>
  <w:style w:type="paragraph" w:styleId="Spistreci9">
    <w:name w:val="toc 9"/>
    <w:basedOn w:val="Normalny"/>
    <w:next w:val="Normalny"/>
    <w:autoRedefine/>
    <w:uiPriority w:val="39"/>
    <w:unhideWhenUsed/>
    <w:rsid w:val="00E304AF"/>
    <w:pPr>
      <w:spacing w:after="0"/>
      <w:ind w:left="1760"/>
      <w:jc w:val="left"/>
    </w:pPr>
    <w:rPr>
      <w:sz w:val="18"/>
      <w:szCs w:val="18"/>
    </w:rPr>
  </w:style>
  <w:style w:type="character" w:customStyle="1" w:styleId="Nierozpoznanawzmianka1">
    <w:name w:val="Nierozpoznana wzmianka1"/>
    <w:basedOn w:val="Domylnaczcionkaakapitu"/>
    <w:uiPriority w:val="99"/>
    <w:semiHidden/>
    <w:unhideWhenUsed/>
    <w:rsid w:val="002B2387"/>
    <w:rPr>
      <w:color w:val="605E5C"/>
      <w:shd w:val="clear" w:color="auto" w:fill="E1DFDD"/>
    </w:rPr>
  </w:style>
  <w:style w:type="character" w:customStyle="1" w:styleId="UnresolvedMention2">
    <w:name w:val="Unresolved Mention2"/>
    <w:basedOn w:val="Domylnaczcionkaakapitu"/>
    <w:uiPriority w:val="99"/>
    <w:semiHidden/>
    <w:unhideWhenUsed/>
    <w:rsid w:val="00BB030E"/>
    <w:rPr>
      <w:color w:val="605E5C"/>
      <w:shd w:val="clear" w:color="auto" w:fill="E1DFDD"/>
    </w:rPr>
  </w:style>
  <w:style w:type="character" w:customStyle="1" w:styleId="UnresolvedMention3">
    <w:name w:val="Unresolved Mention3"/>
    <w:basedOn w:val="Domylnaczcionkaakapitu"/>
    <w:uiPriority w:val="99"/>
    <w:semiHidden/>
    <w:unhideWhenUsed/>
    <w:rsid w:val="00BF3E8C"/>
    <w:rPr>
      <w:color w:val="605E5C"/>
      <w:shd w:val="clear" w:color="auto" w:fill="E1DFDD"/>
    </w:rPr>
  </w:style>
  <w:style w:type="character" w:customStyle="1" w:styleId="Nagwek5Znak">
    <w:name w:val="Nagłówek 5 Znak"/>
    <w:basedOn w:val="Domylnaczcionkaakapitu"/>
    <w:link w:val="Nagwek5"/>
    <w:uiPriority w:val="9"/>
    <w:rsid w:val="002F68EA"/>
    <w:rPr>
      <w:rFonts w:asciiTheme="majorHAnsi" w:eastAsiaTheme="majorEastAsia" w:hAnsiTheme="majorHAnsi" w:cstheme="majorBidi"/>
      <w:color w:val="2E74B5" w:themeColor="accent1" w:themeShade="BF"/>
      <w:szCs w:val="20"/>
    </w:rPr>
  </w:style>
  <w:style w:type="table" w:customStyle="1" w:styleId="Tabela-Siatka1">
    <w:name w:val="Tabela - Siatka1"/>
    <w:basedOn w:val="Standardowy"/>
    <w:next w:val="Tabela-Siatka"/>
    <w:uiPriority w:val="39"/>
    <w:rsid w:val="00B925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AF36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zypisZnak">
    <w:name w:val="Przypis Znak"/>
    <w:basedOn w:val="Domylnaczcionkaakapitu"/>
    <w:link w:val="Przypis"/>
    <w:locked/>
    <w:rsid w:val="004A3E48"/>
    <w:rPr>
      <w:color w:val="000000" w:themeColor="text1"/>
      <w:sz w:val="18"/>
    </w:rPr>
  </w:style>
  <w:style w:type="paragraph" w:customStyle="1" w:styleId="Przypis">
    <w:name w:val="Przypis"/>
    <w:basedOn w:val="Normalny"/>
    <w:next w:val="Normalny"/>
    <w:link w:val="PrzypisZnak"/>
    <w:qFormat/>
    <w:rsid w:val="004A3E48"/>
    <w:pPr>
      <w:spacing w:line="256" w:lineRule="auto"/>
      <w:contextualSpacing/>
    </w:pPr>
    <w:rPr>
      <w:rFonts w:eastAsiaTheme="minorHAnsi" w:cstheme="minorBidi"/>
      <w:color w:val="000000" w:themeColor="text1"/>
      <w:sz w:val="18"/>
      <w:szCs w:val="22"/>
    </w:rPr>
  </w:style>
  <w:style w:type="character" w:customStyle="1" w:styleId="UnresolvedMention4">
    <w:name w:val="Unresolved Mention4"/>
    <w:basedOn w:val="Domylnaczcionkaakapitu"/>
    <w:uiPriority w:val="99"/>
    <w:semiHidden/>
    <w:unhideWhenUsed/>
    <w:rsid w:val="00ED5C54"/>
    <w:rPr>
      <w:color w:val="605E5C"/>
      <w:shd w:val="clear" w:color="auto" w:fill="E1DFDD"/>
    </w:rPr>
  </w:style>
  <w:style w:type="character" w:styleId="Tekstzastpczy">
    <w:name w:val="Placeholder Text"/>
    <w:basedOn w:val="Domylnaczcionkaakapitu"/>
    <w:uiPriority w:val="99"/>
    <w:semiHidden/>
    <w:rsid w:val="00924245"/>
    <w:rPr>
      <w:color w:val="808080"/>
    </w:rPr>
  </w:style>
  <w:style w:type="character" w:customStyle="1" w:styleId="UnresolvedMention5">
    <w:name w:val="Unresolved Mention5"/>
    <w:basedOn w:val="Domylnaczcionkaakapitu"/>
    <w:uiPriority w:val="99"/>
    <w:semiHidden/>
    <w:unhideWhenUsed/>
    <w:rsid w:val="00971D70"/>
    <w:rPr>
      <w:color w:val="605E5C"/>
      <w:shd w:val="clear" w:color="auto" w:fill="E1DFDD"/>
    </w:rPr>
  </w:style>
  <w:style w:type="character" w:customStyle="1" w:styleId="UnresolvedMention6">
    <w:name w:val="Unresolved Mention6"/>
    <w:basedOn w:val="Domylnaczcionkaakapitu"/>
    <w:uiPriority w:val="99"/>
    <w:semiHidden/>
    <w:unhideWhenUsed/>
    <w:rsid w:val="00975CF0"/>
    <w:rPr>
      <w:color w:val="605E5C"/>
      <w:shd w:val="clear" w:color="auto" w:fill="E1DFDD"/>
    </w:rPr>
  </w:style>
  <w:style w:type="character" w:customStyle="1" w:styleId="UnresolvedMention7">
    <w:name w:val="Unresolved Mention7"/>
    <w:basedOn w:val="Domylnaczcionkaakapitu"/>
    <w:uiPriority w:val="99"/>
    <w:semiHidden/>
    <w:unhideWhenUsed/>
    <w:rsid w:val="00E729D8"/>
    <w:rPr>
      <w:color w:val="605E5C"/>
      <w:shd w:val="clear" w:color="auto" w:fill="E1DFDD"/>
    </w:rPr>
  </w:style>
  <w:style w:type="character" w:styleId="Tytuksiki">
    <w:name w:val="Book Title"/>
    <w:basedOn w:val="Domylnaczcionkaakapitu"/>
    <w:uiPriority w:val="33"/>
    <w:qFormat/>
    <w:rsid w:val="00F5699A"/>
    <w:rPr>
      <w:b/>
      <w:bCs/>
      <w:i/>
      <w:iCs/>
      <w:spacing w:val="5"/>
    </w:rPr>
  </w:style>
  <w:style w:type="character" w:styleId="UyteHipercze">
    <w:name w:val="FollowedHyperlink"/>
    <w:basedOn w:val="Domylnaczcionkaakapitu"/>
    <w:uiPriority w:val="99"/>
    <w:semiHidden/>
    <w:unhideWhenUsed/>
    <w:rsid w:val="0011511D"/>
    <w:rPr>
      <w:color w:val="954F72" w:themeColor="followedHyperlink"/>
      <w:u w:val="single"/>
    </w:rPr>
  </w:style>
  <w:style w:type="character" w:customStyle="1" w:styleId="Nierozpoznanawzmianka2">
    <w:name w:val="Nierozpoznana wzmianka2"/>
    <w:basedOn w:val="Domylnaczcionkaakapitu"/>
    <w:uiPriority w:val="99"/>
    <w:semiHidden/>
    <w:unhideWhenUsed/>
    <w:rsid w:val="00E642F4"/>
    <w:rPr>
      <w:color w:val="605E5C"/>
      <w:shd w:val="clear" w:color="auto" w:fill="E1DFDD"/>
    </w:rPr>
  </w:style>
  <w:style w:type="table" w:customStyle="1" w:styleId="Tabela-Siatka3">
    <w:name w:val="Tabela - Siatka3"/>
    <w:basedOn w:val="Standardowy"/>
    <w:next w:val="Tabela-Siatka"/>
    <w:uiPriority w:val="39"/>
    <w:rsid w:val="007E3C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EA7F2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8C270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
    <w:name w:val="Tabela - Siatka51"/>
    <w:basedOn w:val="Standardowy"/>
    <w:uiPriority w:val="39"/>
    <w:rsid w:val="008A3E3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2">
    <w:name w:val="Tabela - Siatka52"/>
    <w:basedOn w:val="Standardowy"/>
    <w:uiPriority w:val="39"/>
    <w:rsid w:val="008A3E3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39"/>
    <w:rsid w:val="008A3E3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21">
    <w:name w:val="Tabela - Siatka521"/>
    <w:basedOn w:val="Standardowy"/>
    <w:uiPriority w:val="39"/>
    <w:rsid w:val="008A3E3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22">
    <w:name w:val="Tabela - Siatka522"/>
    <w:basedOn w:val="Standardowy"/>
    <w:uiPriority w:val="39"/>
    <w:rsid w:val="008A3E3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23">
    <w:name w:val="Tabela - Siatka523"/>
    <w:basedOn w:val="Standardowy"/>
    <w:uiPriority w:val="39"/>
    <w:rsid w:val="008A3E3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24">
    <w:name w:val="Tabela - Siatka524"/>
    <w:basedOn w:val="Standardowy"/>
    <w:uiPriority w:val="39"/>
    <w:rsid w:val="008A3E3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25">
    <w:name w:val="Tabela - Siatka525"/>
    <w:basedOn w:val="Standardowy"/>
    <w:uiPriority w:val="39"/>
    <w:rsid w:val="008A3E3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26">
    <w:name w:val="Tabela - Siatka526"/>
    <w:basedOn w:val="Standardowy"/>
    <w:uiPriority w:val="39"/>
    <w:rsid w:val="008A3E3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261">
    <w:name w:val="Tabela - Siatka5261"/>
    <w:basedOn w:val="Standardowy"/>
    <w:uiPriority w:val="39"/>
    <w:rsid w:val="008A3E3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2611">
    <w:name w:val="Tabela - Siatka52611"/>
    <w:basedOn w:val="Standardowy"/>
    <w:uiPriority w:val="39"/>
    <w:rsid w:val="008A3E3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1v1v1msolistparagraph">
    <w:name w:val="v1v1v1msolistparagraph"/>
    <w:basedOn w:val="Normalny"/>
    <w:rsid w:val="00D066A7"/>
    <w:pPr>
      <w:spacing w:before="100" w:beforeAutospacing="1" w:after="100" w:afterAutospacing="1" w:line="240" w:lineRule="auto"/>
      <w:jc w:val="left"/>
    </w:pPr>
    <w:rPr>
      <w:rFonts w:ascii="Calibri" w:eastAsia="Calibri" w:hAnsi="Calibri" w:cs="Calibri"/>
      <w:color w:val="auto"/>
      <w:sz w:val="24"/>
      <w:szCs w:val="24"/>
      <w:lang w:eastAsia="pl-PL"/>
    </w:rPr>
  </w:style>
  <w:style w:type="character" w:customStyle="1" w:styleId="Nierozpoznanawzmianka3">
    <w:name w:val="Nierozpoznana wzmianka3"/>
    <w:basedOn w:val="Domylnaczcionkaakapitu"/>
    <w:uiPriority w:val="99"/>
    <w:semiHidden/>
    <w:unhideWhenUsed/>
    <w:rsid w:val="004C3304"/>
    <w:rPr>
      <w:color w:val="605E5C"/>
      <w:shd w:val="clear" w:color="auto" w:fill="E1DFDD"/>
    </w:rPr>
  </w:style>
  <w:style w:type="paragraph" w:customStyle="1" w:styleId="paragraph">
    <w:name w:val="paragraph"/>
    <w:basedOn w:val="Normalny"/>
    <w:rsid w:val="00DA741A"/>
    <w:pPr>
      <w:spacing w:before="100" w:beforeAutospacing="1" w:after="100" w:afterAutospacing="1" w:line="240" w:lineRule="auto"/>
      <w:jc w:val="left"/>
    </w:pPr>
    <w:rPr>
      <w:rFonts w:ascii="Calibri" w:eastAsia="Calibri" w:hAnsi="Calibri" w:cs="Calibri"/>
      <w:color w:val="auto"/>
      <w:sz w:val="24"/>
      <w:szCs w:val="24"/>
      <w:lang w:eastAsia="pl-PL"/>
    </w:rPr>
  </w:style>
  <w:style w:type="character" w:customStyle="1" w:styleId="normaltextrun">
    <w:name w:val="normaltextrun"/>
    <w:basedOn w:val="Domylnaczcionkaakapitu"/>
    <w:rsid w:val="00DA741A"/>
  </w:style>
  <w:style w:type="character" w:customStyle="1" w:styleId="eop">
    <w:name w:val="eop"/>
    <w:basedOn w:val="Domylnaczcionkaakapitu"/>
    <w:rsid w:val="00DA741A"/>
  </w:style>
  <w:style w:type="paragraph" w:customStyle="1" w:styleId="styles">
    <w:name w:val="styles"/>
    <w:basedOn w:val="Akapitzlist"/>
    <w:qFormat/>
    <w:rsid w:val="000069B4"/>
    <w:pPr>
      <w:numPr>
        <w:numId w:val="0"/>
      </w:numPr>
      <w:spacing w:after="0"/>
      <w:ind w:left="587" w:hanging="360"/>
      <w:contextualSpacing/>
    </w:pPr>
    <w:rPr>
      <w:color w:val="auto"/>
      <w:sz w:val="16"/>
      <w:szCs w:val="16"/>
    </w:rPr>
  </w:style>
  <w:style w:type="character" w:customStyle="1" w:styleId="UnresolvedMention8">
    <w:name w:val="Unresolved Mention8"/>
    <w:basedOn w:val="Domylnaczcionkaakapitu"/>
    <w:uiPriority w:val="99"/>
    <w:semiHidden/>
    <w:unhideWhenUsed/>
    <w:rsid w:val="00DA741A"/>
    <w:rPr>
      <w:color w:val="605E5C"/>
      <w:shd w:val="clear" w:color="auto" w:fill="E1DFDD"/>
    </w:rPr>
  </w:style>
  <w:style w:type="table" w:customStyle="1" w:styleId="Tabela-Siatka6">
    <w:name w:val="Tabela - Siatka6"/>
    <w:basedOn w:val="Standardowy"/>
    <w:next w:val="Tabela-Siatka"/>
    <w:uiPriority w:val="39"/>
    <w:rsid w:val="006C14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tytu">
    <w:name w:val="Subtitle"/>
    <w:basedOn w:val="Normalny"/>
    <w:next w:val="Normalny"/>
    <w:link w:val="PodtytuZnak"/>
    <w:uiPriority w:val="11"/>
    <w:qFormat/>
    <w:rsid w:val="00080F7C"/>
    <w:pPr>
      <w:numPr>
        <w:ilvl w:val="1"/>
      </w:numPr>
      <w:spacing w:after="160"/>
    </w:pPr>
    <w:rPr>
      <w:rFonts w:eastAsiaTheme="minorEastAsia" w:cstheme="minorBidi"/>
      <w:color w:val="5A5A5A" w:themeColor="text1" w:themeTint="A5"/>
      <w:spacing w:val="15"/>
      <w:szCs w:val="22"/>
    </w:rPr>
  </w:style>
  <w:style w:type="character" w:customStyle="1" w:styleId="PodtytuZnak">
    <w:name w:val="Podtytuł Znak"/>
    <w:basedOn w:val="Domylnaczcionkaakapitu"/>
    <w:link w:val="Podtytu"/>
    <w:uiPriority w:val="11"/>
    <w:rsid w:val="00080F7C"/>
    <w:rPr>
      <w:rFonts w:eastAsiaTheme="minorEastAsia"/>
      <w:color w:val="5A5A5A" w:themeColor="text1" w:themeTint="A5"/>
      <w:spacing w:val="15"/>
    </w:rPr>
  </w:style>
  <w:style w:type="character" w:customStyle="1" w:styleId="Nierozpoznanawzmianka4">
    <w:name w:val="Nierozpoznana wzmianka4"/>
    <w:basedOn w:val="Domylnaczcionkaakapitu"/>
    <w:uiPriority w:val="99"/>
    <w:semiHidden/>
    <w:unhideWhenUsed/>
    <w:rsid w:val="00183F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89662">
      <w:bodyDiv w:val="1"/>
      <w:marLeft w:val="0"/>
      <w:marRight w:val="0"/>
      <w:marTop w:val="0"/>
      <w:marBottom w:val="0"/>
      <w:divBdr>
        <w:top w:val="none" w:sz="0" w:space="0" w:color="auto"/>
        <w:left w:val="none" w:sz="0" w:space="0" w:color="auto"/>
        <w:bottom w:val="none" w:sz="0" w:space="0" w:color="auto"/>
        <w:right w:val="none" w:sz="0" w:space="0" w:color="auto"/>
      </w:divBdr>
    </w:div>
    <w:div w:id="19815773">
      <w:bodyDiv w:val="1"/>
      <w:marLeft w:val="0"/>
      <w:marRight w:val="0"/>
      <w:marTop w:val="0"/>
      <w:marBottom w:val="0"/>
      <w:divBdr>
        <w:top w:val="none" w:sz="0" w:space="0" w:color="auto"/>
        <w:left w:val="none" w:sz="0" w:space="0" w:color="auto"/>
        <w:bottom w:val="none" w:sz="0" w:space="0" w:color="auto"/>
        <w:right w:val="none" w:sz="0" w:space="0" w:color="auto"/>
      </w:divBdr>
    </w:div>
    <w:div w:id="29885530">
      <w:bodyDiv w:val="1"/>
      <w:marLeft w:val="0"/>
      <w:marRight w:val="0"/>
      <w:marTop w:val="0"/>
      <w:marBottom w:val="0"/>
      <w:divBdr>
        <w:top w:val="none" w:sz="0" w:space="0" w:color="auto"/>
        <w:left w:val="none" w:sz="0" w:space="0" w:color="auto"/>
        <w:bottom w:val="none" w:sz="0" w:space="0" w:color="auto"/>
        <w:right w:val="none" w:sz="0" w:space="0" w:color="auto"/>
      </w:divBdr>
    </w:div>
    <w:div w:id="34087315">
      <w:bodyDiv w:val="1"/>
      <w:marLeft w:val="0"/>
      <w:marRight w:val="0"/>
      <w:marTop w:val="0"/>
      <w:marBottom w:val="0"/>
      <w:divBdr>
        <w:top w:val="none" w:sz="0" w:space="0" w:color="auto"/>
        <w:left w:val="none" w:sz="0" w:space="0" w:color="auto"/>
        <w:bottom w:val="none" w:sz="0" w:space="0" w:color="auto"/>
        <w:right w:val="none" w:sz="0" w:space="0" w:color="auto"/>
      </w:divBdr>
    </w:div>
    <w:div w:id="36785969">
      <w:bodyDiv w:val="1"/>
      <w:marLeft w:val="0"/>
      <w:marRight w:val="0"/>
      <w:marTop w:val="0"/>
      <w:marBottom w:val="0"/>
      <w:divBdr>
        <w:top w:val="none" w:sz="0" w:space="0" w:color="auto"/>
        <w:left w:val="none" w:sz="0" w:space="0" w:color="auto"/>
        <w:bottom w:val="none" w:sz="0" w:space="0" w:color="auto"/>
        <w:right w:val="none" w:sz="0" w:space="0" w:color="auto"/>
      </w:divBdr>
    </w:div>
    <w:div w:id="42599631">
      <w:bodyDiv w:val="1"/>
      <w:marLeft w:val="0"/>
      <w:marRight w:val="0"/>
      <w:marTop w:val="0"/>
      <w:marBottom w:val="0"/>
      <w:divBdr>
        <w:top w:val="none" w:sz="0" w:space="0" w:color="auto"/>
        <w:left w:val="none" w:sz="0" w:space="0" w:color="auto"/>
        <w:bottom w:val="none" w:sz="0" w:space="0" w:color="auto"/>
        <w:right w:val="none" w:sz="0" w:space="0" w:color="auto"/>
      </w:divBdr>
    </w:div>
    <w:div w:id="65882420">
      <w:bodyDiv w:val="1"/>
      <w:marLeft w:val="0"/>
      <w:marRight w:val="0"/>
      <w:marTop w:val="0"/>
      <w:marBottom w:val="0"/>
      <w:divBdr>
        <w:top w:val="none" w:sz="0" w:space="0" w:color="auto"/>
        <w:left w:val="none" w:sz="0" w:space="0" w:color="auto"/>
        <w:bottom w:val="none" w:sz="0" w:space="0" w:color="auto"/>
        <w:right w:val="none" w:sz="0" w:space="0" w:color="auto"/>
      </w:divBdr>
    </w:div>
    <w:div w:id="68357917">
      <w:bodyDiv w:val="1"/>
      <w:marLeft w:val="0"/>
      <w:marRight w:val="0"/>
      <w:marTop w:val="0"/>
      <w:marBottom w:val="0"/>
      <w:divBdr>
        <w:top w:val="none" w:sz="0" w:space="0" w:color="auto"/>
        <w:left w:val="none" w:sz="0" w:space="0" w:color="auto"/>
        <w:bottom w:val="none" w:sz="0" w:space="0" w:color="auto"/>
        <w:right w:val="none" w:sz="0" w:space="0" w:color="auto"/>
      </w:divBdr>
    </w:div>
    <w:div w:id="74128931">
      <w:bodyDiv w:val="1"/>
      <w:marLeft w:val="0"/>
      <w:marRight w:val="0"/>
      <w:marTop w:val="0"/>
      <w:marBottom w:val="0"/>
      <w:divBdr>
        <w:top w:val="none" w:sz="0" w:space="0" w:color="auto"/>
        <w:left w:val="none" w:sz="0" w:space="0" w:color="auto"/>
        <w:bottom w:val="none" w:sz="0" w:space="0" w:color="auto"/>
        <w:right w:val="none" w:sz="0" w:space="0" w:color="auto"/>
      </w:divBdr>
    </w:div>
    <w:div w:id="74674534">
      <w:bodyDiv w:val="1"/>
      <w:marLeft w:val="0"/>
      <w:marRight w:val="0"/>
      <w:marTop w:val="0"/>
      <w:marBottom w:val="0"/>
      <w:divBdr>
        <w:top w:val="none" w:sz="0" w:space="0" w:color="auto"/>
        <w:left w:val="none" w:sz="0" w:space="0" w:color="auto"/>
        <w:bottom w:val="none" w:sz="0" w:space="0" w:color="auto"/>
        <w:right w:val="none" w:sz="0" w:space="0" w:color="auto"/>
      </w:divBdr>
    </w:div>
    <w:div w:id="77023757">
      <w:bodyDiv w:val="1"/>
      <w:marLeft w:val="0"/>
      <w:marRight w:val="0"/>
      <w:marTop w:val="0"/>
      <w:marBottom w:val="0"/>
      <w:divBdr>
        <w:top w:val="none" w:sz="0" w:space="0" w:color="auto"/>
        <w:left w:val="none" w:sz="0" w:space="0" w:color="auto"/>
        <w:bottom w:val="none" w:sz="0" w:space="0" w:color="auto"/>
        <w:right w:val="none" w:sz="0" w:space="0" w:color="auto"/>
      </w:divBdr>
    </w:div>
    <w:div w:id="82529474">
      <w:bodyDiv w:val="1"/>
      <w:marLeft w:val="0"/>
      <w:marRight w:val="0"/>
      <w:marTop w:val="0"/>
      <w:marBottom w:val="0"/>
      <w:divBdr>
        <w:top w:val="none" w:sz="0" w:space="0" w:color="auto"/>
        <w:left w:val="none" w:sz="0" w:space="0" w:color="auto"/>
        <w:bottom w:val="none" w:sz="0" w:space="0" w:color="auto"/>
        <w:right w:val="none" w:sz="0" w:space="0" w:color="auto"/>
      </w:divBdr>
    </w:div>
    <w:div w:id="85228936">
      <w:bodyDiv w:val="1"/>
      <w:marLeft w:val="0"/>
      <w:marRight w:val="0"/>
      <w:marTop w:val="0"/>
      <w:marBottom w:val="0"/>
      <w:divBdr>
        <w:top w:val="none" w:sz="0" w:space="0" w:color="auto"/>
        <w:left w:val="none" w:sz="0" w:space="0" w:color="auto"/>
        <w:bottom w:val="none" w:sz="0" w:space="0" w:color="auto"/>
        <w:right w:val="none" w:sz="0" w:space="0" w:color="auto"/>
      </w:divBdr>
    </w:div>
    <w:div w:id="93941202">
      <w:bodyDiv w:val="1"/>
      <w:marLeft w:val="0"/>
      <w:marRight w:val="0"/>
      <w:marTop w:val="0"/>
      <w:marBottom w:val="0"/>
      <w:divBdr>
        <w:top w:val="none" w:sz="0" w:space="0" w:color="auto"/>
        <w:left w:val="none" w:sz="0" w:space="0" w:color="auto"/>
        <w:bottom w:val="none" w:sz="0" w:space="0" w:color="auto"/>
        <w:right w:val="none" w:sz="0" w:space="0" w:color="auto"/>
      </w:divBdr>
    </w:div>
    <w:div w:id="105471078">
      <w:bodyDiv w:val="1"/>
      <w:marLeft w:val="0"/>
      <w:marRight w:val="0"/>
      <w:marTop w:val="0"/>
      <w:marBottom w:val="0"/>
      <w:divBdr>
        <w:top w:val="none" w:sz="0" w:space="0" w:color="auto"/>
        <w:left w:val="none" w:sz="0" w:space="0" w:color="auto"/>
        <w:bottom w:val="none" w:sz="0" w:space="0" w:color="auto"/>
        <w:right w:val="none" w:sz="0" w:space="0" w:color="auto"/>
      </w:divBdr>
    </w:div>
    <w:div w:id="106043439">
      <w:bodyDiv w:val="1"/>
      <w:marLeft w:val="0"/>
      <w:marRight w:val="0"/>
      <w:marTop w:val="0"/>
      <w:marBottom w:val="0"/>
      <w:divBdr>
        <w:top w:val="none" w:sz="0" w:space="0" w:color="auto"/>
        <w:left w:val="none" w:sz="0" w:space="0" w:color="auto"/>
        <w:bottom w:val="none" w:sz="0" w:space="0" w:color="auto"/>
        <w:right w:val="none" w:sz="0" w:space="0" w:color="auto"/>
      </w:divBdr>
    </w:div>
    <w:div w:id="109597014">
      <w:bodyDiv w:val="1"/>
      <w:marLeft w:val="0"/>
      <w:marRight w:val="0"/>
      <w:marTop w:val="0"/>
      <w:marBottom w:val="0"/>
      <w:divBdr>
        <w:top w:val="none" w:sz="0" w:space="0" w:color="auto"/>
        <w:left w:val="none" w:sz="0" w:space="0" w:color="auto"/>
        <w:bottom w:val="none" w:sz="0" w:space="0" w:color="auto"/>
        <w:right w:val="none" w:sz="0" w:space="0" w:color="auto"/>
      </w:divBdr>
    </w:div>
    <w:div w:id="111435824">
      <w:bodyDiv w:val="1"/>
      <w:marLeft w:val="0"/>
      <w:marRight w:val="0"/>
      <w:marTop w:val="0"/>
      <w:marBottom w:val="0"/>
      <w:divBdr>
        <w:top w:val="none" w:sz="0" w:space="0" w:color="auto"/>
        <w:left w:val="none" w:sz="0" w:space="0" w:color="auto"/>
        <w:bottom w:val="none" w:sz="0" w:space="0" w:color="auto"/>
        <w:right w:val="none" w:sz="0" w:space="0" w:color="auto"/>
      </w:divBdr>
    </w:div>
    <w:div w:id="117921495">
      <w:bodyDiv w:val="1"/>
      <w:marLeft w:val="0"/>
      <w:marRight w:val="0"/>
      <w:marTop w:val="0"/>
      <w:marBottom w:val="0"/>
      <w:divBdr>
        <w:top w:val="none" w:sz="0" w:space="0" w:color="auto"/>
        <w:left w:val="none" w:sz="0" w:space="0" w:color="auto"/>
        <w:bottom w:val="none" w:sz="0" w:space="0" w:color="auto"/>
        <w:right w:val="none" w:sz="0" w:space="0" w:color="auto"/>
      </w:divBdr>
    </w:div>
    <w:div w:id="118844985">
      <w:bodyDiv w:val="1"/>
      <w:marLeft w:val="0"/>
      <w:marRight w:val="0"/>
      <w:marTop w:val="0"/>
      <w:marBottom w:val="0"/>
      <w:divBdr>
        <w:top w:val="none" w:sz="0" w:space="0" w:color="auto"/>
        <w:left w:val="none" w:sz="0" w:space="0" w:color="auto"/>
        <w:bottom w:val="none" w:sz="0" w:space="0" w:color="auto"/>
        <w:right w:val="none" w:sz="0" w:space="0" w:color="auto"/>
      </w:divBdr>
    </w:div>
    <w:div w:id="121921210">
      <w:bodyDiv w:val="1"/>
      <w:marLeft w:val="0"/>
      <w:marRight w:val="0"/>
      <w:marTop w:val="0"/>
      <w:marBottom w:val="0"/>
      <w:divBdr>
        <w:top w:val="none" w:sz="0" w:space="0" w:color="auto"/>
        <w:left w:val="none" w:sz="0" w:space="0" w:color="auto"/>
        <w:bottom w:val="none" w:sz="0" w:space="0" w:color="auto"/>
        <w:right w:val="none" w:sz="0" w:space="0" w:color="auto"/>
      </w:divBdr>
    </w:div>
    <w:div w:id="122622230">
      <w:bodyDiv w:val="1"/>
      <w:marLeft w:val="0"/>
      <w:marRight w:val="0"/>
      <w:marTop w:val="0"/>
      <w:marBottom w:val="0"/>
      <w:divBdr>
        <w:top w:val="none" w:sz="0" w:space="0" w:color="auto"/>
        <w:left w:val="none" w:sz="0" w:space="0" w:color="auto"/>
        <w:bottom w:val="none" w:sz="0" w:space="0" w:color="auto"/>
        <w:right w:val="none" w:sz="0" w:space="0" w:color="auto"/>
      </w:divBdr>
    </w:div>
    <w:div w:id="124739655">
      <w:bodyDiv w:val="1"/>
      <w:marLeft w:val="0"/>
      <w:marRight w:val="0"/>
      <w:marTop w:val="0"/>
      <w:marBottom w:val="0"/>
      <w:divBdr>
        <w:top w:val="none" w:sz="0" w:space="0" w:color="auto"/>
        <w:left w:val="none" w:sz="0" w:space="0" w:color="auto"/>
        <w:bottom w:val="none" w:sz="0" w:space="0" w:color="auto"/>
        <w:right w:val="none" w:sz="0" w:space="0" w:color="auto"/>
      </w:divBdr>
    </w:div>
    <w:div w:id="134807771">
      <w:bodyDiv w:val="1"/>
      <w:marLeft w:val="0"/>
      <w:marRight w:val="0"/>
      <w:marTop w:val="0"/>
      <w:marBottom w:val="0"/>
      <w:divBdr>
        <w:top w:val="none" w:sz="0" w:space="0" w:color="auto"/>
        <w:left w:val="none" w:sz="0" w:space="0" w:color="auto"/>
        <w:bottom w:val="none" w:sz="0" w:space="0" w:color="auto"/>
        <w:right w:val="none" w:sz="0" w:space="0" w:color="auto"/>
      </w:divBdr>
    </w:div>
    <w:div w:id="141192200">
      <w:bodyDiv w:val="1"/>
      <w:marLeft w:val="0"/>
      <w:marRight w:val="0"/>
      <w:marTop w:val="0"/>
      <w:marBottom w:val="0"/>
      <w:divBdr>
        <w:top w:val="none" w:sz="0" w:space="0" w:color="auto"/>
        <w:left w:val="none" w:sz="0" w:space="0" w:color="auto"/>
        <w:bottom w:val="none" w:sz="0" w:space="0" w:color="auto"/>
        <w:right w:val="none" w:sz="0" w:space="0" w:color="auto"/>
      </w:divBdr>
    </w:div>
    <w:div w:id="145711208">
      <w:bodyDiv w:val="1"/>
      <w:marLeft w:val="0"/>
      <w:marRight w:val="0"/>
      <w:marTop w:val="0"/>
      <w:marBottom w:val="0"/>
      <w:divBdr>
        <w:top w:val="none" w:sz="0" w:space="0" w:color="auto"/>
        <w:left w:val="none" w:sz="0" w:space="0" w:color="auto"/>
        <w:bottom w:val="none" w:sz="0" w:space="0" w:color="auto"/>
        <w:right w:val="none" w:sz="0" w:space="0" w:color="auto"/>
      </w:divBdr>
    </w:div>
    <w:div w:id="156384983">
      <w:bodyDiv w:val="1"/>
      <w:marLeft w:val="0"/>
      <w:marRight w:val="0"/>
      <w:marTop w:val="0"/>
      <w:marBottom w:val="0"/>
      <w:divBdr>
        <w:top w:val="none" w:sz="0" w:space="0" w:color="auto"/>
        <w:left w:val="none" w:sz="0" w:space="0" w:color="auto"/>
        <w:bottom w:val="none" w:sz="0" w:space="0" w:color="auto"/>
        <w:right w:val="none" w:sz="0" w:space="0" w:color="auto"/>
      </w:divBdr>
    </w:div>
    <w:div w:id="160395482">
      <w:bodyDiv w:val="1"/>
      <w:marLeft w:val="0"/>
      <w:marRight w:val="0"/>
      <w:marTop w:val="0"/>
      <w:marBottom w:val="0"/>
      <w:divBdr>
        <w:top w:val="none" w:sz="0" w:space="0" w:color="auto"/>
        <w:left w:val="none" w:sz="0" w:space="0" w:color="auto"/>
        <w:bottom w:val="none" w:sz="0" w:space="0" w:color="auto"/>
        <w:right w:val="none" w:sz="0" w:space="0" w:color="auto"/>
      </w:divBdr>
    </w:div>
    <w:div w:id="169027797">
      <w:bodyDiv w:val="1"/>
      <w:marLeft w:val="0"/>
      <w:marRight w:val="0"/>
      <w:marTop w:val="0"/>
      <w:marBottom w:val="0"/>
      <w:divBdr>
        <w:top w:val="none" w:sz="0" w:space="0" w:color="auto"/>
        <w:left w:val="none" w:sz="0" w:space="0" w:color="auto"/>
        <w:bottom w:val="none" w:sz="0" w:space="0" w:color="auto"/>
        <w:right w:val="none" w:sz="0" w:space="0" w:color="auto"/>
      </w:divBdr>
    </w:div>
    <w:div w:id="177694594">
      <w:bodyDiv w:val="1"/>
      <w:marLeft w:val="0"/>
      <w:marRight w:val="0"/>
      <w:marTop w:val="0"/>
      <w:marBottom w:val="0"/>
      <w:divBdr>
        <w:top w:val="none" w:sz="0" w:space="0" w:color="auto"/>
        <w:left w:val="none" w:sz="0" w:space="0" w:color="auto"/>
        <w:bottom w:val="none" w:sz="0" w:space="0" w:color="auto"/>
        <w:right w:val="none" w:sz="0" w:space="0" w:color="auto"/>
      </w:divBdr>
    </w:div>
    <w:div w:id="182787344">
      <w:bodyDiv w:val="1"/>
      <w:marLeft w:val="0"/>
      <w:marRight w:val="0"/>
      <w:marTop w:val="0"/>
      <w:marBottom w:val="0"/>
      <w:divBdr>
        <w:top w:val="none" w:sz="0" w:space="0" w:color="auto"/>
        <w:left w:val="none" w:sz="0" w:space="0" w:color="auto"/>
        <w:bottom w:val="none" w:sz="0" w:space="0" w:color="auto"/>
        <w:right w:val="none" w:sz="0" w:space="0" w:color="auto"/>
      </w:divBdr>
    </w:div>
    <w:div w:id="187766737">
      <w:bodyDiv w:val="1"/>
      <w:marLeft w:val="0"/>
      <w:marRight w:val="0"/>
      <w:marTop w:val="0"/>
      <w:marBottom w:val="0"/>
      <w:divBdr>
        <w:top w:val="none" w:sz="0" w:space="0" w:color="auto"/>
        <w:left w:val="none" w:sz="0" w:space="0" w:color="auto"/>
        <w:bottom w:val="none" w:sz="0" w:space="0" w:color="auto"/>
        <w:right w:val="none" w:sz="0" w:space="0" w:color="auto"/>
      </w:divBdr>
    </w:div>
    <w:div w:id="191571807">
      <w:bodyDiv w:val="1"/>
      <w:marLeft w:val="0"/>
      <w:marRight w:val="0"/>
      <w:marTop w:val="0"/>
      <w:marBottom w:val="0"/>
      <w:divBdr>
        <w:top w:val="none" w:sz="0" w:space="0" w:color="auto"/>
        <w:left w:val="none" w:sz="0" w:space="0" w:color="auto"/>
        <w:bottom w:val="none" w:sz="0" w:space="0" w:color="auto"/>
        <w:right w:val="none" w:sz="0" w:space="0" w:color="auto"/>
      </w:divBdr>
    </w:div>
    <w:div w:id="193662026">
      <w:bodyDiv w:val="1"/>
      <w:marLeft w:val="0"/>
      <w:marRight w:val="0"/>
      <w:marTop w:val="0"/>
      <w:marBottom w:val="0"/>
      <w:divBdr>
        <w:top w:val="none" w:sz="0" w:space="0" w:color="auto"/>
        <w:left w:val="none" w:sz="0" w:space="0" w:color="auto"/>
        <w:bottom w:val="none" w:sz="0" w:space="0" w:color="auto"/>
        <w:right w:val="none" w:sz="0" w:space="0" w:color="auto"/>
      </w:divBdr>
    </w:div>
    <w:div w:id="211502375">
      <w:bodyDiv w:val="1"/>
      <w:marLeft w:val="0"/>
      <w:marRight w:val="0"/>
      <w:marTop w:val="0"/>
      <w:marBottom w:val="0"/>
      <w:divBdr>
        <w:top w:val="none" w:sz="0" w:space="0" w:color="auto"/>
        <w:left w:val="none" w:sz="0" w:space="0" w:color="auto"/>
        <w:bottom w:val="none" w:sz="0" w:space="0" w:color="auto"/>
        <w:right w:val="none" w:sz="0" w:space="0" w:color="auto"/>
      </w:divBdr>
    </w:div>
    <w:div w:id="213588063">
      <w:bodyDiv w:val="1"/>
      <w:marLeft w:val="0"/>
      <w:marRight w:val="0"/>
      <w:marTop w:val="0"/>
      <w:marBottom w:val="0"/>
      <w:divBdr>
        <w:top w:val="none" w:sz="0" w:space="0" w:color="auto"/>
        <w:left w:val="none" w:sz="0" w:space="0" w:color="auto"/>
        <w:bottom w:val="none" w:sz="0" w:space="0" w:color="auto"/>
        <w:right w:val="none" w:sz="0" w:space="0" w:color="auto"/>
      </w:divBdr>
    </w:div>
    <w:div w:id="214901273">
      <w:bodyDiv w:val="1"/>
      <w:marLeft w:val="0"/>
      <w:marRight w:val="0"/>
      <w:marTop w:val="0"/>
      <w:marBottom w:val="0"/>
      <w:divBdr>
        <w:top w:val="none" w:sz="0" w:space="0" w:color="auto"/>
        <w:left w:val="none" w:sz="0" w:space="0" w:color="auto"/>
        <w:bottom w:val="none" w:sz="0" w:space="0" w:color="auto"/>
        <w:right w:val="none" w:sz="0" w:space="0" w:color="auto"/>
      </w:divBdr>
      <w:divsChild>
        <w:div w:id="1163545048">
          <w:marLeft w:val="0"/>
          <w:marRight w:val="0"/>
          <w:marTop w:val="0"/>
          <w:marBottom w:val="0"/>
          <w:divBdr>
            <w:top w:val="none" w:sz="0" w:space="0" w:color="auto"/>
            <w:left w:val="none" w:sz="0" w:space="0" w:color="auto"/>
            <w:bottom w:val="none" w:sz="0" w:space="0" w:color="auto"/>
            <w:right w:val="none" w:sz="0" w:space="0" w:color="auto"/>
          </w:divBdr>
        </w:div>
        <w:div w:id="1267156933">
          <w:marLeft w:val="0"/>
          <w:marRight w:val="0"/>
          <w:marTop w:val="0"/>
          <w:marBottom w:val="0"/>
          <w:divBdr>
            <w:top w:val="none" w:sz="0" w:space="0" w:color="auto"/>
            <w:left w:val="none" w:sz="0" w:space="0" w:color="auto"/>
            <w:bottom w:val="none" w:sz="0" w:space="0" w:color="auto"/>
            <w:right w:val="none" w:sz="0" w:space="0" w:color="auto"/>
          </w:divBdr>
        </w:div>
        <w:div w:id="1323654376">
          <w:marLeft w:val="0"/>
          <w:marRight w:val="0"/>
          <w:marTop w:val="0"/>
          <w:marBottom w:val="0"/>
          <w:divBdr>
            <w:top w:val="none" w:sz="0" w:space="0" w:color="auto"/>
            <w:left w:val="none" w:sz="0" w:space="0" w:color="auto"/>
            <w:bottom w:val="none" w:sz="0" w:space="0" w:color="auto"/>
            <w:right w:val="none" w:sz="0" w:space="0" w:color="auto"/>
          </w:divBdr>
        </w:div>
        <w:div w:id="2033068814">
          <w:marLeft w:val="0"/>
          <w:marRight w:val="0"/>
          <w:marTop w:val="0"/>
          <w:marBottom w:val="0"/>
          <w:divBdr>
            <w:top w:val="none" w:sz="0" w:space="0" w:color="auto"/>
            <w:left w:val="none" w:sz="0" w:space="0" w:color="auto"/>
            <w:bottom w:val="none" w:sz="0" w:space="0" w:color="auto"/>
            <w:right w:val="none" w:sz="0" w:space="0" w:color="auto"/>
          </w:divBdr>
        </w:div>
      </w:divsChild>
    </w:div>
    <w:div w:id="239481856">
      <w:bodyDiv w:val="1"/>
      <w:marLeft w:val="0"/>
      <w:marRight w:val="0"/>
      <w:marTop w:val="0"/>
      <w:marBottom w:val="0"/>
      <w:divBdr>
        <w:top w:val="none" w:sz="0" w:space="0" w:color="auto"/>
        <w:left w:val="none" w:sz="0" w:space="0" w:color="auto"/>
        <w:bottom w:val="none" w:sz="0" w:space="0" w:color="auto"/>
        <w:right w:val="none" w:sz="0" w:space="0" w:color="auto"/>
      </w:divBdr>
    </w:div>
    <w:div w:id="249659123">
      <w:bodyDiv w:val="1"/>
      <w:marLeft w:val="0"/>
      <w:marRight w:val="0"/>
      <w:marTop w:val="0"/>
      <w:marBottom w:val="0"/>
      <w:divBdr>
        <w:top w:val="none" w:sz="0" w:space="0" w:color="auto"/>
        <w:left w:val="none" w:sz="0" w:space="0" w:color="auto"/>
        <w:bottom w:val="none" w:sz="0" w:space="0" w:color="auto"/>
        <w:right w:val="none" w:sz="0" w:space="0" w:color="auto"/>
      </w:divBdr>
    </w:div>
    <w:div w:id="259484322">
      <w:bodyDiv w:val="1"/>
      <w:marLeft w:val="0"/>
      <w:marRight w:val="0"/>
      <w:marTop w:val="0"/>
      <w:marBottom w:val="0"/>
      <w:divBdr>
        <w:top w:val="none" w:sz="0" w:space="0" w:color="auto"/>
        <w:left w:val="none" w:sz="0" w:space="0" w:color="auto"/>
        <w:bottom w:val="none" w:sz="0" w:space="0" w:color="auto"/>
        <w:right w:val="none" w:sz="0" w:space="0" w:color="auto"/>
      </w:divBdr>
    </w:div>
    <w:div w:id="261374406">
      <w:bodyDiv w:val="1"/>
      <w:marLeft w:val="0"/>
      <w:marRight w:val="0"/>
      <w:marTop w:val="0"/>
      <w:marBottom w:val="0"/>
      <w:divBdr>
        <w:top w:val="none" w:sz="0" w:space="0" w:color="auto"/>
        <w:left w:val="none" w:sz="0" w:space="0" w:color="auto"/>
        <w:bottom w:val="none" w:sz="0" w:space="0" w:color="auto"/>
        <w:right w:val="none" w:sz="0" w:space="0" w:color="auto"/>
      </w:divBdr>
    </w:div>
    <w:div w:id="262688037">
      <w:bodyDiv w:val="1"/>
      <w:marLeft w:val="0"/>
      <w:marRight w:val="0"/>
      <w:marTop w:val="0"/>
      <w:marBottom w:val="0"/>
      <w:divBdr>
        <w:top w:val="none" w:sz="0" w:space="0" w:color="auto"/>
        <w:left w:val="none" w:sz="0" w:space="0" w:color="auto"/>
        <w:bottom w:val="none" w:sz="0" w:space="0" w:color="auto"/>
        <w:right w:val="none" w:sz="0" w:space="0" w:color="auto"/>
      </w:divBdr>
    </w:div>
    <w:div w:id="269435307">
      <w:bodyDiv w:val="1"/>
      <w:marLeft w:val="0"/>
      <w:marRight w:val="0"/>
      <w:marTop w:val="0"/>
      <w:marBottom w:val="0"/>
      <w:divBdr>
        <w:top w:val="none" w:sz="0" w:space="0" w:color="auto"/>
        <w:left w:val="none" w:sz="0" w:space="0" w:color="auto"/>
        <w:bottom w:val="none" w:sz="0" w:space="0" w:color="auto"/>
        <w:right w:val="none" w:sz="0" w:space="0" w:color="auto"/>
      </w:divBdr>
    </w:div>
    <w:div w:id="270213274">
      <w:bodyDiv w:val="1"/>
      <w:marLeft w:val="0"/>
      <w:marRight w:val="0"/>
      <w:marTop w:val="0"/>
      <w:marBottom w:val="0"/>
      <w:divBdr>
        <w:top w:val="none" w:sz="0" w:space="0" w:color="auto"/>
        <w:left w:val="none" w:sz="0" w:space="0" w:color="auto"/>
        <w:bottom w:val="none" w:sz="0" w:space="0" w:color="auto"/>
        <w:right w:val="none" w:sz="0" w:space="0" w:color="auto"/>
      </w:divBdr>
    </w:div>
    <w:div w:id="270747650">
      <w:bodyDiv w:val="1"/>
      <w:marLeft w:val="0"/>
      <w:marRight w:val="0"/>
      <w:marTop w:val="0"/>
      <w:marBottom w:val="0"/>
      <w:divBdr>
        <w:top w:val="none" w:sz="0" w:space="0" w:color="auto"/>
        <w:left w:val="none" w:sz="0" w:space="0" w:color="auto"/>
        <w:bottom w:val="none" w:sz="0" w:space="0" w:color="auto"/>
        <w:right w:val="none" w:sz="0" w:space="0" w:color="auto"/>
      </w:divBdr>
    </w:div>
    <w:div w:id="272247302">
      <w:bodyDiv w:val="1"/>
      <w:marLeft w:val="0"/>
      <w:marRight w:val="0"/>
      <w:marTop w:val="0"/>
      <w:marBottom w:val="0"/>
      <w:divBdr>
        <w:top w:val="none" w:sz="0" w:space="0" w:color="auto"/>
        <w:left w:val="none" w:sz="0" w:space="0" w:color="auto"/>
        <w:bottom w:val="none" w:sz="0" w:space="0" w:color="auto"/>
        <w:right w:val="none" w:sz="0" w:space="0" w:color="auto"/>
      </w:divBdr>
    </w:div>
    <w:div w:id="282657781">
      <w:bodyDiv w:val="1"/>
      <w:marLeft w:val="0"/>
      <w:marRight w:val="0"/>
      <w:marTop w:val="0"/>
      <w:marBottom w:val="0"/>
      <w:divBdr>
        <w:top w:val="none" w:sz="0" w:space="0" w:color="auto"/>
        <w:left w:val="none" w:sz="0" w:space="0" w:color="auto"/>
        <w:bottom w:val="none" w:sz="0" w:space="0" w:color="auto"/>
        <w:right w:val="none" w:sz="0" w:space="0" w:color="auto"/>
      </w:divBdr>
    </w:div>
    <w:div w:id="292760430">
      <w:bodyDiv w:val="1"/>
      <w:marLeft w:val="0"/>
      <w:marRight w:val="0"/>
      <w:marTop w:val="0"/>
      <w:marBottom w:val="0"/>
      <w:divBdr>
        <w:top w:val="none" w:sz="0" w:space="0" w:color="auto"/>
        <w:left w:val="none" w:sz="0" w:space="0" w:color="auto"/>
        <w:bottom w:val="none" w:sz="0" w:space="0" w:color="auto"/>
        <w:right w:val="none" w:sz="0" w:space="0" w:color="auto"/>
      </w:divBdr>
    </w:div>
    <w:div w:id="298263068">
      <w:bodyDiv w:val="1"/>
      <w:marLeft w:val="0"/>
      <w:marRight w:val="0"/>
      <w:marTop w:val="0"/>
      <w:marBottom w:val="0"/>
      <w:divBdr>
        <w:top w:val="none" w:sz="0" w:space="0" w:color="auto"/>
        <w:left w:val="none" w:sz="0" w:space="0" w:color="auto"/>
        <w:bottom w:val="none" w:sz="0" w:space="0" w:color="auto"/>
        <w:right w:val="none" w:sz="0" w:space="0" w:color="auto"/>
      </w:divBdr>
    </w:div>
    <w:div w:id="302391023">
      <w:bodyDiv w:val="1"/>
      <w:marLeft w:val="0"/>
      <w:marRight w:val="0"/>
      <w:marTop w:val="0"/>
      <w:marBottom w:val="0"/>
      <w:divBdr>
        <w:top w:val="none" w:sz="0" w:space="0" w:color="auto"/>
        <w:left w:val="none" w:sz="0" w:space="0" w:color="auto"/>
        <w:bottom w:val="none" w:sz="0" w:space="0" w:color="auto"/>
        <w:right w:val="none" w:sz="0" w:space="0" w:color="auto"/>
      </w:divBdr>
    </w:div>
    <w:div w:id="305935917">
      <w:bodyDiv w:val="1"/>
      <w:marLeft w:val="0"/>
      <w:marRight w:val="0"/>
      <w:marTop w:val="0"/>
      <w:marBottom w:val="0"/>
      <w:divBdr>
        <w:top w:val="none" w:sz="0" w:space="0" w:color="auto"/>
        <w:left w:val="none" w:sz="0" w:space="0" w:color="auto"/>
        <w:bottom w:val="none" w:sz="0" w:space="0" w:color="auto"/>
        <w:right w:val="none" w:sz="0" w:space="0" w:color="auto"/>
      </w:divBdr>
    </w:div>
    <w:div w:id="306665737">
      <w:bodyDiv w:val="1"/>
      <w:marLeft w:val="0"/>
      <w:marRight w:val="0"/>
      <w:marTop w:val="0"/>
      <w:marBottom w:val="0"/>
      <w:divBdr>
        <w:top w:val="none" w:sz="0" w:space="0" w:color="auto"/>
        <w:left w:val="none" w:sz="0" w:space="0" w:color="auto"/>
        <w:bottom w:val="none" w:sz="0" w:space="0" w:color="auto"/>
        <w:right w:val="none" w:sz="0" w:space="0" w:color="auto"/>
      </w:divBdr>
    </w:div>
    <w:div w:id="308019612">
      <w:bodyDiv w:val="1"/>
      <w:marLeft w:val="0"/>
      <w:marRight w:val="0"/>
      <w:marTop w:val="0"/>
      <w:marBottom w:val="0"/>
      <w:divBdr>
        <w:top w:val="none" w:sz="0" w:space="0" w:color="auto"/>
        <w:left w:val="none" w:sz="0" w:space="0" w:color="auto"/>
        <w:bottom w:val="none" w:sz="0" w:space="0" w:color="auto"/>
        <w:right w:val="none" w:sz="0" w:space="0" w:color="auto"/>
      </w:divBdr>
    </w:div>
    <w:div w:id="309483758">
      <w:bodyDiv w:val="1"/>
      <w:marLeft w:val="0"/>
      <w:marRight w:val="0"/>
      <w:marTop w:val="0"/>
      <w:marBottom w:val="0"/>
      <w:divBdr>
        <w:top w:val="none" w:sz="0" w:space="0" w:color="auto"/>
        <w:left w:val="none" w:sz="0" w:space="0" w:color="auto"/>
        <w:bottom w:val="none" w:sz="0" w:space="0" w:color="auto"/>
        <w:right w:val="none" w:sz="0" w:space="0" w:color="auto"/>
      </w:divBdr>
    </w:div>
    <w:div w:id="310989067">
      <w:bodyDiv w:val="1"/>
      <w:marLeft w:val="0"/>
      <w:marRight w:val="0"/>
      <w:marTop w:val="0"/>
      <w:marBottom w:val="0"/>
      <w:divBdr>
        <w:top w:val="none" w:sz="0" w:space="0" w:color="auto"/>
        <w:left w:val="none" w:sz="0" w:space="0" w:color="auto"/>
        <w:bottom w:val="none" w:sz="0" w:space="0" w:color="auto"/>
        <w:right w:val="none" w:sz="0" w:space="0" w:color="auto"/>
      </w:divBdr>
    </w:div>
    <w:div w:id="311839312">
      <w:bodyDiv w:val="1"/>
      <w:marLeft w:val="0"/>
      <w:marRight w:val="0"/>
      <w:marTop w:val="0"/>
      <w:marBottom w:val="0"/>
      <w:divBdr>
        <w:top w:val="none" w:sz="0" w:space="0" w:color="auto"/>
        <w:left w:val="none" w:sz="0" w:space="0" w:color="auto"/>
        <w:bottom w:val="none" w:sz="0" w:space="0" w:color="auto"/>
        <w:right w:val="none" w:sz="0" w:space="0" w:color="auto"/>
      </w:divBdr>
    </w:div>
    <w:div w:id="314578579">
      <w:bodyDiv w:val="1"/>
      <w:marLeft w:val="0"/>
      <w:marRight w:val="0"/>
      <w:marTop w:val="0"/>
      <w:marBottom w:val="0"/>
      <w:divBdr>
        <w:top w:val="none" w:sz="0" w:space="0" w:color="auto"/>
        <w:left w:val="none" w:sz="0" w:space="0" w:color="auto"/>
        <w:bottom w:val="none" w:sz="0" w:space="0" w:color="auto"/>
        <w:right w:val="none" w:sz="0" w:space="0" w:color="auto"/>
      </w:divBdr>
    </w:div>
    <w:div w:id="316302865">
      <w:bodyDiv w:val="1"/>
      <w:marLeft w:val="0"/>
      <w:marRight w:val="0"/>
      <w:marTop w:val="0"/>
      <w:marBottom w:val="0"/>
      <w:divBdr>
        <w:top w:val="none" w:sz="0" w:space="0" w:color="auto"/>
        <w:left w:val="none" w:sz="0" w:space="0" w:color="auto"/>
        <w:bottom w:val="none" w:sz="0" w:space="0" w:color="auto"/>
        <w:right w:val="none" w:sz="0" w:space="0" w:color="auto"/>
      </w:divBdr>
    </w:div>
    <w:div w:id="317920784">
      <w:bodyDiv w:val="1"/>
      <w:marLeft w:val="0"/>
      <w:marRight w:val="0"/>
      <w:marTop w:val="0"/>
      <w:marBottom w:val="0"/>
      <w:divBdr>
        <w:top w:val="none" w:sz="0" w:space="0" w:color="auto"/>
        <w:left w:val="none" w:sz="0" w:space="0" w:color="auto"/>
        <w:bottom w:val="none" w:sz="0" w:space="0" w:color="auto"/>
        <w:right w:val="none" w:sz="0" w:space="0" w:color="auto"/>
      </w:divBdr>
    </w:div>
    <w:div w:id="319621121">
      <w:bodyDiv w:val="1"/>
      <w:marLeft w:val="0"/>
      <w:marRight w:val="0"/>
      <w:marTop w:val="0"/>
      <w:marBottom w:val="0"/>
      <w:divBdr>
        <w:top w:val="none" w:sz="0" w:space="0" w:color="auto"/>
        <w:left w:val="none" w:sz="0" w:space="0" w:color="auto"/>
        <w:bottom w:val="none" w:sz="0" w:space="0" w:color="auto"/>
        <w:right w:val="none" w:sz="0" w:space="0" w:color="auto"/>
      </w:divBdr>
    </w:div>
    <w:div w:id="322467595">
      <w:bodyDiv w:val="1"/>
      <w:marLeft w:val="0"/>
      <w:marRight w:val="0"/>
      <w:marTop w:val="0"/>
      <w:marBottom w:val="0"/>
      <w:divBdr>
        <w:top w:val="none" w:sz="0" w:space="0" w:color="auto"/>
        <w:left w:val="none" w:sz="0" w:space="0" w:color="auto"/>
        <w:bottom w:val="none" w:sz="0" w:space="0" w:color="auto"/>
        <w:right w:val="none" w:sz="0" w:space="0" w:color="auto"/>
      </w:divBdr>
    </w:div>
    <w:div w:id="327446908">
      <w:bodyDiv w:val="1"/>
      <w:marLeft w:val="0"/>
      <w:marRight w:val="0"/>
      <w:marTop w:val="0"/>
      <w:marBottom w:val="0"/>
      <w:divBdr>
        <w:top w:val="none" w:sz="0" w:space="0" w:color="auto"/>
        <w:left w:val="none" w:sz="0" w:space="0" w:color="auto"/>
        <w:bottom w:val="none" w:sz="0" w:space="0" w:color="auto"/>
        <w:right w:val="none" w:sz="0" w:space="0" w:color="auto"/>
      </w:divBdr>
    </w:div>
    <w:div w:id="329410634">
      <w:bodyDiv w:val="1"/>
      <w:marLeft w:val="0"/>
      <w:marRight w:val="0"/>
      <w:marTop w:val="0"/>
      <w:marBottom w:val="0"/>
      <w:divBdr>
        <w:top w:val="none" w:sz="0" w:space="0" w:color="auto"/>
        <w:left w:val="none" w:sz="0" w:space="0" w:color="auto"/>
        <w:bottom w:val="none" w:sz="0" w:space="0" w:color="auto"/>
        <w:right w:val="none" w:sz="0" w:space="0" w:color="auto"/>
      </w:divBdr>
    </w:div>
    <w:div w:id="334501290">
      <w:bodyDiv w:val="1"/>
      <w:marLeft w:val="0"/>
      <w:marRight w:val="0"/>
      <w:marTop w:val="0"/>
      <w:marBottom w:val="0"/>
      <w:divBdr>
        <w:top w:val="none" w:sz="0" w:space="0" w:color="auto"/>
        <w:left w:val="none" w:sz="0" w:space="0" w:color="auto"/>
        <w:bottom w:val="none" w:sz="0" w:space="0" w:color="auto"/>
        <w:right w:val="none" w:sz="0" w:space="0" w:color="auto"/>
      </w:divBdr>
    </w:div>
    <w:div w:id="335499020">
      <w:bodyDiv w:val="1"/>
      <w:marLeft w:val="0"/>
      <w:marRight w:val="0"/>
      <w:marTop w:val="0"/>
      <w:marBottom w:val="0"/>
      <w:divBdr>
        <w:top w:val="none" w:sz="0" w:space="0" w:color="auto"/>
        <w:left w:val="none" w:sz="0" w:space="0" w:color="auto"/>
        <w:bottom w:val="none" w:sz="0" w:space="0" w:color="auto"/>
        <w:right w:val="none" w:sz="0" w:space="0" w:color="auto"/>
      </w:divBdr>
    </w:div>
    <w:div w:id="350568439">
      <w:bodyDiv w:val="1"/>
      <w:marLeft w:val="0"/>
      <w:marRight w:val="0"/>
      <w:marTop w:val="0"/>
      <w:marBottom w:val="0"/>
      <w:divBdr>
        <w:top w:val="none" w:sz="0" w:space="0" w:color="auto"/>
        <w:left w:val="none" w:sz="0" w:space="0" w:color="auto"/>
        <w:bottom w:val="none" w:sz="0" w:space="0" w:color="auto"/>
        <w:right w:val="none" w:sz="0" w:space="0" w:color="auto"/>
      </w:divBdr>
    </w:div>
    <w:div w:id="359362253">
      <w:bodyDiv w:val="1"/>
      <w:marLeft w:val="0"/>
      <w:marRight w:val="0"/>
      <w:marTop w:val="0"/>
      <w:marBottom w:val="0"/>
      <w:divBdr>
        <w:top w:val="none" w:sz="0" w:space="0" w:color="auto"/>
        <w:left w:val="none" w:sz="0" w:space="0" w:color="auto"/>
        <w:bottom w:val="none" w:sz="0" w:space="0" w:color="auto"/>
        <w:right w:val="none" w:sz="0" w:space="0" w:color="auto"/>
      </w:divBdr>
    </w:div>
    <w:div w:id="366099647">
      <w:bodyDiv w:val="1"/>
      <w:marLeft w:val="0"/>
      <w:marRight w:val="0"/>
      <w:marTop w:val="0"/>
      <w:marBottom w:val="0"/>
      <w:divBdr>
        <w:top w:val="none" w:sz="0" w:space="0" w:color="auto"/>
        <w:left w:val="none" w:sz="0" w:space="0" w:color="auto"/>
        <w:bottom w:val="none" w:sz="0" w:space="0" w:color="auto"/>
        <w:right w:val="none" w:sz="0" w:space="0" w:color="auto"/>
      </w:divBdr>
    </w:div>
    <w:div w:id="368797377">
      <w:bodyDiv w:val="1"/>
      <w:marLeft w:val="0"/>
      <w:marRight w:val="0"/>
      <w:marTop w:val="0"/>
      <w:marBottom w:val="0"/>
      <w:divBdr>
        <w:top w:val="none" w:sz="0" w:space="0" w:color="auto"/>
        <w:left w:val="none" w:sz="0" w:space="0" w:color="auto"/>
        <w:bottom w:val="none" w:sz="0" w:space="0" w:color="auto"/>
        <w:right w:val="none" w:sz="0" w:space="0" w:color="auto"/>
      </w:divBdr>
    </w:div>
    <w:div w:id="375273397">
      <w:bodyDiv w:val="1"/>
      <w:marLeft w:val="0"/>
      <w:marRight w:val="0"/>
      <w:marTop w:val="0"/>
      <w:marBottom w:val="0"/>
      <w:divBdr>
        <w:top w:val="none" w:sz="0" w:space="0" w:color="auto"/>
        <w:left w:val="none" w:sz="0" w:space="0" w:color="auto"/>
        <w:bottom w:val="none" w:sz="0" w:space="0" w:color="auto"/>
        <w:right w:val="none" w:sz="0" w:space="0" w:color="auto"/>
      </w:divBdr>
    </w:div>
    <w:div w:id="387923074">
      <w:bodyDiv w:val="1"/>
      <w:marLeft w:val="0"/>
      <w:marRight w:val="0"/>
      <w:marTop w:val="0"/>
      <w:marBottom w:val="0"/>
      <w:divBdr>
        <w:top w:val="none" w:sz="0" w:space="0" w:color="auto"/>
        <w:left w:val="none" w:sz="0" w:space="0" w:color="auto"/>
        <w:bottom w:val="none" w:sz="0" w:space="0" w:color="auto"/>
        <w:right w:val="none" w:sz="0" w:space="0" w:color="auto"/>
      </w:divBdr>
    </w:div>
    <w:div w:id="393237746">
      <w:bodyDiv w:val="1"/>
      <w:marLeft w:val="0"/>
      <w:marRight w:val="0"/>
      <w:marTop w:val="0"/>
      <w:marBottom w:val="0"/>
      <w:divBdr>
        <w:top w:val="none" w:sz="0" w:space="0" w:color="auto"/>
        <w:left w:val="none" w:sz="0" w:space="0" w:color="auto"/>
        <w:bottom w:val="none" w:sz="0" w:space="0" w:color="auto"/>
        <w:right w:val="none" w:sz="0" w:space="0" w:color="auto"/>
      </w:divBdr>
    </w:div>
    <w:div w:id="405080604">
      <w:bodyDiv w:val="1"/>
      <w:marLeft w:val="0"/>
      <w:marRight w:val="0"/>
      <w:marTop w:val="0"/>
      <w:marBottom w:val="0"/>
      <w:divBdr>
        <w:top w:val="none" w:sz="0" w:space="0" w:color="auto"/>
        <w:left w:val="none" w:sz="0" w:space="0" w:color="auto"/>
        <w:bottom w:val="none" w:sz="0" w:space="0" w:color="auto"/>
        <w:right w:val="none" w:sz="0" w:space="0" w:color="auto"/>
      </w:divBdr>
    </w:div>
    <w:div w:id="409229233">
      <w:bodyDiv w:val="1"/>
      <w:marLeft w:val="0"/>
      <w:marRight w:val="0"/>
      <w:marTop w:val="0"/>
      <w:marBottom w:val="0"/>
      <w:divBdr>
        <w:top w:val="none" w:sz="0" w:space="0" w:color="auto"/>
        <w:left w:val="none" w:sz="0" w:space="0" w:color="auto"/>
        <w:bottom w:val="none" w:sz="0" w:space="0" w:color="auto"/>
        <w:right w:val="none" w:sz="0" w:space="0" w:color="auto"/>
      </w:divBdr>
    </w:div>
    <w:div w:id="412628227">
      <w:bodyDiv w:val="1"/>
      <w:marLeft w:val="0"/>
      <w:marRight w:val="0"/>
      <w:marTop w:val="0"/>
      <w:marBottom w:val="0"/>
      <w:divBdr>
        <w:top w:val="none" w:sz="0" w:space="0" w:color="auto"/>
        <w:left w:val="none" w:sz="0" w:space="0" w:color="auto"/>
        <w:bottom w:val="none" w:sz="0" w:space="0" w:color="auto"/>
        <w:right w:val="none" w:sz="0" w:space="0" w:color="auto"/>
      </w:divBdr>
    </w:div>
    <w:div w:id="421610440">
      <w:bodyDiv w:val="1"/>
      <w:marLeft w:val="0"/>
      <w:marRight w:val="0"/>
      <w:marTop w:val="0"/>
      <w:marBottom w:val="0"/>
      <w:divBdr>
        <w:top w:val="none" w:sz="0" w:space="0" w:color="auto"/>
        <w:left w:val="none" w:sz="0" w:space="0" w:color="auto"/>
        <w:bottom w:val="none" w:sz="0" w:space="0" w:color="auto"/>
        <w:right w:val="none" w:sz="0" w:space="0" w:color="auto"/>
      </w:divBdr>
    </w:div>
    <w:div w:id="422797099">
      <w:bodyDiv w:val="1"/>
      <w:marLeft w:val="0"/>
      <w:marRight w:val="0"/>
      <w:marTop w:val="0"/>
      <w:marBottom w:val="0"/>
      <w:divBdr>
        <w:top w:val="none" w:sz="0" w:space="0" w:color="auto"/>
        <w:left w:val="none" w:sz="0" w:space="0" w:color="auto"/>
        <w:bottom w:val="none" w:sz="0" w:space="0" w:color="auto"/>
        <w:right w:val="none" w:sz="0" w:space="0" w:color="auto"/>
      </w:divBdr>
    </w:div>
    <w:div w:id="435947265">
      <w:bodyDiv w:val="1"/>
      <w:marLeft w:val="0"/>
      <w:marRight w:val="0"/>
      <w:marTop w:val="0"/>
      <w:marBottom w:val="0"/>
      <w:divBdr>
        <w:top w:val="none" w:sz="0" w:space="0" w:color="auto"/>
        <w:left w:val="none" w:sz="0" w:space="0" w:color="auto"/>
        <w:bottom w:val="none" w:sz="0" w:space="0" w:color="auto"/>
        <w:right w:val="none" w:sz="0" w:space="0" w:color="auto"/>
      </w:divBdr>
    </w:div>
    <w:div w:id="439448901">
      <w:bodyDiv w:val="1"/>
      <w:marLeft w:val="0"/>
      <w:marRight w:val="0"/>
      <w:marTop w:val="0"/>
      <w:marBottom w:val="0"/>
      <w:divBdr>
        <w:top w:val="none" w:sz="0" w:space="0" w:color="auto"/>
        <w:left w:val="none" w:sz="0" w:space="0" w:color="auto"/>
        <w:bottom w:val="none" w:sz="0" w:space="0" w:color="auto"/>
        <w:right w:val="none" w:sz="0" w:space="0" w:color="auto"/>
      </w:divBdr>
    </w:div>
    <w:div w:id="443886689">
      <w:bodyDiv w:val="1"/>
      <w:marLeft w:val="0"/>
      <w:marRight w:val="0"/>
      <w:marTop w:val="0"/>
      <w:marBottom w:val="0"/>
      <w:divBdr>
        <w:top w:val="none" w:sz="0" w:space="0" w:color="auto"/>
        <w:left w:val="none" w:sz="0" w:space="0" w:color="auto"/>
        <w:bottom w:val="none" w:sz="0" w:space="0" w:color="auto"/>
        <w:right w:val="none" w:sz="0" w:space="0" w:color="auto"/>
      </w:divBdr>
    </w:div>
    <w:div w:id="449319240">
      <w:bodyDiv w:val="1"/>
      <w:marLeft w:val="0"/>
      <w:marRight w:val="0"/>
      <w:marTop w:val="0"/>
      <w:marBottom w:val="0"/>
      <w:divBdr>
        <w:top w:val="none" w:sz="0" w:space="0" w:color="auto"/>
        <w:left w:val="none" w:sz="0" w:space="0" w:color="auto"/>
        <w:bottom w:val="none" w:sz="0" w:space="0" w:color="auto"/>
        <w:right w:val="none" w:sz="0" w:space="0" w:color="auto"/>
      </w:divBdr>
    </w:div>
    <w:div w:id="457604802">
      <w:bodyDiv w:val="1"/>
      <w:marLeft w:val="0"/>
      <w:marRight w:val="0"/>
      <w:marTop w:val="0"/>
      <w:marBottom w:val="0"/>
      <w:divBdr>
        <w:top w:val="none" w:sz="0" w:space="0" w:color="auto"/>
        <w:left w:val="none" w:sz="0" w:space="0" w:color="auto"/>
        <w:bottom w:val="none" w:sz="0" w:space="0" w:color="auto"/>
        <w:right w:val="none" w:sz="0" w:space="0" w:color="auto"/>
      </w:divBdr>
    </w:div>
    <w:div w:id="463738652">
      <w:bodyDiv w:val="1"/>
      <w:marLeft w:val="0"/>
      <w:marRight w:val="0"/>
      <w:marTop w:val="0"/>
      <w:marBottom w:val="0"/>
      <w:divBdr>
        <w:top w:val="none" w:sz="0" w:space="0" w:color="auto"/>
        <w:left w:val="none" w:sz="0" w:space="0" w:color="auto"/>
        <w:bottom w:val="none" w:sz="0" w:space="0" w:color="auto"/>
        <w:right w:val="none" w:sz="0" w:space="0" w:color="auto"/>
      </w:divBdr>
    </w:div>
    <w:div w:id="466169141">
      <w:bodyDiv w:val="1"/>
      <w:marLeft w:val="0"/>
      <w:marRight w:val="0"/>
      <w:marTop w:val="0"/>
      <w:marBottom w:val="0"/>
      <w:divBdr>
        <w:top w:val="none" w:sz="0" w:space="0" w:color="auto"/>
        <w:left w:val="none" w:sz="0" w:space="0" w:color="auto"/>
        <w:bottom w:val="none" w:sz="0" w:space="0" w:color="auto"/>
        <w:right w:val="none" w:sz="0" w:space="0" w:color="auto"/>
      </w:divBdr>
    </w:div>
    <w:div w:id="472213649">
      <w:bodyDiv w:val="1"/>
      <w:marLeft w:val="0"/>
      <w:marRight w:val="0"/>
      <w:marTop w:val="0"/>
      <w:marBottom w:val="0"/>
      <w:divBdr>
        <w:top w:val="none" w:sz="0" w:space="0" w:color="auto"/>
        <w:left w:val="none" w:sz="0" w:space="0" w:color="auto"/>
        <w:bottom w:val="none" w:sz="0" w:space="0" w:color="auto"/>
        <w:right w:val="none" w:sz="0" w:space="0" w:color="auto"/>
      </w:divBdr>
    </w:div>
    <w:div w:id="475412404">
      <w:bodyDiv w:val="1"/>
      <w:marLeft w:val="0"/>
      <w:marRight w:val="0"/>
      <w:marTop w:val="0"/>
      <w:marBottom w:val="0"/>
      <w:divBdr>
        <w:top w:val="none" w:sz="0" w:space="0" w:color="auto"/>
        <w:left w:val="none" w:sz="0" w:space="0" w:color="auto"/>
        <w:bottom w:val="none" w:sz="0" w:space="0" w:color="auto"/>
        <w:right w:val="none" w:sz="0" w:space="0" w:color="auto"/>
      </w:divBdr>
    </w:div>
    <w:div w:id="477696463">
      <w:bodyDiv w:val="1"/>
      <w:marLeft w:val="0"/>
      <w:marRight w:val="0"/>
      <w:marTop w:val="0"/>
      <w:marBottom w:val="0"/>
      <w:divBdr>
        <w:top w:val="none" w:sz="0" w:space="0" w:color="auto"/>
        <w:left w:val="none" w:sz="0" w:space="0" w:color="auto"/>
        <w:bottom w:val="none" w:sz="0" w:space="0" w:color="auto"/>
        <w:right w:val="none" w:sz="0" w:space="0" w:color="auto"/>
      </w:divBdr>
    </w:div>
    <w:div w:id="506604003">
      <w:bodyDiv w:val="1"/>
      <w:marLeft w:val="0"/>
      <w:marRight w:val="0"/>
      <w:marTop w:val="0"/>
      <w:marBottom w:val="0"/>
      <w:divBdr>
        <w:top w:val="none" w:sz="0" w:space="0" w:color="auto"/>
        <w:left w:val="none" w:sz="0" w:space="0" w:color="auto"/>
        <w:bottom w:val="none" w:sz="0" w:space="0" w:color="auto"/>
        <w:right w:val="none" w:sz="0" w:space="0" w:color="auto"/>
      </w:divBdr>
    </w:div>
    <w:div w:id="508175948">
      <w:bodyDiv w:val="1"/>
      <w:marLeft w:val="0"/>
      <w:marRight w:val="0"/>
      <w:marTop w:val="0"/>
      <w:marBottom w:val="0"/>
      <w:divBdr>
        <w:top w:val="none" w:sz="0" w:space="0" w:color="auto"/>
        <w:left w:val="none" w:sz="0" w:space="0" w:color="auto"/>
        <w:bottom w:val="none" w:sz="0" w:space="0" w:color="auto"/>
        <w:right w:val="none" w:sz="0" w:space="0" w:color="auto"/>
      </w:divBdr>
    </w:div>
    <w:div w:id="509102040">
      <w:bodyDiv w:val="1"/>
      <w:marLeft w:val="0"/>
      <w:marRight w:val="0"/>
      <w:marTop w:val="0"/>
      <w:marBottom w:val="0"/>
      <w:divBdr>
        <w:top w:val="none" w:sz="0" w:space="0" w:color="auto"/>
        <w:left w:val="none" w:sz="0" w:space="0" w:color="auto"/>
        <w:bottom w:val="none" w:sz="0" w:space="0" w:color="auto"/>
        <w:right w:val="none" w:sz="0" w:space="0" w:color="auto"/>
      </w:divBdr>
    </w:div>
    <w:div w:id="512649622">
      <w:bodyDiv w:val="1"/>
      <w:marLeft w:val="0"/>
      <w:marRight w:val="0"/>
      <w:marTop w:val="0"/>
      <w:marBottom w:val="0"/>
      <w:divBdr>
        <w:top w:val="none" w:sz="0" w:space="0" w:color="auto"/>
        <w:left w:val="none" w:sz="0" w:space="0" w:color="auto"/>
        <w:bottom w:val="none" w:sz="0" w:space="0" w:color="auto"/>
        <w:right w:val="none" w:sz="0" w:space="0" w:color="auto"/>
      </w:divBdr>
    </w:div>
    <w:div w:id="516047467">
      <w:bodyDiv w:val="1"/>
      <w:marLeft w:val="0"/>
      <w:marRight w:val="0"/>
      <w:marTop w:val="0"/>
      <w:marBottom w:val="0"/>
      <w:divBdr>
        <w:top w:val="none" w:sz="0" w:space="0" w:color="auto"/>
        <w:left w:val="none" w:sz="0" w:space="0" w:color="auto"/>
        <w:bottom w:val="none" w:sz="0" w:space="0" w:color="auto"/>
        <w:right w:val="none" w:sz="0" w:space="0" w:color="auto"/>
      </w:divBdr>
    </w:div>
    <w:div w:id="516577903">
      <w:bodyDiv w:val="1"/>
      <w:marLeft w:val="0"/>
      <w:marRight w:val="0"/>
      <w:marTop w:val="0"/>
      <w:marBottom w:val="0"/>
      <w:divBdr>
        <w:top w:val="none" w:sz="0" w:space="0" w:color="auto"/>
        <w:left w:val="none" w:sz="0" w:space="0" w:color="auto"/>
        <w:bottom w:val="none" w:sz="0" w:space="0" w:color="auto"/>
        <w:right w:val="none" w:sz="0" w:space="0" w:color="auto"/>
      </w:divBdr>
    </w:div>
    <w:div w:id="529222824">
      <w:bodyDiv w:val="1"/>
      <w:marLeft w:val="0"/>
      <w:marRight w:val="0"/>
      <w:marTop w:val="0"/>
      <w:marBottom w:val="0"/>
      <w:divBdr>
        <w:top w:val="none" w:sz="0" w:space="0" w:color="auto"/>
        <w:left w:val="none" w:sz="0" w:space="0" w:color="auto"/>
        <w:bottom w:val="none" w:sz="0" w:space="0" w:color="auto"/>
        <w:right w:val="none" w:sz="0" w:space="0" w:color="auto"/>
      </w:divBdr>
      <w:divsChild>
        <w:div w:id="418992218">
          <w:marLeft w:val="450"/>
          <w:marRight w:val="0"/>
          <w:marTop w:val="0"/>
          <w:marBottom w:val="0"/>
          <w:divBdr>
            <w:top w:val="none" w:sz="0" w:space="0" w:color="auto"/>
            <w:left w:val="none" w:sz="0" w:space="0" w:color="auto"/>
            <w:bottom w:val="none" w:sz="0" w:space="0" w:color="auto"/>
            <w:right w:val="none" w:sz="0" w:space="0" w:color="auto"/>
          </w:divBdr>
        </w:div>
        <w:div w:id="455372577">
          <w:marLeft w:val="0"/>
          <w:marRight w:val="0"/>
          <w:marTop w:val="0"/>
          <w:marBottom w:val="0"/>
          <w:divBdr>
            <w:top w:val="none" w:sz="0" w:space="0" w:color="auto"/>
            <w:left w:val="none" w:sz="0" w:space="0" w:color="auto"/>
            <w:bottom w:val="none" w:sz="0" w:space="0" w:color="auto"/>
            <w:right w:val="none" w:sz="0" w:space="0" w:color="auto"/>
          </w:divBdr>
        </w:div>
        <w:div w:id="1565599417">
          <w:marLeft w:val="0"/>
          <w:marRight w:val="0"/>
          <w:marTop w:val="0"/>
          <w:marBottom w:val="0"/>
          <w:divBdr>
            <w:top w:val="none" w:sz="0" w:space="0" w:color="auto"/>
            <w:left w:val="none" w:sz="0" w:space="0" w:color="auto"/>
            <w:bottom w:val="none" w:sz="0" w:space="0" w:color="auto"/>
            <w:right w:val="none" w:sz="0" w:space="0" w:color="auto"/>
          </w:divBdr>
        </w:div>
        <w:div w:id="1954743702">
          <w:marLeft w:val="450"/>
          <w:marRight w:val="0"/>
          <w:marTop w:val="0"/>
          <w:marBottom w:val="0"/>
          <w:divBdr>
            <w:top w:val="none" w:sz="0" w:space="0" w:color="auto"/>
            <w:left w:val="none" w:sz="0" w:space="0" w:color="auto"/>
            <w:bottom w:val="none" w:sz="0" w:space="0" w:color="auto"/>
            <w:right w:val="none" w:sz="0" w:space="0" w:color="auto"/>
          </w:divBdr>
        </w:div>
      </w:divsChild>
    </w:div>
    <w:div w:id="529225906">
      <w:bodyDiv w:val="1"/>
      <w:marLeft w:val="0"/>
      <w:marRight w:val="0"/>
      <w:marTop w:val="0"/>
      <w:marBottom w:val="0"/>
      <w:divBdr>
        <w:top w:val="none" w:sz="0" w:space="0" w:color="auto"/>
        <w:left w:val="none" w:sz="0" w:space="0" w:color="auto"/>
        <w:bottom w:val="none" w:sz="0" w:space="0" w:color="auto"/>
        <w:right w:val="none" w:sz="0" w:space="0" w:color="auto"/>
      </w:divBdr>
    </w:div>
    <w:div w:id="531457515">
      <w:bodyDiv w:val="1"/>
      <w:marLeft w:val="0"/>
      <w:marRight w:val="0"/>
      <w:marTop w:val="0"/>
      <w:marBottom w:val="0"/>
      <w:divBdr>
        <w:top w:val="none" w:sz="0" w:space="0" w:color="auto"/>
        <w:left w:val="none" w:sz="0" w:space="0" w:color="auto"/>
        <w:bottom w:val="none" w:sz="0" w:space="0" w:color="auto"/>
        <w:right w:val="none" w:sz="0" w:space="0" w:color="auto"/>
      </w:divBdr>
    </w:div>
    <w:div w:id="534735428">
      <w:bodyDiv w:val="1"/>
      <w:marLeft w:val="0"/>
      <w:marRight w:val="0"/>
      <w:marTop w:val="0"/>
      <w:marBottom w:val="0"/>
      <w:divBdr>
        <w:top w:val="none" w:sz="0" w:space="0" w:color="auto"/>
        <w:left w:val="none" w:sz="0" w:space="0" w:color="auto"/>
        <w:bottom w:val="none" w:sz="0" w:space="0" w:color="auto"/>
        <w:right w:val="none" w:sz="0" w:space="0" w:color="auto"/>
      </w:divBdr>
    </w:div>
    <w:div w:id="543517498">
      <w:bodyDiv w:val="1"/>
      <w:marLeft w:val="0"/>
      <w:marRight w:val="0"/>
      <w:marTop w:val="0"/>
      <w:marBottom w:val="0"/>
      <w:divBdr>
        <w:top w:val="none" w:sz="0" w:space="0" w:color="auto"/>
        <w:left w:val="none" w:sz="0" w:space="0" w:color="auto"/>
        <w:bottom w:val="none" w:sz="0" w:space="0" w:color="auto"/>
        <w:right w:val="none" w:sz="0" w:space="0" w:color="auto"/>
      </w:divBdr>
    </w:div>
    <w:div w:id="544223885">
      <w:bodyDiv w:val="1"/>
      <w:marLeft w:val="0"/>
      <w:marRight w:val="0"/>
      <w:marTop w:val="0"/>
      <w:marBottom w:val="0"/>
      <w:divBdr>
        <w:top w:val="none" w:sz="0" w:space="0" w:color="auto"/>
        <w:left w:val="none" w:sz="0" w:space="0" w:color="auto"/>
        <w:bottom w:val="none" w:sz="0" w:space="0" w:color="auto"/>
        <w:right w:val="none" w:sz="0" w:space="0" w:color="auto"/>
      </w:divBdr>
    </w:div>
    <w:div w:id="547187386">
      <w:bodyDiv w:val="1"/>
      <w:marLeft w:val="0"/>
      <w:marRight w:val="0"/>
      <w:marTop w:val="0"/>
      <w:marBottom w:val="0"/>
      <w:divBdr>
        <w:top w:val="none" w:sz="0" w:space="0" w:color="auto"/>
        <w:left w:val="none" w:sz="0" w:space="0" w:color="auto"/>
        <w:bottom w:val="none" w:sz="0" w:space="0" w:color="auto"/>
        <w:right w:val="none" w:sz="0" w:space="0" w:color="auto"/>
      </w:divBdr>
    </w:div>
    <w:div w:id="549656800">
      <w:bodyDiv w:val="1"/>
      <w:marLeft w:val="0"/>
      <w:marRight w:val="0"/>
      <w:marTop w:val="0"/>
      <w:marBottom w:val="0"/>
      <w:divBdr>
        <w:top w:val="none" w:sz="0" w:space="0" w:color="auto"/>
        <w:left w:val="none" w:sz="0" w:space="0" w:color="auto"/>
        <w:bottom w:val="none" w:sz="0" w:space="0" w:color="auto"/>
        <w:right w:val="none" w:sz="0" w:space="0" w:color="auto"/>
      </w:divBdr>
    </w:div>
    <w:div w:id="552665649">
      <w:bodyDiv w:val="1"/>
      <w:marLeft w:val="0"/>
      <w:marRight w:val="0"/>
      <w:marTop w:val="0"/>
      <w:marBottom w:val="0"/>
      <w:divBdr>
        <w:top w:val="none" w:sz="0" w:space="0" w:color="auto"/>
        <w:left w:val="none" w:sz="0" w:space="0" w:color="auto"/>
        <w:bottom w:val="none" w:sz="0" w:space="0" w:color="auto"/>
        <w:right w:val="none" w:sz="0" w:space="0" w:color="auto"/>
      </w:divBdr>
    </w:div>
    <w:div w:id="561447397">
      <w:bodyDiv w:val="1"/>
      <w:marLeft w:val="0"/>
      <w:marRight w:val="0"/>
      <w:marTop w:val="0"/>
      <w:marBottom w:val="0"/>
      <w:divBdr>
        <w:top w:val="none" w:sz="0" w:space="0" w:color="auto"/>
        <w:left w:val="none" w:sz="0" w:space="0" w:color="auto"/>
        <w:bottom w:val="none" w:sz="0" w:space="0" w:color="auto"/>
        <w:right w:val="none" w:sz="0" w:space="0" w:color="auto"/>
      </w:divBdr>
    </w:div>
    <w:div w:id="565575871">
      <w:bodyDiv w:val="1"/>
      <w:marLeft w:val="0"/>
      <w:marRight w:val="0"/>
      <w:marTop w:val="0"/>
      <w:marBottom w:val="0"/>
      <w:divBdr>
        <w:top w:val="none" w:sz="0" w:space="0" w:color="auto"/>
        <w:left w:val="none" w:sz="0" w:space="0" w:color="auto"/>
        <w:bottom w:val="none" w:sz="0" w:space="0" w:color="auto"/>
        <w:right w:val="none" w:sz="0" w:space="0" w:color="auto"/>
      </w:divBdr>
    </w:div>
    <w:div w:id="568151804">
      <w:bodyDiv w:val="1"/>
      <w:marLeft w:val="0"/>
      <w:marRight w:val="0"/>
      <w:marTop w:val="0"/>
      <w:marBottom w:val="0"/>
      <w:divBdr>
        <w:top w:val="none" w:sz="0" w:space="0" w:color="auto"/>
        <w:left w:val="none" w:sz="0" w:space="0" w:color="auto"/>
        <w:bottom w:val="none" w:sz="0" w:space="0" w:color="auto"/>
        <w:right w:val="none" w:sz="0" w:space="0" w:color="auto"/>
      </w:divBdr>
    </w:div>
    <w:div w:id="576407566">
      <w:bodyDiv w:val="1"/>
      <w:marLeft w:val="0"/>
      <w:marRight w:val="0"/>
      <w:marTop w:val="0"/>
      <w:marBottom w:val="0"/>
      <w:divBdr>
        <w:top w:val="none" w:sz="0" w:space="0" w:color="auto"/>
        <w:left w:val="none" w:sz="0" w:space="0" w:color="auto"/>
        <w:bottom w:val="none" w:sz="0" w:space="0" w:color="auto"/>
        <w:right w:val="none" w:sz="0" w:space="0" w:color="auto"/>
      </w:divBdr>
    </w:div>
    <w:div w:id="578562083">
      <w:bodyDiv w:val="1"/>
      <w:marLeft w:val="0"/>
      <w:marRight w:val="0"/>
      <w:marTop w:val="0"/>
      <w:marBottom w:val="0"/>
      <w:divBdr>
        <w:top w:val="none" w:sz="0" w:space="0" w:color="auto"/>
        <w:left w:val="none" w:sz="0" w:space="0" w:color="auto"/>
        <w:bottom w:val="none" w:sz="0" w:space="0" w:color="auto"/>
        <w:right w:val="none" w:sz="0" w:space="0" w:color="auto"/>
      </w:divBdr>
    </w:div>
    <w:div w:id="583729372">
      <w:bodyDiv w:val="1"/>
      <w:marLeft w:val="0"/>
      <w:marRight w:val="0"/>
      <w:marTop w:val="0"/>
      <w:marBottom w:val="0"/>
      <w:divBdr>
        <w:top w:val="none" w:sz="0" w:space="0" w:color="auto"/>
        <w:left w:val="none" w:sz="0" w:space="0" w:color="auto"/>
        <w:bottom w:val="none" w:sz="0" w:space="0" w:color="auto"/>
        <w:right w:val="none" w:sz="0" w:space="0" w:color="auto"/>
      </w:divBdr>
    </w:div>
    <w:div w:id="586961874">
      <w:bodyDiv w:val="1"/>
      <w:marLeft w:val="0"/>
      <w:marRight w:val="0"/>
      <w:marTop w:val="0"/>
      <w:marBottom w:val="0"/>
      <w:divBdr>
        <w:top w:val="none" w:sz="0" w:space="0" w:color="auto"/>
        <w:left w:val="none" w:sz="0" w:space="0" w:color="auto"/>
        <w:bottom w:val="none" w:sz="0" w:space="0" w:color="auto"/>
        <w:right w:val="none" w:sz="0" w:space="0" w:color="auto"/>
      </w:divBdr>
    </w:div>
    <w:div w:id="587347985">
      <w:bodyDiv w:val="1"/>
      <w:marLeft w:val="0"/>
      <w:marRight w:val="0"/>
      <w:marTop w:val="0"/>
      <w:marBottom w:val="0"/>
      <w:divBdr>
        <w:top w:val="none" w:sz="0" w:space="0" w:color="auto"/>
        <w:left w:val="none" w:sz="0" w:space="0" w:color="auto"/>
        <w:bottom w:val="none" w:sz="0" w:space="0" w:color="auto"/>
        <w:right w:val="none" w:sz="0" w:space="0" w:color="auto"/>
      </w:divBdr>
    </w:div>
    <w:div w:id="591935899">
      <w:bodyDiv w:val="1"/>
      <w:marLeft w:val="0"/>
      <w:marRight w:val="0"/>
      <w:marTop w:val="0"/>
      <w:marBottom w:val="0"/>
      <w:divBdr>
        <w:top w:val="none" w:sz="0" w:space="0" w:color="auto"/>
        <w:left w:val="none" w:sz="0" w:space="0" w:color="auto"/>
        <w:bottom w:val="none" w:sz="0" w:space="0" w:color="auto"/>
        <w:right w:val="none" w:sz="0" w:space="0" w:color="auto"/>
      </w:divBdr>
    </w:div>
    <w:div w:id="619184272">
      <w:bodyDiv w:val="1"/>
      <w:marLeft w:val="0"/>
      <w:marRight w:val="0"/>
      <w:marTop w:val="0"/>
      <w:marBottom w:val="0"/>
      <w:divBdr>
        <w:top w:val="none" w:sz="0" w:space="0" w:color="auto"/>
        <w:left w:val="none" w:sz="0" w:space="0" w:color="auto"/>
        <w:bottom w:val="none" w:sz="0" w:space="0" w:color="auto"/>
        <w:right w:val="none" w:sz="0" w:space="0" w:color="auto"/>
      </w:divBdr>
    </w:div>
    <w:div w:id="619381235">
      <w:bodyDiv w:val="1"/>
      <w:marLeft w:val="0"/>
      <w:marRight w:val="0"/>
      <w:marTop w:val="0"/>
      <w:marBottom w:val="0"/>
      <w:divBdr>
        <w:top w:val="none" w:sz="0" w:space="0" w:color="auto"/>
        <w:left w:val="none" w:sz="0" w:space="0" w:color="auto"/>
        <w:bottom w:val="none" w:sz="0" w:space="0" w:color="auto"/>
        <w:right w:val="none" w:sz="0" w:space="0" w:color="auto"/>
      </w:divBdr>
    </w:div>
    <w:div w:id="633605276">
      <w:bodyDiv w:val="1"/>
      <w:marLeft w:val="0"/>
      <w:marRight w:val="0"/>
      <w:marTop w:val="0"/>
      <w:marBottom w:val="0"/>
      <w:divBdr>
        <w:top w:val="none" w:sz="0" w:space="0" w:color="auto"/>
        <w:left w:val="none" w:sz="0" w:space="0" w:color="auto"/>
        <w:bottom w:val="none" w:sz="0" w:space="0" w:color="auto"/>
        <w:right w:val="none" w:sz="0" w:space="0" w:color="auto"/>
      </w:divBdr>
    </w:div>
    <w:div w:id="640617890">
      <w:bodyDiv w:val="1"/>
      <w:marLeft w:val="0"/>
      <w:marRight w:val="0"/>
      <w:marTop w:val="0"/>
      <w:marBottom w:val="0"/>
      <w:divBdr>
        <w:top w:val="none" w:sz="0" w:space="0" w:color="auto"/>
        <w:left w:val="none" w:sz="0" w:space="0" w:color="auto"/>
        <w:bottom w:val="none" w:sz="0" w:space="0" w:color="auto"/>
        <w:right w:val="none" w:sz="0" w:space="0" w:color="auto"/>
      </w:divBdr>
    </w:div>
    <w:div w:id="642001959">
      <w:bodyDiv w:val="1"/>
      <w:marLeft w:val="0"/>
      <w:marRight w:val="0"/>
      <w:marTop w:val="0"/>
      <w:marBottom w:val="0"/>
      <w:divBdr>
        <w:top w:val="none" w:sz="0" w:space="0" w:color="auto"/>
        <w:left w:val="none" w:sz="0" w:space="0" w:color="auto"/>
        <w:bottom w:val="none" w:sz="0" w:space="0" w:color="auto"/>
        <w:right w:val="none" w:sz="0" w:space="0" w:color="auto"/>
      </w:divBdr>
    </w:div>
    <w:div w:id="658995417">
      <w:bodyDiv w:val="1"/>
      <w:marLeft w:val="0"/>
      <w:marRight w:val="0"/>
      <w:marTop w:val="0"/>
      <w:marBottom w:val="0"/>
      <w:divBdr>
        <w:top w:val="none" w:sz="0" w:space="0" w:color="auto"/>
        <w:left w:val="none" w:sz="0" w:space="0" w:color="auto"/>
        <w:bottom w:val="none" w:sz="0" w:space="0" w:color="auto"/>
        <w:right w:val="none" w:sz="0" w:space="0" w:color="auto"/>
      </w:divBdr>
    </w:div>
    <w:div w:id="659967128">
      <w:bodyDiv w:val="1"/>
      <w:marLeft w:val="0"/>
      <w:marRight w:val="0"/>
      <w:marTop w:val="0"/>
      <w:marBottom w:val="0"/>
      <w:divBdr>
        <w:top w:val="none" w:sz="0" w:space="0" w:color="auto"/>
        <w:left w:val="none" w:sz="0" w:space="0" w:color="auto"/>
        <w:bottom w:val="none" w:sz="0" w:space="0" w:color="auto"/>
        <w:right w:val="none" w:sz="0" w:space="0" w:color="auto"/>
      </w:divBdr>
    </w:div>
    <w:div w:id="660962539">
      <w:bodyDiv w:val="1"/>
      <w:marLeft w:val="0"/>
      <w:marRight w:val="0"/>
      <w:marTop w:val="0"/>
      <w:marBottom w:val="0"/>
      <w:divBdr>
        <w:top w:val="none" w:sz="0" w:space="0" w:color="auto"/>
        <w:left w:val="none" w:sz="0" w:space="0" w:color="auto"/>
        <w:bottom w:val="none" w:sz="0" w:space="0" w:color="auto"/>
        <w:right w:val="none" w:sz="0" w:space="0" w:color="auto"/>
      </w:divBdr>
    </w:div>
    <w:div w:id="674919593">
      <w:bodyDiv w:val="1"/>
      <w:marLeft w:val="0"/>
      <w:marRight w:val="0"/>
      <w:marTop w:val="0"/>
      <w:marBottom w:val="0"/>
      <w:divBdr>
        <w:top w:val="none" w:sz="0" w:space="0" w:color="auto"/>
        <w:left w:val="none" w:sz="0" w:space="0" w:color="auto"/>
        <w:bottom w:val="none" w:sz="0" w:space="0" w:color="auto"/>
        <w:right w:val="none" w:sz="0" w:space="0" w:color="auto"/>
      </w:divBdr>
    </w:div>
    <w:div w:id="678584774">
      <w:bodyDiv w:val="1"/>
      <w:marLeft w:val="0"/>
      <w:marRight w:val="0"/>
      <w:marTop w:val="0"/>
      <w:marBottom w:val="0"/>
      <w:divBdr>
        <w:top w:val="none" w:sz="0" w:space="0" w:color="auto"/>
        <w:left w:val="none" w:sz="0" w:space="0" w:color="auto"/>
        <w:bottom w:val="none" w:sz="0" w:space="0" w:color="auto"/>
        <w:right w:val="none" w:sz="0" w:space="0" w:color="auto"/>
      </w:divBdr>
    </w:div>
    <w:div w:id="680551737">
      <w:bodyDiv w:val="1"/>
      <w:marLeft w:val="0"/>
      <w:marRight w:val="0"/>
      <w:marTop w:val="0"/>
      <w:marBottom w:val="0"/>
      <w:divBdr>
        <w:top w:val="none" w:sz="0" w:space="0" w:color="auto"/>
        <w:left w:val="none" w:sz="0" w:space="0" w:color="auto"/>
        <w:bottom w:val="none" w:sz="0" w:space="0" w:color="auto"/>
        <w:right w:val="none" w:sz="0" w:space="0" w:color="auto"/>
      </w:divBdr>
    </w:div>
    <w:div w:id="684137179">
      <w:bodyDiv w:val="1"/>
      <w:marLeft w:val="0"/>
      <w:marRight w:val="0"/>
      <w:marTop w:val="0"/>
      <w:marBottom w:val="0"/>
      <w:divBdr>
        <w:top w:val="none" w:sz="0" w:space="0" w:color="auto"/>
        <w:left w:val="none" w:sz="0" w:space="0" w:color="auto"/>
        <w:bottom w:val="none" w:sz="0" w:space="0" w:color="auto"/>
        <w:right w:val="none" w:sz="0" w:space="0" w:color="auto"/>
      </w:divBdr>
    </w:div>
    <w:div w:id="704134836">
      <w:bodyDiv w:val="1"/>
      <w:marLeft w:val="0"/>
      <w:marRight w:val="0"/>
      <w:marTop w:val="0"/>
      <w:marBottom w:val="0"/>
      <w:divBdr>
        <w:top w:val="none" w:sz="0" w:space="0" w:color="auto"/>
        <w:left w:val="none" w:sz="0" w:space="0" w:color="auto"/>
        <w:bottom w:val="none" w:sz="0" w:space="0" w:color="auto"/>
        <w:right w:val="none" w:sz="0" w:space="0" w:color="auto"/>
      </w:divBdr>
    </w:div>
    <w:div w:id="711537612">
      <w:bodyDiv w:val="1"/>
      <w:marLeft w:val="0"/>
      <w:marRight w:val="0"/>
      <w:marTop w:val="0"/>
      <w:marBottom w:val="0"/>
      <w:divBdr>
        <w:top w:val="none" w:sz="0" w:space="0" w:color="auto"/>
        <w:left w:val="none" w:sz="0" w:space="0" w:color="auto"/>
        <w:bottom w:val="none" w:sz="0" w:space="0" w:color="auto"/>
        <w:right w:val="none" w:sz="0" w:space="0" w:color="auto"/>
      </w:divBdr>
    </w:div>
    <w:div w:id="716046682">
      <w:bodyDiv w:val="1"/>
      <w:marLeft w:val="0"/>
      <w:marRight w:val="0"/>
      <w:marTop w:val="0"/>
      <w:marBottom w:val="0"/>
      <w:divBdr>
        <w:top w:val="none" w:sz="0" w:space="0" w:color="auto"/>
        <w:left w:val="none" w:sz="0" w:space="0" w:color="auto"/>
        <w:bottom w:val="none" w:sz="0" w:space="0" w:color="auto"/>
        <w:right w:val="none" w:sz="0" w:space="0" w:color="auto"/>
      </w:divBdr>
    </w:div>
    <w:div w:id="716078834">
      <w:bodyDiv w:val="1"/>
      <w:marLeft w:val="0"/>
      <w:marRight w:val="0"/>
      <w:marTop w:val="0"/>
      <w:marBottom w:val="0"/>
      <w:divBdr>
        <w:top w:val="none" w:sz="0" w:space="0" w:color="auto"/>
        <w:left w:val="none" w:sz="0" w:space="0" w:color="auto"/>
        <w:bottom w:val="none" w:sz="0" w:space="0" w:color="auto"/>
        <w:right w:val="none" w:sz="0" w:space="0" w:color="auto"/>
      </w:divBdr>
    </w:div>
    <w:div w:id="735787864">
      <w:bodyDiv w:val="1"/>
      <w:marLeft w:val="0"/>
      <w:marRight w:val="0"/>
      <w:marTop w:val="0"/>
      <w:marBottom w:val="0"/>
      <w:divBdr>
        <w:top w:val="none" w:sz="0" w:space="0" w:color="auto"/>
        <w:left w:val="none" w:sz="0" w:space="0" w:color="auto"/>
        <w:bottom w:val="none" w:sz="0" w:space="0" w:color="auto"/>
        <w:right w:val="none" w:sz="0" w:space="0" w:color="auto"/>
      </w:divBdr>
    </w:div>
    <w:div w:id="741368734">
      <w:bodyDiv w:val="1"/>
      <w:marLeft w:val="0"/>
      <w:marRight w:val="0"/>
      <w:marTop w:val="0"/>
      <w:marBottom w:val="0"/>
      <w:divBdr>
        <w:top w:val="none" w:sz="0" w:space="0" w:color="auto"/>
        <w:left w:val="none" w:sz="0" w:space="0" w:color="auto"/>
        <w:bottom w:val="none" w:sz="0" w:space="0" w:color="auto"/>
        <w:right w:val="none" w:sz="0" w:space="0" w:color="auto"/>
      </w:divBdr>
    </w:div>
    <w:div w:id="746462856">
      <w:bodyDiv w:val="1"/>
      <w:marLeft w:val="0"/>
      <w:marRight w:val="0"/>
      <w:marTop w:val="0"/>
      <w:marBottom w:val="0"/>
      <w:divBdr>
        <w:top w:val="none" w:sz="0" w:space="0" w:color="auto"/>
        <w:left w:val="none" w:sz="0" w:space="0" w:color="auto"/>
        <w:bottom w:val="none" w:sz="0" w:space="0" w:color="auto"/>
        <w:right w:val="none" w:sz="0" w:space="0" w:color="auto"/>
      </w:divBdr>
    </w:div>
    <w:div w:id="756172315">
      <w:bodyDiv w:val="1"/>
      <w:marLeft w:val="0"/>
      <w:marRight w:val="0"/>
      <w:marTop w:val="0"/>
      <w:marBottom w:val="0"/>
      <w:divBdr>
        <w:top w:val="none" w:sz="0" w:space="0" w:color="auto"/>
        <w:left w:val="none" w:sz="0" w:space="0" w:color="auto"/>
        <w:bottom w:val="none" w:sz="0" w:space="0" w:color="auto"/>
        <w:right w:val="none" w:sz="0" w:space="0" w:color="auto"/>
      </w:divBdr>
    </w:div>
    <w:div w:id="760370405">
      <w:bodyDiv w:val="1"/>
      <w:marLeft w:val="0"/>
      <w:marRight w:val="0"/>
      <w:marTop w:val="0"/>
      <w:marBottom w:val="0"/>
      <w:divBdr>
        <w:top w:val="none" w:sz="0" w:space="0" w:color="auto"/>
        <w:left w:val="none" w:sz="0" w:space="0" w:color="auto"/>
        <w:bottom w:val="none" w:sz="0" w:space="0" w:color="auto"/>
        <w:right w:val="none" w:sz="0" w:space="0" w:color="auto"/>
      </w:divBdr>
    </w:div>
    <w:div w:id="760835475">
      <w:bodyDiv w:val="1"/>
      <w:marLeft w:val="0"/>
      <w:marRight w:val="0"/>
      <w:marTop w:val="0"/>
      <w:marBottom w:val="0"/>
      <w:divBdr>
        <w:top w:val="none" w:sz="0" w:space="0" w:color="auto"/>
        <w:left w:val="none" w:sz="0" w:space="0" w:color="auto"/>
        <w:bottom w:val="none" w:sz="0" w:space="0" w:color="auto"/>
        <w:right w:val="none" w:sz="0" w:space="0" w:color="auto"/>
      </w:divBdr>
    </w:div>
    <w:div w:id="764113171">
      <w:bodyDiv w:val="1"/>
      <w:marLeft w:val="0"/>
      <w:marRight w:val="0"/>
      <w:marTop w:val="0"/>
      <w:marBottom w:val="0"/>
      <w:divBdr>
        <w:top w:val="none" w:sz="0" w:space="0" w:color="auto"/>
        <w:left w:val="none" w:sz="0" w:space="0" w:color="auto"/>
        <w:bottom w:val="none" w:sz="0" w:space="0" w:color="auto"/>
        <w:right w:val="none" w:sz="0" w:space="0" w:color="auto"/>
      </w:divBdr>
    </w:div>
    <w:div w:id="766778410">
      <w:bodyDiv w:val="1"/>
      <w:marLeft w:val="0"/>
      <w:marRight w:val="0"/>
      <w:marTop w:val="0"/>
      <w:marBottom w:val="0"/>
      <w:divBdr>
        <w:top w:val="none" w:sz="0" w:space="0" w:color="auto"/>
        <w:left w:val="none" w:sz="0" w:space="0" w:color="auto"/>
        <w:bottom w:val="none" w:sz="0" w:space="0" w:color="auto"/>
        <w:right w:val="none" w:sz="0" w:space="0" w:color="auto"/>
      </w:divBdr>
    </w:div>
    <w:div w:id="767580534">
      <w:bodyDiv w:val="1"/>
      <w:marLeft w:val="0"/>
      <w:marRight w:val="0"/>
      <w:marTop w:val="0"/>
      <w:marBottom w:val="0"/>
      <w:divBdr>
        <w:top w:val="none" w:sz="0" w:space="0" w:color="auto"/>
        <w:left w:val="none" w:sz="0" w:space="0" w:color="auto"/>
        <w:bottom w:val="none" w:sz="0" w:space="0" w:color="auto"/>
        <w:right w:val="none" w:sz="0" w:space="0" w:color="auto"/>
      </w:divBdr>
    </w:div>
    <w:div w:id="768888775">
      <w:bodyDiv w:val="1"/>
      <w:marLeft w:val="0"/>
      <w:marRight w:val="0"/>
      <w:marTop w:val="0"/>
      <w:marBottom w:val="0"/>
      <w:divBdr>
        <w:top w:val="none" w:sz="0" w:space="0" w:color="auto"/>
        <w:left w:val="none" w:sz="0" w:space="0" w:color="auto"/>
        <w:bottom w:val="none" w:sz="0" w:space="0" w:color="auto"/>
        <w:right w:val="none" w:sz="0" w:space="0" w:color="auto"/>
      </w:divBdr>
    </w:div>
    <w:div w:id="772940495">
      <w:bodyDiv w:val="1"/>
      <w:marLeft w:val="0"/>
      <w:marRight w:val="0"/>
      <w:marTop w:val="0"/>
      <w:marBottom w:val="0"/>
      <w:divBdr>
        <w:top w:val="none" w:sz="0" w:space="0" w:color="auto"/>
        <w:left w:val="none" w:sz="0" w:space="0" w:color="auto"/>
        <w:bottom w:val="none" w:sz="0" w:space="0" w:color="auto"/>
        <w:right w:val="none" w:sz="0" w:space="0" w:color="auto"/>
      </w:divBdr>
    </w:div>
    <w:div w:id="774448690">
      <w:bodyDiv w:val="1"/>
      <w:marLeft w:val="0"/>
      <w:marRight w:val="0"/>
      <w:marTop w:val="0"/>
      <w:marBottom w:val="0"/>
      <w:divBdr>
        <w:top w:val="none" w:sz="0" w:space="0" w:color="auto"/>
        <w:left w:val="none" w:sz="0" w:space="0" w:color="auto"/>
        <w:bottom w:val="none" w:sz="0" w:space="0" w:color="auto"/>
        <w:right w:val="none" w:sz="0" w:space="0" w:color="auto"/>
      </w:divBdr>
    </w:div>
    <w:div w:id="778720793">
      <w:bodyDiv w:val="1"/>
      <w:marLeft w:val="0"/>
      <w:marRight w:val="0"/>
      <w:marTop w:val="0"/>
      <w:marBottom w:val="0"/>
      <w:divBdr>
        <w:top w:val="none" w:sz="0" w:space="0" w:color="auto"/>
        <w:left w:val="none" w:sz="0" w:space="0" w:color="auto"/>
        <w:bottom w:val="none" w:sz="0" w:space="0" w:color="auto"/>
        <w:right w:val="none" w:sz="0" w:space="0" w:color="auto"/>
      </w:divBdr>
    </w:div>
    <w:div w:id="781267794">
      <w:bodyDiv w:val="1"/>
      <w:marLeft w:val="0"/>
      <w:marRight w:val="0"/>
      <w:marTop w:val="0"/>
      <w:marBottom w:val="0"/>
      <w:divBdr>
        <w:top w:val="none" w:sz="0" w:space="0" w:color="auto"/>
        <w:left w:val="none" w:sz="0" w:space="0" w:color="auto"/>
        <w:bottom w:val="none" w:sz="0" w:space="0" w:color="auto"/>
        <w:right w:val="none" w:sz="0" w:space="0" w:color="auto"/>
      </w:divBdr>
    </w:div>
    <w:div w:id="798570483">
      <w:bodyDiv w:val="1"/>
      <w:marLeft w:val="0"/>
      <w:marRight w:val="0"/>
      <w:marTop w:val="0"/>
      <w:marBottom w:val="0"/>
      <w:divBdr>
        <w:top w:val="none" w:sz="0" w:space="0" w:color="auto"/>
        <w:left w:val="none" w:sz="0" w:space="0" w:color="auto"/>
        <w:bottom w:val="none" w:sz="0" w:space="0" w:color="auto"/>
        <w:right w:val="none" w:sz="0" w:space="0" w:color="auto"/>
      </w:divBdr>
    </w:div>
    <w:div w:id="805776892">
      <w:bodyDiv w:val="1"/>
      <w:marLeft w:val="0"/>
      <w:marRight w:val="0"/>
      <w:marTop w:val="0"/>
      <w:marBottom w:val="0"/>
      <w:divBdr>
        <w:top w:val="none" w:sz="0" w:space="0" w:color="auto"/>
        <w:left w:val="none" w:sz="0" w:space="0" w:color="auto"/>
        <w:bottom w:val="none" w:sz="0" w:space="0" w:color="auto"/>
        <w:right w:val="none" w:sz="0" w:space="0" w:color="auto"/>
      </w:divBdr>
    </w:div>
    <w:div w:id="809402044">
      <w:bodyDiv w:val="1"/>
      <w:marLeft w:val="0"/>
      <w:marRight w:val="0"/>
      <w:marTop w:val="0"/>
      <w:marBottom w:val="0"/>
      <w:divBdr>
        <w:top w:val="none" w:sz="0" w:space="0" w:color="auto"/>
        <w:left w:val="none" w:sz="0" w:space="0" w:color="auto"/>
        <w:bottom w:val="none" w:sz="0" w:space="0" w:color="auto"/>
        <w:right w:val="none" w:sz="0" w:space="0" w:color="auto"/>
      </w:divBdr>
    </w:div>
    <w:div w:id="816721626">
      <w:bodyDiv w:val="1"/>
      <w:marLeft w:val="0"/>
      <w:marRight w:val="0"/>
      <w:marTop w:val="0"/>
      <w:marBottom w:val="0"/>
      <w:divBdr>
        <w:top w:val="none" w:sz="0" w:space="0" w:color="auto"/>
        <w:left w:val="none" w:sz="0" w:space="0" w:color="auto"/>
        <w:bottom w:val="none" w:sz="0" w:space="0" w:color="auto"/>
        <w:right w:val="none" w:sz="0" w:space="0" w:color="auto"/>
      </w:divBdr>
    </w:div>
    <w:div w:id="845049553">
      <w:bodyDiv w:val="1"/>
      <w:marLeft w:val="0"/>
      <w:marRight w:val="0"/>
      <w:marTop w:val="0"/>
      <w:marBottom w:val="0"/>
      <w:divBdr>
        <w:top w:val="none" w:sz="0" w:space="0" w:color="auto"/>
        <w:left w:val="none" w:sz="0" w:space="0" w:color="auto"/>
        <w:bottom w:val="none" w:sz="0" w:space="0" w:color="auto"/>
        <w:right w:val="none" w:sz="0" w:space="0" w:color="auto"/>
      </w:divBdr>
    </w:div>
    <w:div w:id="851913424">
      <w:bodyDiv w:val="1"/>
      <w:marLeft w:val="0"/>
      <w:marRight w:val="0"/>
      <w:marTop w:val="0"/>
      <w:marBottom w:val="0"/>
      <w:divBdr>
        <w:top w:val="none" w:sz="0" w:space="0" w:color="auto"/>
        <w:left w:val="none" w:sz="0" w:space="0" w:color="auto"/>
        <w:bottom w:val="none" w:sz="0" w:space="0" w:color="auto"/>
        <w:right w:val="none" w:sz="0" w:space="0" w:color="auto"/>
      </w:divBdr>
    </w:div>
    <w:div w:id="853619148">
      <w:bodyDiv w:val="1"/>
      <w:marLeft w:val="0"/>
      <w:marRight w:val="0"/>
      <w:marTop w:val="0"/>
      <w:marBottom w:val="0"/>
      <w:divBdr>
        <w:top w:val="none" w:sz="0" w:space="0" w:color="auto"/>
        <w:left w:val="none" w:sz="0" w:space="0" w:color="auto"/>
        <w:bottom w:val="none" w:sz="0" w:space="0" w:color="auto"/>
        <w:right w:val="none" w:sz="0" w:space="0" w:color="auto"/>
      </w:divBdr>
    </w:div>
    <w:div w:id="855575550">
      <w:bodyDiv w:val="1"/>
      <w:marLeft w:val="0"/>
      <w:marRight w:val="0"/>
      <w:marTop w:val="0"/>
      <w:marBottom w:val="0"/>
      <w:divBdr>
        <w:top w:val="none" w:sz="0" w:space="0" w:color="auto"/>
        <w:left w:val="none" w:sz="0" w:space="0" w:color="auto"/>
        <w:bottom w:val="none" w:sz="0" w:space="0" w:color="auto"/>
        <w:right w:val="none" w:sz="0" w:space="0" w:color="auto"/>
      </w:divBdr>
    </w:div>
    <w:div w:id="864368305">
      <w:bodyDiv w:val="1"/>
      <w:marLeft w:val="0"/>
      <w:marRight w:val="0"/>
      <w:marTop w:val="0"/>
      <w:marBottom w:val="0"/>
      <w:divBdr>
        <w:top w:val="none" w:sz="0" w:space="0" w:color="auto"/>
        <w:left w:val="none" w:sz="0" w:space="0" w:color="auto"/>
        <w:bottom w:val="none" w:sz="0" w:space="0" w:color="auto"/>
        <w:right w:val="none" w:sz="0" w:space="0" w:color="auto"/>
      </w:divBdr>
    </w:div>
    <w:div w:id="864755024">
      <w:bodyDiv w:val="1"/>
      <w:marLeft w:val="0"/>
      <w:marRight w:val="0"/>
      <w:marTop w:val="0"/>
      <w:marBottom w:val="0"/>
      <w:divBdr>
        <w:top w:val="none" w:sz="0" w:space="0" w:color="auto"/>
        <w:left w:val="none" w:sz="0" w:space="0" w:color="auto"/>
        <w:bottom w:val="none" w:sz="0" w:space="0" w:color="auto"/>
        <w:right w:val="none" w:sz="0" w:space="0" w:color="auto"/>
      </w:divBdr>
      <w:divsChild>
        <w:div w:id="365714673">
          <w:marLeft w:val="0"/>
          <w:marRight w:val="0"/>
          <w:marTop w:val="0"/>
          <w:marBottom w:val="0"/>
          <w:divBdr>
            <w:top w:val="none" w:sz="0" w:space="0" w:color="auto"/>
            <w:left w:val="none" w:sz="0" w:space="0" w:color="auto"/>
            <w:bottom w:val="none" w:sz="0" w:space="0" w:color="auto"/>
            <w:right w:val="none" w:sz="0" w:space="0" w:color="auto"/>
          </w:divBdr>
        </w:div>
        <w:div w:id="481390616">
          <w:marLeft w:val="0"/>
          <w:marRight w:val="0"/>
          <w:marTop w:val="0"/>
          <w:marBottom w:val="0"/>
          <w:divBdr>
            <w:top w:val="none" w:sz="0" w:space="0" w:color="auto"/>
            <w:left w:val="none" w:sz="0" w:space="0" w:color="auto"/>
            <w:bottom w:val="none" w:sz="0" w:space="0" w:color="auto"/>
            <w:right w:val="none" w:sz="0" w:space="0" w:color="auto"/>
          </w:divBdr>
        </w:div>
        <w:div w:id="510607142">
          <w:marLeft w:val="0"/>
          <w:marRight w:val="0"/>
          <w:marTop w:val="0"/>
          <w:marBottom w:val="0"/>
          <w:divBdr>
            <w:top w:val="none" w:sz="0" w:space="0" w:color="auto"/>
            <w:left w:val="none" w:sz="0" w:space="0" w:color="auto"/>
            <w:bottom w:val="none" w:sz="0" w:space="0" w:color="auto"/>
            <w:right w:val="none" w:sz="0" w:space="0" w:color="auto"/>
          </w:divBdr>
        </w:div>
        <w:div w:id="660040042">
          <w:marLeft w:val="0"/>
          <w:marRight w:val="0"/>
          <w:marTop w:val="0"/>
          <w:marBottom w:val="0"/>
          <w:divBdr>
            <w:top w:val="none" w:sz="0" w:space="0" w:color="auto"/>
            <w:left w:val="none" w:sz="0" w:space="0" w:color="auto"/>
            <w:bottom w:val="none" w:sz="0" w:space="0" w:color="auto"/>
            <w:right w:val="none" w:sz="0" w:space="0" w:color="auto"/>
          </w:divBdr>
        </w:div>
        <w:div w:id="867178676">
          <w:marLeft w:val="0"/>
          <w:marRight w:val="0"/>
          <w:marTop w:val="0"/>
          <w:marBottom w:val="0"/>
          <w:divBdr>
            <w:top w:val="none" w:sz="0" w:space="0" w:color="auto"/>
            <w:left w:val="none" w:sz="0" w:space="0" w:color="auto"/>
            <w:bottom w:val="none" w:sz="0" w:space="0" w:color="auto"/>
            <w:right w:val="none" w:sz="0" w:space="0" w:color="auto"/>
          </w:divBdr>
        </w:div>
        <w:div w:id="869342704">
          <w:marLeft w:val="0"/>
          <w:marRight w:val="0"/>
          <w:marTop w:val="0"/>
          <w:marBottom w:val="0"/>
          <w:divBdr>
            <w:top w:val="none" w:sz="0" w:space="0" w:color="auto"/>
            <w:left w:val="none" w:sz="0" w:space="0" w:color="auto"/>
            <w:bottom w:val="none" w:sz="0" w:space="0" w:color="auto"/>
            <w:right w:val="none" w:sz="0" w:space="0" w:color="auto"/>
          </w:divBdr>
        </w:div>
        <w:div w:id="882520840">
          <w:marLeft w:val="0"/>
          <w:marRight w:val="0"/>
          <w:marTop w:val="0"/>
          <w:marBottom w:val="0"/>
          <w:divBdr>
            <w:top w:val="none" w:sz="0" w:space="0" w:color="auto"/>
            <w:left w:val="none" w:sz="0" w:space="0" w:color="auto"/>
            <w:bottom w:val="none" w:sz="0" w:space="0" w:color="auto"/>
            <w:right w:val="none" w:sz="0" w:space="0" w:color="auto"/>
          </w:divBdr>
        </w:div>
        <w:div w:id="964892958">
          <w:marLeft w:val="0"/>
          <w:marRight w:val="0"/>
          <w:marTop w:val="0"/>
          <w:marBottom w:val="0"/>
          <w:divBdr>
            <w:top w:val="none" w:sz="0" w:space="0" w:color="auto"/>
            <w:left w:val="none" w:sz="0" w:space="0" w:color="auto"/>
            <w:bottom w:val="none" w:sz="0" w:space="0" w:color="auto"/>
            <w:right w:val="none" w:sz="0" w:space="0" w:color="auto"/>
          </w:divBdr>
        </w:div>
        <w:div w:id="1018388182">
          <w:marLeft w:val="0"/>
          <w:marRight w:val="0"/>
          <w:marTop w:val="0"/>
          <w:marBottom w:val="0"/>
          <w:divBdr>
            <w:top w:val="none" w:sz="0" w:space="0" w:color="auto"/>
            <w:left w:val="none" w:sz="0" w:space="0" w:color="auto"/>
            <w:bottom w:val="none" w:sz="0" w:space="0" w:color="auto"/>
            <w:right w:val="none" w:sz="0" w:space="0" w:color="auto"/>
          </w:divBdr>
        </w:div>
        <w:div w:id="1331985477">
          <w:marLeft w:val="0"/>
          <w:marRight w:val="0"/>
          <w:marTop w:val="0"/>
          <w:marBottom w:val="0"/>
          <w:divBdr>
            <w:top w:val="none" w:sz="0" w:space="0" w:color="auto"/>
            <w:left w:val="none" w:sz="0" w:space="0" w:color="auto"/>
            <w:bottom w:val="none" w:sz="0" w:space="0" w:color="auto"/>
            <w:right w:val="none" w:sz="0" w:space="0" w:color="auto"/>
          </w:divBdr>
        </w:div>
        <w:div w:id="1495074301">
          <w:marLeft w:val="0"/>
          <w:marRight w:val="0"/>
          <w:marTop w:val="0"/>
          <w:marBottom w:val="0"/>
          <w:divBdr>
            <w:top w:val="none" w:sz="0" w:space="0" w:color="auto"/>
            <w:left w:val="none" w:sz="0" w:space="0" w:color="auto"/>
            <w:bottom w:val="none" w:sz="0" w:space="0" w:color="auto"/>
            <w:right w:val="none" w:sz="0" w:space="0" w:color="auto"/>
          </w:divBdr>
        </w:div>
        <w:div w:id="1557276532">
          <w:marLeft w:val="0"/>
          <w:marRight w:val="0"/>
          <w:marTop w:val="0"/>
          <w:marBottom w:val="0"/>
          <w:divBdr>
            <w:top w:val="none" w:sz="0" w:space="0" w:color="auto"/>
            <w:left w:val="none" w:sz="0" w:space="0" w:color="auto"/>
            <w:bottom w:val="none" w:sz="0" w:space="0" w:color="auto"/>
            <w:right w:val="none" w:sz="0" w:space="0" w:color="auto"/>
          </w:divBdr>
        </w:div>
        <w:div w:id="2062823482">
          <w:marLeft w:val="0"/>
          <w:marRight w:val="0"/>
          <w:marTop w:val="0"/>
          <w:marBottom w:val="0"/>
          <w:divBdr>
            <w:top w:val="none" w:sz="0" w:space="0" w:color="auto"/>
            <w:left w:val="none" w:sz="0" w:space="0" w:color="auto"/>
            <w:bottom w:val="none" w:sz="0" w:space="0" w:color="auto"/>
            <w:right w:val="none" w:sz="0" w:space="0" w:color="auto"/>
          </w:divBdr>
        </w:div>
      </w:divsChild>
    </w:div>
    <w:div w:id="870650956">
      <w:bodyDiv w:val="1"/>
      <w:marLeft w:val="0"/>
      <w:marRight w:val="0"/>
      <w:marTop w:val="0"/>
      <w:marBottom w:val="0"/>
      <w:divBdr>
        <w:top w:val="none" w:sz="0" w:space="0" w:color="auto"/>
        <w:left w:val="none" w:sz="0" w:space="0" w:color="auto"/>
        <w:bottom w:val="none" w:sz="0" w:space="0" w:color="auto"/>
        <w:right w:val="none" w:sz="0" w:space="0" w:color="auto"/>
      </w:divBdr>
    </w:div>
    <w:div w:id="883176758">
      <w:bodyDiv w:val="1"/>
      <w:marLeft w:val="0"/>
      <w:marRight w:val="0"/>
      <w:marTop w:val="0"/>
      <w:marBottom w:val="0"/>
      <w:divBdr>
        <w:top w:val="none" w:sz="0" w:space="0" w:color="auto"/>
        <w:left w:val="none" w:sz="0" w:space="0" w:color="auto"/>
        <w:bottom w:val="none" w:sz="0" w:space="0" w:color="auto"/>
        <w:right w:val="none" w:sz="0" w:space="0" w:color="auto"/>
      </w:divBdr>
    </w:div>
    <w:div w:id="902915099">
      <w:bodyDiv w:val="1"/>
      <w:marLeft w:val="0"/>
      <w:marRight w:val="0"/>
      <w:marTop w:val="0"/>
      <w:marBottom w:val="0"/>
      <w:divBdr>
        <w:top w:val="none" w:sz="0" w:space="0" w:color="auto"/>
        <w:left w:val="none" w:sz="0" w:space="0" w:color="auto"/>
        <w:bottom w:val="none" w:sz="0" w:space="0" w:color="auto"/>
        <w:right w:val="none" w:sz="0" w:space="0" w:color="auto"/>
      </w:divBdr>
    </w:div>
    <w:div w:id="902984555">
      <w:bodyDiv w:val="1"/>
      <w:marLeft w:val="0"/>
      <w:marRight w:val="0"/>
      <w:marTop w:val="0"/>
      <w:marBottom w:val="0"/>
      <w:divBdr>
        <w:top w:val="none" w:sz="0" w:space="0" w:color="auto"/>
        <w:left w:val="none" w:sz="0" w:space="0" w:color="auto"/>
        <w:bottom w:val="none" w:sz="0" w:space="0" w:color="auto"/>
        <w:right w:val="none" w:sz="0" w:space="0" w:color="auto"/>
      </w:divBdr>
    </w:div>
    <w:div w:id="912202501">
      <w:bodyDiv w:val="1"/>
      <w:marLeft w:val="0"/>
      <w:marRight w:val="0"/>
      <w:marTop w:val="0"/>
      <w:marBottom w:val="0"/>
      <w:divBdr>
        <w:top w:val="none" w:sz="0" w:space="0" w:color="auto"/>
        <w:left w:val="none" w:sz="0" w:space="0" w:color="auto"/>
        <w:bottom w:val="none" w:sz="0" w:space="0" w:color="auto"/>
        <w:right w:val="none" w:sz="0" w:space="0" w:color="auto"/>
      </w:divBdr>
    </w:div>
    <w:div w:id="913007736">
      <w:bodyDiv w:val="1"/>
      <w:marLeft w:val="0"/>
      <w:marRight w:val="0"/>
      <w:marTop w:val="0"/>
      <w:marBottom w:val="0"/>
      <w:divBdr>
        <w:top w:val="none" w:sz="0" w:space="0" w:color="auto"/>
        <w:left w:val="none" w:sz="0" w:space="0" w:color="auto"/>
        <w:bottom w:val="none" w:sz="0" w:space="0" w:color="auto"/>
        <w:right w:val="none" w:sz="0" w:space="0" w:color="auto"/>
      </w:divBdr>
    </w:div>
    <w:div w:id="914243636">
      <w:bodyDiv w:val="1"/>
      <w:marLeft w:val="0"/>
      <w:marRight w:val="0"/>
      <w:marTop w:val="0"/>
      <w:marBottom w:val="0"/>
      <w:divBdr>
        <w:top w:val="none" w:sz="0" w:space="0" w:color="auto"/>
        <w:left w:val="none" w:sz="0" w:space="0" w:color="auto"/>
        <w:bottom w:val="none" w:sz="0" w:space="0" w:color="auto"/>
        <w:right w:val="none" w:sz="0" w:space="0" w:color="auto"/>
      </w:divBdr>
    </w:div>
    <w:div w:id="915674603">
      <w:bodyDiv w:val="1"/>
      <w:marLeft w:val="0"/>
      <w:marRight w:val="0"/>
      <w:marTop w:val="0"/>
      <w:marBottom w:val="0"/>
      <w:divBdr>
        <w:top w:val="none" w:sz="0" w:space="0" w:color="auto"/>
        <w:left w:val="none" w:sz="0" w:space="0" w:color="auto"/>
        <w:bottom w:val="none" w:sz="0" w:space="0" w:color="auto"/>
        <w:right w:val="none" w:sz="0" w:space="0" w:color="auto"/>
      </w:divBdr>
    </w:div>
    <w:div w:id="916791083">
      <w:bodyDiv w:val="1"/>
      <w:marLeft w:val="0"/>
      <w:marRight w:val="0"/>
      <w:marTop w:val="0"/>
      <w:marBottom w:val="0"/>
      <w:divBdr>
        <w:top w:val="none" w:sz="0" w:space="0" w:color="auto"/>
        <w:left w:val="none" w:sz="0" w:space="0" w:color="auto"/>
        <w:bottom w:val="none" w:sz="0" w:space="0" w:color="auto"/>
        <w:right w:val="none" w:sz="0" w:space="0" w:color="auto"/>
      </w:divBdr>
    </w:div>
    <w:div w:id="917247692">
      <w:bodyDiv w:val="1"/>
      <w:marLeft w:val="0"/>
      <w:marRight w:val="0"/>
      <w:marTop w:val="0"/>
      <w:marBottom w:val="0"/>
      <w:divBdr>
        <w:top w:val="none" w:sz="0" w:space="0" w:color="auto"/>
        <w:left w:val="none" w:sz="0" w:space="0" w:color="auto"/>
        <w:bottom w:val="none" w:sz="0" w:space="0" w:color="auto"/>
        <w:right w:val="none" w:sz="0" w:space="0" w:color="auto"/>
      </w:divBdr>
    </w:div>
    <w:div w:id="926353528">
      <w:bodyDiv w:val="1"/>
      <w:marLeft w:val="0"/>
      <w:marRight w:val="0"/>
      <w:marTop w:val="0"/>
      <w:marBottom w:val="0"/>
      <w:divBdr>
        <w:top w:val="none" w:sz="0" w:space="0" w:color="auto"/>
        <w:left w:val="none" w:sz="0" w:space="0" w:color="auto"/>
        <w:bottom w:val="none" w:sz="0" w:space="0" w:color="auto"/>
        <w:right w:val="none" w:sz="0" w:space="0" w:color="auto"/>
      </w:divBdr>
    </w:div>
    <w:div w:id="945698431">
      <w:bodyDiv w:val="1"/>
      <w:marLeft w:val="0"/>
      <w:marRight w:val="0"/>
      <w:marTop w:val="0"/>
      <w:marBottom w:val="0"/>
      <w:divBdr>
        <w:top w:val="none" w:sz="0" w:space="0" w:color="auto"/>
        <w:left w:val="none" w:sz="0" w:space="0" w:color="auto"/>
        <w:bottom w:val="none" w:sz="0" w:space="0" w:color="auto"/>
        <w:right w:val="none" w:sz="0" w:space="0" w:color="auto"/>
      </w:divBdr>
    </w:div>
    <w:div w:id="949974609">
      <w:bodyDiv w:val="1"/>
      <w:marLeft w:val="0"/>
      <w:marRight w:val="0"/>
      <w:marTop w:val="0"/>
      <w:marBottom w:val="0"/>
      <w:divBdr>
        <w:top w:val="none" w:sz="0" w:space="0" w:color="auto"/>
        <w:left w:val="none" w:sz="0" w:space="0" w:color="auto"/>
        <w:bottom w:val="none" w:sz="0" w:space="0" w:color="auto"/>
        <w:right w:val="none" w:sz="0" w:space="0" w:color="auto"/>
      </w:divBdr>
    </w:div>
    <w:div w:id="954025564">
      <w:bodyDiv w:val="1"/>
      <w:marLeft w:val="0"/>
      <w:marRight w:val="0"/>
      <w:marTop w:val="0"/>
      <w:marBottom w:val="0"/>
      <w:divBdr>
        <w:top w:val="none" w:sz="0" w:space="0" w:color="auto"/>
        <w:left w:val="none" w:sz="0" w:space="0" w:color="auto"/>
        <w:bottom w:val="none" w:sz="0" w:space="0" w:color="auto"/>
        <w:right w:val="none" w:sz="0" w:space="0" w:color="auto"/>
      </w:divBdr>
    </w:div>
    <w:div w:id="966738136">
      <w:bodyDiv w:val="1"/>
      <w:marLeft w:val="0"/>
      <w:marRight w:val="0"/>
      <w:marTop w:val="0"/>
      <w:marBottom w:val="0"/>
      <w:divBdr>
        <w:top w:val="none" w:sz="0" w:space="0" w:color="auto"/>
        <w:left w:val="none" w:sz="0" w:space="0" w:color="auto"/>
        <w:bottom w:val="none" w:sz="0" w:space="0" w:color="auto"/>
        <w:right w:val="none" w:sz="0" w:space="0" w:color="auto"/>
      </w:divBdr>
    </w:div>
    <w:div w:id="969016275">
      <w:bodyDiv w:val="1"/>
      <w:marLeft w:val="0"/>
      <w:marRight w:val="0"/>
      <w:marTop w:val="0"/>
      <w:marBottom w:val="0"/>
      <w:divBdr>
        <w:top w:val="none" w:sz="0" w:space="0" w:color="auto"/>
        <w:left w:val="none" w:sz="0" w:space="0" w:color="auto"/>
        <w:bottom w:val="none" w:sz="0" w:space="0" w:color="auto"/>
        <w:right w:val="none" w:sz="0" w:space="0" w:color="auto"/>
      </w:divBdr>
    </w:div>
    <w:div w:id="976715600">
      <w:bodyDiv w:val="1"/>
      <w:marLeft w:val="0"/>
      <w:marRight w:val="0"/>
      <w:marTop w:val="0"/>
      <w:marBottom w:val="0"/>
      <w:divBdr>
        <w:top w:val="none" w:sz="0" w:space="0" w:color="auto"/>
        <w:left w:val="none" w:sz="0" w:space="0" w:color="auto"/>
        <w:bottom w:val="none" w:sz="0" w:space="0" w:color="auto"/>
        <w:right w:val="none" w:sz="0" w:space="0" w:color="auto"/>
      </w:divBdr>
    </w:div>
    <w:div w:id="977228936">
      <w:bodyDiv w:val="1"/>
      <w:marLeft w:val="0"/>
      <w:marRight w:val="0"/>
      <w:marTop w:val="0"/>
      <w:marBottom w:val="0"/>
      <w:divBdr>
        <w:top w:val="none" w:sz="0" w:space="0" w:color="auto"/>
        <w:left w:val="none" w:sz="0" w:space="0" w:color="auto"/>
        <w:bottom w:val="none" w:sz="0" w:space="0" w:color="auto"/>
        <w:right w:val="none" w:sz="0" w:space="0" w:color="auto"/>
      </w:divBdr>
    </w:div>
    <w:div w:id="988440394">
      <w:bodyDiv w:val="1"/>
      <w:marLeft w:val="0"/>
      <w:marRight w:val="0"/>
      <w:marTop w:val="0"/>
      <w:marBottom w:val="0"/>
      <w:divBdr>
        <w:top w:val="none" w:sz="0" w:space="0" w:color="auto"/>
        <w:left w:val="none" w:sz="0" w:space="0" w:color="auto"/>
        <w:bottom w:val="none" w:sz="0" w:space="0" w:color="auto"/>
        <w:right w:val="none" w:sz="0" w:space="0" w:color="auto"/>
      </w:divBdr>
    </w:div>
    <w:div w:id="989822850">
      <w:bodyDiv w:val="1"/>
      <w:marLeft w:val="0"/>
      <w:marRight w:val="0"/>
      <w:marTop w:val="0"/>
      <w:marBottom w:val="0"/>
      <w:divBdr>
        <w:top w:val="none" w:sz="0" w:space="0" w:color="auto"/>
        <w:left w:val="none" w:sz="0" w:space="0" w:color="auto"/>
        <w:bottom w:val="none" w:sz="0" w:space="0" w:color="auto"/>
        <w:right w:val="none" w:sz="0" w:space="0" w:color="auto"/>
      </w:divBdr>
      <w:divsChild>
        <w:div w:id="402681124">
          <w:marLeft w:val="0"/>
          <w:marRight w:val="0"/>
          <w:marTop w:val="0"/>
          <w:marBottom w:val="0"/>
          <w:divBdr>
            <w:top w:val="none" w:sz="0" w:space="0" w:color="auto"/>
            <w:left w:val="none" w:sz="0" w:space="0" w:color="auto"/>
            <w:bottom w:val="none" w:sz="0" w:space="0" w:color="auto"/>
            <w:right w:val="none" w:sz="0" w:space="0" w:color="auto"/>
          </w:divBdr>
        </w:div>
        <w:div w:id="688488115">
          <w:marLeft w:val="450"/>
          <w:marRight w:val="0"/>
          <w:marTop w:val="0"/>
          <w:marBottom w:val="0"/>
          <w:divBdr>
            <w:top w:val="none" w:sz="0" w:space="0" w:color="auto"/>
            <w:left w:val="none" w:sz="0" w:space="0" w:color="auto"/>
            <w:bottom w:val="none" w:sz="0" w:space="0" w:color="auto"/>
            <w:right w:val="none" w:sz="0" w:space="0" w:color="auto"/>
          </w:divBdr>
        </w:div>
        <w:div w:id="1069226157">
          <w:marLeft w:val="0"/>
          <w:marRight w:val="0"/>
          <w:marTop w:val="0"/>
          <w:marBottom w:val="0"/>
          <w:divBdr>
            <w:top w:val="none" w:sz="0" w:space="0" w:color="auto"/>
            <w:left w:val="none" w:sz="0" w:space="0" w:color="auto"/>
            <w:bottom w:val="none" w:sz="0" w:space="0" w:color="auto"/>
            <w:right w:val="none" w:sz="0" w:space="0" w:color="auto"/>
          </w:divBdr>
        </w:div>
        <w:div w:id="1177229008">
          <w:marLeft w:val="450"/>
          <w:marRight w:val="0"/>
          <w:marTop w:val="0"/>
          <w:marBottom w:val="0"/>
          <w:divBdr>
            <w:top w:val="none" w:sz="0" w:space="0" w:color="auto"/>
            <w:left w:val="none" w:sz="0" w:space="0" w:color="auto"/>
            <w:bottom w:val="none" w:sz="0" w:space="0" w:color="auto"/>
            <w:right w:val="none" w:sz="0" w:space="0" w:color="auto"/>
          </w:divBdr>
        </w:div>
      </w:divsChild>
    </w:div>
    <w:div w:id="997658365">
      <w:bodyDiv w:val="1"/>
      <w:marLeft w:val="0"/>
      <w:marRight w:val="0"/>
      <w:marTop w:val="0"/>
      <w:marBottom w:val="0"/>
      <w:divBdr>
        <w:top w:val="none" w:sz="0" w:space="0" w:color="auto"/>
        <w:left w:val="none" w:sz="0" w:space="0" w:color="auto"/>
        <w:bottom w:val="none" w:sz="0" w:space="0" w:color="auto"/>
        <w:right w:val="none" w:sz="0" w:space="0" w:color="auto"/>
      </w:divBdr>
    </w:div>
    <w:div w:id="1001278003">
      <w:bodyDiv w:val="1"/>
      <w:marLeft w:val="0"/>
      <w:marRight w:val="0"/>
      <w:marTop w:val="0"/>
      <w:marBottom w:val="0"/>
      <w:divBdr>
        <w:top w:val="none" w:sz="0" w:space="0" w:color="auto"/>
        <w:left w:val="none" w:sz="0" w:space="0" w:color="auto"/>
        <w:bottom w:val="none" w:sz="0" w:space="0" w:color="auto"/>
        <w:right w:val="none" w:sz="0" w:space="0" w:color="auto"/>
      </w:divBdr>
    </w:div>
    <w:div w:id="1005786535">
      <w:bodyDiv w:val="1"/>
      <w:marLeft w:val="0"/>
      <w:marRight w:val="0"/>
      <w:marTop w:val="0"/>
      <w:marBottom w:val="0"/>
      <w:divBdr>
        <w:top w:val="none" w:sz="0" w:space="0" w:color="auto"/>
        <w:left w:val="none" w:sz="0" w:space="0" w:color="auto"/>
        <w:bottom w:val="none" w:sz="0" w:space="0" w:color="auto"/>
        <w:right w:val="none" w:sz="0" w:space="0" w:color="auto"/>
      </w:divBdr>
    </w:div>
    <w:div w:id="1007711724">
      <w:bodyDiv w:val="1"/>
      <w:marLeft w:val="0"/>
      <w:marRight w:val="0"/>
      <w:marTop w:val="0"/>
      <w:marBottom w:val="0"/>
      <w:divBdr>
        <w:top w:val="none" w:sz="0" w:space="0" w:color="auto"/>
        <w:left w:val="none" w:sz="0" w:space="0" w:color="auto"/>
        <w:bottom w:val="none" w:sz="0" w:space="0" w:color="auto"/>
        <w:right w:val="none" w:sz="0" w:space="0" w:color="auto"/>
      </w:divBdr>
    </w:div>
    <w:div w:id="1016535814">
      <w:bodyDiv w:val="1"/>
      <w:marLeft w:val="0"/>
      <w:marRight w:val="0"/>
      <w:marTop w:val="0"/>
      <w:marBottom w:val="0"/>
      <w:divBdr>
        <w:top w:val="none" w:sz="0" w:space="0" w:color="auto"/>
        <w:left w:val="none" w:sz="0" w:space="0" w:color="auto"/>
        <w:bottom w:val="none" w:sz="0" w:space="0" w:color="auto"/>
        <w:right w:val="none" w:sz="0" w:space="0" w:color="auto"/>
      </w:divBdr>
    </w:div>
    <w:div w:id="1016882830">
      <w:bodyDiv w:val="1"/>
      <w:marLeft w:val="0"/>
      <w:marRight w:val="0"/>
      <w:marTop w:val="0"/>
      <w:marBottom w:val="0"/>
      <w:divBdr>
        <w:top w:val="none" w:sz="0" w:space="0" w:color="auto"/>
        <w:left w:val="none" w:sz="0" w:space="0" w:color="auto"/>
        <w:bottom w:val="none" w:sz="0" w:space="0" w:color="auto"/>
        <w:right w:val="none" w:sz="0" w:space="0" w:color="auto"/>
      </w:divBdr>
    </w:div>
    <w:div w:id="1028599153">
      <w:bodyDiv w:val="1"/>
      <w:marLeft w:val="0"/>
      <w:marRight w:val="0"/>
      <w:marTop w:val="0"/>
      <w:marBottom w:val="0"/>
      <w:divBdr>
        <w:top w:val="none" w:sz="0" w:space="0" w:color="auto"/>
        <w:left w:val="none" w:sz="0" w:space="0" w:color="auto"/>
        <w:bottom w:val="none" w:sz="0" w:space="0" w:color="auto"/>
        <w:right w:val="none" w:sz="0" w:space="0" w:color="auto"/>
      </w:divBdr>
    </w:div>
    <w:div w:id="1031761430">
      <w:bodyDiv w:val="1"/>
      <w:marLeft w:val="0"/>
      <w:marRight w:val="0"/>
      <w:marTop w:val="0"/>
      <w:marBottom w:val="0"/>
      <w:divBdr>
        <w:top w:val="none" w:sz="0" w:space="0" w:color="auto"/>
        <w:left w:val="none" w:sz="0" w:space="0" w:color="auto"/>
        <w:bottom w:val="none" w:sz="0" w:space="0" w:color="auto"/>
        <w:right w:val="none" w:sz="0" w:space="0" w:color="auto"/>
      </w:divBdr>
    </w:div>
    <w:div w:id="1035614017">
      <w:bodyDiv w:val="1"/>
      <w:marLeft w:val="0"/>
      <w:marRight w:val="0"/>
      <w:marTop w:val="0"/>
      <w:marBottom w:val="0"/>
      <w:divBdr>
        <w:top w:val="none" w:sz="0" w:space="0" w:color="auto"/>
        <w:left w:val="none" w:sz="0" w:space="0" w:color="auto"/>
        <w:bottom w:val="none" w:sz="0" w:space="0" w:color="auto"/>
        <w:right w:val="none" w:sz="0" w:space="0" w:color="auto"/>
      </w:divBdr>
    </w:div>
    <w:div w:id="1037466433">
      <w:bodyDiv w:val="1"/>
      <w:marLeft w:val="0"/>
      <w:marRight w:val="0"/>
      <w:marTop w:val="0"/>
      <w:marBottom w:val="0"/>
      <w:divBdr>
        <w:top w:val="none" w:sz="0" w:space="0" w:color="auto"/>
        <w:left w:val="none" w:sz="0" w:space="0" w:color="auto"/>
        <w:bottom w:val="none" w:sz="0" w:space="0" w:color="auto"/>
        <w:right w:val="none" w:sz="0" w:space="0" w:color="auto"/>
      </w:divBdr>
    </w:div>
    <w:div w:id="1038508132">
      <w:bodyDiv w:val="1"/>
      <w:marLeft w:val="0"/>
      <w:marRight w:val="0"/>
      <w:marTop w:val="0"/>
      <w:marBottom w:val="0"/>
      <w:divBdr>
        <w:top w:val="none" w:sz="0" w:space="0" w:color="auto"/>
        <w:left w:val="none" w:sz="0" w:space="0" w:color="auto"/>
        <w:bottom w:val="none" w:sz="0" w:space="0" w:color="auto"/>
        <w:right w:val="none" w:sz="0" w:space="0" w:color="auto"/>
      </w:divBdr>
    </w:div>
    <w:div w:id="1041444966">
      <w:bodyDiv w:val="1"/>
      <w:marLeft w:val="0"/>
      <w:marRight w:val="0"/>
      <w:marTop w:val="0"/>
      <w:marBottom w:val="0"/>
      <w:divBdr>
        <w:top w:val="none" w:sz="0" w:space="0" w:color="auto"/>
        <w:left w:val="none" w:sz="0" w:space="0" w:color="auto"/>
        <w:bottom w:val="none" w:sz="0" w:space="0" w:color="auto"/>
        <w:right w:val="none" w:sz="0" w:space="0" w:color="auto"/>
      </w:divBdr>
    </w:div>
    <w:div w:id="1043989329">
      <w:bodyDiv w:val="1"/>
      <w:marLeft w:val="0"/>
      <w:marRight w:val="0"/>
      <w:marTop w:val="0"/>
      <w:marBottom w:val="0"/>
      <w:divBdr>
        <w:top w:val="none" w:sz="0" w:space="0" w:color="auto"/>
        <w:left w:val="none" w:sz="0" w:space="0" w:color="auto"/>
        <w:bottom w:val="none" w:sz="0" w:space="0" w:color="auto"/>
        <w:right w:val="none" w:sz="0" w:space="0" w:color="auto"/>
      </w:divBdr>
    </w:div>
    <w:div w:id="1050304324">
      <w:bodyDiv w:val="1"/>
      <w:marLeft w:val="0"/>
      <w:marRight w:val="0"/>
      <w:marTop w:val="0"/>
      <w:marBottom w:val="0"/>
      <w:divBdr>
        <w:top w:val="none" w:sz="0" w:space="0" w:color="auto"/>
        <w:left w:val="none" w:sz="0" w:space="0" w:color="auto"/>
        <w:bottom w:val="none" w:sz="0" w:space="0" w:color="auto"/>
        <w:right w:val="none" w:sz="0" w:space="0" w:color="auto"/>
      </w:divBdr>
    </w:div>
    <w:div w:id="1053039262">
      <w:bodyDiv w:val="1"/>
      <w:marLeft w:val="0"/>
      <w:marRight w:val="0"/>
      <w:marTop w:val="0"/>
      <w:marBottom w:val="0"/>
      <w:divBdr>
        <w:top w:val="none" w:sz="0" w:space="0" w:color="auto"/>
        <w:left w:val="none" w:sz="0" w:space="0" w:color="auto"/>
        <w:bottom w:val="none" w:sz="0" w:space="0" w:color="auto"/>
        <w:right w:val="none" w:sz="0" w:space="0" w:color="auto"/>
      </w:divBdr>
    </w:div>
    <w:div w:id="1056319731">
      <w:bodyDiv w:val="1"/>
      <w:marLeft w:val="0"/>
      <w:marRight w:val="0"/>
      <w:marTop w:val="0"/>
      <w:marBottom w:val="0"/>
      <w:divBdr>
        <w:top w:val="none" w:sz="0" w:space="0" w:color="auto"/>
        <w:left w:val="none" w:sz="0" w:space="0" w:color="auto"/>
        <w:bottom w:val="none" w:sz="0" w:space="0" w:color="auto"/>
        <w:right w:val="none" w:sz="0" w:space="0" w:color="auto"/>
      </w:divBdr>
    </w:div>
    <w:div w:id="1057510650">
      <w:bodyDiv w:val="1"/>
      <w:marLeft w:val="0"/>
      <w:marRight w:val="0"/>
      <w:marTop w:val="0"/>
      <w:marBottom w:val="0"/>
      <w:divBdr>
        <w:top w:val="none" w:sz="0" w:space="0" w:color="auto"/>
        <w:left w:val="none" w:sz="0" w:space="0" w:color="auto"/>
        <w:bottom w:val="none" w:sz="0" w:space="0" w:color="auto"/>
        <w:right w:val="none" w:sz="0" w:space="0" w:color="auto"/>
      </w:divBdr>
    </w:div>
    <w:div w:id="1063453125">
      <w:bodyDiv w:val="1"/>
      <w:marLeft w:val="0"/>
      <w:marRight w:val="0"/>
      <w:marTop w:val="0"/>
      <w:marBottom w:val="0"/>
      <w:divBdr>
        <w:top w:val="none" w:sz="0" w:space="0" w:color="auto"/>
        <w:left w:val="none" w:sz="0" w:space="0" w:color="auto"/>
        <w:bottom w:val="none" w:sz="0" w:space="0" w:color="auto"/>
        <w:right w:val="none" w:sz="0" w:space="0" w:color="auto"/>
      </w:divBdr>
    </w:div>
    <w:div w:id="1065104412">
      <w:bodyDiv w:val="1"/>
      <w:marLeft w:val="0"/>
      <w:marRight w:val="0"/>
      <w:marTop w:val="0"/>
      <w:marBottom w:val="0"/>
      <w:divBdr>
        <w:top w:val="none" w:sz="0" w:space="0" w:color="auto"/>
        <w:left w:val="none" w:sz="0" w:space="0" w:color="auto"/>
        <w:bottom w:val="none" w:sz="0" w:space="0" w:color="auto"/>
        <w:right w:val="none" w:sz="0" w:space="0" w:color="auto"/>
      </w:divBdr>
    </w:div>
    <w:div w:id="1066297940">
      <w:bodyDiv w:val="1"/>
      <w:marLeft w:val="0"/>
      <w:marRight w:val="0"/>
      <w:marTop w:val="0"/>
      <w:marBottom w:val="0"/>
      <w:divBdr>
        <w:top w:val="none" w:sz="0" w:space="0" w:color="auto"/>
        <w:left w:val="none" w:sz="0" w:space="0" w:color="auto"/>
        <w:bottom w:val="none" w:sz="0" w:space="0" w:color="auto"/>
        <w:right w:val="none" w:sz="0" w:space="0" w:color="auto"/>
      </w:divBdr>
    </w:div>
    <w:div w:id="1067923896">
      <w:bodyDiv w:val="1"/>
      <w:marLeft w:val="0"/>
      <w:marRight w:val="0"/>
      <w:marTop w:val="0"/>
      <w:marBottom w:val="0"/>
      <w:divBdr>
        <w:top w:val="none" w:sz="0" w:space="0" w:color="auto"/>
        <w:left w:val="none" w:sz="0" w:space="0" w:color="auto"/>
        <w:bottom w:val="none" w:sz="0" w:space="0" w:color="auto"/>
        <w:right w:val="none" w:sz="0" w:space="0" w:color="auto"/>
      </w:divBdr>
    </w:div>
    <w:div w:id="1073159855">
      <w:bodyDiv w:val="1"/>
      <w:marLeft w:val="0"/>
      <w:marRight w:val="0"/>
      <w:marTop w:val="0"/>
      <w:marBottom w:val="0"/>
      <w:divBdr>
        <w:top w:val="none" w:sz="0" w:space="0" w:color="auto"/>
        <w:left w:val="none" w:sz="0" w:space="0" w:color="auto"/>
        <w:bottom w:val="none" w:sz="0" w:space="0" w:color="auto"/>
        <w:right w:val="none" w:sz="0" w:space="0" w:color="auto"/>
      </w:divBdr>
    </w:div>
    <w:div w:id="1082409135">
      <w:bodyDiv w:val="1"/>
      <w:marLeft w:val="0"/>
      <w:marRight w:val="0"/>
      <w:marTop w:val="0"/>
      <w:marBottom w:val="0"/>
      <w:divBdr>
        <w:top w:val="none" w:sz="0" w:space="0" w:color="auto"/>
        <w:left w:val="none" w:sz="0" w:space="0" w:color="auto"/>
        <w:bottom w:val="none" w:sz="0" w:space="0" w:color="auto"/>
        <w:right w:val="none" w:sz="0" w:space="0" w:color="auto"/>
      </w:divBdr>
    </w:div>
    <w:div w:id="1086616162">
      <w:bodyDiv w:val="1"/>
      <w:marLeft w:val="0"/>
      <w:marRight w:val="0"/>
      <w:marTop w:val="0"/>
      <w:marBottom w:val="0"/>
      <w:divBdr>
        <w:top w:val="none" w:sz="0" w:space="0" w:color="auto"/>
        <w:left w:val="none" w:sz="0" w:space="0" w:color="auto"/>
        <w:bottom w:val="none" w:sz="0" w:space="0" w:color="auto"/>
        <w:right w:val="none" w:sz="0" w:space="0" w:color="auto"/>
      </w:divBdr>
    </w:div>
    <w:div w:id="1089350356">
      <w:bodyDiv w:val="1"/>
      <w:marLeft w:val="0"/>
      <w:marRight w:val="0"/>
      <w:marTop w:val="0"/>
      <w:marBottom w:val="0"/>
      <w:divBdr>
        <w:top w:val="none" w:sz="0" w:space="0" w:color="auto"/>
        <w:left w:val="none" w:sz="0" w:space="0" w:color="auto"/>
        <w:bottom w:val="none" w:sz="0" w:space="0" w:color="auto"/>
        <w:right w:val="none" w:sz="0" w:space="0" w:color="auto"/>
      </w:divBdr>
    </w:div>
    <w:div w:id="1092358773">
      <w:bodyDiv w:val="1"/>
      <w:marLeft w:val="0"/>
      <w:marRight w:val="0"/>
      <w:marTop w:val="0"/>
      <w:marBottom w:val="0"/>
      <w:divBdr>
        <w:top w:val="none" w:sz="0" w:space="0" w:color="auto"/>
        <w:left w:val="none" w:sz="0" w:space="0" w:color="auto"/>
        <w:bottom w:val="none" w:sz="0" w:space="0" w:color="auto"/>
        <w:right w:val="none" w:sz="0" w:space="0" w:color="auto"/>
      </w:divBdr>
    </w:div>
    <w:div w:id="1100873838">
      <w:bodyDiv w:val="1"/>
      <w:marLeft w:val="0"/>
      <w:marRight w:val="0"/>
      <w:marTop w:val="0"/>
      <w:marBottom w:val="0"/>
      <w:divBdr>
        <w:top w:val="none" w:sz="0" w:space="0" w:color="auto"/>
        <w:left w:val="none" w:sz="0" w:space="0" w:color="auto"/>
        <w:bottom w:val="none" w:sz="0" w:space="0" w:color="auto"/>
        <w:right w:val="none" w:sz="0" w:space="0" w:color="auto"/>
      </w:divBdr>
    </w:div>
    <w:div w:id="1111898920">
      <w:bodyDiv w:val="1"/>
      <w:marLeft w:val="0"/>
      <w:marRight w:val="0"/>
      <w:marTop w:val="0"/>
      <w:marBottom w:val="0"/>
      <w:divBdr>
        <w:top w:val="none" w:sz="0" w:space="0" w:color="auto"/>
        <w:left w:val="none" w:sz="0" w:space="0" w:color="auto"/>
        <w:bottom w:val="none" w:sz="0" w:space="0" w:color="auto"/>
        <w:right w:val="none" w:sz="0" w:space="0" w:color="auto"/>
      </w:divBdr>
    </w:div>
    <w:div w:id="1127620057">
      <w:bodyDiv w:val="1"/>
      <w:marLeft w:val="0"/>
      <w:marRight w:val="0"/>
      <w:marTop w:val="0"/>
      <w:marBottom w:val="0"/>
      <w:divBdr>
        <w:top w:val="none" w:sz="0" w:space="0" w:color="auto"/>
        <w:left w:val="none" w:sz="0" w:space="0" w:color="auto"/>
        <w:bottom w:val="none" w:sz="0" w:space="0" w:color="auto"/>
        <w:right w:val="none" w:sz="0" w:space="0" w:color="auto"/>
      </w:divBdr>
    </w:div>
    <w:div w:id="1154949600">
      <w:bodyDiv w:val="1"/>
      <w:marLeft w:val="0"/>
      <w:marRight w:val="0"/>
      <w:marTop w:val="0"/>
      <w:marBottom w:val="0"/>
      <w:divBdr>
        <w:top w:val="none" w:sz="0" w:space="0" w:color="auto"/>
        <w:left w:val="none" w:sz="0" w:space="0" w:color="auto"/>
        <w:bottom w:val="none" w:sz="0" w:space="0" w:color="auto"/>
        <w:right w:val="none" w:sz="0" w:space="0" w:color="auto"/>
      </w:divBdr>
    </w:div>
    <w:div w:id="1159495518">
      <w:bodyDiv w:val="1"/>
      <w:marLeft w:val="0"/>
      <w:marRight w:val="0"/>
      <w:marTop w:val="0"/>
      <w:marBottom w:val="0"/>
      <w:divBdr>
        <w:top w:val="none" w:sz="0" w:space="0" w:color="auto"/>
        <w:left w:val="none" w:sz="0" w:space="0" w:color="auto"/>
        <w:bottom w:val="none" w:sz="0" w:space="0" w:color="auto"/>
        <w:right w:val="none" w:sz="0" w:space="0" w:color="auto"/>
      </w:divBdr>
    </w:div>
    <w:div w:id="1168058154">
      <w:bodyDiv w:val="1"/>
      <w:marLeft w:val="0"/>
      <w:marRight w:val="0"/>
      <w:marTop w:val="0"/>
      <w:marBottom w:val="0"/>
      <w:divBdr>
        <w:top w:val="none" w:sz="0" w:space="0" w:color="auto"/>
        <w:left w:val="none" w:sz="0" w:space="0" w:color="auto"/>
        <w:bottom w:val="none" w:sz="0" w:space="0" w:color="auto"/>
        <w:right w:val="none" w:sz="0" w:space="0" w:color="auto"/>
      </w:divBdr>
    </w:div>
    <w:div w:id="1186364108">
      <w:bodyDiv w:val="1"/>
      <w:marLeft w:val="0"/>
      <w:marRight w:val="0"/>
      <w:marTop w:val="0"/>
      <w:marBottom w:val="0"/>
      <w:divBdr>
        <w:top w:val="none" w:sz="0" w:space="0" w:color="auto"/>
        <w:left w:val="none" w:sz="0" w:space="0" w:color="auto"/>
        <w:bottom w:val="none" w:sz="0" w:space="0" w:color="auto"/>
        <w:right w:val="none" w:sz="0" w:space="0" w:color="auto"/>
      </w:divBdr>
    </w:div>
    <w:div w:id="1195967873">
      <w:bodyDiv w:val="1"/>
      <w:marLeft w:val="0"/>
      <w:marRight w:val="0"/>
      <w:marTop w:val="0"/>
      <w:marBottom w:val="0"/>
      <w:divBdr>
        <w:top w:val="none" w:sz="0" w:space="0" w:color="auto"/>
        <w:left w:val="none" w:sz="0" w:space="0" w:color="auto"/>
        <w:bottom w:val="none" w:sz="0" w:space="0" w:color="auto"/>
        <w:right w:val="none" w:sz="0" w:space="0" w:color="auto"/>
      </w:divBdr>
    </w:div>
    <w:div w:id="1201169827">
      <w:bodyDiv w:val="1"/>
      <w:marLeft w:val="0"/>
      <w:marRight w:val="0"/>
      <w:marTop w:val="0"/>
      <w:marBottom w:val="0"/>
      <w:divBdr>
        <w:top w:val="none" w:sz="0" w:space="0" w:color="auto"/>
        <w:left w:val="none" w:sz="0" w:space="0" w:color="auto"/>
        <w:bottom w:val="none" w:sz="0" w:space="0" w:color="auto"/>
        <w:right w:val="none" w:sz="0" w:space="0" w:color="auto"/>
      </w:divBdr>
      <w:divsChild>
        <w:div w:id="397941991">
          <w:marLeft w:val="0"/>
          <w:marRight w:val="0"/>
          <w:marTop w:val="0"/>
          <w:marBottom w:val="0"/>
          <w:divBdr>
            <w:top w:val="none" w:sz="0" w:space="0" w:color="auto"/>
            <w:left w:val="none" w:sz="0" w:space="0" w:color="auto"/>
            <w:bottom w:val="none" w:sz="0" w:space="0" w:color="auto"/>
            <w:right w:val="none" w:sz="0" w:space="0" w:color="auto"/>
          </w:divBdr>
        </w:div>
        <w:div w:id="716708735">
          <w:marLeft w:val="0"/>
          <w:marRight w:val="0"/>
          <w:marTop w:val="0"/>
          <w:marBottom w:val="0"/>
          <w:divBdr>
            <w:top w:val="none" w:sz="0" w:space="0" w:color="auto"/>
            <w:left w:val="none" w:sz="0" w:space="0" w:color="auto"/>
            <w:bottom w:val="none" w:sz="0" w:space="0" w:color="auto"/>
            <w:right w:val="none" w:sz="0" w:space="0" w:color="auto"/>
          </w:divBdr>
        </w:div>
        <w:div w:id="1320113042">
          <w:marLeft w:val="450"/>
          <w:marRight w:val="0"/>
          <w:marTop w:val="0"/>
          <w:marBottom w:val="0"/>
          <w:divBdr>
            <w:top w:val="none" w:sz="0" w:space="0" w:color="auto"/>
            <w:left w:val="none" w:sz="0" w:space="0" w:color="auto"/>
            <w:bottom w:val="none" w:sz="0" w:space="0" w:color="auto"/>
            <w:right w:val="none" w:sz="0" w:space="0" w:color="auto"/>
          </w:divBdr>
        </w:div>
        <w:div w:id="2016954512">
          <w:marLeft w:val="450"/>
          <w:marRight w:val="0"/>
          <w:marTop w:val="0"/>
          <w:marBottom w:val="0"/>
          <w:divBdr>
            <w:top w:val="none" w:sz="0" w:space="0" w:color="auto"/>
            <w:left w:val="none" w:sz="0" w:space="0" w:color="auto"/>
            <w:bottom w:val="none" w:sz="0" w:space="0" w:color="auto"/>
            <w:right w:val="none" w:sz="0" w:space="0" w:color="auto"/>
          </w:divBdr>
        </w:div>
      </w:divsChild>
    </w:div>
    <w:div w:id="1210455375">
      <w:bodyDiv w:val="1"/>
      <w:marLeft w:val="0"/>
      <w:marRight w:val="0"/>
      <w:marTop w:val="0"/>
      <w:marBottom w:val="0"/>
      <w:divBdr>
        <w:top w:val="none" w:sz="0" w:space="0" w:color="auto"/>
        <w:left w:val="none" w:sz="0" w:space="0" w:color="auto"/>
        <w:bottom w:val="none" w:sz="0" w:space="0" w:color="auto"/>
        <w:right w:val="none" w:sz="0" w:space="0" w:color="auto"/>
      </w:divBdr>
    </w:div>
    <w:div w:id="1219900690">
      <w:bodyDiv w:val="1"/>
      <w:marLeft w:val="0"/>
      <w:marRight w:val="0"/>
      <w:marTop w:val="0"/>
      <w:marBottom w:val="0"/>
      <w:divBdr>
        <w:top w:val="none" w:sz="0" w:space="0" w:color="auto"/>
        <w:left w:val="none" w:sz="0" w:space="0" w:color="auto"/>
        <w:bottom w:val="none" w:sz="0" w:space="0" w:color="auto"/>
        <w:right w:val="none" w:sz="0" w:space="0" w:color="auto"/>
      </w:divBdr>
    </w:div>
    <w:div w:id="1228220906">
      <w:bodyDiv w:val="1"/>
      <w:marLeft w:val="0"/>
      <w:marRight w:val="0"/>
      <w:marTop w:val="0"/>
      <w:marBottom w:val="0"/>
      <w:divBdr>
        <w:top w:val="none" w:sz="0" w:space="0" w:color="auto"/>
        <w:left w:val="none" w:sz="0" w:space="0" w:color="auto"/>
        <w:bottom w:val="none" w:sz="0" w:space="0" w:color="auto"/>
        <w:right w:val="none" w:sz="0" w:space="0" w:color="auto"/>
      </w:divBdr>
    </w:div>
    <w:div w:id="1229196293">
      <w:bodyDiv w:val="1"/>
      <w:marLeft w:val="0"/>
      <w:marRight w:val="0"/>
      <w:marTop w:val="0"/>
      <w:marBottom w:val="0"/>
      <w:divBdr>
        <w:top w:val="none" w:sz="0" w:space="0" w:color="auto"/>
        <w:left w:val="none" w:sz="0" w:space="0" w:color="auto"/>
        <w:bottom w:val="none" w:sz="0" w:space="0" w:color="auto"/>
        <w:right w:val="none" w:sz="0" w:space="0" w:color="auto"/>
      </w:divBdr>
    </w:div>
    <w:div w:id="1234123151">
      <w:bodyDiv w:val="1"/>
      <w:marLeft w:val="0"/>
      <w:marRight w:val="0"/>
      <w:marTop w:val="0"/>
      <w:marBottom w:val="0"/>
      <w:divBdr>
        <w:top w:val="none" w:sz="0" w:space="0" w:color="auto"/>
        <w:left w:val="none" w:sz="0" w:space="0" w:color="auto"/>
        <w:bottom w:val="none" w:sz="0" w:space="0" w:color="auto"/>
        <w:right w:val="none" w:sz="0" w:space="0" w:color="auto"/>
      </w:divBdr>
    </w:div>
    <w:div w:id="1234468430">
      <w:bodyDiv w:val="1"/>
      <w:marLeft w:val="0"/>
      <w:marRight w:val="0"/>
      <w:marTop w:val="0"/>
      <w:marBottom w:val="0"/>
      <w:divBdr>
        <w:top w:val="none" w:sz="0" w:space="0" w:color="auto"/>
        <w:left w:val="none" w:sz="0" w:space="0" w:color="auto"/>
        <w:bottom w:val="none" w:sz="0" w:space="0" w:color="auto"/>
        <w:right w:val="none" w:sz="0" w:space="0" w:color="auto"/>
      </w:divBdr>
    </w:div>
    <w:div w:id="1239176100">
      <w:bodyDiv w:val="1"/>
      <w:marLeft w:val="0"/>
      <w:marRight w:val="0"/>
      <w:marTop w:val="0"/>
      <w:marBottom w:val="0"/>
      <w:divBdr>
        <w:top w:val="none" w:sz="0" w:space="0" w:color="auto"/>
        <w:left w:val="none" w:sz="0" w:space="0" w:color="auto"/>
        <w:bottom w:val="none" w:sz="0" w:space="0" w:color="auto"/>
        <w:right w:val="none" w:sz="0" w:space="0" w:color="auto"/>
      </w:divBdr>
    </w:div>
    <w:div w:id="1248729524">
      <w:bodyDiv w:val="1"/>
      <w:marLeft w:val="0"/>
      <w:marRight w:val="0"/>
      <w:marTop w:val="0"/>
      <w:marBottom w:val="0"/>
      <w:divBdr>
        <w:top w:val="none" w:sz="0" w:space="0" w:color="auto"/>
        <w:left w:val="none" w:sz="0" w:space="0" w:color="auto"/>
        <w:bottom w:val="none" w:sz="0" w:space="0" w:color="auto"/>
        <w:right w:val="none" w:sz="0" w:space="0" w:color="auto"/>
      </w:divBdr>
    </w:div>
    <w:div w:id="1256130436">
      <w:bodyDiv w:val="1"/>
      <w:marLeft w:val="0"/>
      <w:marRight w:val="0"/>
      <w:marTop w:val="0"/>
      <w:marBottom w:val="0"/>
      <w:divBdr>
        <w:top w:val="none" w:sz="0" w:space="0" w:color="auto"/>
        <w:left w:val="none" w:sz="0" w:space="0" w:color="auto"/>
        <w:bottom w:val="none" w:sz="0" w:space="0" w:color="auto"/>
        <w:right w:val="none" w:sz="0" w:space="0" w:color="auto"/>
      </w:divBdr>
    </w:div>
    <w:div w:id="1259828658">
      <w:bodyDiv w:val="1"/>
      <w:marLeft w:val="0"/>
      <w:marRight w:val="0"/>
      <w:marTop w:val="0"/>
      <w:marBottom w:val="0"/>
      <w:divBdr>
        <w:top w:val="none" w:sz="0" w:space="0" w:color="auto"/>
        <w:left w:val="none" w:sz="0" w:space="0" w:color="auto"/>
        <w:bottom w:val="none" w:sz="0" w:space="0" w:color="auto"/>
        <w:right w:val="none" w:sz="0" w:space="0" w:color="auto"/>
      </w:divBdr>
    </w:div>
    <w:div w:id="1262882480">
      <w:bodyDiv w:val="1"/>
      <w:marLeft w:val="0"/>
      <w:marRight w:val="0"/>
      <w:marTop w:val="0"/>
      <w:marBottom w:val="0"/>
      <w:divBdr>
        <w:top w:val="none" w:sz="0" w:space="0" w:color="auto"/>
        <w:left w:val="none" w:sz="0" w:space="0" w:color="auto"/>
        <w:bottom w:val="none" w:sz="0" w:space="0" w:color="auto"/>
        <w:right w:val="none" w:sz="0" w:space="0" w:color="auto"/>
      </w:divBdr>
    </w:div>
    <w:div w:id="1264416121">
      <w:bodyDiv w:val="1"/>
      <w:marLeft w:val="0"/>
      <w:marRight w:val="0"/>
      <w:marTop w:val="0"/>
      <w:marBottom w:val="0"/>
      <w:divBdr>
        <w:top w:val="none" w:sz="0" w:space="0" w:color="auto"/>
        <w:left w:val="none" w:sz="0" w:space="0" w:color="auto"/>
        <w:bottom w:val="none" w:sz="0" w:space="0" w:color="auto"/>
        <w:right w:val="none" w:sz="0" w:space="0" w:color="auto"/>
      </w:divBdr>
    </w:div>
    <w:div w:id="1272472964">
      <w:bodyDiv w:val="1"/>
      <w:marLeft w:val="0"/>
      <w:marRight w:val="0"/>
      <w:marTop w:val="0"/>
      <w:marBottom w:val="0"/>
      <w:divBdr>
        <w:top w:val="none" w:sz="0" w:space="0" w:color="auto"/>
        <w:left w:val="none" w:sz="0" w:space="0" w:color="auto"/>
        <w:bottom w:val="none" w:sz="0" w:space="0" w:color="auto"/>
        <w:right w:val="none" w:sz="0" w:space="0" w:color="auto"/>
      </w:divBdr>
    </w:div>
    <w:div w:id="1289509246">
      <w:bodyDiv w:val="1"/>
      <w:marLeft w:val="0"/>
      <w:marRight w:val="0"/>
      <w:marTop w:val="0"/>
      <w:marBottom w:val="0"/>
      <w:divBdr>
        <w:top w:val="none" w:sz="0" w:space="0" w:color="auto"/>
        <w:left w:val="none" w:sz="0" w:space="0" w:color="auto"/>
        <w:bottom w:val="none" w:sz="0" w:space="0" w:color="auto"/>
        <w:right w:val="none" w:sz="0" w:space="0" w:color="auto"/>
      </w:divBdr>
    </w:div>
    <w:div w:id="1301031312">
      <w:bodyDiv w:val="1"/>
      <w:marLeft w:val="0"/>
      <w:marRight w:val="0"/>
      <w:marTop w:val="0"/>
      <w:marBottom w:val="0"/>
      <w:divBdr>
        <w:top w:val="none" w:sz="0" w:space="0" w:color="auto"/>
        <w:left w:val="none" w:sz="0" w:space="0" w:color="auto"/>
        <w:bottom w:val="none" w:sz="0" w:space="0" w:color="auto"/>
        <w:right w:val="none" w:sz="0" w:space="0" w:color="auto"/>
      </w:divBdr>
    </w:div>
    <w:div w:id="1309675475">
      <w:bodyDiv w:val="1"/>
      <w:marLeft w:val="0"/>
      <w:marRight w:val="0"/>
      <w:marTop w:val="0"/>
      <w:marBottom w:val="0"/>
      <w:divBdr>
        <w:top w:val="none" w:sz="0" w:space="0" w:color="auto"/>
        <w:left w:val="none" w:sz="0" w:space="0" w:color="auto"/>
        <w:bottom w:val="none" w:sz="0" w:space="0" w:color="auto"/>
        <w:right w:val="none" w:sz="0" w:space="0" w:color="auto"/>
      </w:divBdr>
    </w:div>
    <w:div w:id="1312128699">
      <w:bodyDiv w:val="1"/>
      <w:marLeft w:val="0"/>
      <w:marRight w:val="0"/>
      <w:marTop w:val="0"/>
      <w:marBottom w:val="0"/>
      <w:divBdr>
        <w:top w:val="none" w:sz="0" w:space="0" w:color="auto"/>
        <w:left w:val="none" w:sz="0" w:space="0" w:color="auto"/>
        <w:bottom w:val="none" w:sz="0" w:space="0" w:color="auto"/>
        <w:right w:val="none" w:sz="0" w:space="0" w:color="auto"/>
      </w:divBdr>
    </w:div>
    <w:div w:id="1321495432">
      <w:bodyDiv w:val="1"/>
      <w:marLeft w:val="0"/>
      <w:marRight w:val="0"/>
      <w:marTop w:val="0"/>
      <w:marBottom w:val="0"/>
      <w:divBdr>
        <w:top w:val="none" w:sz="0" w:space="0" w:color="auto"/>
        <w:left w:val="none" w:sz="0" w:space="0" w:color="auto"/>
        <w:bottom w:val="none" w:sz="0" w:space="0" w:color="auto"/>
        <w:right w:val="none" w:sz="0" w:space="0" w:color="auto"/>
      </w:divBdr>
    </w:div>
    <w:div w:id="1326322834">
      <w:bodyDiv w:val="1"/>
      <w:marLeft w:val="0"/>
      <w:marRight w:val="0"/>
      <w:marTop w:val="0"/>
      <w:marBottom w:val="0"/>
      <w:divBdr>
        <w:top w:val="none" w:sz="0" w:space="0" w:color="auto"/>
        <w:left w:val="none" w:sz="0" w:space="0" w:color="auto"/>
        <w:bottom w:val="none" w:sz="0" w:space="0" w:color="auto"/>
        <w:right w:val="none" w:sz="0" w:space="0" w:color="auto"/>
      </w:divBdr>
    </w:div>
    <w:div w:id="1330064362">
      <w:bodyDiv w:val="1"/>
      <w:marLeft w:val="0"/>
      <w:marRight w:val="0"/>
      <w:marTop w:val="0"/>
      <w:marBottom w:val="0"/>
      <w:divBdr>
        <w:top w:val="none" w:sz="0" w:space="0" w:color="auto"/>
        <w:left w:val="none" w:sz="0" w:space="0" w:color="auto"/>
        <w:bottom w:val="none" w:sz="0" w:space="0" w:color="auto"/>
        <w:right w:val="none" w:sz="0" w:space="0" w:color="auto"/>
      </w:divBdr>
    </w:div>
    <w:div w:id="1338340575">
      <w:bodyDiv w:val="1"/>
      <w:marLeft w:val="0"/>
      <w:marRight w:val="0"/>
      <w:marTop w:val="0"/>
      <w:marBottom w:val="0"/>
      <w:divBdr>
        <w:top w:val="none" w:sz="0" w:space="0" w:color="auto"/>
        <w:left w:val="none" w:sz="0" w:space="0" w:color="auto"/>
        <w:bottom w:val="none" w:sz="0" w:space="0" w:color="auto"/>
        <w:right w:val="none" w:sz="0" w:space="0" w:color="auto"/>
      </w:divBdr>
    </w:div>
    <w:div w:id="1351293214">
      <w:bodyDiv w:val="1"/>
      <w:marLeft w:val="0"/>
      <w:marRight w:val="0"/>
      <w:marTop w:val="0"/>
      <w:marBottom w:val="0"/>
      <w:divBdr>
        <w:top w:val="none" w:sz="0" w:space="0" w:color="auto"/>
        <w:left w:val="none" w:sz="0" w:space="0" w:color="auto"/>
        <w:bottom w:val="none" w:sz="0" w:space="0" w:color="auto"/>
        <w:right w:val="none" w:sz="0" w:space="0" w:color="auto"/>
      </w:divBdr>
    </w:div>
    <w:div w:id="1358772678">
      <w:bodyDiv w:val="1"/>
      <w:marLeft w:val="0"/>
      <w:marRight w:val="0"/>
      <w:marTop w:val="0"/>
      <w:marBottom w:val="0"/>
      <w:divBdr>
        <w:top w:val="none" w:sz="0" w:space="0" w:color="auto"/>
        <w:left w:val="none" w:sz="0" w:space="0" w:color="auto"/>
        <w:bottom w:val="none" w:sz="0" w:space="0" w:color="auto"/>
        <w:right w:val="none" w:sz="0" w:space="0" w:color="auto"/>
      </w:divBdr>
    </w:div>
    <w:div w:id="1365058284">
      <w:bodyDiv w:val="1"/>
      <w:marLeft w:val="0"/>
      <w:marRight w:val="0"/>
      <w:marTop w:val="0"/>
      <w:marBottom w:val="0"/>
      <w:divBdr>
        <w:top w:val="none" w:sz="0" w:space="0" w:color="auto"/>
        <w:left w:val="none" w:sz="0" w:space="0" w:color="auto"/>
        <w:bottom w:val="none" w:sz="0" w:space="0" w:color="auto"/>
        <w:right w:val="none" w:sz="0" w:space="0" w:color="auto"/>
      </w:divBdr>
    </w:div>
    <w:div w:id="1366910505">
      <w:bodyDiv w:val="1"/>
      <w:marLeft w:val="0"/>
      <w:marRight w:val="0"/>
      <w:marTop w:val="0"/>
      <w:marBottom w:val="0"/>
      <w:divBdr>
        <w:top w:val="none" w:sz="0" w:space="0" w:color="auto"/>
        <w:left w:val="none" w:sz="0" w:space="0" w:color="auto"/>
        <w:bottom w:val="none" w:sz="0" w:space="0" w:color="auto"/>
        <w:right w:val="none" w:sz="0" w:space="0" w:color="auto"/>
      </w:divBdr>
    </w:div>
    <w:div w:id="1367871739">
      <w:bodyDiv w:val="1"/>
      <w:marLeft w:val="0"/>
      <w:marRight w:val="0"/>
      <w:marTop w:val="0"/>
      <w:marBottom w:val="0"/>
      <w:divBdr>
        <w:top w:val="none" w:sz="0" w:space="0" w:color="auto"/>
        <w:left w:val="none" w:sz="0" w:space="0" w:color="auto"/>
        <w:bottom w:val="none" w:sz="0" w:space="0" w:color="auto"/>
        <w:right w:val="none" w:sz="0" w:space="0" w:color="auto"/>
      </w:divBdr>
    </w:div>
    <w:div w:id="1375957322">
      <w:bodyDiv w:val="1"/>
      <w:marLeft w:val="0"/>
      <w:marRight w:val="0"/>
      <w:marTop w:val="0"/>
      <w:marBottom w:val="0"/>
      <w:divBdr>
        <w:top w:val="none" w:sz="0" w:space="0" w:color="auto"/>
        <w:left w:val="none" w:sz="0" w:space="0" w:color="auto"/>
        <w:bottom w:val="none" w:sz="0" w:space="0" w:color="auto"/>
        <w:right w:val="none" w:sz="0" w:space="0" w:color="auto"/>
      </w:divBdr>
    </w:div>
    <w:div w:id="1377461270">
      <w:bodyDiv w:val="1"/>
      <w:marLeft w:val="0"/>
      <w:marRight w:val="0"/>
      <w:marTop w:val="0"/>
      <w:marBottom w:val="0"/>
      <w:divBdr>
        <w:top w:val="none" w:sz="0" w:space="0" w:color="auto"/>
        <w:left w:val="none" w:sz="0" w:space="0" w:color="auto"/>
        <w:bottom w:val="none" w:sz="0" w:space="0" w:color="auto"/>
        <w:right w:val="none" w:sz="0" w:space="0" w:color="auto"/>
      </w:divBdr>
    </w:div>
    <w:div w:id="1390181032">
      <w:bodyDiv w:val="1"/>
      <w:marLeft w:val="0"/>
      <w:marRight w:val="0"/>
      <w:marTop w:val="0"/>
      <w:marBottom w:val="0"/>
      <w:divBdr>
        <w:top w:val="none" w:sz="0" w:space="0" w:color="auto"/>
        <w:left w:val="none" w:sz="0" w:space="0" w:color="auto"/>
        <w:bottom w:val="none" w:sz="0" w:space="0" w:color="auto"/>
        <w:right w:val="none" w:sz="0" w:space="0" w:color="auto"/>
      </w:divBdr>
    </w:div>
    <w:div w:id="1396007122">
      <w:bodyDiv w:val="1"/>
      <w:marLeft w:val="0"/>
      <w:marRight w:val="0"/>
      <w:marTop w:val="0"/>
      <w:marBottom w:val="0"/>
      <w:divBdr>
        <w:top w:val="none" w:sz="0" w:space="0" w:color="auto"/>
        <w:left w:val="none" w:sz="0" w:space="0" w:color="auto"/>
        <w:bottom w:val="none" w:sz="0" w:space="0" w:color="auto"/>
        <w:right w:val="none" w:sz="0" w:space="0" w:color="auto"/>
      </w:divBdr>
    </w:div>
    <w:div w:id="1398551503">
      <w:bodyDiv w:val="1"/>
      <w:marLeft w:val="0"/>
      <w:marRight w:val="0"/>
      <w:marTop w:val="0"/>
      <w:marBottom w:val="0"/>
      <w:divBdr>
        <w:top w:val="none" w:sz="0" w:space="0" w:color="auto"/>
        <w:left w:val="none" w:sz="0" w:space="0" w:color="auto"/>
        <w:bottom w:val="none" w:sz="0" w:space="0" w:color="auto"/>
        <w:right w:val="none" w:sz="0" w:space="0" w:color="auto"/>
      </w:divBdr>
    </w:div>
    <w:div w:id="1415277890">
      <w:bodyDiv w:val="1"/>
      <w:marLeft w:val="0"/>
      <w:marRight w:val="0"/>
      <w:marTop w:val="0"/>
      <w:marBottom w:val="0"/>
      <w:divBdr>
        <w:top w:val="none" w:sz="0" w:space="0" w:color="auto"/>
        <w:left w:val="none" w:sz="0" w:space="0" w:color="auto"/>
        <w:bottom w:val="none" w:sz="0" w:space="0" w:color="auto"/>
        <w:right w:val="none" w:sz="0" w:space="0" w:color="auto"/>
      </w:divBdr>
    </w:div>
    <w:div w:id="1431851841">
      <w:bodyDiv w:val="1"/>
      <w:marLeft w:val="0"/>
      <w:marRight w:val="0"/>
      <w:marTop w:val="0"/>
      <w:marBottom w:val="0"/>
      <w:divBdr>
        <w:top w:val="none" w:sz="0" w:space="0" w:color="auto"/>
        <w:left w:val="none" w:sz="0" w:space="0" w:color="auto"/>
        <w:bottom w:val="none" w:sz="0" w:space="0" w:color="auto"/>
        <w:right w:val="none" w:sz="0" w:space="0" w:color="auto"/>
      </w:divBdr>
    </w:div>
    <w:div w:id="1437093101">
      <w:bodyDiv w:val="1"/>
      <w:marLeft w:val="0"/>
      <w:marRight w:val="0"/>
      <w:marTop w:val="0"/>
      <w:marBottom w:val="0"/>
      <w:divBdr>
        <w:top w:val="none" w:sz="0" w:space="0" w:color="auto"/>
        <w:left w:val="none" w:sz="0" w:space="0" w:color="auto"/>
        <w:bottom w:val="none" w:sz="0" w:space="0" w:color="auto"/>
        <w:right w:val="none" w:sz="0" w:space="0" w:color="auto"/>
      </w:divBdr>
    </w:div>
    <w:div w:id="1440106770">
      <w:bodyDiv w:val="1"/>
      <w:marLeft w:val="0"/>
      <w:marRight w:val="0"/>
      <w:marTop w:val="0"/>
      <w:marBottom w:val="0"/>
      <w:divBdr>
        <w:top w:val="none" w:sz="0" w:space="0" w:color="auto"/>
        <w:left w:val="none" w:sz="0" w:space="0" w:color="auto"/>
        <w:bottom w:val="none" w:sz="0" w:space="0" w:color="auto"/>
        <w:right w:val="none" w:sz="0" w:space="0" w:color="auto"/>
      </w:divBdr>
    </w:div>
    <w:div w:id="1441727645">
      <w:bodyDiv w:val="1"/>
      <w:marLeft w:val="0"/>
      <w:marRight w:val="0"/>
      <w:marTop w:val="0"/>
      <w:marBottom w:val="0"/>
      <w:divBdr>
        <w:top w:val="none" w:sz="0" w:space="0" w:color="auto"/>
        <w:left w:val="none" w:sz="0" w:space="0" w:color="auto"/>
        <w:bottom w:val="none" w:sz="0" w:space="0" w:color="auto"/>
        <w:right w:val="none" w:sz="0" w:space="0" w:color="auto"/>
      </w:divBdr>
    </w:div>
    <w:div w:id="1449354586">
      <w:bodyDiv w:val="1"/>
      <w:marLeft w:val="0"/>
      <w:marRight w:val="0"/>
      <w:marTop w:val="0"/>
      <w:marBottom w:val="0"/>
      <w:divBdr>
        <w:top w:val="none" w:sz="0" w:space="0" w:color="auto"/>
        <w:left w:val="none" w:sz="0" w:space="0" w:color="auto"/>
        <w:bottom w:val="none" w:sz="0" w:space="0" w:color="auto"/>
        <w:right w:val="none" w:sz="0" w:space="0" w:color="auto"/>
      </w:divBdr>
    </w:div>
    <w:div w:id="1480613630">
      <w:bodyDiv w:val="1"/>
      <w:marLeft w:val="0"/>
      <w:marRight w:val="0"/>
      <w:marTop w:val="0"/>
      <w:marBottom w:val="0"/>
      <w:divBdr>
        <w:top w:val="none" w:sz="0" w:space="0" w:color="auto"/>
        <w:left w:val="none" w:sz="0" w:space="0" w:color="auto"/>
        <w:bottom w:val="none" w:sz="0" w:space="0" w:color="auto"/>
        <w:right w:val="none" w:sz="0" w:space="0" w:color="auto"/>
      </w:divBdr>
    </w:div>
    <w:div w:id="1481268749">
      <w:bodyDiv w:val="1"/>
      <w:marLeft w:val="0"/>
      <w:marRight w:val="0"/>
      <w:marTop w:val="0"/>
      <w:marBottom w:val="0"/>
      <w:divBdr>
        <w:top w:val="none" w:sz="0" w:space="0" w:color="auto"/>
        <w:left w:val="none" w:sz="0" w:space="0" w:color="auto"/>
        <w:bottom w:val="none" w:sz="0" w:space="0" w:color="auto"/>
        <w:right w:val="none" w:sz="0" w:space="0" w:color="auto"/>
      </w:divBdr>
    </w:div>
    <w:div w:id="1482505489">
      <w:bodyDiv w:val="1"/>
      <w:marLeft w:val="0"/>
      <w:marRight w:val="0"/>
      <w:marTop w:val="0"/>
      <w:marBottom w:val="0"/>
      <w:divBdr>
        <w:top w:val="none" w:sz="0" w:space="0" w:color="auto"/>
        <w:left w:val="none" w:sz="0" w:space="0" w:color="auto"/>
        <w:bottom w:val="none" w:sz="0" w:space="0" w:color="auto"/>
        <w:right w:val="none" w:sz="0" w:space="0" w:color="auto"/>
      </w:divBdr>
    </w:div>
    <w:div w:id="1484085949">
      <w:bodyDiv w:val="1"/>
      <w:marLeft w:val="0"/>
      <w:marRight w:val="0"/>
      <w:marTop w:val="0"/>
      <w:marBottom w:val="0"/>
      <w:divBdr>
        <w:top w:val="none" w:sz="0" w:space="0" w:color="auto"/>
        <w:left w:val="none" w:sz="0" w:space="0" w:color="auto"/>
        <w:bottom w:val="none" w:sz="0" w:space="0" w:color="auto"/>
        <w:right w:val="none" w:sz="0" w:space="0" w:color="auto"/>
      </w:divBdr>
    </w:div>
    <w:div w:id="1484351550">
      <w:bodyDiv w:val="1"/>
      <w:marLeft w:val="0"/>
      <w:marRight w:val="0"/>
      <w:marTop w:val="0"/>
      <w:marBottom w:val="0"/>
      <w:divBdr>
        <w:top w:val="none" w:sz="0" w:space="0" w:color="auto"/>
        <w:left w:val="none" w:sz="0" w:space="0" w:color="auto"/>
        <w:bottom w:val="none" w:sz="0" w:space="0" w:color="auto"/>
        <w:right w:val="none" w:sz="0" w:space="0" w:color="auto"/>
      </w:divBdr>
    </w:div>
    <w:div w:id="1500081243">
      <w:bodyDiv w:val="1"/>
      <w:marLeft w:val="0"/>
      <w:marRight w:val="0"/>
      <w:marTop w:val="0"/>
      <w:marBottom w:val="0"/>
      <w:divBdr>
        <w:top w:val="none" w:sz="0" w:space="0" w:color="auto"/>
        <w:left w:val="none" w:sz="0" w:space="0" w:color="auto"/>
        <w:bottom w:val="none" w:sz="0" w:space="0" w:color="auto"/>
        <w:right w:val="none" w:sz="0" w:space="0" w:color="auto"/>
      </w:divBdr>
    </w:div>
    <w:div w:id="1501233917">
      <w:bodyDiv w:val="1"/>
      <w:marLeft w:val="0"/>
      <w:marRight w:val="0"/>
      <w:marTop w:val="0"/>
      <w:marBottom w:val="0"/>
      <w:divBdr>
        <w:top w:val="none" w:sz="0" w:space="0" w:color="auto"/>
        <w:left w:val="none" w:sz="0" w:space="0" w:color="auto"/>
        <w:bottom w:val="none" w:sz="0" w:space="0" w:color="auto"/>
        <w:right w:val="none" w:sz="0" w:space="0" w:color="auto"/>
      </w:divBdr>
    </w:div>
    <w:div w:id="1508403645">
      <w:bodyDiv w:val="1"/>
      <w:marLeft w:val="0"/>
      <w:marRight w:val="0"/>
      <w:marTop w:val="0"/>
      <w:marBottom w:val="0"/>
      <w:divBdr>
        <w:top w:val="none" w:sz="0" w:space="0" w:color="auto"/>
        <w:left w:val="none" w:sz="0" w:space="0" w:color="auto"/>
        <w:bottom w:val="none" w:sz="0" w:space="0" w:color="auto"/>
        <w:right w:val="none" w:sz="0" w:space="0" w:color="auto"/>
      </w:divBdr>
    </w:div>
    <w:div w:id="1509249864">
      <w:bodyDiv w:val="1"/>
      <w:marLeft w:val="0"/>
      <w:marRight w:val="0"/>
      <w:marTop w:val="0"/>
      <w:marBottom w:val="0"/>
      <w:divBdr>
        <w:top w:val="none" w:sz="0" w:space="0" w:color="auto"/>
        <w:left w:val="none" w:sz="0" w:space="0" w:color="auto"/>
        <w:bottom w:val="none" w:sz="0" w:space="0" w:color="auto"/>
        <w:right w:val="none" w:sz="0" w:space="0" w:color="auto"/>
      </w:divBdr>
    </w:div>
    <w:div w:id="1509295031">
      <w:bodyDiv w:val="1"/>
      <w:marLeft w:val="0"/>
      <w:marRight w:val="0"/>
      <w:marTop w:val="0"/>
      <w:marBottom w:val="0"/>
      <w:divBdr>
        <w:top w:val="none" w:sz="0" w:space="0" w:color="auto"/>
        <w:left w:val="none" w:sz="0" w:space="0" w:color="auto"/>
        <w:bottom w:val="none" w:sz="0" w:space="0" w:color="auto"/>
        <w:right w:val="none" w:sz="0" w:space="0" w:color="auto"/>
      </w:divBdr>
    </w:div>
    <w:div w:id="1515074353">
      <w:bodyDiv w:val="1"/>
      <w:marLeft w:val="0"/>
      <w:marRight w:val="0"/>
      <w:marTop w:val="0"/>
      <w:marBottom w:val="0"/>
      <w:divBdr>
        <w:top w:val="none" w:sz="0" w:space="0" w:color="auto"/>
        <w:left w:val="none" w:sz="0" w:space="0" w:color="auto"/>
        <w:bottom w:val="none" w:sz="0" w:space="0" w:color="auto"/>
        <w:right w:val="none" w:sz="0" w:space="0" w:color="auto"/>
      </w:divBdr>
    </w:div>
    <w:div w:id="1517383557">
      <w:bodyDiv w:val="1"/>
      <w:marLeft w:val="0"/>
      <w:marRight w:val="0"/>
      <w:marTop w:val="0"/>
      <w:marBottom w:val="0"/>
      <w:divBdr>
        <w:top w:val="none" w:sz="0" w:space="0" w:color="auto"/>
        <w:left w:val="none" w:sz="0" w:space="0" w:color="auto"/>
        <w:bottom w:val="none" w:sz="0" w:space="0" w:color="auto"/>
        <w:right w:val="none" w:sz="0" w:space="0" w:color="auto"/>
      </w:divBdr>
    </w:div>
    <w:div w:id="1518495745">
      <w:bodyDiv w:val="1"/>
      <w:marLeft w:val="0"/>
      <w:marRight w:val="0"/>
      <w:marTop w:val="0"/>
      <w:marBottom w:val="0"/>
      <w:divBdr>
        <w:top w:val="none" w:sz="0" w:space="0" w:color="auto"/>
        <w:left w:val="none" w:sz="0" w:space="0" w:color="auto"/>
        <w:bottom w:val="none" w:sz="0" w:space="0" w:color="auto"/>
        <w:right w:val="none" w:sz="0" w:space="0" w:color="auto"/>
      </w:divBdr>
    </w:div>
    <w:div w:id="1520042326">
      <w:bodyDiv w:val="1"/>
      <w:marLeft w:val="0"/>
      <w:marRight w:val="0"/>
      <w:marTop w:val="0"/>
      <w:marBottom w:val="0"/>
      <w:divBdr>
        <w:top w:val="none" w:sz="0" w:space="0" w:color="auto"/>
        <w:left w:val="none" w:sz="0" w:space="0" w:color="auto"/>
        <w:bottom w:val="none" w:sz="0" w:space="0" w:color="auto"/>
        <w:right w:val="none" w:sz="0" w:space="0" w:color="auto"/>
      </w:divBdr>
    </w:div>
    <w:div w:id="1520701803">
      <w:bodyDiv w:val="1"/>
      <w:marLeft w:val="0"/>
      <w:marRight w:val="0"/>
      <w:marTop w:val="0"/>
      <w:marBottom w:val="0"/>
      <w:divBdr>
        <w:top w:val="none" w:sz="0" w:space="0" w:color="auto"/>
        <w:left w:val="none" w:sz="0" w:space="0" w:color="auto"/>
        <w:bottom w:val="none" w:sz="0" w:space="0" w:color="auto"/>
        <w:right w:val="none" w:sz="0" w:space="0" w:color="auto"/>
      </w:divBdr>
    </w:div>
    <w:div w:id="1531651188">
      <w:bodyDiv w:val="1"/>
      <w:marLeft w:val="0"/>
      <w:marRight w:val="0"/>
      <w:marTop w:val="0"/>
      <w:marBottom w:val="0"/>
      <w:divBdr>
        <w:top w:val="none" w:sz="0" w:space="0" w:color="auto"/>
        <w:left w:val="none" w:sz="0" w:space="0" w:color="auto"/>
        <w:bottom w:val="none" w:sz="0" w:space="0" w:color="auto"/>
        <w:right w:val="none" w:sz="0" w:space="0" w:color="auto"/>
      </w:divBdr>
    </w:div>
    <w:div w:id="1538274821">
      <w:bodyDiv w:val="1"/>
      <w:marLeft w:val="0"/>
      <w:marRight w:val="0"/>
      <w:marTop w:val="0"/>
      <w:marBottom w:val="0"/>
      <w:divBdr>
        <w:top w:val="none" w:sz="0" w:space="0" w:color="auto"/>
        <w:left w:val="none" w:sz="0" w:space="0" w:color="auto"/>
        <w:bottom w:val="none" w:sz="0" w:space="0" w:color="auto"/>
        <w:right w:val="none" w:sz="0" w:space="0" w:color="auto"/>
      </w:divBdr>
    </w:div>
    <w:div w:id="1550414112">
      <w:bodyDiv w:val="1"/>
      <w:marLeft w:val="0"/>
      <w:marRight w:val="0"/>
      <w:marTop w:val="0"/>
      <w:marBottom w:val="0"/>
      <w:divBdr>
        <w:top w:val="none" w:sz="0" w:space="0" w:color="auto"/>
        <w:left w:val="none" w:sz="0" w:space="0" w:color="auto"/>
        <w:bottom w:val="none" w:sz="0" w:space="0" w:color="auto"/>
        <w:right w:val="none" w:sz="0" w:space="0" w:color="auto"/>
      </w:divBdr>
    </w:div>
    <w:div w:id="1550603685">
      <w:bodyDiv w:val="1"/>
      <w:marLeft w:val="0"/>
      <w:marRight w:val="0"/>
      <w:marTop w:val="0"/>
      <w:marBottom w:val="0"/>
      <w:divBdr>
        <w:top w:val="none" w:sz="0" w:space="0" w:color="auto"/>
        <w:left w:val="none" w:sz="0" w:space="0" w:color="auto"/>
        <w:bottom w:val="none" w:sz="0" w:space="0" w:color="auto"/>
        <w:right w:val="none" w:sz="0" w:space="0" w:color="auto"/>
      </w:divBdr>
    </w:div>
    <w:div w:id="1551919282">
      <w:bodyDiv w:val="1"/>
      <w:marLeft w:val="0"/>
      <w:marRight w:val="0"/>
      <w:marTop w:val="0"/>
      <w:marBottom w:val="0"/>
      <w:divBdr>
        <w:top w:val="none" w:sz="0" w:space="0" w:color="auto"/>
        <w:left w:val="none" w:sz="0" w:space="0" w:color="auto"/>
        <w:bottom w:val="none" w:sz="0" w:space="0" w:color="auto"/>
        <w:right w:val="none" w:sz="0" w:space="0" w:color="auto"/>
      </w:divBdr>
    </w:div>
    <w:div w:id="1560676867">
      <w:bodyDiv w:val="1"/>
      <w:marLeft w:val="0"/>
      <w:marRight w:val="0"/>
      <w:marTop w:val="0"/>
      <w:marBottom w:val="0"/>
      <w:divBdr>
        <w:top w:val="none" w:sz="0" w:space="0" w:color="auto"/>
        <w:left w:val="none" w:sz="0" w:space="0" w:color="auto"/>
        <w:bottom w:val="none" w:sz="0" w:space="0" w:color="auto"/>
        <w:right w:val="none" w:sz="0" w:space="0" w:color="auto"/>
      </w:divBdr>
    </w:div>
    <w:div w:id="1565556702">
      <w:bodyDiv w:val="1"/>
      <w:marLeft w:val="0"/>
      <w:marRight w:val="0"/>
      <w:marTop w:val="0"/>
      <w:marBottom w:val="0"/>
      <w:divBdr>
        <w:top w:val="none" w:sz="0" w:space="0" w:color="auto"/>
        <w:left w:val="none" w:sz="0" w:space="0" w:color="auto"/>
        <w:bottom w:val="none" w:sz="0" w:space="0" w:color="auto"/>
        <w:right w:val="none" w:sz="0" w:space="0" w:color="auto"/>
      </w:divBdr>
    </w:div>
    <w:div w:id="1572083618">
      <w:bodyDiv w:val="1"/>
      <w:marLeft w:val="0"/>
      <w:marRight w:val="0"/>
      <w:marTop w:val="0"/>
      <w:marBottom w:val="0"/>
      <w:divBdr>
        <w:top w:val="none" w:sz="0" w:space="0" w:color="auto"/>
        <w:left w:val="none" w:sz="0" w:space="0" w:color="auto"/>
        <w:bottom w:val="none" w:sz="0" w:space="0" w:color="auto"/>
        <w:right w:val="none" w:sz="0" w:space="0" w:color="auto"/>
      </w:divBdr>
    </w:div>
    <w:div w:id="1573809149">
      <w:bodyDiv w:val="1"/>
      <w:marLeft w:val="0"/>
      <w:marRight w:val="0"/>
      <w:marTop w:val="0"/>
      <w:marBottom w:val="0"/>
      <w:divBdr>
        <w:top w:val="none" w:sz="0" w:space="0" w:color="auto"/>
        <w:left w:val="none" w:sz="0" w:space="0" w:color="auto"/>
        <w:bottom w:val="none" w:sz="0" w:space="0" w:color="auto"/>
        <w:right w:val="none" w:sz="0" w:space="0" w:color="auto"/>
      </w:divBdr>
    </w:div>
    <w:div w:id="1576935167">
      <w:bodyDiv w:val="1"/>
      <w:marLeft w:val="0"/>
      <w:marRight w:val="0"/>
      <w:marTop w:val="0"/>
      <w:marBottom w:val="0"/>
      <w:divBdr>
        <w:top w:val="none" w:sz="0" w:space="0" w:color="auto"/>
        <w:left w:val="none" w:sz="0" w:space="0" w:color="auto"/>
        <w:bottom w:val="none" w:sz="0" w:space="0" w:color="auto"/>
        <w:right w:val="none" w:sz="0" w:space="0" w:color="auto"/>
      </w:divBdr>
    </w:div>
    <w:div w:id="1597712762">
      <w:bodyDiv w:val="1"/>
      <w:marLeft w:val="0"/>
      <w:marRight w:val="0"/>
      <w:marTop w:val="0"/>
      <w:marBottom w:val="0"/>
      <w:divBdr>
        <w:top w:val="none" w:sz="0" w:space="0" w:color="auto"/>
        <w:left w:val="none" w:sz="0" w:space="0" w:color="auto"/>
        <w:bottom w:val="none" w:sz="0" w:space="0" w:color="auto"/>
        <w:right w:val="none" w:sz="0" w:space="0" w:color="auto"/>
      </w:divBdr>
    </w:div>
    <w:div w:id="1598710518">
      <w:bodyDiv w:val="1"/>
      <w:marLeft w:val="0"/>
      <w:marRight w:val="0"/>
      <w:marTop w:val="0"/>
      <w:marBottom w:val="0"/>
      <w:divBdr>
        <w:top w:val="none" w:sz="0" w:space="0" w:color="auto"/>
        <w:left w:val="none" w:sz="0" w:space="0" w:color="auto"/>
        <w:bottom w:val="none" w:sz="0" w:space="0" w:color="auto"/>
        <w:right w:val="none" w:sz="0" w:space="0" w:color="auto"/>
      </w:divBdr>
    </w:div>
    <w:div w:id="1610157766">
      <w:bodyDiv w:val="1"/>
      <w:marLeft w:val="0"/>
      <w:marRight w:val="0"/>
      <w:marTop w:val="0"/>
      <w:marBottom w:val="0"/>
      <w:divBdr>
        <w:top w:val="none" w:sz="0" w:space="0" w:color="auto"/>
        <w:left w:val="none" w:sz="0" w:space="0" w:color="auto"/>
        <w:bottom w:val="none" w:sz="0" w:space="0" w:color="auto"/>
        <w:right w:val="none" w:sz="0" w:space="0" w:color="auto"/>
      </w:divBdr>
    </w:div>
    <w:div w:id="1613516985">
      <w:bodyDiv w:val="1"/>
      <w:marLeft w:val="0"/>
      <w:marRight w:val="0"/>
      <w:marTop w:val="0"/>
      <w:marBottom w:val="0"/>
      <w:divBdr>
        <w:top w:val="none" w:sz="0" w:space="0" w:color="auto"/>
        <w:left w:val="none" w:sz="0" w:space="0" w:color="auto"/>
        <w:bottom w:val="none" w:sz="0" w:space="0" w:color="auto"/>
        <w:right w:val="none" w:sz="0" w:space="0" w:color="auto"/>
      </w:divBdr>
      <w:divsChild>
        <w:div w:id="187183543">
          <w:marLeft w:val="0"/>
          <w:marRight w:val="0"/>
          <w:marTop w:val="0"/>
          <w:marBottom w:val="0"/>
          <w:divBdr>
            <w:top w:val="none" w:sz="0" w:space="0" w:color="auto"/>
            <w:left w:val="none" w:sz="0" w:space="0" w:color="auto"/>
            <w:bottom w:val="none" w:sz="0" w:space="0" w:color="auto"/>
            <w:right w:val="none" w:sz="0" w:space="0" w:color="auto"/>
          </w:divBdr>
        </w:div>
        <w:div w:id="1630622092">
          <w:marLeft w:val="0"/>
          <w:marRight w:val="0"/>
          <w:marTop w:val="0"/>
          <w:marBottom w:val="0"/>
          <w:divBdr>
            <w:top w:val="none" w:sz="0" w:space="0" w:color="auto"/>
            <w:left w:val="none" w:sz="0" w:space="0" w:color="auto"/>
            <w:bottom w:val="none" w:sz="0" w:space="0" w:color="auto"/>
            <w:right w:val="none" w:sz="0" w:space="0" w:color="auto"/>
          </w:divBdr>
        </w:div>
        <w:div w:id="1657537105">
          <w:marLeft w:val="450"/>
          <w:marRight w:val="0"/>
          <w:marTop w:val="0"/>
          <w:marBottom w:val="0"/>
          <w:divBdr>
            <w:top w:val="none" w:sz="0" w:space="0" w:color="auto"/>
            <w:left w:val="none" w:sz="0" w:space="0" w:color="auto"/>
            <w:bottom w:val="none" w:sz="0" w:space="0" w:color="auto"/>
            <w:right w:val="none" w:sz="0" w:space="0" w:color="auto"/>
          </w:divBdr>
        </w:div>
        <w:div w:id="2079086441">
          <w:marLeft w:val="450"/>
          <w:marRight w:val="0"/>
          <w:marTop w:val="0"/>
          <w:marBottom w:val="0"/>
          <w:divBdr>
            <w:top w:val="none" w:sz="0" w:space="0" w:color="auto"/>
            <w:left w:val="none" w:sz="0" w:space="0" w:color="auto"/>
            <w:bottom w:val="none" w:sz="0" w:space="0" w:color="auto"/>
            <w:right w:val="none" w:sz="0" w:space="0" w:color="auto"/>
          </w:divBdr>
        </w:div>
      </w:divsChild>
    </w:div>
    <w:div w:id="1614164434">
      <w:bodyDiv w:val="1"/>
      <w:marLeft w:val="0"/>
      <w:marRight w:val="0"/>
      <w:marTop w:val="0"/>
      <w:marBottom w:val="0"/>
      <w:divBdr>
        <w:top w:val="none" w:sz="0" w:space="0" w:color="auto"/>
        <w:left w:val="none" w:sz="0" w:space="0" w:color="auto"/>
        <w:bottom w:val="none" w:sz="0" w:space="0" w:color="auto"/>
        <w:right w:val="none" w:sz="0" w:space="0" w:color="auto"/>
      </w:divBdr>
    </w:div>
    <w:div w:id="1623222571">
      <w:bodyDiv w:val="1"/>
      <w:marLeft w:val="0"/>
      <w:marRight w:val="0"/>
      <w:marTop w:val="0"/>
      <w:marBottom w:val="0"/>
      <w:divBdr>
        <w:top w:val="none" w:sz="0" w:space="0" w:color="auto"/>
        <w:left w:val="none" w:sz="0" w:space="0" w:color="auto"/>
        <w:bottom w:val="none" w:sz="0" w:space="0" w:color="auto"/>
        <w:right w:val="none" w:sz="0" w:space="0" w:color="auto"/>
      </w:divBdr>
    </w:div>
    <w:div w:id="1630697368">
      <w:bodyDiv w:val="1"/>
      <w:marLeft w:val="0"/>
      <w:marRight w:val="0"/>
      <w:marTop w:val="0"/>
      <w:marBottom w:val="0"/>
      <w:divBdr>
        <w:top w:val="none" w:sz="0" w:space="0" w:color="auto"/>
        <w:left w:val="none" w:sz="0" w:space="0" w:color="auto"/>
        <w:bottom w:val="none" w:sz="0" w:space="0" w:color="auto"/>
        <w:right w:val="none" w:sz="0" w:space="0" w:color="auto"/>
      </w:divBdr>
    </w:div>
    <w:div w:id="1636566093">
      <w:bodyDiv w:val="1"/>
      <w:marLeft w:val="0"/>
      <w:marRight w:val="0"/>
      <w:marTop w:val="0"/>
      <w:marBottom w:val="0"/>
      <w:divBdr>
        <w:top w:val="none" w:sz="0" w:space="0" w:color="auto"/>
        <w:left w:val="none" w:sz="0" w:space="0" w:color="auto"/>
        <w:bottom w:val="none" w:sz="0" w:space="0" w:color="auto"/>
        <w:right w:val="none" w:sz="0" w:space="0" w:color="auto"/>
      </w:divBdr>
    </w:div>
    <w:div w:id="1636597411">
      <w:bodyDiv w:val="1"/>
      <w:marLeft w:val="0"/>
      <w:marRight w:val="0"/>
      <w:marTop w:val="0"/>
      <w:marBottom w:val="0"/>
      <w:divBdr>
        <w:top w:val="none" w:sz="0" w:space="0" w:color="auto"/>
        <w:left w:val="none" w:sz="0" w:space="0" w:color="auto"/>
        <w:bottom w:val="none" w:sz="0" w:space="0" w:color="auto"/>
        <w:right w:val="none" w:sz="0" w:space="0" w:color="auto"/>
      </w:divBdr>
    </w:div>
    <w:div w:id="1641498141">
      <w:bodyDiv w:val="1"/>
      <w:marLeft w:val="0"/>
      <w:marRight w:val="0"/>
      <w:marTop w:val="0"/>
      <w:marBottom w:val="0"/>
      <w:divBdr>
        <w:top w:val="none" w:sz="0" w:space="0" w:color="auto"/>
        <w:left w:val="none" w:sz="0" w:space="0" w:color="auto"/>
        <w:bottom w:val="none" w:sz="0" w:space="0" w:color="auto"/>
        <w:right w:val="none" w:sz="0" w:space="0" w:color="auto"/>
      </w:divBdr>
    </w:div>
    <w:div w:id="1656763125">
      <w:bodyDiv w:val="1"/>
      <w:marLeft w:val="0"/>
      <w:marRight w:val="0"/>
      <w:marTop w:val="0"/>
      <w:marBottom w:val="0"/>
      <w:divBdr>
        <w:top w:val="none" w:sz="0" w:space="0" w:color="auto"/>
        <w:left w:val="none" w:sz="0" w:space="0" w:color="auto"/>
        <w:bottom w:val="none" w:sz="0" w:space="0" w:color="auto"/>
        <w:right w:val="none" w:sz="0" w:space="0" w:color="auto"/>
      </w:divBdr>
    </w:div>
    <w:div w:id="1658075237">
      <w:bodyDiv w:val="1"/>
      <w:marLeft w:val="0"/>
      <w:marRight w:val="0"/>
      <w:marTop w:val="0"/>
      <w:marBottom w:val="0"/>
      <w:divBdr>
        <w:top w:val="none" w:sz="0" w:space="0" w:color="auto"/>
        <w:left w:val="none" w:sz="0" w:space="0" w:color="auto"/>
        <w:bottom w:val="none" w:sz="0" w:space="0" w:color="auto"/>
        <w:right w:val="none" w:sz="0" w:space="0" w:color="auto"/>
      </w:divBdr>
    </w:div>
    <w:div w:id="1658726497">
      <w:bodyDiv w:val="1"/>
      <w:marLeft w:val="0"/>
      <w:marRight w:val="0"/>
      <w:marTop w:val="0"/>
      <w:marBottom w:val="0"/>
      <w:divBdr>
        <w:top w:val="none" w:sz="0" w:space="0" w:color="auto"/>
        <w:left w:val="none" w:sz="0" w:space="0" w:color="auto"/>
        <w:bottom w:val="none" w:sz="0" w:space="0" w:color="auto"/>
        <w:right w:val="none" w:sz="0" w:space="0" w:color="auto"/>
      </w:divBdr>
    </w:div>
    <w:div w:id="1661084077">
      <w:bodyDiv w:val="1"/>
      <w:marLeft w:val="0"/>
      <w:marRight w:val="0"/>
      <w:marTop w:val="0"/>
      <w:marBottom w:val="0"/>
      <w:divBdr>
        <w:top w:val="none" w:sz="0" w:space="0" w:color="auto"/>
        <w:left w:val="none" w:sz="0" w:space="0" w:color="auto"/>
        <w:bottom w:val="none" w:sz="0" w:space="0" w:color="auto"/>
        <w:right w:val="none" w:sz="0" w:space="0" w:color="auto"/>
      </w:divBdr>
    </w:div>
    <w:div w:id="1671904107">
      <w:bodyDiv w:val="1"/>
      <w:marLeft w:val="0"/>
      <w:marRight w:val="0"/>
      <w:marTop w:val="0"/>
      <w:marBottom w:val="0"/>
      <w:divBdr>
        <w:top w:val="none" w:sz="0" w:space="0" w:color="auto"/>
        <w:left w:val="none" w:sz="0" w:space="0" w:color="auto"/>
        <w:bottom w:val="none" w:sz="0" w:space="0" w:color="auto"/>
        <w:right w:val="none" w:sz="0" w:space="0" w:color="auto"/>
      </w:divBdr>
    </w:div>
    <w:div w:id="1673946697">
      <w:bodyDiv w:val="1"/>
      <w:marLeft w:val="0"/>
      <w:marRight w:val="0"/>
      <w:marTop w:val="0"/>
      <w:marBottom w:val="0"/>
      <w:divBdr>
        <w:top w:val="none" w:sz="0" w:space="0" w:color="auto"/>
        <w:left w:val="none" w:sz="0" w:space="0" w:color="auto"/>
        <w:bottom w:val="none" w:sz="0" w:space="0" w:color="auto"/>
        <w:right w:val="none" w:sz="0" w:space="0" w:color="auto"/>
      </w:divBdr>
    </w:div>
    <w:div w:id="1674062763">
      <w:bodyDiv w:val="1"/>
      <w:marLeft w:val="0"/>
      <w:marRight w:val="0"/>
      <w:marTop w:val="0"/>
      <w:marBottom w:val="0"/>
      <w:divBdr>
        <w:top w:val="none" w:sz="0" w:space="0" w:color="auto"/>
        <w:left w:val="none" w:sz="0" w:space="0" w:color="auto"/>
        <w:bottom w:val="none" w:sz="0" w:space="0" w:color="auto"/>
        <w:right w:val="none" w:sz="0" w:space="0" w:color="auto"/>
      </w:divBdr>
    </w:div>
    <w:div w:id="1681157619">
      <w:bodyDiv w:val="1"/>
      <w:marLeft w:val="0"/>
      <w:marRight w:val="0"/>
      <w:marTop w:val="0"/>
      <w:marBottom w:val="0"/>
      <w:divBdr>
        <w:top w:val="none" w:sz="0" w:space="0" w:color="auto"/>
        <w:left w:val="none" w:sz="0" w:space="0" w:color="auto"/>
        <w:bottom w:val="none" w:sz="0" w:space="0" w:color="auto"/>
        <w:right w:val="none" w:sz="0" w:space="0" w:color="auto"/>
      </w:divBdr>
    </w:div>
    <w:div w:id="1681657776">
      <w:bodyDiv w:val="1"/>
      <w:marLeft w:val="0"/>
      <w:marRight w:val="0"/>
      <w:marTop w:val="0"/>
      <w:marBottom w:val="0"/>
      <w:divBdr>
        <w:top w:val="none" w:sz="0" w:space="0" w:color="auto"/>
        <w:left w:val="none" w:sz="0" w:space="0" w:color="auto"/>
        <w:bottom w:val="none" w:sz="0" w:space="0" w:color="auto"/>
        <w:right w:val="none" w:sz="0" w:space="0" w:color="auto"/>
      </w:divBdr>
    </w:div>
    <w:div w:id="1684356382">
      <w:bodyDiv w:val="1"/>
      <w:marLeft w:val="0"/>
      <w:marRight w:val="0"/>
      <w:marTop w:val="0"/>
      <w:marBottom w:val="0"/>
      <w:divBdr>
        <w:top w:val="none" w:sz="0" w:space="0" w:color="auto"/>
        <w:left w:val="none" w:sz="0" w:space="0" w:color="auto"/>
        <w:bottom w:val="none" w:sz="0" w:space="0" w:color="auto"/>
        <w:right w:val="none" w:sz="0" w:space="0" w:color="auto"/>
      </w:divBdr>
      <w:divsChild>
        <w:div w:id="741099270">
          <w:marLeft w:val="0"/>
          <w:marRight w:val="0"/>
          <w:marTop w:val="0"/>
          <w:marBottom w:val="0"/>
          <w:divBdr>
            <w:top w:val="none" w:sz="0" w:space="0" w:color="auto"/>
            <w:left w:val="none" w:sz="0" w:space="0" w:color="auto"/>
            <w:bottom w:val="none" w:sz="0" w:space="0" w:color="auto"/>
            <w:right w:val="none" w:sz="0" w:space="0" w:color="auto"/>
          </w:divBdr>
        </w:div>
        <w:div w:id="926957605">
          <w:marLeft w:val="0"/>
          <w:marRight w:val="0"/>
          <w:marTop w:val="0"/>
          <w:marBottom w:val="0"/>
          <w:divBdr>
            <w:top w:val="none" w:sz="0" w:space="0" w:color="auto"/>
            <w:left w:val="none" w:sz="0" w:space="0" w:color="auto"/>
            <w:bottom w:val="none" w:sz="0" w:space="0" w:color="auto"/>
            <w:right w:val="none" w:sz="0" w:space="0" w:color="auto"/>
          </w:divBdr>
        </w:div>
        <w:div w:id="1007439168">
          <w:marLeft w:val="0"/>
          <w:marRight w:val="0"/>
          <w:marTop w:val="0"/>
          <w:marBottom w:val="0"/>
          <w:divBdr>
            <w:top w:val="none" w:sz="0" w:space="0" w:color="auto"/>
            <w:left w:val="none" w:sz="0" w:space="0" w:color="auto"/>
            <w:bottom w:val="none" w:sz="0" w:space="0" w:color="auto"/>
            <w:right w:val="none" w:sz="0" w:space="0" w:color="auto"/>
          </w:divBdr>
        </w:div>
        <w:div w:id="2099249410">
          <w:marLeft w:val="0"/>
          <w:marRight w:val="0"/>
          <w:marTop w:val="0"/>
          <w:marBottom w:val="0"/>
          <w:divBdr>
            <w:top w:val="none" w:sz="0" w:space="0" w:color="auto"/>
            <w:left w:val="none" w:sz="0" w:space="0" w:color="auto"/>
            <w:bottom w:val="none" w:sz="0" w:space="0" w:color="auto"/>
            <w:right w:val="none" w:sz="0" w:space="0" w:color="auto"/>
          </w:divBdr>
        </w:div>
      </w:divsChild>
    </w:div>
    <w:div w:id="1688947558">
      <w:bodyDiv w:val="1"/>
      <w:marLeft w:val="0"/>
      <w:marRight w:val="0"/>
      <w:marTop w:val="0"/>
      <w:marBottom w:val="0"/>
      <w:divBdr>
        <w:top w:val="none" w:sz="0" w:space="0" w:color="auto"/>
        <w:left w:val="none" w:sz="0" w:space="0" w:color="auto"/>
        <w:bottom w:val="none" w:sz="0" w:space="0" w:color="auto"/>
        <w:right w:val="none" w:sz="0" w:space="0" w:color="auto"/>
      </w:divBdr>
    </w:div>
    <w:div w:id="1689911774">
      <w:bodyDiv w:val="1"/>
      <w:marLeft w:val="0"/>
      <w:marRight w:val="0"/>
      <w:marTop w:val="0"/>
      <w:marBottom w:val="0"/>
      <w:divBdr>
        <w:top w:val="none" w:sz="0" w:space="0" w:color="auto"/>
        <w:left w:val="none" w:sz="0" w:space="0" w:color="auto"/>
        <w:bottom w:val="none" w:sz="0" w:space="0" w:color="auto"/>
        <w:right w:val="none" w:sz="0" w:space="0" w:color="auto"/>
      </w:divBdr>
    </w:div>
    <w:div w:id="1702392227">
      <w:bodyDiv w:val="1"/>
      <w:marLeft w:val="0"/>
      <w:marRight w:val="0"/>
      <w:marTop w:val="0"/>
      <w:marBottom w:val="0"/>
      <w:divBdr>
        <w:top w:val="none" w:sz="0" w:space="0" w:color="auto"/>
        <w:left w:val="none" w:sz="0" w:space="0" w:color="auto"/>
        <w:bottom w:val="none" w:sz="0" w:space="0" w:color="auto"/>
        <w:right w:val="none" w:sz="0" w:space="0" w:color="auto"/>
      </w:divBdr>
    </w:div>
    <w:div w:id="1705599001">
      <w:bodyDiv w:val="1"/>
      <w:marLeft w:val="0"/>
      <w:marRight w:val="0"/>
      <w:marTop w:val="0"/>
      <w:marBottom w:val="0"/>
      <w:divBdr>
        <w:top w:val="none" w:sz="0" w:space="0" w:color="auto"/>
        <w:left w:val="none" w:sz="0" w:space="0" w:color="auto"/>
        <w:bottom w:val="none" w:sz="0" w:space="0" w:color="auto"/>
        <w:right w:val="none" w:sz="0" w:space="0" w:color="auto"/>
      </w:divBdr>
    </w:div>
    <w:div w:id="1709914905">
      <w:bodyDiv w:val="1"/>
      <w:marLeft w:val="0"/>
      <w:marRight w:val="0"/>
      <w:marTop w:val="0"/>
      <w:marBottom w:val="0"/>
      <w:divBdr>
        <w:top w:val="none" w:sz="0" w:space="0" w:color="auto"/>
        <w:left w:val="none" w:sz="0" w:space="0" w:color="auto"/>
        <w:bottom w:val="none" w:sz="0" w:space="0" w:color="auto"/>
        <w:right w:val="none" w:sz="0" w:space="0" w:color="auto"/>
      </w:divBdr>
    </w:div>
    <w:div w:id="1727559172">
      <w:bodyDiv w:val="1"/>
      <w:marLeft w:val="0"/>
      <w:marRight w:val="0"/>
      <w:marTop w:val="0"/>
      <w:marBottom w:val="0"/>
      <w:divBdr>
        <w:top w:val="none" w:sz="0" w:space="0" w:color="auto"/>
        <w:left w:val="none" w:sz="0" w:space="0" w:color="auto"/>
        <w:bottom w:val="none" w:sz="0" w:space="0" w:color="auto"/>
        <w:right w:val="none" w:sz="0" w:space="0" w:color="auto"/>
      </w:divBdr>
    </w:div>
    <w:div w:id="1738937115">
      <w:bodyDiv w:val="1"/>
      <w:marLeft w:val="0"/>
      <w:marRight w:val="0"/>
      <w:marTop w:val="0"/>
      <w:marBottom w:val="0"/>
      <w:divBdr>
        <w:top w:val="none" w:sz="0" w:space="0" w:color="auto"/>
        <w:left w:val="none" w:sz="0" w:space="0" w:color="auto"/>
        <w:bottom w:val="none" w:sz="0" w:space="0" w:color="auto"/>
        <w:right w:val="none" w:sz="0" w:space="0" w:color="auto"/>
      </w:divBdr>
    </w:div>
    <w:div w:id="1739550687">
      <w:bodyDiv w:val="1"/>
      <w:marLeft w:val="0"/>
      <w:marRight w:val="0"/>
      <w:marTop w:val="0"/>
      <w:marBottom w:val="0"/>
      <w:divBdr>
        <w:top w:val="none" w:sz="0" w:space="0" w:color="auto"/>
        <w:left w:val="none" w:sz="0" w:space="0" w:color="auto"/>
        <w:bottom w:val="none" w:sz="0" w:space="0" w:color="auto"/>
        <w:right w:val="none" w:sz="0" w:space="0" w:color="auto"/>
      </w:divBdr>
    </w:div>
    <w:div w:id="1747341925">
      <w:bodyDiv w:val="1"/>
      <w:marLeft w:val="0"/>
      <w:marRight w:val="0"/>
      <w:marTop w:val="0"/>
      <w:marBottom w:val="0"/>
      <w:divBdr>
        <w:top w:val="none" w:sz="0" w:space="0" w:color="auto"/>
        <w:left w:val="none" w:sz="0" w:space="0" w:color="auto"/>
        <w:bottom w:val="none" w:sz="0" w:space="0" w:color="auto"/>
        <w:right w:val="none" w:sz="0" w:space="0" w:color="auto"/>
      </w:divBdr>
    </w:div>
    <w:div w:id="1762875878">
      <w:bodyDiv w:val="1"/>
      <w:marLeft w:val="0"/>
      <w:marRight w:val="0"/>
      <w:marTop w:val="0"/>
      <w:marBottom w:val="0"/>
      <w:divBdr>
        <w:top w:val="none" w:sz="0" w:space="0" w:color="auto"/>
        <w:left w:val="none" w:sz="0" w:space="0" w:color="auto"/>
        <w:bottom w:val="none" w:sz="0" w:space="0" w:color="auto"/>
        <w:right w:val="none" w:sz="0" w:space="0" w:color="auto"/>
      </w:divBdr>
    </w:div>
    <w:div w:id="1764718240">
      <w:bodyDiv w:val="1"/>
      <w:marLeft w:val="0"/>
      <w:marRight w:val="0"/>
      <w:marTop w:val="0"/>
      <w:marBottom w:val="0"/>
      <w:divBdr>
        <w:top w:val="none" w:sz="0" w:space="0" w:color="auto"/>
        <w:left w:val="none" w:sz="0" w:space="0" w:color="auto"/>
        <w:bottom w:val="none" w:sz="0" w:space="0" w:color="auto"/>
        <w:right w:val="none" w:sz="0" w:space="0" w:color="auto"/>
      </w:divBdr>
    </w:div>
    <w:div w:id="1765492968">
      <w:bodyDiv w:val="1"/>
      <w:marLeft w:val="0"/>
      <w:marRight w:val="0"/>
      <w:marTop w:val="0"/>
      <w:marBottom w:val="0"/>
      <w:divBdr>
        <w:top w:val="none" w:sz="0" w:space="0" w:color="auto"/>
        <w:left w:val="none" w:sz="0" w:space="0" w:color="auto"/>
        <w:bottom w:val="none" w:sz="0" w:space="0" w:color="auto"/>
        <w:right w:val="none" w:sz="0" w:space="0" w:color="auto"/>
      </w:divBdr>
    </w:div>
    <w:div w:id="1776516244">
      <w:bodyDiv w:val="1"/>
      <w:marLeft w:val="0"/>
      <w:marRight w:val="0"/>
      <w:marTop w:val="0"/>
      <w:marBottom w:val="0"/>
      <w:divBdr>
        <w:top w:val="none" w:sz="0" w:space="0" w:color="auto"/>
        <w:left w:val="none" w:sz="0" w:space="0" w:color="auto"/>
        <w:bottom w:val="none" w:sz="0" w:space="0" w:color="auto"/>
        <w:right w:val="none" w:sz="0" w:space="0" w:color="auto"/>
      </w:divBdr>
    </w:div>
    <w:div w:id="1797874037">
      <w:bodyDiv w:val="1"/>
      <w:marLeft w:val="0"/>
      <w:marRight w:val="0"/>
      <w:marTop w:val="0"/>
      <w:marBottom w:val="0"/>
      <w:divBdr>
        <w:top w:val="none" w:sz="0" w:space="0" w:color="auto"/>
        <w:left w:val="none" w:sz="0" w:space="0" w:color="auto"/>
        <w:bottom w:val="none" w:sz="0" w:space="0" w:color="auto"/>
        <w:right w:val="none" w:sz="0" w:space="0" w:color="auto"/>
      </w:divBdr>
    </w:div>
    <w:div w:id="1809585050">
      <w:bodyDiv w:val="1"/>
      <w:marLeft w:val="0"/>
      <w:marRight w:val="0"/>
      <w:marTop w:val="0"/>
      <w:marBottom w:val="0"/>
      <w:divBdr>
        <w:top w:val="none" w:sz="0" w:space="0" w:color="auto"/>
        <w:left w:val="none" w:sz="0" w:space="0" w:color="auto"/>
        <w:bottom w:val="none" w:sz="0" w:space="0" w:color="auto"/>
        <w:right w:val="none" w:sz="0" w:space="0" w:color="auto"/>
      </w:divBdr>
    </w:div>
    <w:div w:id="1811749733">
      <w:bodyDiv w:val="1"/>
      <w:marLeft w:val="0"/>
      <w:marRight w:val="0"/>
      <w:marTop w:val="0"/>
      <w:marBottom w:val="0"/>
      <w:divBdr>
        <w:top w:val="none" w:sz="0" w:space="0" w:color="auto"/>
        <w:left w:val="none" w:sz="0" w:space="0" w:color="auto"/>
        <w:bottom w:val="none" w:sz="0" w:space="0" w:color="auto"/>
        <w:right w:val="none" w:sz="0" w:space="0" w:color="auto"/>
      </w:divBdr>
    </w:div>
    <w:div w:id="1814710650">
      <w:bodyDiv w:val="1"/>
      <w:marLeft w:val="0"/>
      <w:marRight w:val="0"/>
      <w:marTop w:val="0"/>
      <w:marBottom w:val="0"/>
      <w:divBdr>
        <w:top w:val="none" w:sz="0" w:space="0" w:color="auto"/>
        <w:left w:val="none" w:sz="0" w:space="0" w:color="auto"/>
        <w:bottom w:val="none" w:sz="0" w:space="0" w:color="auto"/>
        <w:right w:val="none" w:sz="0" w:space="0" w:color="auto"/>
      </w:divBdr>
    </w:div>
    <w:div w:id="1816019487">
      <w:bodyDiv w:val="1"/>
      <w:marLeft w:val="0"/>
      <w:marRight w:val="0"/>
      <w:marTop w:val="0"/>
      <w:marBottom w:val="0"/>
      <w:divBdr>
        <w:top w:val="none" w:sz="0" w:space="0" w:color="auto"/>
        <w:left w:val="none" w:sz="0" w:space="0" w:color="auto"/>
        <w:bottom w:val="none" w:sz="0" w:space="0" w:color="auto"/>
        <w:right w:val="none" w:sz="0" w:space="0" w:color="auto"/>
      </w:divBdr>
    </w:div>
    <w:div w:id="1820271017">
      <w:bodyDiv w:val="1"/>
      <w:marLeft w:val="0"/>
      <w:marRight w:val="0"/>
      <w:marTop w:val="0"/>
      <w:marBottom w:val="0"/>
      <w:divBdr>
        <w:top w:val="none" w:sz="0" w:space="0" w:color="auto"/>
        <w:left w:val="none" w:sz="0" w:space="0" w:color="auto"/>
        <w:bottom w:val="none" w:sz="0" w:space="0" w:color="auto"/>
        <w:right w:val="none" w:sz="0" w:space="0" w:color="auto"/>
      </w:divBdr>
    </w:div>
    <w:div w:id="1827281129">
      <w:bodyDiv w:val="1"/>
      <w:marLeft w:val="0"/>
      <w:marRight w:val="0"/>
      <w:marTop w:val="0"/>
      <w:marBottom w:val="0"/>
      <w:divBdr>
        <w:top w:val="none" w:sz="0" w:space="0" w:color="auto"/>
        <w:left w:val="none" w:sz="0" w:space="0" w:color="auto"/>
        <w:bottom w:val="none" w:sz="0" w:space="0" w:color="auto"/>
        <w:right w:val="none" w:sz="0" w:space="0" w:color="auto"/>
      </w:divBdr>
    </w:div>
    <w:div w:id="1832600362">
      <w:bodyDiv w:val="1"/>
      <w:marLeft w:val="0"/>
      <w:marRight w:val="0"/>
      <w:marTop w:val="0"/>
      <w:marBottom w:val="0"/>
      <w:divBdr>
        <w:top w:val="none" w:sz="0" w:space="0" w:color="auto"/>
        <w:left w:val="none" w:sz="0" w:space="0" w:color="auto"/>
        <w:bottom w:val="none" w:sz="0" w:space="0" w:color="auto"/>
        <w:right w:val="none" w:sz="0" w:space="0" w:color="auto"/>
      </w:divBdr>
    </w:div>
    <w:div w:id="1833720555">
      <w:bodyDiv w:val="1"/>
      <w:marLeft w:val="0"/>
      <w:marRight w:val="0"/>
      <w:marTop w:val="0"/>
      <w:marBottom w:val="0"/>
      <w:divBdr>
        <w:top w:val="none" w:sz="0" w:space="0" w:color="auto"/>
        <w:left w:val="none" w:sz="0" w:space="0" w:color="auto"/>
        <w:bottom w:val="none" w:sz="0" w:space="0" w:color="auto"/>
        <w:right w:val="none" w:sz="0" w:space="0" w:color="auto"/>
      </w:divBdr>
      <w:divsChild>
        <w:div w:id="27417963">
          <w:marLeft w:val="0"/>
          <w:marRight w:val="0"/>
          <w:marTop w:val="0"/>
          <w:marBottom w:val="0"/>
          <w:divBdr>
            <w:top w:val="none" w:sz="0" w:space="0" w:color="auto"/>
            <w:left w:val="none" w:sz="0" w:space="0" w:color="auto"/>
            <w:bottom w:val="none" w:sz="0" w:space="0" w:color="auto"/>
            <w:right w:val="none" w:sz="0" w:space="0" w:color="auto"/>
          </w:divBdr>
        </w:div>
        <w:div w:id="1478373242">
          <w:marLeft w:val="0"/>
          <w:marRight w:val="0"/>
          <w:marTop w:val="0"/>
          <w:marBottom w:val="0"/>
          <w:divBdr>
            <w:top w:val="none" w:sz="0" w:space="0" w:color="auto"/>
            <w:left w:val="none" w:sz="0" w:space="0" w:color="auto"/>
            <w:bottom w:val="none" w:sz="0" w:space="0" w:color="auto"/>
            <w:right w:val="none" w:sz="0" w:space="0" w:color="auto"/>
          </w:divBdr>
        </w:div>
        <w:div w:id="1689021083">
          <w:marLeft w:val="0"/>
          <w:marRight w:val="0"/>
          <w:marTop w:val="0"/>
          <w:marBottom w:val="0"/>
          <w:divBdr>
            <w:top w:val="none" w:sz="0" w:space="0" w:color="auto"/>
            <w:left w:val="none" w:sz="0" w:space="0" w:color="auto"/>
            <w:bottom w:val="none" w:sz="0" w:space="0" w:color="auto"/>
            <w:right w:val="none" w:sz="0" w:space="0" w:color="auto"/>
          </w:divBdr>
        </w:div>
        <w:div w:id="1786465759">
          <w:marLeft w:val="0"/>
          <w:marRight w:val="0"/>
          <w:marTop w:val="0"/>
          <w:marBottom w:val="0"/>
          <w:divBdr>
            <w:top w:val="none" w:sz="0" w:space="0" w:color="auto"/>
            <w:left w:val="none" w:sz="0" w:space="0" w:color="auto"/>
            <w:bottom w:val="none" w:sz="0" w:space="0" w:color="auto"/>
            <w:right w:val="none" w:sz="0" w:space="0" w:color="auto"/>
          </w:divBdr>
        </w:div>
      </w:divsChild>
    </w:div>
    <w:div w:id="1835534645">
      <w:bodyDiv w:val="1"/>
      <w:marLeft w:val="0"/>
      <w:marRight w:val="0"/>
      <w:marTop w:val="0"/>
      <w:marBottom w:val="0"/>
      <w:divBdr>
        <w:top w:val="none" w:sz="0" w:space="0" w:color="auto"/>
        <w:left w:val="none" w:sz="0" w:space="0" w:color="auto"/>
        <w:bottom w:val="none" w:sz="0" w:space="0" w:color="auto"/>
        <w:right w:val="none" w:sz="0" w:space="0" w:color="auto"/>
      </w:divBdr>
    </w:div>
    <w:div w:id="1843279438">
      <w:bodyDiv w:val="1"/>
      <w:marLeft w:val="0"/>
      <w:marRight w:val="0"/>
      <w:marTop w:val="0"/>
      <w:marBottom w:val="0"/>
      <w:divBdr>
        <w:top w:val="none" w:sz="0" w:space="0" w:color="auto"/>
        <w:left w:val="none" w:sz="0" w:space="0" w:color="auto"/>
        <w:bottom w:val="none" w:sz="0" w:space="0" w:color="auto"/>
        <w:right w:val="none" w:sz="0" w:space="0" w:color="auto"/>
      </w:divBdr>
    </w:div>
    <w:div w:id="1847941295">
      <w:bodyDiv w:val="1"/>
      <w:marLeft w:val="0"/>
      <w:marRight w:val="0"/>
      <w:marTop w:val="0"/>
      <w:marBottom w:val="0"/>
      <w:divBdr>
        <w:top w:val="none" w:sz="0" w:space="0" w:color="auto"/>
        <w:left w:val="none" w:sz="0" w:space="0" w:color="auto"/>
        <w:bottom w:val="none" w:sz="0" w:space="0" w:color="auto"/>
        <w:right w:val="none" w:sz="0" w:space="0" w:color="auto"/>
      </w:divBdr>
    </w:div>
    <w:div w:id="1848400006">
      <w:bodyDiv w:val="1"/>
      <w:marLeft w:val="0"/>
      <w:marRight w:val="0"/>
      <w:marTop w:val="0"/>
      <w:marBottom w:val="0"/>
      <w:divBdr>
        <w:top w:val="none" w:sz="0" w:space="0" w:color="auto"/>
        <w:left w:val="none" w:sz="0" w:space="0" w:color="auto"/>
        <w:bottom w:val="none" w:sz="0" w:space="0" w:color="auto"/>
        <w:right w:val="none" w:sz="0" w:space="0" w:color="auto"/>
      </w:divBdr>
    </w:div>
    <w:div w:id="1857646793">
      <w:bodyDiv w:val="1"/>
      <w:marLeft w:val="0"/>
      <w:marRight w:val="0"/>
      <w:marTop w:val="0"/>
      <w:marBottom w:val="0"/>
      <w:divBdr>
        <w:top w:val="none" w:sz="0" w:space="0" w:color="auto"/>
        <w:left w:val="none" w:sz="0" w:space="0" w:color="auto"/>
        <w:bottom w:val="none" w:sz="0" w:space="0" w:color="auto"/>
        <w:right w:val="none" w:sz="0" w:space="0" w:color="auto"/>
      </w:divBdr>
    </w:div>
    <w:div w:id="1869873582">
      <w:bodyDiv w:val="1"/>
      <w:marLeft w:val="0"/>
      <w:marRight w:val="0"/>
      <w:marTop w:val="0"/>
      <w:marBottom w:val="0"/>
      <w:divBdr>
        <w:top w:val="none" w:sz="0" w:space="0" w:color="auto"/>
        <w:left w:val="none" w:sz="0" w:space="0" w:color="auto"/>
        <w:bottom w:val="none" w:sz="0" w:space="0" w:color="auto"/>
        <w:right w:val="none" w:sz="0" w:space="0" w:color="auto"/>
      </w:divBdr>
    </w:div>
    <w:div w:id="1873880882">
      <w:bodyDiv w:val="1"/>
      <w:marLeft w:val="0"/>
      <w:marRight w:val="0"/>
      <w:marTop w:val="0"/>
      <w:marBottom w:val="0"/>
      <w:divBdr>
        <w:top w:val="none" w:sz="0" w:space="0" w:color="auto"/>
        <w:left w:val="none" w:sz="0" w:space="0" w:color="auto"/>
        <w:bottom w:val="none" w:sz="0" w:space="0" w:color="auto"/>
        <w:right w:val="none" w:sz="0" w:space="0" w:color="auto"/>
      </w:divBdr>
    </w:div>
    <w:div w:id="1876892059">
      <w:bodyDiv w:val="1"/>
      <w:marLeft w:val="0"/>
      <w:marRight w:val="0"/>
      <w:marTop w:val="0"/>
      <w:marBottom w:val="0"/>
      <w:divBdr>
        <w:top w:val="none" w:sz="0" w:space="0" w:color="auto"/>
        <w:left w:val="none" w:sz="0" w:space="0" w:color="auto"/>
        <w:bottom w:val="none" w:sz="0" w:space="0" w:color="auto"/>
        <w:right w:val="none" w:sz="0" w:space="0" w:color="auto"/>
      </w:divBdr>
    </w:div>
    <w:div w:id="1881084669">
      <w:bodyDiv w:val="1"/>
      <w:marLeft w:val="0"/>
      <w:marRight w:val="0"/>
      <w:marTop w:val="0"/>
      <w:marBottom w:val="0"/>
      <w:divBdr>
        <w:top w:val="none" w:sz="0" w:space="0" w:color="auto"/>
        <w:left w:val="none" w:sz="0" w:space="0" w:color="auto"/>
        <w:bottom w:val="none" w:sz="0" w:space="0" w:color="auto"/>
        <w:right w:val="none" w:sz="0" w:space="0" w:color="auto"/>
      </w:divBdr>
    </w:div>
    <w:div w:id="1888225121">
      <w:bodyDiv w:val="1"/>
      <w:marLeft w:val="0"/>
      <w:marRight w:val="0"/>
      <w:marTop w:val="0"/>
      <w:marBottom w:val="0"/>
      <w:divBdr>
        <w:top w:val="none" w:sz="0" w:space="0" w:color="auto"/>
        <w:left w:val="none" w:sz="0" w:space="0" w:color="auto"/>
        <w:bottom w:val="none" w:sz="0" w:space="0" w:color="auto"/>
        <w:right w:val="none" w:sz="0" w:space="0" w:color="auto"/>
      </w:divBdr>
    </w:div>
    <w:div w:id="1889992766">
      <w:bodyDiv w:val="1"/>
      <w:marLeft w:val="0"/>
      <w:marRight w:val="0"/>
      <w:marTop w:val="0"/>
      <w:marBottom w:val="0"/>
      <w:divBdr>
        <w:top w:val="none" w:sz="0" w:space="0" w:color="auto"/>
        <w:left w:val="none" w:sz="0" w:space="0" w:color="auto"/>
        <w:bottom w:val="none" w:sz="0" w:space="0" w:color="auto"/>
        <w:right w:val="none" w:sz="0" w:space="0" w:color="auto"/>
      </w:divBdr>
    </w:div>
    <w:div w:id="1890067858">
      <w:bodyDiv w:val="1"/>
      <w:marLeft w:val="0"/>
      <w:marRight w:val="0"/>
      <w:marTop w:val="0"/>
      <w:marBottom w:val="0"/>
      <w:divBdr>
        <w:top w:val="none" w:sz="0" w:space="0" w:color="auto"/>
        <w:left w:val="none" w:sz="0" w:space="0" w:color="auto"/>
        <w:bottom w:val="none" w:sz="0" w:space="0" w:color="auto"/>
        <w:right w:val="none" w:sz="0" w:space="0" w:color="auto"/>
      </w:divBdr>
      <w:divsChild>
        <w:div w:id="644092742">
          <w:marLeft w:val="450"/>
          <w:marRight w:val="0"/>
          <w:marTop w:val="0"/>
          <w:marBottom w:val="0"/>
          <w:divBdr>
            <w:top w:val="none" w:sz="0" w:space="0" w:color="auto"/>
            <w:left w:val="none" w:sz="0" w:space="0" w:color="auto"/>
            <w:bottom w:val="none" w:sz="0" w:space="0" w:color="auto"/>
            <w:right w:val="none" w:sz="0" w:space="0" w:color="auto"/>
          </w:divBdr>
        </w:div>
        <w:div w:id="794299761">
          <w:marLeft w:val="0"/>
          <w:marRight w:val="0"/>
          <w:marTop w:val="0"/>
          <w:marBottom w:val="0"/>
          <w:divBdr>
            <w:top w:val="none" w:sz="0" w:space="0" w:color="auto"/>
            <w:left w:val="none" w:sz="0" w:space="0" w:color="auto"/>
            <w:bottom w:val="none" w:sz="0" w:space="0" w:color="auto"/>
            <w:right w:val="none" w:sz="0" w:space="0" w:color="auto"/>
          </w:divBdr>
        </w:div>
        <w:div w:id="932713122">
          <w:marLeft w:val="0"/>
          <w:marRight w:val="0"/>
          <w:marTop w:val="0"/>
          <w:marBottom w:val="0"/>
          <w:divBdr>
            <w:top w:val="none" w:sz="0" w:space="0" w:color="auto"/>
            <w:left w:val="none" w:sz="0" w:space="0" w:color="auto"/>
            <w:bottom w:val="none" w:sz="0" w:space="0" w:color="auto"/>
            <w:right w:val="none" w:sz="0" w:space="0" w:color="auto"/>
          </w:divBdr>
        </w:div>
        <w:div w:id="1881284811">
          <w:marLeft w:val="450"/>
          <w:marRight w:val="0"/>
          <w:marTop w:val="0"/>
          <w:marBottom w:val="0"/>
          <w:divBdr>
            <w:top w:val="none" w:sz="0" w:space="0" w:color="auto"/>
            <w:left w:val="none" w:sz="0" w:space="0" w:color="auto"/>
            <w:bottom w:val="none" w:sz="0" w:space="0" w:color="auto"/>
            <w:right w:val="none" w:sz="0" w:space="0" w:color="auto"/>
          </w:divBdr>
        </w:div>
      </w:divsChild>
    </w:div>
    <w:div w:id="1902712209">
      <w:bodyDiv w:val="1"/>
      <w:marLeft w:val="0"/>
      <w:marRight w:val="0"/>
      <w:marTop w:val="0"/>
      <w:marBottom w:val="0"/>
      <w:divBdr>
        <w:top w:val="none" w:sz="0" w:space="0" w:color="auto"/>
        <w:left w:val="none" w:sz="0" w:space="0" w:color="auto"/>
        <w:bottom w:val="none" w:sz="0" w:space="0" w:color="auto"/>
        <w:right w:val="none" w:sz="0" w:space="0" w:color="auto"/>
      </w:divBdr>
    </w:div>
    <w:div w:id="1920367079">
      <w:bodyDiv w:val="1"/>
      <w:marLeft w:val="0"/>
      <w:marRight w:val="0"/>
      <w:marTop w:val="0"/>
      <w:marBottom w:val="0"/>
      <w:divBdr>
        <w:top w:val="none" w:sz="0" w:space="0" w:color="auto"/>
        <w:left w:val="none" w:sz="0" w:space="0" w:color="auto"/>
        <w:bottom w:val="none" w:sz="0" w:space="0" w:color="auto"/>
        <w:right w:val="none" w:sz="0" w:space="0" w:color="auto"/>
      </w:divBdr>
    </w:div>
    <w:div w:id="1929465152">
      <w:bodyDiv w:val="1"/>
      <w:marLeft w:val="0"/>
      <w:marRight w:val="0"/>
      <w:marTop w:val="0"/>
      <w:marBottom w:val="0"/>
      <w:divBdr>
        <w:top w:val="none" w:sz="0" w:space="0" w:color="auto"/>
        <w:left w:val="none" w:sz="0" w:space="0" w:color="auto"/>
        <w:bottom w:val="none" w:sz="0" w:space="0" w:color="auto"/>
        <w:right w:val="none" w:sz="0" w:space="0" w:color="auto"/>
      </w:divBdr>
    </w:div>
    <w:div w:id="1935363479">
      <w:bodyDiv w:val="1"/>
      <w:marLeft w:val="0"/>
      <w:marRight w:val="0"/>
      <w:marTop w:val="0"/>
      <w:marBottom w:val="0"/>
      <w:divBdr>
        <w:top w:val="none" w:sz="0" w:space="0" w:color="auto"/>
        <w:left w:val="none" w:sz="0" w:space="0" w:color="auto"/>
        <w:bottom w:val="none" w:sz="0" w:space="0" w:color="auto"/>
        <w:right w:val="none" w:sz="0" w:space="0" w:color="auto"/>
      </w:divBdr>
    </w:div>
    <w:div w:id="1942638793">
      <w:bodyDiv w:val="1"/>
      <w:marLeft w:val="0"/>
      <w:marRight w:val="0"/>
      <w:marTop w:val="0"/>
      <w:marBottom w:val="0"/>
      <w:divBdr>
        <w:top w:val="none" w:sz="0" w:space="0" w:color="auto"/>
        <w:left w:val="none" w:sz="0" w:space="0" w:color="auto"/>
        <w:bottom w:val="none" w:sz="0" w:space="0" w:color="auto"/>
        <w:right w:val="none" w:sz="0" w:space="0" w:color="auto"/>
      </w:divBdr>
    </w:div>
    <w:div w:id="1946617020">
      <w:bodyDiv w:val="1"/>
      <w:marLeft w:val="0"/>
      <w:marRight w:val="0"/>
      <w:marTop w:val="0"/>
      <w:marBottom w:val="0"/>
      <w:divBdr>
        <w:top w:val="none" w:sz="0" w:space="0" w:color="auto"/>
        <w:left w:val="none" w:sz="0" w:space="0" w:color="auto"/>
        <w:bottom w:val="none" w:sz="0" w:space="0" w:color="auto"/>
        <w:right w:val="none" w:sz="0" w:space="0" w:color="auto"/>
      </w:divBdr>
    </w:div>
    <w:div w:id="1958756346">
      <w:bodyDiv w:val="1"/>
      <w:marLeft w:val="0"/>
      <w:marRight w:val="0"/>
      <w:marTop w:val="0"/>
      <w:marBottom w:val="0"/>
      <w:divBdr>
        <w:top w:val="none" w:sz="0" w:space="0" w:color="auto"/>
        <w:left w:val="none" w:sz="0" w:space="0" w:color="auto"/>
        <w:bottom w:val="none" w:sz="0" w:space="0" w:color="auto"/>
        <w:right w:val="none" w:sz="0" w:space="0" w:color="auto"/>
      </w:divBdr>
    </w:div>
    <w:div w:id="1965118944">
      <w:bodyDiv w:val="1"/>
      <w:marLeft w:val="0"/>
      <w:marRight w:val="0"/>
      <w:marTop w:val="0"/>
      <w:marBottom w:val="0"/>
      <w:divBdr>
        <w:top w:val="none" w:sz="0" w:space="0" w:color="auto"/>
        <w:left w:val="none" w:sz="0" w:space="0" w:color="auto"/>
        <w:bottom w:val="none" w:sz="0" w:space="0" w:color="auto"/>
        <w:right w:val="none" w:sz="0" w:space="0" w:color="auto"/>
      </w:divBdr>
    </w:div>
    <w:div w:id="1968049168">
      <w:bodyDiv w:val="1"/>
      <w:marLeft w:val="0"/>
      <w:marRight w:val="0"/>
      <w:marTop w:val="0"/>
      <w:marBottom w:val="0"/>
      <w:divBdr>
        <w:top w:val="none" w:sz="0" w:space="0" w:color="auto"/>
        <w:left w:val="none" w:sz="0" w:space="0" w:color="auto"/>
        <w:bottom w:val="none" w:sz="0" w:space="0" w:color="auto"/>
        <w:right w:val="none" w:sz="0" w:space="0" w:color="auto"/>
      </w:divBdr>
    </w:div>
    <w:div w:id="1977369274">
      <w:bodyDiv w:val="1"/>
      <w:marLeft w:val="0"/>
      <w:marRight w:val="0"/>
      <w:marTop w:val="0"/>
      <w:marBottom w:val="0"/>
      <w:divBdr>
        <w:top w:val="none" w:sz="0" w:space="0" w:color="auto"/>
        <w:left w:val="none" w:sz="0" w:space="0" w:color="auto"/>
        <w:bottom w:val="none" w:sz="0" w:space="0" w:color="auto"/>
        <w:right w:val="none" w:sz="0" w:space="0" w:color="auto"/>
      </w:divBdr>
    </w:div>
    <w:div w:id="1985965662">
      <w:bodyDiv w:val="1"/>
      <w:marLeft w:val="0"/>
      <w:marRight w:val="0"/>
      <w:marTop w:val="0"/>
      <w:marBottom w:val="0"/>
      <w:divBdr>
        <w:top w:val="none" w:sz="0" w:space="0" w:color="auto"/>
        <w:left w:val="none" w:sz="0" w:space="0" w:color="auto"/>
        <w:bottom w:val="none" w:sz="0" w:space="0" w:color="auto"/>
        <w:right w:val="none" w:sz="0" w:space="0" w:color="auto"/>
      </w:divBdr>
      <w:divsChild>
        <w:div w:id="743143522">
          <w:marLeft w:val="0"/>
          <w:marRight w:val="0"/>
          <w:marTop w:val="0"/>
          <w:marBottom w:val="0"/>
          <w:divBdr>
            <w:top w:val="none" w:sz="0" w:space="0" w:color="auto"/>
            <w:left w:val="none" w:sz="0" w:space="0" w:color="auto"/>
            <w:bottom w:val="none" w:sz="0" w:space="0" w:color="auto"/>
            <w:right w:val="none" w:sz="0" w:space="0" w:color="auto"/>
          </w:divBdr>
        </w:div>
        <w:div w:id="778796449">
          <w:marLeft w:val="0"/>
          <w:marRight w:val="0"/>
          <w:marTop w:val="0"/>
          <w:marBottom w:val="0"/>
          <w:divBdr>
            <w:top w:val="none" w:sz="0" w:space="0" w:color="auto"/>
            <w:left w:val="none" w:sz="0" w:space="0" w:color="auto"/>
            <w:bottom w:val="none" w:sz="0" w:space="0" w:color="auto"/>
            <w:right w:val="none" w:sz="0" w:space="0" w:color="auto"/>
          </w:divBdr>
        </w:div>
      </w:divsChild>
    </w:div>
    <w:div w:id="1994602964">
      <w:bodyDiv w:val="1"/>
      <w:marLeft w:val="0"/>
      <w:marRight w:val="0"/>
      <w:marTop w:val="0"/>
      <w:marBottom w:val="0"/>
      <w:divBdr>
        <w:top w:val="none" w:sz="0" w:space="0" w:color="auto"/>
        <w:left w:val="none" w:sz="0" w:space="0" w:color="auto"/>
        <w:bottom w:val="none" w:sz="0" w:space="0" w:color="auto"/>
        <w:right w:val="none" w:sz="0" w:space="0" w:color="auto"/>
      </w:divBdr>
      <w:divsChild>
        <w:div w:id="134613806">
          <w:marLeft w:val="0"/>
          <w:marRight w:val="0"/>
          <w:marTop w:val="0"/>
          <w:marBottom w:val="0"/>
          <w:divBdr>
            <w:top w:val="none" w:sz="0" w:space="0" w:color="auto"/>
            <w:left w:val="none" w:sz="0" w:space="0" w:color="auto"/>
            <w:bottom w:val="none" w:sz="0" w:space="0" w:color="auto"/>
            <w:right w:val="none" w:sz="0" w:space="0" w:color="auto"/>
          </w:divBdr>
        </w:div>
        <w:div w:id="389310544">
          <w:marLeft w:val="0"/>
          <w:marRight w:val="0"/>
          <w:marTop w:val="0"/>
          <w:marBottom w:val="0"/>
          <w:divBdr>
            <w:top w:val="none" w:sz="0" w:space="0" w:color="auto"/>
            <w:left w:val="none" w:sz="0" w:space="0" w:color="auto"/>
            <w:bottom w:val="none" w:sz="0" w:space="0" w:color="auto"/>
            <w:right w:val="none" w:sz="0" w:space="0" w:color="auto"/>
          </w:divBdr>
        </w:div>
        <w:div w:id="1515221771">
          <w:marLeft w:val="0"/>
          <w:marRight w:val="0"/>
          <w:marTop w:val="0"/>
          <w:marBottom w:val="0"/>
          <w:divBdr>
            <w:top w:val="none" w:sz="0" w:space="0" w:color="auto"/>
            <w:left w:val="none" w:sz="0" w:space="0" w:color="auto"/>
            <w:bottom w:val="none" w:sz="0" w:space="0" w:color="auto"/>
            <w:right w:val="none" w:sz="0" w:space="0" w:color="auto"/>
          </w:divBdr>
        </w:div>
        <w:div w:id="1686784502">
          <w:marLeft w:val="0"/>
          <w:marRight w:val="0"/>
          <w:marTop w:val="0"/>
          <w:marBottom w:val="0"/>
          <w:divBdr>
            <w:top w:val="none" w:sz="0" w:space="0" w:color="auto"/>
            <w:left w:val="none" w:sz="0" w:space="0" w:color="auto"/>
            <w:bottom w:val="none" w:sz="0" w:space="0" w:color="auto"/>
            <w:right w:val="none" w:sz="0" w:space="0" w:color="auto"/>
          </w:divBdr>
        </w:div>
      </w:divsChild>
    </w:div>
    <w:div w:id="2005627227">
      <w:bodyDiv w:val="1"/>
      <w:marLeft w:val="0"/>
      <w:marRight w:val="0"/>
      <w:marTop w:val="0"/>
      <w:marBottom w:val="0"/>
      <w:divBdr>
        <w:top w:val="none" w:sz="0" w:space="0" w:color="auto"/>
        <w:left w:val="none" w:sz="0" w:space="0" w:color="auto"/>
        <w:bottom w:val="none" w:sz="0" w:space="0" w:color="auto"/>
        <w:right w:val="none" w:sz="0" w:space="0" w:color="auto"/>
      </w:divBdr>
      <w:divsChild>
        <w:div w:id="12078690">
          <w:marLeft w:val="0"/>
          <w:marRight w:val="0"/>
          <w:marTop w:val="0"/>
          <w:marBottom w:val="0"/>
          <w:divBdr>
            <w:top w:val="none" w:sz="0" w:space="0" w:color="auto"/>
            <w:left w:val="none" w:sz="0" w:space="0" w:color="auto"/>
            <w:bottom w:val="none" w:sz="0" w:space="0" w:color="auto"/>
            <w:right w:val="none" w:sz="0" w:space="0" w:color="auto"/>
          </w:divBdr>
        </w:div>
        <w:div w:id="48039536">
          <w:marLeft w:val="0"/>
          <w:marRight w:val="0"/>
          <w:marTop w:val="0"/>
          <w:marBottom w:val="0"/>
          <w:divBdr>
            <w:top w:val="none" w:sz="0" w:space="0" w:color="auto"/>
            <w:left w:val="none" w:sz="0" w:space="0" w:color="auto"/>
            <w:bottom w:val="none" w:sz="0" w:space="0" w:color="auto"/>
            <w:right w:val="none" w:sz="0" w:space="0" w:color="auto"/>
          </w:divBdr>
        </w:div>
        <w:div w:id="264774118">
          <w:marLeft w:val="0"/>
          <w:marRight w:val="0"/>
          <w:marTop w:val="0"/>
          <w:marBottom w:val="0"/>
          <w:divBdr>
            <w:top w:val="none" w:sz="0" w:space="0" w:color="auto"/>
            <w:left w:val="none" w:sz="0" w:space="0" w:color="auto"/>
            <w:bottom w:val="none" w:sz="0" w:space="0" w:color="auto"/>
            <w:right w:val="none" w:sz="0" w:space="0" w:color="auto"/>
          </w:divBdr>
        </w:div>
        <w:div w:id="607203601">
          <w:marLeft w:val="0"/>
          <w:marRight w:val="0"/>
          <w:marTop w:val="0"/>
          <w:marBottom w:val="0"/>
          <w:divBdr>
            <w:top w:val="none" w:sz="0" w:space="0" w:color="auto"/>
            <w:left w:val="none" w:sz="0" w:space="0" w:color="auto"/>
            <w:bottom w:val="none" w:sz="0" w:space="0" w:color="auto"/>
            <w:right w:val="none" w:sz="0" w:space="0" w:color="auto"/>
          </w:divBdr>
        </w:div>
        <w:div w:id="614602198">
          <w:marLeft w:val="0"/>
          <w:marRight w:val="0"/>
          <w:marTop w:val="0"/>
          <w:marBottom w:val="0"/>
          <w:divBdr>
            <w:top w:val="none" w:sz="0" w:space="0" w:color="auto"/>
            <w:left w:val="none" w:sz="0" w:space="0" w:color="auto"/>
            <w:bottom w:val="none" w:sz="0" w:space="0" w:color="auto"/>
            <w:right w:val="none" w:sz="0" w:space="0" w:color="auto"/>
          </w:divBdr>
        </w:div>
        <w:div w:id="641957783">
          <w:marLeft w:val="0"/>
          <w:marRight w:val="0"/>
          <w:marTop w:val="0"/>
          <w:marBottom w:val="0"/>
          <w:divBdr>
            <w:top w:val="none" w:sz="0" w:space="0" w:color="auto"/>
            <w:left w:val="none" w:sz="0" w:space="0" w:color="auto"/>
            <w:bottom w:val="none" w:sz="0" w:space="0" w:color="auto"/>
            <w:right w:val="none" w:sz="0" w:space="0" w:color="auto"/>
          </w:divBdr>
        </w:div>
        <w:div w:id="683747478">
          <w:marLeft w:val="0"/>
          <w:marRight w:val="0"/>
          <w:marTop w:val="0"/>
          <w:marBottom w:val="0"/>
          <w:divBdr>
            <w:top w:val="none" w:sz="0" w:space="0" w:color="auto"/>
            <w:left w:val="none" w:sz="0" w:space="0" w:color="auto"/>
            <w:bottom w:val="none" w:sz="0" w:space="0" w:color="auto"/>
            <w:right w:val="none" w:sz="0" w:space="0" w:color="auto"/>
          </w:divBdr>
        </w:div>
        <w:div w:id="1197278816">
          <w:marLeft w:val="0"/>
          <w:marRight w:val="0"/>
          <w:marTop w:val="0"/>
          <w:marBottom w:val="0"/>
          <w:divBdr>
            <w:top w:val="none" w:sz="0" w:space="0" w:color="auto"/>
            <w:left w:val="none" w:sz="0" w:space="0" w:color="auto"/>
            <w:bottom w:val="none" w:sz="0" w:space="0" w:color="auto"/>
            <w:right w:val="none" w:sz="0" w:space="0" w:color="auto"/>
          </w:divBdr>
        </w:div>
        <w:div w:id="1241794998">
          <w:marLeft w:val="0"/>
          <w:marRight w:val="0"/>
          <w:marTop w:val="0"/>
          <w:marBottom w:val="0"/>
          <w:divBdr>
            <w:top w:val="none" w:sz="0" w:space="0" w:color="auto"/>
            <w:left w:val="none" w:sz="0" w:space="0" w:color="auto"/>
            <w:bottom w:val="none" w:sz="0" w:space="0" w:color="auto"/>
            <w:right w:val="none" w:sz="0" w:space="0" w:color="auto"/>
          </w:divBdr>
        </w:div>
        <w:div w:id="1433747086">
          <w:marLeft w:val="0"/>
          <w:marRight w:val="0"/>
          <w:marTop w:val="0"/>
          <w:marBottom w:val="0"/>
          <w:divBdr>
            <w:top w:val="none" w:sz="0" w:space="0" w:color="auto"/>
            <w:left w:val="none" w:sz="0" w:space="0" w:color="auto"/>
            <w:bottom w:val="none" w:sz="0" w:space="0" w:color="auto"/>
            <w:right w:val="none" w:sz="0" w:space="0" w:color="auto"/>
          </w:divBdr>
        </w:div>
        <w:div w:id="1651982890">
          <w:marLeft w:val="0"/>
          <w:marRight w:val="0"/>
          <w:marTop w:val="0"/>
          <w:marBottom w:val="0"/>
          <w:divBdr>
            <w:top w:val="none" w:sz="0" w:space="0" w:color="auto"/>
            <w:left w:val="none" w:sz="0" w:space="0" w:color="auto"/>
            <w:bottom w:val="none" w:sz="0" w:space="0" w:color="auto"/>
            <w:right w:val="none" w:sz="0" w:space="0" w:color="auto"/>
          </w:divBdr>
        </w:div>
        <w:div w:id="1719012593">
          <w:marLeft w:val="0"/>
          <w:marRight w:val="0"/>
          <w:marTop w:val="0"/>
          <w:marBottom w:val="0"/>
          <w:divBdr>
            <w:top w:val="none" w:sz="0" w:space="0" w:color="auto"/>
            <w:left w:val="none" w:sz="0" w:space="0" w:color="auto"/>
            <w:bottom w:val="none" w:sz="0" w:space="0" w:color="auto"/>
            <w:right w:val="none" w:sz="0" w:space="0" w:color="auto"/>
          </w:divBdr>
        </w:div>
        <w:div w:id="2057267422">
          <w:marLeft w:val="0"/>
          <w:marRight w:val="0"/>
          <w:marTop w:val="0"/>
          <w:marBottom w:val="0"/>
          <w:divBdr>
            <w:top w:val="none" w:sz="0" w:space="0" w:color="auto"/>
            <w:left w:val="none" w:sz="0" w:space="0" w:color="auto"/>
            <w:bottom w:val="none" w:sz="0" w:space="0" w:color="auto"/>
            <w:right w:val="none" w:sz="0" w:space="0" w:color="auto"/>
          </w:divBdr>
        </w:div>
      </w:divsChild>
    </w:div>
    <w:div w:id="2008362774">
      <w:bodyDiv w:val="1"/>
      <w:marLeft w:val="0"/>
      <w:marRight w:val="0"/>
      <w:marTop w:val="0"/>
      <w:marBottom w:val="0"/>
      <w:divBdr>
        <w:top w:val="none" w:sz="0" w:space="0" w:color="auto"/>
        <w:left w:val="none" w:sz="0" w:space="0" w:color="auto"/>
        <w:bottom w:val="none" w:sz="0" w:space="0" w:color="auto"/>
        <w:right w:val="none" w:sz="0" w:space="0" w:color="auto"/>
      </w:divBdr>
    </w:div>
    <w:div w:id="2008972268">
      <w:bodyDiv w:val="1"/>
      <w:marLeft w:val="0"/>
      <w:marRight w:val="0"/>
      <w:marTop w:val="0"/>
      <w:marBottom w:val="0"/>
      <w:divBdr>
        <w:top w:val="none" w:sz="0" w:space="0" w:color="auto"/>
        <w:left w:val="none" w:sz="0" w:space="0" w:color="auto"/>
        <w:bottom w:val="none" w:sz="0" w:space="0" w:color="auto"/>
        <w:right w:val="none" w:sz="0" w:space="0" w:color="auto"/>
      </w:divBdr>
    </w:div>
    <w:div w:id="2013560671">
      <w:bodyDiv w:val="1"/>
      <w:marLeft w:val="0"/>
      <w:marRight w:val="0"/>
      <w:marTop w:val="0"/>
      <w:marBottom w:val="0"/>
      <w:divBdr>
        <w:top w:val="none" w:sz="0" w:space="0" w:color="auto"/>
        <w:left w:val="none" w:sz="0" w:space="0" w:color="auto"/>
        <w:bottom w:val="none" w:sz="0" w:space="0" w:color="auto"/>
        <w:right w:val="none" w:sz="0" w:space="0" w:color="auto"/>
      </w:divBdr>
    </w:div>
    <w:div w:id="2014066132">
      <w:bodyDiv w:val="1"/>
      <w:marLeft w:val="0"/>
      <w:marRight w:val="0"/>
      <w:marTop w:val="0"/>
      <w:marBottom w:val="0"/>
      <w:divBdr>
        <w:top w:val="none" w:sz="0" w:space="0" w:color="auto"/>
        <w:left w:val="none" w:sz="0" w:space="0" w:color="auto"/>
        <w:bottom w:val="none" w:sz="0" w:space="0" w:color="auto"/>
        <w:right w:val="none" w:sz="0" w:space="0" w:color="auto"/>
      </w:divBdr>
    </w:div>
    <w:div w:id="2024090205">
      <w:bodyDiv w:val="1"/>
      <w:marLeft w:val="0"/>
      <w:marRight w:val="0"/>
      <w:marTop w:val="0"/>
      <w:marBottom w:val="0"/>
      <w:divBdr>
        <w:top w:val="none" w:sz="0" w:space="0" w:color="auto"/>
        <w:left w:val="none" w:sz="0" w:space="0" w:color="auto"/>
        <w:bottom w:val="none" w:sz="0" w:space="0" w:color="auto"/>
        <w:right w:val="none" w:sz="0" w:space="0" w:color="auto"/>
      </w:divBdr>
    </w:div>
    <w:div w:id="2027556439">
      <w:bodyDiv w:val="1"/>
      <w:marLeft w:val="0"/>
      <w:marRight w:val="0"/>
      <w:marTop w:val="0"/>
      <w:marBottom w:val="0"/>
      <w:divBdr>
        <w:top w:val="none" w:sz="0" w:space="0" w:color="auto"/>
        <w:left w:val="none" w:sz="0" w:space="0" w:color="auto"/>
        <w:bottom w:val="none" w:sz="0" w:space="0" w:color="auto"/>
        <w:right w:val="none" w:sz="0" w:space="0" w:color="auto"/>
      </w:divBdr>
    </w:div>
    <w:div w:id="2033724350">
      <w:bodyDiv w:val="1"/>
      <w:marLeft w:val="0"/>
      <w:marRight w:val="0"/>
      <w:marTop w:val="0"/>
      <w:marBottom w:val="0"/>
      <w:divBdr>
        <w:top w:val="none" w:sz="0" w:space="0" w:color="auto"/>
        <w:left w:val="none" w:sz="0" w:space="0" w:color="auto"/>
        <w:bottom w:val="none" w:sz="0" w:space="0" w:color="auto"/>
        <w:right w:val="none" w:sz="0" w:space="0" w:color="auto"/>
      </w:divBdr>
    </w:div>
    <w:div w:id="2034650513">
      <w:bodyDiv w:val="1"/>
      <w:marLeft w:val="0"/>
      <w:marRight w:val="0"/>
      <w:marTop w:val="0"/>
      <w:marBottom w:val="0"/>
      <w:divBdr>
        <w:top w:val="none" w:sz="0" w:space="0" w:color="auto"/>
        <w:left w:val="none" w:sz="0" w:space="0" w:color="auto"/>
        <w:bottom w:val="none" w:sz="0" w:space="0" w:color="auto"/>
        <w:right w:val="none" w:sz="0" w:space="0" w:color="auto"/>
      </w:divBdr>
    </w:div>
    <w:div w:id="2040547170">
      <w:bodyDiv w:val="1"/>
      <w:marLeft w:val="0"/>
      <w:marRight w:val="0"/>
      <w:marTop w:val="0"/>
      <w:marBottom w:val="0"/>
      <w:divBdr>
        <w:top w:val="none" w:sz="0" w:space="0" w:color="auto"/>
        <w:left w:val="none" w:sz="0" w:space="0" w:color="auto"/>
        <w:bottom w:val="none" w:sz="0" w:space="0" w:color="auto"/>
        <w:right w:val="none" w:sz="0" w:space="0" w:color="auto"/>
      </w:divBdr>
    </w:div>
    <w:div w:id="2042440804">
      <w:bodyDiv w:val="1"/>
      <w:marLeft w:val="0"/>
      <w:marRight w:val="0"/>
      <w:marTop w:val="0"/>
      <w:marBottom w:val="0"/>
      <w:divBdr>
        <w:top w:val="none" w:sz="0" w:space="0" w:color="auto"/>
        <w:left w:val="none" w:sz="0" w:space="0" w:color="auto"/>
        <w:bottom w:val="none" w:sz="0" w:space="0" w:color="auto"/>
        <w:right w:val="none" w:sz="0" w:space="0" w:color="auto"/>
      </w:divBdr>
    </w:div>
    <w:div w:id="2044673253">
      <w:bodyDiv w:val="1"/>
      <w:marLeft w:val="0"/>
      <w:marRight w:val="0"/>
      <w:marTop w:val="0"/>
      <w:marBottom w:val="0"/>
      <w:divBdr>
        <w:top w:val="none" w:sz="0" w:space="0" w:color="auto"/>
        <w:left w:val="none" w:sz="0" w:space="0" w:color="auto"/>
        <w:bottom w:val="none" w:sz="0" w:space="0" w:color="auto"/>
        <w:right w:val="none" w:sz="0" w:space="0" w:color="auto"/>
      </w:divBdr>
    </w:div>
    <w:div w:id="2049648909">
      <w:bodyDiv w:val="1"/>
      <w:marLeft w:val="0"/>
      <w:marRight w:val="0"/>
      <w:marTop w:val="0"/>
      <w:marBottom w:val="0"/>
      <w:divBdr>
        <w:top w:val="none" w:sz="0" w:space="0" w:color="auto"/>
        <w:left w:val="none" w:sz="0" w:space="0" w:color="auto"/>
        <w:bottom w:val="none" w:sz="0" w:space="0" w:color="auto"/>
        <w:right w:val="none" w:sz="0" w:space="0" w:color="auto"/>
      </w:divBdr>
    </w:div>
    <w:div w:id="2050178695">
      <w:bodyDiv w:val="1"/>
      <w:marLeft w:val="0"/>
      <w:marRight w:val="0"/>
      <w:marTop w:val="0"/>
      <w:marBottom w:val="0"/>
      <w:divBdr>
        <w:top w:val="none" w:sz="0" w:space="0" w:color="auto"/>
        <w:left w:val="none" w:sz="0" w:space="0" w:color="auto"/>
        <w:bottom w:val="none" w:sz="0" w:space="0" w:color="auto"/>
        <w:right w:val="none" w:sz="0" w:space="0" w:color="auto"/>
      </w:divBdr>
    </w:div>
    <w:div w:id="2051612451">
      <w:bodyDiv w:val="1"/>
      <w:marLeft w:val="0"/>
      <w:marRight w:val="0"/>
      <w:marTop w:val="0"/>
      <w:marBottom w:val="0"/>
      <w:divBdr>
        <w:top w:val="none" w:sz="0" w:space="0" w:color="auto"/>
        <w:left w:val="none" w:sz="0" w:space="0" w:color="auto"/>
        <w:bottom w:val="none" w:sz="0" w:space="0" w:color="auto"/>
        <w:right w:val="none" w:sz="0" w:space="0" w:color="auto"/>
      </w:divBdr>
    </w:div>
    <w:div w:id="2057200158">
      <w:bodyDiv w:val="1"/>
      <w:marLeft w:val="0"/>
      <w:marRight w:val="0"/>
      <w:marTop w:val="0"/>
      <w:marBottom w:val="0"/>
      <w:divBdr>
        <w:top w:val="none" w:sz="0" w:space="0" w:color="auto"/>
        <w:left w:val="none" w:sz="0" w:space="0" w:color="auto"/>
        <w:bottom w:val="none" w:sz="0" w:space="0" w:color="auto"/>
        <w:right w:val="none" w:sz="0" w:space="0" w:color="auto"/>
      </w:divBdr>
    </w:div>
    <w:div w:id="2059042125">
      <w:bodyDiv w:val="1"/>
      <w:marLeft w:val="0"/>
      <w:marRight w:val="0"/>
      <w:marTop w:val="0"/>
      <w:marBottom w:val="0"/>
      <w:divBdr>
        <w:top w:val="none" w:sz="0" w:space="0" w:color="auto"/>
        <w:left w:val="none" w:sz="0" w:space="0" w:color="auto"/>
        <w:bottom w:val="none" w:sz="0" w:space="0" w:color="auto"/>
        <w:right w:val="none" w:sz="0" w:space="0" w:color="auto"/>
      </w:divBdr>
    </w:div>
    <w:div w:id="2060283241">
      <w:bodyDiv w:val="1"/>
      <w:marLeft w:val="0"/>
      <w:marRight w:val="0"/>
      <w:marTop w:val="0"/>
      <w:marBottom w:val="0"/>
      <w:divBdr>
        <w:top w:val="none" w:sz="0" w:space="0" w:color="auto"/>
        <w:left w:val="none" w:sz="0" w:space="0" w:color="auto"/>
        <w:bottom w:val="none" w:sz="0" w:space="0" w:color="auto"/>
        <w:right w:val="none" w:sz="0" w:space="0" w:color="auto"/>
      </w:divBdr>
    </w:div>
    <w:div w:id="2067681119">
      <w:bodyDiv w:val="1"/>
      <w:marLeft w:val="0"/>
      <w:marRight w:val="0"/>
      <w:marTop w:val="0"/>
      <w:marBottom w:val="0"/>
      <w:divBdr>
        <w:top w:val="none" w:sz="0" w:space="0" w:color="auto"/>
        <w:left w:val="none" w:sz="0" w:space="0" w:color="auto"/>
        <w:bottom w:val="none" w:sz="0" w:space="0" w:color="auto"/>
        <w:right w:val="none" w:sz="0" w:space="0" w:color="auto"/>
      </w:divBdr>
    </w:div>
    <w:div w:id="2068451478">
      <w:bodyDiv w:val="1"/>
      <w:marLeft w:val="0"/>
      <w:marRight w:val="0"/>
      <w:marTop w:val="0"/>
      <w:marBottom w:val="0"/>
      <w:divBdr>
        <w:top w:val="none" w:sz="0" w:space="0" w:color="auto"/>
        <w:left w:val="none" w:sz="0" w:space="0" w:color="auto"/>
        <w:bottom w:val="none" w:sz="0" w:space="0" w:color="auto"/>
        <w:right w:val="none" w:sz="0" w:space="0" w:color="auto"/>
      </w:divBdr>
      <w:divsChild>
        <w:div w:id="167718062">
          <w:marLeft w:val="0"/>
          <w:marRight w:val="0"/>
          <w:marTop w:val="0"/>
          <w:marBottom w:val="0"/>
          <w:divBdr>
            <w:top w:val="none" w:sz="0" w:space="0" w:color="auto"/>
            <w:left w:val="none" w:sz="0" w:space="0" w:color="auto"/>
            <w:bottom w:val="none" w:sz="0" w:space="0" w:color="auto"/>
            <w:right w:val="none" w:sz="0" w:space="0" w:color="auto"/>
          </w:divBdr>
        </w:div>
        <w:div w:id="559026535">
          <w:marLeft w:val="0"/>
          <w:marRight w:val="0"/>
          <w:marTop w:val="0"/>
          <w:marBottom w:val="0"/>
          <w:divBdr>
            <w:top w:val="none" w:sz="0" w:space="0" w:color="auto"/>
            <w:left w:val="none" w:sz="0" w:space="0" w:color="auto"/>
            <w:bottom w:val="none" w:sz="0" w:space="0" w:color="auto"/>
            <w:right w:val="none" w:sz="0" w:space="0" w:color="auto"/>
          </w:divBdr>
        </w:div>
        <w:div w:id="570384714">
          <w:marLeft w:val="450"/>
          <w:marRight w:val="0"/>
          <w:marTop w:val="0"/>
          <w:marBottom w:val="0"/>
          <w:divBdr>
            <w:top w:val="none" w:sz="0" w:space="0" w:color="auto"/>
            <w:left w:val="none" w:sz="0" w:space="0" w:color="auto"/>
            <w:bottom w:val="none" w:sz="0" w:space="0" w:color="auto"/>
            <w:right w:val="none" w:sz="0" w:space="0" w:color="auto"/>
          </w:divBdr>
        </w:div>
        <w:div w:id="738678180">
          <w:marLeft w:val="450"/>
          <w:marRight w:val="0"/>
          <w:marTop w:val="0"/>
          <w:marBottom w:val="0"/>
          <w:divBdr>
            <w:top w:val="none" w:sz="0" w:space="0" w:color="auto"/>
            <w:left w:val="none" w:sz="0" w:space="0" w:color="auto"/>
            <w:bottom w:val="none" w:sz="0" w:space="0" w:color="auto"/>
            <w:right w:val="none" w:sz="0" w:space="0" w:color="auto"/>
          </w:divBdr>
        </w:div>
      </w:divsChild>
    </w:div>
    <w:div w:id="2072725853">
      <w:bodyDiv w:val="1"/>
      <w:marLeft w:val="0"/>
      <w:marRight w:val="0"/>
      <w:marTop w:val="0"/>
      <w:marBottom w:val="0"/>
      <w:divBdr>
        <w:top w:val="none" w:sz="0" w:space="0" w:color="auto"/>
        <w:left w:val="none" w:sz="0" w:space="0" w:color="auto"/>
        <w:bottom w:val="none" w:sz="0" w:space="0" w:color="auto"/>
        <w:right w:val="none" w:sz="0" w:space="0" w:color="auto"/>
      </w:divBdr>
    </w:div>
    <w:div w:id="2074766769">
      <w:bodyDiv w:val="1"/>
      <w:marLeft w:val="0"/>
      <w:marRight w:val="0"/>
      <w:marTop w:val="0"/>
      <w:marBottom w:val="0"/>
      <w:divBdr>
        <w:top w:val="none" w:sz="0" w:space="0" w:color="auto"/>
        <w:left w:val="none" w:sz="0" w:space="0" w:color="auto"/>
        <w:bottom w:val="none" w:sz="0" w:space="0" w:color="auto"/>
        <w:right w:val="none" w:sz="0" w:space="0" w:color="auto"/>
      </w:divBdr>
    </w:div>
    <w:div w:id="2085494107">
      <w:bodyDiv w:val="1"/>
      <w:marLeft w:val="0"/>
      <w:marRight w:val="0"/>
      <w:marTop w:val="0"/>
      <w:marBottom w:val="0"/>
      <w:divBdr>
        <w:top w:val="none" w:sz="0" w:space="0" w:color="auto"/>
        <w:left w:val="none" w:sz="0" w:space="0" w:color="auto"/>
        <w:bottom w:val="none" w:sz="0" w:space="0" w:color="auto"/>
        <w:right w:val="none" w:sz="0" w:space="0" w:color="auto"/>
      </w:divBdr>
      <w:divsChild>
        <w:div w:id="255987047">
          <w:marLeft w:val="0"/>
          <w:marRight w:val="0"/>
          <w:marTop w:val="0"/>
          <w:marBottom w:val="0"/>
          <w:divBdr>
            <w:top w:val="none" w:sz="0" w:space="0" w:color="auto"/>
            <w:left w:val="none" w:sz="0" w:space="0" w:color="auto"/>
            <w:bottom w:val="none" w:sz="0" w:space="0" w:color="auto"/>
            <w:right w:val="none" w:sz="0" w:space="0" w:color="auto"/>
          </w:divBdr>
        </w:div>
        <w:div w:id="925915968">
          <w:marLeft w:val="0"/>
          <w:marRight w:val="0"/>
          <w:marTop w:val="0"/>
          <w:marBottom w:val="0"/>
          <w:divBdr>
            <w:top w:val="none" w:sz="0" w:space="0" w:color="auto"/>
            <w:left w:val="none" w:sz="0" w:space="0" w:color="auto"/>
            <w:bottom w:val="none" w:sz="0" w:space="0" w:color="auto"/>
            <w:right w:val="none" w:sz="0" w:space="0" w:color="auto"/>
          </w:divBdr>
        </w:div>
        <w:div w:id="1241064967">
          <w:marLeft w:val="0"/>
          <w:marRight w:val="0"/>
          <w:marTop w:val="0"/>
          <w:marBottom w:val="0"/>
          <w:divBdr>
            <w:top w:val="none" w:sz="0" w:space="0" w:color="auto"/>
            <w:left w:val="none" w:sz="0" w:space="0" w:color="auto"/>
            <w:bottom w:val="none" w:sz="0" w:space="0" w:color="auto"/>
            <w:right w:val="none" w:sz="0" w:space="0" w:color="auto"/>
          </w:divBdr>
        </w:div>
        <w:div w:id="1419248979">
          <w:marLeft w:val="0"/>
          <w:marRight w:val="0"/>
          <w:marTop w:val="0"/>
          <w:marBottom w:val="0"/>
          <w:divBdr>
            <w:top w:val="none" w:sz="0" w:space="0" w:color="auto"/>
            <w:left w:val="none" w:sz="0" w:space="0" w:color="auto"/>
            <w:bottom w:val="none" w:sz="0" w:space="0" w:color="auto"/>
            <w:right w:val="none" w:sz="0" w:space="0" w:color="auto"/>
          </w:divBdr>
        </w:div>
      </w:divsChild>
    </w:div>
    <w:div w:id="2087992453">
      <w:bodyDiv w:val="1"/>
      <w:marLeft w:val="0"/>
      <w:marRight w:val="0"/>
      <w:marTop w:val="0"/>
      <w:marBottom w:val="0"/>
      <w:divBdr>
        <w:top w:val="none" w:sz="0" w:space="0" w:color="auto"/>
        <w:left w:val="none" w:sz="0" w:space="0" w:color="auto"/>
        <w:bottom w:val="none" w:sz="0" w:space="0" w:color="auto"/>
        <w:right w:val="none" w:sz="0" w:space="0" w:color="auto"/>
      </w:divBdr>
    </w:div>
    <w:div w:id="2094858603">
      <w:bodyDiv w:val="1"/>
      <w:marLeft w:val="0"/>
      <w:marRight w:val="0"/>
      <w:marTop w:val="0"/>
      <w:marBottom w:val="0"/>
      <w:divBdr>
        <w:top w:val="none" w:sz="0" w:space="0" w:color="auto"/>
        <w:left w:val="none" w:sz="0" w:space="0" w:color="auto"/>
        <w:bottom w:val="none" w:sz="0" w:space="0" w:color="auto"/>
        <w:right w:val="none" w:sz="0" w:space="0" w:color="auto"/>
      </w:divBdr>
    </w:div>
    <w:div w:id="2110545516">
      <w:bodyDiv w:val="1"/>
      <w:marLeft w:val="0"/>
      <w:marRight w:val="0"/>
      <w:marTop w:val="0"/>
      <w:marBottom w:val="0"/>
      <w:divBdr>
        <w:top w:val="none" w:sz="0" w:space="0" w:color="auto"/>
        <w:left w:val="none" w:sz="0" w:space="0" w:color="auto"/>
        <w:bottom w:val="none" w:sz="0" w:space="0" w:color="auto"/>
        <w:right w:val="none" w:sz="0" w:space="0" w:color="auto"/>
      </w:divBdr>
    </w:div>
    <w:div w:id="2110614354">
      <w:bodyDiv w:val="1"/>
      <w:marLeft w:val="0"/>
      <w:marRight w:val="0"/>
      <w:marTop w:val="0"/>
      <w:marBottom w:val="0"/>
      <w:divBdr>
        <w:top w:val="none" w:sz="0" w:space="0" w:color="auto"/>
        <w:left w:val="none" w:sz="0" w:space="0" w:color="auto"/>
        <w:bottom w:val="none" w:sz="0" w:space="0" w:color="auto"/>
        <w:right w:val="none" w:sz="0" w:space="0" w:color="auto"/>
      </w:divBdr>
    </w:div>
    <w:div w:id="2111968748">
      <w:bodyDiv w:val="1"/>
      <w:marLeft w:val="0"/>
      <w:marRight w:val="0"/>
      <w:marTop w:val="0"/>
      <w:marBottom w:val="0"/>
      <w:divBdr>
        <w:top w:val="none" w:sz="0" w:space="0" w:color="auto"/>
        <w:left w:val="none" w:sz="0" w:space="0" w:color="auto"/>
        <w:bottom w:val="none" w:sz="0" w:space="0" w:color="auto"/>
        <w:right w:val="none" w:sz="0" w:space="0" w:color="auto"/>
      </w:divBdr>
    </w:div>
    <w:div w:id="2117551659">
      <w:bodyDiv w:val="1"/>
      <w:marLeft w:val="0"/>
      <w:marRight w:val="0"/>
      <w:marTop w:val="0"/>
      <w:marBottom w:val="0"/>
      <w:divBdr>
        <w:top w:val="none" w:sz="0" w:space="0" w:color="auto"/>
        <w:left w:val="none" w:sz="0" w:space="0" w:color="auto"/>
        <w:bottom w:val="none" w:sz="0" w:space="0" w:color="auto"/>
        <w:right w:val="none" w:sz="0" w:space="0" w:color="auto"/>
      </w:divBdr>
    </w:div>
    <w:div w:id="2119592685">
      <w:bodyDiv w:val="1"/>
      <w:marLeft w:val="0"/>
      <w:marRight w:val="0"/>
      <w:marTop w:val="0"/>
      <w:marBottom w:val="0"/>
      <w:divBdr>
        <w:top w:val="none" w:sz="0" w:space="0" w:color="auto"/>
        <w:left w:val="none" w:sz="0" w:space="0" w:color="auto"/>
        <w:bottom w:val="none" w:sz="0" w:space="0" w:color="auto"/>
        <w:right w:val="none" w:sz="0" w:space="0" w:color="auto"/>
      </w:divBdr>
    </w:div>
    <w:div w:id="2122414875">
      <w:bodyDiv w:val="1"/>
      <w:marLeft w:val="0"/>
      <w:marRight w:val="0"/>
      <w:marTop w:val="0"/>
      <w:marBottom w:val="0"/>
      <w:divBdr>
        <w:top w:val="none" w:sz="0" w:space="0" w:color="auto"/>
        <w:left w:val="none" w:sz="0" w:space="0" w:color="auto"/>
        <w:bottom w:val="none" w:sz="0" w:space="0" w:color="auto"/>
        <w:right w:val="none" w:sz="0" w:space="0" w:color="auto"/>
      </w:divBdr>
    </w:div>
    <w:div w:id="2135050370">
      <w:bodyDiv w:val="1"/>
      <w:marLeft w:val="0"/>
      <w:marRight w:val="0"/>
      <w:marTop w:val="0"/>
      <w:marBottom w:val="0"/>
      <w:divBdr>
        <w:top w:val="none" w:sz="0" w:space="0" w:color="auto"/>
        <w:left w:val="none" w:sz="0" w:space="0" w:color="auto"/>
        <w:bottom w:val="none" w:sz="0" w:space="0" w:color="auto"/>
        <w:right w:val="none" w:sz="0" w:space="0" w:color="auto"/>
      </w:divBdr>
    </w:div>
    <w:div w:id="2143839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footer" Target="footer1.xml"/><Relationship Id="rId26" Type="http://schemas.openxmlformats.org/officeDocument/2006/relationships/chart" Target="charts/chart7.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chart" Target="charts/chart15.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chart" Target="charts/chart2.xml"/><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eader" Target="header2.xml"/><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10" Type="http://schemas.openxmlformats.org/officeDocument/2006/relationships/image" Target="media/image3.jpeg"/><Relationship Id="rId19" Type="http://schemas.openxmlformats.org/officeDocument/2006/relationships/header" Target="header1.xml"/><Relationship Id="rId31"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s>
</file>

<file path=word/_rels/footnotes.xml.rels><?xml version="1.0" encoding="UTF-8" standalone="yes"?>
<Relationships xmlns="http://schemas.openxmlformats.org/package/2006/relationships"><Relationship Id="rId2" Type="http://schemas.openxmlformats.org/officeDocument/2006/relationships/hyperlink" Target="https://www.udt.gov.pl/" TargetMode="External"/><Relationship Id="rId1" Type="http://schemas.openxmlformats.org/officeDocument/2006/relationships/hyperlink" Target="http://www.cepik.gov.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magda\Desktop\Geoprofit\PDKP%20oferta\TER9_XTAB_20220318124609.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8.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0.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1.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2.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3.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magda\Desktop\Geoprofit\PDKP%20oferta\analizy%20statystyczne.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magda\Desktop\Geoprofit\PDKP%20oferta\TER9_XTAB_20220318124609.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tx>
            <c:strRef>
              <c:f>'wykres dod.1'!$B$10</c:f>
              <c:strCache>
                <c:ptCount val="1"/>
                <c:pt idx="0">
                  <c:v>Podkarpackie</c:v>
                </c:pt>
              </c:strCache>
            </c:strRef>
          </c:tx>
          <c:spPr>
            <a:solidFill>
              <a:schemeClr val="accent1">
                <a:lumMod val="60000"/>
                <a:lumOff val="40000"/>
              </a:schemeClr>
            </a:solidFill>
            <a:ln>
              <a:noFill/>
            </a:ln>
            <a:effectLst/>
          </c:spPr>
          <c:invertIfNegative val="0"/>
          <c:cat>
            <c:strRef>
              <c:f>'wykres dod.1'!$C$7:$I$7</c:f>
              <c:strCache>
                <c:ptCount val="7"/>
                <c:pt idx="0">
                  <c:v>2014</c:v>
                </c:pt>
                <c:pt idx="1">
                  <c:v>2015</c:v>
                </c:pt>
                <c:pt idx="2">
                  <c:v>2016</c:v>
                </c:pt>
                <c:pt idx="3">
                  <c:v>2017</c:v>
                </c:pt>
                <c:pt idx="4">
                  <c:v>2018</c:v>
                </c:pt>
                <c:pt idx="5">
                  <c:v>2019</c:v>
                </c:pt>
                <c:pt idx="6">
                  <c:v>2020</c:v>
                </c:pt>
              </c:strCache>
            </c:strRef>
          </c:cat>
          <c:val>
            <c:numRef>
              <c:f>'wykres dod.1'!$C$10:$I$10</c:f>
              <c:numCache>
                <c:formatCode>#,##0</c:formatCode>
                <c:ptCount val="7"/>
                <c:pt idx="0">
                  <c:v>566</c:v>
                </c:pt>
                <c:pt idx="1">
                  <c:v>614</c:v>
                </c:pt>
                <c:pt idx="2">
                  <c:v>667</c:v>
                </c:pt>
                <c:pt idx="3">
                  <c:v>745</c:v>
                </c:pt>
                <c:pt idx="4">
                  <c:v>717</c:v>
                </c:pt>
                <c:pt idx="5">
                  <c:v>823</c:v>
                </c:pt>
                <c:pt idx="6">
                  <c:v>728</c:v>
                </c:pt>
              </c:numCache>
            </c:numRef>
          </c:val>
          <c:extLst xmlns:c16r2="http://schemas.microsoft.com/office/drawing/2015/06/chart">
            <c:ext xmlns:c16="http://schemas.microsoft.com/office/drawing/2014/chart" uri="{C3380CC4-5D6E-409C-BE32-E72D297353CC}">
              <c16:uniqueId val="{00000000-2C0B-4100-93BF-2600BADB1915}"/>
            </c:ext>
          </c:extLst>
        </c:ser>
        <c:dLbls>
          <c:showLegendKey val="0"/>
          <c:showVal val="0"/>
          <c:showCatName val="0"/>
          <c:showSerName val="0"/>
          <c:showPercent val="0"/>
          <c:showBubbleSize val="0"/>
        </c:dLbls>
        <c:gapWidth val="150"/>
        <c:axId val="455233224"/>
        <c:axId val="455245376"/>
      </c:barChart>
      <c:lineChart>
        <c:grouping val="standard"/>
        <c:varyColors val="0"/>
        <c:ser>
          <c:idx val="0"/>
          <c:order val="0"/>
          <c:tx>
            <c:strRef>
              <c:f>'wykres dod.1'!$B$8</c:f>
              <c:strCache>
                <c:ptCount val="1"/>
                <c:pt idx="0">
                  <c:v>Polska (rok poprzedni = 100)</c:v>
                </c:pt>
              </c:strCache>
            </c:strRef>
          </c:tx>
          <c:spPr>
            <a:ln w="28575" cap="rnd">
              <a:solidFill>
                <a:schemeClr val="accent4">
                  <a:lumMod val="60000"/>
                  <a:lumOff val="40000"/>
                </a:schemeClr>
              </a:solidFill>
              <a:round/>
            </a:ln>
            <a:effectLst/>
          </c:spPr>
          <c:marker>
            <c:symbol val="none"/>
          </c:marker>
          <c:cat>
            <c:strRef>
              <c:f>'wykres dod.1'!$C$7:$I$7</c:f>
              <c:strCache>
                <c:ptCount val="7"/>
                <c:pt idx="0">
                  <c:v>2014</c:v>
                </c:pt>
                <c:pt idx="1">
                  <c:v>2015</c:v>
                </c:pt>
                <c:pt idx="2">
                  <c:v>2016</c:v>
                </c:pt>
                <c:pt idx="3">
                  <c:v>2017</c:v>
                </c:pt>
                <c:pt idx="4">
                  <c:v>2018</c:v>
                </c:pt>
                <c:pt idx="5">
                  <c:v>2019</c:v>
                </c:pt>
                <c:pt idx="6">
                  <c:v>2020</c:v>
                </c:pt>
              </c:strCache>
            </c:strRef>
          </c:cat>
          <c:val>
            <c:numRef>
              <c:f>'wykres dod.1'!$C$8:$I$8</c:f>
              <c:numCache>
                <c:formatCode>0.0</c:formatCode>
                <c:ptCount val="7"/>
                <c:pt idx="1">
                  <c:v>94.086334525492802</c:v>
                </c:pt>
                <c:pt idx="2">
                  <c:v>99.504950495049499</c:v>
                </c:pt>
                <c:pt idx="3">
                  <c:v>94.554015636105191</c:v>
                </c:pt>
                <c:pt idx="4">
                  <c:v>89.796110119327253</c:v>
                </c:pt>
                <c:pt idx="5">
                  <c:v>95.218164696034322</c:v>
                </c:pt>
                <c:pt idx="6">
                  <c:v>92.912087912087912</c:v>
                </c:pt>
              </c:numCache>
            </c:numRef>
          </c:val>
          <c:smooth val="0"/>
          <c:extLst xmlns:c16r2="http://schemas.microsoft.com/office/drawing/2015/06/chart">
            <c:ext xmlns:c16="http://schemas.microsoft.com/office/drawing/2014/chart" uri="{C3380CC4-5D6E-409C-BE32-E72D297353CC}">
              <c16:uniqueId val="{00000001-2C0B-4100-93BF-2600BADB1915}"/>
            </c:ext>
          </c:extLst>
        </c:ser>
        <c:ser>
          <c:idx val="1"/>
          <c:order val="1"/>
          <c:tx>
            <c:strRef>
              <c:f>'wykres dod.1'!$B$9</c:f>
              <c:strCache>
                <c:ptCount val="1"/>
                <c:pt idx="0">
                  <c:v>Podkarpackie (rok poprzedni = 100)</c:v>
                </c:pt>
              </c:strCache>
            </c:strRef>
          </c:tx>
          <c:spPr>
            <a:ln w="28575" cap="rnd">
              <a:solidFill>
                <a:schemeClr val="accent5">
                  <a:lumMod val="75000"/>
                </a:schemeClr>
              </a:solidFill>
              <a:round/>
            </a:ln>
            <a:effectLst/>
          </c:spPr>
          <c:marker>
            <c:symbol val="none"/>
          </c:marker>
          <c:cat>
            <c:strRef>
              <c:f>'wykres dod.1'!$C$7:$I$7</c:f>
              <c:strCache>
                <c:ptCount val="7"/>
                <c:pt idx="0">
                  <c:v>2014</c:v>
                </c:pt>
                <c:pt idx="1">
                  <c:v>2015</c:v>
                </c:pt>
                <c:pt idx="2">
                  <c:v>2016</c:v>
                </c:pt>
                <c:pt idx="3">
                  <c:v>2017</c:v>
                </c:pt>
                <c:pt idx="4">
                  <c:v>2018</c:v>
                </c:pt>
                <c:pt idx="5">
                  <c:v>2019</c:v>
                </c:pt>
                <c:pt idx="6">
                  <c:v>2020</c:v>
                </c:pt>
              </c:strCache>
            </c:strRef>
          </c:cat>
          <c:val>
            <c:numRef>
              <c:f>'wykres dod.1'!$C$9:$I$9</c:f>
              <c:numCache>
                <c:formatCode>0.0</c:formatCode>
                <c:ptCount val="7"/>
                <c:pt idx="1">
                  <c:v>108.48056537102474</c:v>
                </c:pt>
                <c:pt idx="2">
                  <c:v>108.63192182410424</c:v>
                </c:pt>
                <c:pt idx="3">
                  <c:v>111.69415292353823</c:v>
                </c:pt>
                <c:pt idx="4">
                  <c:v>96.241610738255034</c:v>
                </c:pt>
                <c:pt idx="5">
                  <c:v>114.78382147838215</c:v>
                </c:pt>
                <c:pt idx="6">
                  <c:v>88.45686512758202</c:v>
                </c:pt>
              </c:numCache>
            </c:numRef>
          </c:val>
          <c:smooth val="0"/>
          <c:extLst xmlns:c16r2="http://schemas.microsoft.com/office/drawing/2015/06/chart">
            <c:ext xmlns:c16="http://schemas.microsoft.com/office/drawing/2014/chart" uri="{C3380CC4-5D6E-409C-BE32-E72D297353CC}">
              <c16:uniqueId val="{00000002-2C0B-4100-93BF-2600BADB1915}"/>
            </c:ext>
          </c:extLst>
        </c:ser>
        <c:dLbls>
          <c:showLegendKey val="0"/>
          <c:showVal val="0"/>
          <c:showCatName val="0"/>
          <c:showSerName val="0"/>
          <c:showPercent val="0"/>
          <c:showBubbleSize val="0"/>
        </c:dLbls>
        <c:marker val="1"/>
        <c:smooth val="0"/>
        <c:axId val="455236360"/>
        <c:axId val="455235576"/>
      </c:lineChart>
      <c:catAx>
        <c:axId val="455236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pl-PL"/>
          </a:p>
        </c:txPr>
        <c:crossAx val="455235576"/>
        <c:crosses val="autoZero"/>
        <c:auto val="1"/>
        <c:lblAlgn val="ctr"/>
        <c:lblOffset val="100"/>
        <c:noMultiLvlLbl val="0"/>
      </c:catAx>
      <c:valAx>
        <c:axId val="455235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pl-PL"/>
          </a:p>
        </c:txPr>
        <c:crossAx val="455236360"/>
        <c:crosses val="autoZero"/>
        <c:crossBetween val="between"/>
      </c:valAx>
      <c:valAx>
        <c:axId val="455245376"/>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pl-PL"/>
          </a:p>
        </c:txPr>
        <c:crossAx val="455233224"/>
        <c:crosses val="max"/>
        <c:crossBetween val="between"/>
      </c:valAx>
      <c:catAx>
        <c:axId val="455233224"/>
        <c:scaling>
          <c:orientation val="minMax"/>
        </c:scaling>
        <c:delete val="1"/>
        <c:axPos val="b"/>
        <c:numFmt formatCode="General" sourceLinked="1"/>
        <c:majorTickMark val="out"/>
        <c:minorTickMark val="none"/>
        <c:tickLblPos val="nextTo"/>
        <c:crossAx val="45524537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005055574125869E-2"/>
          <c:y val="4.9920937670296685E-2"/>
          <c:w val="0.87346625329164995"/>
          <c:h val="0.59778803919842094"/>
        </c:manualLayout>
      </c:layout>
      <c:barChart>
        <c:barDir val="col"/>
        <c:grouping val="clustered"/>
        <c:varyColors val="0"/>
        <c:ser>
          <c:idx val="0"/>
          <c:order val="0"/>
          <c:tx>
            <c:strRef>
              <c:f>'wykres 7'!$A$28</c:f>
              <c:strCache>
                <c:ptCount val="1"/>
                <c:pt idx="0">
                  <c:v>linie komunikacji miejskiej - podkarpackie</c:v>
                </c:pt>
              </c:strCache>
            </c:strRef>
          </c:tx>
          <c:spPr>
            <a:solidFill>
              <a:schemeClr val="accent4">
                <a:lumMod val="40000"/>
                <a:lumOff val="60000"/>
              </a:schemeClr>
            </a:solidFill>
            <a:ln>
              <a:solidFill>
                <a:schemeClr val="accent5">
                  <a:lumMod val="75000"/>
                </a:schemeClr>
              </a:solidFill>
            </a:ln>
            <a:effectLst/>
          </c:spPr>
          <c:invertIfNegative val="0"/>
          <c:trendline>
            <c:spPr>
              <a:ln w="19050" cap="rnd">
                <a:solidFill>
                  <a:schemeClr val="accent1"/>
                </a:solidFill>
                <a:prstDash val="sysDot"/>
              </a:ln>
              <a:effectLst/>
            </c:spPr>
            <c:trendlineType val="linear"/>
            <c:dispRSqr val="0"/>
            <c:dispEq val="0"/>
          </c:trendline>
          <c:cat>
            <c:strRef>
              <c:f>'wykres 7'!$B$27:$T$27</c:f>
              <c:strCache>
                <c:ptCount val="19"/>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strCache>
            </c:strRef>
          </c:cat>
          <c:val>
            <c:numRef>
              <c:f>'wykres 7'!$B$28:$T$28</c:f>
              <c:numCache>
                <c:formatCode>#,##0</c:formatCode>
                <c:ptCount val="19"/>
                <c:pt idx="0">
                  <c:v>3295</c:v>
                </c:pt>
                <c:pt idx="1">
                  <c:v>3530.3</c:v>
                </c:pt>
                <c:pt idx="2" formatCode="#\ ##0.0">
                  <c:v>2967.8</c:v>
                </c:pt>
                <c:pt idx="3" formatCode="#\ ##0.0">
                  <c:v>2964.8</c:v>
                </c:pt>
                <c:pt idx="4" formatCode="#\ ##0.0">
                  <c:v>2888.7</c:v>
                </c:pt>
                <c:pt idx="5" formatCode="#\ ##0.0">
                  <c:v>2912.8</c:v>
                </c:pt>
                <c:pt idx="6" formatCode="#\ ##0.0">
                  <c:v>2961.3</c:v>
                </c:pt>
                <c:pt idx="7" formatCode="#\ ##0.0">
                  <c:v>3139.8</c:v>
                </c:pt>
                <c:pt idx="8" formatCode="#\ ##0.0">
                  <c:v>3067.2</c:v>
                </c:pt>
              </c:numCache>
            </c:numRef>
          </c:val>
          <c:extLst xmlns:c16r2="http://schemas.microsoft.com/office/drawing/2015/06/chart">
            <c:ext xmlns:c16="http://schemas.microsoft.com/office/drawing/2014/chart" uri="{C3380CC4-5D6E-409C-BE32-E72D297353CC}">
              <c16:uniqueId val="{00000001-CAFA-4771-B26E-F4B3D4B4712A}"/>
            </c:ext>
          </c:extLst>
        </c:ser>
        <c:dLbls>
          <c:showLegendKey val="0"/>
          <c:showVal val="0"/>
          <c:showCatName val="0"/>
          <c:showSerName val="0"/>
          <c:showPercent val="0"/>
          <c:showBubbleSize val="0"/>
        </c:dLbls>
        <c:gapWidth val="219"/>
        <c:axId val="457456208"/>
        <c:axId val="457456992"/>
      </c:barChart>
      <c:lineChart>
        <c:grouping val="standard"/>
        <c:varyColors val="0"/>
        <c:ser>
          <c:idx val="1"/>
          <c:order val="1"/>
          <c:tx>
            <c:strRef>
              <c:f>'wykres 7'!$A$29</c:f>
              <c:strCache>
                <c:ptCount val="1"/>
                <c:pt idx="0">
                  <c:v>wartość docelowa 2030</c:v>
                </c:pt>
              </c:strCache>
            </c:strRef>
          </c:tx>
          <c:spPr>
            <a:ln w="28575" cap="rnd">
              <a:solidFill>
                <a:schemeClr val="accent5">
                  <a:lumMod val="75000"/>
                </a:schemeClr>
              </a:solidFill>
              <a:round/>
            </a:ln>
            <a:effectLst/>
          </c:spPr>
          <c:marker>
            <c:symbol val="none"/>
          </c:marker>
          <c:cat>
            <c:strRef>
              <c:f>'wykres 7'!$B$27:$T$27</c:f>
              <c:strCache>
                <c:ptCount val="19"/>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strCache>
            </c:strRef>
          </c:cat>
          <c:val>
            <c:numRef>
              <c:f>'wykres 7'!$B$29:$T$29</c:f>
              <c:numCache>
                <c:formatCode>General</c:formatCode>
                <c:ptCount val="19"/>
                <c:pt idx="0">
                  <c:v>3227.8</c:v>
                </c:pt>
                <c:pt idx="1">
                  <c:v>3227.8</c:v>
                </c:pt>
                <c:pt idx="2">
                  <c:v>3227.8</c:v>
                </c:pt>
                <c:pt idx="3">
                  <c:v>3227.8</c:v>
                </c:pt>
                <c:pt idx="4">
                  <c:v>3227.8</c:v>
                </c:pt>
                <c:pt idx="5">
                  <c:v>3227.8</c:v>
                </c:pt>
                <c:pt idx="6">
                  <c:v>3227.8</c:v>
                </c:pt>
                <c:pt idx="7">
                  <c:v>3227.8</c:v>
                </c:pt>
                <c:pt idx="8">
                  <c:v>3227.8</c:v>
                </c:pt>
              </c:numCache>
            </c:numRef>
          </c:val>
          <c:smooth val="0"/>
          <c:extLst xmlns:c16r2="http://schemas.microsoft.com/office/drawing/2015/06/chart">
            <c:ext xmlns:c16="http://schemas.microsoft.com/office/drawing/2014/chart" uri="{C3380CC4-5D6E-409C-BE32-E72D297353CC}">
              <c16:uniqueId val="{00000002-CAFA-4771-B26E-F4B3D4B4712A}"/>
            </c:ext>
          </c:extLst>
        </c:ser>
        <c:ser>
          <c:idx val="2"/>
          <c:order val="2"/>
          <c:tx>
            <c:strRef>
              <c:f>'wykres 7'!$A$30</c:f>
              <c:strCache>
                <c:ptCount val="1"/>
                <c:pt idx="0">
                  <c:v>zmiana od 2021 roku (przy założeniu średniej dynamiki)</c:v>
                </c:pt>
              </c:strCache>
            </c:strRef>
          </c:tx>
          <c:spPr>
            <a:ln w="28575" cap="rnd">
              <a:solidFill>
                <a:schemeClr val="accent4">
                  <a:lumMod val="60000"/>
                  <a:lumOff val="40000"/>
                </a:schemeClr>
              </a:solidFill>
              <a:round/>
            </a:ln>
            <a:effectLst/>
          </c:spPr>
          <c:marker>
            <c:symbol val="none"/>
          </c:marker>
          <c:cat>
            <c:strRef>
              <c:f>'wykres 7'!$B$27:$T$27</c:f>
              <c:strCache>
                <c:ptCount val="19"/>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strCache>
            </c:strRef>
          </c:cat>
          <c:val>
            <c:numRef>
              <c:f>'wykres 7'!$B$30:$T$30</c:f>
              <c:numCache>
                <c:formatCode>General</c:formatCode>
                <c:ptCount val="19"/>
                <c:pt idx="9">
                  <c:v>3047.0892246649496</c:v>
                </c:pt>
                <c:pt idx="10">
                  <c:v>3027.1103100773489</c:v>
                </c:pt>
                <c:pt idx="11">
                  <c:v>3007.2623916630364</c:v>
                </c:pt>
                <c:pt idx="12">
                  <c:v>2987.544610516622</c:v>
                </c:pt>
                <c:pt idx="13">
                  <c:v>2967.9561133643206</c:v>
                </c:pt>
                <c:pt idx="14">
                  <c:v>2948.496052527023</c:v>
                </c:pt>
                <c:pt idx="15">
                  <c:v>2929.1635858836175</c:v>
                </c:pt>
                <c:pt idx="16">
                  <c:v>2909.957876834545</c:v>
                </c:pt>
                <c:pt idx="17">
                  <c:v>2890.8780942655967</c:v>
                </c:pt>
                <c:pt idx="18">
                  <c:v>2871.9234125119469</c:v>
                </c:pt>
              </c:numCache>
            </c:numRef>
          </c:val>
          <c:smooth val="0"/>
          <c:extLst xmlns:c16r2="http://schemas.microsoft.com/office/drawing/2015/06/chart">
            <c:ext xmlns:c16="http://schemas.microsoft.com/office/drawing/2014/chart" uri="{C3380CC4-5D6E-409C-BE32-E72D297353CC}">
              <c16:uniqueId val="{00000003-CAFA-4771-B26E-F4B3D4B4712A}"/>
            </c:ext>
          </c:extLst>
        </c:ser>
        <c:dLbls>
          <c:showLegendKey val="0"/>
          <c:showVal val="0"/>
          <c:showCatName val="0"/>
          <c:showSerName val="0"/>
          <c:showPercent val="0"/>
          <c:showBubbleSize val="0"/>
        </c:dLbls>
        <c:marker val="1"/>
        <c:smooth val="0"/>
        <c:axId val="457456208"/>
        <c:axId val="457456992"/>
      </c:lineChart>
      <c:catAx>
        <c:axId val="457456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180000" spcFirstLastPara="1" vertOverflow="ellipsis" wrap="square" anchor="ctr" anchorCtr="1"/>
          <a:lstStyle/>
          <a:p>
            <a:pPr>
              <a:defRPr sz="800" b="0" i="0" u="none" strike="noStrike" kern="1200" baseline="0">
                <a:solidFill>
                  <a:srgbClr val="002060"/>
                </a:solidFill>
                <a:latin typeface="+mn-lt"/>
                <a:ea typeface="+mn-ea"/>
                <a:cs typeface="+mn-cs"/>
              </a:defRPr>
            </a:pPr>
            <a:endParaRPr lang="pl-PL"/>
          </a:p>
        </c:txPr>
        <c:crossAx val="457456992"/>
        <c:crosses val="autoZero"/>
        <c:auto val="1"/>
        <c:lblAlgn val="ctr"/>
        <c:lblOffset val="100"/>
        <c:noMultiLvlLbl val="0"/>
      </c:catAx>
      <c:valAx>
        <c:axId val="457456992"/>
        <c:scaling>
          <c:orientation val="minMax"/>
          <c:max val="4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pl-PL"/>
          </a:p>
        </c:txPr>
        <c:crossAx val="457456208"/>
        <c:crosses val="autoZero"/>
        <c:crossBetween val="between"/>
        <c:majorUnit val="500"/>
      </c:valAx>
      <c:spPr>
        <a:noFill/>
        <a:ln>
          <a:noFill/>
        </a:ln>
        <a:effectLst/>
      </c:spPr>
    </c:plotArea>
    <c:legend>
      <c:legendPos val="b"/>
      <c:layout>
        <c:manualLayout>
          <c:xMode val="edge"/>
          <c:yMode val="edge"/>
          <c:x val="8.1418641543862438E-3"/>
          <c:y val="0.78045162529994339"/>
          <c:w val="0.96294724279728627"/>
          <c:h val="0.18168893730840791"/>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005055574125869E-2"/>
          <c:y val="4.9920937670296685E-2"/>
          <c:w val="0.88884250590466141"/>
          <c:h val="0.53893136317750168"/>
        </c:manualLayout>
      </c:layout>
      <c:barChart>
        <c:barDir val="col"/>
        <c:grouping val="clustered"/>
        <c:varyColors val="0"/>
        <c:ser>
          <c:idx val="0"/>
          <c:order val="0"/>
          <c:tx>
            <c:strRef>
              <c:f>'wykres 8'!$A$31</c:f>
              <c:strCache>
                <c:ptCount val="1"/>
                <c:pt idx="0">
                  <c:v>przeciętny przebieg 1 wozu w ciągu doby</c:v>
                </c:pt>
              </c:strCache>
            </c:strRef>
          </c:tx>
          <c:spPr>
            <a:solidFill>
              <a:schemeClr val="accent4">
                <a:lumMod val="40000"/>
                <a:lumOff val="60000"/>
              </a:schemeClr>
            </a:solidFill>
            <a:ln>
              <a:solidFill>
                <a:schemeClr val="accent5">
                  <a:lumMod val="75000"/>
                </a:schemeClr>
              </a:solidFill>
            </a:ln>
            <a:effectLst/>
          </c:spPr>
          <c:invertIfNegative val="0"/>
          <c:trendline>
            <c:spPr>
              <a:ln w="19050" cap="rnd">
                <a:solidFill>
                  <a:schemeClr val="accent1"/>
                </a:solidFill>
                <a:prstDash val="sysDot"/>
              </a:ln>
              <a:effectLst/>
            </c:spPr>
            <c:trendlineType val="linear"/>
            <c:dispRSqr val="0"/>
            <c:dispEq val="0"/>
          </c:trendline>
          <c:cat>
            <c:strRef>
              <c:f>'wykres 8'!$B$30:$W$30</c:f>
              <c:strCache>
                <c:ptCount val="22"/>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pt idx="16">
                  <c:v>2025</c:v>
                </c:pt>
                <c:pt idx="17">
                  <c:v>2026</c:v>
                </c:pt>
                <c:pt idx="18">
                  <c:v>2027</c:v>
                </c:pt>
                <c:pt idx="19">
                  <c:v>2028</c:v>
                </c:pt>
                <c:pt idx="20">
                  <c:v>2029</c:v>
                </c:pt>
                <c:pt idx="21">
                  <c:v>2030</c:v>
                </c:pt>
              </c:strCache>
            </c:strRef>
          </c:cat>
          <c:val>
            <c:numRef>
              <c:f>'wykres 8'!$B$31:$W$31</c:f>
              <c:numCache>
                <c:formatCode>#,##0</c:formatCode>
                <c:ptCount val="22"/>
                <c:pt idx="0">
                  <c:v>161</c:v>
                </c:pt>
                <c:pt idx="1">
                  <c:v>145</c:v>
                </c:pt>
                <c:pt idx="2">
                  <c:v>143</c:v>
                </c:pt>
                <c:pt idx="3">
                  <c:v>143</c:v>
                </c:pt>
                <c:pt idx="4">
                  <c:v>131</c:v>
                </c:pt>
                <c:pt idx="5">
                  <c:v>126</c:v>
                </c:pt>
                <c:pt idx="6">
                  <c:v>148</c:v>
                </c:pt>
                <c:pt idx="7">
                  <c:v>150</c:v>
                </c:pt>
                <c:pt idx="8">
                  <c:v>149</c:v>
                </c:pt>
                <c:pt idx="9">
                  <c:v>143</c:v>
                </c:pt>
                <c:pt idx="10">
                  <c:v>171</c:v>
                </c:pt>
                <c:pt idx="11">
                  <c:v>162</c:v>
                </c:pt>
              </c:numCache>
            </c:numRef>
          </c:val>
          <c:extLst xmlns:c16r2="http://schemas.microsoft.com/office/drawing/2015/06/chart">
            <c:ext xmlns:c16="http://schemas.microsoft.com/office/drawing/2014/chart" uri="{C3380CC4-5D6E-409C-BE32-E72D297353CC}">
              <c16:uniqueId val="{00000001-5406-4F36-85BE-A87D499687DB}"/>
            </c:ext>
          </c:extLst>
        </c:ser>
        <c:dLbls>
          <c:showLegendKey val="0"/>
          <c:showVal val="0"/>
          <c:showCatName val="0"/>
          <c:showSerName val="0"/>
          <c:showPercent val="0"/>
          <c:showBubbleSize val="0"/>
        </c:dLbls>
        <c:gapWidth val="219"/>
        <c:axId val="457451504"/>
        <c:axId val="457455032"/>
      </c:barChart>
      <c:lineChart>
        <c:grouping val="standard"/>
        <c:varyColors val="0"/>
        <c:ser>
          <c:idx val="1"/>
          <c:order val="1"/>
          <c:tx>
            <c:strRef>
              <c:f>'wykres 8'!$A$32</c:f>
              <c:strCache>
                <c:ptCount val="1"/>
                <c:pt idx="0">
                  <c:v>wartość docelowa 2030</c:v>
                </c:pt>
              </c:strCache>
            </c:strRef>
          </c:tx>
          <c:spPr>
            <a:ln w="28575" cap="rnd">
              <a:solidFill>
                <a:schemeClr val="accent5">
                  <a:lumMod val="75000"/>
                </a:schemeClr>
              </a:solidFill>
              <a:round/>
            </a:ln>
            <a:effectLst/>
          </c:spPr>
          <c:marker>
            <c:symbol val="none"/>
          </c:marker>
          <c:cat>
            <c:strRef>
              <c:f>'wykres 8'!$B$30:$W$30</c:f>
              <c:strCache>
                <c:ptCount val="22"/>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pt idx="16">
                  <c:v>2025</c:v>
                </c:pt>
                <c:pt idx="17">
                  <c:v>2026</c:v>
                </c:pt>
                <c:pt idx="18">
                  <c:v>2027</c:v>
                </c:pt>
                <c:pt idx="19">
                  <c:v>2028</c:v>
                </c:pt>
                <c:pt idx="20">
                  <c:v>2029</c:v>
                </c:pt>
                <c:pt idx="21">
                  <c:v>2030</c:v>
                </c:pt>
              </c:strCache>
            </c:strRef>
          </c:cat>
          <c:val>
            <c:numRef>
              <c:f>'wykres 8'!$B$32:$W$32</c:f>
              <c:numCache>
                <c:formatCode>General</c:formatCode>
                <c:ptCount val="22"/>
                <c:pt idx="0">
                  <c:v>130</c:v>
                </c:pt>
                <c:pt idx="1">
                  <c:v>130</c:v>
                </c:pt>
                <c:pt idx="2">
                  <c:v>130</c:v>
                </c:pt>
                <c:pt idx="3">
                  <c:v>130</c:v>
                </c:pt>
                <c:pt idx="4">
                  <c:v>130</c:v>
                </c:pt>
                <c:pt idx="5">
                  <c:v>130</c:v>
                </c:pt>
                <c:pt idx="6">
                  <c:v>130</c:v>
                </c:pt>
                <c:pt idx="7">
                  <c:v>130</c:v>
                </c:pt>
                <c:pt idx="8">
                  <c:v>130</c:v>
                </c:pt>
                <c:pt idx="9">
                  <c:v>130</c:v>
                </c:pt>
                <c:pt idx="10">
                  <c:v>130</c:v>
                </c:pt>
                <c:pt idx="11">
                  <c:v>130</c:v>
                </c:pt>
              </c:numCache>
            </c:numRef>
          </c:val>
          <c:smooth val="0"/>
          <c:extLst xmlns:c16r2="http://schemas.microsoft.com/office/drawing/2015/06/chart">
            <c:ext xmlns:c16="http://schemas.microsoft.com/office/drawing/2014/chart" uri="{C3380CC4-5D6E-409C-BE32-E72D297353CC}">
              <c16:uniqueId val="{00000002-5406-4F36-85BE-A87D499687DB}"/>
            </c:ext>
          </c:extLst>
        </c:ser>
        <c:ser>
          <c:idx val="2"/>
          <c:order val="2"/>
          <c:tx>
            <c:strRef>
              <c:f>'wykres 8'!$A$33</c:f>
              <c:strCache>
                <c:ptCount val="1"/>
                <c:pt idx="0">
                  <c:v>zmiana od 2021 roku (przy założeniu średniej dynamiki)</c:v>
                </c:pt>
              </c:strCache>
            </c:strRef>
          </c:tx>
          <c:spPr>
            <a:ln w="28575" cap="rnd">
              <a:solidFill>
                <a:schemeClr val="accent4">
                  <a:lumMod val="60000"/>
                  <a:lumOff val="40000"/>
                </a:schemeClr>
              </a:solidFill>
              <a:round/>
            </a:ln>
            <a:effectLst/>
          </c:spPr>
          <c:marker>
            <c:symbol val="none"/>
          </c:marker>
          <c:cat>
            <c:strRef>
              <c:f>'wykres 8'!$B$30:$W$30</c:f>
              <c:strCache>
                <c:ptCount val="22"/>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pt idx="16">
                  <c:v>2025</c:v>
                </c:pt>
                <c:pt idx="17">
                  <c:v>2026</c:v>
                </c:pt>
                <c:pt idx="18">
                  <c:v>2027</c:v>
                </c:pt>
                <c:pt idx="19">
                  <c:v>2028</c:v>
                </c:pt>
                <c:pt idx="20">
                  <c:v>2029</c:v>
                </c:pt>
                <c:pt idx="21">
                  <c:v>2030</c:v>
                </c:pt>
              </c:strCache>
            </c:strRef>
          </c:cat>
          <c:val>
            <c:numRef>
              <c:f>'wykres 8'!$B$33:$W$33</c:f>
              <c:numCache>
                <c:formatCode>General</c:formatCode>
                <c:ptCount val="22"/>
                <c:pt idx="12">
                  <c:v>162.72308219372178</c:v>
                </c:pt>
                <c:pt idx="13">
                  <c:v>163.44939184336258</c:v>
                </c:pt>
                <c:pt idx="14">
                  <c:v>164.17894335457612</c:v>
                </c:pt>
                <c:pt idx="15">
                  <c:v>164.91175119731534</c:v>
                </c:pt>
                <c:pt idx="16">
                  <c:v>165.6478299061194</c:v>
                </c:pt>
                <c:pt idx="17">
                  <c:v>166.38719408040194</c:v>
                </c:pt>
                <c:pt idx="18">
                  <c:v>167.12985838474066</c:v>
                </c:pt>
                <c:pt idx="19">
                  <c:v>167.87583754916812</c:v>
                </c:pt>
                <c:pt idx="20">
                  <c:v>168.62514636946401</c:v>
                </c:pt>
                <c:pt idx="21">
                  <c:v>169.3777997074485</c:v>
                </c:pt>
              </c:numCache>
            </c:numRef>
          </c:val>
          <c:smooth val="0"/>
          <c:extLst xmlns:c16r2="http://schemas.microsoft.com/office/drawing/2015/06/chart">
            <c:ext xmlns:c16="http://schemas.microsoft.com/office/drawing/2014/chart" uri="{C3380CC4-5D6E-409C-BE32-E72D297353CC}">
              <c16:uniqueId val="{00000003-5406-4F36-85BE-A87D499687DB}"/>
            </c:ext>
          </c:extLst>
        </c:ser>
        <c:dLbls>
          <c:showLegendKey val="0"/>
          <c:showVal val="0"/>
          <c:showCatName val="0"/>
          <c:showSerName val="0"/>
          <c:showPercent val="0"/>
          <c:showBubbleSize val="0"/>
        </c:dLbls>
        <c:marker val="1"/>
        <c:smooth val="0"/>
        <c:axId val="457451504"/>
        <c:axId val="457455032"/>
      </c:lineChart>
      <c:catAx>
        <c:axId val="45745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180000" spcFirstLastPara="1" vertOverflow="ellipsis" wrap="square" anchor="ctr" anchorCtr="1"/>
          <a:lstStyle/>
          <a:p>
            <a:pPr>
              <a:defRPr sz="800" b="0" i="0" u="none" strike="noStrike" kern="1200" baseline="0">
                <a:solidFill>
                  <a:srgbClr val="002060"/>
                </a:solidFill>
                <a:latin typeface="+mn-lt"/>
                <a:ea typeface="+mn-ea"/>
                <a:cs typeface="+mn-cs"/>
              </a:defRPr>
            </a:pPr>
            <a:endParaRPr lang="pl-PL"/>
          </a:p>
        </c:txPr>
        <c:crossAx val="457455032"/>
        <c:crosses val="autoZero"/>
        <c:auto val="1"/>
        <c:lblAlgn val="ctr"/>
        <c:lblOffset val="100"/>
        <c:noMultiLvlLbl val="0"/>
      </c:catAx>
      <c:valAx>
        <c:axId val="457455032"/>
        <c:scaling>
          <c:orientation val="minMax"/>
          <c:max val="18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pl-PL"/>
          </a:p>
        </c:txPr>
        <c:crossAx val="457451504"/>
        <c:crosses val="autoZero"/>
        <c:crossBetween val="between"/>
        <c:majorUnit val="20"/>
      </c:valAx>
      <c:spPr>
        <a:noFill/>
        <a:ln>
          <a:noFill/>
        </a:ln>
        <a:effectLst/>
      </c:spPr>
    </c:plotArea>
    <c:legend>
      <c:legendPos val="b"/>
      <c:layout>
        <c:manualLayout>
          <c:xMode val="edge"/>
          <c:yMode val="edge"/>
          <c:x val="2.7777777777777779E-3"/>
          <c:y val="0.74875947798191889"/>
          <c:w val="0.94757113926022785"/>
          <c:h val="0.21338109829636312"/>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331816475600665E-2"/>
          <c:y val="5.0925925925925923E-2"/>
          <c:w val="0.92222360602225917"/>
          <c:h val="0.53654831519221857"/>
        </c:manualLayout>
      </c:layout>
      <c:barChart>
        <c:barDir val="col"/>
        <c:grouping val="clustered"/>
        <c:varyColors val="0"/>
        <c:ser>
          <c:idx val="0"/>
          <c:order val="0"/>
          <c:tx>
            <c:strRef>
              <c:f>'wykres 9'!$A$28</c:f>
              <c:strCache>
                <c:ptCount val="1"/>
                <c:pt idx="0">
                  <c:v>przewozy pasażerskie na 1 mieszkańca</c:v>
                </c:pt>
              </c:strCache>
            </c:strRef>
          </c:tx>
          <c:spPr>
            <a:solidFill>
              <a:schemeClr val="accent4">
                <a:lumMod val="40000"/>
                <a:lumOff val="60000"/>
              </a:schemeClr>
            </a:solidFill>
            <a:ln>
              <a:solidFill>
                <a:schemeClr val="accent5">
                  <a:lumMod val="75000"/>
                </a:schemeClr>
              </a:solidFill>
            </a:ln>
            <a:effectLst/>
          </c:spPr>
          <c:invertIfNegative val="0"/>
          <c:trendline>
            <c:spPr>
              <a:ln w="19050" cap="rnd">
                <a:solidFill>
                  <a:schemeClr val="accent1"/>
                </a:solidFill>
                <a:prstDash val="sysDot"/>
              </a:ln>
              <a:effectLst/>
            </c:spPr>
            <c:trendlineType val="linear"/>
            <c:dispRSqr val="0"/>
            <c:dispEq val="0"/>
          </c:trendline>
          <c:cat>
            <c:strRef>
              <c:f>'wykres 9'!$B$27:$W$27</c:f>
              <c:strCache>
                <c:ptCount val="22"/>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pt idx="16">
                  <c:v>2025</c:v>
                </c:pt>
                <c:pt idx="17">
                  <c:v>2026</c:v>
                </c:pt>
                <c:pt idx="18">
                  <c:v>2027</c:v>
                </c:pt>
                <c:pt idx="19">
                  <c:v>2028</c:v>
                </c:pt>
                <c:pt idx="20">
                  <c:v>2029</c:v>
                </c:pt>
                <c:pt idx="21">
                  <c:v>2030</c:v>
                </c:pt>
              </c:strCache>
            </c:strRef>
          </c:cat>
          <c:val>
            <c:numRef>
              <c:f>'wykres 9'!$B$28:$W$28</c:f>
              <c:numCache>
                <c:formatCode>#,##0.00</c:formatCode>
                <c:ptCount val="22"/>
                <c:pt idx="0">
                  <c:v>29.52</c:v>
                </c:pt>
                <c:pt idx="1">
                  <c:v>27.36</c:v>
                </c:pt>
                <c:pt idx="2">
                  <c:v>25.38</c:v>
                </c:pt>
                <c:pt idx="3">
                  <c:v>22.64</c:v>
                </c:pt>
                <c:pt idx="4">
                  <c:v>25.7</c:v>
                </c:pt>
                <c:pt idx="5">
                  <c:v>25.09</c:v>
                </c:pt>
                <c:pt idx="6">
                  <c:v>24.73</c:v>
                </c:pt>
                <c:pt idx="7">
                  <c:v>26.1</c:v>
                </c:pt>
                <c:pt idx="8">
                  <c:v>28.01</c:v>
                </c:pt>
                <c:pt idx="9">
                  <c:v>29.74</c:v>
                </c:pt>
                <c:pt idx="10">
                  <c:v>34.22</c:v>
                </c:pt>
                <c:pt idx="11">
                  <c:v>15.01</c:v>
                </c:pt>
              </c:numCache>
            </c:numRef>
          </c:val>
          <c:extLst xmlns:c16r2="http://schemas.microsoft.com/office/drawing/2015/06/chart">
            <c:ext xmlns:c16="http://schemas.microsoft.com/office/drawing/2014/chart" uri="{C3380CC4-5D6E-409C-BE32-E72D297353CC}">
              <c16:uniqueId val="{00000001-610A-4538-918E-072E10FCEE39}"/>
            </c:ext>
          </c:extLst>
        </c:ser>
        <c:dLbls>
          <c:showLegendKey val="0"/>
          <c:showVal val="0"/>
          <c:showCatName val="0"/>
          <c:showSerName val="0"/>
          <c:showPercent val="0"/>
          <c:showBubbleSize val="0"/>
        </c:dLbls>
        <c:gapWidth val="219"/>
        <c:axId val="457455424"/>
        <c:axId val="457454640"/>
      </c:barChart>
      <c:lineChart>
        <c:grouping val="standard"/>
        <c:varyColors val="0"/>
        <c:ser>
          <c:idx val="1"/>
          <c:order val="1"/>
          <c:tx>
            <c:strRef>
              <c:f>'wykres 9'!$A$29</c:f>
              <c:strCache>
                <c:ptCount val="1"/>
                <c:pt idx="0">
                  <c:v>wartość docelowa 2030</c:v>
                </c:pt>
              </c:strCache>
            </c:strRef>
          </c:tx>
          <c:spPr>
            <a:ln w="28575" cap="rnd">
              <a:solidFill>
                <a:schemeClr val="accent5">
                  <a:lumMod val="75000"/>
                </a:schemeClr>
              </a:solidFill>
              <a:round/>
            </a:ln>
            <a:effectLst/>
          </c:spPr>
          <c:marker>
            <c:symbol val="none"/>
          </c:marker>
          <c:cat>
            <c:strRef>
              <c:f>'wykres 9'!$B$27:$W$27</c:f>
              <c:strCache>
                <c:ptCount val="22"/>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pt idx="16">
                  <c:v>2025</c:v>
                </c:pt>
                <c:pt idx="17">
                  <c:v>2026</c:v>
                </c:pt>
                <c:pt idx="18">
                  <c:v>2027</c:v>
                </c:pt>
                <c:pt idx="19">
                  <c:v>2028</c:v>
                </c:pt>
                <c:pt idx="20">
                  <c:v>2029</c:v>
                </c:pt>
                <c:pt idx="21">
                  <c:v>2030</c:v>
                </c:pt>
              </c:strCache>
            </c:strRef>
          </c:cat>
          <c:val>
            <c:numRef>
              <c:f>'wykres 9'!$B$29:$W$29</c:f>
              <c:numCache>
                <c:formatCode>General</c:formatCode>
                <c:ptCount val="22"/>
                <c:pt idx="0">
                  <c:v>35</c:v>
                </c:pt>
                <c:pt idx="1">
                  <c:v>35</c:v>
                </c:pt>
                <c:pt idx="2">
                  <c:v>35</c:v>
                </c:pt>
                <c:pt idx="3">
                  <c:v>35</c:v>
                </c:pt>
                <c:pt idx="4">
                  <c:v>35</c:v>
                </c:pt>
                <c:pt idx="5">
                  <c:v>35</c:v>
                </c:pt>
                <c:pt idx="6">
                  <c:v>35</c:v>
                </c:pt>
                <c:pt idx="7">
                  <c:v>35</c:v>
                </c:pt>
                <c:pt idx="8">
                  <c:v>35</c:v>
                </c:pt>
                <c:pt idx="9">
                  <c:v>35</c:v>
                </c:pt>
                <c:pt idx="10">
                  <c:v>35</c:v>
                </c:pt>
                <c:pt idx="11">
                  <c:v>35</c:v>
                </c:pt>
              </c:numCache>
            </c:numRef>
          </c:val>
          <c:smooth val="0"/>
          <c:extLst xmlns:c16r2="http://schemas.microsoft.com/office/drawing/2015/06/chart">
            <c:ext xmlns:c16="http://schemas.microsoft.com/office/drawing/2014/chart" uri="{C3380CC4-5D6E-409C-BE32-E72D297353CC}">
              <c16:uniqueId val="{00000002-610A-4538-918E-072E10FCEE39}"/>
            </c:ext>
          </c:extLst>
        </c:ser>
        <c:ser>
          <c:idx val="2"/>
          <c:order val="2"/>
          <c:tx>
            <c:strRef>
              <c:f>'wykres 9'!$A$30</c:f>
              <c:strCache>
                <c:ptCount val="1"/>
                <c:pt idx="0">
                  <c:v>zmiana od 2021 roku (przy założeniu średniej dynamiki)</c:v>
                </c:pt>
              </c:strCache>
            </c:strRef>
          </c:tx>
          <c:spPr>
            <a:ln w="28575" cap="rnd">
              <a:solidFill>
                <a:schemeClr val="accent4">
                  <a:lumMod val="60000"/>
                  <a:lumOff val="40000"/>
                </a:schemeClr>
              </a:solidFill>
              <a:round/>
            </a:ln>
            <a:effectLst/>
          </c:spPr>
          <c:marker>
            <c:symbol val="none"/>
          </c:marker>
          <c:cat>
            <c:strRef>
              <c:f>'wykres 9'!$B$27:$W$27</c:f>
              <c:strCache>
                <c:ptCount val="22"/>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pt idx="16">
                  <c:v>2025</c:v>
                </c:pt>
                <c:pt idx="17">
                  <c:v>2026</c:v>
                </c:pt>
                <c:pt idx="18">
                  <c:v>2027</c:v>
                </c:pt>
                <c:pt idx="19">
                  <c:v>2028</c:v>
                </c:pt>
                <c:pt idx="20">
                  <c:v>2029</c:v>
                </c:pt>
                <c:pt idx="21">
                  <c:v>2030</c:v>
                </c:pt>
              </c:strCache>
            </c:strRef>
          </c:cat>
          <c:val>
            <c:numRef>
              <c:f>'wykres 9'!$B$30:$W$30</c:f>
              <c:numCache>
                <c:formatCode>General</c:formatCode>
                <c:ptCount val="22"/>
                <c:pt idx="12">
                  <c:v>14.495826123327396</c:v>
                </c:pt>
                <c:pt idx="13">
                  <c:v>13.999265489523047</c:v>
                </c:pt>
                <c:pt idx="14">
                  <c:v>13.519714749528571</c:v>
                </c:pt>
                <c:pt idx="15">
                  <c:v>13.056591222261888</c:v>
                </c:pt>
                <c:pt idx="16">
                  <c:v>12.609332186626984</c:v>
                </c:pt>
                <c:pt idx="17">
                  <c:v>12.177394197776175</c:v>
                </c:pt>
                <c:pt idx="18">
                  <c:v>11.760252426794093</c:v>
                </c:pt>
                <c:pt idx="19">
                  <c:v>11.35740002300108</c:v>
                </c:pt>
                <c:pt idx="20">
                  <c:v>10.968347498101148</c:v>
                </c:pt>
                <c:pt idx="21">
                  <c:v>10.592622131426202</c:v>
                </c:pt>
              </c:numCache>
            </c:numRef>
          </c:val>
          <c:smooth val="0"/>
          <c:extLst xmlns:c16r2="http://schemas.microsoft.com/office/drawing/2015/06/chart">
            <c:ext xmlns:c16="http://schemas.microsoft.com/office/drawing/2014/chart" uri="{C3380CC4-5D6E-409C-BE32-E72D297353CC}">
              <c16:uniqueId val="{00000003-610A-4538-918E-072E10FCEE39}"/>
            </c:ext>
          </c:extLst>
        </c:ser>
        <c:dLbls>
          <c:showLegendKey val="0"/>
          <c:showVal val="0"/>
          <c:showCatName val="0"/>
          <c:showSerName val="0"/>
          <c:showPercent val="0"/>
          <c:showBubbleSize val="0"/>
        </c:dLbls>
        <c:marker val="1"/>
        <c:smooth val="0"/>
        <c:axId val="457455424"/>
        <c:axId val="457454640"/>
      </c:lineChart>
      <c:catAx>
        <c:axId val="45745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800" b="0" i="0" u="none" strike="noStrike" kern="1200" baseline="0">
                <a:solidFill>
                  <a:srgbClr val="002060"/>
                </a:solidFill>
                <a:latin typeface="+mn-lt"/>
                <a:ea typeface="+mn-ea"/>
                <a:cs typeface="+mn-cs"/>
              </a:defRPr>
            </a:pPr>
            <a:endParaRPr lang="pl-PL"/>
          </a:p>
        </c:txPr>
        <c:crossAx val="457454640"/>
        <c:crosses val="autoZero"/>
        <c:auto val="1"/>
        <c:lblAlgn val="ctr"/>
        <c:lblOffset val="100"/>
        <c:noMultiLvlLbl val="0"/>
      </c:catAx>
      <c:valAx>
        <c:axId val="457454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pl-PL"/>
          </a:p>
        </c:txPr>
        <c:crossAx val="457455424"/>
        <c:crosses val="autoZero"/>
        <c:crossBetween val="between"/>
        <c:majorUnit val="3"/>
      </c:valAx>
      <c:spPr>
        <a:noFill/>
        <a:ln>
          <a:noFill/>
        </a:ln>
        <a:effectLst/>
      </c:spPr>
    </c:plotArea>
    <c:legend>
      <c:legendPos val="b"/>
      <c:layout>
        <c:manualLayout>
          <c:xMode val="edge"/>
          <c:yMode val="edge"/>
          <c:x val="2.6187960881618035E-2"/>
          <c:y val="0.74809952524316803"/>
          <c:w val="0.95448991340411626"/>
          <c:h val="0.22868660259379342"/>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66916764776898E-2"/>
          <c:y val="4.7808754032687223E-2"/>
          <c:w val="0.92589381188462549"/>
          <c:h val="0.58900760634382454"/>
        </c:manualLayout>
      </c:layout>
      <c:barChart>
        <c:barDir val="col"/>
        <c:grouping val="clustered"/>
        <c:varyColors val="0"/>
        <c:ser>
          <c:idx val="0"/>
          <c:order val="0"/>
          <c:tx>
            <c:strRef>
              <c:f>'wykres 11'!$A$30</c:f>
              <c:strCache>
                <c:ptCount val="1"/>
                <c:pt idx="0">
                  <c:v>długość zelektryfikowanych linii kolejowych</c:v>
                </c:pt>
              </c:strCache>
            </c:strRef>
          </c:tx>
          <c:spPr>
            <a:solidFill>
              <a:schemeClr val="accent4">
                <a:lumMod val="40000"/>
                <a:lumOff val="60000"/>
              </a:schemeClr>
            </a:solidFill>
            <a:ln>
              <a:solidFill>
                <a:schemeClr val="accent5">
                  <a:lumMod val="75000"/>
                </a:schemeClr>
              </a:solidFill>
            </a:ln>
            <a:effectLst/>
          </c:spPr>
          <c:invertIfNegative val="0"/>
          <c:trendline>
            <c:spPr>
              <a:ln w="19050" cap="rnd">
                <a:solidFill>
                  <a:schemeClr val="accent1"/>
                </a:solidFill>
                <a:prstDash val="sysDot"/>
              </a:ln>
              <a:effectLst/>
            </c:spPr>
            <c:trendlineType val="linear"/>
            <c:dispRSqr val="0"/>
            <c:dispEq val="0"/>
          </c:trendline>
          <c:cat>
            <c:strRef>
              <c:f>'wykres 11'!$B$29:$AG$29</c:f>
              <c:strCache>
                <c:ptCount val="3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pt idx="23">
                  <c:v>2022</c:v>
                </c:pt>
                <c:pt idx="24">
                  <c:v>2023</c:v>
                </c:pt>
                <c:pt idx="25">
                  <c:v>2024</c:v>
                </c:pt>
                <c:pt idx="26">
                  <c:v>2025</c:v>
                </c:pt>
                <c:pt idx="27">
                  <c:v>2026</c:v>
                </c:pt>
                <c:pt idx="28">
                  <c:v>2027</c:v>
                </c:pt>
                <c:pt idx="29">
                  <c:v>2028</c:v>
                </c:pt>
                <c:pt idx="30">
                  <c:v>2029</c:v>
                </c:pt>
                <c:pt idx="31">
                  <c:v>2030</c:v>
                </c:pt>
              </c:strCache>
            </c:strRef>
          </c:cat>
          <c:val>
            <c:numRef>
              <c:f>'wykres 11'!$B$30:$AG$30</c:f>
              <c:numCache>
                <c:formatCode>#,##0</c:formatCode>
                <c:ptCount val="32"/>
                <c:pt idx="0">
                  <c:v>369</c:v>
                </c:pt>
                <c:pt idx="1">
                  <c:v>369</c:v>
                </c:pt>
                <c:pt idx="2">
                  <c:v>369</c:v>
                </c:pt>
                <c:pt idx="3">
                  <c:v>358</c:v>
                </c:pt>
                <c:pt idx="4">
                  <c:v>345</c:v>
                </c:pt>
                <c:pt idx="5">
                  <c:v>355</c:v>
                </c:pt>
                <c:pt idx="6">
                  <c:v>355</c:v>
                </c:pt>
                <c:pt idx="7">
                  <c:v>359</c:v>
                </c:pt>
                <c:pt idx="8">
                  <c:v>362</c:v>
                </c:pt>
                <c:pt idx="9">
                  <c:v>362</c:v>
                </c:pt>
                <c:pt idx="10">
                  <c:v>358</c:v>
                </c:pt>
                <c:pt idx="11">
                  <c:v>355</c:v>
                </c:pt>
                <c:pt idx="12">
                  <c:v>355</c:v>
                </c:pt>
                <c:pt idx="13">
                  <c:v>365</c:v>
                </c:pt>
                <c:pt idx="14">
                  <c:v>355</c:v>
                </c:pt>
                <c:pt idx="15">
                  <c:v>367</c:v>
                </c:pt>
                <c:pt idx="16">
                  <c:v>367</c:v>
                </c:pt>
                <c:pt idx="17">
                  <c:v>369</c:v>
                </c:pt>
                <c:pt idx="18">
                  <c:v>369</c:v>
                </c:pt>
                <c:pt idx="19">
                  <c:v>370</c:v>
                </c:pt>
                <c:pt idx="20">
                  <c:v>392</c:v>
                </c:pt>
                <c:pt idx="21">
                  <c:v>398</c:v>
                </c:pt>
              </c:numCache>
            </c:numRef>
          </c:val>
          <c:extLst xmlns:c16r2="http://schemas.microsoft.com/office/drawing/2015/06/chart">
            <c:ext xmlns:c16="http://schemas.microsoft.com/office/drawing/2014/chart" uri="{C3380CC4-5D6E-409C-BE32-E72D297353CC}">
              <c16:uniqueId val="{00000001-0CB1-407B-93F9-C0B9E75E8D7A}"/>
            </c:ext>
          </c:extLst>
        </c:ser>
        <c:dLbls>
          <c:showLegendKey val="0"/>
          <c:showVal val="0"/>
          <c:showCatName val="0"/>
          <c:showSerName val="0"/>
          <c:showPercent val="0"/>
          <c:showBubbleSize val="0"/>
        </c:dLbls>
        <c:gapWidth val="219"/>
        <c:axId val="457452288"/>
        <c:axId val="457455816"/>
      </c:barChart>
      <c:lineChart>
        <c:grouping val="standard"/>
        <c:varyColors val="0"/>
        <c:ser>
          <c:idx val="1"/>
          <c:order val="1"/>
          <c:tx>
            <c:strRef>
              <c:f>'wykres 11'!$A$31</c:f>
              <c:strCache>
                <c:ptCount val="1"/>
                <c:pt idx="0">
                  <c:v>wartość docelowa 2030</c:v>
                </c:pt>
              </c:strCache>
            </c:strRef>
          </c:tx>
          <c:spPr>
            <a:ln w="28575" cap="rnd">
              <a:solidFill>
                <a:schemeClr val="accent5">
                  <a:lumMod val="75000"/>
                </a:schemeClr>
              </a:solidFill>
              <a:round/>
            </a:ln>
            <a:effectLst/>
          </c:spPr>
          <c:marker>
            <c:symbol val="none"/>
          </c:marker>
          <c:cat>
            <c:strRef>
              <c:f>'wykres 11'!$B$29:$AG$29</c:f>
              <c:strCache>
                <c:ptCount val="3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pt idx="23">
                  <c:v>2022</c:v>
                </c:pt>
                <c:pt idx="24">
                  <c:v>2023</c:v>
                </c:pt>
                <c:pt idx="25">
                  <c:v>2024</c:v>
                </c:pt>
                <c:pt idx="26">
                  <c:v>2025</c:v>
                </c:pt>
                <c:pt idx="27">
                  <c:v>2026</c:v>
                </c:pt>
                <c:pt idx="28">
                  <c:v>2027</c:v>
                </c:pt>
                <c:pt idx="29">
                  <c:v>2028</c:v>
                </c:pt>
                <c:pt idx="30">
                  <c:v>2029</c:v>
                </c:pt>
                <c:pt idx="31">
                  <c:v>2030</c:v>
                </c:pt>
              </c:strCache>
            </c:strRef>
          </c:cat>
          <c:val>
            <c:numRef>
              <c:f>'wykres 11'!$B$31:$AG$31</c:f>
              <c:numCache>
                <c:formatCode>General</c:formatCode>
                <c:ptCount val="32"/>
                <c:pt idx="0">
                  <c:v>500</c:v>
                </c:pt>
                <c:pt idx="1">
                  <c:v>500</c:v>
                </c:pt>
                <c:pt idx="2">
                  <c:v>500</c:v>
                </c:pt>
                <c:pt idx="3">
                  <c:v>500</c:v>
                </c:pt>
                <c:pt idx="4">
                  <c:v>500</c:v>
                </c:pt>
                <c:pt idx="5">
                  <c:v>500</c:v>
                </c:pt>
                <c:pt idx="6">
                  <c:v>500</c:v>
                </c:pt>
                <c:pt idx="7">
                  <c:v>500</c:v>
                </c:pt>
                <c:pt idx="8">
                  <c:v>500</c:v>
                </c:pt>
                <c:pt idx="9">
                  <c:v>500</c:v>
                </c:pt>
                <c:pt idx="10">
                  <c:v>500</c:v>
                </c:pt>
                <c:pt idx="11">
                  <c:v>500</c:v>
                </c:pt>
                <c:pt idx="12">
                  <c:v>500</c:v>
                </c:pt>
                <c:pt idx="13">
                  <c:v>500</c:v>
                </c:pt>
                <c:pt idx="14">
                  <c:v>500</c:v>
                </c:pt>
                <c:pt idx="15">
                  <c:v>500</c:v>
                </c:pt>
                <c:pt idx="16">
                  <c:v>500</c:v>
                </c:pt>
                <c:pt idx="17">
                  <c:v>500</c:v>
                </c:pt>
                <c:pt idx="18">
                  <c:v>500</c:v>
                </c:pt>
                <c:pt idx="19">
                  <c:v>500</c:v>
                </c:pt>
                <c:pt idx="20">
                  <c:v>500</c:v>
                </c:pt>
                <c:pt idx="21">
                  <c:v>500</c:v>
                </c:pt>
              </c:numCache>
            </c:numRef>
          </c:val>
          <c:smooth val="0"/>
          <c:extLst xmlns:c16r2="http://schemas.microsoft.com/office/drawing/2015/06/chart">
            <c:ext xmlns:c16="http://schemas.microsoft.com/office/drawing/2014/chart" uri="{C3380CC4-5D6E-409C-BE32-E72D297353CC}">
              <c16:uniqueId val="{00000002-0CB1-407B-93F9-C0B9E75E8D7A}"/>
            </c:ext>
          </c:extLst>
        </c:ser>
        <c:ser>
          <c:idx val="2"/>
          <c:order val="2"/>
          <c:tx>
            <c:strRef>
              <c:f>'wykres 11'!$A$32</c:f>
              <c:strCache>
                <c:ptCount val="1"/>
                <c:pt idx="0">
                  <c:v>zmiana do 2021 roku (przy założeniu średniej dynamiki)</c:v>
                </c:pt>
              </c:strCache>
            </c:strRef>
          </c:tx>
          <c:spPr>
            <a:ln w="28575" cap="rnd">
              <a:solidFill>
                <a:schemeClr val="accent4">
                  <a:lumMod val="60000"/>
                  <a:lumOff val="40000"/>
                </a:schemeClr>
              </a:solidFill>
              <a:round/>
            </a:ln>
            <a:effectLst/>
          </c:spPr>
          <c:marker>
            <c:symbol val="none"/>
          </c:marker>
          <c:cat>
            <c:strRef>
              <c:f>'wykres 11'!$B$29:$AG$29</c:f>
              <c:strCache>
                <c:ptCount val="3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pt idx="23">
                  <c:v>2022</c:v>
                </c:pt>
                <c:pt idx="24">
                  <c:v>2023</c:v>
                </c:pt>
                <c:pt idx="25">
                  <c:v>2024</c:v>
                </c:pt>
                <c:pt idx="26">
                  <c:v>2025</c:v>
                </c:pt>
                <c:pt idx="27">
                  <c:v>2026</c:v>
                </c:pt>
                <c:pt idx="28">
                  <c:v>2027</c:v>
                </c:pt>
                <c:pt idx="29">
                  <c:v>2028</c:v>
                </c:pt>
                <c:pt idx="30">
                  <c:v>2029</c:v>
                </c:pt>
                <c:pt idx="31">
                  <c:v>2030</c:v>
                </c:pt>
              </c:strCache>
            </c:strRef>
          </c:cat>
          <c:val>
            <c:numRef>
              <c:f>'wykres 11'!$B$32:$AG$32</c:f>
              <c:numCache>
                <c:formatCode>General</c:formatCode>
                <c:ptCount val="32"/>
                <c:pt idx="22">
                  <c:v>399.52674070856517</c:v>
                </c:pt>
                <c:pt idx="23">
                  <c:v>401.05933804323888</c:v>
                </c:pt>
                <c:pt idx="24">
                  <c:v>402.59781447022584</c:v>
                </c:pt>
                <c:pt idx="25">
                  <c:v>404.14219254191192</c:v>
                </c:pt>
                <c:pt idx="26">
                  <c:v>405.69249489719471</c:v>
                </c:pt>
                <c:pt idx="27">
                  <c:v>407.24874426181515</c:v>
                </c:pt>
                <c:pt idx="28">
                  <c:v>408.81096344869098</c:v>
                </c:pt>
                <c:pt idx="29">
                  <c:v>410.37917535825102</c:v>
                </c:pt>
                <c:pt idx="30">
                  <c:v>411.95340297877078</c:v>
                </c:pt>
                <c:pt idx="31">
                  <c:v>413.53366938670956</c:v>
                </c:pt>
              </c:numCache>
            </c:numRef>
          </c:val>
          <c:smooth val="0"/>
          <c:extLst xmlns:c16r2="http://schemas.microsoft.com/office/drawing/2015/06/chart">
            <c:ext xmlns:c16="http://schemas.microsoft.com/office/drawing/2014/chart" uri="{C3380CC4-5D6E-409C-BE32-E72D297353CC}">
              <c16:uniqueId val="{00000003-0CB1-407B-93F9-C0B9E75E8D7A}"/>
            </c:ext>
          </c:extLst>
        </c:ser>
        <c:dLbls>
          <c:showLegendKey val="0"/>
          <c:showVal val="0"/>
          <c:showCatName val="0"/>
          <c:showSerName val="0"/>
          <c:showPercent val="0"/>
          <c:showBubbleSize val="0"/>
        </c:dLbls>
        <c:marker val="1"/>
        <c:smooth val="0"/>
        <c:axId val="457452288"/>
        <c:axId val="457455816"/>
      </c:lineChart>
      <c:catAx>
        <c:axId val="457452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700" b="0" i="0" u="none" strike="noStrike" kern="1200" baseline="0">
                <a:solidFill>
                  <a:srgbClr val="002060"/>
                </a:solidFill>
                <a:latin typeface="+mn-lt"/>
                <a:ea typeface="+mn-ea"/>
                <a:cs typeface="+mn-cs"/>
              </a:defRPr>
            </a:pPr>
            <a:endParaRPr lang="pl-PL"/>
          </a:p>
        </c:txPr>
        <c:crossAx val="457455816"/>
        <c:crosses val="autoZero"/>
        <c:auto val="1"/>
        <c:lblAlgn val="ctr"/>
        <c:lblOffset val="100"/>
        <c:noMultiLvlLbl val="0"/>
      </c:catAx>
      <c:valAx>
        <c:axId val="457455816"/>
        <c:scaling>
          <c:orientation val="minMax"/>
          <c:max val="6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pl-PL"/>
          </a:p>
        </c:txPr>
        <c:crossAx val="457452288"/>
        <c:crosses val="autoZero"/>
        <c:crossBetween val="between"/>
        <c:majorUnit val="100"/>
      </c:valAx>
      <c:spPr>
        <a:noFill/>
        <a:ln>
          <a:noFill/>
        </a:ln>
        <a:effectLst/>
      </c:spPr>
    </c:plotArea>
    <c:legend>
      <c:legendPos val="b"/>
      <c:layout>
        <c:manualLayout>
          <c:xMode val="edge"/>
          <c:yMode val="edge"/>
          <c:x val="3.9106222833256953E-2"/>
          <c:y val="0.78417389752626532"/>
          <c:w val="0.93838669471871572"/>
          <c:h val="0.19261225491289508"/>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'wykres 12'!$A$2</c:f>
              <c:strCache>
                <c:ptCount val="1"/>
                <c:pt idx="0">
                  <c:v>liczba parkingów w systemie Parkuj i Jedź (Park &amp; Ride)</c:v>
                </c:pt>
              </c:strCache>
            </c:strRef>
          </c:tx>
          <c:spPr>
            <a:solidFill>
              <a:schemeClr val="accent4">
                <a:lumMod val="60000"/>
                <a:lumOff val="40000"/>
              </a:schemeClr>
            </a:solidFill>
            <a:ln>
              <a:solidFill>
                <a:schemeClr val="accent5">
                  <a:lumMod val="75000"/>
                </a:schemeClr>
              </a:solidFill>
            </a:ln>
            <a:effectLst/>
          </c:spPr>
          <c:invertIfNegative val="0"/>
          <c:trendline>
            <c:spPr>
              <a:ln w="19050" cap="rnd">
                <a:solidFill>
                  <a:schemeClr val="accent1"/>
                </a:solidFill>
                <a:prstDash val="sysDot"/>
              </a:ln>
              <a:effectLst/>
            </c:spPr>
            <c:trendlineType val="linear"/>
            <c:forward val="10"/>
            <c:dispRSqr val="0"/>
            <c:dispEq val="0"/>
          </c:trendline>
          <c:cat>
            <c:strRef>
              <c:f>'wykres 12'!$B$1:$F$1</c:f>
              <c:strCache>
                <c:ptCount val="5"/>
                <c:pt idx="0">
                  <c:v>2016</c:v>
                </c:pt>
                <c:pt idx="1">
                  <c:v>2017</c:v>
                </c:pt>
                <c:pt idx="2">
                  <c:v>2018</c:v>
                </c:pt>
                <c:pt idx="3">
                  <c:v>2019</c:v>
                </c:pt>
                <c:pt idx="4">
                  <c:v>2020</c:v>
                </c:pt>
              </c:strCache>
            </c:strRef>
          </c:cat>
          <c:val>
            <c:numRef>
              <c:f>'wykres 12'!$B$2:$F$2</c:f>
              <c:numCache>
                <c:formatCode>#,##0</c:formatCode>
                <c:ptCount val="5"/>
                <c:pt idx="0">
                  <c:v>2</c:v>
                </c:pt>
                <c:pt idx="1">
                  <c:v>7</c:v>
                </c:pt>
                <c:pt idx="2">
                  <c:v>10</c:v>
                </c:pt>
                <c:pt idx="3">
                  <c:v>18</c:v>
                </c:pt>
                <c:pt idx="4">
                  <c:v>18</c:v>
                </c:pt>
              </c:numCache>
            </c:numRef>
          </c:val>
          <c:extLst xmlns:c16r2="http://schemas.microsoft.com/office/drawing/2015/06/chart">
            <c:ext xmlns:c16="http://schemas.microsoft.com/office/drawing/2014/chart" uri="{C3380CC4-5D6E-409C-BE32-E72D297353CC}">
              <c16:uniqueId val="{00000001-DAF4-45B7-ABBD-471C3068B36E}"/>
            </c:ext>
          </c:extLst>
        </c:ser>
        <c:dLbls>
          <c:showLegendKey val="0"/>
          <c:showVal val="0"/>
          <c:showCatName val="0"/>
          <c:showSerName val="0"/>
          <c:showPercent val="0"/>
          <c:showBubbleSize val="0"/>
        </c:dLbls>
        <c:gapWidth val="219"/>
        <c:axId val="457452680"/>
        <c:axId val="457453072"/>
      </c:barChart>
      <c:lineChart>
        <c:grouping val="standard"/>
        <c:varyColors val="0"/>
        <c:ser>
          <c:idx val="1"/>
          <c:order val="1"/>
          <c:tx>
            <c:strRef>
              <c:f>'wykres 12'!$A$3</c:f>
              <c:strCache>
                <c:ptCount val="1"/>
                <c:pt idx="0">
                  <c:v>wartość docelowa 2030</c:v>
                </c:pt>
              </c:strCache>
            </c:strRef>
          </c:tx>
          <c:spPr>
            <a:ln w="28575" cap="rnd">
              <a:solidFill>
                <a:schemeClr val="accent1">
                  <a:lumMod val="75000"/>
                </a:schemeClr>
              </a:solidFill>
              <a:round/>
            </a:ln>
            <a:effectLst/>
          </c:spPr>
          <c:marker>
            <c:symbol val="none"/>
          </c:marker>
          <c:cat>
            <c:strRef>
              <c:f>'wykres 12'!$B$1:$F$1</c:f>
              <c:strCache>
                <c:ptCount val="5"/>
                <c:pt idx="0">
                  <c:v>2016</c:v>
                </c:pt>
                <c:pt idx="1">
                  <c:v>2017</c:v>
                </c:pt>
                <c:pt idx="2">
                  <c:v>2018</c:v>
                </c:pt>
                <c:pt idx="3">
                  <c:v>2019</c:v>
                </c:pt>
                <c:pt idx="4">
                  <c:v>2020</c:v>
                </c:pt>
              </c:strCache>
            </c:strRef>
          </c:cat>
          <c:val>
            <c:numRef>
              <c:f>'wykres 12'!$B$3:$F$3</c:f>
              <c:numCache>
                <c:formatCode>General</c:formatCode>
                <c:ptCount val="5"/>
                <c:pt idx="0">
                  <c:v>30</c:v>
                </c:pt>
                <c:pt idx="1">
                  <c:v>30</c:v>
                </c:pt>
                <c:pt idx="2">
                  <c:v>30</c:v>
                </c:pt>
                <c:pt idx="3">
                  <c:v>30</c:v>
                </c:pt>
                <c:pt idx="4">
                  <c:v>30</c:v>
                </c:pt>
              </c:numCache>
            </c:numRef>
          </c:val>
          <c:smooth val="0"/>
          <c:extLst xmlns:c16r2="http://schemas.microsoft.com/office/drawing/2015/06/chart">
            <c:ext xmlns:c16="http://schemas.microsoft.com/office/drawing/2014/chart" uri="{C3380CC4-5D6E-409C-BE32-E72D297353CC}">
              <c16:uniqueId val="{00000002-DAF4-45B7-ABBD-471C3068B36E}"/>
            </c:ext>
          </c:extLst>
        </c:ser>
        <c:dLbls>
          <c:showLegendKey val="0"/>
          <c:showVal val="0"/>
          <c:showCatName val="0"/>
          <c:showSerName val="0"/>
          <c:showPercent val="0"/>
          <c:showBubbleSize val="0"/>
        </c:dLbls>
        <c:marker val="1"/>
        <c:smooth val="0"/>
        <c:axId val="457452680"/>
        <c:axId val="457453072"/>
      </c:lineChart>
      <c:catAx>
        <c:axId val="457452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crossAx val="457453072"/>
        <c:crosses val="autoZero"/>
        <c:auto val="1"/>
        <c:lblAlgn val="ctr"/>
        <c:lblOffset val="100"/>
        <c:noMultiLvlLbl val="0"/>
      </c:catAx>
      <c:valAx>
        <c:axId val="457453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pl-PL"/>
          </a:p>
        </c:txPr>
        <c:crossAx val="457452680"/>
        <c:crosses val="autoZero"/>
        <c:crossBetween val="between"/>
      </c:valAx>
      <c:spPr>
        <a:noFill/>
        <a:ln>
          <a:noFill/>
        </a:ln>
        <a:effectLst/>
      </c:spPr>
    </c:plotArea>
    <c:legend>
      <c:legendPos val="b"/>
      <c:layout>
        <c:manualLayout>
          <c:xMode val="edge"/>
          <c:yMode val="edge"/>
          <c:x val="2.2942291335053305E-2"/>
          <c:y val="0.72067252039177554"/>
          <c:w val="0.9092924679798261"/>
          <c:h val="0.24218727533710097"/>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'wykres 13'!$A$26</c:f>
              <c:strCache>
                <c:ptCount val="1"/>
                <c:pt idx="0">
                  <c:v>liczba przystanków autobusowych</c:v>
                </c:pt>
              </c:strCache>
            </c:strRef>
          </c:tx>
          <c:spPr>
            <a:solidFill>
              <a:schemeClr val="accent4">
                <a:lumMod val="40000"/>
                <a:lumOff val="60000"/>
              </a:schemeClr>
            </a:solidFill>
            <a:ln>
              <a:solidFill>
                <a:schemeClr val="accent5">
                  <a:lumMod val="75000"/>
                </a:schemeClr>
              </a:solidFill>
            </a:ln>
            <a:effectLst/>
          </c:spPr>
          <c:invertIfNegative val="0"/>
          <c:trendline>
            <c:spPr>
              <a:ln w="19050" cap="rnd">
                <a:solidFill>
                  <a:schemeClr val="accent1"/>
                </a:solidFill>
                <a:prstDash val="sysDot"/>
              </a:ln>
              <a:effectLst/>
            </c:spPr>
            <c:trendlineType val="linear"/>
            <c:dispRSqr val="0"/>
            <c:dispEq val="0"/>
          </c:trendline>
          <c:cat>
            <c:strRef>
              <c:f>'wykres 13'!$B$25:$N$25</c:f>
              <c:strCach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strCache>
            </c:strRef>
          </c:cat>
          <c:val>
            <c:numRef>
              <c:f>'wykres 13'!$B$26:$N$26</c:f>
              <c:numCache>
                <c:formatCode>#,##0</c:formatCode>
                <c:ptCount val="13"/>
                <c:pt idx="0">
                  <c:v>9981</c:v>
                </c:pt>
                <c:pt idx="1">
                  <c:v>10221</c:v>
                </c:pt>
                <c:pt idx="2">
                  <c:v>10389</c:v>
                </c:pt>
              </c:numCache>
            </c:numRef>
          </c:val>
          <c:extLst xmlns:c16r2="http://schemas.microsoft.com/office/drawing/2015/06/chart">
            <c:ext xmlns:c16="http://schemas.microsoft.com/office/drawing/2014/chart" uri="{C3380CC4-5D6E-409C-BE32-E72D297353CC}">
              <c16:uniqueId val="{00000001-FED6-4E2E-BEF8-8707EAB8B9DE}"/>
            </c:ext>
          </c:extLst>
        </c:ser>
        <c:dLbls>
          <c:showLegendKey val="0"/>
          <c:showVal val="0"/>
          <c:showCatName val="0"/>
          <c:showSerName val="0"/>
          <c:showPercent val="0"/>
          <c:showBubbleSize val="0"/>
        </c:dLbls>
        <c:gapWidth val="219"/>
        <c:axId val="457453464"/>
        <c:axId val="455246160"/>
      </c:barChart>
      <c:lineChart>
        <c:grouping val="standard"/>
        <c:varyColors val="0"/>
        <c:ser>
          <c:idx val="1"/>
          <c:order val="1"/>
          <c:tx>
            <c:strRef>
              <c:f>'wykres 13'!$A$27</c:f>
              <c:strCache>
                <c:ptCount val="1"/>
                <c:pt idx="0">
                  <c:v>wartość docelowa 2030</c:v>
                </c:pt>
              </c:strCache>
            </c:strRef>
          </c:tx>
          <c:spPr>
            <a:ln w="28575" cap="rnd">
              <a:solidFill>
                <a:schemeClr val="accent5">
                  <a:lumMod val="75000"/>
                </a:schemeClr>
              </a:solidFill>
              <a:round/>
            </a:ln>
            <a:effectLst/>
          </c:spPr>
          <c:marker>
            <c:symbol val="none"/>
          </c:marker>
          <c:cat>
            <c:strRef>
              <c:f>'wykres 13'!$B$25:$N$25</c:f>
              <c:strCach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strCache>
            </c:strRef>
          </c:cat>
          <c:val>
            <c:numRef>
              <c:f>'wykres 13'!$B$27:$N$27</c:f>
              <c:numCache>
                <c:formatCode>General</c:formatCode>
                <c:ptCount val="13"/>
                <c:pt idx="0">
                  <c:v>10240</c:v>
                </c:pt>
                <c:pt idx="1">
                  <c:v>10240</c:v>
                </c:pt>
                <c:pt idx="2">
                  <c:v>10240</c:v>
                </c:pt>
              </c:numCache>
            </c:numRef>
          </c:val>
          <c:smooth val="0"/>
          <c:extLst xmlns:c16r2="http://schemas.microsoft.com/office/drawing/2015/06/chart">
            <c:ext xmlns:c16="http://schemas.microsoft.com/office/drawing/2014/chart" uri="{C3380CC4-5D6E-409C-BE32-E72D297353CC}">
              <c16:uniqueId val="{00000002-FED6-4E2E-BEF8-8707EAB8B9DE}"/>
            </c:ext>
          </c:extLst>
        </c:ser>
        <c:ser>
          <c:idx val="2"/>
          <c:order val="2"/>
          <c:tx>
            <c:strRef>
              <c:f>'wykres 13'!$A$28</c:f>
              <c:strCache>
                <c:ptCount val="1"/>
                <c:pt idx="0">
                  <c:v>zmiana od 2021 roku (przy założeniu średniej dynamiki)</c:v>
                </c:pt>
              </c:strCache>
            </c:strRef>
          </c:tx>
          <c:spPr>
            <a:ln w="28575" cap="rnd">
              <a:solidFill>
                <a:schemeClr val="accent4">
                  <a:lumMod val="60000"/>
                  <a:lumOff val="40000"/>
                </a:schemeClr>
              </a:solidFill>
              <a:round/>
            </a:ln>
            <a:effectLst/>
          </c:spPr>
          <c:marker>
            <c:symbol val="none"/>
          </c:marker>
          <c:cat>
            <c:strRef>
              <c:f>'wykres 13'!$B$25:$N$25</c:f>
              <c:strCach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strCache>
            </c:strRef>
          </c:cat>
          <c:val>
            <c:numRef>
              <c:f>'wykres 13'!$B$28:$N$28</c:f>
              <c:numCache>
                <c:formatCode>General</c:formatCode>
                <c:ptCount val="13"/>
                <c:pt idx="3">
                  <c:v>10599.286006929455</c:v>
                </c:pt>
                <c:pt idx="4">
                  <c:v>10813.82845862841</c:v>
                </c:pt>
                <c:pt idx="5">
                  <c:v>11032.713510720534</c:v>
                </c:pt>
                <c:pt idx="6">
                  <c:v>11256.029062724199</c:v>
                </c:pt>
                <c:pt idx="7">
                  <c:v>11483.864793351035</c:v>
                </c:pt>
                <c:pt idx="8">
                  <c:v>11716.312196518958</c:v>
                </c:pt>
                <c:pt idx="9">
                  <c:v>11953.464618094167</c:v>
                </c:pt>
                <c:pt idx="10">
                  <c:v>12195.417293376828</c:v>
                </c:pt>
                <c:pt idx="11">
                  <c:v>12442.267385345511</c:v>
                </c:pt>
                <c:pt idx="12">
                  <c:v>12694.114023675756</c:v>
                </c:pt>
              </c:numCache>
            </c:numRef>
          </c:val>
          <c:smooth val="0"/>
          <c:extLst xmlns:c16r2="http://schemas.microsoft.com/office/drawing/2015/06/chart">
            <c:ext xmlns:c16="http://schemas.microsoft.com/office/drawing/2014/chart" uri="{C3380CC4-5D6E-409C-BE32-E72D297353CC}">
              <c16:uniqueId val="{00000003-FED6-4E2E-BEF8-8707EAB8B9DE}"/>
            </c:ext>
          </c:extLst>
        </c:ser>
        <c:dLbls>
          <c:showLegendKey val="0"/>
          <c:showVal val="0"/>
          <c:showCatName val="0"/>
          <c:showSerName val="0"/>
          <c:showPercent val="0"/>
          <c:showBubbleSize val="0"/>
        </c:dLbls>
        <c:marker val="1"/>
        <c:smooth val="0"/>
        <c:axId val="457453464"/>
        <c:axId val="455246160"/>
      </c:lineChart>
      <c:catAx>
        <c:axId val="457453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800" b="0" i="0" u="none" strike="noStrike" kern="1200" baseline="0">
                <a:solidFill>
                  <a:srgbClr val="002060"/>
                </a:solidFill>
                <a:latin typeface="+mn-lt"/>
                <a:ea typeface="+mn-ea"/>
                <a:cs typeface="+mn-cs"/>
              </a:defRPr>
            </a:pPr>
            <a:endParaRPr lang="pl-PL"/>
          </a:p>
        </c:txPr>
        <c:crossAx val="455246160"/>
        <c:crosses val="autoZero"/>
        <c:auto val="1"/>
        <c:lblAlgn val="ctr"/>
        <c:lblOffset val="100"/>
        <c:noMultiLvlLbl val="0"/>
      </c:catAx>
      <c:valAx>
        <c:axId val="455246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pl-PL"/>
          </a:p>
        </c:txPr>
        <c:crossAx val="457453464"/>
        <c:crosses val="autoZero"/>
        <c:crossBetween val="between"/>
        <c:majorUnit val="2000"/>
      </c:valAx>
      <c:spPr>
        <a:noFill/>
        <a:ln>
          <a:noFill/>
        </a:ln>
        <a:effectLst/>
      </c:spPr>
    </c:plotArea>
    <c:legend>
      <c:legendPos val="b"/>
      <c:layout>
        <c:manualLayout>
          <c:xMode val="edge"/>
          <c:yMode val="edge"/>
          <c:x val="1.5296364042222782E-2"/>
          <c:y val="0.70381043504645324"/>
          <c:w val="0.98470371059732642"/>
          <c:h val="0.23453752266674838"/>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567147856517933E-2"/>
          <c:y val="5.0925925925925923E-2"/>
          <c:w val="0.87187729658792656"/>
          <c:h val="0.42073053368328961"/>
        </c:manualLayout>
      </c:layout>
      <c:barChart>
        <c:barDir val="col"/>
        <c:grouping val="clustered"/>
        <c:varyColors val="0"/>
        <c:ser>
          <c:idx val="0"/>
          <c:order val="0"/>
          <c:tx>
            <c:strRef>
              <c:f>'wykres 14'!$A$27</c:f>
              <c:strCache>
                <c:ptCount val="1"/>
                <c:pt idx="0">
                  <c:v>liczba autobusów komunikacji miejskiej przystosowanych do przewozu osób niepełnosprawnych</c:v>
                </c:pt>
              </c:strCache>
            </c:strRef>
          </c:tx>
          <c:spPr>
            <a:solidFill>
              <a:schemeClr val="accent4">
                <a:lumMod val="40000"/>
                <a:lumOff val="60000"/>
              </a:schemeClr>
            </a:solidFill>
            <a:ln>
              <a:solidFill>
                <a:schemeClr val="accent5">
                  <a:lumMod val="75000"/>
                </a:schemeClr>
              </a:solidFill>
            </a:ln>
            <a:effectLst/>
          </c:spPr>
          <c:invertIfNegative val="0"/>
          <c:trendline>
            <c:spPr>
              <a:ln w="19050" cap="rnd">
                <a:solidFill>
                  <a:schemeClr val="accent1"/>
                </a:solidFill>
                <a:prstDash val="sysDot"/>
              </a:ln>
              <a:effectLst/>
            </c:spPr>
            <c:trendlineType val="linear"/>
            <c:dispRSqr val="0"/>
            <c:dispEq val="0"/>
          </c:trendline>
          <c:cat>
            <c:strRef>
              <c:f>'wykres 14'!$B$26:$W$26</c:f>
              <c:strCache>
                <c:ptCount val="22"/>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pt idx="16">
                  <c:v>2025</c:v>
                </c:pt>
                <c:pt idx="17">
                  <c:v>2026</c:v>
                </c:pt>
                <c:pt idx="18">
                  <c:v>2027</c:v>
                </c:pt>
                <c:pt idx="19">
                  <c:v>2028</c:v>
                </c:pt>
                <c:pt idx="20">
                  <c:v>2029</c:v>
                </c:pt>
                <c:pt idx="21">
                  <c:v>2030</c:v>
                </c:pt>
              </c:strCache>
            </c:strRef>
          </c:cat>
          <c:val>
            <c:numRef>
              <c:f>'wykres 14'!$B$27:$W$27</c:f>
              <c:numCache>
                <c:formatCode>#,##0</c:formatCode>
                <c:ptCount val="22"/>
                <c:pt idx="0">
                  <c:v>108</c:v>
                </c:pt>
                <c:pt idx="1">
                  <c:v>128</c:v>
                </c:pt>
                <c:pt idx="2">
                  <c:v>194</c:v>
                </c:pt>
                <c:pt idx="3">
                  <c:v>195</c:v>
                </c:pt>
                <c:pt idx="4">
                  <c:v>238</c:v>
                </c:pt>
                <c:pt idx="5">
                  <c:v>255</c:v>
                </c:pt>
                <c:pt idx="6">
                  <c:v>253</c:v>
                </c:pt>
                <c:pt idx="7">
                  <c:v>258</c:v>
                </c:pt>
                <c:pt idx="8">
                  <c:v>270</c:v>
                </c:pt>
                <c:pt idx="9">
                  <c:v>372</c:v>
                </c:pt>
                <c:pt idx="10">
                  <c:v>408</c:v>
                </c:pt>
                <c:pt idx="11">
                  <c:v>444</c:v>
                </c:pt>
              </c:numCache>
            </c:numRef>
          </c:val>
          <c:extLst xmlns:c16r2="http://schemas.microsoft.com/office/drawing/2015/06/chart">
            <c:ext xmlns:c16="http://schemas.microsoft.com/office/drawing/2014/chart" uri="{C3380CC4-5D6E-409C-BE32-E72D297353CC}">
              <c16:uniqueId val="{00000001-2BC7-496B-A047-2AA7DAFEE2D1}"/>
            </c:ext>
          </c:extLst>
        </c:ser>
        <c:dLbls>
          <c:showLegendKey val="0"/>
          <c:showVal val="0"/>
          <c:showCatName val="0"/>
          <c:showSerName val="0"/>
          <c:showPercent val="0"/>
          <c:showBubbleSize val="0"/>
        </c:dLbls>
        <c:gapWidth val="219"/>
        <c:axId val="554525408"/>
        <c:axId val="554524232"/>
      </c:barChart>
      <c:lineChart>
        <c:grouping val="standard"/>
        <c:varyColors val="0"/>
        <c:ser>
          <c:idx val="1"/>
          <c:order val="1"/>
          <c:tx>
            <c:strRef>
              <c:f>'wykres 14'!$A$28</c:f>
              <c:strCache>
                <c:ptCount val="1"/>
                <c:pt idx="0">
                  <c:v>wartość docelowa 2030</c:v>
                </c:pt>
              </c:strCache>
            </c:strRef>
          </c:tx>
          <c:spPr>
            <a:ln w="28575" cap="rnd">
              <a:solidFill>
                <a:schemeClr val="accent5">
                  <a:lumMod val="75000"/>
                </a:schemeClr>
              </a:solidFill>
              <a:round/>
            </a:ln>
            <a:effectLst/>
          </c:spPr>
          <c:marker>
            <c:symbol val="none"/>
          </c:marker>
          <c:cat>
            <c:strRef>
              <c:f>'wykres 14'!$B$26:$W$26</c:f>
              <c:strCache>
                <c:ptCount val="22"/>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pt idx="16">
                  <c:v>2025</c:v>
                </c:pt>
                <c:pt idx="17">
                  <c:v>2026</c:v>
                </c:pt>
                <c:pt idx="18">
                  <c:v>2027</c:v>
                </c:pt>
                <c:pt idx="19">
                  <c:v>2028</c:v>
                </c:pt>
                <c:pt idx="20">
                  <c:v>2029</c:v>
                </c:pt>
                <c:pt idx="21">
                  <c:v>2030</c:v>
                </c:pt>
              </c:strCache>
            </c:strRef>
          </c:cat>
          <c:val>
            <c:numRef>
              <c:f>'wykres 14'!$B$28:$W$28</c:f>
              <c:numCache>
                <c:formatCode>General</c:formatCode>
                <c:ptCount val="22"/>
                <c:pt idx="0">
                  <c:v>480</c:v>
                </c:pt>
                <c:pt idx="1">
                  <c:v>480</c:v>
                </c:pt>
                <c:pt idx="2">
                  <c:v>480</c:v>
                </c:pt>
                <c:pt idx="3">
                  <c:v>480</c:v>
                </c:pt>
                <c:pt idx="4">
                  <c:v>480</c:v>
                </c:pt>
                <c:pt idx="5">
                  <c:v>480</c:v>
                </c:pt>
                <c:pt idx="6">
                  <c:v>480</c:v>
                </c:pt>
                <c:pt idx="7">
                  <c:v>480</c:v>
                </c:pt>
                <c:pt idx="8">
                  <c:v>480</c:v>
                </c:pt>
                <c:pt idx="9">
                  <c:v>480</c:v>
                </c:pt>
                <c:pt idx="10">
                  <c:v>480</c:v>
                </c:pt>
                <c:pt idx="11">
                  <c:v>480</c:v>
                </c:pt>
              </c:numCache>
            </c:numRef>
          </c:val>
          <c:smooth val="0"/>
          <c:extLst xmlns:c16r2="http://schemas.microsoft.com/office/drawing/2015/06/chart">
            <c:ext xmlns:c16="http://schemas.microsoft.com/office/drawing/2014/chart" uri="{C3380CC4-5D6E-409C-BE32-E72D297353CC}">
              <c16:uniqueId val="{00000002-2BC7-496B-A047-2AA7DAFEE2D1}"/>
            </c:ext>
          </c:extLst>
        </c:ser>
        <c:ser>
          <c:idx val="2"/>
          <c:order val="2"/>
          <c:tx>
            <c:strRef>
              <c:f>'wykres 14'!$A$29</c:f>
              <c:strCache>
                <c:ptCount val="1"/>
                <c:pt idx="0">
                  <c:v>zmiana od 2021 roku (przy założeniu średniej dynamiki)</c:v>
                </c:pt>
              </c:strCache>
            </c:strRef>
          </c:tx>
          <c:spPr>
            <a:ln w="28575" cap="rnd">
              <a:solidFill>
                <a:schemeClr val="accent4">
                  <a:lumMod val="60000"/>
                  <a:lumOff val="40000"/>
                </a:schemeClr>
              </a:solidFill>
              <a:round/>
            </a:ln>
            <a:effectLst/>
          </c:spPr>
          <c:marker>
            <c:symbol val="none"/>
          </c:marker>
          <c:cat>
            <c:strRef>
              <c:f>'wykres 14'!$B$26:$W$26</c:f>
              <c:strCache>
                <c:ptCount val="22"/>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pt idx="16">
                  <c:v>2025</c:v>
                </c:pt>
                <c:pt idx="17">
                  <c:v>2026</c:v>
                </c:pt>
                <c:pt idx="18">
                  <c:v>2027</c:v>
                </c:pt>
                <c:pt idx="19">
                  <c:v>2028</c:v>
                </c:pt>
                <c:pt idx="20">
                  <c:v>2029</c:v>
                </c:pt>
                <c:pt idx="21">
                  <c:v>2030</c:v>
                </c:pt>
              </c:strCache>
            </c:strRef>
          </c:cat>
          <c:val>
            <c:numRef>
              <c:f>'wykres 14'!$B$29:$W$29</c:f>
              <c:numCache>
                <c:formatCode>General</c:formatCode>
                <c:ptCount val="22"/>
                <c:pt idx="12">
                  <c:v>509.35376539108182</c:v>
                </c:pt>
                <c:pt idx="13">
                  <c:v>584.32715837403885</c:v>
                </c:pt>
                <c:pt idx="14">
                  <c:v>670.33612238308046</c:v>
                </c:pt>
                <c:pt idx="15">
                  <c:v>769.00501804837631</c:v>
                </c:pt>
                <c:pt idx="16">
                  <c:v>882.19730078283192</c:v>
                </c:pt>
                <c:pt idx="17">
                  <c:v>1012.0507138999644</c:v>
                </c:pt>
                <c:pt idx="18">
                  <c:v>1161.0176619181968</c:v>
                </c:pt>
                <c:pt idx="19">
                  <c:v>1331.9115265396028</c:v>
                </c:pt>
                <c:pt idx="20">
                  <c:v>1527.9598000241679</c:v>
                </c:pt>
                <c:pt idx="21">
                  <c:v>1752.8650394335909</c:v>
                </c:pt>
              </c:numCache>
            </c:numRef>
          </c:val>
          <c:smooth val="0"/>
          <c:extLst xmlns:c16r2="http://schemas.microsoft.com/office/drawing/2015/06/chart">
            <c:ext xmlns:c16="http://schemas.microsoft.com/office/drawing/2014/chart" uri="{C3380CC4-5D6E-409C-BE32-E72D297353CC}">
              <c16:uniqueId val="{00000003-2BC7-496B-A047-2AA7DAFEE2D1}"/>
            </c:ext>
          </c:extLst>
        </c:ser>
        <c:dLbls>
          <c:showLegendKey val="0"/>
          <c:showVal val="0"/>
          <c:showCatName val="0"/>
          <c:showSerName val="0"/>
          <c:showPercent val="0"/>
          <c:showBubbleSize val="0"/>
        </c:dLbls>
        <c:marker val="1"/>
        <c:smooth val="0"/>
        <c:axId val="554525408"/>
        <c:axId val="554524232"/>
      </c:lineChart>
      <c:catAx>
        <c:axId val="554525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800" b="0" i="0" u="none" strike="noStrike" kern="1200" baseline="0">
                <a:solidFill>
                  <a:srgbClr val="002060"/>
                </a:solidFill>
                <a:latin typeface="+mn-lt"/>
                <a:ea typeface="+mn-ea"/>
                <a:cs typeface="+mn-cs"/>
              </a:defRPr>
            </a:pPr>
            <a:endParaRPr lang="pl-PL"/>
          </a:p>
        </c:txPr>
        <c:crossAx val="554524232"/>
        <c:crosses val="autoZero"/>
        <c:auto val="1"/>
        <c:lblAlgn val="ctr"/>
        <c:lblOffset val="100"/>
        <c:noMultiLvlLbl val="0"/>
      </c:catAx>
      <c:valAx>
        <c:axId val="554524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pl-PL"/>
          </a:p>
        </c:txPr>
        <c:crossAx val="554525408"/>
        <c:crosses val="autoZero"/>
        <c:crossBetween val="between"/>
        <c:majorUnit val="200"/>
      </c:valAx>
      <c:spPr>
        <a:noFill/>
        <a:ln>
          <a:noFill/>
        </a:ln>
        <a:effectLst/>
      </c:spPr>
    </c:plotArea>
    <c:legend>
      <c:legendPos val="b"/>
      <c:layout>
        <c:manualLayout>
          <c:xMode val="edge"/>
          <c:yMode val="edge"/>
          <c:x val="7.1077776045608511E-3"/>
          <c:y val="0.62592395281444835"/>
          <c:w val="0.9906800777211775"/>
          <c:h val="0.32607903178769321"/>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562489187029821E-2"/>
          <c:y val="5.1935788479697827E-2"/>
          <c:w val="0.88489748652236622"/>
          <c:h val="0.54617452209408668"/>
        </c:manualLayout>
      </c:layout>
      <c:barChart>
        <c:barDir val="col"/>
        <c:grouping val="clustered"/>
        <c:varyColors val="0"/>
        <c:ser>
          <c:idx val="0"/>
          <c:order val="0"/>
          <c:tx>
            <c:strRef>
              <c:f>'wykres 15'!$A$28</c:f>
              <c:strCache>
                <c:ptCount val="1"/>
                <c:pt idx="0">
                  <c:v>długość ścieżek rowerowych</c:v>
                </c:pt>
              </c:strCache>
            </c:strRef>
          </c:tx>
          <c:spPr>
            <a:solidFill>
              <a:schemeClr val="accent4">
                <a:lumMod val="40000"/>
                <a:lumOff val="60000"/>
              </a:schemeClr>
            </a:solidFill>
            <a:ln>
              <a:solidFill>
                <a:schemeClr val="accent5">
                  <a:lumMod val="75000"/>
                </a:schemeClr>
              </a:solidFill>
            </a:ln>
            <a:effectLst/>
          </c:spPr>
          <c:invertIfNegative val="0"/>
          <c:trendline>
            <c:spPr>
              <a:ln w="19050" cap="rnd">
                <a:solidFill>
                  <a:schemeClr val="accent1"/>
                </a:solidFill>
                <a:prstDash val="sysDot"/>
              </a:ln>
              <a:effectLst/>
            </c:spPr>
            <c:trendlineType val="linear"/>
            <c:dispRSqr val="0"/>
            <c:dispEq val="0"/>
          </c:trendline>
          <c:cat>
            <c:strRef>
              <c:f>'wykres 15'!$B$27:$U$27</c:f>
              <c:strCache>
                <c:ptCount val="20"/>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strCache>
            </c:strRef>
          </c:cat>
          <c:val>
            <c:numRef>
              <c:f>'wykres 15'!$B$28:$U$28</c:f>
              <c:numCache>
                <c:formatCode>#\ ##0.0</c:formatCode>
                <c:ptCount val="20"/>
                <c:pt idx="0">
                  <c:v>186.5</c:v>
                </c:pt>
                <c:pt idx="1">
                  <c:v>319.2</c:v>
                </c:pt>
                <c:pt idx="2">
                  <c:v>281.10000000000002</c:v>
                </c:pt>
                <c:pt idx="3">
                  <c:v>369.3</c:v>
                </c:pt>
                <c:pt idx="4">
                  <c:v>577.20000000000005</c:v>
                </c:pt>
                <c:pt idx="5">
                  <c:v>533.1</c:v>
                </c:pt>
                <c:pt idx="6">
                  <c:v>591.1</c:v>
                </c:pt>
                <c:pt idx="7">
                  <c:v>615.9</c:v>
                </c:pt>
                <c:pt idx="8">
                  <c:v>644.6</c:v>
                </c:pt>
                <c:pt idx="9">
                  <c:v>675.5</c:v>
                </c:pt>
              </c:numCache>
            </c:numRef>
          </c:val>
          <c:extLst xmlns:c16r2="http://schemas.microsoft.com/office/drawing/2015/06/chart">
            <c:ext xmlns:c16="http://schemas.microsoft.com/office/drawing/2014/chart" uri="{C3380CC4-5D6E-409C-BE32-E72D297353CC}">
              <c16:uniqueId val="{00000001-76EC-4F21-AA17-62FE73270080}"/>
            </c:ext>
          </c:extLst>
        </c:ser>
        <c:dLbls>
          <c:showLegendKey val="0"/>
          <c:showVal val="0"/>
          <c:showCatName val="0"/>
          <c:showSerName val="0"/>
          <c:showPercent val="0"/>
          <c:showBubbleSize val="0"/>
        </c:dLbls>
        <c:gapWidth val="219"/>
        <c:axId val="554521096"/>
        <c:axId val="554521488"/>
      </c:barChart>
      <c:lineChart>
        <c:grouping val="standard"/>
        <c:varyColors val="0"/>
        <c:ser>
          <c:idx val="1"/>
          <c:order val="1"/>
          <c:tx>
            <c:strRef>
              <c:f>'wykres 15'!$A$29</c:f>
              <c:strCache>
                <c:ptCount val="1"/>
                <c:pt idx="0">
                  <c:v>wartość docelowa 2030</c:v>
                </c:pt>
              </c:strCache>
            </c:strRef>
          </c:tx>
          <c:spPr>
            <a:ln w="28575" cap="rnd">
              <a:solidFill>
                <a:schemeClr val="accent5">
                  <a:lumMod val="75000"/>
                </a:schemeClr>
              </a:solidFill>
              <a:round/>
            </a:ln>
            <a:effectLst/>
          </c:spPr>
          <c:marker>
            <c:symbol val="none"/>
          </c:marker>
          <c:cat>
            <c:strRef>
              <c:f>'wykres 15'!$B$27:$U$27</c:f>
              <c:strCache>
                <c:ptCount val="20"/>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strCache>
            </c:strRef>
          </c:cat>
          <c:val>
            <c:numRef>
              <c:f>'wykres 15'!$B$29:$U$29</c:f>
              <c:numCache>
                <c:formatCode>General</c:formatCode>
                <c:ptCount val="20"/>
                <c:pt idx="0">
                  <c:v>1850</c:v>
                </c:pt>
                <c:pt idx="1">
                  <c:v>1850</c:v>
                </c:pt>
                <c:pt idx="2">
                  <c:v>1850</c:v>
                </c:pt>
                <c:pt idx="3">
                  <c:v>1850</c:v>
                </c:pt>
                <c:pt idx="4">
                  <c:v>1850</c:v>
                </c:pt>
                <c:pt idx="5">
                  <c:v>1850</c:v>
                </c:pt>
                <c:pt idx="6">
                  <c:v>1850</c:v>
                </c:pt>
                <c:pt idx="7">
                  <c:v>1850</c:v>
                </c:pt>
                <c:pt idx="8">
                  <c:v>1850</c:v>
                </c:pt>
                <c:pt idx="9">
                  <c:v>1850</c:v>
                </c:pt>
              </c:numCache>
            </c:numRef>
          </c:val>
          <c:smooth val="0"/>
          <c:extLst xmlns:c16r2="http://schemas.microsoft.com/office/drawing/2015/06/chart">
            <c:ext xmlns:c16="http://schemas.microsoft.com/office/drawing/2014/chart" uri="{C3380CC4-5D6E-409C-BE32-E72D297353CC}">
              <c16:uniqueId val="{00000002-76EC-4F21-AA17-62FE73270080}"/>
            </c:ext>
          </c:extLst>
        </c:ser>
        <c:ser>
          <c:idx val="2"/>
          <c:order val="2"/>
          <c:tx>
            <c:strRef>
              <c:f>'wykres 15'!$A$30</c:f>
              <c:strCache>
                <c:ptCount val="1"/>
                <c:pt idx="0">
                  <c:v>zmiana od 2021 roku (przy założeniu średniej dynamiki)</c:v>
                </c:pt>
              </c:strCache>
            </c:strRef>
          </c:tx>
          <c:spPr>
            <a:ln w="28575" cap="rnd">
              <a:solidFill>
                <a:schemeClr val="accent4">
                  <a:lumMod val="60000"/>
                  <a:lumOff val="40000"/>
                </a:schemeClr>
              </a:solidFill>
              <a:round/>
            </a:ln>
            <a:effectLst/>
          </c:spPr>
          <c:marker>
            <c:symbol val="none"/>
          </c:marker>
          <c:cat>
            <c:strRef>
              <c:f>'wykres 15'!$B$27:$U$27</c:f>
              <c:strCache>
                <c:ptCount val="20"/>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strCache>
            </c:strRef>
          </c:cat>
          <c:val>
            <c:numRef>
              <c:f>'wykres 15'!$B$30:$U$30</c:f>
              <c:numCache>
                <c:formatCode>General</c:formatCode>
                <c:ptCount val="20"/>
                <c:pt idx="10">
                  <c:v>798.42423732865564</c:v>
                </c:pt>
                <c:pt idx="11">
                  <c:v>943.71763546091108</c:v>
                </c:pt>
                <c:pt idx="12">
                  <c:v>1115.4508265676982</c:v>
                </c:pt>
                <c:pt idx="13">
                  <c:v>1318.4351968614847</c:v>
                </c:pt>
                <c:pt idx="14">
                  <c:v>1558.3576854498697</c:v>
                </c:pt>
                <c:pt idx="15">
                  <c:v>1841.9401132354719</c:v>
                </c:pt>
                <c:pt idx="16">
                  <c:v>2177.1275057218199</c:v>
                </c:pt>
                <c:pt idx="17">
                  <c:v>2573.3106858966435</c:v>
                </c:pt>
                <c:pt idx="18">
                  <c:v>3041.589373496236</c:v>
                </c:pt>
                <c:pt idx="19">
                  <c:v>3595.0831618070702</c:v>
                </c:pt>
              </c:numCache>
            </c:numRef>
          </c:val>
          <c:smooth val="0"/>
          <c:extLst xmlns:c16r2="http://schemas.microsoft.com/office/drawing/2015/06/chart">
            <c:ext xmlns:c16="http://schemas.microsoft.com/office/drawing/2014/chart" uri="{C3380CC4-5D6E-409C-BE32-E72D297353CC}">
              <c16:uniqueId val="{00000003-76EC-4F21-AA17-62FE73270080}"/>
            </c:ext>
          </c:extLst>
        </c:ser>
        <c:dLbls>
          <c:showLegendKey val="0"/>
          <c:showVal val="0"/>
          <c:showCatName val="0"/>
          <c:showSerName val="0"/>
          <c:showPercent val="0"/>
          <c:showBubbleSize val="0"/>
        </c:dLbls>
        <c:marker val="1"/>
        <c:smooth val="0"/>
        <c:axId val="554521096"/>
        <c:axId val="554521488"/>
      </c:lineChart>
      <c:catAx>
        <c:axId val="554521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800" b="0" i="0" u="none" strike="noStrike" kern="1200" baseline="0">
                <a:solidFill>
                  <a:srgbClr val="002060"/>
                </a:solidFill>
                <a:latin typeface="+mn-lt"/>
                <a:ea typeface="+mn-ea"/>
                <a:cs typeface="+mn-cs"/>
              </a:defRPr>
            </a:pPr>
            <a:endParaRPr lang="pl-PL"/>
          </a:p>
        </c:txPr>
        <c:crossAx val="554521488"/>
        <c:crosses val="autoZero"/>
        <c:auto val="1"/>
        <c:lblAlgn val="ctr"/>
        <c:lblOffset val="100"/>
        <c:noMultiLvlLbl val="0"/>
      </c:catAx>
      <c:valAx>
        <c:axId val="5545214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pl-PL"/>
          </a:p>
        </c:txPr>
        <c:crossAx val="554521096"/>
        <c:crosses val="autoZero"/>
        <c:crossBetween val="between"/>
        <c:majorUnit val="500"/>
      </c:valAx>
      <c:spPr>
        <a:noFill/>
        <a:ln>
          <a:noFill/>
        </a:ln>
        <a:effectLst/>
      </c:spPr>
    </c:plotArea>
    <c:legend>
      <c:legendPos val="b"/>
      <c:layout>
        <c:manualLayout>
          <c:xMode val="edge"/>
          <c:yMode val="edge"/>
          <c:x val="8.6705458604689999E-3"/>
          <c:y val="0.75219193563977305"/>
          <c:w val="0.97184324301297387"/>
          <c:h val="0.22459458856594772"/>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tx>
            <c:strRef>
              <c:f>'wykres dod. 2'!$B$11</c:f>
              <c:strCache>
                <c:ptCount val="1"/>
                <c:pt idx="0">
                  <c:v>Podkarpackie</c:v>
                </c:pt>
              </c:strCache>
            </c:strRef>
          </c:tx>
          <c:spPr>
            <a:solidFill>
              <a:schemeClr val="accent1">
                <a:lumMod val="60000"/>
                <a:lumOff val="40000"/>
              </a:schemeClr>
            </a:solidFill>
            <a:ln>
              <a:solidFill>
                <a:schemeClr val="accent1">
                  <a:lumMod val="60000"/>
                  <a:lumOff val="40000"/>
                </a:schemeClr>
              </a:solidFill>
            </a:ln>
            <a:effectLst/>
          </c:spPr>
          <c:invertIfNegative val="0"/>
          <c:cat>
            <c:strRef>
              <c:f>'wykres dod. 2'!$C$8:$V$8</c:f>
              <c:strCach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strCache>
            </c:strRef>
          </c:cat>
          <c:val>
            <c:numRef>
              <c:f>'wykres dod. 2'!$C$11:$V$11</c:f>
              <c:numCache>
                <c:formatCode>#,##0</c:formatCode>
                <c:ptCount val="20"/>
                <c:pt idx="0">
                  <c:v>116</c:v>
                </c:pt>
                <c:pt idx="1">
                  <c:v>103</c:v>
                </c:pt>
                <c:pt idx="2">
                  <c:v>111</c:v>
                </c:pt>
                <c:pt idx="3">
                  <c:v>118</c:v>
                </c:pt>
                <c:pt idx="4">
                  <c:v>139</c:v>
                </c:pt>
                <c:pt idx="5">
                  <c:v>89</c:v>
                </c:pt>
                <c:pt idx="6">
                  <c:v>112</c:v>
                </c:pt>
                <c:pt idx="7">
                  <c:v>110</c:v>
                </c:pt>
                <c:pt idx="8">
                  <c:v>61</c:v>
                </c:pt>
                <c:pt idx="9">
                  <c:v>102</c:v>
                </c:pt>
                <c:pt idx="10">
                  <c:v>118</c:v>
                </c:pt>
                <c:pt idx="11">
                  <c:v>78</c:v>
                </c:pt>
                <c:pt idx="12">
                  <c:v>75</c:v>
                </c:pt>
                <c:pt idx="13">
                  <c:v>67</c:v>
                </c:pt>
                <c:pt idx="14">
                  <c:v>165</c:v>
                </c:pt>
                <c:pt idx="15">
                  <c:v>68</c:v>
                </c:pt>
                <c:pt idx="16">
                  <c:v>78</c:v>
                </c:pt>
                <c:pt idx="17">
                  <c:v>83</c:v>
                </c:pt>
                <c:pt idx="18">
                  <c:v>85</c:v>
                </c:pt>
                <c:pt idx="19">
                  <c:v>71</c:v>
                </c:pt>
              </c:numCache>
            </c:numRef>
          </c:val>
          <c:extLst xmlns:c16r2="http://schemas.microsoft.com/office/drawing/2015/06/chart">
            <c:ext xmlns:c16="http://schemas.microsoft.com/office/drawing/2014/chart" uri="{C3380CC4-5D6E-409C-BE32-E72D297353CC}">
              <c16:uniqueId val="{00000000-DB8D-4853-924E-C75311F4A910}"/>
            </c:ext>
          </c:extLst>
        </c:ser>
        <c:dLbls>
          <c:showLegendKey val="0"/>
          <c:showVal val="0"/>
          <c:showCatName val="0"/>
          <c:showSerName val="0"/>
          <c:showPercent val="0"/>
          <c:showBubbleSize val="0"/>
        </c:dLbls>
        <c:gapWidth val="219"/>
        <c:axId val="455241064"/>
        <c:axId val="455238320"/>
      </c:barChart>
      <c:lineChart>
        <c:grouping val="standard"/>
        <c:varyColors val="0"/>
        <c:ser>
          <c:idx val="0"/>
          <c:order val="0"/>
          <c:tx>
            <c:strRef>
              <c:f>'wykres dod. 2'!$B$9</c:f>
              <c:strCache>
                <c:ptCount val="1"/>
                <c:pt idx="0">
                  <c:v>Polska (rok poprzedni = 100)</c:v>
                </c:pt>
              </c:strCache>
            </c:strRef>
          </c:tx>
          <c:spPr>
            <a:ln w="28575" cap="rnd">
              <a:solidFill>
                <a:schemeClr val="accent4">
                  <a:lumMod val="60000"/>
                  <a:lumOff val="40000"/>
                </a:schemeClr>
              </a:solidFill>
              <a:round/>
            </a:ln>
            <a:effectLst/>
          </c:spPr>
          <c:marker>
            <c:symbol val="none"/>
          </c:marker>
          <c:cat>
            <c:strRef>
              <c:f>'wykres dod. 2'!$C$8:$V$8</c:f>
              <c:strCach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strCache>
            </c:strRef>
          </c:cat>
          <c:val>
            <c:numRef>
              <c:f>'wykres dod. 2'!$C$9:$V$9</c:f>
              <c:numCache>
                <c:formatCode>0.0</c:formatCode>
                <c:ptCount val="20"/>
                <c:pt idx="1">
                  <c:v>98.485382176822824</c:v>
                </c:pt>
                <c:pt idx="2">
                  <c:v>104.34549356223177</c:v>
                </c:pt>
                <c:pt idx="3">
                  <c:v>100.5484147386461</c:v>
                </c:pt>
                <c:pt idx="4">
                  <c:v>99.625021305607632</c:v>
                </c:pt>
                <c:pt idx="5">
                  <c:v>75.722840034217285</c:v>
                </c:pt>
                <c:pt idx="6">
                  <c:v>126.3669227293267</c:v>
                </c:pt>
                <c:pt idx="7">
                  <c:v>103.43286250670481</c:v>
                </c:pt>
                <c:pt idx="8">
                  <c:v>72.670700086430429</c:v>
                </c:pt>
                <c:pt idx="9">
                  <c:v>110.56137012369172</c:v>
                </c:pt>
                <c:pt idx="10">
                  <c:v>91.329604130808946</c:v>
                </c:pt>
                <c:pt idx="11">
                  <c:v>100.42402826855124</c:v>
                </c:pt>
                <c:pt idx="12">
                  <c:v>96.270232230823368</c:v>
                </c:pt>
                <c:pt idx="13">
                  <c:v>96.807992202729039</c:v>
                </c:pt>
                <c:pt idx="14">
                  <c:v>108.40674553234332</c:v>
                </c:pt>
                <c:pt idx="15">
                  <c:v>105.82772231251451</c:v>
                </c:pt>
                <c:pt idx="16">
                  <c:v>113.6024572180781</c:v>
                </c:pt>
                <c:pt idx="17">
                  <c:v>108.82580146774816</c:v>
                </c:pt>
                <c:pt idx="18">
                  <c:v>98.598047914818096</c:v>
                </c:pt>
                <c:pt idx="19">
                  <c:v>95.428365730741547</c:v>
                </c:pt>
              </c:numCache>
            </c:numRef>
          </c:val>
          <c:smooth val="0"/>
          <c:extLst xmlns:c16r2="http://schemas.microsoft.com/office/drawing/2015/06/chart">
            <c:ext xmlns:c16="http://schemas.microsoft.com/office/drawing/2014/chart" uri="{C3380CC4-5D6E-409C-BE32-E72D297353CC}">
              <c16:uniqueId val="{00000001-DB8D-4853-924E-C75311F4A910}"/>
            </c:ext>
          </c:extLst>
        </c:ser>
        <c:ser>
          <c:idx val="1"/>
          <c:order val="1"/>
          <c:tx>
            <c:strRef>
              <c:f>'wykres dod. 2'!$B$10</c:f>
              <c:strCache>
                <c:ptCount val="1"/>
                <c:pt idx="0">
                  <c:v>Podkarpackie (rok poprzedni = 100)</c:v>
                </c:pt>
              </c:strCache>
            </c:strRef>
          </c:tx>
          <c:spPr>
            <a:ln w="28575" cap="rnd">
              <a:solidFill>
                <a:schemeClr val="accent1">
                  <a:lumMod val="75000"/>
                </a:schemeClr>
              </a:solidFill>
              <a:round/>
            </a:ln>
            <a:effectLst/>
          </c:spPr>
          <c:marker>
            <c:symbol val="none"/>
          </c:marker>
          <c:cat>
            <c:strRef>
              <c:f>'wykres dod. 2'!$C$8:$V$8</c:f>
              <c:strCach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strCache>
            </c:strRef>
          </c:cat>
          <c:val>
            <c:numRef>
              <c:f>'wykres dod. 2'!$C$10:$V$10</c:f>
              <c:numCache>
                <c:formatCode>0.0</c:formatCode>
                <c:ptCount val="20"/>
                <c:pt idx="1">
                  <c:v>88.793103448275858</c:v>
                </c:pt>
                <c:pt idx="2">
                  <c:v>107.76699029126213</c:v>
                </c:pt>
                <c:pt idx="3">
                  <c:v>106.30630630630631</c:v>
                </c:pt>
                <c:pt idx="4">
                  <c:v>117.79661016949153</c:v>
                </c:pt>
                <c:pt idx="5">
                  <c:v>64.02877697841727</c:v>
                </c:pt>
                <c:pt idx="6">
                  <c:v>125.84269662921348</c:v>
                </c:pt>
                <c:pt idx="7">
                  <c:v>98.214285714285708</c:v>
                </c:pt>
                <c:pt idx="8">
                  <c:v>55.454545454545453</c:v>
                </c:pt>
                <c:pt idx="9">
                  <c:v>167.21311475409837</c:v>
                </c:pt>
                <c:pt idx="10">
                  <c:v>115.68627450980392</c:v>
                </c:pt>
                <c:pt idx="11">
                  <c:v>66.101694915254242</c:v>
                </c:pt>
                <c:pt idx="12">
                  <c:v>96.15384615384616</c:v>
                </c:pt>
                <c:pt idx="13">
                  <c:v>89.333333333333329</c:v>
                </c:pt>
                <c:pt idx="14">
                  <c:v>246.26865671641792</c:v>
                </c:pt>
                <c:pt idx="15">
                  <c:v>41.212121212121211</c:v>
                </c:pt>
                <c:pt idx="16">
                  <c:v>114.70588235294117</c:v>
                </c:pt>
                <c:pt idx="17">
                  <c:v>106.41025641025641</c:v>
                </c:pt>
                <c:pt idx="18">
                  <c:v>102.40963855421687</c:v>
                </c:pt>
                <c:pt idx="19">
                  <c:v>83.529411764705884</c:v>
                </c:pt>
              </c:numCache>
            </c:numRef>
          </c:val>
          <c:smooth val="0"/>
          <c:extLst xmlns:c16r2="http://schemas.microsoft.com/office/drawing/2015/06/chart">
            <c:ext xmlns:c16="http://schemas.microsoft.com/office/drawing/2014/chart" uri="{C3380CC4-5D6E-409C-BE32-E72D297353CC}">
              <c16:uniqueId val="{00000002-DB8D-4853-924E-C75311F4A910}"/>
            </c:ext>
          </c:extLst>
        </c:ser>
        <c:dLbls>
          <c:showLegendKey val="0"/>
          <c:showVal val="0"/>
          <c:showCatName val="0"/>
          <c:showSerName val="0"/>
          <c:showPercent val="0"/>
          <c:showBubbleSize val="0"/>
        </c:dLbls>
        <c:marker val="1"/>
        <c:smooth val="0"/>
        <c:axId val="455237144"/>
        <c:axId val="455237536"/>
      </c:lineChart>
      <c:catAx>
        <c:axId val="455237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crossAx val="455237536"/>
        <c:crosses val="autoZero"/>
        <c:auto val="1"/>
        <c:lblAlgn val="ctr"/>
        <c:lblOffset val="100"/>
        <c:noMultiLvlLbl val="0"/>
      </c:catAx>
      <c:valAx>
        <c:axId val="4552375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pl-PL"/>
          </a:p>
        </c:txPr>
        <c:crossAx val="455237144"/>
        <c:crosses val="autoZero"/>
        <c:crossBetween val="between"/>
      </c:valAx>
      <c:valAx>
        <c:axId val="455238320"/>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pl-PL"/>
          </a:p>
        </c:txPr>
        <c:crossAx val="455241064"/>
        <c:crosses val="max"/>
        <c:crossBetween val="between"/>
      </c:valAx>
      <c:catAx>
        <c:axId val="455241064"/>
        <c:scaling>
          <c:orientation val="minMax"/>
        </c:scaling>
        <c:delete val="1"/>
        <c:axPos val="b"/>
        <c:numFmt formatCode="General" sourceLinked="1"/>
        <c:majorTickMark val="out"/>
        <c:minorTickMark val="none"/>
        <c:tickLblPos val="nextTo"/>
        <c:crossAx val="4552383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630738673139846E-2"/>
          <c:y val="4.9920937670296685E-2"/>
          <c:w val="0.90621687274431129"/>
          <c:h val="0.534392256800855"/>
        </c:manualLayout>
      </c:layout>
      <c:barChart>
        <c:barDir val="col"/>
        <c:grouping val="clustered"/>
        <c:varyColors val="0"/>
        <c:ser>
          <c:idx val="0"/>
          <c:order val="0"/>
          <c:tx>
            <c:strRef>
              <c:f>'wykres 1'!$B$34</c:f>
              <c:strCache>
                <c:ptCount val="1"/>
                <c:pt idx="0">
                  <c:v>drogi ekspresowe i autostrady na 100 km2</c:v>
                </c:pt>
              </c:strCache>
            </c:strRef>
          </c:tx>
          <c:spPr>
            <a:solidFill>
              <a:schemeClr val="accent4">
                <a:lumMod val="40000"/>
                <a:lumOff val="60000"/>
              </a:schemeClr>
            </a:solidFill>
            <a:ln>
              <a:solidFill>
                <a:schemeClr val="accent5">
                  <a:lumMod val="75000"/>
                </a:schemeClr>
              </a:solidFill>
            </a:ln>
            <a:effectLst/>
          </c:spPr>
          <c:invertIfNegative val="0"/>
          <c:trendline>
            <c:spPr>
              <a:ln w="19050" cap="rnd">
                <a:solidFill>
                  <a:schemeClr val="accent1"/>
                </a:solidFill>
                <a:prstDash val="sysDot"/>
              </a:ln>
              <a:effectLst/>
            </c:spPr>
            <c:trendlineType val="linear"/>
            <c:dispRSqr val="0"/>
            <c:dispEq val="0"/>
          </c:trendline>
          <c:cat>
            <c:strRef>
              <c:f>'wykres 1'!$C$33:$AB$33</c:f>
              <c:strCach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strCache>
            </c:strRef>
          </c:cat>
          <c:val>
            <c:numRef>
              <c:f>'wykres 1'!$C$34:$AB$34</c:f>
              <c:numCache>
                <c:formatCode>#,##0.00</c:formatCode>
                <c:ptCount val="26"/>
                <c:pt idx="0">
                  <c:v>0</c:v>
                </c:pt>
                <c:pt idx="1">
                  <c:v>0</c:v>
                </c:pt>
                <c:pt idx="2">
                  <c:v>0</c:v>
                </c:pt>
                <c:pt idx="3">
                  <c:v>0</c:v>
                </c:pt>
                <c:pt idx="4">
                  <c:v>0</c:v>
                </c:pt>
                <c:pt idx="5">
                  <c:v>0</c:v>
                </c:pt>
                <c:pt idx="6">
                  <c:v>0</c:v>
                </c:pt>
                <c:pt idx="7">
                  <c:v>7.0000000000000007E-2</c:v>
                </c:pt>
                <c:pt idx="8">
                  <c:v>0.56999999999999995</c:v>
                </c:pt>
                <c:pt idx="9">
                  <c:v>0.69</c:v>
                </c:pt>
                <c:pt idx="10">
                  <c:v>0.69</c:v>
                </c:pt>
                <c:pt idx="11">
                  <c:v>0.92</c:v>
                </c:pt>
                <c:pt idx="12">
                  <c:v>1.02</c:v>
                </c:pt>
                <c:pt idx="13">
                  <c:v>1.02</c:v>
                </c:pt>
                <c:pt idx="14">
                  <c:v>1.02</c:v>
                </c:pt>
                <c:pt idx="15">
                  <c:v>1.02</c:v>
                </c:pt>
              </c:numCache>
            </c:numRef>
          </c:val>
          <c:extLst xmlns:c16r2="http://schemas.microsoft.com/office/drawing/2015/06/chart">
            <c:ext xmlns:c16="http://schemas.microsoft.com/office/drawing/2014/chart" uri="{C3380CC4-5D6E-409C-BE32-E72D297353CC}">
              <c16:uniqueId val="{00000001-7A80-43FA-9B3A-46534EFD9EC4}"/>
            </c:ext>
          </c:extLst>
        </c:ser>
        <c:dLbls>
          <c:showLegendKey val="0"/>
          <c:showVal val="0"/>
          <c:showCatName val="0"/>
          <c:showSerName val="0"/>
          <c:showPercent val="0"/>
          <c:showBubbleSize val="0"/>
        </c:dLbls>
        <c:gapWidth val="219"/>
        <c:axId val="455240672"/>
        <c:axId val="455233616"/>
      </c:barChart>
      <c:lineChart>
        <c:grouping val="standard"/>
        <c:varyColors val="0"/>
        <c:ser>
          <c:idx val="1"/>
          <c:order val="1"/>
          <c:tx>
            <c:strRef>
              <c:f>'wykres 1'!$B$35</c:f>
              <c:strCache>
                <c:ptCount val="1"/>
                <c:pt idx="0">
                  <c:v>wartość docelowa 2030</c:v>
                </c:pt>
              </c:strCache>
            </c:strRef>
          </c:tx>
          <c:spPr>
            <a:ln w="28575" cap="rnd">
              <a:solidFill>
                <a:schemeClr val="accent5">
                  <a:lumMod val="75000"/>
                </a:schemeClr>
              </a:solidFill>
              <a:round/>
            </a:ln>
            <a:effectLst/>
          </c:spPr>
          <c:marker>
            <c:symbol val="none"/>
          </c:marker>
          <c:cat>
            <c:strRef>
              <c:f>'wykres 1'!$C$33:$AB$33</c:f>
              <c:strCach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strCache>
            </c:strRef>
          </c:cat>
          <c:val>
            <c:numRef>
              <c:f>'wykres 1'!$C$35:$AB$35</c:f>
              <c:numCache>
                <c:formatCode>0.0</c:formatCode>
                <c:ptCount val="26"/>
                <c:pt idx="0">
                  <c:v>1.1000000000000001</c:v>
                </c:pt>
                <c:pt idx="1">
                  <c:v>1.1000000000000001</c:v>
                </c:pt>
                <c:pt idx="2">
                  <c:v>1.1000000000000001</c:v>
                </c:pt>
                <c:pt idx="3">
                  <c:v>1.1000000000000001</c:v>
                </c:pt>
                <c:pt idx="4">
                  <c:v>1.1000000000000001</c:v>
                </c:pt>
                <c:pt idx="5">
                  <c:v>1.1000000000000001</c:v>
                </c:pt>
                <c:pt idx="6">
                  <c:v>1.1000000000000001</c:v>
                </c:pt>
                <c:pt idx="7">
                  <c:v>1.1000000000000001</c:v>
                </c:pt>
                <c:pt idx="8">
                  <c:v>1.1000000000000001</c:v>
                </c:pt>
                <c:pt idx="9">
                  <c:v>1.1000000000000001</c:v>
                </c:pt>
                <c:pt idx="10">
                  <c:v>1.1000000000000001</c:v>
                </c:pt>
                <c:pt idx="11">
                  <c:v>1.1000000000000001</c:v>
                </c:pt>
                <c:pt idx="12">
                  <c:v>1.1000000000000001</c:v>
                </c:pt>
                <c:pt idx="13">
                  <c:v>1.1000000000000001</c:v>
                </c:pt>
                <c:pt idx="14">
                  <c:v>1.1000000000000001</c:v>
                </c:pt>
                <c:pt idx="15">
                  <c:v>1.1000000000000001</c:v>
                </c:pt>
              </c:numCache>
            </c:numRef>
          </c:val>
          <c:smooth val="0"/>
          <c:extLst xmlns:c16r2="http://schemas.microsoft.com/office/drawing/2015/06/chart">
            <c:ext xmlns:c16="http://schemas.microsoft.com/office/drawing/2014/chart" uri="{C3380CC4-5D6E-409C-BE32-E72D297353CC}">
              <c16:uniqueId val="{00000002-7A80-43FA-9B3A-46534EFD9EC4}"/>
            </c:ext>
          </c:extLst>
        </c:ser>
        <c:ser>
          <c:idx val="2"/>
          <c:order val="2"/>
          <c:tx>
            <c:strRef>
              <c:f>'wykres 1'!$B$36</c:f>
              <c:strCache>
                <c:ptCount val="1"/>
                <c:pt idx="0">
                  <c:v>zmiana od 2021 roku (przy założeniu średniej dynamiki)</c:v>
                </c:pt>
              </c:strCache>
            </c:strRef>
          </c:tx>
          <c:spPr>
            <a:ln w="28575" cap="rnd">
              <a:solidFill>
                <a:schemeClr val="accent4">
                  <a:lumMod val="60000"/>
                  <a:lumOff val="40000"/>
                </a:schemeClr>
              </a:solidFill>
              <a:round/>
            </a:ln>
            <a:effectLst/>
          </c:spPr>
          <c:marker>
            <c:symbol val="none"/>
          </c:marker>
          <c:cat>
            <c:strRef>
              <c:f>'wykres 1'!$C$33:$AB$33</c:f>
              <c:strCach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strCache>
            </c:strRef>
          </c:cat>
          <c:val>
            <c:numRef>
              <c:f>'wykres 1'!$C$36:$AB$36</c:f>
              <c:numCache>
                <c:formatCode>General</c:formatCode>
                <c:ptCount val="26"/>
                <c:pt idx="16" formatCode="0.00">
                  <c:v>1.0740880462024627</c:v>
                </c:pt>
                <c:pt idx="17" formatCode="0.00">
                  <c:v>1.1310442460735524</c:v>
                </c:pt>
                <c:pt idx="18" formatCode="0.00">
                  <c:v>1.1910206906212542</c:v>
                </c:pt>
                <c:pt idx="19" formatCode="0.00">
                  <c:v>1.2541775358589122</c:v>
                </c:pt>
                <c:pt idx="20" formatCode="0.00">
                  <c:v>1.3206834304722725</c:v>
                </c:pt>
                <c:pt idx="21" formatCode="0.00">
                  <c:v>1.3907159661646364</c:v>
                </c:pt>
                <c:pt idx="22" formatCode="0.00">
                  <c:v>1.4644621518826906</c:v>
                </c:pt>
                <c:pt idx="23" formatCode="0.00">
                  <c:v>1.5421189131893462</c:v>
                </c:pt>
                <c:pt idx="24" formatCode="0.00">
                  <c:v>1.6238936181170687</c:v>
                </c:pt>
                <c:pt idx="25" formatCode="0.00">
                  <c:v>1.7100046309058923</c:v>
                </c:pt>
              </c:numCache>
            </c:numRef>
          </c:val>
          <c:smooth val="0"/>
          <c:extLst xmlns:c16r2="http://schemas.microsoft.com/office/drawing/2015/06/chart">
            <c:ext xmlns:c16="http://schemas.microsoft.com/office/drawing/2014/chart" uri="{C3380CC4-5D6E-409C-BE32-E72D297353CC}">
              <c16:uniqueId val="{00000003-7A80-43FA-9B3A-46534EFD9EC4}"/>
            </c:ext>
          </c:extLst>
        </c:ser>
        <c:dLbls>
          <c:showLegendKey val="0"/>
          <c:showVal val="0"/>
          <c:showCatName val="0"/>
          <c:showSerName val="0"/>
          <c:showPercent val="0"/>
          <c:showBubbleSize val="0"/>
        </c:dLbls>
        <c:marker val="1"/>
        <c:smooth val="0"/>
        <c:axId val="455240672"/>
        <c:axId val="455233616"/>
      </c:lineChart>
      <c:catAx>
        <c:axId val="455240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180000" spcFirstLastPara="1" vertOverflow="ellipsis" wrap="square" anchor="ctr" anchorCtr="1"/>
          <a:lstStyle/>
          <a:p>
            <a:pPr>
              <a:defRPr sz="800" b="0" i="0" u="none" strike="noStrike" kern="1200" baseline="0">
                <a:solidFill>
                  <a:srgbClr val="002060"/>
                </a:solidFill>
                <a:latin typeface="+mn-lt"/>
                <a:ea typeface="+mn-ea"/>
                <a:cs typeface="+mn-cs"/>
              </a:defRPr>
            </a:pPr>
            <a:endParaRPr lang="pl-PL"/>
          </a:p>
        </c:txPr>
        <c:crossAx val="455233616"/>
        <c:crosses val="autoZero"/>
        <c:auto val="1"/>
        <c:lblAlgn val="ctr"/>
        <c:lblOffset val="100"/>
        <c:noMultiLvlLbl val="0"/>
      </c:catAx>
      <c:valAx>
        <c:axId val="4552336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pl-PL"/>
          </a:p>
        </c:txPr>
        <c:crossAx val="455240672"/>
        <c:crosses val="autoZero"/>
        <c:crossBetween val="between"/>
      </c:valAx>
      <c:spPr>
        <a:noFill/>
        <a:ln>
          <a:noFill/>
        </a:ln>
        <a:effectLst/>
      </c:spPr>
    </c:plotArea>
    <c:legend>
      <c:legendPos val="b"/>
      <c:layout>
        <c:manualLayout>
          <c:xMode val="edge"/>
          <c:yMode val="edge"/>
          <c:x val="8.1418641543862438E-3"/>
          <c:y val="0.7487593914434012"/>
          <c:w val="0.94757113926022785"/>
          <c:h val="0.21338109829636312"/>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005055574125869E-2"/>
          <c:y val="4.9920937670296685E-2"/>
          <c:w val="0.88884250590466141"/>
          <c:h val="0.53893136317750168"/>
        </c:manualLayout>
      </c:layout>
      <c:barChart>
        <c:barDir val="col"/>
        <c:grouping val="clustered"/>
        <c:varyColors val="0"/>
        <c:ser>
          <c:idx val="0"/>
          <c:order val="0"/>
          <c:tx>
            <c:strRef>
              <c:f>'wykres 2'!$B$39:$C$39</c:f>
              <c:strCache>
                <c:ptCount val="2"/>
                <c:pt idx="0">
                  <c:v>krajowe mosty i wiadukty ogółem</c:v>
                </c:pt>
              </c:strCache>
            </c:strRef>
          </c:tx>
          <c:spPr>
            <a:solidFill>
              <a:schemeClr val="accent4">
                <a:lumMod val="40000"/>
                <a:lumOff val="60000"/>
              </a:schemeClr>
            </a:solidFill>
            <a:ln>
              <a:solidFill>
                <a:schemeClr val="accent5">
                  <a:lumMod val="75000"/>
                </a:schemeClr>
              </a:solidFill>
            </a:ln>
            <a:effectLst/>
          </c:spPr>
          <c:invertIfNegative val="0"/>
          <c:trendline>
            <c:spPr>
              <a:ln w="19050" cap="rnd">
                <a:solidFill>
                  <a:schemeClr val="accent1"/>
                </a:solidFill>
                <a:prstDash val="sysDot"/>
              </a:ln>
              <a:effectLst/>
            </c:spPr>
            <c:trendlineType val="linear"/>
            <c:dispRSqr val="0"/>
            <c:dispEq val="0"/>
          </c:trendline>
          <c:cat>
            <c:strRef>
              <c:f>'wykres 2'!$D$38:$AG$38</c:f>
              <c:strCache>
                <c:ptCount val="3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strCache>
            </c:strRef>
          </c:cat>
          <c:val>
            <c:numRef>
              <c:f>'wykres 2'!$D$39:$AG$39</c:f>
              <c:numCache>
                <c:formatCode>#,##0</c:formatCode>
                <c:ptCount val="30"/>
                <c:pt idx="0">
                  <c:v>155</c:v>
                </c:pt>
                <c:pt idx="1">
                  <c:v>155</c:v>
                </c:pt>
                <c:pt idx="2">
                  <c:v>154</c:v>
                </c:pt>
                <c:pt idx="3">
                  <c:v>155</c:v>
                </c:pt>
                <c:pt idx="4">
                  <c:v>157</c:v>
                </c:pt>
                <c:pt idx="5">
                  <c:v>158</c:v>
                </c:pt>
                <c:pt idx="6">
                  <c:v>162</c:v>
                </c:pt>
                <c:pt idx="7">
                  <c:v>161</c:v>
                </c:pt>
                <c:pt idx="8">
                  <c:v>161</c:v>
                </c:pt>
                <c:pt idx="9">
                  <c:v>163</c:v>
                </c:pt>
                <c:pt idx="10">
                  <c:v>169</c:v>
                </c:pt>
                <c:pt idx="11">
                  <c:v>212</c:v>
                </c:pt>
                <c:pt idx="12">
                  <c:v>345</c:v>
                </c:pt>
                <c:pt idx="13">
                  <c:v>411</c:v>
                </c:pt>
                <c:pt idx="14">
                  <c:v>418</c:v>
                </c:pt>
                <c:pt idx="15">
                  <c:v>481</c:v>
                </c:pt>
                <c:pt idx="16">
                  <c:v>505</c:v>
                </c:pt>
                <c:pt idx="17">
                  <c:v>505</c:v>
                </c:pt>
                <c:pt idx="18">
                  <c:v>514</c:v>
                </c:pt>
                <c:pt idx="19">
                  <c:v>523</c:v>
                </c:pt>
              </c:numCache>
            </c:numRef>
          </c:val>
          <c:extLst xmlns:c16r2="http://schemas.microsoft.com/office/drawing/2015/06/chart">
            <c:ext xmlns:c16="http://schemas.microsoft.com/office/drawing/2014/chart" uri="{C3380CC4-5D6E-409C-BE32-E72D297353CC}">
              <c16:uniqueId val="{00000001-4117-40BB-99CE-12BF09F85738}"/>
            </c:ext>
          </c:extLst>
        </c:ser>
        <c:dLbls>
          <c:showLegendKey val="0"/>
          <c:showVal val="0"/>
          <c:showCatName val="0"/>
          <c:showSerName val="0"/>
          <c:showPercent val="0"/>
          <c:showBubbleSize val="0"/>
        </c:dLbls>
        <c:gapWidth val="219"/>
        <c:axId val="455234008"/>
        <c:axId val="455239496"/>
      </c:barChart>
      <c:lineChart>
        <c:grouping val="standard"/>
        <c:varyColors val="0"/>
        <c:ser>
          <c:idx val="1"/>
          <c:order val="1"/>
          <c:tx>
            <c:strRef>
              <c:f>'wykres 2'!$B$40:$C$40</c:f>
              <c:strCache>
                <c:ptCount val="2"/>
                <c:pt idx="0">
                  <c:v>wartość docelowa 2030</c:v>
                </c:pt>
              </c:strCache>
            </c:strRef>
          </c:tx>
          <c:spPr>
            <a:ln w="28575" cap="rnd">
              <a:solidFill>
                <a:schemeClr val="accent5">
                  <a:lumMod val="75000"/>
                </a:schemeClr>
              </a:solidFill>
              <a:round/>
            </a:ln>
            <a:effectLst/>
          </c:spPr>
          <c:marker>
            <c:symbol val="none"/>
          </c:marker>
          <c:cat>
            <c:strRef>
              <c:f>'wykres 2'!$D$38:$AG$38</c:f>
              <c:strCache>
                <c:ptCount val="3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strCache>
            </c:strRef>
          </c:cat>
          <c:val>
            <c:numRef>
              <c:f>'wykres 2'!$D$40:$AG$40</c:f>
              <c:numCache>
                <c:formatCode>General</c:formatCode>
                <c:ptCount val="30"/>
                <c:pt idx="0">
                  <c:v>519</c:v>
                </c:pt>
                <c:pt idx="1">
                  <c:v>519</c:v>
                </c:pt>
                <c:pt idx="2">
                  <c:v>519</c:v>
                </c:pt>
                <c:pt idx="3">
                  <c:v>519</c:v>
                </c:pt>
                <c:pt idx="4">
                  <c:v>519</c:v>
                </c:pt>
                <c:pt idx="5">
                  <c:v>519</c:v>
                </c:pt>
                <c:pt idx="6">
                  <c:v>519</c:v>
                </c:pt>
                <c:pt idx="7">
                  <c:v>519</c:v>
                </c:pt>
                <c:pt idx="8">
                  <c:v>519</c:v>
                </c:pt>
                <c:pt idx="9">
                  <c:v>519</c:v>
                </c:pt>
                <c:pt idx="10">
                  <c:v>519</c:v>
                </c:pt>
                <c:pt idx="11">
                  <c:v>519</c:v>
                </c:pt>
                <c:pt idx="12">
                  <c:v>519</c:v>
                </c:pt>
                <c:pt idx="13">
                  <c:v>519</c:v>
                </c:pt>
                <c:pt idx="14">
                  <c:v>519</c:v>
                </c:pt>
                <c:pt idx="15">
                  <c:v>519</c:v>
                </c:pt>
                <c:pt idx="16">
                  <c:v>519</c:v>
                </c:pt>
                <c:pt idx="17">
                  <c:v>519</c:v>
                </c:pt>
                <c:pt idx="18">
                  <c:v>519</c:v>
                </c:pt>
                <c:pt idx="19">
                  <c:v>519</c:v>
                </c:pt>
              </c:numCache>
            </c:numRef>
          </c:val>
          <c:smooth val="0"/>
          <c:extLst xmlns:c16r2="http://schemas.microsoft.com/office/drawing/2015/06/chart">
            <c:ext xmlns:c16="http://schemas.microsoft.com/office/drawing/2014/chart" uri="{C3380CC4-5D6E-409C-BE32-E72D297353CC}">
              <c16:uniqueId val="{00000002-4117-40BB-99CE-12BF09F85738}"/>
            </c:ext>
          </c:extLst>
        </c:ser>
        <c:ser>
          <c:idx val="2"/>
          <c:order val="2"/>
          <c:tx>
            <c:strRef>
              <c:f>'wykres 2'!$B$41:$C$41</c:f>
              <c:strCache>
                <c:ptCount val="2"/>
                <c:pt idx="0">
                  <c:v>zmiana od 2021 roku (przy założeniu średniej dynamiki)</c:v>
                </c:pt>
              </c:strCache>
            </c:strRef>
          </c:tx>
          <c:spPr>
            <a:ln w="28575" cap="rnd">
              <a:solidFill>
                <a:schemeClr val="accent4">
                  <a:lumMod val="60000"/>
                  <a:lumOff val="40000"/>
                </a:schemeClr>
              </a:solidFill>
              <a:round/>
            </a:ln>
            <a:effectLst/>
          </c:spPr>
          <c:marker>
            <c:symbol val="none"/>
          </c:marker>
          <c:cat>
            <c:strRef>
              <c:f>'wykres 2'!$D$38:$AG$38</c:f>
              <c:strCache>
                <c:ptCount val="3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strCache>
            </c:strRef>
          </c:cat>
          <c:val>
            <c:numRef>
              <c:f>'wykres 2'!$D$41:$AG$41</c:f>
              <c:numCache>
                <c:formatCode>General</c:formatCode>
                <c:ptCount val="30"/>
                <c:pt idx="20">
                  <c:v>561.915822768721</c:v>
                </c:pt>
                <c:pt idx="21">
                  <c:v>603.72732672628808</c:v>
                </c:pt>
                <c:pt idx="22">
                  <c:v>648.64997614792094</c:v>
                </c:pt>
                <c:pt idx="23">
                  <c:v>696.91526775539239</c:v>
                </c:pt>
                <c:pt idx="24">
                  <c:v>748.77192367276268</c:v>
                </c:pt>
                <c:pt idx="25">
                  <c:v>804.48717314856287</c:v>
                </c:pt>
                <c:pt idx="26">
                  <c:v>864.34812964944024</c:v>
                </c:pt>
                <c:pt idx="27">
                  <c:v>928.66327042174055</c:v>
                </c:pt>
                <c:pt idx="28">
                  <c:v>997.76402614555172</c:v>
                </c:pt>
                <c:pt idx="29">
                  <c:v>1072.0064888730581</c:v>
                </c:pt>
              </c:numCache>
            </c:numRef>
          </c:val>
          <c:smooth val="0"/>
          <c:extLst xmlns:c16r2="http://schemas.microsoft.com/office/drawing/2015/06/chart">
            <c:ext xmlns:c16="http://schemas.microsoft.com/office/drawing/2014/chart" uri="{C3380CC4-5D6E-409C-BE32-E72D297353CC}">
              <c16:uniqueId val="{00000003-4117-40BB-99CE-12BF09F85738}"/>
            </c:ext>
          </c:extLst>
        </c:ser>
        <c:dLbls>
          <c:showLegendKey val="0"/>
          <c:showVal val="0"/>
          <c:showCatName val="0"/>
          <c:showSerName val="0"/>
          <c:showPercent val="0"/>
          <c:showBubbleSize val="0"/>
        </c:dLbls>
        <c:marker val="1"/>
        <c:smooth val="0"/>
        <c:axId val="455234008"/>
        <c:axId val="455239496"/>
      </c:lineChart>
      <c:catAx>
        <c:axId val="455234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180000" spcFirstLastPara="1" vertOverflow="ellipsis" wrap="square" anchor="ctr" anchorCtr="1"/>
          <a:lstStyle/>
          <a:p>
            <a:pPr>
              <a:defRPr sz="800" b="0" i="0" u="none" strike="noStrike" kern="1200" baseline="0">
                <a:solidFill>
                  <a:srgbClr val="002060"/>
                </a:solidFill>
                <a:latin typeface="+mn-lt"/>
                <a:ea typeface="+mn-ea"/>
                <a:cs typeface="+mn-cs"/>
              </a:defRPr>
            </a:pPr>
            <a:endParaRPr lang="pl-PL"/>
          </a:p>
        </c:txPr>
        <c:crossAx val="455239496"/>
        <c:crosses val="autoZero"/>
        <c:auto val="1"/>
        <c:lblAlgn val="ctr"/>
        <c:lblOffset val="100"/>
        <c:noMultiLvlLbl val="0"/>
      </c:catAx>
      <c:valAx>
        <c:axId val="45523949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pl-PL"/>
          </a:p>
        </c:txPr>
        <c:crossAx val="455234008"/>
        <c:crosses val="autoZero"/>
        <c:crossBetween val="between"/>
      </c:valAx>
      <c:spPr>
        <a:noFill/>
        <a:ln>
          <a:noFill/>
        </a:ln>
        <a:effectLst/>
      </c:spPr>
    </c:plotArea>
    <c:legend>
      <c:legendPos val="b"/>
      <c:layout>
        <c:manualLayout>
          <c:xMode val="edge"/>
          <c:yMode val="edge"/>
          <c:x val="8.1418641543862438E-3"/>
          <c:y val="0.7487593914434012"/>
          <c:w val="0.94757113926022785"/>
          <c:h val="0.21338109829636312"/>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005055574125869E-2"/>
          <c:y val="4.9920937670296685E-2"/>
          <c:w val="0.88884250590466141"/>
          <c:h val="0.53893136317750168"/>
        </c:manualLayout>
      </c:layout>
      <c:barChart>
        <c:barDir val="col"/>
        <c:grouping val="clustered"/>
        <c:varyColors val="0"/>
        <c:ser>
          <c:idx val="0"/>
          <c:order val="0"/>
          <c:tx>
            <c:strRef>
              <c:f>'wykres 3'!$C$32</c:f>
              <c:strCache>
                <c:ptCount val="1"/>
                <c:pt idx="0">
                  <c:v>ruch pasażerów w portach lotniczych - przyjadzy i wyjazdy</c:v>
                </c:pt>
              </c:strCache>
            </c:strRef>
          </c:tx>
          <c:spPr>
            <a:solidFill>
              <a:schemeClr val="accent4">
                <a:lumMod val="40000"/>
                <a:lumOff val="60000"/>
              </a:schemeClr>
            </a:solidFill>
            <a:ln>
              <a:solidFill>
                <a:schemeClr val="accent5">
                  <a:lumMod val="75000"/>
                </a:schemeClr>
              </a:solidFill>
            </a:ln>
            <a:effectLst/>
          </c:spPr>
          <c:invertIfNegative val="0"/>
          <c:trendline>
            <c:spPr>
              <a:ln w="19050" cap="rnd">
                <a:solidFill>
                  <a:schemeClr val="accent1"/>
                </a:solidFill>
                <a:prstDash val="sysDot"/>
              </a:ln>
              <a:effectLst/>
            </c:spPr>
            <c:trendlineType val="linear"/>
            <c:dispRSqr val="0"/>
            <c:dispEq val="0"/>
          </c:trendline>
          <c:cat>
            <c:strRef>
              <c:f>'wykres 3'!$D$31:$AI$31</c:f>
              <c:strCache>
                <c:ptCount val="3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pt idx="23">
                  <c:v>2022</c:v>
                </c:pt>
                <c:pt idx="24">
                  <c:v>2023</c:v>
                </c:pt>
                <c:pt idx="25">
                  <c:v>2024</c:v>
                </c:pt>
                <c:pt idx="26">
                  <c:v>2025</c:v>
                </c:pt>
                <c:pt idx="27">
                  <c:v>2026</c:v>
                </c:pt>
                <c:pt idx="28">
                  <c:v>2027</c:v>
                </c:pt>
                <c:pt idx="29">
                  <c:v>2028</c:v>
                </c:pt>
                <c:pt idx="30">
                  <c:v>2029</c:v>
                </c:pt>
                <c:pt idx="31">
                  <c:v>2030</c:v>
                </c:pt>
              </c:strCache>
            </c:strRef>
          </c:cat>
          <c:val>
            <c:numRef>
              <c:f>'wykres 3'!$D$32:$AI$32</c:f>
              <c:numCache>
                <c:formatCode>#,##0</c:formatCode>
                <c:ptCount val="32"/>
                <c:pt idx="0">
                  <c:v>11386</c:v>
                </c:pt>
                <c:pt idx="1">
                  <c:v>8597</c:v>
                </c:pt>
                <c:pt idx="2">
                  <c:v>28026</c:v>
                </c:pt>
                <c:pt idx="3">
                  <c:v>52093</c:v>
                </c:pt>
                <c:pt idx="4">
                  <c:v>67175</c:v>
                </c:pt>
                <c:pt idx="5">
                  <c:v>72598</c:v>
                </c:pt>
                <c:pt idx="6">
                  <c:v>93968</c:v>
                </c:pt>
                <c:pt idx="7">
                  <c:v>208102</c:v>
                </c:pt>
                <c:pt idx="8">
                  <c:v>279997</c:v>
                </c:pt>
                <c:pt idx="9">
                  <c:v>323142</c:v>
                </c:pt>
                <c:pt idx="10">
                  <c:v>382451</c:v>
                </c:pt>
                <c:pt idx="11">
                  <c:v>454237</c:v>
                </c:pt>
                <c:pt idx="12">
                  <c:v>491325</c:v>
                </c:pt>
                <c:pt idx="13">
                  <c:v>564899</c:v>
                </c:pt>
                <c:pt idx="14">
                  <c:v>589920</c:v>
                </c:pt>
                <c:pt idx="15">
                  <c:v>601070</c:v>
                </c:pt>
                <c:pt idx="16">
                  <c:v>645214</c:v>
                </c:pt>
                <c:pt idx="17">
                  <c:v>664068</c:v>
                </c:pt>
                <c:pt idx="18">
                  <c:v>693542</c:v>
                </c:pt>
                <c:pt idx="19">
                  <c:v>771297</c:v>
                </c:pt>
                <c:pt idx="20">
                  <c:v>770888</c:v>
                </c:pt>
                <c:pt idx="21">
                  <c:v>234294</c:v>
                </c:pt>
              </c:numCache>
            </c:numRef>
          </c:val>
          <c:extLst xmlns:c16r2="http://schemas.microsoft.com/office/drawing/2015/06/chart">
            <c:ext xmlns:c16="http://schemas.microsoft.com/office/drawing/2014/chart" uri="{C3380CC4-5D6E-409C-BE32-E72D297353CC}">
              <c16:uniqueId val="{00000001-6EB4-4824-B626-915FCEF1329D}"/>
            </c:ext>
          </c:extLst>
        </c:ser>
        <c:dLbls>
          <c:showLegendKey val="0"/>
          <c:showVal val="0"/>
          <c:showCatName val="0"/>
          <c:showSerName val="0"/>
          <c:showPercent val="0"/>
          <c:showBubbleSize val="0"/>
        </c:dLbls>
        <c:gapWidth val="219"/>
        <c:axId val="455243416"/>
        <c:axId val="455248120"/>
      </c:barChart>
      <c:lineChart>
        <c:grouping val="standard"/>
        <c:varyColors val="0"/>
        <c:ser>
          <c:idx val="1"/>
          <c:order val="1"/>
          <c:tx>
            <c:strRef>
              <c:f>'wykres 3'!$C$33</c:f>
              <c:strCache>
                <c:ptCount val="1"/>
                <c:pt idx="0">
                  <c:v>wartość docelowa 2030</c:v>
                </c:pt>
              </c:strCache>
            </c:strRef>
          </c:tx>
          <c:spPr>
            <a:ln w="28575" cap="rnd">
              <a:solidFill>
                <a:schemeClr val="accent5">
                  <a:lumMod val="75000"/>
                </a:schemeClr>
              </a:solidFill>
              <a:round/>
            </a:ln>
            <a:effectLst/>
          </c:spPr>
          <c:marker>
            <c:symbol val="none"/>
          </c:marker>
          <c:cat>
            <c:strRef>
              <c:f>'wykres 3'!$D$31:$AI$31</c:f>
              <c:strCache>
                <c:ptCount val="3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pt idx="23">
                  <c:v>2022</c:v>
                </c:pt>
                <c:pt idx="24">
                  <c:v>2023</c:v>
                </c:pt>
                <c:pt idx="25">
                  <c:v>2024</c:v>
                </c:pt>
                <c:pt idx="26">
                  <c:v>2025</c:v>
                </c:pt>
                <c:pt idx="27">
                  <c:v>2026</c:v>
                </c:pt>
                <c:pt idx="28">
                  <c:v>2027</c:v>
                </c:pt>
                <c:pt idx="29">
                  <c:v>2028</c:v>
                </c:pt>
                <c:pt idx="30">
                  <c:v>2029</c:v>
                </c:pt>
                <c:pt idx="31">
                  <c:v>2030</c:v>
                </c:pt>
              </c:strCache>
            </c:strRef>
          </c:cat>
          <c:val>
            <c:numRef>
              <c:f>'wykres 3'!$D$33:$AI$33</c:f>
              <c:numCache>
                <c:formatCode>General</c:formatCode>
                <c:ptCount val="32"/>
                <c:pt idx="0">
                  <c:v>1000000</c:v>
                </c:pt>
                <c:pt idx="1">
                  <c:v>1000000</c:v>
                </c:pt>
                <c:pt idx="2">
                  <c:v>1000000</c:v>
                </c:pt>
                <c:pt idx="3">
                  <c:v>1000000</c:v>
                </c:pt>
                <c:pt idx="4">
                  <c:v>1000000</c:v>
                </c:pt>
                <c:pt idx="5">
                  <c:v>1000000</c:v>
                </c:pt>
                <c:pt idx="6">
                  <c:v>1000000</c:v>
                </c:pt>
                <c:pt idx="7">
                  <c:v>1000000</c:v>
                </c:pt>
                <c:pt idx="8">
                  <c:v>1000000</c:v>
                </c:pt>
                <c:pt idx="9">
                  <c:v>1000000</c:v>
                </c:pt>
                <c:pt idx="10">
                  <c:v>1000000</c:v>
                </c:pt>
                <c:pt idx="11">
                  <c:v>1000000</c:v>
                </c:pt>
                <c:pt idx="12">
                  <c:v>1000000</c:v>
                </c:pt>
                <c:pt idx="13">
                  <c:v>1000000</c:v>
                </c:pt>
                <c:pt idx="14">
                  <c:v>1000000</c:v>
                </c:pt>
                <c:pt idx="15">
                  <c:v>1000000</c:v>
                </c:pt>
                <c:pt idx="16">
                  <c:v>1000000</c:v>
                </c:pt>
                <c:pt idx="17">
                  <c:v>1000000</c:v>
                </c:pt>
                <c:pt idx="18">
                  <c:v>1000000</c:v>
                </c:pt>
                <c:pt idx="19">
                  <c:v>1000000</c:v>
                </c:pt>
                <c:pt idx="20">
                  <c:v>1000000</c:v>
                </c:pt>
                <c:pt idx="21">
                  <c:v>1000000</c:v>
                </c:pt>
              </c:numCache>
            </c:numRef>
          </c:val>
          <c:smooth val="0"/>
          <c:extLst xmlns:c16r2="http://schemas.microsoft.com/office/drawing/2015/06/chart">
            <c:ext xmlns:c16="http://schemas.microsoft.com/office/drawing/2014/chart" uri="{C3380CC4-5D6E-409C-BE32-E72D297353CC}">
              <c16:uniqueId val="{00000002-6EB4-4824-B626-915FCEF1329D}"/>
            </c:ext>
          </c:extLst>
        </c:ser>
        <c:ser>
          <c:idx val="2"/>
          <c:order val="2"/>
          <c:tx>
            <c:strRef>
              <c:f>'wykres 3'!$C$34</c:f>
              <c:strCache>
                <c:ptCount val="1"/>
                <c:pt idx="0">
                  <c:v>zmiana od 2021 roku (przy założeniu średniej dynamiki)</c:v>
                </c:pt>
              </c:strCache>
            </c:strRef>
          </c:tx>
          <c:spPr>
            <a:ln w="28575" cap="rnd">
              <a:solidFill>
                <a:schemeClr val="accent4">
                  <a:lumMod val="60000"/>
                  <a:lumOff val="40000"/>
                </a:schemeClr>
              </a:solidFill>
              <a:round/>
            </a:ln>
            <a:effectLst/>
          </c:spPr>
          <c:marker>
            <c:symbol val="none"/>
          </c:marker>
          <c:cat>
            <c:strRef>
              <c:f>'wykres 3'!$D$31:$AI$31</c:f>
              <c:strCache>
                <c:ptCount val="3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pt idx="23">
                  <c:v>2022</c:v>
                </c:pt>
                <c:pt idx="24">
                  <c:v>2023</c:v>
                </c:pt>
                <c:pt idx="25">
                  <c:v>2024</c:v>
                </c:pt>
                <c:pt idx="26">
                  <c:v>2025</c:v>
                </c:pt>
                <c:pt idx="27">
                  <c:v>2026</c:v>
                </c:pt>
                <c:pt idx="28">
                  <c:v>2027</c:v>
                </c:pt>
                <c:pt idx="29">
                  <c:v>2028</c:v>
                </c:pt>
                <c:pt idx="30">
                  <c:v>2029</c:v>
                </c:pt>
                <c:pt idx="31">
                  <c:v>2030</c:v>
                </c:pt>
              </c:strCache>
            </c:strRef>
          </c:cat>
          <c:val>
            <c:numRef>
              <c:f>'wykres 3'!$D$34:$AI$34</c:f>
              <c:numCache>
                <c:formatCode>General</c:formatCode>
                <c:ptCount val="32"/>
                <c:pt idx="22">
                  <c:v>295443.99847743876</c:v>
                </c:pt>
                <c:pt idx="23">
                  <c:v>372553.95458840957</c:v>
                </c:pt>
                <c:pt idx="24">
                  <c:v>469789.36717193731</c:v>
                </c:pt>
                <c:pt idx="25">
                  <c:v>592402.917187221</c:v>
                </c:pt>
                <c:pt idx="26">
                  <c:v>747018.21883399319</c:v>
                </c:pt>
                <c:pt idx="27">
                  <c:v>941987.62882450817</c:v>
                </c:pt>
                <c:pt idx="28">
                  <c:v>1187843.4427522435</c:v>
                </c:pt>
                <c:pt idx="29">
                  <c:v>1497866.8522963861</c:v>
                </c:pt>
                <c:pt idx="30">
                  <c:v>1888805.3984705519</c:v>
                </c:pt>
                <c:pt idx="31">
                  <c:v>2381777.6779171121</c:v>
                </c:pt>
              </c:numCache>
            </c:numRef>
          </c:val>
          <c:smooth val="0"/>
          <c:extLst xmlns:c16r2="http://schemas.microsoft.com/office/drawing/2015/06/chart">
            <c:ext xmlns:c16="http://schemas.microsoft.com/office/drawing/2014/chart" uri="{C3380CC4-5D6E-409C-BE32-E72D297353CC}">
              <c16:uniqueId val="{00000003-6EB4-4824-B626-915FCEF1329D}"/>
            </c:ext>
          </c:extLst>
        </c:ser>
        <c:dLbls>
          <c:showLegendKey val="0"/>
          <c:showVal val="0"/>
          <c:showCatName val="0"/>
          <c:showSerName val="0"/>
          <c:showPercent val="0"/>
          <c:showBubbleSize val="0"/>
        </c:dLbls>
        <c:marker val="1"/>
        <c:smooth val="0"/>
        <c:axId val="455243416"/>
        <c:axId val="455248120"/>
      </c:lineChart>
      <c:catAx>
        <c:axId val="455243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180000" spcFirstLastPara="1" vertOverflow="ellipsis" wrap="square" anchor="ctr" anchorCtr="1"/>
          <a:lstStyle/>
          <a:p>
            <a:pPr>
              <a:defRPr sz="800" b="0" i="0" u="none" strike="noStrike" kern="1200" baseline="0">
                <a:solidFill>
                  <a:srgbClr val="002060"/>
                </a:solidFill>
                <a:latin typeface="+mn-lt"/>
                <a:ea typeface="+mn-ea"/>
                <a:cs typeface="+mn-cs"/>
              </a:defRPr>
            </a:pPr>
            <a:endParaRPr lang="pl-PL"/>
          </a:p>
        </c:txPr>
        <c:crossAx val="455248120"/>
        <c:crosses val="autoZero"/>
        <c:auto val="1"/>
        <c:lblAlgn val="ctr"/>
        <c:lblOffset val="100"/>
        <c:noMultiLvlLbl val="0"/>
      </c:catAx>
      <c:valAx>
        <c:axId val="455248120"/>
        <c:scaling>
          <c:orientation val="minMax"/>
          <c:max val="2500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pl-PL"/>
          </a:p>
        </c:txPr>
        <c:crossAx val="455243416"/>
        <c:crosses val="autoZero"/>
        <c:crossBetween val="between"/>
      </c:valAx>
      <c:spPr>
        <a:noFill/>
        <a:ln>
          <a:noFill/>
        </a:ln>
        <a:effectLst/>
      </c:spPr>
    </c:plotArea>
    <c:legend>
      <c:legendPos val="b"/>
      <c:layout>
        <c:manualLayout>
          <c:xMode val="edge"/>
          <c:yMode val="edge"/>
          <c:x val="0"/>
          <c:y val="0.73935651764915911"/>
          <c:w val="1"/>
          <c:h val="0.23736921701007124"/>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'wykres 10'!$A$32</c:f>
              <c:strCache>
                <c:ptCount val="1"/>
                <c:pt idx="0">
                  <c:v>drogi lokalne o nawierzchni twardej ulepszonej</c:v>
                </c:pt>
              </c:strCache>
            </c:strRef>
          </c:tx>
          <c:spPr>
            <a:solidFill>
              <a:schemeClr val="accent4">
                <a:lumMod val="40000"/>
                <a:lumOff val="60000"/>
              </a:schemeClr>
            </a:solidFill>
            <a:ln>
              <a:solidFill>
                <a:schemeClr val="accent5">
                  <a:lumMod val="75000"/>
                </a:schemeClr>
              </a:solidFill>
            </a:ln>
            <a:effectLst/>
          </c:spPr>
          <c:invertIfNegative val="0"/>
          <c:trendline>
            <c:spPr>
              <a:ln w="19050" cap="rnd">
                <a:solidFill>
                  <a:schemeClr val="accent1"/>
                </a:solidFill>
                <a:prstDash val="sysDot"/>
              </a:ln>
              <a:effectLst/>
            </c:spPr>
            <c:trendlineType val="linear"/>
            <c:dispRSqr val="0"/>
            <c:dispEq val="0"/>
          </c:trendline>
          <c:cat>
            <c:strRef>
              <c:f>'wykres 10'!$B$31:$AE$31</c:f>
              <c:strCache>
                <c:ptCount val="3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strCache>
            </c:strRef>
          </c:cat>
          <c:val>
            <c:numRef>
              <c:f>'wykres 10'!$B$32:$AE$32</c:f>
              <c:numCache>
                <c:formatCode>General</c:formatCode>
                <c:ptCount val="30"/>
                <c:pt idx="0">
                  <c:v>9483.7999999999993</c:v>
                </c:pt>
                <c:pt idx="1">
                  <c:v>9877.6</c:v>
                </c:pt>
                <c:pt idx="2">
                  <c:v>6097.1</c:v>
                </c:pt>
                <c:pt idx="3">
                  <c:v>6097.5</c:v>
                </c:pt>
                <c:pt idx="4">
                  <c:v>10149.799999999999</c:v>
                </c:pt>
                <c:pt idx="5">
                  <c:v>10231.700000000001</c:v>
                </c:pt>
                <c:pt idx="6">
                  <c:v>10538.9</c:v>
                </c:pt>
                <c:pt idx="7">
                  <c:v>10749.4</c:v>
                </c:pt>
                <c:pt idx="8">
                  <c:v>11180.2</c:v>
                </c:pt>
                <c:pt idx="9">
                  <c:v>11528.1</c:v>
                </c:pt>
                <c:pt idx="10">
                  <c:v>11842.8</c:v>
                </c:pt>
                <c:pt idx="11">
                  <c:v>12253.4</c:v>
                </c:pt>
                <c:pt idx="12">
                  <c:v>12441.3</c:v>
                </c:pt>
                <c:pt idx="13">
                  <c:v>12701.5</c:v>
                </c:pt>
                <c:pt idx="14">
                  <c:v>12873.3</c:v>
                </c:pt>
                <c:pt idx="15">
                  <c:v>13109.2</c:v>
                </c:pt>
                <c:pt idx="16">
                  <c:v>13233.900000000001</c:v>
                </c:pt>
                <c:pt idx="17">
                  <c:v>13537.7</c:v>
                </c:pt>
                <c:pt idx="18">
                  <c:v>13782.3</c:v>
                </c:pt>
                <c:pt idx="19">
                  <c:v>14021.1</c:v>
                </c:pt>
              </c:numCache>
            </c:numRef>
          </c:val>
          <c:extLst xmlns:c16r2="http://schemas.microsoft.com/office/drawing/2015/06/chart">
            <c:ext xmlns:c16="http://schemas.microsoft.com/office/drawing/2014/chart" uri="{C3380CC4-5D6E-409C-BE32-E72D297353CC}">
              <c16:uniqueId val="{00000001-C915-46D3-AF08-C3C2B85B7E98}"/>
            </c:ext>
          </c:extLst>
        </c:ser>
        <c:dLbls>
          <c:showLegendKey val="0"/>
          <c:showVal val="0"/>
          <c:showCatName val="0"/>
          <c:showSerName val="0"/>
          <c:showPercent val="0"/>
          <c:showBubbleSize val="0"/>
        </c:dLbls>
        <c:gapWidth val="219"/>
        <c:axId val="455241848"/>
        <c:axId val="455242240"/>
      </c:barChart>
      <c:lineChart>
        <c:grouping val="standard"/>
        <c:varyColors val="0"/>
        <c:ser>
          <c:idx val="1"/>
          <c:order val="1"/>
          <c:tx>
            <c:strRef>
              <c:f>'wykres 10'!$A$33</c:f>
              <c:strCache>
                <c:ptCount val="1"/>
                <c:pt idx="0">
                  <c:v>wartość docelowa 2030</c:v>
                </c:pt>
              </c:strCache>
            </c:strRef>
          </c:tx>
          <c:spPr>
            <a:ln w="28575" cap="rnd">
              <a:solidFill>
                <a:schemeClr val="accent5">
                  <a:lumMod val="75000"/>
                </a:schemeClr>
              </a:solidFill>
              <a:round/>
            </a:ln>
            <a:effectLst/>
          </c:spPr>
          <c:marker>
            <c:symbol val="none"/>
          </c:marker>
          <c:cat>
            <c:strRef>
              <c:f>'wykres 10'!$B$31:$AE$31</c:f>
              <c:strCache>
                <c:ptCount val="3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strCache>
            </c:strRef>
          </c:cat>
          <c:val>
            <c:numRef>
              <c:f>'wykres 10'!$B$33:$AE$33</c:f>
              <c:numCache>
                <c:formatCode>General</c:formatCode>
                <c:ptCount val="30"/>
                <c:pt idx="0">
                  <c:v>14000</c:v>
                </c:pt>
                <c:pt idx="1">
                  <c:v>14000</c:v>
                </c:pt>
                <c:pt idx="2">
                  <c:v>14000</c:v>
                </c:pt>
                <c:pt idx="3">
                  <c:v>14000</c:v>
                </c:pt>
                <c:pt idx="4">
                  <c:v>14000</c:v>
                </c:pt>
                <c:pt idx="5">
                  <c:v>14000</c:v>
                </c:pt>
                <c:pt idx="6">
                  <c:v>14000</c:v>
                </c:pt>
                <c:pt idx="7">
                  <c:v>14000</c:v>
                </c:pt>
                <c:pt idx="8">
                  <c:v>14000</c:v>
                </c:pt>
                <c:pt idx="9">
                  <c:v>14000</c:v>
                </c:pt>
                <c:pt idx="10">
                  <c:v>14000</c:v>
                </c:pt>
                <c:pt idx="11">
                  <c:v>14000</c:v>
                </c:pt>
                <c:pt idx="12">
                  <c:v>14000</c:v>
                </c:pt>
                <c:pt idx="13">
                  <c:v>14000</c:v>
                </c:pt>
                <c:pt idx="14">
                  <c:v>14000</c:v>
                </c:pt>
                <c:pt idx="15">
                  <c:v>14000</c:v>
                </c:pt>
                <c:pt idx="16">
                  <c:v>14000</c:v>
                </c:pt>
                <c:pt idx="17">
                  <c:v>14000</c:v>
                </c:pt>
                <c:pt idx="18">
                  <c:v>14000</c:v>
                </c:pt>
                <c:pt idx="19">
                  <c:v>14000</c:v>
                </c:pt>
              </c:numCache>
            </c:numRef>
          </c:val>
          <c:smooth val="0"/>
          <c:extLst xmlns:c16r2="http://schemas.microsoft.com/office/drawing/2015/06/chart">
            <c:ext xmlns:c16="http://schemas.microsoft.com/office/drawing/2014/chart" uri="{C3380CC4-5D6E-409C-BE32-E72D297353CC}">
              <c16:uniqueId val="{00000002-C915-46D3-AF08-C3C2B85B7E98}"/>
            </c:ext>
          </c:extLst>
        </c:ser>
        <c:ser>
          <c:idx val="2"/>
          <c:order val="2"/>
          <c:tx>
            <c:strRef>
              <c:f>'wykres 10'!$A$34</c:f>
              <c:strCache>
                <c:ptCount val="1"/>
                <c:pt idx="0">
                  <c:v>zmiana od 2021 roku (przy założeniu średniej dynamiki)</c:v>
                </c:pt>
              </c:strCache>
            </c:strRef>
          </c:tx>
          <c:spPr>
            <a:ln w="28575" cap="rnd">
              <a:solidFill>
                <a:schemeClr val="accent4">
                  <a:lumMod val="60000"/>
                  <a:lumOff val="40000"/>
                </a:schemeClr>
              </a:solidFill>
              <a:round/>
            </a:ln>
            <a:effectLst/>
          </c:spPr>
          <c:marker>
            <c:symbol val="none"/>
          </c:marker>
          <c:cat>
            <c:strRef>
              <c:f>'wykres 10'!$B$31:$AE$31</c:f>
              <c:strCache>
                <c:ptCount val="3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strCache>
            </c:strRef>
          </c:cat>
          <c:val>
            <c:numRef>
              <c:f>'wykres 10'!$B$34:$AE$34</c:f>
              <c:numCache>
                <c:formatCode>General</c:formatCode>
                <c:ptCount val="30"/>
                <c:pt idx="20">
                  <c:v>14501.23523655819</c:v>
                </c:pt>
                <c:pt idx="21">
                  <c:v>14997.812110747151</c:v>
                </c:pt>
                <c:pt idx="22">
                  <c:v>15511.393646122324</c:v>
                </c:pt>
                <c:pt idx="23">
                  <c:v>16042.562146284803</c:v>
                </c:pt>
                <c:pt idx="24">
                  <c:v>16591.919855102649</c:v>
                </c:pt>
                <c:pt idx="25">
                  <c:v>17160.089639540693</c:v>
                </c:pt>
                <c:pt idx="26">
                  <c:v>17747.715695872976</c:v>
                </c:pt>
                <c:pt idx="27">
                  <c:v>18355.464280078599</c:v>
                </c:pt>
                <c:pt idx="28">
                  <c:v>18984.024463249032</c:v>
                </c:pt>
                <c:pt idx="29">
                  <c:v>19634.108912863438</c:v>
                </c:pt>
              </c:numCache>
            </c:numRef>
          </c:val>
          <c:smooth val="0"/>
          <c:extLst xmlns:c16r2="http://schemas.microsoft.com/office/drawing/2015/06/chart">
            <c:ext xmlns:c16="http://schemas.microsoft.com/office/drawing/2014/chart" uri="{C3380CC4-5D6E-409C-BE32-E72D297353CC}">
              <c16:uniqueId val="{00000003-C915-46D3-AF08-C3C2B85B7E98}"/>
            </c:ext>
          </c:extLst>
        </c:ser>
        <c:dLbls>
          <c:showLegendKey val="0"/>
          <c:showVal val="0"/>
          <c:showCatName val="0"/>
          <c:showSerName val="0"/>
          <c:showPercent val="0"/>
          <c:showBubbleSize val="0"/>
        </c:dLbls>
        <c:marker val="1"/>
        <c:smooth val="0"/>
        <c:axId val="455241848"/>
        <c:axId val="455242240"/>
      </c:lineChart>
      <c:catAx>
        <c:axId val="455241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800" b="0" i="0" u="none" strike="noStrike" kern="1200" baseline="0">
                <a:solidFill>
                  <a:srgbClr val="002060"/>
                </a:solidFill>
                <a:latin typeface="+mn-lt"/>
                <a:ea typeface="+mn-ea"/>
                <a:cs typeface="+mn-cs"/>
              </a:defRPr>
            </a:pPr>
            <a:endParaRPr lang="pl-PL"/>
          </a:p>
        </c:txPr>
        <c:crossAx val="455242240"/>
        <c:crosses val="autoZero"/>
        <c:auto val="1"/>
        <c:lblAlgn val="ctr"/>
        <c:lblOffset val="100"/>
        <c:noMultiLvlLbl val="0"/>
      </c:catAx>
      <c:valAx>
        <c:axId val="455242240"/>
        <c:scaling>
          <c:orientation val="minMax"/>
          <c:max val="2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pl-PL"/>
          </a:p>
        </c:txPr>
        <c:crossAx val="455241848"/>
        <c:crosses val="autoZero"/>
        <c:crossBetween val="between"/>
        <c:majorUnit val="2000"/>
      </c:valAx>
      <c:spPr>
        <a:noFill/>
        <a:ln>
          <a:noFill/>
        </a:ln>
        <a:effectLst/>
      </c:spPr>
    </c:plotArea>
    <c:legend>
      <c:legendPos val="b"/>
      <c:layout>
        <c:manualLayout>
          <c:xMode val="edge"/>
          <c:yMode val="edge"/>
          <c:x val="0"/>
          <c:y val="0.76737010828618268"/>
          <c:w val="0.99259207182435527"/>
          <c:h val="0.20941594894446824"/>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005055574125869E-2"/>
          <c:y val="4.9920937670296685E-2"/>
          <c:w val="0.88884250590466141"/>
          <c:h val="0.53893136317750168"/>
        </c:manualLayout>
      </c:layout>
      <c:barChart>
        <c:barDir val="col"/>
        <c:grouping val="clustered"/>
        <c:varyColors val="0"/>
        <c:ser>
          <c:idx val="0"/>
          <c:order val="0"/>
          <c:tx>
            <c:strRef>
              <c:f>'wykres 4'!$B$31</c:f>
              <c:strCache>
                <c:ptCount val="1"/>
                <c:pt idx="0">
                  <c:v>wojewódzkie mosty i wiadukty</c:v>
                </c:pt>
              </c:strCache>
            </c:strRef>
          </c:tx>
          <c:spPr>
            <a:solidFill>
              <a:schemeClr val="accent4">
                <a:lumMod val="40000"/>
                <a:lumOff val="60000"/>
              </a:schemeClr>
            </a:solidFill>
            <a:ln>
              <a:solidFill>
                <a:schemeClr val="accent5">
                  <a:lumMod val="75000"/>
                </a:schemeClr>
              </a:solidFill>
            </a:ln>
            <a:effectLst/>
          </c:spPr>
          <c:invertIfNegative val="0"/>
          <c:trendline>
            <c:spPr>
              <a:ln w="19050" cap="rnd">
                <a:solidFill>
                  <a:schemeClr val="accent1"/>
                </a:solidFill>
                <a:prstDash val="sysDot"/>
              </a:ln>
              <a:effectLst/>
            </c:spPr>
            <c:trendlineType val="linear"/>
            <c:dispRSqr val="0"/>
            <c:dispEq val="0"/>
          </c:trendline>
          <c:cat>
            <c:strRef>
              <c:f>'wykres 4'!$C$30:$AF$30</c:f>
              <c:strCache>
                <c:ptCount val="3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strCache>
            </c:strRef>
          </c:cat>
          <c:val>
            <c:numRef>
              <c:f>'wykres 4'!$C$31:$AF$31</c:f>
              <c:numCache>
                <c:formatCode>#,##0</c:formatCode>
                <c:ptCount val="30"/>
                <c:pt idx="0">
                  <c:v>336</c:v>
                </c:pt>
                <c:pt idx="1">
                  <c:v>333</c:v>
                </c:pt>
                <c:pt idx="2">
                  <c:v>332</c:v>
                </c:pt>
                <c:pt idx="3">
                  <c:v>332</c:v>
                </c:pt>
                <c:pt idx="4">
                  <c:v>332</c:v>
                </c:pt>
                <c:pt idx="5">
                  <c:v>330</c:v>
                </c:pt>
                <c:pt idx="6">
                  <c:v>330</c:v>
                </c:pt>
                <c:pt idx="7">
                  <c:v>332</c:v>
                </c:pt>
                <c:pt idx="8">
                  <c:v>332</c:v>
                </c:pt>
                <c:pt idx="9">
                  <c:v>332</c:v>
                </c:pt>
                <c:pt idx="10">
                  <c:v>334</c:v>
                </c:pt>
                <c:pt idx="11">
                  <c:v>332</c:v>
                </c:pt>
                <c:pt idx="12">
                  <c:v>335</c:v>
                </c:pt>
                <c:pt idx="13">
                  <c:v>343</c:v>
                </c:pt>
                <c:pt idx="14">
                  <c:v>354</c:v>
                </c:pt>
                <c:pt idx="15">
                  <c:v>354</c:v>
                </c:pt>
                <c:pt idx="16">
                  <c:v>359</c:v>
                </c:pt>
                <c:pt idx="17">
                  <c:v>361</c:v>
                </c:pt>
                <c:pt idx="18">
                  <c:v>377</c:v>
                </c:pt>
                <c:pt idx="19">
                  <c:v>383</c:v>
                </c:pt>
              </c:numCache>
            </c:numRef>
          </c:val>
          <c:extLst xmlns:c16r2="http://schemas.microsoft.com/office/drawing/2015/06/chart">
            <c:ext xmlns:c16="http://schemas.microsoft.com/office/drawing/2014/chart" uri="{C3380CC4-5D6E-409C-BE32-E72D297353CC}">
              <c16:uniqueId val="{00000001-FEBD-4068-AE81-A649C69AC461}"/>
            </c:ext>
          </c:extLst>
        </c:ser>
        <c:dLbls>
          <c:showLegendKey val="0"/>
          <c:showVal val="0"/>
          <c:showCatName val="0"/>
          <c:showSerName val="0"/>
          <c:showPercent val="0"/>
          <c:showBubbleSize val="0"/>
        </c:dLbls>
        <c:gapWidth val="219"/>
        <c:axId val="455246944"/>
        <c:axId val="455247336"/>
      </c:barChart>
      <c:lineChart>
        <c:grouping val="standard"/>
        <c:varyColors val="0"/>
        <c:ser>
          <c:idx val="1"/>
          <c:order val="1"/>
          <c:tx>
            <c:strRef>
              <c:f>'wykres 4'!$B$32</c:f>
              <c:strCache>
                <c:ptCount val="1"/>
                <c:pt idx="0">
                  <c:v>wartość docelowa 2030</c:v>
                </c:pt>
              </c:strCache>
            </c:strRef>
          </c:tx>
          <c:spPr>
            <a:ln w="28575" cap="rnd">
              <a:solidFill>
                <a:schemeClr val="accent5">
                  <a:lumMod val="75000"/>
                </a:schemeClr>
              </a:solidFill>
              <a:round/>
            </a:ln>
            <a:effectLst/>
          </c:spPr>
          <c:marker>
            <c:symbol val="none"/>
          </c:marker>
          <c:cat>
            <c:strRef>
              <c:f>'wykres 4'!$C$30:$AF$30</c:f>
              <c:strCache>
                <c:ptCount val="3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strCache>
            </c:strRef>
          </c:cat>
          <c:val>
            <c:numRef>
              <c:f>'wykres 4'!$C$32:$AF$32</c:f>
              <c:numCache>
                <c:formatCode>General</c:formatCode>
                <c:ptCount val="30"/>
                <c:pt idx="0">
                  <c:v>380</c:v>
                </c:pt>
                <c:pt idx="1">
                  <c:v>380</c:v>
                </c:pt>
                <c:pt idx="2">
                  <c:v>380</c:v>
                </c:pt>
                <c:pt idx="3">
                  <c:v>380</c:v>
                </c:pt>
                <c:pt idx="4">
                  <c:v>380</c:v>
                </c:pt>
                <c:pt idx="5">
                  <c:v>380</c:v>
                </c:pt>
                <c:pt idx="6">
                  <c:v>380</c:v>
                </c:pt>
                <c:pt idx="7">
                  <c:v>380</c:v>
                </c:pt>
                <c:pt idx="8">
                  <c:v>380</c:v>
                </c:pt>
                <c:pt idx="9">
                  <c:v>380</c:v>
                </c:pt>
                <c:pt idx="10">
                  <c:v>380</c:v>
                </c:pt>
                <c:pt idx="11">
                  <c:v>380</c:v>
                </c:pt>
                <c:pt idx="12">
                  <c:v>380</c:v>
                </c:pt>
                <c:pt idx="13">
                  <c:v>380</c:v>
                </c:pt>
                <c:pt idx="14">
                  <c:v>380</c:v>
                </c:pt>
                <c:pt idx="15">
                  <c:v>380</c:v>
                </c:pt>
                <c:pt idx="16">
                  <c:v>380</c:v>
                </c:pt>
                <c:pt idx="17">
                  <c:v>380</c:v>
                </c:pt>
                <c:pt idx="18">
                  <c:v>380</c:v>
                </c:pt>
                <c:pt idx="19">
                  <c:v>380</c:v>
                </c:pt>
              </c:numCache>
            </c:numRef>
          </c:val>
          <c:smooth val="0"/>
          <c:extLst xmlns:c16r2="http://schemas.microsoft.com/office/drawing/2015/06/chart">
            <c:ext xmlns:c16="http://schemas.microsoft.com/office/drawing/2014/chart" uri="{C3380CC4-5D6E-409C-BE32-E72D297353CC}">
              <c16:uniqueId val="{00000002-FEBD-4068-AE81-A649C69AC461}"/>
            </c:ext>
          </c:extLst>
        </c:ser>
        <c:ser>
          <c:idx val="2"/>
          <c:order val="2"/>
          <c:tx>
            <c:strRef>
              <c:f>'wykres 4'!$B$33</c:f>
              <c:strCache>
                <c:ptCount val="1"/>
                <c:pt idx="0">
                  <c:v>zmiana od 2021 roku (przy założeniu średniej dynamiki)</c:v>
                </c:pt>
              </c:strCache>
            </c:strRef>
          </c:tx>
          <c:spPr>
            <a:ln w="28575" cap="rnd">
              <a:solidFill>
                <a:schemeClr val="accent4">
                  <a:lumMod val="60000"/>
                  <a:lumOff val="40000"/>
                </a:schemeClr>
              </a:solidFill>
              <a:round/>
            </a:ln>
            <a:effectLst/>
          </c:spPr>
          <c:marker>
            <c:symbol val="none"/>
          </c:marker>
          <c:cat>
            <c:strRef>
              <c:f>'wykres 4'!$C$30:$AF$30</c:f>
              <c:strCache>
                <c:ptCount val="3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strCache>
            </c:strRef>
          </c:cat>
          <c:val>
            <c:numRef>
              <c:f>'wykres 4'!$C$33:$AF$33</c:f>
              <c:numCache>
                <c:formatCode>General</c:formatCode>
                <c:ptCount val="30"/>
                <c:pt idx="20">
                  <c:v>385.68219926461592</c:v>
                </c:pt>
                <c:pt idx="21">
                  <c:v>388.38318232269165</c:v>
                </c:pt>
                <c:pt idx="22">
                  <c:v>391.10308071959798</c:v>
                </c:pt>
                <c:pt idx="23">
                  <c:v>393.84202692193509</c:v>
                </c:pt>
                <c:pt idx="24">
                  <c:v>396.60015432398433</c:v>
                </c:pt>
                <c:pt idx="25">
                  <c:v>399.3775972542046</c:v>
                </c:pt>
                <c:pt idx="26">
                  <c:v>402.17449098177457</c:v>
                </c:pt>
                <c:pt idx="27">
                  <c:v>404.99097172318085</c:v>
                </c:pt>
                <c:pt idx="28">
                  <c:v>407.82717664885189</c:v>
                </c:pt>
                <c:pt idx="29">
                  <c:v>410.68324388983871</c:v>
                </c:pt>
              </c:numCache>
            </c:numRef>
          </c:val>
          <c:smooth val="0"/>
          <c:extLst xmlns:c16r2="http://schemas.microsoft.com/office/drawing/2015/06/chart">
            <c:ext xmlns:c16="http://schemas.microsoft.com/office/drawing/2014/chart" uri="{C3380CC4-5D6E-409C-BE32-E72D297353CC}">
              <c16:uniqueId val="{00000003-FEBD-4068-AE81-A649C69AC461}"/>
            </c:ext>
          </c:extLst>
        </c:ser>
        <c:dLbls>
          <c:showLegendKey val="0"/>
          <c:showVal val="0"/>
          <c:showCatName val="0"/>
          <c:showSerName val="0"/>
          <c:showPercent val="0"/>
          <c:showBubbleSize val="0"/>
        </c:dLbls>
        <c:marker val="1"/>
        <c:smooth val="0"/>
        <c:axId val="455246944"/>
        <c:axId val="455247336"/>
      </c:lineChart>
      <c:catAx>
        <c:axId val="455246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180000" spcFirstLastPara="1" vertOverflow="ellipsis" wrap="square" anchor="ctr" anchorCtr="1"/>
          <a:lstStyle/>
          <a:p>
            <a:pPr>
              <a:defRPr sz="800" b="0" i="0" u="none" strike="noStrike" kern="1200" baseline="0">
                <a:solidFill>
                  <a:srgbClr val="002060"/>
                </a:solidFill>
                <a:latin typeface="+mn-lt"/>
                <a:ea typeface="+mn-ea"/>
                <a:cs typeface="+mn-cs"/>
              </a:defRPr>
            </a:pPr>
            <a:endParaRPr lang="pl-PL"/>
          </a:p>
        </c:txPr>
        <c:crossAx val="455247336"/>
        <c:crosses val="autoZero"/>
        <c:auto val="1"/>
        <c:lblAlgn val="ctr"/>
        <c:lblOffset val="100"/>
        <c:noMultiLvlLbl val="0"/>
      </c:catAx>
      <c:valAx>
        <c:axId val="45524733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pl-PL"/>
          </a:p>
        </c:txPr>
        <c:crossAx val="455246944"/>
        <c:crosses val="autoZero"/>
        <c:crossBetween val="between"/>
      </c:valAx>
      <c:spPr>
        <a:noFill/>
        <a:ln>
          <a:noFill/>
        </a:ln>
        <a:effectLst/>
      </c:spPr>
    </c:plotArea>
    <c:legend>
      <c:legendPos val="b"/>
      <c:layout>
        <c:manualLayout>
          <c:xMode val="edge"/>
          <c:yMode val="edge"/>
          <c:x val="3.1015679919686109E-2"/>
          <c:y val="0.74100256983300106"/>
          <c:w val="0.94757113926022785"/>
          <c:h val="0.21338109829636312"/>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005055574125869E-2"/>
          <c:y val="4.9920937670296685E-2"/>
          <c:w val="0.88884250590466141"/>
          <c:h val="0.53893136317750168"/>
        </c:manualLayout>
      </c:layout>
      <c:barChart>
        <c:barDir val="col"/>
        <c:grouping val="clustered"/>
        <c:varyColors val="0"/>
        <c:ser>
          <c:idx val="0"/>
          <c:order val="0"/>
          <c:tx>
            <c:strRef>
              <c:f>'wykres 5'!$A$35</c:f>
              <c:strCache>
                <c:ptCount val="1"/>
                <c:pt idx="0">
                  <c:v>lokalne (powiatowe i gminne) mosty i wiadukty ogółem</c:v>
                </c:pt>
              </c:strCache>
            </c:strRef>
          </c:tx>
          <c:spPr>
            <a:solidFill>
              <a:schemeClr val="accent4">
                <a:lumMod val="40000"/>
                <a:lumOff val="60000"/>
              </a:schemeClr>
            </a:solidFill>
            <a:ln>
              <a:solidFill>
                <a:schemeClr val="accent5">
                  <a:lumMod val="75000"/>
                </a:schemeClr>
              </a:solidFill>
            </a:ln>
            <a:effectLst/>
          </c:spPr>
          <c:invertIfNegative val="0"/>
          <c:trendline>
            <c:spPr>
              <a:ln w="19050" cap="rnd">
                <a:solidFill>
                  <a:schemeClr val="accent1"/>
                </a:solidFill>
                <a:prstDash val="sysDot"/>
              </a:ln>
              <a:effectLst/>
            </c:spPr>
            <c:trendlineType val="linear"/>
            <c:dispRSqr val="0"/>
            <c:dispEq val="0"/>
          </c:trendline>
          <c:cat>
            <c:strRef>
              <c:f>'wykres 5'!$B$34:$AE$34</c:f>
              <c:strCache>
                <c:ptCount val="3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strCache>
            </c:strRef>
          </c:cat>
          <c:val>
            <c:numRef>
              <c:f>'wykres 5'!$B$35:$AE$35</c:f>
              <c:numCache>
                <c:formatCode>General</c:formatCode>
                <c:ptCount val="30"/>
                <c:pt idx="0">
                  <c:v>1689</c:v>
                </c:pt>
                <c:pt idx="1">
                  <c:v>1722</c:v>
                </c:pt>
                <c:pt idx="2">
                  <c:v>1708</c:v>
                </c:pt>
                <c:pt idx="3">
                  <c:v>1685</c:v>
                </c:pt>
                <c:pt idx="4">
                  <c:v>1657</c:v>
                </c:pt>
                <c:pt idx="5">
                  <c:v>1687</c:v>
                </c:pt>
                <c:pt idx="6">
                  <c:v>1672</c:v>
                </c:pt>
                <c:pt idx="7">
                  <c:v>1697</c:v>
                </c:pt>
                <c:pt idx="8">
                  <c:v>1721</c:v>
                </c:pt>
                <c:pt idx="9">
                  <c:v>1718</c:v>
                </c:pt>
                <c:pt idx="10">
                  <c:v>1689</c:v>
                </c:pt>
                <c:pt idx="11">
                  <c:v>1732</c:v>
                </c:pt>
                <c:pt idx="12">
                  <c:v>1696</c:v>
                </c:pt>
                <c:pt idx="13">
                  <c:v>1688</c:v>
                </c:pt>
                <c:pt idx="14">
                  <c:v>1704</c:v>
                </c:pt>
                <c:pt idx="15">
                  <c:v>1714</c:v>
                </c:pt>
                <c:pt idx="16">
                  <c:v>1696</c:v>
                </c:pt>
                <c:pt idx="17">
                  <c:v>1656</c:v>
                </c:pt>
                <c:pt idx="18">
                  <c:v>1694</c:v>
                </c:pt>
                <c:pt idx="19">
                  <c:v>1649</c:v>
                </c:pt>
              </c:numCache>
            </c:numRef>
          </c:val>
          <c:extLst xmlns:c16r2="http://schemas.microsoft.com/office/drawing/2015/06/chart">
            <c:ext xmlns:c16="http://schemas.microsoft.com/office/drawing/2014/chart" uri="{C3380CC4-5D6E-409C-BE32-E72D297353CC}">
              <c16:uniqueId val="{00000001-0776-4BC8-8046-A8A4389B3192}"/>
            </c:ext>
          </c:extLst>
        </c:ser>
        <c:dLbls>
          <c:showLegendKey val="0"/>
          <c:showVal val="0"/>
          <c:showCatName val="0"/>
          <c:showSerName val="0"/>
          <c:showPercent val="0"/>
          <c:showBubbleSize val="0"/>
        </c:dLbls>
        <c:gapWidth val="219"/>
        <c:axId val="455247728"/>
        <c:axId val="455248904"/>
      </c:barChart>
      <c:lineChart>
        <c:grouping val="standard"/>
        <c:varyColors val="0"/>
        <c:ser>
          <c:idx val="1"/>
          <c:order val="1"/>
          <c:tx>
            <c:strRef>
              <c:f>'wykres 5'!$A$36</c:f>
              <c:strCache>
                <c:ptCount val="1"/>
                <c:pt idx="0">
                  <c:v>wartość docelowa 2030</c:v>
                </c:pt>
              </c:strCache>
            </c:strRef>
          </c:tx>
          <c:spPr>
            <a:ln w="28575" cap="rnd">
              <a:solidFill>
                <a:schemeClr val="accent5">
                  <a:lumMod val="75000"/>
                </a:schemeClr>
              </a:solidFill>
              <a:round/>
            </a:ln>
            <a:effectLst/>
          </c:spPr>
          <c:marker>
            <c:symbol val="none"/>
          </c:marker>
          <c:cat>
            <c:strRef>
              <c:f>'wykres 5'!$B$34:$AE$34</c:f>
              <c:strCache>
                <c:ptCount val="3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strCache>
            </c:strRef>
          </c:cat>
          <c:val>
            <c:numRef>
              <c:f>'wykres 5'!$B$36:$AE$36</c:f>
              <c:numCache>
                <c:formatCode>General</c:formatCode>
                <c:ptCount val="30"/>
                <c:pt idx="0">
                  <c:v>1704</c:v>
                </c:pt>
                <c:pt idx="1">
                  <c:v>1704</c:v>
                </c:pt>
                <c:pt idx="2">
                  <c:v>1704</c:v>
                </c:pt>
                <c:pt idx="3">
                  <c:v>1704</c:v>
                </c:pt>
                <c:pt idx="4">
                  <c:v>1704</c:v>
                </c:pt>
                <c:pt idx="5">
                  <c:v>1704</c:v>
                </c:pt>
                <c:pt idx="6">
                  <c:v>1704</c:v>
                </c:pt>
                <c:pt idx="7">
                  <c:v>1704</c:v>
                </c:pt>
                <c:pt idx="8">
                  <c:v>1704</c:v>
                </c:pt>
                <c:pt idx="9">
                  <c:v>1704</c:v>
                </c:pt>
                <c:pt idx="10">
                  <c:v>1704</c:v>
                </c:pt>
                <c:pt idx="11">
                  <c:v>1704</c:v>
                </c:pt>
                <c:pt idx="12">
                  <c:v>1704</c:v>
                </c:pt>
                <c:pt idx="13">
                  <c:v>1704</c:v>
                </c:pt>
                <c:pt idx="14">
                  <c:v>1704</c:v>
                </c:pt>
                <c:pt idx="15">
                  <c:v>1704</c:v>
                </c:pt>
                <c:pt idx="16">
                  <c:v>1704</c:v>
                </c:pt>
                <c:pt idx="17">
                  <c:v>1704</c:v>
                </c:pt>
                <c:pt idx="18">
                  <c:v>1704</c:v>
                </c:pt>
                <c:pt idx="19">
                  <c:v>1704</c:v>
                </c:pt>
              </c:numCache>
            </c:numRef>
          </c:val>
          <c:smooth val="0"/>
          <c:extLst xmlns:c16r2="http://schemas.microsoft.com/office/drawing/2015/06/chart">
            <c:ext xmlns:c16="http://schemas.microsoft.com/office/drawing/2014/chart" uri="{C3380CC4-5D6E-409C-BE32-E72D297353CC}">
              <c16:uniqueId val="{00000002-0776-4BC8-8046-A8A4389B3192}"/>
            </c:ext>
          </c:extLst>
        </c:ser>
        <c:ser>
          <c:idx val="2"/>
          <c:order val="2"/>
          <c:tx>
            <c:strRef>
              <c:f>'wykres 5'!$A$37</c:f>
              <c:strCache>
                <c:ptCount val="1"/>
                <c:pt idx="0">
                  <c:v>zmiana od 2021 roku (przy założeniu średniej dynamiki)</c:v>
                </c:pt>
              </c:strCache>
            </c:strRef>
          </c:tx>
          <c:spPr>
            <a:ln w="28575" cap="rnd">
              <a:solidFill>
                <a:schemeClr val="accent4">
                  <a:lumMod val="60000"/>
                  <a:lumOff val="40000"/>
                </a:schemeClr>
              </a:solidFill>
              <a:round/>
            </a:ln>
            <a:effectLst/>
          </c:spPr>
          <c:marker>
            <c:symbol val="none"/>
          </c:marker>
          <c:cat>
            <c:strRef>
              <c:f>'wykres 5'!$B$34:$AE$34</c:f>
              <c:strCache>
                <c:ptCount val="3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strCache>
            </c:strRef>
          </c:cat>
          <c:val>
            <c:numRef>
              <c:f>'wykres 5'!$B$37:$AE$37</c:f>
              <c:numCache>
                <c:formatCode>General</c:formatCode>
                <c:ptCount val="30"/>
                <c:pt idx="20">
                  <c:v>1647.1435349210324</c:v>
                </c:pt>
                <c:pt idx="21">
                  <c:v>1645.2891598739561</c:v>
                </c:pt>
                <c:pt idx="22">
                  <c:v>1643.4368725057875</c:v>
                </c:pt>
                <c:pt idx="23">
                  <c:v>1641.5866704661908</c:v>
                </c:pt>
                <c:pt idx="24">
                  <c:v>1639.7385514074767</c:v>
                </c:pt>
                <c:pt idx="25">
                  <c:v>1637.8925129845991</c:v>
                </c:pt>
                <c:pt idx="26">
                  <c:v>1636.0485528551517</c:v>
                </c:pt>
                <c:pt idx="27">
                  <c:v>1634.2066686793655</c:v>
                </c:pt>
                <c:pt idx="28">
                  <c:v>1632.3668581201057</c:v>
                </c:pt>
                <c:pt idx="29">
                  <c:v>1630.5291188428685</c:v>
                </c:pt>
              </c:numCache>
            </c:numRef>
          </c:val>
          <c:smooth val="0"/>
          <c:extLst xmlns:c16r2="http://schemas.microsoft.com/office/drawing/2015/06/chart">
            <c:ext xmlns:c16="http://schemas.microsoft.com/office/drawing/2014/chart" uri="{C3380CC4-5D6E-409C-BE32-E72D297353CC}">
              <c16:uniqueId val="{00000003-0776-4BC8-8046-A8A4389B3192}"/>
            </c:ext>
          </c:extLst>
        </c:ser>
        <c:dLbls>
          <c:showLegendKey val="0"/>
          <c:showVal val="0"/>
          <c:showCatName val="0"/>
          <c:showSerName val="0"/>
          <c:showPercent val="0"/>
          <c:showBubbleSize val="0"/>
        </c:dLbls>
        <c:marker val="1"/>
        <c:smooth val="0"/>
        <c:axId val="455247728"/>
        <c:axId val="455248904"/>
      </c:lineChart>
      <c:catAx>
        <c:axId val="455247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180000" spcFirstLastPara="1" vertOverflow="ellipsis" wrap="square" anchor="ctr" anchorCtr="1"/>
          <a:lstStyle/>
          <a:p>
            <a:pPr>
              <a:defRPr sz="800" b="0" i="0" u="none" strike="noStrike" kern="1200" baseline="0">
                <a:solidFill>
                  <a:srgbClr val="002060"/>
                </a:solidFill>
                <a:latin typeface="+mn-lt"/>
                <a:ea typeface="+mn-ea"/>
                <a:cs typeface="+mn-cs"/>
              </a:defRPr>
            </a:pPr>
            <a:endParaRPr lang="pl-PL"/>
          </a:p>
        </c:txPr>
        <c:crossAx val="455248904"/>
        <c:crosses val="autoZero"/>
        <c:auto val="1"/>
        <c:lblAlgn val="ctr"/>
        <c:lblOffset val="100"/>
        <c:noMultiLvlLbl val="0"/>
      </c:catAx>
      <c:valAx>
        <c:axId val="455248904"/>
        <c:scaling>
          <c:orientation val="minMax"/>
          <c:max val="1740"/>
          <c:min val="16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pl-PL"/>
          </a:p>
        </c:txPr>
        <c:crossAx val="455247728"/>
        <c:crosses val="autoZero"/>
        <c:crossBetween val="between"/>
        <c:majorUnit val="20"/>
      </c:valAx>
      <c:spPr>
        <a:noFill/>
        <a:ln>
          <a:noFill/>
        </a:ln>
        <a:effectLst/>
      </c:spPr>
    </c:plotArea>
    <c:legend>
      <c:legendPos val="b"/>
      <c:layout>
        <c:manualLayout>
          <c:xMode val="edge"/>
          <c:yMode val="edge"/>
          <c:x val="0"/>
          <c:y val="0.7487593914434012"/>
          <c:w val="1"/>
          <c:h val="0.22957881429024651"/>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'wykres 6'!$A$28</c:f>
              <c:strCache>
                <c:ptCount val="1"/>
                <c:pt idx="0">
                  <c:v>linie kolejowe normalnotorowe dwu- i więcej torowe</c:v>
                </c:pt>
              </c:strCache>
            </c:strRef>
          </c:tx>
          <c:spPr>
            <a:solidFill>
              <a:schemeClr val="accent4">
                <a:lumMod val="40000"/>
                <a:lumOff val="60000"/>
              </a:schemeClr>
            </a:solidFill>
            <a:ln>
              <a:solidFill>
                <a:schemeClr val="accent5">
                  <a:lumMod val="75000"/>
                </a:schemeClr>
              </a:solidFill>
            </a:ln>
            <a:effectLst/>
          </c:spPr>
          <c:invertIfNegative val="0"/>
          <c:trendline>
            <c:spPr>
              <a:ln w="19050" cap="rnd">
                <a:solidFill>
                  <a:schemeClr val="accent1"/>
                </a:solidFill>
                <a:prstDash val="sysDot"/>
              </a:ln>
              <a:effectLst/>
            </c:spPr>
            <c:trendlineType val="linear"/>
            <c:dispRSqr val="0"/>
            <c:dispEq val="0"/>
          </c:trendline>
          <c:cat>
            <c:strRef>
              <c:f>'wykres 6'!$B$27:$AG$27</c:f>
              <c:strCache>
                <c:ptCount val="3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pt idx="23">
                  <c:v>2022</c:v>
                </c:pt>
                <c:pt idx="24">
                  <c:v>2023</c:v>
                </c:pt>
                <c:pt idx="25">
                  <c:v>2024</c:v>
                </c:pt>
                <c:pt idx="26">
                  <c:v>2025</c:v>
                </c:pt>
                <c:pt idx="27">
                  <c:v>2026</c:v>
                </c:pt>
                <c:pt idx="28">
                  <c:v>2027</c:v>
                </c:pt>
                <c:pt idx="29">
                  <c:v>2028</c:v>
                </c:pt>
                <c:pt idx="30">
                  <c:v>2029</c:v>
                </c:pt>
                <c:pt idx="31">
                  <c:v>2030</c:v>
                </c:pt>
              </c:strCache>
            </c:strRef>
          </c:cat>
          <c:val>
            <c:numRef>
              <c:f>'wykres 6'!$B$28:$AG$28</c:f>
              <c:numCache>
                <c:formatCode>#,##0</c:formatCode>
                <c:ptCount val="32"/>
                <c:pt idx="0">
                  <c:v>232</c:v>
                </c:pt>
                <c:pt idx="1">
                  <c:v>232</c:v>
                </c:pt>
                <c:pt idx="2">
                  <c:v>232</c:v>
                </c:pt>
                <c:pt idx="3">
                  <c:v>232</c:v>
                </c:pt>
                <c:pt idx="4">
                  <c:v>232</c:v>
                </c:pt>
                <c:pt idx="5">
                  <c:v>232</c:v>
                </c:pt>
                <c:pt idx="6">
                  <c:v>232</c:v>
                </c:pt>
                <c:pt idx="7">
                  <c:v>232</c:v>
                </c:pt>
                <c:pt idx="8">
                  <c:v>232</c:v>
                </c:pt>
                <c:pt idx="9">
                  <c:v>232</c:v>
                </c:pt>
                <c:pt idx="10">
                  <c:v>232</c:v>
                </c:pt>
                <c:pt idx="11">
                  <c:v>232</c:v>
                </c:pt>
                <c:pt idx="12">
                  <c:v>232</c:v>
                </c:pt>
                <c:pt idx="13">
                  <c:v>232</c:v>
                </c:pt>
                <c:pt idx="14">
                  <c:v>232</c:v>
                </c:pt>
                <c:pt idx="15">
                  <c:v>232</c:v>
                </c:pt>
                <c:pt idx="16">
                  <c:v>232</c:v>
                </c:pt>
                <c:pt idx="17">
                  <c:v>232</c:v>
                </c:pt>
                <c:pt idx="18">
                  <c:v>232</c:v>
                </c:pt>
                <c:pt idx="19">
                  <c:v>233</c:v>
                </c:pt>
                <c:pt idx="20">
                  <c:v>233</c:v>
                </c:pt>
                <c:pt idx="21">
                  <c:v>233</c:v>
                </c:pt>
              </c:numCache>
            </c:numRef>
          </c:val>
          <c:extLst xmlns:c16r2="http://schemas.microsoft.com/office/drawing/2015/06/chart">
            <c:ext xmlns:c16="http://schemas.microsoft.com/office/drawing/2014/chart" uri="{C3380CC4-5D6E-409C-BE32-E72D297353CC}">
              <c16:uniqueId val="{00000001-C42F-45E9-9D53-E14E3E707A16}"/>
            </c:ext>
          </c:extLst>
        </c:ser>
        <c:dLbls>
          <c:showLegendKey val="0"/>
          <c:showVal val="0"/>
          <c:showCatName val="0"/>
          <c:showSerName val="0"/>
          <c:showPercent val="0"/>
          <c:showBubbleSize val="0"/>
        </c:dLbls>
        <c:gapWidth val="219"/>
        <c:axId val="457449544"/>
        <c:axId val="457450328"/>
      </c:barChart>
      <c:lineChart>
        <c:grouping val="standard"/>
        <c:varyColors val="0"/>
        <c:ser>
          <c:idx val="1"/>
          <c:order val="1"/>
          <c:tx>
            <c:strRef>
              <c:f>'wykres 6'!$A$29</c:f>
              <c:strCache>
                <c:ptCount val="1"/>
                <c:pt idx="0">
                  <c:v>wartość docelowa 2030</c:v>
                </c:pt>
              </c:strCache>
            </c:strRef>
          </c:tx>
          <c:spPr>
            <a:ln w="28575" cap="rnd">
              <a:solidFill>
                <a:schemeClr val="accent5">
                  <a:lumMod val="75000"/>
                </a:schemeClr>
              </a:solidFill>
              <a:round/>
            </a:ln>
            <a:effectLst/>
          </c:spPr>
          <c:marker>
            <c:symbol val="none"/>
          </c:marker>
          <c:cat>
            <c:strRef>
              <c:f>'wykres 6'!$B$27:$AG$27</c:f>
              <c:strCache>
                <c:ptCount val="3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pt idx="23">
                  <c:v>2022</c:v>
                </c:pt>
                <c:pt idx="24">
                  <c:v>2023</c:v>
                </c:pt>
                <c:pt idx="25">
                  <c:v>2024</c:v>
                </c:pt>
                <c:pt idx="26">
                  <c:v>2025</c:v>
                </c:pt>
                <c:pt idx="27">
                  <c:v>2026</c:v>
                </c:pt>
                <c:pt idx="28">
                  <c:v>2027</c:v>
                </c:pt>
                <c:pt idx="29">
                  <c:v>2028</c:v>
                </c:pt>
                <c:pt idx="30">
                  <c:v>2029</c:v>
                </c:pt>
                <c:pt idx="31">
                  <c:v>2030</c:v>
                </c:pt>
              </c:strCache>
            </c:strRef>
          </c:cat>
          <c:val>
            <c:numRef>
              <c:f>'wykres 6'!$B$29:$AG$29</c:f>
              <c:numCache>
                <c:formatCode>General</c:formatCode>
                <c:ptCount val="32"/>
                <c:pt idx="0">
                  <c:v>250</c:v>
                </c:pt>
                <c:pt idx="1">
                  <c:v>250</c:v>
                </c:pt>
                <c:pt idx="2">
                  <c:v>250</c:v>
                </c:pt>
                <c:pt idx="3">
                  <c:v>250</c:v>
                </c:pt>
                <c:pt idx="4">
                  <c:v>250</c:v>
                </c:pt>
                <c:pt idx="5">
                  <c:v>250</c:v>
                </c:pt>
                <c:pt idx="6">
                  <c:v>250</c:v>
                </c:pt>
                <c:pt idx="7">
                  <c:v>250</c:v>
                </c:pt>
                <c:pt idx="8">
                  <c:v>250</c:v>
                </c:pt>
                <c:pt idx="9">
                  <c:v>250</c:v>
                </c:pt>
                <c:pt idx="10">
                  <c:v>250</c:v>
                </c:pt>
                <c:pt idx="11">
                  <c:v>250</c:v>
                </c:pt>
                <c:pt idx="12">
                  <c:v>250</c:v>
                </c:pt>
                <c:pt idx="13">
                  <c:v>250</c:v>
                </c:pt>
                <c:pt idx="14">
                  <c:v>250</c:v>
                </c:pt>
                <c:pt idx="15">
                  <c:v>250</c:v>
                </c:pt>
                <c:pt idx="16">
                  <c:v>250</c:v>
                </c:pt>
                <c:pt idx="17">
                  <c:v>250</c:v>
                </c:pt>
                <c:pt idx="18">
                  <c:v>250</c:v>
                </c:pt>
                <c:pt idx="19">
                  <c:v>250</c:v>
                </c:pt>
                <c:pt idx="20">
                  <c:v>250</c:v>
                </c:pt>
                <c:pt idx="21">
                  <c:v>250</c:v>
                </c:pt>
              </c:numCache>
            </c:numRef>
          </c:val>
          <c:smooth val="0"/>
          <c:extLst xmlns:c16r2="http://schemas.microsoft.com/office/drawing/2015/06/chart">
            <c:ext xmlns:c16="http://schemas.microsoft.com/office/drawing/2014/chart" uri="{C3380CC4-5D6E-409C-BE32-E72D297353CC}">
              <c16:uniqueId val="{00000002-C42F-45E9-9D53-E14E3E707A16}"/>
            </c:ext>
          </c:extLst>
        </c:ser>
        <c:ser>
          <c:idx val="2"/>
          <c:order val="2"/>
          <c:tx>
            <c:strRef>
              <c:f>'wykres 6'!$A$30</c:f>
              <c:strCache>
                <c:ptCount val="1"/>
                <c:pt idx="0">
                  <c:v>zmiana od 2021 roku (przy założeniu średniej dynamiki)</c:v>
                </c:pt>
              </c:strCache>
            </c:strRef>
          </c:tx>
          <c:spPr>
            <a:ln w="28575" cap="rnd">
              <a:solidFill>
                <a:schemeClr val="accent4">
                  <a:lumMod val="60000"/>
                  <a:lumOff val="40000"/>
                </a:schemeClr>
              </a:solidFill>
              <a:round/>
            </a:ln>
            <a:effectLst/>
          </c:spPr>
          <c:marker>
            <c:symbol val="none"/>
          </c:marker>
          <c:cat>
            <c:strRef>
              <c:f>'wykres 6'!$B$27:$AG$27</c:f>
              <c:strCache>
                <c:ptCount val="3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pt idx="23">
                  <c:v>2022</c:v>
                </c:pt>
                <c:pt idx="24">
                  <c:v>2023</c:v>
                </c:pt>
                <c:pt idx="25">
                  <c:v>2024</c:v>
                </c:pt>
                <c:pt idx="26">
                  <c:v>2025</c:v>
                </c:pt>
                <c:pt idx="27">
                  <c:v>2026</c:v>
                </c:pt>
                <c:pt idx="28">
                  <c:v>2027</c:v>
                </c:pt>
                <c:pt idx="29">
                  <c:v>2028</c:v>
                </c:pt>
                <c:pt idx="30">
                  <c:v>2029</c:v>
                </c:pt>
                <c:pt idx="31">
                  <c:v>2030</c:v>
                </c:pt>
              </c:strCache>
            </c:strRef>
          </c:cat>
          <c:val>
            <c:numRef>
              <c:f>'wykres 6'!$B$30:$AG$30</c:f>
              <c:numCache>
                <c:formatCode>General</c:formatCode>
                <c:ptCount val="32"/>
                <c:pt idx="22">
                  <c:v>233.04782430213464</c:v>
                </c:pt>
                <c:pt idx="23">
                  <c:v>233.09565842042323</c:v>
                </c:pt>
                <c:pt idx="24">
                  <c:v>233.14350235688065</c:v>
                </c:pt>
                <c:pt idx="25">
                  <c:v>233.19135611352206</c:v>
                </c:pt>
                <c:pt idx="26">
                  <c:v>233.23921969236312</c:v>
                </c:pt>
                <c:pt idx="27">
                  <c:v>233.28709309541983</c:v>
                </c:pt>
                <c:pt idx="28">
                  <c:v>233.33497632470869</c:v>
                </c:pt>
                <c:pt idx="29">
                  <c:v>233.38286938224661</c:v>
                </c:pt>
                <c:pt idx="30">
                  <c:v>233.43077227005085</c:v>
                </c:pt>
                <c:pt idx="31">
                  <c:v>233.47868499013913</c:v>
                </c:pt>
              </c:numCache>
            </c:numRef>
          </c:val>
          <c:smooth val="0"/>
          <c:extLst xmlns:c16r2="http://schemas.microsoft.com/office/drawing/2015/06/chart">
            <c:ext xmlns:c16="http://schemas.microsoft.com/office/drawing/2014/chart" uri="{C3380CC4-5D6E-409C-BE32-E72D297353CC}">
              <c16:uniqueId val="{00000003-C42F-45E9-9D53-E14E3E707A16}"/>
            </c:ext>
          </c:extLst>
        </c:ser>
        <c:dLbls>
          <c:showLegendKey val="0"/>
          <c:showVal val="0"/>
          <c:showCatName val="0"/>
          <c:showSerName val="0"/>
          <c:showPercent val="0"/>
          <c:showBubbleSize val="0"/>
        </c:dLbls>
        <c:marker val="1"/>
        <c:smooth val="0"/>
        <c:axId val="457449544"/>
        <c:axId val="457450328"/>
      </c:lineChart>
      <c:catAx>
        <c:axId val="45744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700" b="0" i="0" u="none" strike="noStrike" kern="1200" baseline="0">
                <a:solidFill>
                  <a:srgbClr val="002060"/>
                </a:solidFill>
                <a:latin typeface="+mn-lt"/>
                <a:ea typeface="+mn-ea"/>
                <a:cs typeface="+mn-cs"/>
              </a:defRPr>
            </a:pPr>
            <a:endParaRPr lang="pl-PL"/>
          </a:p>
        </c:txPr>
        <c:crossAx val="457450328"/>
        <c:crosses val="autoZero"/>
        <c:auto val="1"/>
        <c:lblAlgn val="ctr"/>
        <c:lblOffset val="100"/>
        <c:noMultiLvlLbl val="0"/>
      </c:catAx>
      <c:valAx>
        <c:axId val="457450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pl-PL"/>
          </a:p>
        </c:txPr>
        <c:crossAx val="457449544"/>
        <c:crosses val="autoZero"/>
        <c:crossBetween val="between"/>
        <c:majorUnit val="3"/>
      </c:valAx>
      <c:spPr>
        <a:noFill/>
        <a:ln>
          <a:noFill/>
        </a:ln>
        <a:effectLst/>
      </c:spPr>
    </c:plotArea>
    <c:legend>
      <c:legendPos val="b"/>
      <c:layout>
        <c:manualLayout>
          <c:xMode val="edge"/>
          <c:yMode val="edge"/>
          <c:x val="0"/>
          <c:y val="0.71945367981938368"/>
          <c:w val="1"/>
          <c:h val="0.25733279360729516"/>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858B04-9446-49EE-9B91-87A26B082359}" type="doc">
      <dgm:prSet loTypeId="urn:microsoft.com/office/officeart/2005/8/layout/process5" loCatId="process" qsTypeId="urn:microsoft.com/office/officeart/2005/8/quickstyle/simple1" qsCatId="simple" csTypeId="urn:microsoft.com/office/officeart/2005/8/colors/accent1_1" csCatId="accent1" phldr="1"/>
      <dgm:spPr/>
      <dgm:t>
        <a:bodyPr/>
        <a:lstStyle/>
        <a:p>
          <a:endParaRPr lang="pl-PL"/>
        </a:p>
      </dgm:t>
    </dgm:pt>
    <dgm:pt modelId="{E9892CBF-3D72-43BE-A85D-F703126F31A3}">
      <dgm:prSet phldrT="[Tekst]" custT="1"/>
      <dgm:spPr/>
      <dgm:t>
        <a:bodyPr/>
        <a:lstStyle/>
        <a:p>
          <a:r>
            <a:rPr lang="pl-PL" sz="1000" b="1">
              <a:solidFill>
                <a:srgbClr val="002060"/>
              </a:solidFill>
            </a:rPr>
            <a:t>Warunki wstępne</a:t>
          </a:r>
        </a:p>
      </dgm:t>
    </dgm:pt>
    <dgm:pt modelId="{14BB5996-1662-425F-87D3-DE4FC87658D9}" type="parTrans" cxnId="{24A4E4EF-398A-4336-950D-542A305A2BA3}">
      <dgm:prSet/>
      <dgm:spPr/>
      <dgm:t>
        <a:bodyPr/>
        <a:lstStyle/>
        <a:p>
          <a:endParaRPr lang="pl-PL" sz="1000"/>
        </a:p>
      </dgm:t>
    </dgm:pt>
    <dgm:pt modelId="{E0379145-D78D-40B1-BCF5-066138214C6B}" type="sibTrans" cxnId="{24A4E4EF-398A-4336-950D-542A305A2BA3}">
      <dgm:prSet custT="1"/>
      <dgm:spPr>
        <a:solidFill>
          <a:srgbClr val="BDD6EE"/>
        </a:solidFill>
      </dgm:spPr>
      <dgm:t>
        <a:bodyPr/>
        <a:lstStyle/>
        <a:p>
          <a:endParaRPr lang="pl-PL" sz="1000"/>
        </a:p>
      </dgm:t>
    </dgm:pt>
    <dgm:pt modelId="{015C96D2-068F-439C-A1EF-C89F905293DD}">
      <dgm:prSet phldrT="[Tekst]" custT="1"/>
      <dgm:spPr/>
      <dgm:t>
        <a:bodyPr/>
        <a:lstStyle/>
        <a:p>
          <a:r>
            <a:rPr lang="pl-PL" sz="1000" b="1">
              <a:solidFill>
                <a:srgbClr val="002060"/>
              </a:solidFill>
            </a:rPr>
            <a:t>Działania</a:t>
          </a:r>
        </a:p>
      </dgm:t>
    </dgm:pt>
    <dgm:pt modelId="{A703F4B7-41CC-416C-8EAA-E4A87963D4A1}" type="parTrans" cxnId="{11F3EA32-C0FB-4AA1-A86A-36A4DB9DF77E}">
      <dgm:prSet/>
      <dgm:spPr/>
      <dgm:t>
        <a:bodyPr/>
        <a:lstStyle/>
        <a:p>
          <a:endParaRPr lang="pl-PL" sz="1000"/>
        </a:p>
      </dgm:t>
    </dgm:pt>
    <dgm:pt modelId="{6BBC39F7-2239-480E-9BF2-9138F0B39F2A}" type="sibTrans" cxnId="{11F3EA32-C0FB-4AA1-A86A-36A4DB9DF77E}">
      <dgm:prSet custT="1"/>
      <dgm:spPr>
        <a:solidFill>
          <a:srgbClr val="BDD6EE"/>
        </a:solidFill>
      </dgm:spPr>
      <dgm:t>
        <a:bodyPr/>
        <a:lstStyle/>
        <a:p>
          <a:endParaRPr lang="pl-PL" sz="1000"/>
        </a:p>
      </dgm:t>
    </dgm:pt>
    <dgm:pt modelId="{4D916BD8-3277-4966-A664-8D5CE8F52A4A}">
      <dgm:prSet phldrT="[Tekst]" custT="1"/>
      <dgm:spPr>
        <a:solidFill>
          <a:srgbClr val="BDD6EE"/>
        </a:solidFill>
      </dgm:spPr>
      <dgm:t>
        <a:bodyPr/>
        <a:lstStyle/>
        <a:p>
          <a:r>
            <a:rPr lang="pl-PL" sz="1000">
              <a:solidFill>
                <a:srgbClr val="002060"/>
              </a:solidFill>
            </a:rPr>
            <a:t>odpowiedzi ekspertów</a:t>
          </a:r>
        </a:p>
      </dgm:t>
    </dgm:pt>
    <dgm:pt modelId="{EC3A2FD6-DD94-488B-8DFB-0FC34E87EFA0}" type="parTrans" cxnId="{CA68369A-D468-4036-BFFF-C8B00259CA59}">
      <dgm:prSet/>
      <dgm:spPr/>
      <dgm:t>
        <a:bodyPr/>
        <a:lstStyle/>
        <a:p>
          <a:endParaRPr lang="pl-PL" sz="1000"/>
        </a:p>
      </dgm:t>
    </dgm:pt>
    <dgm:pt modelId="{D41F5D68-0C96-4D05-9CF1-423FD3E33D2D}" type="sibTrans" cxnId="{CA68369A-D468-4036-BFFF-C8B00259CA59}">
      <dgm:prSet custT="1"/>
      <dgm:spPr>
        <a:solidFill>
          <a:srgbClr val="BDD6EE"/>
        </a:solidFill>
      </dgm:spPr>
      <dgm:t>
        <a:bodyPr/>
        <a:lstStyle/>
        <a:p>
          <a:endParaRPr lang="pl-PL" sz="1000"/>
        </a:p>
      </dgm:t>
    </dgm:pt>
    <dgm:pt modelId="{9119BCF0-F922-44C5-8FA1-1E902FED8AD3}">
      <dgm:prSet phldrT="[Tekst]" custT="1"/>
      <dgm:spPr/>
      <dgm:t>
        <a:bodyPr/>
        <a:lstStyle/>
        <a:p>
          <a:r>
            <a:rPr lang="pl-PL" sz="1000" b="1">
              <a:solidFill>
                <a:srgbClr val="002060"/>
              </a:solidFill>
            </a:rPr>
            <a:t>Wyniki</a:t>
          </a:r>
        </a:p>
      </dgm:t>
    </dgm:pt>
    <dgm:pt modelId="{B040198B-5259-4E7A-BE76-4C36021A3D04}" type="parTrans" cxnId="{E17339F8-E4F8-495E-B37A-B77AFF6E46AB}">
      <dgm:prSet/>
      <dgm:spPr/>
      <dgm:t>
        <a:bodyPr/>
        <a:lstStyle/>
        <a:p>
          <a:endParaRPr lang="pl-PL" sz="1000"/>
        </a:p>
      </dgm:t>
    </dgm:pt>
    <dgm:pt modelId="{61D22896-49DE-412F-8302-4DC68ADDE900}" type="sibTrans" cxnId="{E17339F8-E4F8-495E-B37A-B77AFF6E46AB}">
      <dgm:prSet custT="1"/>
      <dgm:spPr>
        <a:solidFill>
          <a:srgbClr val="BDD6EE"/>
        </a:solidFill>
      </dgm:spPr>
      <dgm:t>
        <a:bodyPr/>
        <a:lstStyle/>
        <a:p>
          <a:endParaRPr lang="pl-PL" sz="1000"/>
        </a:p>
      </dgm:t>
    </dgm:pt>
    <dgm:pt modelId="{9959DD10-07F7-40D2-B989-9021C7F901F9}">
      <dgm:prSet phldrT="[Tekst]" custT="1"/>
      <dgm:spPr/>
      <dgm:t>
        <a:bodyPr/>
        <a:lstStyle/>
        <a:p>
          <a:r>
            <a:rPr lang="pl-PL" sz="1000" b="1">
              <a:solidFill>
                <a:srgbClr val="002060"/>
              </a:solidFill>
            </a:rPr>
            <a:t>Zamierzenia interwencji</a:t>
          </a:r>
        </a:p>
      </dgm:t>
    </dgm:pt>
    <dgm:pt modelId="{E9B40E4D-3648-449B-B9DF-9E16BD2564CE}" type="parTrans" cxnId="{B212A410-0DDB-4505-B28F-37B20E814AF2}">
      <dgm:prSet/>
      <dgm:spPr/>
      <dgm:t>
        <a:bodyPr/>
        <a:lstStyle/>
        <a:p>
          <a:endParaRPr lang="pl-PL" sz="1000"/>
        </a:p>
      </dgm:t>
    </dgm:pt>
    <dgm:pt modelId="{78B3AD75-3E47-4DC2-A0DD-DDAF2C335CF4}" type="sibTrans" cxnId="{B212A410-0DDB-4505-B28F-37B20E814AF2}">
      <dgm:prSet custT="1"/>
      <dgm:spPr>
        <a:solidFill>
          <a:srgbClr val="BDD6EE"/>
        </a:solidFill>
      </dgm:spPr>
      <dgm:t>
        <a:bodyPr/>
        <a:lstStyle/>
        <a:p>
          <a:endParaRPr lang="pl-PL" sz="1000"/>
        </a:p>
      </dgm:t>
    </dgm:pt>
    <dgm:pt modelId="{5074DE0C-9B05-42DF-9CE9-BF629E3D87C8}">
      <dgm:prSet custT="1"/>
      <dgm:spPr>
        <a:solidFill>
          <a:srgbClr val="BDD6EE"/>
        </a:solidFill>
      </dgm:spPr>
      <dgm:t>
        <a:bodyPr/>
        <a:lstStyle/>
        <a:p>
          <a:r>
            <a:rPr lang="pl-PL" sz="1000">
              <a:solidFill>
                <a:srgbClr val="002060"/>
              </a:solidFill>
            </a:rPr>
            <a:t>odpowiedzi ekspertów</a:t>
          </a:r>
        </a:p>
      </dgm:t>
    </dgm:pt>
    <dgm:pt modelId="{8CAF6857-A421-4D13-ABB8-A61E1CD520C2}" type="parTrans" cxnId="{7E18F258-A1CB-47E5-A391-085A622D6FEE}">
      <dgm:prSet/>
      <dgm:spPr/>
      <dgm:t>
        <a:bodyPr/>
        <a:lstStyle/>
        <a:p>
          <a:endParaRPr lang="pl-PL" sz="1000"/>
        </a:p>
      </dgm:t>
    </dgm:pt>
    <dgm:pt modelId="{EBA6FE17-B620-4253-A252-AF0A3C586F9C}" type="sibTrans" cxnId="{7E18F258-A1CB-47E5-A391-085A622D6FEE}">
      <dgm:prSet custT="1"/>
      <dgm:spPr>
        <a:solidFill>
          <a:srgbClr val="BDD6EE"/>
        </a:solidFill>
      </dgm:spPr>
      <dgm:t>
        <a:bodyPr/>
        <a:lstStyle/>
        <a:p>
          <a:endParaRPr lang="pl-PL" sz="1000"/>
        </a:p>
      </dgm:t>
    </dgm:pt>
    <dgm:pt modelId="{87248DEF-A8E7-40D0-87D7-44E3014E4294}">
      <dgm:prSet custT="1"/>
      <dgm:spPr>
        <a:solidFill>
          <a:srgbClr val="BDD6EE"/>
        </a:solidFill>
      </dgm:spPr>
      <dgm:t>
        <a:bodyPr/>
        <a:lstStyle/>
        <a:p>
          <a:r>
            <a:rPr lang="pl-PL" sz="1000">
              <a:solidFill>
                <a:srgbClr val="002060"/>
              </a:solidFill>
            </a:rPr>
            <a:t>odpowiedzi ekspertów</a:t>
          </a:r>
        </a:p>
      </dgm:t>
    </dgm:pt>
    <dgm:pt modelId="{88510456-31ED-473E-8764-1A0D3D88DBC4}" type="parTrans" cxnId="{E013AFE3-8530-4C84-ACC3-FAE043294455}">
      <dgm:prSet/>
      <dgm:spPr/>
      <dgm:t>
        <a:bodyPr/>
        <a:lstStyle/>
        <a:p>
          <a:endParaRPr lang="pl-PL" sz="1000"/>
        </a:p>
      </dgm:t>
    </dgm:pt>
    <dgm:pt modelId="{D3674C0F-8A93-4536-8740-D458D6A2DD30}" type="sibTrans" cxnId="{E013AFE3-8530-4C84-ACC3-FAE043294455}">
      <dgm:prSet custT="1"/>
      <dgm:spPr>
        <a:solidFill>
          <a:srgbClr val="BDD6EE"/>
        </a:solidFill>
      </dgm:spPr>
      <dgm:t>
        <a:bodyPr/>
        <a:lstStyle/>
        <a:p>
          <a:endParaRPr lang="pl-PL" sz="1000"/>
        </a:p>
      </dgm:t>
    </dgm:pt>
    <dgm:pt modelId="{479D202A-7A3A-4353-A918-D67EAE49E732}">
      <dgm:prSet custT="1"/>
      <dgm:spPr/>
      <dgm:t>
        <a:bodyPr/>
        <a:lstStyle/>
        <a:p>
          <a:r>
            <a:rPr lang="pl-PL" sz="1000" b="1">
              <a:solidFill>
                <a:srgbClr val="002060"/>
              </a:solidFill>
            </a:rPr>
            <a:t>Cel główny</a:t>
          </a:r>
        </a:p>
      </dgm:t>
    </dgm:pt>
    <dgm:pt modelId="{38139FA8-5632-4527-A02C-CD6D56656DF5}" type="parTrans" cxnId="{C6F90475-786A-4ABC-AB52-79D9B93731CE}">
      <dgm:prSet/>
      <dgm:spPr/>
      <dgm:t>
        <a:bodyPr/>
        <a:lstStyle/>
        <a:p>
          <a:endParaRPr lang="pl-PL" sz="1000"/>
        </a:p>
      </dgm:t>
    </dgm:pt>
    <dgm:pt modelId="{EB607325-EBDD-4326-973B-4ED02A0CEB6F}" type="sibTrans" cxnId="{C6F90475-786A-4ABC-AB52-79D9B93731CE}">
      <dgm:prSet custT="1"/>
      <dgm:spPr>
        <a:noFill/>
      </dgm:spPr>
      <dgm:t>
        <a:bodyPr/>
        <a:lstStyle/>
        <a:p>
          <a:endParaRPr lang="pl-PL" sz="1000"/>
        </a:p>
      </dgm:t>
    </dgm:pt>
    <dgm:pt modelId="{911E520F-E7FE-4C95-95A8-8ED6035B1C08}">
      <dgm:prSet custT="1"/>
      <dgm:spPr>
        <a:ln>
          <a:noFill/>
        </a:ln>
      </dgm:spPr>
      <dgm:t>
        <a:bodyPr/>
        <a:lstStyle/>
        <a:p>
          <a:r>
            <a:rPr lang="pl-PL" sz="1000" b="1">
              <a:solidFill>
                <a:srgbClr val="002060"/>
              </a:solidFill>
            </a:rPr>
            <a:t>Założenia poszczególnych etapów</a:t>
          </a:r>
        </a:p>
      </dgm:t>
    </dgm:pt>
    <dgm:pt modelId="{DB8B8073-1E89-414D-BF25-66AA0B1BD27A}" type="parTrans" cxnId="{7B28A85A-23A0-4C5C-88A9-B5EEE6EA08A2}">
      <dgm:prSet/>
      <dgm:spPr/>
      <dgm:t>
        <a:bodyPr/>
        <a:lstStyle/>
        <a:p>
          <a:endParaRPr lang="pl-PL" sz="1000"/>
        </a:p>
      </dgm:t>
    </dgm:pt>
    <dgm:pt modelId="{0BE5C8F7-6253-4E76-9A06-F77E332385F7}" type="sibTrans" cxnId="{7B28A85A-23A0-4C5C-88A9-B5EEE6EA08A2}">
      <dgm:prSet/>
      <dgm:spPr/>
      <dgm:t>
        <a:bodyPr/>
        <a:lstStyle/>
        <a:p>
          <a:endParaRPr lang="pl-PL" sz="1000"/>
        </a:p>
      </dgm:t>
    </dgm:pt>
    <dgm:pt modelId="{64F9C28E-BB4D-42FB-BCD8-2EF586C41992}" type="pres">
      <dgm:prSet presAssocID="{53858B04-9446-49EE-9B91-87A26B082359}" presName="diagram" presStyleCnt="0">
        <dgm:presLayoutVars>
          <dgm:dir/>
          <dgm:resizeHandles val="exact"/>
        </dgm:presLayoutVars>
      </dgm:prSet>
      <dgm:spPr/>
      <dgm:t>
        <a:bodyPr/>
        <a:lstStyle/>
        <a:p>
          <a:endParaRPr lang="pl-PL"/>
        </a:p>
      </dgm:t>
    </dgm:pt>
    <dgm:pt modelId="{6E803DC3-70C8-4E1F-9C16-B1D900152D76}" type="pres">
      <dgm:prSet presAssocID="{E9892CBF-3D72-43BE-A85D-F703126F31A3}" presName="node" presStyleLbl="node1" presStyleIdx="0" presStyleCnt="9" custLinFactX="100000" custLinFactY="200000" custLinFactNeighborX="180335" custLinFactNeighborY="218030">
        <dgm:presLayoutVars>
          <dgm:bulletEnabled val="1"/>
        </dgm:presLayoutVars>
      </dgm:prSet>
      <dgm:spPr/>
      <dgm:t>
        <a:bodyPr/>
        <a:lstStyle/>
        <a:p>
          <a:endParaRPr lang="pl-PL"/>
        </a:p>
      </dgm:t>
    </dgm:pt>
    <dgm:pt modelId="{B3E24E3D-77A9-4613-9EB6-A20A6A1A16C5}" type="pres">
      <dgm:prSet presAssocID="{E0379145-D78D-40B1-BCF5-066138214C6B}" presName="sibTrans" presStyleLbl="sibTrans2D1" presStyleIdx="0" presStyleCnt="8" custScaleX="152449" custScaleY="48907"/>
      <dgm:spPr/>
      <dgm:t>
        <a:bodyPr/>
        <a:lstStyle/>
        <a:p>
          <a:endParaRPr lang="pl-PL"/>
        </a:p>
      </dgm:t>
    </dgm:pt>
    <dgm:pt modelId="{371B4F51-9298-409D-9608-E0F64B328493}" type="pres">
      <dgm:prSet presAssocID="{E0379145-D78D-40B1-BCF5-066138214C6B}" presName="connectorText" presStyleLbl="sibTrans2D1" presStyleIdx="0" presStyleCnt="8"/>
      <dgm:spPr/>
      <dgm:t>
        <a:bodyPr/>
        <a:lstStyle/>
        <a:p>
          <a:endParaRPr lang="pl-PL"/>
        </a:p>
      </dgm:t>
    </dgm:pt>
    <dgm:pt modelId="{A2606949-01EA-43C1-A827-E359712CB796}" type="pres">
      <dgm:prSet presAssocID="{015C96D2-068F-439C-A1EF-C89F905293DD}" presName="node" presStyleLbl="node1" presStyleIdx="1" presStyleCnt="9" custLinFactX="-35789" custLinFactY="100000" custLinFactNeighborX="-100000" custLinFactNeighborY="190612">
        <dgm:presLayoutVars>
          <dgm:bulletEnabled val="1"/>
        </dgm:presLayoutVars>
      </dgm:prSet>
      <dgm:spPr/>
      <dgm:t>
        <a:bodyPr/>
        <a:lstStyle/>
        <a:p>
          <a:endParaRPr lang="pl-PL"/>
        </a:p>
      </dgm:t>
    </dgm:pt>
    <dgm:pt modelId="{C93AA9B2-BA02-48E1-BE38-80B441CD46F8}" type="pres">
      <dgm:prSet presAssocID="{6BBC39F7-2239-480E-9BF2-9138F0B39F2A}" presName="sibTrans" presStyleLbl="sibTrans2D1" presStyleIdx="1" presStyleCnt="8" custScaleX="152449" custScaleY="48907"/>
      <dgm:spPr/>
      <dgm:t>
        <a:bodyPr/>
        <a:lstStyle/>
        <a:p>
          <a:endParaRPr lang="pl-PL"/>
        </a:p>
      </dgm:t>
    </dgm:pt>
    <dgm:pt modelId="{2D10D067-1695-45E4-83FE-83F74F47EB73}" type="pres">
      <dgm:prSet presAssocID="{6BBC39F7-2239-480E-9BF2-9138F0B39F2A}" presName="connectorText" presStyleLbl="sibTrans2D1" presStyleIdx="1" presStyleCnt="8"/>
      <dgm:spPr/>
      <dgm:t>
        <a:bodyPr/>
        <a:lstStyle/>
        <a:p>
          <a:endParaRPr lang="pl-PL"/>
        </a:p>
      </dgm:t>
    </dgm:pt>
    <dgm:pt modelId="{119888E5-93BD-4843-9618-29B4E883BA90}" type="pres">
      <dgm:prSet presAssocID="{4D916BD8-3277-4966-A664-8D5CE8F52A4A}" presName="node" presStyleLbl="node1" presStyleIdx="2" presStyleCnt="9" custLinFactY="100000" custLinFactNeighborX="-723" custLinFactNeighborY="190630">
        <dgm:presLayoutVars>
          <dgm:bulletEnabled val="1"/>
        </dgm:presLayoutVars>
      </dgm:prSet>
      <dgm:spPr/>
      <dgm:t>
        <a:bodyPr/>
        <a:lstStyle/>
        <a:p>
          <a:endParaRPr lang="pl-PL"/>
        </a:p>
      </dgm:t>
    </dgm:pt>
    <dgm:pt modelId="{0E5500C1-8BDE-454C-988E-9937AAB800B9}" type="pres">
      <dgm:prSet presAssocID="{D41F5D68-0C96-4D05-9CF1-423FD3E33D2D}" presName="sibTrans" presStyleLbl="sibTrans2D1" presStyleIdx="2" presStyleCnt="8" custScaleX="152449" custScaleY="48907"/>
      <dgm:spPr/>
      <dgm:t>
        <a:bodyPr/>
        <a:lstStyle/>
        <a:p>
          <a:endParaRPr lang="pl-PL"/>
        </a:p>
      </dgm:t>
    </dgm:pt>
    <dgm:pt modelId="{25687F03-5B62-4CE6-85DC-B199566E1E8D}" type="pres">
      <dgm:prSet presAssocID="{D41F5D68-0C96-4D05-9CF1-423FD3E33D2D}" presName="connectorText" presStyleLbl="sibTrans2D1" presStyleIdx="2" presStyleCnt="8"/>
      <dgm:spPr/>
      <dgm:t>
        <a:bodyPr/>
        <a:lstStyle/>
        <a:p>
          <a:endParaRPr lang="pl-PL"/>
        </a:p>
      </dgm:t>
    </dgm:pt>
    <dgm:pt modelId="{074730BD-BE2E-4F1C-A0E6-8E29227902FB}" type="pres">
      <dgm:prSet presAssocID="{9119BCF0-F922-44C5-8FA1-1E902FED8AD3}" presName="node" presStyleLbl="node1" presStyleIdx="3" presStyleCnt="9" custLinFactX="-100000" custLinFactNeighborX="-176563" custLinFactNeighborY="-3982">
        <dgm:presLayoutVars>
          <dgm:bulletEnabled val="1"/>
        </dgm:presLayoutVars>
      </dgm:prSet>
      <dgm:spPr/>
      <dgm:t>
        <a:bodyPr/>
        <a:lstStyle/>
        <a:p>
          <a:endParaRPr lang="pl-PL"/>
        </a:p>
      </dgm:t>
    </dgm:pt>
    <dgm:pt modelId="{3DCE1433-825C-411A-B15D-9F673B5E58DC}" type="pres">
      <dgm:prSet presAssocID="{61D22896-49DE-412F-8302-4DC68ADDE900}" presName="sibTrans" presStyleLbl="sibTrans2D1" presStyleIdx="3" presStyleCnt="8" custScaleX="152449" custScaleY="48907"/>
      <dgm:spPr/>
      <dgm:t>
        <a:bodyPr/>
        <a:lstStyle/>
        <a:p>
          <a:endParaRPr lang="pl-PL"/>
        </a:p>
      </dgm:t>
    </dgm:pt>
    <dgm:pt modelId="{913DAC40-D53F-4D71-8065-62C05AEB82BF}" type="pres">
      <dgm:prSet presAssocID="{61D22896-49DE-412F-8302-4DC68ADDE900}" presName="connectorText" presStyleLbl="sibTrans2D1" presStyleIdx="3" presStyleCnt="8"/>
      <dgm:spPr/>
      <dgm:t>
        <a:bodyPr/>
        <a:lstStyle/>
        <a:p>
          <a:endParaRPr lang="pl-PL"/>
        </a:p>
      </dgm:t>
    </dgm:pt>
    <dgm:pt modelId="{8B176C6F-6F8E-40E4-A61B-A803087B102A}" type="pres">
      <dgm:prSet presAssocID="{5074DE0C-9B05-42DF-9CE9-BF629E3D87C8}" presName="node" presStyleLbl="node1" presStyleIdx="4" presStyleCnt="9" custLinFactX="39199" custLinFactNeighborX="100000" custLinFactNeighborY="-1668">
        <dgm:presLayoutVars>
          <dgm:bulletEnabled val="1"/>
        </dgm:presLayoutVars>
      </dgm:prSet>
      <dgm:spPr/>
      <dgm:t>
        <a:bodyPr/>
        <a:lstStyle/>
        <a:p>
          <a:endParaRPr lang="pl-PL"/>
        </a:p>
      </dgm:t>
    </dgm:pt>
    <dgm:pt modelId="{5AC57FBB-6A04-4712-82FF-EDCF18E1C0D9}" type="pres">
      <dgm:prSet presAssocID="{EBA6FE17-B620-4253-A252-AF0A3C586F9C}" presName="sibTrans" presStyleLbl="sibTrans2D1" presStyleIdx="4" presStyleCnt="8" custScaleX="152449" custScaleY="48907"/>
      <dgm:spPr/>
      <dgm:t>
        <a:bodyPr/>
        <a:lstStyle/>
        <a:p>
          <a:endParaRPr lang="pl-PL"/>
        </a:p>
      </dgm:t>
    </dgm:pt>
    <dgm:pt modelId="{00D434C6-71C0-4962-A07A-59FDBDB1CA5E}" type="pres">
      <dgm:prSet presAssocID="{EBA6FE17-B620-4253-A252-AF0A3C586F9C}" presName="connectorText" presStyleLbl="sibTrans2D1" presStyleIdx="4" presStyleCnt="8"/>
      <dgm:spPr/>
      <dgm:t>
        <a:bodyPr/>
        <a:lstStyle/>
        <a:p>
          <a:endParaRPr lang="pl-PL"/>
        </a:p>
      </dgm:t>
    </dgm:pt>
    <dgm:pt modelId="{5093EF5B-E646-4631-A228-E879D7A2AD8D}" type="pres">
      <dgm:prSet presAssocID="{9959DD10-07F7-40D2-B989-9021C7F901F9}" presName="node" presStyleLbl="node1" presStyleIdx="5" presStyleCnt="9" custLinFactY="-25044" custLinFactNeighborX="3464" custLinFactNeighborY="-100000">
        <dgm:presLayoutVars>
          <dgm:bulletEnabled val="1"/>
        </dgm:presLayoutVars>
      </dgm:prSet>
      <dgm:spPr/>
      <dgm:t>
        <a:bodyPr/>
        <a:lstStyle/>
        <a:p>
          <a:endParaRPr lang="pl-PL"/>
        </a:p>
      </dgm:t>
    </dgm:pt>
    <dgm:pt modelId="{193B96E5-2C14-40A8-9F88-5E4B8C086039}" type="pres">
      <dgm:prSet presAssocID="{78B3AD75-3E47-4DC2-A0DD-DDAF2C335CF4}" presName="sibTrans" presStyleLbl="sibTrans2D1" presStyleIdx="5" presStyleCnt="8" custScaleX="152449" custScaleY="48907"/>
      <dgm:spPr/>
      <dgm:t>
        <a:bodyPr/>
        <a:lstStyle/>
        <a:p>
          <a:endParaRPr lang="pl-PL"/>
        </a:p>
      </dgm:t>
    </dgm:pt>
    <dgm:pt modelId="{A0C32AB7-BCD9-403C-B944-AC221196F1C0}" type="pres">
      <dgm:prSet presAssocID="{78B3AD75-3E47-4DC2-A0DD-DDAF2C335CF4}" presName="connectorText" presStyleLbl="sibTrans2D1" presStyleIdx="5" presStyleCnt="8"/>
      <dgm:spPr/>
      <dgm:t>
        <a:bodyPr/>
        <a:lstStyle/>
        <a:p>
          <a:endParaRPr lang="pl-PL"/>
        </a:p>
      </dgm:t>
    </dgm:pt>
    <dgm:pt modelId="{05580687-B2A2-4870-AFDD-CFE45E0D0EED}" type="pres">
      <dgm:prSet presAssocID="{87248DEF-A8E7-40D0-87D7-44E3014E4294}" presName="node" presStyleLbl="node1" presStyleIdx="6" presStyleCnt="9" custLinFactX="100000" custLinFactY="-100000" custLinFactNeighborX="178977" custLinFactNeighborY="-197262">
        <dgm:presLayoutVars>
          <dgm:bulletEnabled val="1"/>
        </dgm:presLayoutVars>
      </dgm:prSet>
      <dgm:spPr/>
      <dgm:t>
        <a:bodyPr/>
        <a:lstStyle/>
        <a:p>
          <a:endParaRPr lang="pl-PL"/>
        </a:p>
      </dgm:t>
    </dgm:pt>
    <dgm:pt modelId="{18924085-0930-4144-BB8B-AE4F688C69CF}" type="pres">
      <dgm:prSet presAssocID="{D3674C0F-8A93-4536-8740-D458D6A2DD30}" presName="sibTrans" presStyleLbl="sibTrans2D1" presStyleIdx="6" presStyleCnt="8" custScaleX="152449" custScaleY="48907"/>
      <dgm:spPr/>
      <dgm:t>
        <a:bodyPr/>
        <a:lstStyle/>
        <a:p>
          <a:endParaRPr lang="pl-PL"/>
        </a:p>
      </dgm:t>
    </dgm:pt>
    <dgm:pt modelId="{C829D53C-2EDC-421B-90BD-09FFA5E7E317}" type="pres">
      <dgm:prSet presAssocID="{D3674C0F-8A93-4536-8740-D458D6A2DD30}" presName="connectorText" presStyleLbl="sibTrans2D1" presStyleIdx="6" presStyleCnt="8"/>
      <dgm:spPr/>
      <dgm:t>
        <a:bodyPr/>
        <a:lstStyle/>
        <a:p>
          <a:endParaRPr lang="pl-PL"/>
        </a:p>
      </dgm:t>
    </dgm:pt>
    <dgm:pt modelId="{CFCBCF72-F8B5-4F7B-906D-5E120ABD3D21}" type="pres">
      <dgm:prSet presAssocID="{479D202A-7A3A-4353-A918-D67EAE49E732}" presName="node" presStyleLbl="node1" presStyleIdx="7" presStyleCnt="9" custLinFactX="-37073" custLinFactY="-200000" custLinFactNeighborX="-100000" custLinFactNeighborY="-218976">
        <dgm:presLayoutVars>
          <dgm:bulletEnabled val="1"/>
        </dgm:presLayoutVars>
      </dgm:prSet>
      <dgm:spPr/>
      <dgm:t>
        <a:bodyPr/>
        <a:lstStyle/>
        <a:p>
          <a:endParaRPr lang="pl-PL"/>
        </a:p>
      </dgm:t>
    </dgm:pt>
    <dgm:pt modelId="{B7D4A07A-D9D9-4402-B01C-75260F5A6AF6}" type="pres">
      <dgm:prSet presAssocID="{EB607325-EBDD-4326-973B-4ED02A0CEB6F}" presName="sibTrans" presStyleLbl="sibTrans2D1" presStyleIdx="7" presStyleCnt="8"/>
      <dgm:spPr/>
      <dgm:t>
        <a:bodyPr/>
        <a:lstStyle/>
        <a:p>
          <a:endParaRPr lang="pl-PL"/>
        </a:p>
      </dgm:t>
    </dgm:pt>
    <dgm:pt modelId="{53BB884D-BA2E-48D3-A7D4-136534EB002C}" type="pres">
      <dgm:prSet presAssocID="{EB607325-EBDD-4326-973B-4ED02A0CEB6F}" presName="connectorText" presStyleLbl="sibTrans2D1" presStyleIdx="7" presStyleCnt="8"/>
      <dgm:spPr/>
      <dgm:t>
        <a:bodyPr/>
        <a:lstStyle/>
        <a:p>
          <a:endParaRPr lang="pl-PL"/>
        </a:p>
      </dgm:t>
    </dgm:pt>
    <dgm:pt modelId="{2E2D1552-A5B1-4D84-8D2F-5D6DDBF5F55F}" type="pres">
      <dgm:prSet presAssocID="{911E520F-E7FE-4C95-95A8-8ED6035B1C08}" presName="node" presStyleLbl="node1" presStyleIdx="8" presStyleCnt="9" custLinFactY="-200000" custLinFactNeighborX="-233" custLinFactNeighborY="-207038">
        <dgm:presLayoutVars>
          <dgm:bulletEnabled val="1"/>
        </dgm:presLayoutVars>
      </dgm:prSet>
      <dgm:spPr/>
      <dgm:t>
        <a:bodyPr/>
        <a:lstStyle/>
        <a:p>
          <a:endParaRPr lang="pl-PL"/>
        </a:p>
      </dgm:t>
    </dgm:pt>
  </dgm:ptLst>
  <dgm:cxnLst>
    <dgm:cxn modelId="{C6F90475-786A-4ABC-AB52-79D9B93731CE}" srcId="{53858B04-9446-49EE-9B91-87A26B082359}" destId="{479D202A-7A3A-4353-A918-D67EAE49E732}" srcOrd="7" destOrd="0" parTransId="{38139FA8-5632-4527-A02C-CD6D56656DF5}" sibTransId="{EB607325-EBDD-4326-973B-4ED02A0CEB6F}"/>
    <dgm:cxn modelId="{E17339F8-E4F8-495E-B37A-B77AFF6E46AB}" srcId="{53858B04-9446-49EE-9B91-87A26B082359}" destId="{9119BCF0-F922-44C5-8FA1-1E902FED8AD3}" srcOrd="3" destOrd="0" parTransId="{B040198B-5259-4E7A-BE76-4C36021A3D04}" sibTransId="{61D22896-49DE-412F-8302-4DC68ADDE900}"/>
    <dgm:cxn modelId="{E013AFE3-8530-4C84-ACC3-FAE043294455}" srcId="{53858B04-9446-49EE-9B91-87A26B082359}" destId="{87248DEF-A8E7-40D0-87D7-44E3014E4294}" srcOrd="6" destOrd="0" parTransId="{88510456-31ED-473E-8764-1A0D3D88DBC4}" sibTransId="{D3674C0F-8A93-4536-8740-D458D6A2DD30}"/>
    <dgm:cxn modelId="{5127A50F-EF54-45D8-9B2E-2398C345DD2E}" type="presOf" srcId="{D41F5D68-0C96-4D05-9CF1-423FD3E33D2D}" destId="{25687F03-5B62-4CE6-85DC-B199566E1E8D}" srcOrd="1" destOrd="0" presId="urn:microsoft.com/office/officeart/2005/8/layout/process5"/>
    <dgm:cxn modelId="{AC378893-48D7-4EF8-B567-8BC0B577E131}" type="presOf" srcId="{D41F5D68-0C96-4D05-9CF1-423FD3E33D2D}" destId="{0E5500C1-8BDE-454C-988E-9937AAB800B9}" srcOrd="0" destOrd="0" presId="urn:microsoft.com/office/officeart/2005/8/layout/process5"/>
    <dgm:cxn modelId="{24A4E4EF-398A-4336-950D-542A305A2BA3}" srcId="{53858B04-9446-49EE-9B91-87A26B082359}" destId="{E9892CBF-3D72-43BE-A85D-F703126F31A3}" srcOrd="0" destOrd="0" parTransId="{14BB5996-1662-425F-87D3-DE4FC87658D9}" sibTransId="{E0379145-D78D-40B1-BCF5-066138214C6B}"/>
    <dgm:cxn modelId="{CA68369A-D468-4036-BFFF-C8B00259CA59}" srcId="{53858B04-9446-49EE-9B91-87A26B082359}" destId="{4D916BD8-3277-4966-A664-8D5CE8F52A4A}" srcOrd="2" destOrd="0" parTransId="{EC3A2FD6-DD94-488B-8DFB-0FC34E87EFA0}" sibTransId="{D41F5D68-0C96-4D05-9CF1-423FD3E33D2D}"/>
    <dgm:cxn modelId="{7E18F258-A1CB-47E5-A391-085A622D6FEE}" srcId="{53858B04-9446-49EE-9B91-87A26B082359}" destId="{5074DE0C-9B05-42DF-9CE9-BF629E3D87C8}" srcOrd="4" destOrd="0" parTransId="{8CAF6857-A421-4D13-ABB8-A61E1CD520C2}" sibTransId="{EBA6FE17-B620-4253-A252-AF0A3C586F9C}"/>
    <dgm:cxn modelId="{36FBDCBE-5997-425A-80EF-C5EA1AEC447A}" type="presOf" srcId="{9119BCF0-F922-44C5-8FA1-1E902FED8AD3}" destId="{074730BD-BE2E-4F1C-A0E6-8E29227902FB}" srcOrd="0" destOrd="0" presId="urn:microsoft.com/office/officeart/2005/8/layout/process5"/>
    <dgm:cxn modelId="{35A4CB82-CA18-498A-A8C6-A6A712B3B62D}" type="presOf" srcId="{EB607325-EBDD-4326-973B-4ED02A0CEB6F}" destId="{53BB884D-BA2E-48D3-A7D4-136534EB002C}" srcOrd="1" destOrd="0" presId="urn:microsoft.com/office/officeart/2005/8/layout/process5"/>
    <dgm:cxn modelId="{CD1A4024-8F88-40AC-98FD-7B105E584F72}" type="presOf" srcId="{53858B04-9446-49EE-9B91-87A26B082359}" destId="{64F9C28E-BB4D-42FB-BCD8-2EF586C41992}" srcOrd="0" destOrd="0" presId="urn:microsoft.com/office/officeart/2005/8/layout/process5"/>
    <dgm:cxn modelId="{D9932369-5F11-4B80-93EF-1A7C8BAD98D4}" type="presOf" srcId="{D3674C0F-8A93-4536-8740-D458D6A2DD30}" destId="{C829D53C-2EDC-421B-90BD-09FFA5E7E317}" srcOrd="1" destOrd="0" presId="urn:microsoft.com/office/officeart/2005/8/layout/process5"/>
    <dgm:cxn modelId="{11F3EA32-C0FB-4AA1-A86A-36A4DB9DF77E}" srcId="{53858B04-9446-49EE-9B91-87A26B082359}" destId="{015C96D2-068F-439C-A1EF-C89F905293DD}" srcOrd="1" destOrd="0" parTransId="{A703F4B7-41CC-416C-8EAA-E4A87963D4A1}" sibTransId="{6BBC39F7-2239-480E-9BF2-9138F0B39F2A}"/>
    <dgm:cxn modelId="{A6998E08-72DB-474F-85A9-D7464A3FBFDA}" type="presOf" srcId="{61D22896-49DE-412F-8302-4DC68ADDE900}" destId="{913DAC40-D53F-4D71-8065-62C05AEB82BF}" srcOrd="1" destOrd="0" presId="urn:microsoft.com/office/officeart/2005/8/layout/process5"/>
    <dgm:cxn modelId="{86F96D3C-7065-4287-841E-9D2B5210F8EE}" type="presOf" srcId="{4D916BD8-3277-4966-A664-8D5CE8F52A4A}" destId="{119888E5-93BD-4843-9618-29B4E883BA90}" srcOrd="0" destOrd="0" presId="urn:microsoft.com/office/officeart/2005/8/layout/process5"/>
    <dgm:cxn modelId="{B212A410-0DDB-4505-B28F-37B20E814AF2}" srcId="{53858B04-9446-49EE-9B91-87A26B082359}" destId="{9959DD10-07F7-40D2-B989-9021C7F901F9}" srcOrd="5" destOrd="0" parTransId="{E9B40E4D-3648-449B-B9DF-9E16BD2564CE}" sibTransId="{78B3AD75-3E47-4DC2-A0DD-DDAF2C335CF4}"/>
    <dgm:cxn modelId="{4A543D1E-ACF4-47E1-AFC8-D1F9D7ED432F}" type="presOf" srcId="{E0379145-D78D-40B1-BCF5-066138214C6B}" destId="{371B4F51-9298-409D-9608-E0F64B328493}" srcOrd="1" destOrd="0" presId="urn:microsoft.com/office/officeart/2005/8/layout/process5"/>
    <dgm:cxn modelId="{20F2B548-DD9B-44AA-9110-BA5D74BCEA61}" type="presOf" srcId="{479D202A-7A3A-4353-A918-D67EAE49E732}" destId="{CFCBCF72-F8B5-4F7B-906D-5E120ABD3D21}" srcOrd="0" destOrd="0" presId="urn:microsoft.com/office/officeart/2005/8/layout/process5"/>
    <dgm:cxn modelId="{0AFD8804-AFA5-457A-9344-11A238D8D78E}" type="presOf" srcId="{61D22896-49DE-412F-8302-4DC68ADDE900}" destId="{3DCE1433-825C-411A-B15D-9F673B5E58DC}" srcOrd="0" destOrd="0" presId="urn:microsoft.com/office/officeart/2005/8/layout/process5"/>
    <dgm:cxn modelId="{0877D555-309C-49D2-83CF-3D447BF2FAA2}" type="presOf" srcId="{015C96D2-068F-439C-A1EF-C89F905293DD}" destId="{A2606949-01EA-43C1-A827-E359712CB796}" srcOrd="0" destOrd="0" presId="urn:microsoft.com/office/officeart/2005/8/layout/process5"/>
    <dgm:cxn modelId="{4EC0AC50-ADD7-44CB-9E61-07562D48C8F6}" type="presOf" srcId="{911E520F-E7FE-4C95-95A8-8ED6035B1C08}" destId="{2E2D1552-A5B1-4D84-8D2F-5D6DDBF5F55F}" srcOrd="0" destOrd="0" presId="urn:microsoft.com/office/officeart/2005/8/layout/process5"/>
    <dgm:cxn modelId="{BD22EBE9-D977-48FF-8594-63A8CE4F6FBF}" type="presOf" srcId="{87248DEF-A8E7-40D0-87D7-44E3014E4294}" destId="{05580687-B2A2-4870-AFDD-CFE45E0D0EED}" srcOrd="0" destOrd="0" presId="urn:microsoft.com/office/officeart/2005/8/layout/process5"/>
    <dgm:cxn modelId="{54CC73CC-ECEC-406F-8CBC-AC967C05A64F}" type="presOf" srcId="{78B3AD75-3E47-4DC2-A0DD-DDAF2C335CF4}" destId="{193B96E5-2C14-40A8-9F88-5E4B8C086039}" srcOrd="0" destOrd="0" presId="urn:microsoft.com/office/officeart/2005/8/layout/process5"/>
    <dgm:cxn modelId="{CB9D0F0A-D0F4-4BAB-815E-7758F2AE8D38}" type="presOf" srcId="{78B3AD75-3E47-4DC2-A0DD-DDAF2C335CF4}" destId="{A0C32AB7-BCD9-403C-B944-AC221196F1C0}" srcOrd="1" destOrd="0" presId="urn:microsoft.com/office/officeart/2005/8/layout/process5"/>
    <dgm:cxn modelId="{A8700FFF-633D-4142-BD20-CF92FAE74D52}" type="presOf" srcId="{E0379145-D78D-40B1-BCF5-066138214C6B}" destId="{B3E24E3D-77A9-4613-9EB6-A20A6A1A16C5}" srcOrd="0" destOrd="0" presId="urn:microsoft.com/office/officeart/2005/8/layout/process5"/>
    <dgm:cxn modelId="{7B28A85A-23A0-4C5C-88A9-B5EEE6EA08A2}" srcId="{53858B04-9446-49EE-9B91-87A26B082359}" destId="{911E520F-E7FE-4C95-95A8-8ED6035B1C08}" srcOrd="8" destOrd="0" parTransId="{DB8B8073-1E89-414D-BF25-66AA0B1BD27A}" sibTransId="{0BE5C8F7-6253-4E76-9A06-F77E332385F7}"/>
    <dgm:cxn modelId="{A963526D-7C61-4213-BB57-86B574D65A9D}" type="presOf" srcId="{5074DE0C-9B05-42DF-9CE9-BF629E3D87C8}" destId="{8B176C6F-6F8E-40E4-A61B-A803087B102A}" srcOrd="0" destOrd="0" presId="urn:microsoft.com/office/officeart/2005/8/layout/process5"/>
    <dgm:cxn modelId="{38510B7C-DA72-42A0-BC1A-F392C33C7B94}" type="presOf" srcId="{D3674C0F-8A93-4536-8740-D458D6A2DD30}" destId="{18924085-0930-4144-BB8B-AE4F688C69CF}" srcOrd="0" destOrd="0" presId="urn:microsoft.com/office/officeart/2005/8/layout/process5"/>
    <dgm:cxn modelId="{F81FDF21-62DF-4C6D-AFDE-D5AC83B9CEEE}" type="presOf" srcId="{6BBC39F7-2239-480E-9BF2-9138F0B39F2A}" destId="{2D10D067-1695-45E4-83FE-83F74F47EB73}" srcOrd="1" destOrd="0" presId="urn:microsoft.com/office/officeart/2005/8/layout/process5"/>
    <dgm:cxn modelId="{17E1A664-6277-4315-967D-52CD33840DC8}" type="presOf" srcId="{EBA6FE17-B620-4253-A252-AF0A3C586F9C}" destId="{5AC57FBB-6A04-4712-82FF-EDCF18E1C0D9}" srcOrd="0" destOrd="0" presId="urn:microsoft.com/office/officeart/2005/8/layout/process5"/>
    <dgm:cxn modelId="{679D79BC-A09E-4FBC-AA56-E46564C15DF4}" type="presOf" srcId="{9959DD10-07F7-40D2-B989-9021C7F901F9}" destId="{5093EF5B-E646-4631-A228-E879D7A2AD8D}" srcOrd="0" destOrd="0" presId="urn:microsoft.com/office/officeart/2005/8/layout/process5"/>
    <dgm:cxn modelId="{19BB160D-6884-4426-83DB-C6D3E603081E}" type="presOf" srcId="{EB607325-EBDD-4326-973B-4ED02A0CEB6F}" destId="{B7D4A07A-D9D9-4402-B01C-75260F5A6AF6}" srcOrd="0" destOrd="0" presId="urn:microsoft.com/office/officeart/2005/8/layout/process5"/>
    <dgm:cxn modelId="{74A99543-BB88-41D6-8A21-EFAA8507615F}" type="presOf" srcId="{EBA6FE17-B620-4253-A252-AF0A3C586F9C}" destId="{00D434C6-71C0-4962-A07A-59FDBDB1CA5E}" srcOrd="1" destOrd="0" presId="urn:microsoft.com/office/officeart/2005/8/layout/process5"/>
    <dgm:cxn modelId="{9C928E79-4B3E-4CB6-AF2E-A2693F8B2E37}" type="presOf" srcId="{6BBC39F7-2239-480E-9BF2-9138F0B39F2A}" destId="{C93AA9B2-BA02-48E1-BE38-80B441CD46F8}" srcOrd="0" destOrd="0" presId="urn:microsoft.com/office/officeart/2005/8/layout/process5"/>
    <dgm:cxn modelId="{B5F547AE-4DE7-4BF0-922C-1D92F65E5AC0}" type="presOf" srcId="{E9892CBF-3D72-43BE-A85D-F703126F31A3}" destId="{6E803DC3-70C8-4E1F-9C16-B1D900152D76}" srcOrd="0" destOrd="0" presId="urn:microsoft.com/office/officeart/2005/8/layout/process5"/>
    <dgm:cxn modelId="{726DF193-E902-41AE-B865-BAE360F7A002}" type="presParOf" srcId="{64F9C28E-BB4D-42FB-BCD8-2EF586C41992}" destId="{6E803DC3-70C8-4E1F-9C16-B1D900152D76}" srcOrd="0" destOrd="0" presId="urn:microsoft.com/office/officeart/2005/8/layout/process5"/>
    <dgm:cxn modelId="{063B8BAE-2826-419A-A788-09F18C704619}" type="presParOf" srcId="{64F9C28E-BB4D-42FB-BCD8-2EF586C41992}" destId="{B3E24E3D-77A9-4613-9EB6-A20A6A1A16C5}" srcOrd="1" destOrd="0" presId="urn:microsoft.com/office/officeart/2005/8/layout/process5"/>
    <dgm:cxn modelId="{FBFCFDE7-5DF1-4096-9F96-E81B26A43AF4}" type="presParOf" srcId="{B3E24E3D-77A9-4613-9EB6-A20A6A1A16C5}" destId="{371B4F51-9298-409D-9608-E0F64B328493}" srcOrd="0" destOrd="0" presId="urn:microsoft.com/office/officeart/2005/8/layout/process5"/>
    <dgm:cxn modelId="{8276AA82-C330-4C57-988E-A27D0A830DE1}" type="presParOf" srcId="{64F9C28E-BB4D-42FB-BCD8-2EF586C41992}" destId="{A2606949-01EA-43C1-A827-E359712CB796}" srcOrd="2" destOrd="0" presId="urn:microsoft.com/office/officeart/2005/8/layout/process5"/>
    <dgm:cxn modelId="{41FB6F95-5D6B-4F8D-8028-509C1119371D}" type="presParOf" srcId="{64F9C28E-BB4D-42FB-BCD8-2EF586C41992}" destId="{C93AA9B2-BA02-48E1-BE38-80B441CD46F8}" srcOrd="3" destOrd="0" presId="urn:microsoft.com/office/officeart/2005/8/layout/process5"/>
    <dgm:cxn modelId="{DC4ACB89-8087-4D90-A798-A9D59DAE86AD}" type="presParOf" srcId="{C93AA9B2-BA02-48E1-BE38-80B441CD46F8}" destId="{2D10D067-1695-45E4-83FE-83F74F47EB73}" srcOrd="0" destOrd="0" presId="urn:microsoft.com/office/officeart/2005/8/layout/process5"/>
    <dgm:cxn modelId="{C450ACC0-408F-4C81-A071-9D994BBF6F00}" type="presParOf" srcId="{64F9C28E-BB4D-42FB-BCD8-2EF586C41992}" destId="{119888E5-93BD-4843-9618-29B4E883BA90}" srcOrd="4" destOrd="0" presId="urn:microsoft.com/office/officeart/2005/8/layout/process5"/>
    <dgm:cxn modelId="{7671ADEC-6AA3-4A45-B5F5-2254835B362C}" type="presParOf" srcId="{64F9C28E-BB4D-42FB-BCD8-2EF586C41992}" destId="{0E5500C1-8BDE-454C-988E-9937AAB800B9}" srcOrd="5" destOrd="0" presId="urn:microsoft.com/office/officeart/2005/8/layout/process5"/>
    <dgm:cxn modelId="{D4E2E820-4C4D-4DF2-9902-60A545D290F8}" type="presParOf" srcId="{0E5500C1-8BDE-454C-988E-9937AAB800B9}" destId="{25687F03-5B62-4CE6-85DC-B199566E1E8D}" srcOrd="0" destOrd="0" presId="urn:microsoft.com/office/officeart/2005/8/layout/process5"/>
    <dgm:cxn modelId="{2A2A08ED-AFBD-442E-B419-925B55BBA2BB}" type="presParOf" srcId="{64F9C28E-BB4D-42FB-BCD8-2EF586C41992}" destId="{074730BD-BE2E-4F1C-A0E6-8E29227902FB}" srcOrd="6" destOrd="0" presId="urn:microsoft.com/office/officeart/2005/8/layout/process5"/>
    <dgm:cxn modelId="{1AD5C663-8B34-4DA2-BA60-1C8F3C35E2F5}" type="presParOf" srcId="{64F9C28E-BB4D-42FB-BCD8-2EF586C41992}" destId="{3DCE1433-825C-411A-B15D-9F673B5E58DC}" srcOrd="7" destOrd="0" presId="urn:microsoft.com/office/officeart/2005/8/layout/process5"/>
    <dgm:cxn modelId="{FF1A2E69-7EA0-4F67-B451-F379E41D79D6}" type="presParOf" srcId="{3DCE1433-825C-411A-B15D-9F673B5E58DC}" destId="{913DAC40-D53F-4D71-8065-62C05AEB82BF}" srcOrd="0" destOrd="0" presId="urn:microsoft.com/office/officeart/2005/8/layout/process5"/>
    <dgm:cxn modelId="{5D29AAEC-00E9-4047-9A68-AEF08A20AF5C}" type="presParOf" srcId="{64F9C28E-BB4D-42FB-BCD8-2EF586C41992}" destId="{8B176C6F-6F8E-40E4-A61B-A803087B102A}" srcOrd="8" destOrd="0" presId="urn:microsoft.com/office/officeart/2005/8/layout/process5"/>
    <dgm:cxn modelId="{44399644-CF23-436A-86B3-B2CFEC2A49ED}" type="presParOf" srcId="{64F9C28E-BB4D-42FB-BCD8-2EF586C41992}" destId="{5AC57FBB-6A04-4712-82FF-EDCF18E1C0D9}" srcOrd="9" destOrd="0" presId="urn:microsoft.com/office/officeart/2005/8/layout/process5"/>
    <dgm:cxn modelId="{6D895440-2373-4363-B867-490DFF323647}" type="presParOf" srcId="{5AC57FBB-6A04-4712-82FF-EDCF18E1C0D9}" destId="{00D434C6-71C0-4962-A07A-59FDBDB1CA5E}" srcOrd="0" destOrd="0" presId="urn:microsoft.com/office/officeart/2005/8/layout/process5"/>
    <dgm:cxn modelId="{BE4B1A7E-7FCF-43B7-9FF0-67FC9E666FFF}" type="presParOf" srcId="{64F9C28E-BB4D-42FB-BCD8-2EF586C41992}" destId="{5093EF5B-E646-4631-A228-E879D7A2AD8D}" srcOrd="10" destOrd="0" presId="urn:microsoft.com/office/officeart/2005/8/layout/process5"/>
    <dgm:cxn modelId="{3957E712-7A80-4015-9726-0D346A3AC6D9}" type="presParOf" srcId="{64F9C28E-BB4D-42FB-BCD8-2EF586C41992}" destId="{193B96E5-2C14-40A8-9F88-5E4B8C086039}" srcOrd="11" destOrd="0" presId="urn:microsoft.com/office/officeart/2005/8/layout/process5"/>
    <dgm:cxn modelId="{0F51E018-33F7-4DDE-83EA-97281AB2B5D6}" type="presParOf" srcId="{193B96E5-2C14-40A8-9F88-5E4B8C086039}" destId="{A0C32AB7-BCD9-403C-B944-AC221196F1C0}" srcOrd="0" destOrd="0" presId="urn:microsoft.com/office/officeart/2005/8/layout/process5"/>
    <dgm:cxn modelId="{D2F2CC01-1FE6-44DE-A387-D0A01D8FD9B3}" type="presParOf" srcId="{64F9C28E-BB4D-42FB-BCD8-2EF586C41992}" destId="{05580687-B2A2-4870-AFDD-CFE45E0D0EED}" srcOrd="12" destOrd="0" presId="urn:microsoft.com/office/officeart/2005/8/layout/process5"/>
    <dgm:cxn modelId="{0BB8B387-50E7-4235-9982-A41207541ED4}" type="presParOf" srcId="{64F9C28E-BB4D-42FB-BCD8-2EF586C41992}" destId="{18924085-0930-4144-BB8B-AE4F688C69CF}" srcOrd="13" destOrd="0" presId="urn:microsoft.com/office/officeart/2005/8/layout/process5"/>
    <dgm:cxn modelId="{4B0C7E7C-AE84-4634-9AAD-5968FD525742}" type="presParOf" srcId="{18924085-0930-4144-BB8B-AE4F688C69CF}" destId="{C829D53C-2EDC-421B-90BD-09FFA5E7E317}" srcOrd="0" destOrd="0" presId="urn:microsoft.com/office/officeart/2005/8/layout/process5"/>
    <dgm:cxn modelId="{C4EB088E-9C97-4446-B5CA-A79CF32B8965}" type="presParOf" srcId="{64F9C28E-BB4D-42FB-BCD8-2EF586C41992}" destId="{CFCBCF72-F8B5-4F7B-906D-5E120ABD3D21}" srcOrd="14" destOrd="0" presId="urn:microsoft.com/office/officeart/2005/8/layout/process5"/>
    <dgm:cxn modelId="{2DB24735-1681-47A7-AA46-D636F2506064}" type="presParOf" srcId="{64F9C28E-BB4D-42FB-BCD8-2EF586C41992}" destId="{B7D4A07A-D9D9-4402-B01C-75260F5A6AF6}" srcOrd="15" destOrd="0" presId="urn:microsoft.com/office/officeart/2005/8/layout/process5"/>
    <dgm:cxn modelId="{0CE529B7-52A6-4C67-BD68-C6CC953DF6A4}" type="presParOf" srcId="{B7D4A07A-D9D9-4402-B01C-75260F5A6AF6}" destId="{53BB884D-BA2E-48D3-A7D4-136534EB002C}" srcOrd="0" destOrd="0" presId="urn:microsoft.com/office/officeart/2005/8/layout/process5"/>
    <dgm:cxn modelId="{4FAA2DA3-3D40-4D9A-8B67-60AC2E5F0089}" type="presParOf" srcId="{64F9C28E-BB4D-42FB-BCD8-2EF586C41992}" destId="{2E2D1552-A5B1-4D84-8D2F-5D6DDBF5F55F}" srcOrd="16" destOrd="0" presId="urn:microsoft.com/office/officeart/2005/8/layout/process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803DC3-70C8-4E1F-9C16-B1D900152D76}">
      <dsp:nvSpPr>
        <dsp:cNvPr id="0" name=""/>
        <dsp:cNvSpPr/>
      </dsp:nvSpPr>
      <dsp:spPr>
        <a:xfrm>
          <a:off x="2654783" y="2738382"/>
          <a:ext cx="945876" cy="56752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b="1" kern="1200">
              <a:solidFill>
                <a:srgbClr val="002060"/>
              </a:solidFill>
            </a:rPr>
            <a:t>Warunki wstępne</a:t>
          </a:r>
        </a:p>
      </dsp:txBody>
      <dsp:txXfrm>
        <a:off x="2671405" y="2755004"/>
        <a:ext cx="912632" cy="534281"/>
      </dsp:txXfrm>
    </dsp:sp>
    <dsp:sp modelId="{B3E24E3D-77A9-4613-9EB6-A20A6A1A16C5}">
      <dsp:nvSpPr>
        <dsp:cNvPr id="0" name=""/>
        <dsp:cNvSpPr/>
      </dsp:nvSpPr>
      <dsp:spPr>
        <a:xfrm rot="11658040">
          <a:off x="1152283" y="2638267"/>
          <a:ext cx="1389065" cy="114724"/>
        </a:xfrm>
        <a:prstGeom prst="rightArrow">
          <a:avLst>
            <a:gd name="adj1" fmla="val 60000"/>
            <a:gd name="adj2" fmla="val 50000"/>
          </a:avLst>
        </a:prstGeom>
        <a:solidFill>
          <a:srgbClr val="BDD6E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l-PL" sz="1000" kern="1200"/>
        </a:p>
      </dsp:txBody>
      <dsp:txXfrm rot="10800000">
        <a:off x="1186167" y="2665463"/>
        <a:ext cx="1354648" cy="68834"/>
      </dsp:txXfrm>
    </dsp:sp>
    <dsp:sp modelId="{A2606949-01EA-43C1-A827-E359712CB796}">
      <dsp:nvSpPr>
        <dsp:cNvPr id="0" name=""/>
        <dsp:cNvSpPr/>
      </dsp:nvSpPr>
      <dsp:spPr>
        <a:xfrm>
          <a:off x="42995" y="2072612"/>
          <a:ext cx="945876" cy="56752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b="1" kern="1200">
              <a:solidFill>
                <a:srgbClr val="002060"/>
              </a:solidFill>
            </a:rPr>
            <a:t>Działania</a:t>
          </a:r>
        </a:p>
      </dsp:txBody>
      <dsp:txXfrm>
        <a:off x="59617" y="2089234"/>
        <a:ext cx="912632" cy="534281"/>
      </dsp:txXfrm>
    </dsp:sp>
    <dsp:sp modelId="{C93AA9B2-BA02-48E1-BE38-80B441CD46F8}">
      <dsp:nvSpPr>
        <dsp:cNvPr id="0" name=""/>
        <dsp:cNvSpPr/>
      </dsp:nvSpPr>
      <dsp:spPr>
        <a:xfrm rot="135">
          <a:off x="1123017" y="2299063"/>
          <a:ext cx="1337940" cy="114724"/>
        </a:xfrm>
        <a:prstGeom prst="rightArrow">
          <a:avLst>
            <a:gd name="adj1" fmla="val 60000"/>
            <a:gd name="adj2" fmla="val 50000"/>
          </a:avLst>
        </a:prstGeom>
        <a:solidFill>
          <a:srgbClr val="BDD6E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l-PL" sz="1000" kern="1200"/>
        </a:p>
      </dsp:txBody>
      <dsp:txXfrm>
        <a:off x="1123017" y="2322007"/>
        <a:ext cx="1303523" cy="68834"/>
      </dsp:txXfrm>
    </dsp:sp>
    <dsp:sp modelId="{119888E5-93BD-4843-9618-29B4E883BA90}">
      <dsp:nvSpPr>
        <dsp:cNvPr id="0" name=""/>
        <dsp:cNvSpPr/>
      </dsp:nvSpPr>
      <dsp:spPr>
        <a:xfrm>
          <a:off x="2644780" y="2072715"/>
          <a:ext cx="945876" cy="567525"/>
        </a:xfrm>
        <a:prstGeom prst="roundRect">
          <a:avLst>
            <a:gd name="adj" fmla="val 10000"/>
          </a:avLst>
        </a:prstGeom>
        <a:solidFill>
          <a:srgbClr val="BDD6EE"/>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solidFill>
                <a:srgbClr val="002060"/>
              </a:solidFill>
            </a:rPr>
            <a:t>odpowiedzi ekspertów</a:t>
          </a:r>
        </a:p>
      </dsp:txBody>
      <dsp:txXfrm>
        <a:off x="2661402" y="2089337"/>
        <a:ext cx="912632" cy="534281"/>
      </dsp:txXfrm>
    </dsp:sp>
    <dsp:sp modelId="{0E5500C1-8BDE-454C-988E-9937AAB800B9}">
      <dsp:nvSpPr>
        <dsp:cNvPr id="0" name=""/>
        <dsp:cNvSpPr/>
      </dsp:nvSpPr>
      <dsp:spPr>
        <a:xfrm rot="11733124">
          <a:off x="1140650" y="1942997"/>
          <a:ext cx="1394927" cy="114724"/>
        </a:xfrm>
        <a:prstGeom prst="rightArrow">
          <a:avLst>
            <a:gd name="adj1" fmla="val 60000"/>
            <a:gd name="adj2" fmla="val 50000"/>
          </a:avLst>
        </a:prstGeom>
        <a:solidFill>
          <a:srgbClr val="BDD6E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l-PL" sz="1000" kern="1200"/>
        </a:p>
      </dsp:txBody>
      <dsp:txXfrm rot="10800000">
        <a:off x="1174437" y="1970556"/>
        <a:ext cx="1360510" cy="68834"/>
      </dsp:txXfrm>
    </dsp:sp>
    <dsp:sp modelId="{074730BD-BE2E-4F1C-A0E6-8E29227902FB}">
      <dsp:nvSpPr>
        <dsp:cNvPr id="0" name=""/>
        <dsp:cNvSpPr/>
      </dsp:nvSpPr>
      <dsp:spPr>
        <a:xfrm>
          <a:off x="35674" y="1346592"/>
          <a:ext cx="945876" cy="56752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b="1" kern="1200">
              <a:solidFill>
                <a:srgbClr val="002060"/>
              </a:solidFill>
            </a:rPr>
            <a:t>Wyniki</a:t>
          </a:r>
        </a:p>
      </dsp:txBody>
      <dsp:txXfrm>
        <a:off x="52296" y="1363214"/>
        <a:ext cx="912632" cy="534281"/>
      </dsp:txXfrm>
    </dsp:sp>
    <dsp:sp modelId="{3DCE1433-825C-411A-B15D-9F673B5E58DC}">
      <dsp:nvSpPr>
        <dsp:cNvPr id="0" name=""/>
        <dsp:cNvSpPr/>
      </dsp:nvSpPr>
      <dsp:spPr>
        <a:xfrm rot="17308">
          <a:off x="1116221" y="1579433"/>
          <a:ext cx="1343276" cy="114724"/>
        </a:xfrm>
        <a:prstGeom prst="rightArrow">
          <a:avLst>
            <a:gd name="adj1" fmla="val 60000"/>
            <a:gd name="adj2" fmla="val 50000"/>
          </a:avLst>
        </a:prstGeom>
        <a:solidFill>
          <a:srgbClr val="BDD6E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l-PL" sz="1000" kern="1200"/>
        </a:p>
      </dsp:txBody>
      <dsp:txXfrm>
        <a:off x="1116221" y="1602291"/>
        <a:ext cx="1308859" cy="68834"/>
      </dsp:txXfrm>
    </dsp:sp>
    <dsp:sp modelId="{8B176C6F-6F8E-40E4-A61B-A803087B102A}">
      <dsp:nvSpPr>
        <dsp:cNvPr id="0" name=""/>
        <dsp:cNvSpPr/>
      </dsp:nvSpPr>
      <dsp:spPr>
        <a:xfrm>
          <a:off x="2644042" y="1359724"/>
          <a:ext cx="945876" cy="567525"/>
        </a:xfrm>
        <a:prstGeom prst="roundRect">
          <a:avLst>
            <a:gd name="adj" fmla="val 10000"/>
          </a:avLst>
        </a:prstGeom>
        <a:solidFill>
          <a:srgbClr val="BDD6EE"/>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solidFill>
                <a:srgbClr val="002060"/>
              </a:solidFill>
            </a:rPr>
            <a:t>odpowiedzi ekspertów</a:t>
          </a:r>
        </a:p>
      </dsp:txBody>
      <dsp:txXfrm>
        <a:off x="2660664" y="1376346"/>
        <a:ext cx="912632" cy="534281"/>
      </dsp:txXfrm>
    </dsp:sp>
    <dsp:sp modelId="{5AC57FBB-6A04-4712-82FF-EDCF18E1C0D9}">
      <dsp:nvSpPr>
        <dsp:cNvPr id="0" name=""/>
        <dsp:cNvSpPr/>
      </dsp:nvSpPr>
      <dsp:spPr>
        <a:xfrm rot="11701659">
          <a:off x="1142552" y="1242723"/>
          <a:ext cx="1390610" cy="114724"/>
        </a:xfrm>
        <a:prstGeom prst="rightArrow">
          <a:avLst>
            <a:gd name="adj1" fmla="val 60000"/>
            <a:gd name="adj2" fmla="val 50000"/>
          </a:avLst>
        </a:prstGeom>
        <a:solidFill>
          <a:srgbClr val="BDD6E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l-PL" sz="1000" kern="1200"/>
        </a:p>
      </dsp:txBody>
      <dsp:txXfrm rot="10800000">
        <a:off x="1176380" y="1270130"/>
        <a:ext cx="1356193" cy="68834"/>
      </dsp:txXfrm>
    </dsp:sp>
    <dsp:sp modelId="{5093EF5B-E646-4631-A228-E879D7A2AD8D}">
      <dsp:nvSpPr>
        <dsp:cNvPr id="0" name=""/>
        <dsp:cNvSpPr/>
      </dsp:nvSpPr>
      <dsp:spPr>
        <a:xfrm>
          <a:off x="35929" y="659533"/>
          <a:ext cx="945876" cy="56752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b="1" kern="1200">
              <a:solidFill>
                <a:srgbClr val="002060"/>
              </a:solidFill>
            </a:rPr>
            <a:t>Zamierzenia interwencji</a:t>
          </a:r>
        </a:p>
      </dsp:txBody>
      <dsp:txXfrm>
        <a:off x="52551" y="676155"/>
        <a:ext cx="912632" cy="534281"/>
      </dsp:txXfrm>
    </dsp:sp>
    <dsp:sp modelId="{193B96E5-2C14-40A8-9F88-5E4B8C086039}">
      <dsp:nvSpPr>
        <dsp:cNvPr id="0" name=""/>
        <dsp:cNvSpPr/>
      </dsp:nvSpPr>
      <dsp:spPr>
        <a:xfrm rot="21558442">
          <a:off x="1116245" y="870482"/>
          <a:ext cx="1341454" cy="114724"/>
        </a:xfrm>
        <a:prstGeom prst="rightArrow">
          <a:avLst>
            <a:gd name="adj1" fmla="val 60000"/>
            <a:gd name="adj2" fmla="val 50000"/>
          </a:avLst>
        </a:prstGeom>
        <a:solidFill>
          <a:srgbClr val="BDD6E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l-PL" sz="1000" kern="1200"/>
        </a:p>
      </dsp:txBody>
      <dsp:txXfrm>
        <a:off x="1116246" y="893635"/>
        <a:ext cx="1307037" cy="68834"/>
      </dsp:txXfrm>
    </dsp:sp>
    <dsp:sp modelId="{05580687-B2A2-4870-AFDD-CFE45E0D0EED}">
      <dsp:nvSpPr>
        <dsp:cNvPr id="0" name=""/>
        <dsp:cNvSpPr/>
      </dsp:nvSpPr>
      <dsp:spPr>
        <a:xfrm>
          <a:off x="2641942" y="628028"/>
          <a:ext cx="945876" cy="567525"/>
        </a:xfrm>
        <a:prstGeom prst="roundRect">
          <a:avLst>
            <a:gd name="adj" fmla="val 10000"/>
          </a:avLst>
        </a:prstGeom>
        <a:solidFill>
          <a:srgbClr val="BDD6EE"/>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solidFill>
                <a:srgbClr val="002060"/>
              </a:solidFill>
            </a:rPr>
            <a:t>odpowiedzi ekspertów</a:t>
          </a:r>
        </a:p>
      </dsp:txBody>
      <dsp:txXfrm>
        <a:off x="2658564" y="644650"/>
        <a:ext cx="912632" cy="534281"/>
      </dsp:txXfrm>
    </dsp:sp>
    <dsp:sp modelId="{18924085-0930-4144-BB8B-AE4F688C69CF}">
      <dsp:nvSpPr>
        <dsp:cNvPr id="0" name=""/>
        <dsp:cNvSpPr/>
      </dsp:nvSpPr>
      <dsp:spPr>
        <a:xfrm rot="11611445">
          <a:off x="1142397" y="546422"/>
          <a:ext cx="1383831" cy="114724"/>
        </a:xfrm>
        <a:prstGeom prst="rightArrow">
          <a:avLst>
            <a:gd name="adj1" fmla="val 60000"/>
            <a:gd name="adj2" fmla="val 50000"/>
          </a:avLst>
        </a:prstGeom>
        <a:solidFill>
          <a:srgbClr val="BDD6E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l-PL" sz="1000" kern="1200"/>
        </a:p>
      </dsp:txBody>
      <dsp:txXfrm rot="10800000">
        <a:off x="1176337" y="573391"/>
        <a:ext cx="1349414" cy="68834"/>
      </dsp:txXfrm>
    </dsp:sp>
    <dsp:sp modelId="{CFCBCF72-F8B5-4F7B-906D-5E120ABD3D21}">
      <dsp:nvSpPr>
        <dsp:cNvPr id="0" name=""/>
        <dsp:cNvSpPr/>
      </dsp:nvSpPr>
      <dsp:spPr>
        <a:xfrm>
          <a:off x="30850" y="0"/>
          <a:ext cx="945876" cy="56752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b="1" kern="1200">
              <a:solidFill>
                <a:srgbClr val="002060"/>
              </a:solidFill>
            </a:rPr>
            <a:t>Cel główny</a:t>
          </a:r>
        </a:p>
      </dsp:txBody>
      <dsp:txXfrm>
        <a:off x="47472" y="16622"/>
        <a:ext cx="912632" cy="534281"/>
      </dsp:txXfrm>
    </dsp:sp>
    <dsp:sp modelId="{B7D4A07A-D9D9-4402-B01C-75260F5A6AF6}">
      <dsp:nvSpPr>
        <dsp:cNvPr id="0" name=""/>
        <dsp:cNvSpPr/>
      </dsp:nvSpPr>
      <dsp:spPr>
        <a:xfrm rot="6592">
          <a:off x="1344717" y="168936"/>
          <a:ext cx="886526" cy="234577"/>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l-PL" sz="1000" kern="1200"/>
        </a:p>
      </dsp:txBody>
      <dsp:txXfrm>
        <a:off x="1344717" y="215784"/>
        <a:ext cx="816153" cy="140747"/>
      </dsp:txXfrm>
    </dsp:sp>
    <dsp:sp modelId="{2E2D1552-A5B1-4D84-8D2F-5D6DDBF5F55F}">
      <dsp:nvSpPr>
        <dsp:cNvPr id="0" name=""/>
        <dsp:cNvSpPr/>
      </dsp:nvSpPr>
      <dsp:spPr>
        <a:xfrm>
          <a:off x="2649414" y="5021"/>
          <a:ext cx="945876" cy="567525"/>
        </a:xfrm>
        <a:prstGeom prst="roundRect">
          <a:avLst>
            <a:gd name="adj" fmla="val 10000"/>
          </a:avLst>
        </a:prstGeom>
        <a:solidFill>
          <a:schemeClr val="lt1">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b="1" kern="1200">
              <a:solidFill>
                <a:srgbClr val="002060"/>
              </a:solidFill>
            </a:rPr>
            <a:t>Założenia poszczególnych etapów</a:t>
          </a:r>
        </a:p>
      </dsp:txBody>
      <dsp:txXfrm>
        <a:off x="2666036" y="21643"/>
        <a:ext cx="912632" cy="53428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88A3CB-264E-44CF-BBBC-5B5E013A0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212</Pages>
  <Words>54782</Words>
  <Characters>328698</Characters>
  <Application>Microsoft Office Word</Application>
  <DocSecurity>0</DocSecurity>
  <Lines>2739</Lines>
  <Paragraphs>765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382715</CharactersWithSpaces>
  <SharedDoc>false</SharedDoc>
  <HLinks>
    <vt:vector size="510" baseType="variant">
      <vt:variant>
        <vt:i4>1048630</vt:i4>
      </vt:variant>
      <vt:variant>
        <vt:i4>869</vt:i4>
      </vt:variant>
      <vt:variant>
        <vt:i4>0</vt:i4>
      </vt:variant>
      <vt:variant>
        <vt:i4>5</vt:i4>
      </vt:variant>
      <vt:variant>
        <vt:lpwstr/>
      </vt:variant>
      <vt:variant>
        <vt:lpwstr>_Toc100147311</vt:lpwstr>
      </vt:variant>
      <vt:variant>
        <vt:i4>1048630</vt:i4>
      </vt:variant>
      <vt:variant>
        <vt:i4>860</vt:i4>
      </vt:variant>
      <vt:variant>
        <vt:i4>0</vt:i4>
      </vt:variant>
      <vt:variant>
        <vt:i4>5</vt:i4>
      </vt:variant>
      <vt:variant>
        <vt:lpwstr/>
      </vt:variant>
      <vt:variant>
        <vt:lpwstr>_Toc100147310</vt:lpwstr>
      </vt:variant>
      <vt:variant>
        <vt:i4>1114166</vt:i4>
      </vt:variant>
      <vt:variant>
        <vt:i4>854</vt:i4>
      </vt:variant>
      <vt:variant>
        <vt:i4>0</vt:i4>
      </vt:variant>
      <vt:variant>
        <vt:i4>5</vt:i4>
      </vt:variant>
      <vt:variant>
        <vt:lpwstr/>
      </vt:variant>
      <vt:variant>
        <vt:lpwstr>_Toc100147309</vt:lpwstr>
      </vt:variant>
      <vt:variant>
        <vt:i4>1114166</vt:i4>
      </vt:variant>
      <vt:variant>
        <vt:i4>848</vt:i4>
      </vt:variant>
      <vt:variant>
        <vt:i4>0</vt:i4>
      </vt:variant>
      <vt:variant>
        <vt:i4>5</vt:i4>
      </vt:variant>
      <vt:variant>
        <vt:lpwstr/>
      </vt:variant>
      <vt:variant>
        <vt:lpwstr>_Toc100147308</vt:lpwstr>
      </vt:variant>
      <vt:variant>
        <vt:i4>1114166</vt:i4>
      </vt:variant>
      <vt:variant>
        <vt:i4>842</vt:i4>
      </vt:variant>
      <vt:variant>
        <vt:i4>0</vt:i4>
      </vt:variant>
      <vt:variant>
        <vt:i4>5</vt:i4>
      </vt:variant>
      <vt:variant>
        <vt:lpwstr/>
      </vt:variant>
      <vt:variant>
        <vt:lpwstr>_Toc100147307</vt:lpwstr>
      </vt:variant>
      <vt:variant>
        <vt:i4>1114166</vt:i4>
      </vt:variant>
      <vt:variant>
        <vt:i4>836</vt:i4>
      </vt:variant>
      <vt:variant>
        <vt:i4>0</vt:i4>
      </vt:variant>
      <vt:variant>
        <vt:i4>5</vt:i4>
      </vt:variant>
      <vt:variant>
        <vt:lpwstr/>
      </vt:variant>
      <vt:variant>
        <vt:lpwstr>_Toc100147306</vt:lpwstr>
      </vt:variant>
      <vt:variant>
        <vt:i4>1114166</vt:i4>
      </vt:variant>
      <vt:variant>
        <vt:i4>830</vt:i4>
      </vt:variant>
      <vt:variant>
        <vt:i4>0</vt:i4>
      </vt:variant>
      <vt:variant>
        <vt:i4>5</vt:i4>
      </vt:variant>
      <vt:variant>
        <vt:lpwstr/>
      </vt:variant>
      <vt:variant>
        <vt:lpwstr>_Toc100147305</vt:lpwstr>
      </vt:variant>
      <vt:variant>
        <vt:i4>1114166</vt:i4>
      </vt:variant>
      <vt:variant>
        <vt:i4>824</vt:i4>
      </vt:variant>
      <vt:variant>
        <vt:i4>0</vt:i4>
      </vt:variant>
      <vt:variant>
        <vt:i4>5</vt:i4>
      </vt:variant>
      <vt:variant>
        <vt:lpwstr/>
      </vt:variant>
      <vt:variant>
        <vt:lpwstr>_Toc100147304</vt:lpwstr>
      </vt:variant>
      <vt:variant>
        <vt:i4>1114166</vt:i4>
      </vt:variant>
      <vt:variant>
        <vt:i4>818</vt:i4>
      </vt:variant>
      <vt:variant>
        <vt:i4>0</vt:i4>
      </vt:variant>
      <vt:variant>
        <vt:i4>5</vt:i4>
      </vt:variant>
      <vt:variant>
        <vt:lpwstr/>
      </vt:variant>
      <vt:variant>
        <vt:lpwstr>_Toc100147303</vt:lpwstr>
      </vt:variant>
      <vt:variant>
        <vt:i4>1114166</vt:i4>
      </vt:variant>
      <vt:variant>
        <vt:i4>812</vt:i4>
      </vt:variant>
      <vt:variant>
        <vt:i4>0</vt:i4>
      </vt:variant>
      <vt:variant>
        <vt:i4>5</vt:i4>
      </vt:variant>
      <vt:variant>
        <vt:lpwstr/>
      </vt:variant>
      <vt:variant>
        <vt:lpwstr>_Toc100147302</vt:lpwstr>
      </vt:variant>
      <vt:variant>
        <vt:i4>1114166</vt:i4>
      </vt:variant>
      <vt:variant>
        <vt:i4>806</vt:i4>
      </vt:variant>
      <vt:variant>
        <vt:i4>0</vt:i4>
      </vt:variant>
      <vt:variant>
        <vt:i4>5</vt:i4>
      </vt:variant>
      <vt:variant>
        <vt:lpwstr/>
      </vt:variant>
      <vt:variant>
        <vt:lpwstr>_Toc100147301</vt:lpwstr>
      </vt:variant>
      <vt:variant>
        <vt:i4>1114166</vt:i4>
      </vt:variant>
      <vt:variant>
        <vt:i4>800</vt:i4>
      </vt:variant>
      <vt:variant>
        <vt:i4>0</vt:i4>
      </vt:variant>
      <vt:variant>
        <vt:i4>5</vt:i4>
      </vt:variant>
      <vt:variant>
        <vt:lpwstr/>
      </vt:variant>
      <vt:variant>
        <vt:lpwstr>_Toc100147300</vt:lpwstr>
      </vt:variant>
      <vt:variant>
        <vt:i4>1572919</vt:i4>
      </vt:variant>
      <vt:variant>
        <vt:i4>794</vt:i4>
      </vt:variant>
      <vt:variant>
        <vt:i4>0</vt:i4>
      </vt:variant>
      <vt:variant>
        <vt:i4>5</vt:i4>
      </vt:variant>
      <vt:variant>
        <vt:lpwstr/>
      </vt:variant>
      <vt:variant>
        <vt:lpwstr>_Toc100147299</vt:lpwstr>
      </vt:variant>
      <vt:variant>
        <vt:i4>1572919</vt:i4>
      </vt:variant>
      <vt:variant>
        <vt:i4>788</vt:i4>
      </vt:variant>
      <vt:variant>
        <vt:i4>0</vt:i4>
      </vt:variant>
      <vt:variant>
        <vt:i4>5</vt:i4>
      </vt:variant>
      <vt:variant>
        <vt:lpwstr/>
      </vt:variant>
      <vt:variant>
        <vt:lpwstr>_Toc100147298</vt:lpwstr>
      </vt:variant>
      <vt:variant>
        <vt:i4>1572919</vt:i4>
      </vt:variant>
      <vt:variant>
        <vt:i4>782</vt:i4>
      </vt:variant>
      <vt:variant>
        <vt:i4>0</vt:i4>
      </vt:variant>
      <vt:variant>
        <vt:i4>5</vt:i4>
      </vt:variant>
      <vt:variant>
        <vt:lpwstr/>
      </vt:variant>
      <vt:variant>
        <vt:lpwstr>_Toc100147297</vt:lpwstr>
      </vt:variant>
      <vt:variant>
        <vt:i4>1572919</vt:i4>
      </vt:variant>
      <vt:variant>
        <vt:i4>776</vt:i4>
      </vt:variant>
      <vt:variant>
        <vt:i4>0</vt:i4>
      </vt:variant>
      <vt:variant>
        <vt:i4>5</vt:i4>
      </vt:variant>
      <vt:variant>
        <vt:lpwstr/>
      </vt:variant>
      <vt:variant>
        <vt:lpwstr>_Toc100147296</vt:lpwstr>
      </vt:variant>
      <vt:variant>
        <vt:i4>1572919</vt:i4>
      </vt:variant>
      <vt:variant>
        <vt:i4>770</vt:i4>
      </vt:variant>
      <vt:variant>
        <vt:i4>0</vt:i4>
      </vt:variant>
      <vt:variant>
        <vt:i4>5</vt:i4>
      </vt:variant>
      <vt:variant>
        <vt:lpwstr/>
      </vt:variant>
      <vt:variant>
        <vt:lpwstr>_Toc100147295</vt:lpwstr>
      </vt:variant>
      <vt:variant>
        <vt:i4>1572919</vt:i4>
      </vt:variant>
      <vt:variant>
        <vt:i4>764</vt:i4>
      </vt:variant>
      <vt:variant>
        <vt:i4>0</vt:i4>
      </vt:variant>
      <vt:variant>
        <vt:i4>5</vt:i4>
      </vt:variant>
      <vt:variant>
        <vt:lpwstr/>
      </vt:variant>
      <vt:variant>
        <vt:lpwstr>_Toc100147294</vt:lpwstr>
      </vt:variant>
      <vt:variant>
        <vt:i4>1572919</vt:i4>
      </vt:variant>
      <vt:variant>
        <vt:i4>758</vt:i4>
      </vt:variant>
      <vt:variant>
        <vt:i4>0</vt:i4>
      </vt:variant>
      <vt:variant>
        <vt:i4>5</vt:i4>
      </vt:variant>
      <vt:variant>
        <vt:lpwstr/>
      </vt:variant>
      <vt:variant>
        <vt:lpwstr>_Toc100147293</vt:lpwstr>
      </vt:variant>
      <vt:variant>
        <vt:i4>1572919</vt:i4>
      </vt:variant>
      <vt:variant>
        <vt:i4>752</vt:i4>
      </vt:variant>
      <vt:variant>
        <vt:i4>0</vt:i4>
      </vt:variant>
      <vt:variant>
        <vt:i4>5</vt:i4>
      </vt:variant>
      <vt:variant>
        <vt:lpwstr/>
      </vt:variant>
      <vt:variant>
        <vt:lpwstr>_Toc100147292</vt:lpwstr>
      </vt:variant>
      <vt:variant>
        <vt:i4>1572919</vt:i4>
      </vt:variant>
      <vt:variant>
        <vt:i4>746</vt:i4>
      </vt:variant>
      <vt:variant>
        <vt:i4>0</vt:i4>
      </vt:variant>
      <vt:variant>
        <vt:i4>5</vt:i4>
      </vt:variant>
      <vt:variant>
        <vt:lpwstr/>
      </vt:variant>
      <vt:variant>
        <vt:lpwstr>_Toc100147291</vt:lpwstr>
      </vt:variant>
      <vt:variant>
        <vt:i4>1572919</vt:i4>
      </vt:variant>
      <vt:variant>
        <vt:i4>740</vt:i4>
      </vt:variant>
      <vt:variant>
        <vt:i4>0</vt:i4>
      </vt:variant>
      <vt:variant>
        <vt:i4>5</vt:i4>
      </vt:variant>
      <vt:variant>
        <vt:lpwstr/>
      </vt:variant>
      <vt:variant>
        <vt:lpwstr>_Toc100147290</vt:lpwstr>
      </vt:variant>
      <vt:variant>
        <vt:i4>1638455</vt:i4>
      </vt:variant>
      <vt:variant>
        <vt:i4>734</vt:i4>
      </vt:variant>
      <vt:variant>
        <vt:i4>0</vt:i4>
      </vt:variant>
      <vt:variant>
        <vt:i4>5</vt:i4>
      </vt:variant>
      <vt:variant>
        <vt:lpwstr/>
      </vt:variant>
      <vt:variant>
        <vt:lpwstr>_Toc100147289</vt:lpwstr>
      </vt:variant>
      <vt:variant>
        <vt:i4>1638455</vt:i4>
      </vt:variant>
      <vt:variant>
        <vt:i4>728</vt:i4>
      </vt:variant>
      <vt:variant>
        <vt:i4>0</vt:i4>
      </vt:variant>
      <vt:variant>
        <vt:i4>5</vt:i4>
      </vt:variant>
      <vt:variant>
        <vt:lpwstr/>
      </vt:variant>
      <vt:variant>
        <vt:lpwstr>_Toc100147288</vt:lpwstr>
      </vt:variant>
      <vt:variant>
        <vt:i4>1638455</vt:i4>
      </vt:variant>
      <vt:variant>
        <vt:i4>722</vt:i4>
      </vt:variant>
      <vt:variant>
        <vt:i4>0</vt:i4>
      </vt:variant>
      <vt:variant>
        <vt:i4>5</vt:i4>
      </vt:variant>
      <vt:variant>
        <vt:lpwstr/>
      </vt:variant>
      <vt:variant>
        <vt:lpwstr>_Toc100147287</vt:lpwstr>
      </vt:variant>
      <vt:variant>
        <vt:i4>1638455</vt:i4>
      </vt:variant>
      <vt:variant>
        <vt:i4>338</vt:i4>
      </vt:variant>
      <vt:variant>
        <vt:i4>0</vt:i4>
      </vt:variant>
      <vt:variant>
        <vt:i4>5</vt:i4>
      </vt:variant>
      <vt:variant>
        <vt:lpwstr/>
      </vt:variant>
      <vt:variant>
        <vt:lpwstr>_Toc100147286</vt:lpwstr>
      </vt:variant>
      <vt:variant>
        <vt:i4>1638455</vt:i4>
      </vt:variant>
      <vt:variant>
        <vt:i4>332</vt:i4>
      </vt:variant>
      <vt:variant>
        <vt:i4>0</vt:i4>
      </vt:variant>
      <vt:variant>
        <vt:i4>5</vt:i4>
      </vt:variant>
      <vt:variant>
        <vt:lpwstr/>
      </vt:variant>
      <vt:variant>
        <vt:lpwstr>_Toc100147285</vt:lpwstr>
      </vt:variant>
      <vt:variant>
        <vt:i4>1638455</vt:i4>
      </vt:variant>
      <vt:variant>
        <vt:i4>326</vt:i4>
      </vt:variant>
      <vt:variant>
        <vt:i4>0</vt:i4>
      </vt:variant>
      <vt:variant>
        <vt:i4>5</vt:i4>
      </vt:variant>
      <vt:variant>
        <vt:lpwstr/>
      </vt:variant>
      <vt:variant>
        <vt:lpwstr>_Toc100147284</vt:lpwstr>
      </vt:variant>
      <vt:variant>
        <vt:i4>1638455</vt:i4>
      </vt:variant>
      <vt:variant>
        <vt:i4>320</vt:i4>
      </vt:variant>
      <vt:variant>
        <vt:i4>0</vt:i4>
      </vt:variant>
      <vt:variant>
        <vt:i4>5</vt:i4>
      </vt:variant>
      <vt:variant>
        <vt:lpwstr/>
      </vt:variant>
      <vt:variant>
        <vt:lpwstr>_Toc100147283</vt:lpwstr>
      </vt:variant>
      <vt:variant>
        <vt:i4>1638455</vt:i4>
      </vt:variant>
      <vt:variant>
        <vt:i4>314</vt:i4>
      </vt:variant>
      <vt:variant>
        <vt:i4>0</vt:i4>
      </vt:variant>
      <vt:variant>
        <vt:i4>5</vt:i4>
      </vt:variant>
      <vt:variant>
        <vt:lpwstr/>
      </vt:variant>
      <vt:variant>
        <vt:lpwstr>_Toc100147282</vt:lpwstr>
      </vt:variant>
      <vt:variant>
        <vt:i4>1638455</vt:i4>
      </vt:variant>
      <vt:variant>
        <vt:i4>308</vt:i4>
      </vt:variant>
      <vt:variant>
        <vt:i4>0</vt:i4>
      </vt:variant>
      <vt:variant>
        <vt:i4>5</vt:i4>
      </vt:variant>
      <vt:variant>
        <vt:lpwstr/>
      </vt:variant>
      <vt:variant>
        <vt:lpwstr>_Toc100147281</vt:lpwstr>
      </vt:variant>
      <vt:variant>
        <vt:i4>1638455</vt:i4>
      </vt:variant>
      <vt:variant>
        <vt:i4>302</vt:i4>
      </vt:variant>
      <vt:variant>
        <vt:i4>0</vt:i4>
      </vt:variant>
      <vt:variant>
        <vt:i4>5</vt:i4>
      </vt:variant>
      <vt:variant>
        <vt:lpwstr/>
      </vt:variant>
      <vt:variant>
        <vt:lpwstr>_Toc100147280</vt:lpwstr>
      </vt:variant>
      <vt:variant>
        <vt:i4>1441847</vt:i4>
      </vt:variant>
      <vt:variant>
        <vt:i4>296</vt:i4>
      </vt:variant>
      <vt:variant>
        <vt:i4>0</vt:i4>
      </vt:variant>
      <vt:variant>
        <vt:i4>5</vt:i4>
      </vt:variant>
      <vt:variant>
        <vt:lpwstr/>
      </vt:variant>
      <vt:variant>
        <vt:lpwstr>_Toc100147279</vt:lpwstr>
      </vt:variant>
      <vt:variant>
        <vt:i4>1441847</vt:i4>
      </vt:variant>
      <vt:variant>
        <vt:i4>290</vt:i4>
      </vt:variant>
      <vt:variant>
        <vt:i4>0</vt:i4>
      </vt:variant>
      <vt:variant>
        <vt:i4>5</vt:i4>
      </vt:variant>
      <vt:variant>
        <vt:lpwstr/>
      </vt:variant>
      <vt:variant>
        <vt:lpwstr>_Toc100147278</vt:lpwstr>
      </vt:variant>
      <vt:variant>
        <vt:i4>1441847</vt:i4>
      </vt:variant>
      <vt:variant>
        <vt:i4>284</vt:i4>
      </vt:variant>
      <vt:variant>
        <vt:i4>0</vt:i4>
      </vt:variant>
      <vt:variant>
        <vt:i4>5</vt:i4>
      </vt:variant>
      <vt:variant>
        <vt:lpwstr/>
      </vt:variant>
      <vt:variant>
        <vt:lpwstr>_Toc100147277</vt:lpwstr>
      </vt:variant>
      <vt:variant>
        <vt:i4>1441847</vt:i4>
      </vt:variant>
      <vt:variant>
        <vt:i4>278</vt:i4>
      </vt:variant>
      <vt:variant>
        <vt:i4>0</vt:i4>
      </vt:variant>
      <vt:variant>
        <vt:i4>5</vt:i4>
      </vt:variant>
      <vt:variant>
        <vt:lpwstr/>
      </vt:variant>
      <vt:variant>
        <vt:lpwstr>_Toc100147276</vt:lpwstr>
      </vt:variant>
      <vt:variant>
        <vt:i4>1441847</vt:i4>
      </vt:variant>
      <vt:variant>
        <vt:i4>272</vt:i4>
      </vt:variant>
      <vt:variant>
        <vt:i4>0</vt:i4>
      </vt:variant>
      <vt:variant>
        <vt:i4>5</vt:i4>
      </vt:variant>
      <vt:variant>
        <vt:lpwstr/>
      </vt:variant>
      <vt:variant>
        <vt:lpwstr>_Toc100147275</vt:lpwstr>
      </vt:variant>
      <vt:variant>
        <vt:i4>1441847</vt:i4>
      </vt:variant>
      <vt:variant>
        <vt:i4>266</vt:i4>
      </vt:variant>
      <vt:variant>
        <vt:i4>0</vt:i4>
      </vt:variant>
      <vt:variant>
        <vt:i4>5</vt:i4>
      </vt:variant>
      <vt:variant>
        <vt:lpwstr/>
      </vt:variant>
      <vt:variant>
        <vt:lpwstr>_Toc100147274</vt:lpwstr>
      </vt:variant>
      <vt:variant>
        <vt:i4>1441847</vt:i4>
      </vt:variant>
      <vt:variant>
        <vt:i4>260</vt:i4>
      </vt:variant>
      <vt:variant>
        <vt:i4>0</vt:i4>
      </vt:variant>
      <vt:variant>
        <vt:i4>5</vt:i4>
      </vt:variant>
      <vt:variant>
        <vt:lpwstr/>
      </vt:variant>
      <vt:variant>
        <vt:lpwstr>_Toc100147273</vt:lpwstr>
      </vt:variant>
      <vt:variant>
        <vt:i4>1441847</vt:i4>
      </vt:variant>
      <vt:variant>
        <vt:i4>254</vt:i4>
      </vt:variant>
      <vt:variant>
        <vt:i4>0</vt:i4>
      </vt:variant>
      <vt:variant>
        <vt:i4>5</vt:i4>
      </vt:variant>
      <vt:variant>
        <vt:lpwstr/>
      </vt:variant>
      <vt:variant>
        <vt:lpwstr>_Toc100147272</vt:lpwstr>
      </vt:variant>
      <vt:variant>
        <vt:i4>1441847</vt:i4>
      </vt:variant>
      <vt:variant>
        <vt:i4>248</vt:i4>
      </vt:variant>
      <vt:variant>
        <vt:i4>0</vt:i4>
      </vt:variant>
      <vt:variant>
        <vt:i4>5</vt:i4>
      </vt:variant>
      <vt:variant>
        <vt:lpwstr/>
      </vt:variant>
      <vt:variant>
        <vt:lpwstr>_Toc100147271</vt:lpwstr>
      </vt:variant>
      <vt:variant>
        <vt:i4>1441847</vt:i4>
      </vt:variant>
      <vt:variant>
        <vt:i4>242</vt:i4>
      </vt:variant>
      <vt:variant>
        <vt:i4>0</vt:i4>
      </vt:variant>
      <vt:variant>
        <vt:i4>5</vt:i4>
      </vt:variant>
      <vt:variant>
        <vt:lpwstr/>
      </vt:variant>
      <vt:variant>
        <vt:lpwstr>_Toc100147270</vt:lpwstr>
      </vt:variant>
      <vt:variant>
        <vt:i4>1507383</vt:i4>
      </vt:variant>
      <vt:variant>
        <vt:i4>236</vt:i4>
      </vt:variant>
      <vt:variant>
        <vt:i4>0</vt:i4>
      </vt:variant>
      <vt:variant>
        <vt:i4>5</vt:i4>
      </vt:variant>
      <vt:variant>
        <vt:lpwstr/>
      </vt:variant>
      <vt:variant>
        <vt:lpwstr>_Toc100147269</vt:lpwstr>
      </vt:variant>
      <vt:variant>
        <vt:i4>1507383</vt:i4>
      </vt:variant>
      <vt:variant>
        <vt:i4>230</vt:i4>
      </vt:variant>
      <vt:variant>
        <vt:i4>0</vt:i4>
      </vt:variant>
      <vt:variant>
        <vt:i4>5</vt:i4>
      </vt:variant>
      <vt:variant>
        <vt:lpwstr/>
      </vt:variant>
      <vt:variant>
        <vt:lpwstr>_Toc100147268</vt:lpwstr>
      </vt:variant>
      <vt:variant>
        <vt:i4>1507383</vt:i4>
      </vt:variant>
      <vt:variant>
        <vt:i4>224</vt:i4>
      </vt:variant>
      <vt:variant>
        <vt:i4>0</vt:i4>
      </vt:variant>
      <vt:variant>
        <vt:i4>5</vt:i4>
      </vt:variant>
      <vt:variant>
        <vt:lpwstr/>
      </vt:variant>
      <vt:variant>
        <vt:lpwstr>_Toc100147267</vt:lpwstr>
      </vt:variant>
      <vt:variant>
        <vt:i4>1507383</vt:i4>
      </vt:variant>
      <vt:variant>
        <vt:i4>218</vt:i4>
      </vt:variant>
      <vt:variant>
        <vt:i4>0</vt:i4>
      </vt:variant>
      <vt:variant>
        <vt:i4>5</vt:i4>
      </vt:variant>
      <vt:variant>
        <vt:lpwstr/>
      </vt:variant>
      <vt:variant>
        <vt:lpwstr>_Toc100147266</vt:lpwstr>
      </vt:variant>
      <vt:variant>
        <vt:i4>1507383</vt:i4>
      </vt:variant>
      <vt:variant>
        <vt:i4>212</vt:i4>
      </vt:variant>
      <vt:variant>
        <vt:i4>0</vt:i4>
      </vt:variant>
      <vt:variant>
        <vt:i4>5</vt:i4>
      </vt:variant>
      <vt:variant>
        <vt:lpwstr/>
      </vt:variant>
      <vt:variant>
        <vt:lpwstr>_Toc100147265</vt:lpwstr>
      </vt:variant>
      <vt:variant>
        <vt:i4>1507383</vt:i4>
      </vt:variant>
      <vt:variant>
        <vt:i4>206</vt:i4>
      </vt:variant>
      <vt:variant>
        <vt:i4>0</vt:i4>
      </vt:variant>
      <vt:variant>
        <vt:i4>5</vt:i4>
      </vt:variant>
      <vt:variant>
        <vt:lpwstr/>
      </vt:variant>
      <vt:variant>
        <vt:lpwstr>_Toc100147264</vt:lpwstr>
      </vt:variant>
      <vt:variant>
        <vt:i4>1507383</vt:i4>
      </vt:variant>
      <vt:variant>
        <vt:i4>200</vt:i4>
      </vt:variant>
      <vt:variant>
        <vt:i4>0</vt:i4>
      </vt:variant>
      <vt:variant>
        <vt:i4>5</vt:i4>
      </vt:variant>
      <vt:variant>
        <vt:lpwstr/>
      </vt:variant>
      <vt:variant>
        <vt:lpwstr>_Toc100147263</vt:lpwstr>
      </vt:variant>
      <vt:variant>
        <vt:i4>1507383</vt:i4>
      </vt:variant>
      <vt:variant>
        <vt:i4>194</vt:i4>
      </vt:variant>
      <vt:variant>
        <vt:i4>0</vt:i4>
      </vt:variant>
      <vt:variant>
        <vt:i4>5</vt:i4>
      </vt:variant>
      <vt:variant>
        <vt:lpwstr/>
      </vt:variant>
      <vt:variant>
        <vt:lpwstr>_Toc100147262</vt:lpwstr>
      </vt:variant>
      <vt:variant>
        <vt:i4>1507383</vt:i4>
      </vt:variant>
      <vt:variant>
        <vt:i4>188</vt:i4>
      </vt:variant>
      <vt:variant>
        <vt:i4>0</vt:i4>
      </vt:variant>
      <vt:variant>
        <vt:i4>5</vt:i4>
      </vt:variant>
      <vt:variant>
        <vt:lpwstr/>
      </vt:variant>
      <vt:variant>
        <vt:lpwstr>_Toc100147261</vt:lpwstr>
      </vt:variant>
      <vt:variant>
        <vt:i4>1507383</vt:i4>
      </vt:variant>
      <vt:variant>
        <vt:i4>182</vt:i4>
      </vt:variant>
      <vt:variant>
        <vt:i4>0</vt:i4>
      </vt:variant>
      <vt:variant>
        <vt:i4>5</vt:i4>
      </vt:variant>
      <vt:variant>
        <vt:lpwstr/>
      </vt:variant>
      <vt:variant>
        <vt:lpwstr>_Toc100147260</vt:lpwstr>
      </vt:variant>
      <vt:variant>
        <vt:i4>1310775</vt:i4>
      </vt:variant>
      <vt:variant>
        <vt:i4>176</vt:i4>
      </vt:variant>
      <vt:variant>
        <vt:i4>0</vt:i4>
      </vt:variant>
      <vt:variant>
        <vt:i4>5</vt:i4>
      </vt:variant>
      <vt:variant>
        <vt:lpwstr/>
      </vt:variant>
      <vt:variant>
        <vt:lpwstr>_Toc100147259</vt:lpwstr>
      </vt:variant>
      <vt:variant>
        <vt:i4>1310775</vt:i4>
      </vt:variant>
      <vt:variant>
        <vt:i4>170</vt:i4>
      </vt:variant>
      <vt:variant>
        <vt:i4>0</vt:i4>
      </vt:variant>
      <vt:variant>
        <vt:i4>5</vt:i4>
      </vt:variant>
      <vt:variant>
        <vt:lpwstr/>
      </vt:variant>
      <vt:variant>
        <vt:lpwstr>_Toc100147258</vt:lpwstr>
      </vt:variant>
      <vt:variant>
        <vt:i4>1310775</vt:i4>
      </vt:variant>
      <vt:variant>
        <vt:i4>164</vt:i4>
      </vt:variant>
      <vt:variant>
        <vt:i4>0</vt:i4>
      </vt:variant>
      <vt:variant>
        <vt:i4>5</vt:i4>
      </vt:variant>
      <vt:variant>
        <vt:lpwstr/>
      </vt:variant>
      <vt:variant>
        <vt:lpwstr>_Toc100147257</vt:lpwstr>
      </vt:variant>
      <vt:variant>
        <vt:i4>1310775</vt:i4>
      </vt:variant>
      <vt:variant>
        <vt:i4>158</vt:i4>
      </vt:variant>
      <vt:variant>
        <vt:i4>0</vt:i4>
      </vt:variant>
      <vt:variant>
        <vt:i4>5</vt:i4>
      </vt:variant>
      <vt:variant>
        <vt:lpwstr/>
      </vt:variant>
      <vt:variant>
        <vt:lpwstr>_Toc100147256</vt:lpwstr>
      </vt:variant>
      <vt:variant>
        <vt:i4>1310775</vt:i4>
      </vt:variant>
      <vt:variant>
        <vt:i4>152</vt:i4>
      </vt:variant>
      <vt:variant>
        <vt:i4>0</vt:i4>
      </vt:variant>
      <vt:variant>
        <vt:i4>5</vt:i4>
      </vt:variant>
      <vt:variant>
        <vt:lpwstr/>
      </vt:variant>
      <vt:variant>
        <vt:lpwstr>_Toc100147255</vt:lpwstr>
      </vt:variant>
      <vt:variant>
        <vt:i4>1310775</vt:i4>
      </vt:variant>
      <vt:variant>
        <vt:i4>146</vt:i4>
      </vt:variant>
      <vt:variant>
        <vt:i4>0</vt:i4>
      </vt:variant>
      <vt:variant>
        <vt:i4>5</vt:i4>
      </vt:variant>
      <vt:variant>
        <vt:lpwstr/>
      </vt:variant>
      <vt:variant>
        <vt:lpwstr>_Toc100147254</vt:lpwstr>
      </vt:variant>
      <vt:variant>
        <vt:i4>1310775</vt:i4>
      </vt:variant>
      <vt:variant>
        <vt:i4>140</vt:i4>
      </vt:variant>
      <vt:variant>
        <vt:i4>0</vt:i4>
      </vt:variant>
      <vt:variant>
        <vt:i4>5</vt:i4>
      </vt:variant>
      <vt:variant>
        <vt:lpwstr/>
      </vt:variant>
      <vt:variant>
        <vt:lpwstr>_Toc100147253</vt:lpwstr>
      </vt:variant>
      <vt:variant>
        <vt:i4>1310775</vt:i4>
      </vt:variant>
      <vt:variant>
        <vt:i4>134</vt:i4>
      </vt:variant>
      <vt:variant>
        <vt:i4>0</vt:i4>
      </vt:variant>
      <vt:variant>
        <vt:i4>5</vt:i4>
      </vt:variant>
      <vt:variant>
        <vt:lpwstr/>
      </vt:variant>
      <vt:variant>
        <vt:lpwstr>_Toc100147252</vt:lpwstr>
      </vt:variant>
      <vt:variant>
        <vt:i4>1310775</vt:i4>
      </vt:variant>
      <vt:variant>
        <vt:i4>128</vt:i4>
      </vt:variant>
      <vt:variant>
        <vt:i4>0</vt:i4>
      </vt:variant>
      <vt:variant>
        <vt:i4>5</vt:i4>
      </vt:variant>
      <vt:variant>
        <vt:lpwstr/>
      </vt:variant>
      <vt:variant>
        <vt:lpwstr>_Toc100147251</vt:lpwstr>
      </vt:variant>
      <vt:variant>
        <vt:i4>1310775</vt:i4>
      </vt:variant>
      <vt:variant>
        <vt:i4>122</vt:i4>
      </vt:variant>
      <vt:variant>
        <vt:i4>0</vt:i4>
      </vt:variant>
      <vt:variant>
        <vt:i4>5</vt:i4>
      </vt:variant>
      <vt:variant>
        <vt:lpwstr/>
      </vt:variant>
      <vt:variant>
        <vt:lpwstr>_Toc100147250</vt:lpwstr>
      </vt:variant>
      <vt:variant>
        <vt:i4>1376311</vt:i4>
      </vt:variant>
      <vt:variant>
        <vt:i4>116</vt:i4>
      </vt:variant>
      <vt:variant>
        <vt:i4>0</vt:i4>
      </vt:variant>
      <vt:variant>
        <vt:i4>5</vt:i4>
      </vt:variant>
      <vt:variant>
        <vt:lpwstr/>
      </vt:variant>
      <vt:variant>
        <vt:lpwstr>_Toc100147249</vt:lpwstr>
      </vt:variant>
      <vt:variant>
        <vt:i4>1376311</vt:i4>
      </vt:variant>
      <vt:variant>
        <vt:i4>110</vt:i4>
      </vt:variant>
      <vt:variant>
        <vt:i4>0</vt:i4>
      </vt:variant>
      <vt:variant>
        <vt:i4>5</vt:i4>
      </vt:variant>
      <vt:variant>
        <vt:lpwstr/>
      </vt:variant>
      <vt:variant>
        <vt:lpwstr>_Toc100147248</vt:lpwstr>
      </vt:variant>
      <vt:variant>
        <vt:i4>1376311</vt:i4>
      </vt:variant>
      <vt:variant>
        <vt:i4>104</vt:i4>
      </vt:variant>
      <vt:variant>
        <vt:i4>0</vt:i4>
      </vt:variant>
      <vt:variant>
        <vt:i4>5</vt:i4>
      </vt:variant>
      <vt:variant>
        <vt:lpwstr/>
      </vt:variant>
      <vt:variant>
        <vt:lpwstr>_Toc100147247</vt:lpwstr>
      </vt:variant>
      <vt:variant>
        <vt:i4>1376311</vt:i4>
      </vt:variant>
      <vt:variant>
        <vt:i4>98</vt:i4>
      </vt:variant>
      <vt:variant>
        <vt:i4>0</vt:i4>
      </vt:variant>
      <vt:variant>
        <vt:i4>5</vt:i4>
      </vt:variant>
      <vt:variant>
        <vt:lpwstr/>
      </vt:variant>
      <vt:variant>
        <vt:lpwstr>_Toc100147246</vt:lpwstr>
      </vt:variant>
      <vt:variant>
        <vt:i4>1376311</vt:i4>
      </vt:variant>
      <vt:variant>
        <vt:i4>92</vt:i4>
      </vt:variant>
      <vt:variant>
        <vt:i4>0</vt:i4>
      </vt:variant>
      <vt:variant>
        <vt:i4>5</vt:i4>
      </vt:variant>
      <vt:variant>
        <vt:lpwstr/>
      </vt:variant>
      <vt:variant>
        <vt:lpwstr>_Toc100147245</vt:lpwstr>
      </vt:variant>
      <vt:variant>
        <vt:i4>1376311</vt:i4>
      </vt:variant>
      <vt:variant>
        <vt:i4>86</vt:i4>
      </vt:variant>
      <vt:variant>
        <vt:i4>0</vt:i4>
      </vt:variant>
      <vt:variant>
        <vt:i4>5</vt:i4>
      </vt:variant>
      <vt:variant>
        <vt:lpwstr/>
      </vt:variant>
      <vt:variant>
        <vt:lpwstr>_Toc100147244</vt:lpwstr>
      </vt:variant>
      <vt:variant>
        <vt:i4>1376311</vt:i4>
      </vt:variant>
      <vt:variant>
        <vt:i4>80</vt:i4>
      </vt:variant>
      <vt:variant>
        <vt:i4>0</vt:i4>
      </vt:variant>
      <vt:variant>
        <vt:i4>5</vt:i4>
      </vt:variant>
      <vt:variant>
        <vt:lpwstr/>
      </vt:variant>
      <vt:variant>
        <vt:lpwstr>_Toc100147243</vt:lpwstr>
      </vt:variant>
      <vt:variant>
        <vt:i4>1376311</vt:i4>
      </vt:variant>
      <vt:variant>
        <vt:i4>74</vt:i4>
      </vt:variant>
      <vt:variant>
        <vt:i4>0</vt:i4>
      </vt:variant>
      <vt:variant>
        <vt:i4>5</vt:i4>
      </vt:variant>
      <vt:variant>
        <vt:lpwstr/>
      </vt:variant>
      <vt:variant>
        <vt:lpwstr>_Toc100147242</vt:lpwstr>
      </vt:variant>
      <vt:variant>
        <vt:i4>1376311</vt:i4>
      </vt:variant>
      <vt:variant>
        <vt:i4>68</vt:i4>
      </vt:variant>
      <vt:variant>
        <vt:i4>0</vt:i4>
      </vt:variant>
      <vt:variant>
        <vt:i4>5</vt:i4>
      </vt:variant>
      <vt:variant>
        <vt:lpwstr/>
      </vt:variant>
      <vt:variant>
        <vt:lpwstr>_Toc100147241</vt:lpwstr>
      </vt:variant>
      <vt:variant>
        <vt:i4>1376311</vt:i4>
      </vt:variant>
      <vt:variant>
        <vt:i4>62</vt:i4>
      </vt:variant>
      <vt:variant>
        <vt:i4>0</vt:i4>
      </vt:variant>
      <vt:variant>
        <vt:i4>5</vt:i4>
      </vt:variant>
      <vt:variant>
        <vt:lpwstr/>
      </vt:variant>
      <vt:variant>
        <vt:lpwstr>_Toc100147240</vt:lpwstr>
      </vt:variant>
      <vt:variant>
        <vt:i4>1179703</vt:i4>
      </vt:variant>
      <vt:variant>
        <vt:i4>56</vt:i4>
      </vt:variant>
      <vt:variant>
        <vt:i4>0</vt:i4>
      </vt:variant>
      <vt:variant>
        <vt:i4>5</vt:i4>
      </vt:variant>
      <vt:variant>
        <vt:lpwstr/>
      </vt:variant>
      <vt:variant>
        <vt:lpwstr>_Toc100147239</vt:lpwstr>
      </vt:variant>
      <vt:variant>
        <vt:i4>1179703</vt:i4>
      </vt:variant>
      <vt:variant>
        <vt:i4>50</vt:i4>
      </vt:variant>
      <vt:variant>
        <vt:i4>0</vt:i4>
      </vt:variant>
      <vt:variant>
        <vt:i4>5</vt:i4>
      </vt:variant>
      <vt:variant>
        <vt:lpwstr/>
      </vt:variant>
      <vt:variant>
        <vt:lpwstr>_Toc100147238</vt:lpwstr>
      </vt:variant>
      <vt:variant>
        <vt:i4>1179703</vt:i4>
      </vt:variant>
      <vt:variant>
        <vt:i4>44</vt:i4>
      </vt:variant>
      <vt:variant>
        <vt:i4>0</vt:i4>
      </vt:variant>
      <vt:variant>
        <vt:i4>5</vt:i4>
      </vt:variant>
      <vt:variant>
        <vt:lpwstr/>
      </vt:variant>
      <vt:variant>
        <vt:lpwstr>_Toc100147237</vt:lpwstr>
      </vt:variant>
      <vt:variant>
        <vt:i4>1179703</vt:i4>
      </vt:variant>
      <vt:variant>
        <vt:i4>38</vt:i4>
      </vt:variant>
      <vt:variant>
        <vt:i4>0</vt:i4>
      </vt:variant>
      <vt:variant>
        <vt:i4>5</vt:i4>
      </vt:variant>
      <vt:variant>
        <vt:lpwstr/>
      </vt:variant>
      <vt:variant>
        <vt:lpwstr>_Toc100147236</vt:lpwstr>
      </vt:variant>
      <vt:variant>
        <vt:i4>1179703</vt:i4>
      </vt:variant>
      <vt:variant>
        <vt:i4>32</vt:i4>
      </vt:variant>
      <vt:variant>
        <vt:i4>0</vt:i4>
      </vt:variant>
      <vt:variant>
        <vt:i4>5</vt:i4>
      </vt:variant>
      <vt:variant>
        <vt:lpwstr/>
      </vt:variant>
      <vt:variant>
        <vt:lpwstr>_Toc100147235</vt:lpwstr>
      </vt:variant>
      <vt:variant>
        <vt:i4>1179703</vt:i4>
      </vt:variant>
      <vt:variant>
        <vt:i4>26</vt:i4>
      </vt:variant>
      <vt:variant>
        <vt:i4>0</vt:i4>
      </vt:variant>
      <vt:variant>
        <vt:i4>5</vt:i4>
      </vt:variant>
      <vt:variant>
        <vt:lpwstr/>
      </vt:variant>
      <vt:variant>
        <vt:lpwstr>_Toc100147234</vt:lpwstr>
      </vt:variant>
      <vt:variant>
        <vt:i4>1179703</vt:i4>
      </vt:variant>
      <vt:variant>
        <vt:i4>20</vt:i4>
      </vt:variant>
      <vt:variant>
        <vt:i4>0</vt:i4>
      </vt:variant>
      <vt:variant>
        <vt:i4>5</vt:i4>
      </vt:variant>
      <vt:variant>
        <vt:lpwstr/>
      </vt:variant>
      <vt:variant>
        <vt:lpwstr>_Toc100147233</vt:lpwstr>
      </vt:variant>
      <vt:variant>
        <vt:i4>1179703</vt:i4>
      </vt:variant>
      <vt:variant>
        <vt:i4>14</vt:i4>
      </vt:variant>
      <vt:variant>
        <vt:i4>0</vt:i4>
      </vt:variant>
      <vt:variant>
        <vt:i4>5</vt:i4>
      </vt:variant>
      <vt:variant>
        <vt:lpwstr/>
      </vt:variant>
      <vt:variant>
        <vt:lpwstr>_Toc100147232</vt:lpwstr>
      </vt:variant>
      <vt:variant>
        <vt:i4>1179703</vt:i4>
      </vt:variant>
      <vt:variant>
        <vt:i4>8</vt:i4>
      </vt:variant>
      <vt:variant>
        <vt:i4>0</vt:i4>
      </vt:variant>
      <vt:variant>
        <vt:i4>5</vt:i4>
      </vt:variant>
      <vt:variant>
        <vt:lpwstr/>
      </vt:variant>
      <vt:variant>
        <vt:lpwstr>_Toc100147231</vt:lpwstr>
      </vt:variant>
      <vt:variant>
        <vt:i4>1179703</vt:i4>
      </vt:variant>
      <vt:variant>
        <vt:i4>2</vt:i4>
      </vt:variant>
      <vt:variant>
        <vt:i4>0</vt:i4>
      </vt:variant>
      <vt:variant>
        <vt:i4>5</vt:i4>
      </vt:variant>
      <vt:variant>
        <vt:lpwstr/>
      </vt:variant>
      <vt:variant>
        <vt:lpwstr>_Toc100147230</vt:lpwstr>
      </vt:variant>
      <vt:variant>
        <vt:i4>3080224</vt:i4>
      </vt:variant>
      <vt:variant>
        <vt:i4>6</vt:i4>
      </vt:variant>
      <vt:variant>
        <vt:i4>0</vt:i4>
      </vt:variant>
      <vt:variant>
        <vt:i4>5</vt:i4>
      </vt:variant>
      <vt:variant>
        <vt:lpwstr>https://www.udt.gov.pl/</vt:lpwstr>
      </vt:variant>
      <vt:variant>
        <vt:lpwstr/>
      </vt:variant>
      <vt:variant>
        <vt:i4>1900639</vt:i4>
      </vt:variant>
      <vt:variant>
        <vt:i4>3</vt:i4>
      </vt:variant>
      <vt:variant>
        <vt:i4>0</vt:i4>
      </vt:variant>
      <vt:variant>
        <vt:i4>5</vt:i4>
      </vt:variant>
      <vt:variant>
        <vt:lpwstr>http://www.cepik.gov.pl/</vt:lpwstr>
      </vt:variant>
      <vt:variant>
        <vt:lpwstr/>
      </vt:variant>
      <vt:variant>
        <vt:i4>4390927</vt:i4>
      </vt:variant>
      <vt:variant>
        <vt:i4>0</vt:i4>
      </vt:variant>
      <vt:variant>
        <vt:i4>0</vt:i4>
      </vt:variant>
      <vt:variant>
        <vt:i4>5</vt:i4>
      </vt:variant>
      <vt:variant>
        <vt:lpwstr>https://www.gov.pl/web/infrastruktura/czyste-pojazdy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Ewaluacja ex-ante projektu PSRT WP 2030</dc:title>
  <dc:subject/>
  <dc:creator>Wojciech Dziemianowicz</dc:creator>
  <cp:keywords/>
  <dc:description/>
  <cp:lastModifiedBy>Wojturski Konrad</cp:lastModifiedBy>
  <cp:revision>7</cp:revision>
  <cp:lastPrinted>2022-04-19T11:11:00Z</cp:lastPrinted>
  <dcterms:created xsi:type="dcterms:W3CDTF">2022-04-27T06:46:00Z</dcterms:created>
  <dcterms:modified xsi:type="dcterms:W3CDTF">2022-04-27T08:04:00Z</dcterms:modified>
</cp:coreProperties>
</file>