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7.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8.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9.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10.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11.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12.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13.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14.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15.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16.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17.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18.xml" ContentType="application/vnd.openxmlformats-officedocument.themeOverrid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19.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20.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21.xml" ContentType="application/vnd.openxmlformats-officedocument.themeOverrid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22.xml" ContentType="application/vnd.openxmlformats-officedocument.themeOverrid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23.xml" ContentType="application/vnd.openxmlformats-officedocument.themeOverrid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24.xml" ContentType="application/vnd.openxmlformats-officedocument.themeOverrid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4A03" w:rsidRPr="0064087E" w:rsidRDefault="00014A03" w:rsidP="00F7010D">
      <w:pPr>
        <w:spacing w:after="960"/>
        <w:rPr>
          <w:rFonts w:ascii="Times New Roman"/>
          <w:spacing w:val="57"/>
          <w:position w:val="16"/>
          <w:sz w:val="20"/>
        </w:rPr>
      </w:pPr>
      <w:r w:rsidRPr="0064087E">
        <w:rPr>
          <w:rFonts w:ascii="Times New Roman"/>
          <w:noProof/>
          <w:sz w:val="20"/>
          <w:lang w:eastAsia="pl-PL"/>
        </w:rPr>
        <w:drawing>
          <wp:inline distT="0" distB="0" distL="0" distR="0" wp14:anchorId="4C121C22" wp14:editId="6DCE34AB">
            <wp:extent cx="2274124" cy="701040"/>
            <wp:effectExtent l="0" t="0" r="0" b="0"/>
            <wp:docPr id="1" name="image1.jpeg" descr="Logo Podkarpackie Regionalne Obserwatorium Terytorialne. Kontur graficzny polski z wyróżnieniem województwa podkarpackiego. W tle na górze kolor zielony, na dole granat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274124" cy="701040"/>
                    </a:xfrm>
                    <a:prstGeom prst="rect">
                      <a:avLst/>
                    </a:prstGeom>
                  </pic:spPr>
                </pic:pic>
              </a:graphicData>
            </a:graphic>
          </wp:inline>
        </w:drawing>
      </w:r>
      <w:r w:rsidR="00F7010D" w:rsidRPr="0064087E">
        <w:rPr>
          <w:rFonts w:ascii="Times New Roman"/>
          <w:spacing w:val="57"/>
          <w:position w:val="16"/>
          <w:sz w:val="20"/>
        </w:rPr>
        <w:tab/>
      </w:r>
      <w:r w:rsidRPr="0064087E">
        <w:rPr>
          <w:rFonts w:ascii="Times New Roman"/>
          <w:noProof/>
          <w:position w:val="16"/>
          <w:sz w:val="20"/>
          <w:lang w:eastAsia="pl-PL"/>
        </w:rPr>
        <mc:AlternateContent>
          <mc:Choice Requires="wpg">
            <w:drawing>
              <wp:inline distT="0" distB="0" distL="0" distR="0" wp14:anchorId="1AC768AD" wp14:editId="6F0785B1">
                <wp:extent cx="334645" cy="502285"/>
                <wp:effectExtent l="0" t="1905" r="8255" b="635"/>
                <wp:docPr id="3137" name="Group 3079" descr="Grafika dwóch kół nachodzących na siebie zielony na niebieski"/>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645" cy="502285"/>
                          <a:chOff x="0" y="0"/>
                          <a:chExt cx="527" cy="791"/>
                        </a:xfrm>
                      </wpg:grpSpPr>
                      <wps:wsp>
                        <wps:cNvPr id="3138" name="Freeform 3081"/>
                        <wps:cNvSpPr>
                          <a:spLocks/>
                        </wps:cNvSpPr>
                        <wps:spPr bwMode="auto">
                          <a:xfrm>
                            <a:off x="0" y="263"/>
                            <a:ext cx="527" cy="527"/>
                          </a:xfrm>
                          <a:custGeom>
                            <a:avLst/>
                            <a:gdLst>
                              <a:gd name="T0" fmla="*/ 263 w 527"/>
                              <a:gd name="T1" fmla="+- 0 263 263"/>
                              <a:gd name="T2" fmla="*/ 263 h 527"/>
                              <a:gd name="T3" fmla="*/ 193 w 527"/>
                              <a:gd name="T4" fmla="+- 0 273 263"/>
                              <a:gd name="T5" fmla="*/ 273 h 527"/>
                              <a:gd name="T6" fmla="*/ 130 w 527"/>
                              <a:gd name="T7" fmla="+- 0 299 263"/>
                              <a:gd name="T8" fmla="*/ 299 h 527"/>
                              <a:gd name="T9" fmla="*/ 77 w 527"/>
                              <a:gd name="T10" fmla="+- 0 341 263"/>
                              <a:gd name="T11" fmla="*/ 341 h 527"/>
                              <a:gd name="T12" fmla="*/ 36 w 527"/>
                              <a:gd name="T13" fmla="+- 0 394 263"/>
                              <a:gd name="T14" fmla="*/ 394 h 527"/>
                              <a:gd name="T15" fmla="*/ 9 w 527"/>
                              <a:gd name="T16" fmla="+- 0 457 263"/>
                              <a:gd name="T17" fmla="*/ 457 h 527"/>
                              <a:gd name="T18" fmla="*/ 0 w 527"/>
                              <a:gd name="T19" fmla="+- 0 527 263"/>
                              <a:gd name="T20" fmla="*/ 527 h 527"/>
                              <a:gd name="T21" fmla="*/ 9 w 527"/>
                              <a:gd name="T22" fmla="+- 0 597 263"/>
                              <a:gd name="T23" fmla="*/ 597 h 527"/>
                              <a:gd name="T24" fmla="*/ 36 w 527"/>
                              <a:gd name="T25" fmla="+- 0 660 263"/>
                              <a:gd name="T26" fmla="*/ 660 h 527"/>
                              <a:gd name="T27" fmla="*/ 77 w 527"/>
                              <a:gd name="T28" fmla="+- 0 713 263"/>
                              <a:gd name="T29" fmla="*/ 713 h 527"/>
                              <a:gd name="T30" fmla="*/ 130 w 527"/>
                              <a:gd name="T31" fmla="+- 0 754 263"/>
                              <a:gd name="T32" fmla="*/ 754 h 527"/>
                              <a:gd name="T33" fmla="*/ 193 w 527"/>
                              <a:gd name="T34" fmla="+- 0 781 263"/>
                              <a:gd name="T35" fmla="*/ 781 h 527"/>
                              <a:gd name="T36" fmla="*/ 263 w 527"/>
                              <a:gd name="T37" fmla="+- 0 790 263"/>
                              <a:gd name="T38" fmla="*/ 790 h 527"/>
                              <a:gd name="T39" fmla="*/ 333 w 527"/>
                              <a:gd name="T40" fmla="+- 0 781 263"/>
                              <a:gd name="T41" fmla="*/ 781 h 527"/>
                              <a:gd name="T42" fmla="*/ 396 w 527"/>
                              <a:gd name="T43" fmla="+- 0 754 263"/>
                              <a:gd name="T44" fmla="*/ 754 h 527"/>
                              <a:gd name="T45" fmla="*/ 450 w 527"/>
                              <a:gd name="T46" fmla="+- 0 713 263"/>
                              <a:gd name="T47" fmla="*/ 713 h 527"/>
                              <a:gd name="T48" fmla="*/ 491 w 527"/>
                              <a:gd name="T49" fmla="+- 0 660 263"/>
                              <a:gd name="T50" fmla="*/ 660 h 527"/>
                              <a:gd name="T51" fmla="*/ 517 w 527"/>
                              <a:gd name="T52" fmla="+- 0 597 263"/>
                              <a:gd name="T53" fmla="*/ 597 h 527"/>
                              <a:gd name="T54" fmla="*/ 527 w 527"/>
                              <a:gd name="T55" fmla="+- 0 527 263"/>
                              <a:gd name="T56" fmla="*/ 527 h 527"/>
                              <a:gd name="T57" fmla="*/ 517 w 527"/>
                              <a:gd name="T58" fmla="+- 0 457 263"/>
                              <a:gd name="T59" fmla="*/ 457 h 527"/>
                              <a:gd name="T60" fmla="*/ 491 w 527"/>
                              <a:gd name="T61" fmla="+- 0 394 263"/>
                              <a:gd name="T62" fmla="*/ 394 h 527"/>
                              <a:gd name="T63" fmla="*/ 450 w 527"/>
                              <a:gd name="T64" fmla="+- 0 341 263"/>
                              <a:gd name="T65" fmla="*/ 341 h 527"/>
                              <a:gd name="T66" fmla="*/ 396 w 527"/>
                              <a:gd name="T67" fmla="+- 0 299 263"/>
                              <a:gd name="T68" fmla="*/ 299 h 527"/>
                              <a:gd name="T69" fmla="*/ 333 w 527"/>
                              <a:gd name="T70" fmla="+- 0 273 263"/>
                              <a:gd name="T71" fmla="*/ 273 h 527"/>
                              <a:gd name="T72" fmla="*/ 263 w 527"/>
                              <a:gd name="T73" fmla="+- 0 263 263"/>
                              <a:gd name="T74" fmla="*/ 263 h 52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527" h="527">
                                <a:moveTo>
                                  <a:pt x="263" y="0"/>
                                </a:moveTo>
                                <a:lnTo>
                                  <a:pt x="193" y="10"/>
                                </a:lnTo>
                                <a:lnTo>
                                  <a:pt x="130" y="36"/>
                                </a:lnTo>
                                <a:lnTo>
                                  <a:pt x="77" y="78"/>
                                </a:lnTo>
                                <a:lnTo>
                                  <a:pt x="36" y="131"/>
                                </a:lnTo>
                                <a:lnTo>
                                  <a:pt x="9" y="194"/>
                                </a:lnTo>
                                <a:lnTo>
                                  <a:pt x="0" y="264"/>
                                </a:lnTo>
                                <a:lnTo>
                                  <a:pt x="9" y="334"/>
                                </a:lnTo>
                                <a:lnTo>
                                  <a:pt x="36" y="397"/>
                                </a:lnTo>
                                <a:lnTo>
                                  <a:pt x="77" y="450"/>
                                </a:lnTo>
                                <a:lnTo>
                                  <a:pt x="130" y="491"/>
                                </a:lnTo>
                                <a:lnTo>
                                  <a:pt x="193" y="518"/>
                                </a:lnTo>
                                <a:lnTo>
                                  <a:pt x="263" y="527"/>
                                </a:lnTo>
                                <a:lnTo>
                                  <a:pt x="333" y="518"/>
                                </a:lnTo>
                                <a:lnTo>
                                  <a:pt x="396" y="491"/>
                                </a:lnTo>
                                <a:lnTo>
                                  <a:pt x="450" y="450"/>
                                </a:lnTo>
                                <a:lnTo>
                                  <a:pt x="491" y="397"/>
                                </a:lnTo>
                                <a:lnTo>
                                  <a:pt x="517" y="334"/>
                                </a:lnTo>
                                <a:lnTo>
                                  <a:pt x="527" y="264"/>
                                </a:lnTo>
                                <a:lnTo>
                                  <a:pt x="517" y="194"/>
                                </a:lnTo>
                                <a:lnTo>
                                  <a:pt x="491" y="131"/>
                                </a:lnTo>
                                <a:lnTo>
                                  <a:pt x="450" y="78"/>
                                </a:lnTo>
                                <a:lnTo>
                                  <a:pt x="396" y="36"/>
                                </a:lnTo>
                                <a:lnTo>
                                  <a:pt x="333" y="10"/>
                                </a:lnTo>
                                <a:lnTo>
                                  <a:pt x="263" y="0"/>
                                </a:lnTo>
                                <a:close/>
                              </a:path>
                            </a:pathLst>
                          </a:custGeom>
                          <a:solidFill>
                            <a:srgbClr val="1735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9" name="Freeform 3080"/>
                        <wps:cNvSpPr>
                          <a:spLocks/>
                        </wps:cNvSpPr>
                        <wps:spPr bwMode="auto">
                          <a:xfrm>
                            <a:off x="0" y="0"/>
                            <a:ext cx="527" cy="527"/>
                          </a:xfrm>
                          <a:custGeom>
                            <a:avLst/>
                            <a:gdLst>
                              <a:gd name="T0" fmla="*/ 193 w 527"/>
                              <a:gd name="T1" fmla="*/ 9 h 527"/>
                              <a:gd name="T2" fmla="*/ 77 w 527"/>
                              <a:gd name="T3" fmla="*/ 77 h 527"/>
                              <a:gd name="T4" fmla="*/ 9 w 527"/>
                              <a:gd name="T5" fmla="*/ 193 h 527"/>
                              <a:gd name="T6" fmla="*/ 2 w 527"/>
                              <a:gd name="T7" fmla="*/ 299 h 527"/>
                              <a:gd name="T8" fmla="*/ 20 w 527"/>
                              <a:gd name="T9" fmla="*/ 365 h 527"/>
                              <a:gd name="T10" fmla="*/ 48 w 527"/>
                              <a:gd name="T11" fmla="*/ 375 h 527"/>
                              <a:gd name="T12" fmla="*/ 78 w 527"/>
                              <a:gd name="T13" fmla="*/ 340 h 527"/>
                              <a:gd name="T14" fmla="*/ 45 w 527"/>
                              <a:gd name="T15" fmla="*/ 411 h 527"/>
                              <a:gd name="T16" fmla="*/ 56 w 527"/>
                              <a:gd name="T17" fmla="*/ 425 h 527"/>
                              <a:gd name="T18" fmla="*/ 136 w 527"/>
                              <a:gd name="T19" fmla="*/ 296 h 527"/>
                              <a:gd name="T20" fmla="*/ 155 w 527"/>
                              <a:gd name="T21" fmla="*/ 287 h 527"/>
                              <a:gd name="T22" fmla="*/ 79 w 527"/>
                              <a:gd name="T23" fmla="*/ 451 h 527"/>
                              <a:gd name="T24" fmla="*/ 187 w 527"/>
                              <a:gd name="T25" fmla="*/ 275 h 527"/>
                              <a:gd name="T26" fmla="*/ 91 w 527"/>
                              <a:gd name="T27" fmla="*/ 463 h 527"/>
                              <a:gd name="T28" fmla="*/ 224 w 527"/>
                              <a:gd name="T29" fmla="*/ 266 h 527"/>
                              <a:gd name="T30" fmla="*/ 244 w 527"/>
                              <a:gd name="T31" fmla="*/ 264 h 527"/>
                              <a:gd name="T32" fmla="*/ 132 w 527"/>
                              <a:gd name="T33" fmla="*/ 492 h 527"/>
                              <a:gd name="T34" fmla="*/ 270 w 527"/>
                              <a:gd name="T35" fmla="*/ 263 h 527"/>
                              <a:gd name="T36" fmla="*/ 146 w 527"/>
                              <a:gd name="T37" fmla="*/ 499 h 527"/>
                              <a:gd name="T38" fmla="*/ 300 w 527"/>
                              <a:gd name="T39" fmla="*/ 266 h 527"/>
                              <a:gd name="T40" fmla="*/ 317 w 527"/>
                              <a:gd name="T41" fmla="*/ 269 h 527"/>
                              <a:gd name="T42" fmla="*/ 193 w 527"/>
                              <a:gd name="T43" fmla="*/ 517 h 527"/>
                              <a:gd name="T44" fmla="*/ 350 w 527"/>
                              <a:gd name="T45" fmla="*/ 278 h 527"/>
                              <a:gd name="T46" fmla="*/ 215 w 527"/>
                              <a:gd name="T47" fmla="*/ 522 h 527"/>
                              <a:gd name="T48" fmla="*/ 366 w 527"/>
                              <a:gd name="T49" fmla="*/ 284 h 527"/>
                              <a:gd name="T50" fmla="*/ 245 w 527"/>
                              <a:gd name="T51" fmla="*/ 526 h 527"/>
                              <a:gd name="T52" fmla="*/ 263 w 527"/>
                              <a:gd name="T53" fmla="*/ 527 h 527"/>
                              <a:gd name="T54" fmla="*/ 409 w 527"/>
                              <a:gd name="T55" fmla="*/ 307 h 527"/>
                              <a:gd name="T56" fmla="*/ 290 w 527"/>
                              <a:gd name="T57" fmla="*/ 526 h 527"/>
                              <a:gd name="T58" fmla="*/ 423 w 527"/>
                              <a:gd name="T59" fmla="*/ 317 h 527"/>
                              <a:gd name="T60" fmla="*/ 325 w 527"/>
                              <a:gd name="T61" fmla="*/ 520 h 527"/>
                              <a:gd name="T62" fmla="*/ 347 w 527"/>
                              <a:gd name="T63" fmla="*/ 513 h 527"/>
                              <a:gd name="T64" fmla="*/ 460 w 527"/>
                              <a:gd name="T65" fmla="*/ 351 h 527"/>
                              <a:gd name="T66" fmla="*/ 381 w 527"/>
                              <a:gd name="T67" fmla="*/ 499 h 527"/>
                              <a:gd name="T68" fmla="*/ 399 w 527"/>
                              <a:gd name="T69" fmla="*/ 489 h 527"/>
                              <a:gd name="T70" fmla="*/ 482 w 527"/>
                              <a:gd name="T71" fmla="*/ 379 h 527"/>
                              <a:gd name="T72" fmla="*/ 471 w 527"/>
                              <a:gd name="T73" fmla="*/ 426 h 527"/>
                              <a:gd name="T74" fmla="*/ 520 w 527"/>
                              <a:gd name="T75" fmla="*/ 323 h 527"/>
                              <a:gd name="T76" fmla="*/ 517 w 527"/>
                              <a:gd name="T77" fmla="*/ 193 h 527"/>
                              <a:gd name="T78" fmla="*/ 450 w 527"/>
                              <a:gd name="T79" fmla="*/ 77 h 527"/>
                              <a:gd name="T80" fmla="*/ 333 w 527"/>
                              <a:gd name="T81" fmla="*/ 9 h 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27" h="527">
                                <a:moveTo>
                                  <a:pt x="263" y="0"/>
                                </a:moveTo>
                                <a:lnTo>
                                  <a:pt x="193" y="9"/>
                                </a:lnTo>
                                <a:lnTo>
                                  <a:pt x="130" y="36"/>
                                </a:lnTo>
                                <a:lnTo>
                                  <a:pt x="77" y="77"/>
                                </a:lnTo>
                                <a:lnTo>
                                  <a:pt x="36" y="130"/>
                                </a:lnTo>
                                <a:lnTo>
                                  <a:pt x="9" y="193"/>
                                </a:lnTo>
                                <a:lnTo>
                                  <a:pt x="0" y="263"/>
                                </a:lnTo>
                                <a:lnTo>
                                  <a:pt x="2" y="299"/>
                                </a:lnTo>
                                <a:lnTo>
                                  <a:pt x="9" y="333"/>
                                </a:lnTo>
                                <a:lnTo>
                                  <a:pt x="20" y="365"/>
                                </a:lnTo>
                                <a:lnTo>
                                  <a:pt x="35" y="395"/>
                                </a:lnTo>
                                <a:lnTo>
                                  <a:pt x="48" y="375"/>
                                </a:lnTo>
                                <a:lnTo>
                                  <a:pt x="62" y="357"/>
                                </a:lnTo>
                                <a:lnTo>
                                  <a:pt x="78" y="340"/>
                                </a:lnTo>
                                <a:lnTo>
                                  <a:pt x="95" y="324"/>
                                </a:lnTo>
                                <a:lnTo>
                                  <a:pt x="45" y="411"/>
                                </a:lnTo>
                                <a:lnTo>
                                  <a:pt x="48" y="416"/>
                                </a:lnTo>
                                <a:lnTo>
                                  <a:pt x="56" y="425"/>
                                </a:lnTo>
                                <a:lnTo>
                                  <a:pt x="127" y="301"/>
                                </a:lnTo>
                                <a:lnTo>
                                  <a:pt x="136" y="296"/>
                                </a:lnTo>
                                <a:lnTo>
                                  <a:pt x="145" y="291"/>
                                </a:lnTo>
                                <a:lnTo>
                                  <a:pt x="155" y="287"/>
                                </a:lnTo>
                                <a:lnTo>
                                  <a:pt x="67" y="439"/>
                                </a:lnTo>
                                <a:lnTo>
                                  <a:pt x="79" y="451"/>
                                </a:lnTo>
                                <a:lnTo>
                                  <a:pt x="179" y="277"/>
                                </a:lnTo>
                                <a:lnTo>
                                  <a:pt x="187" y="275"/>
                                </a:lnTo>
                                <a:lnTo>
                                  <a:pt x="202" y="271"/>
                                </a:lnTo>
                                <a:lnTo>
                                  <a:pt x="91" y="463"/>
                                </a:lnTo>
                                <a:lnTo>
                                  <a:pt x="104" y="473"/>
                                </a:lnTo>
                                <a:lnTo>
                                  <a:pt x="224" y="266"/>
                                </a:lnTo>
                                <a:lnTo>
                                  <a:pt x="230" y="265"/>
                                </a:lnTo>
                                <a:lnTo>
                                  <a:pt x="244" y="264"/>
                                </a:lnTo>
                                <a:lnTo>
                                  <a:pt x="118" y="483"/>
                                </a:lnTo>
                                <a:lnTo>
                                  <a:pt x="132" y="492"/>
                                </a:lnTo>
                                <a:lnTo>
                                  <a:pt x="263" y="263"/>
                                </a:lnTo>
                                <a:lnTo>
                                  <a:pt x="270" y="263"/>
                                </a:lnTo>
                                <a:lnTo>
                                  <a:pt x="282" y="264"/>
                                </a:lnTo>
                                <a:lnTo>
                                  <a:pt x="146" y="499"/>
                                </a:lnTo>
                                <a:lnTo>
                                  <a:pt x="161" y="506"/>
                                </a:lnTo>
                                <a:lnTo>
                                  <a:pt x="300" y="266"/>
                                </a:lnTo>
                                <a:lnTo>
                                  <a:pt x="306" y="267"/>
                                </a:lnTo>
                                <a:lnTo>
                                  <a:pt x="317" y="269"/>
                                </a:lnTo>
                                <a:lnTo>
                                  <a:pt x="177" y="512"/>
                                </a:lnTo>
                                <a:lnTo>
                                  <a:pt x="193" y="517"/>
                                </a:lnTo>
                                <a:lnTo>
                                  <a:pt x="334" y="273"/>
                                </a:lnTo>
                                <a:lnTo>
                                  <a:pt x="350" y="278"/>
                                </a:lnTo>
                                <a:lnTo>
                                  <a:pt x="210" y="521"/>
                                </a:lnTo>
                                <a:lnTo>
                                  <a:pt x="215" y="522"/>
                                </a:lnTo>
                                <a:lnTo>
                                  <a:pt x="227" y="524"/>
                                </a:lnTo>
                                <a:lnTo>
                                  <a:pt x="366" y="284"/>
                                </a:lnTo>
                                <a:lnTo>
                                  <a:pt x="381" y="291"/>
                                </a:lnTo>
                                <a:lnTo>
                                  <a:pt x="245" y="526"/>
                                </a:lnTo>
                                <a:lnTo>
                                  <a:pt x="251" y="527"/>
                                </a:lnTo>
                                <a:lnTo>
                                  <a:pt x="263" y="527"/>
                                </a:lnTo>
                                <a:lnTo>
                                  <a:pt x="395" y="299"/>
                                </a:lnTo>
                                <a:lnTo>
                                  <a:pt x="409" y="307"/>
                                </a:lnTo>
                                <a:lnTo>
                                  <a:pt x="283" y="526"/>
                                </a:lnTo>
                                <a:lnTo>
                                  <a:pt x="290" y="526"/>
                                </a:lnTo>
                                <a:lnTo>
                                  <a:pt x="303" y="524"/>
                                </a:lnTo>
                                <a:lnTo>
                                  <a:pt x="423" y="317"/>
                                </a:lnTo>
                                <a:lnTo>
                                  <a:pt x="436" y="327"/>
                                </a:lnTo>
                                <a:lnTo>
                                  <a:pt x="325" y="520"/>
                                </a:lnTo>
                                <a:lnTo>
                                  <a:pt x="332" y="518"/>
                                </a:lnTo>
                                <a:lnTo>
                                  <a:pt x="347" y="513"/>
                                </a:lnTo>
                                <a:lnTo>
                                  <a:pt x="448" y="339"/>
                                </a:lnTo>
                                <a:lnTo>
                                  <a:pt x="460" y="351"/>
                                </a:lnTo>
                                <a:lnTo>
                                  <a:pt x="372" y="503"/>
                                </a:lnTo>
                                <a:lnTo>
                                  <a:pt x="381" y="499"/>
                                </a:lnTo>
                                <a:lnTo>
                                  <a:pt x="390" y="494"/>
                                </a:lnTo>
                                <a:lnTo>
                                  <a:pt x="399" y="489"/>
                                </a:lnTo>
                                <a:lnTo>
                                  <a:pt x="471" y="365"/>
                                </a:lnTo>
                                <a:lnTo>
                                  <a:pt x="482" y="379"/>
                                </a:lnTo>
                                <a:lnTo>
                                  <a:pt x="432" y="466"/>
                                </a:lnTo>
                                <a:lnTo>
                                  <a:pt x="471" y="426"/>
                                </a:lnTo>
                                <a:lnTo>
                                  <a:pt x="501" y="377"/>
                                </a:lnTo>
                                <a:lnTo>
                                  <a:pt x="520" y="323"/>
                                </a:lnTo>
                                <a:lnTo>
                                  <a:pt x="527" y="263"/>
                                </a:lnTo>
                                <a:lnTo>
                                  <a:pt x="517" y="193"/>
                                </a:lnTo>
                                <a:lnTo>
                                  <a:pt x="491" y="130"/>
                                </a:lnTo>
                                <a:lnTo>
                                  <a:pt x="450" y="77"/>
                                </a:lnTo>
                                <a:lnTo>
                                  <a:pt x="396" y="36"/>
                                </a:lnTo>
                                <a:lnTo>
                                  <a:pt x="333" y="9"/>
                                </a:lnTo>
                                <a:lnTo>
                                  <a:pt x="263" y="0"/>
                                </a:lnTo>
                                <a:close/>
                              </a:path>
                            </a:pathLst>
                          </a:custGeom>
                          <a:solidFill>
                            <a:srgbClr val="B5D3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7798635" id="Group 3079" o:spid="_x0000_s1026" alt="Grafika dwóch kół nachodzących na siebie zielony na niebieski" style="width:26.35pt;height:39.55pt;mso-position-horizontal-relative:char;mso-position-vertical-relative:line" coordsize="527,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">
                <v:shape id="Freeform 3081" o:spid="_x0000_s1027" style="position:absolute;top:263;width:527;height:527;visibility:visible;mso-wrap-style:square;v-text-anchor:top" coordsize="52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" path="m263,l193,10,130,36,77,78,36,131,9,194,,264r9,70l36,397r41,53l130,491r63,27l263,527r70,-9l396,491r54,-41l491,397r26,-63l527,264,517,194,491,131,450,78,396,36,333,10,263,xe" fillcolor="#173583" stroked="f">
                  <v:path arrowok="t" o:connecttype="custom" o:connectlocs="263,263;193,273;130,299;77,341;36,394;9,457;0,527;9,597;36,660;77,713;130,754;193,781;263,790;333,781;396,754;450,713;491,660;517,597;527,527;517,457;491,394;450,341;396,299;333,273;263,263" o:connectangles="0,0,0,0,0,0,0,0,0,0,0,0,0,0,0,0,0,0,0,0,0,0,0,0,0"/>
                </v:shape>
                <v:shape id="Freeform 3080" o:spid="_x0000_s1028" style="position:absolute;width:527;height:527;visibility:visible;mso-wrap-style:square;v-text-anchor:top" coordsize="52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" path="m263,l193,9,130,36,77,77,36,130,9,193,,263r2,36l9,333r11,32l35,395,48,375,62,357,78,340,95,324,45,411r3,5l56,425,127,301r9,-5l145,291r10,-4l67,439r12,12l179,277r8,-2l202,271,91,463r13,10l224,266r6,-1l244,264,118,483r14,9l263,263r7,l282,264,146,499r15,7l300,266r6,1l317,269,177,512r16,5l334,273r16,5l210,521r5,1l227,524,366,284r15,7l245,526r6,1l263,527,395,299r14,8l283,526r7,l303,524,423,317r13,10l325,520r7,-2l347,513,448,339r12,12l372,503r9,-4l390,494r9,-5l471,365r11,14l432,466r39,-40l501,377r19,-54l527,263,517,193,491,130,450,77,396,36,333,9,263,xe" fillcolor="#b5d334" stroked="f">
                  <v:path arrowok="t" o:connecttype="custom" o:connectlocs="193,9;77,77;9,193;2,299;20,365;48,375;78,340;45,411;56,425;136,296;155,287;79,451;187,275;91,463;224,266;244,264;132,492;270,263;146,499;300,266;317,269;193,517;350,278;215,522;366,284;245,526;263,527;409,307;290,526;423,317;325,520;347,513;460,351;381,499;399,489;482,379;471,426;520,323;517,193;450,77;333,9" o:connectangles="0,0,0,0,0,0,0,0,0,0,0,0,0,0,0,0,0,0,0,0,0,0,0,0,0,0,0,0,0,0,0,0,0,0,0,0,0,0,0,0,0"/>
                </v:shape>
                <w10:anchorlock/>
              </v:group>
            </w:pict>
          </mc:Fallback>
        </mc:AlternateContent>
      </w:r>
      <w:r w:rsidRPr="0064087E">
        <w:rPr>
          <w:rFonts w:ascii="Times New Roman"/>
          <w:spacing w:val="57"/>
          <w:position w:val="16"/>
          <w:sz w:val="20"/>
        </w:rPr>
        <w:t xml:space="preserve"> </w:t>
      </w:r>
      <w:r w:rsidRPr="0064087E">
        <w:rPr>
          <w:rFonts w:ascii="Times New Roman"/>
          <w:noProof/>
          <w:spacing w:val="57"/>
          <w:position w:val="34"/>
          <w:sz w:val="20"/>
          <w:lang w:eastAsia="pl-PL"/>
        </w:rPr>
        <w:drawing>
          <wp:inline distT="0" distB="0" distL="0" distR="0" wp14:anchorId="0EA0D722" wp14:editId="4B69E255">
            <wp:extent cx="1213965" cy="271462"/>
            <wp:effectExtent l="0" t="0" r="0" b="0"/>
            <wp:docPr id="3" name="image2.png" descr="Urząd Statystyczny w Rzesz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213965" cy="271462"/>
                    </a:xfrm>
                    <a:prstGeom prst="rect">
                      <a:avLst/>
                    </a:prstGeom>
                  </pic:spPr>
                </pic:pic>
              </a:graphicData>
            </a:graphic>
          </wp:inline>
        </w:drawing>
      </w:r>
    </w:p>
    <w:p w:rsidR="00014A03" w:rsidRPr="0064087E" w:rsidRDefault="009B2EF2" w:rsidP="009B2EF2">
      <w:pPr>
        <w:spacing w:after="1680"/>
        <w:rPr>
          <w:rFonts w:ascii="Times New Roman"/>
          <w:sz w:val="20"/>
        </w:rPr>
      </w:pPr>
      <w:r w:rsidRPr="0064087E">
        <w:rPr>
          <w:rFonts w:ascii="Times New Roman"/>
          <w:noProof/>
          <w:sz w:val="20"/>
          <w:lang w:eastAsia="pl-PL"/>
        </w:rPr>
        <w:drawing>
          <wp:inline distT="0" distB="0" distL="0" distR="0" wp14:anchorId="381CAC73" wp14:editId="3F107BE3">
            <wp:extent cx="5760720" cy="4032250"/>
            <wp:effectExtent l="0" t="0" r="0" b="6350"/>
            <wp:docPr id="20" name="Obraz 20" descr="Grafika okładki, od góry: łaźnik kosmiczny, osoby pracujące przy stanowiskach komputerowych, projekt samochodu, budynek przypominający uzdrowi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anże 2.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4032250"/>
                    </a:xfrm>
                    <a:prstGeom prst="rect">
                      <a:avLst/>
                    </a:prstGeom>
                  </pic:spPr>
                </pic:pic>
              </a:graphicData>
            </a:graphic>
          </wp:inline>
        </w:drawing>
      </w:r>
    </w:p>
    <w:p w:rsidR="00014A03" w:rsidRPr="0064087E" w:rsidRDefault="00014A03" w:rsidP="005E2173">
      <w:pPr>
        <w:spacing w:after="240" w:line="276" w:lineRule="auto"/>
        <w:jc w:val="center"/>
        <w:rPr>
          <w:rFonts w:ascii="Arial" w:hAnsi="Arial" w:cs="Arial"/>
          <w:sz w:val="32"/>
          <w:szCs w:val="32"/>
        </w:rPr>
      </w:pPr>
      <w:bookmarkStart w:id="0" w:name="_Hlk161224094"/>
      <w:r w:rsidRPr="0064087E">
        <w:rPr>
          <w:rFonts w:ascii="Arial" w:hAnsi="Arial" w:cs="Arial"/>
          <w:sz w:val="32"/>
          <w:szCs w:val="32"/>
        </w:rPr>
        <w:t>WIODĄCE BRANŻE WOJEWÓDZTWA PODKARPACKIEGO – INTELIGENTNE SPECJALIZACJE REGIONALNE</w:t>
      </w:r>
    </w:p>
    <w:bookmarkEnd w:id="0"/>
    <w:p w:rsidR="003753D9" w:rsidRDefault="00014A03" w:rsidP="00F26A2D">
      <w:pPr>
        <w:spacing w:after="1080" w:line="276" w:lineRule="auto"/>
        <w:jc w:val="center"/>
        <w:rPr>
          <w:rFonts w:ascii="Arial" w:hAnsi="Arial" w:cs="Arial"/>
        </w:rPr>
      </w:pPr>
      <w:r w:rsidRPr="0064087E">
        <w:rPr>
          <w:rFonts w:ascii="Arial" w:hAnsi="Arial" w:cs="Arial"/>
        </w:rPr>
        <w:t>Wspólne opracowanie wykonane przez Regionalne Obserwatorium Terytorialne oraz Podkarpacki Ośrodek Badań Regionalnych Urzędu Statystycznego w Rzeszowie</w:t>
      </w:r>
    </w:p>
    <w:p w:rsidR="005E2173" w:rsidRPr="0064087E" w:rsidRDefault="00014A03" w:rsidP="003753D9">
      <w:pPr>
        <w:spacing w:line="276" w:lineRule="auto"/>
        <w:jc w:val="center"/>
        <w:rPr>
          <w:rFonts w:ascii="Arial" w:hAnsi="Arial" w:cs="Arial"/>
        </w:rPr>
      </w:pPr>
      <w:r w:rsidRPr="0064087E">
        <w:rPr>
          <w:rFonts w:ascii="Arial" w:hAnsi="Arial" w:cs="Arial"/>
        </w:rPr>
        <w:t>Rzeszów 202</w:t>
      </w:r>
      <w:r w:rsidR="00F26A2D">
        <w:rPr>
          <w:rFonts w:ascii="Arial" w:hAnsi="Arial" w:cs="Arial"/>
        </w:rPr>
        <w:t>3</w:t>
      </w:r>
      <w:r w:rsidR="005E2173" w:rsidRPr="0064087E">
        <w:rPr>
          <w:rFonts w:ascii="Arial" w:hAnsi="Arial" w:cs="Arial"/>
        </w:rPr>
        <w:br w:type="page"/>
      </w:r>
    </w:p>
    <w:p w:rsidR="00587025" w:rsidRPr="0064087E" w:rsidRDefault="00587025" w:rsidP="00BB598D">
      <w:pPr>
        <w:spacing w:after="240" w:line="276" w:lineRule="auto"/>
        <w:rPr>
          <w:rFonts w:ascii="Arial" w:hAnsi="Arial" w:cs="Arial"/>
        </w:rPr>
      </w:pPr>
      <w:r w:rsidRPr="0064087E">
        <w:rPr>
          <w:rFonts w:ascii="Arial" w:hAnsi="Arial" w:cs="Arial"/>
        </w:rPr>
        <w:lastRenderedPageBreak/>
        <w:t>Opracowanie merytoryczne:</w:t>
      </w:r>
    </w:p>
    <w:p w:rsidR="00381CFD" w:rsidRPr="0064087E" w:rsidRDefault="00381CFD" w:rsidP="00BB598D">
      <w:pPr>
        <w:spacing w:after="240" w:line="276" w:lineRule="auto"/>
        <w:rPr>
          <w:rFonts w:ascii="Arial" w:hAnsi="Arial" w:cs="Arial"/>
        </w:rPr>
      </w:pPr>
      <w:r w:rsidRPr="0064087E">
        <w:rPr>
          <w:rFonts w:ascii="Arial" w:hAnsi="Arial" w:cs="Arial"/>
        </w:rPr>
        <w:t>Urząd Marszałkowski Województwa Podkarpackiego, Regionalne Obserwatorium Terytorialne</w:t>
      </w:r>
    </w:p>
    <w:p w:rsidR="00C72D89" w:rsidRPr="0064087E" w:rsidRDefault="00587025" w:rsidP="00BB598D">
      <w:pPr>
        <w:spacing w:after="600" w:line="276" w:lineRule="auto"/>
        <w:rPr>
          <w:rFonts w:ascii="Arial" w:hAnsi="Arial" w:cs="Arial"/>
        </w:rPr>
      </w:pPr>
      <w:r w:rsidRPr="0064087E">
        <w:rPr>
          <w:rFonts w:ascii="Arial" w:hAnsi="Arial" w:cs="Arial"/>
        </w:rPr>
        <w:t>Urząd Statystyczny w Rzeszowie, Podkarpacki Ośrodek Badań Regionalnych</w:t>
      </w:r>
    </w:p>
    <w:p w:rsidR="008D3A3E" w:rsidRPr="0064087E" w:rsidRDefault="00587025" w:rsidP="00BB598D">
      <w:pPr>
        <w:spacing w:after="240" w:line="276" w:lineRule="auto"/>
        <w:rPr>
          <w:rFonts w:ascii="Arial" w:hAnsi="Arial" w:cs="Arial"/>
        </w:rPr>
      </w:pPr>
      <w:r w:rsidRPr="0064087E">
        <w:rPr>
          <w:rFonts w:ascii="Arial" w:hAnsi="Arial" w:cs="Arial"/>
        </w:rPr>
        <w:t>Zespół autorski:</w:t>
      </w:r>
      <w:r w:rsidR="00177178" w:rsidRPr="0064087E">
        <w:rPr>
          <w:rFonts w:ascii="Arial" w:hAnsi="Arial" w:cs="Arial"/>
        </w:rPr>
        <w:t xml:space="preserve"> </w:t>
      </w:r>
      <w:r w:rsidR="00381CFD" w:rsidRPr="0064087E">
        <w:rPr>
          <w:rFonts w:ascii="Arial" w:hAnsi="Arial" w:cs="Arial"/>
        </w:rPr>
        <w:t xml:space="preserve">Lucyna Rybarska-Magoń, Aleksandra Mucha, Elżbieta Nartowicz, </w:t>
      </w:r>
      <w:r w:rsidR="00177178" w:rsidRPr="0064087E">
        <w:rPr>
          <w:rFonts w:ascii="Arial" w:hAnsi="Arial" w:cs="Arial"/>
        </w:rPr>
        <w:br/>
      </w:r>
      <w:r w:rsidR="00381CFD" w:rsidRPr="0064087E">
        <w:rPr>
          <w:rFonts w:ascii="Arial" w:hAnsi="Arial" w:cs="Arial"/>
        </w:rPr>
        <w:t xml:space="preserve">Maria Ragan, Kasper </w:t>
      </w:r>
      <w:proofErr w:type="spellStart"/>
      <w:r w:rsidR="00381CFD" w:rsidRPr="0064087E">
        <w:rPr>
          <w:rFonts w:ascii="Arial" w:hAnsi="Arial" w:cs="Arial"/>
        </w:rPr>
        <w:t>Bosek</w:t>
      </w:r>
      <w:proofErr w:type="spellEnd"/>
      <w:r w:rsidR="00381CFD" w:rsidRPr="0064087E">
        <w:rPr>
          <w:rFonts w:ascii="Arial" w:hAnsi="Arial" w:cs="Arial"/>
        </w:rPr>
        <w:t xml:space="preserve">, Konrad </w:t>
      </w:r>
      <w:proofErr w:type="spellStart"/>
      <w:r w:rsidR="00381CFD" w:rsidRPr="0064087E">
        <w:rPr>
          <w:rFonts w:ascii="Arial" w:hAnsi="Arial" w:cs="Arial"/>
        </w:rPr>
        <w:t>Wojturski</w:t>
      </w:r>
      <w:proofErr w:type="spellEnd"/>
      <w:r w:rsidR="00332EAF" w:rsidRPr="0064087E">
        <w:rPr>
          <w:rFonts w:ascii="Arial" w:hAnsi="Arial" w:cs="Arial"/>
        </w:rPr>
        <w:t>, Wioletta Pelc</w:t>
      </w:r>
      <w:r w:rsidR="00643A49">
        <w:rPr>
          <w:rFonts w:ascii="Arial" w:hAnsi="Arial" w:cs="Arial"/>
        </w:rPr>
        <w:t xml:space="preserve">, Krzysztof </w:t>
      </w:r>
      <w:r w:rsidR="00D85853">
        <w:rPr>
          <w:rFonts w:ascii="Arial" w:hAnsi="Arial" w:cs="Arial"/>
        </w:rPr>
        <w:t>Szluz.</w:t>
      </w:r>
    </w:p>
    <w:p w:rsidR="00587025" w:rsidRPr="0064087E" w:rsidRDefault="00587025" w:rsidP="00BB598D">
      <w:pPr>
        <w:spacing w:after="240" w:line="276" w:lineRule="auto"/>
        <w:rPr>
          <w:rFonts w:ascii="Arial" w:hAnsi="Arial" w:cs="Arial"/>
        </w:rPr>
      </w:pPr>
      <w:r w:rsidRPr="0064087E">
        <w:rPr>
          <w:rFonts w:ascii="Arial" w:hAnsi="Arial" w:cs="Arial"/>
        </w:rPr>
        <w:t>Kierujący:</w:t>
      </w:r>
      <w:r w:rsidR="008D3A3E" w:rsidRPr="0064087E">
        <w:rPr>
          <w:rFonts w:ascii="Arial" w:hAnsi="Arial" w:cs="Arial"/>
        </w:rPr>
        <w:t xml:space="preserve"> Paweł Szczęch</w:t>
      </w:r>
      <w:r w:rsidR="00177178" w:rsidRPr="0064087E">
        <w:rPr>
          <w:rFonts w:ascii="Arial" w:hAnsi="Arial" w:cs="Arial"/>
        </w:rPr>
        <w:t>.</w:t>
      </w:r>
    </w:p>
    <w:p w:rsidR="001428F8" w:rsidRPr="0064087E" w:rsidRDefault="001428F8" w:rsidP="00BB598D">
      <w:pPr>
        <w:spacing w:after="240" w:line="276" w:lineRule="auto"/>
        <w:rPr>
          <w:rFonts w:ascii="Arial" w:hAnsi="Arial" w:cs="Arial"/>
        </w:rPr>
      </w:pPr>
      <w:r w:rsidRPr="0064087E">
        <w:rPr>
          <w:rFonts w:ascii="Arial" w:hAnsi="Arial" w:cs="Arial"/>
        </w:rPr>
        <w:t>Skład i opracowanie graficzne:</w:t>
      </w:r>
      <w:r w:rsidR="008D3A3E" w:rsidRPr="0064087E">
        <w:rPr>
          <w:rFonts w:ascii="Arial" w:hAnsi="Arial" w:cs="Arial"/>
        </w:rPr>
        <w:t xml:space="preserve"> Konrad Wojturski</w:t>
      </w:r>
      <w:r w:rsidR="00381CFD" w:rsidRPr="0064087E">
        <w:rPr>
          <w:rFonts w:ascii="Arial" w:hAnsi="Arial" w:cs="Arial"/>
        </w:rPr>
        <w:t>.</w:t>
      </w:r>
    </w:p>
    <w:p w:rsidR="001428F8" w:rsidRPr="0064087E" w:rsidRDefault="00D85853" w:rsidP="00BB598D">
      <w:pPr>
        <w:widowControl/>
        <w:autoSpaceDE/>
        <w:autoSpaceDN/>
        <w:spacing w:after="160" w:line="276" w:lineRule="auto"/>
        <w:rPr>
          <w:rFonts w:ascii="Arial" w:hAnsi="Arial" w:cs="Arial"/>
        </w:rPr>
      </w:pPr>
      <w:r>
        <w:rPr>
          <w:rFonts w:ascii="Arial" w:hAnsi="Arial" w:cs="Arial"/>
        </w:rPr>
        <w:t>Akceptacja: Paweł Wais – Dyrektor Departamentu Rozwoju Regionalnego Urzędu Marszałkowskiego Województwa Podkarpackiego.</w:t>
      </w:r>
      <w:r w:rsidR="001428F8" w:rsidRPr="0064087E">
        <w:rPr>
          <w:rFonts w:ascii="Arial" w:hAnsi="Arial" w:cs="Arial"/>
        </w:rPr>
        <w:br w:type="page"/>
      </w:r>
    </w:p>
    <w:sdt>
      <w:sdtPr>
        <w:rPr>
          <w:rFonts w:ascii="Trebuchet MS" w:eastAsia="Trebuchet MS" w:hAnsi="Trebuchet MS" w:cs="Trebuchet MS"/>
          <w:color w:val="auto"/>
          <w:sz w:val="22"/>
          <w:szCs w:val="22"/>
          <w:lang w:eastAsia="en-US"/>
        </w:rPr>
        <w:id w:val="-213503205"/>
        <w:docPartObj>
          <w:docPartGallery w:val="Table of Contents"/>
          <w:docPartUnique/>
        </w:docPartObj>
      </w:sdtPr>
      <w:sdtEndPr>
        <w:rPr>
          <w:rFonts w:ascii="Arial" w:hAnsi="Arial" w:cs="Arial"/>
          <w:b/>
          <w:bCs/>
        </w:rPr>
      </w:sdtEndPr>
      <w:sdtContent>
        <w:p w:rsidR="001428F8" w:rsidRPr="00AD0D08" w:rsidRDefault="001428F8" w:rsidP="00AD0D08">
          <w:pPr>
            <w:pStyle w:val="Nagwekspisutreci"/>
            <w:spacing w:before="0" w:after="240" w:line="276" w:lineRule="auto"/>
            <w:rPr>
              <w:rFonts w:ascii="Arial" w:hAnsi="Arial" w:cs="Arial"/>
              <w:color w:val="auto"/>
              <w:sz w:val="22"/>
              <w:szCs w:val="22"/>
            </w:rPr>
          </w:pPr>
          <w:r w:rsidRPr="00AD0D08">
            <w:rPr>
              <w:rFonts w:ascii="Arial" w:hAnsi="Arial" w:cs="Arial"/>
              <w:color w:val="auto"/>
              <w:sz w:val="22"/>
              <w:szCs w:val="22"/>
            </w:rPr>
            <w:t>Spis treści</w:t>
          </w:r>
        </w:p>
        <w:p w:rsidR="00AD0D08" w:rsidRPr="00AD0D08" w:rsidRDefault="001428F8" w:rsidP="00AD0D08">
          <w:pPr>
            <w:pStyle w:val="Spistreci1"/>
            <w:rPr>
              <w:rFonts w:ascii="Arial" w:eastAsiaTheme="minorEastAsia" w:hAnsi="Arial" w:cs="Arial"/>
              <w:noProof/>
              <w:lang w:eastAsia="pl-PL"/>
            </w:rPr>
          </w:pPr>
          <w:r w:rsidRPr="00AD0D08">
            <w:rPr>
              <w:rFonts w:ascii="Arial" w:hAnsi="Arial" w:cs="Arial"/>
              <w:bCs/>
            </w:rPr>
            <w:fldChar w:fldCharType="begin"/>
          </w:r>
          <w:r w:rsidRPr="00AD0D08">
            <w:rPr>
              <w:rFonts w:ascii="Arial" w:hAnsi="Arial" w:cs="Arial"/>
              <w:bCs/>
            </w:rPr>
            <w:instrText xml:space="preserve"> TOC \o "1-3" \h \z \u </w:instrText>
          </w:r>
          <w:r w:rsidRPr="00AD0D08">
            <w:rPr>
              <w:rFonts w:ascii="Arial" w:hAnsi="Arial" w:cs="Arial"/>
              <w:bCs/>
            </w:rPr>
            <w:fldChar w:fldCharType="separate"/>
          </w:r>
          <w:hyperlink w:anchor="_Toc160793865" w:history="1">
            <w:r w:rsidR="00AD0D08" w:rsidRPr="00AD0D08">
              <w:rPr>
                <w:rStyle w:val="Hipercze"/>
                <w:rFonts w:ascii="Arial" w:hAnsi="Arial" w:cs="Arial"/>
                <w:noProof/>
              </w:rPr>
              <w:t>Wstęp</w:t>
            </w:r>
            <w:r w:rsidR="00AD0D08" w:rsidRPr="00AD0D08">
              <w:rPr>
                <w:rFonts w:ascii="Arial" w:hAnsi="Arial" w:cs="Arial"/>
                <w:noProof/>
                <w:webHidden/>
              </w:rPr>
              <w:tab/>
            </w:r>
            <w:r w:rsidR="00AD0D08" w:rsidRPr="00AD0D08">
              <w:rPr>
                <w:rFonts w:ascii="Arial" w:hAnsi="Arial" w:cs="Arial"/>
                <w:noProof/>
                <w:webHidden/>
              </w:rPr>
              <w:fldChar w:fldCharType="begin"/>
            </w:r>
            <w:r w:rsidR="00AD0D08" w:rsidRPr="00AD0D08">
              <w:rPr>
                <w:rFonts w:ascii="Arial" w:hAnsi="Arial" w:cs="Arial"/>
                <w:noProof/>
                <w:webHidden/>
              </w:rPr>
              <w:instrText xml:space="preserve"> PAGEREF _Toc160793865 \h </w:instrText>
            </w:r>
            <w:r w:rsidR="00AD0D08" w:rsidRPr="00AD0D08">
              <w:rPr>
                <w:rFonts w:ascii="Arial" w:hAnsi="Arial" w:cs="Arial"/>
                <w:noProof/>
                <w:webHidden/>
              </w:rPr>
            </w:r>
            <w:r w:rsidR="00AD0D08" w:rsidRPr="00AD0D08">
              <w:rPr>
                <w:rFonts w:ascii="Arial" w:hAnsi="Arial" w:cs="Arial"/>
                <w:noProof/>
                <w:webHidden/>
              </w:rPr>
              <w:fldChar w:fldCharType="separate"/>
            </w:r>
            <w:r w:rsidR="00A564A3">
              <w:rPr>
                <w:rFonts w:ascii="Arial" w:hAnsi="Arial" w:cs="Arial"/>
                <w:noProof/>
                <w:webHidden/>
              </w:rPr>
              <w:t>4</w:t>
            </w:r>
            <w:r w:rsidR="00AD0D08" w:rsidRPr="00AD0D08">
              <w:rPr>
                <w:rFonts w:ascii="Arial" w:hAnsi="Arial" w:cs="Arial"/>
                <w:noProof/>
                <w:webHidden/>
              </w:rPr>
              <w:fldChar w:fldCharType="end"/>
            </w:r>
          </w:hyperlink>
        </w:p>
        <w:p w:rsidR="00AD0D08" w:rsidRPr="00AD0D08" w:rsidRDefault="00AB3857" w:rsidP="00AD0D08">
          <w:pPr>
            <w:pStyle w:val="Spistreci1"/>
            <w:rPr>
              <w:rFonts w:ascii="Arial" w:eastAsiaTheme="minorEastAsia" w:hAnsi="Arial" w:cs="Arial"/>
              <w:noProof/>
              <w:lang w:eastAsia="pl-PL"/>
            </w:rPr>
          </w:pPr>
          <w:hyperlink w:anchor="_Toc160793866" w:history="1">
            <w:r w:rsidR="00AD0D08" w:rsidRPr="00AD0D08">
              <w:rPr>
                <w:rStyle w:val="Hipercze"/>
                <w:rFonts w:ascii="Arial" w:hAnsi="Arial" w:cs="Arial"/>
                <w:noProof/>
              </w:rPr>
              <w:t>1.</w:t>
            </w:r>
            <w:r w:rsidR="00AD0D08" w:rsidRPr="00AD0D08">
              <w:rPr>
                <w:rFonts w:ascii="Arial" w:eastAsiaTheme="minorEastAsia" w:hAnsi="Arial" w:cs="Arial"/>
                <w:noProof/>
                <w:lang w:eastAsia="pl-PL"/>
              </w:rPr>
              <w:tab/>
            </w:r>
            <w:r w:rsidR="00AD0D08" w:rsidRPr="00AD0D08">
              <w:rPr>
                <w:rStyle w:val="Hipercze"/>
                <w:rFonts w:ascii="Arial" w:hAnsi="Arial" w:cs="Arial"/>
                <w:noProof/>
              </w:rPr>
              <w:t>Poziom innowacyjności województwa podkarpackiego</w:t>
            </w:r>
            <w:r w:rsidR="00AD0D08" w:rsidRPr="00AD0D08">
              <w:rPr>
                <w:rFonts w:ascii="Arial" w:hAnsi="Arial" w:cs="Arial"/>
                <w:noProof/>
                <w:webHidden/>
              </w:rPr>
              <w:tab/>
            </w:r>
            <w:r w:rsidR="00AD0D08" w:rsidRPr="00AD0D08">
              <w:rPr>
                <w:rFonts w:ascii="Arial" w:hAnsi="Arial" w:cs="Arial"/>
                <w:noProof/>
                <w:webHidden/>
              </w:rPr>
              <w:fldChar w:fldCharType="begin"/>
            </w:r>
            <w:r w:rsidR="00AD0D08" w:rsidRPr="00AD0D08">
              <w:rPr>
                <w:rFonts w:ascii="Arial" w:hAnsi="Arial" w:cs="Arial"/>
                <w:noProof/>
                <w:webHidden/>
              </w:rPr>
              <w:instrText xml:space="preserve"> PAGEREF _Toc160793866 \h </w:instrText>
            </w:r>
            <w:r w:rsidR="00AD0D08" w:rsidRPr="00AD0D08">
              <w:rPr>
                <w:rFonts w:ascii="Arial" w:hAnsi="Arial" w:cs="Arial"/>
                <w:noProof/>
                <w:webHidden/>
              </w:rPr>
            </w:r>
            <w:r w:rsidR="00AD0D08" w:rsidRPr="00AD0D08">
              <w:rPr>
                <w:rFonts w:ascii="Arial" w:hAnsi="Arial" w:cs="Arial"/>
                <w:noProof/>
                <w:webHidden/>
              </w:rPr>
              <w:fldChar w:fldCharType="separate"/>
            </w:r>
            <w:r w:rsidR="00A564A3">
              <w:rPr>
                <w:rFonts w:ascii="Arial" w:hAnsi="Arial" w:cs="Arial"/>
                <w:noProof/>
                <w:webHidden/>
              </w:rPr>
              <w:t>5</w:t>
            </w:r>
            <w:r w:rsidR="00AD0D08" w:rsidRPr="00AD0D08">
              <w:rPr>
                <w:rFonts w:ascii="Arial" w:hAnsi="Arial" w:cs="Arial"/>
                <w:noProof/>
                <w:webHidden/>
              </w:rPr>
              <w:fldChar w:fldCharType="end"/>
            </w:r>
          </w:hyperlink>
        </w:p>
        <w:p w:rsidR="00AD0D08" w:rsidRPr="00AD0D08" w:rsidRDefault="00AB3857" w:rsidP="00AD0D08">
          <w:pPr>
            <w:pStyle w:val="Spistreci1"/>
            <w:rPr>
              <w:rFonts w:ascii="Arial" w:eastAsiaTheme="minorEastAsia" w:hAnsi="Arial" w:cs="Arial"/>
              <w:noProof/>
              <w:lang w:eastAsia="pl-PL"/>
            </w:rPr>
          </w:pPr>
          <w:hyperlink w:anchor="_Toc160793867" w:history="1">
            <w:r w:rsidR="00AD0D08" w:rsidRPr="00AD0D08">
              <w:rPr>
                <w:rStyle w:val="Hipercze"/>
                <w:rFonts w:ascii="Arial" w:hAnsi="Arial" w:cs="Arial"/>
                <w:noProof/>
              </w:rPr>
              <w:t>2.</w:t>
            </w:r>
            <w:r w:rsidR="00AD0D08" w:rsidRPr="00AD0D08">
              <w:rPr>
                <w:rFonts w:ascii="Arial" w:eastAsiaTheme="minorEastAsia" w:hAnsi="Arial" w:cs="Arial"/>
                <w:noProof/>
                <w:lang w:eastAsia="pl-PL"/>
              </w:rPr>
              <w:tab/>
            </w:r>
            <w:r w:rsidR="00AD0D08" w:rsidRPr="00AD0D08">
              <w:rPr>
                <w:rStyle w:val="Hipercze"/>
                <w:rFonts w:ascii="Arial" w:hAnsi="Arial" w:cs="Arial"/>
                <w:noProof/>
              </w:rPr>
              <w:t>Inteligentne specjalizacje województwa podkarpackiego</w:t>
            </w:r>
            <w:r w:rsidR="00AD0D08" w:rsidRPr="00AD0D08">
              <w:rPr>
                <w:rFonts w:ascii="Arial" w:hAnsi="Arial" w:cs="Arial"/>
                <w:noProof/>
                <w:webHidden/>
              </w:rPr>
              <w:tab/>
            </w:r>
            <w:r w:rsidR="00AD0D08" w:rsidRPr="00AD0D08">
              <w:rPr>
                <w:rFonts w:ascii="Arial" w:hAnsi="Arial" w:cs="Arial"/>
                <w:noProof/>
                <w:webHidden/>
              </w:rPr>
              <w:fldChar w:fldCharType="begin"/>
            </w:r>
            <w:r w:rsidR="00AD0D08" w:rsidRPr="00AD0D08">
              <w:rPr>
                <w:rFonts w:ascii="Arial" w:hAnsi="Arial" w:cs="Arial"/>
                <w:noProof/>
                <w:webHidden/>
              </w:rPr>
              <w:instrText xml:space="preserve"> PAGEREF _Toc160793867 \h </w:instrText>
            </w:r>
            <w:r w:rsidR="00AD0D08" w:rsidRPr="00AD0D08">
              <w:rPr>
                <w:rFonts w:ascii="Arial" w:hAnsi="Arial" w:cs="Arial"/>
                <w:noProof/>
                <w:webHidden/>
              </w:rPr>
            </w:r>
            <w:r w:rsidR="00AD0D08" w:rsidRPr="00AD0D08">
              <w:rPr>
                <w:rFonts w:ascii="Arial" w:hAnsi="Arial" w:cs="Arial"/>
                <w:noProof/>
                <w:webHidden/>
              </w:rPr>
              <w:fldChar w:fldCharType="separate"/>
            </w:r>
            <w:r w:rsidR="00A564A3">
              <w:rPr>
                <w:rFonts w:ascii="Arial" w:hAnsi="Arial" w:cs="Arial"/>
                <w:noProof/>
                <w:webHidden/>
              </w:rPr>
              <w:t>12</w:t>
            </w:r>
            <w:r w:rsidR="00AD0D08" w:rsidRPr="00AD0D08">
              <w:rPr>
                <w:rFonts w:ascii="Arial" w:hAnsi="Arial" w:cs="Arial"/>
                <w:noProof/>
                <w:webHidden/>
              </w:rPr>
              <w:fldChar w:fldCharType="end"/>
            </w:r>
          </w:hyperlink>
        </w:p>
        <w:p w:rsidR="00AD0D08" w:rsidRPr="00AD0D08" w:rsidRDefault="00AB3857" w:rsidP="00AD0D08">
          <w:pPr>
            <w:pStyle w:val="Spistreci1"/>
            <w:rPr>
              <w:rFonts w:ascii="Arial" w:eastAsiaTheme="minorEastAsia" w:hAnsi="Arial" w:cs="Arial"/>
              <w:noProof/>
              <w:lang w:eastAsia="pl-PL"/>
            </w:rPr>
          </w:pPr>
          <w:hyperlink w:anchor="_Toc160793868" w:history="1">
            <w:r w:rsidR="00AD0D08" w:rsidRPr="00AD0D08">
              <w:rPr>
                <w:rStyle w:val="Hipercze"/>
                <w:rFonts w:ascii="Arial" w:hAnsi="Arial" w:cs="Arial"/>
                <w:noProof/>
              </w:rPr>
              <w:t>3.</w:t>
            </w:r>
            <w:r w:rsidR="00AD0D08" w:rsidRPr="00AD0D08">
              <w:rPr>
                <w:rFonts w:ascii="Arial" w:eastAsiaTheme="minorEastAsia" w:hAnsi="Arial" w:cs="Arial"/>
                <w:noProof/>
                <w:lang w:eastAsia="pl-PL"/>
              </w:rPr>
              <w:tab/>
            </w:r>
            <w:r w:rsidR="00AD0D08" w:rsidRPr="00AD0D08">
              <w:rPr>
                <w:rStyle w:val="Hipercze"/>
                <w:rFonts w:ascii="Arial" w:hAnsi="Arial" w:cs="Arial"/>
                <w:noProof/>
              </w:rPr>
              <w:t>Inteligentna specjalizacja – lotnictwo i kosmonautyka</w:t>
            </w:r>
            <w:r w:rsidR="00AD0D08" w:rsidRPr="00AD0D08">
              <w:rPr>
                <w:rFonts w:ascii="Arial" w:hAnsi="Arial" w:cs="Arial"/>
                <w:noProof/>
                <w:webHidden/>
              </w:rPr>
              <w:tab/>
            </w:r>
            <w:r w:rsidR="00AD0D08" w:rsidRPr="00AD0D08">
              <w:rPr>
                <w:rFonts w:ascii="Arial" w:hAnsi="Arial" w:cs="Arial"/>
                <w:noProof/>
                <w:webHidden/>
              </w:rPr>
              <w:fldChar w:fldCharType="begin"/>
            </w:r>
            <w:r w:rsidR="00AD0D08" w:rsidRPr="00AD0D08">
              <w:rPr>
                <w:rFonts w:ascii="Arial" w:hAnsi="Arial" w:cs="Arial"/>
                <w:noProof/>
                <w:webHidden/>
              </w:rPr>
              <w:instrText xml:space="preserve"> PAGEREF _Toc160793868 \h </w:instrText>
            </w:r>
            <w:r w:rsidR="00AD0D08" w:rsidRPr="00AD0D08">
              <w:rPr>
                <w:rFonts w:ascii="Arial" w:hAnsi="Arial" w:cs="Arial"/>
                <w:noProof/>
                <w:webHidden/>
              </w:rPr>
            </w:r>
            <w:r w:rsidR="00AD0D08" w:rsidRPr="00AD0D08">
              <w:rPr>
                <w:rFonts w:ascii="Arial" w:hAnsi="Arial" w:cs="Arial"/>
                <w:noProof/>
                <w:webHidden/>
              </w:rPr>
              <w:fldChar w:fldCharType="separate"/>
            </w:r>
            <w:r w:rsidR="00A564A3">
              <w:rPr>
                <w:rFonts w:ascii="Arial" w:hAnsi="Arial" w:cs="Arial"/>
                <w:noProof/>
                <w:webHidden/>
              </w:rPr>
              <w:t>13</w:t>
            </w:r>
            <w:r w:rsidR="00AD0D08" w:rsidRPr="00AD0D08">
              <w:rPr>
                <w:rFonts w:ascii="Arial" w:hAnsi="Arial" w:cs="Arial"/>
                <w:noProof/>
                <w:webHidden/>
              </w:rPr>
              <w:fldChar w:fldCharType="end"/>
            </w:r>
          </w:hyperlink>
        </w:p>
        <w:p w:rsidR="00AD0D08" w:rsidRPr="00AD0D08" w:rsidRDefault="00AB3857" w:rsidP="00AD0D08">
          <w:pPr>
            <w:pStyle w:val="Spistreci2"/>
            <w:rPr>
              <w:rFonts w:ascii="Arial" w:eastAsiaTheme="minorEastAsia" w:hAnsi="Arial" w:cs="Arial"/>
              <w:noProof/>
              <w:lang w:eastAsia="pl-PL"/>
            </w:rPr>
          </w:pPr>
          <w:hyperlink w:anchor="_Toc160793869" w:history="1">
            <w:r w:rsidR="00AD0D08" w:rsidRPr="00AD0D08">
              <w:rPr>
                <w:rStyle w:val="Hipercze"/>
                <w:rFonts w:ascii="Arial" w:hAnsi="Arial" w:cs="Arial"/>
                <w:noProof/>
              </w:rPr>
              <w:t>3.1</w:t>
            </w:r>
            <w:r w:rsidR="00AD0D08" w:rsidRPr="00AD0D08">
              <w:rPr>
                <w:rFonts w:ascii="Arial" w:eastAsiaTheme="minorEastAsia" w:hAnsi="Arial" w:cs="Arial"/>
                <w:noProof/>
                <w:lang w:eastAsia="pl-PL"/>
              </w:rPr>
              <w:tab/>
            </w:r>
            <w:r w:rsidR="00AD0D08" w:rsidRPr="00AD0D08">
              <w:rPr>
                <w:rStyle w:val="Hipercze"/>
                <w:rFonts w:ascii="Arial" w:hAnsi="Arial" w:cs="Arial"/>
                <w:noProof/>
              </w:rPr>
              <w:t>Sektor lotniczy w województwie podkarpackim</w:t>
            </w:r>
            <w:r w:rsidR="00AD0D08" w:rsidRPr="00AD0D08">
              <w:rPr>
                <w:rFonts w:ascii="Arial" w:hAnsi="Arial" w:cs="Arial"/>
                <w:noProof/>
                <w:webHidden/>
              </w:rPr>
              <w:tab/>
            </w:r>
            <w:r w:rsidR="00AD0D08" w:rsidRPr="00AD0D08">
              <w:rPr>
                <w:rFonts w:ascii="Arial" w:hAnsi="Arial" w:cs="Arial"/>
                <w:noProof/>
                <w:webHidden/>
              </w:rPr>
              <w:fldChar w:fldCharType="begin"/>
            </w:r>
            <w:r w:rsidR="00AD0D08" w:rsidRPr="00AD0D08">
              <w:rPr>
                <w:rFonts w:ascii="Arial" w:hAnsi="Arial" w:cs="Arial"/>
                <w:noProof/>
                <w:webHidden/>
              </w:rPr>
              <w:instrText xml:space="preserve"> PAGEREF _Toc160793869 \h </w:instrText>
            </w:r>
            <w:r w:rsidR="00AD0D08" w:rsidRPr="00AD0D08">
              <w:rPr>
                <w:rFonts w:ascii="Arial" w:hAnsi="Arial" w:cs="Arial"/>
                <w:noProof/>
                <w:webHidden/>
              </w:rPr>
            </w:r>
            <w:r w:rsidR="00AD0D08" w:rsidRPr="00AD0D08">
              <w:rPr>
                <w:rFonts w:ascii="Arial" w:hAnsi="Arial" w:cs="Arial"/>
                <w:noProof/>
                <w:webHidden/>
              </w:rPr>
              <w:fldChar w:fldCharType="separate"/>
            </w:r>
            <w:r w:rsidR="00A564A3">
              <w:rPr>
                <w:rFonts w:ascii="Arial" w:hAnsi="Arial" w:cs="Arial"/>
                <w:noProof/>
                <w:webHidden/>
              </w:rPr>
              <w:t>13</w:t>
            </w:r>
            <w:r w:rsidR="00AD0D08" w:rsidRPr="00AD0D08">
              <w:rPr>
                <w:rFonts w:ascii="Arial" w:hAnsi="Arial" w:cs="Arial"/>
                <w:noProof/>
                <w:webHidden/>
              </w:rPr>
              <w:fldChar w:fldCharType="end"/>
            </w:r>
          </w:hyperlink>
        </w:p>
        <w:p w:rsidR="00AD0D08" w:rsidRPr="00AD0D08" w:rsidRDefault="00AB3857" w:rsidP="00AD0D08">
          <w:pPr>
            <w:pStyle w:val="Spistreci2"/>
            <w:rPr>
              <w:rFonts w:ascii="Arial" w:eastAsiaTheme="minorEastAsia" w:hAnsi="Arial" w:cs="Arial"/>
              <w:noProof/>
              <w:lang w:eastAsia="pl-PL"/>
            </w:rPr>
          </w:pPr>
          <w:hyperlink w:anchor="_Toc160793870" w:history="1">
            <w:r w:rsidR="00AD0D08" w:rsidRPr="00AD0D08">
              <w:rPr>
                <w:rStyle w:val="Hipercze"/>
                <w:rFonts w:ascii="Arial" w:hAnsi="Arial" w:cs="Arial"/>
                <w:noProof/>
              </w:rPr>
              <w:t>3.2</w:t>
            </w:r>
            <w:r w:rsidR="00AD0D08" w:rsidRPr="00AD0D08">
              <w:rPr>
                <w:rFonts w:ascii="Arial" w:eastAsiaTheme="minorEastAsia" w:hAnsi="Arial" w:cs="Arial"/>
                <w:noProof/>
                <w:lang w:eastAsia="pl-PL"/>
              </w:rPr>
              <w:tab/>
            </w:r>
            <w:r w:rsidR="00AD0D08" w:rsidRPr="00AD0D08">
              <w:rPr>
                <w:rStyle w:val="Hipercze"/>
                <w:rFonts w:ascii="Arial" w:hAnsi="Arial" w:cs="Arial"/>
                <w:noProof/>
              </w:rPr>
              <w:t>Sytuacja finansowo-ekonomiczna firm branży lotniczej w województwie podkarpackim</w:t>
            </w:r>
            <w:r w:rsidR="00AD0D08" w:rsidRPr="00AD0D08">
              <w:rPr>
                <w:rFonts w:ascii="Arial" w:hAnsi="Arial" w:cs="Arial"/>
                <w:noProof/>
                <w:webHidden/>
              </w:rPr>
              <w:tab/>
            </w:r>
            <w:r w:rsidR="00AD0D08" w:rsidRPr="00AD0D08">
              <w:rPr>
                <w:rFonts w:ascii="Arial" w:hAnsi="Arial" w:cs="Arial"/>
                <w:noProof/>
                <w:webHidden/>
              </w:rPr>
              <w:fldChar w:fldCharType="begin"/>
            </w:r>
            <w:r w:rsidR="00AD0D08" w:rsidRPr="00AD0D08">
              <w:rPr>
                <w:rFonts w:ascii="Arial" w:hAnsi="Arial" w:cs="Arial"/>
                <w:noProof/>
                <w:webHidden/>
              </w:rPr>
              <w:instrText xml:space="preserve"> PAGEREF _Toc160793870 \h </w:instrText>
            </w:r>
            <w:r w:rsidR="00AD0D08" w:rsidRPr="00AD0D08">
              <w:rPr>
                <w:rFonts w:ascii="Arial" w:hAnsi="Arial" w:cs="Arial"/>
                <w:noProof/>
                <w:webHidden/>
              </w:rPr>
            </w:r>
            <w:r w:rsidR="00AD0D08" w:rsidRPr="00AD0D08">
              <w:rPr>
                <w:rFonts w:ascii="Arial" w:hAnsi="Arial" w:cs="Arial"/>
                <w:noProof/>
                <w:webHidden/>
              </w:rPr>
              <w:fldChar w:fldCharType="separate"/>
            </w:r>
            <w:r w:rsidR="00A564A3">
              <w:rPr>
                <w:rFonts w:ascii="Arial" w:hAnsi="Arial" w:cs="Arial"/>
                <w:noProof/>
                <w:webHidden/>
              </w:rPr>
              <w:t>14</w:t>
            </w:r>
            <w:r w:rsidR="00AD0D08" w:rsidRPr="00AD0D08">
              <w:rPr>
                <w:rFonts w:ascii="Arial" w:hAnsi="Arial" w:cs="Arial"/>
                <w:noProof/>
                <w:webHidden/>
              </w:rPr>
              <w:fldChar w:fldCharType="end"/>
            </w:r>
          </w:hyperlink>
        </w:p>
        <w:p w:rsidR="00AD0D08" w:rsidRPr="00AD0D08" w:rsidRDefault="00AB3857" w:rsidP="00AD0D08">
          <w:pPr>
            <w:pStyle w:val="Spistreci1"/>
            <w:rPr>
              <w:rFonts w:ascii="Arial" w:eastAsiaTheme="minorEastAsia" w:hAnsi="Arial" w:cs="Arial"/>
              <w:noProof/>
              <w:lang w:eastAsia="pl-PL"/>
            </w:rPr>
          </w:pPr>
          <w:hyperlink w:anchor="_Toc160793871" w:history="1">
            <w:r w:rsidR="00AD0D08" w:rsidRPr="00AD0D08">
              <w:rPr>
                <w:rStyle w:val="Hipercze"/>
                <w:rFonts w:ascii="Arial" w:hAnsi="Arial" w:cs="Arial"/>
                <w:noProof/>
              </w:rPr>
              <w:t>4.</w:t>
            </w:r>
            <w:r w:rsidR="00AD0D08" w:rsidRPr="00AD0D08">
              <w:rPr>
                <w:rFonts w:ascii="Arial" w:eastAsiaTheme="minorEastAsia" w:hAnsi="Arial" w:cs="Arial"/>
                <w:noProof/>
                <w:lang w:eastAsia="pl-PL"/>
              </w:rPr>
              <w:tab/>
            </w:r>
            <w:r w:rsidR="00AD0D08" w:rsidRPr="00AD0D08">
              <w:rPr>
                <w:rStyle w:val="Hipercze"/>
                <w:rFonts w:ascii="Arial" w:hAnsi="Arial" w:cs="Arial"/>
                <w:noProof/>
              </w:rPr>
              <w:t>Inteligentna specjalizacja – motoryzacja</w:t>
            </w:r>
            <w:r w:rsidR="00AD0D08" w:rsidRPr="00AD0D08">
              <w:rPr>
                <w:rFonts w:ascii="Arial" w:hAnsi="Arial" w:cs="Arial"/>
                <w:noProof/>
                <w:webHidden/>
              </w:rPr>
              <w:tab/>
            </w:r>
            <w:r w:rsidR="00AD0D08" w:rsidRPr="00AD0D08">
              <w:rPr>
                <w:rFonts w:ascii="Arial" w:hAnsi="Arial" w:cs="Arial"/>
                <w:noProof/>
                <w:webHidden/>
              </w:rPr>
              <w:fldChar w:fldCharType="begin"/>
            </w:r>
            <w:r w:rsidR="00AD0D08" w:rsidRPr="00AD0D08">
              <w:rPr>
                <w:rFonts w:ascii="Arial" w:hAnsi="Arial" w:cs="Arial"/>
                <w:noProof/>
                <w:webHidden/>
              </w:rPr>
              <w:instrText xml:space="preserve"> PAGEREF _Toc160793871 \h </w:instrText>
            </w:r>
            <w:r w:rsidR="00AD0D08" w:rsidRPr="00AD0D08">
              <w:rPr>
                <w:rFonts w:ascii="Arial" w:hAnsi="Arial" w:cs="Arial"/>
                <w:noProof/>
                <w:webHidden/>
              </w:rPr>
            </w:r>
            <w:r w:rsidR="00AD0D08" w:rsidRPr="00AD0D08">
              <w:rPr>
                <w:rFonts w:ascii="Arial" w:hAnsi="Arial" w:cs="Arial"/>
                <w:noProof/>
                <w:webHidden/>
              </w:rPr>
              <w:fldChar w:fldCharType="separate"/>
            </w:r>
            <w:r w:rsidR="00A564A3">
              <w:rPr>
                <w:rFonts w:ascii="Arial" w:hAnsi="Arial" w:cs="Arial"/>
                <w:noProof/>
                <w:webHidden/>
              </w:rPr>
              <w:t>21</w:t>
            </w:r>
            <w:r w:rsidR="00AD0D08" w:rsidRPr="00AD0D08">
              <w:rPr>
                <w:rFonts w:ascii="Arial" w:hAnsi="Arial" w:cs="Arial"/>
                <w:noProof/>
                <w:webHidden/>
              </w:rPr>
              <w:fldChar w:fldCharType="end"/>
            </w:r>
          </w:hyperlink>
        </w:p>
        <w:p w:rsidR="00AD0D08" w:rsidRPr="00AD0D08" w:rsidRDefault="00AB3857" w:rsidP="00AD0D08">
          <w:pPr>
            <w:pStyle w:val="Spistreci2"/>
            <w:rPr>
              <w:rFonts w:ascii="Arial" w:eastAsiaTheme="minorEastAsia" w:hAnsi="Arial" w:cs="Arial"/>
              <w:noProof/>
              <w:lang w:eastAsia="pl-PL"/>
            </w:rPr>
          </w:pPr>
          <w:hyperlink w:anchor="_Toc160793872" w:history="1">
            <w:r w:rsidR="00AD0D08" w:rsidRPr="00AD0D08">
              <w:rPr>
                <w:rStyle w:val="Hipercze"/>
                <w:rFonts w:ascii="Arial" w:hAnsi="Arial" w:cs="Arial"/>
                <w:noProof/>
              </w:rPr>
              <w:t>4.1</w:t>
            </w:r>
            <w:r w:rsidR="00AD0D08" w:rsidRPr="00AD0D08">
              <w:rPr>
                <w:rFonts w:ascii="Arial" w:eastAsiaTheme="minorEastAsia" w:hAnsi="Arial" w:cs="Arial"/>
                <w:noProof/>
                <w:lang w:eastAsia="pl-PL"/>
              </w:rPr>
              <w:tab/>
            </w:r>
            <w:r w:rsidR="00AD0D08" w:rsidRPr="00AD0D08">
              <w:rPr>
                <w:rStyle w:val="Hipercze"/>
                <w:rFonts w:ascii="Arial" w:hAnsi="Arial" w:cs="Arial"/>
                <w:noProof/>
              </w:rPr>
              <w:t>Sektor motoryzacyjny w województwie podkarpackim – przesłanki wyboru specjalizacji regionalnej</w:t>
            </w:r>
            <w:r w:rsidR="00AD0D08" w:rsidRPr="00AD0D08">
              <w:rPr>
                <w:rFonts w:ascii="Arial" w:hAnsi="Arial" w:cs="Arial"/>
                <w:noProof/>
                <w:webHidden/>
              </w:rPr>
              <w:tab/>
            </w:r>
            <w:r w:rsidR="00AD0D08" w:rsidRPr="00AD0D08">
              <w:rPr>
                <w:rFonts w:ascii="Arial" w:hAnsi="Arial" w:cs="Arial"/>
                <w:noProof/>
                <w:webHidden/>
              </w:rPr>
              <w:fldChar w:fldCharType="begin"/>
            </w:r>
            <w:r w:rsidR="00AD0D08" w:rsidRPr="00AD0D08">
              <w:rPr>
                <w:rFonts w:ascii="Arial" w:hAnsi="Arial" w:cs="Arial"/>
                <w:noProof/>
                <w:webHidden/>
              </w:rPr>
              <w:instrText xml:space="preserve"> PAGEREF _Toc160793872 \h </w:instrText>
            </w:r>
            <w:r w:rsidR="00AD0D08" w:rsidRPr="00AD0D08">
              <w:rPr>
                <w:rFonts w:ascii="Arial" w:hAnsi="Arial" w:cs="Arial"/>
                <w:noProof/>
                <w:webHidden/>
              </w:rPr>
            </w:r>
            <w:r w:rsidR="00AD0D08" w:rsidRPr="00AD0D08">
              <w:rPr>
                <w:rFonts w:ascii="Arial" w:hAnsi="Arial" w:cs="Arial"/>
                <w:noProof/>
                <w:webHidden/>
              </w:rPr>
              <w:fldChar w:fldCharType="separate"/>
            </w:r>
            <w:r w:rsidR="00A564A3">
              <w:rPr>
                <w:rFonts w:ascii="Arial" w:hAnsi="Arial" w:cs="Arial"/>
                <w:noProof/>
                <w:webHidden/>
              </w:rPr>
              <w:t>21</w:t>
            </w:r>
            <w:r w:rsidR="00AD0D08" w:rsidRPr="00AD0D08">
              <w:rPr>
                <w:rFonts w:ascii="Arial" w:hAnsi="Arial" w:cs="Arial"/>
                <w:noProof/>
                <w:webHidden/>
              </w:rPr>
              <w:fldChar w:fldCharType="end"/>
            </w:r>
          </w:hyperlink>
        </w:p>
        <w:p w:rsidR="00AD0D08" w:rsidRPr="00AD0D08" w:rsidRDefault="00AB3857" w:rsidP="00AD0D08">
          <w:pPr>
            <w:pStyle w:val="Spistreci2"/>
            <w:rPr>
              <w:rFonts w:ascii="Arial" w:eastAsiaTheme="minorEastAsia" w:hAnsi="Arial" w:cs="Arial"/>
              <w:noProof/>
              <w:lang w:eastAsia="pl-PL"/>
            </w:rPr>
          </w:pPr>
          <w:hyperlink w:anchor="_Toc160793873" w:history="1">
            <w:r w:rsidR="00AD0D08" w:rsidRPr="00AD0D08">
              <w:rPr>
                <w:rStyle w:val="Hipercze"/>
                <w:rFonts w:ascii="Arial" w:hAnsi="Arial" w:cs="Arial"/>
                <w:noProof/>
              </w:rPr>
              <w:t>4.2</w:t>
            </w:r>
            <w:r w:rsidR="00AD0D08" w:rsidRPr="00AD0D08">
              <w:rPr>
                <w:rFonts w:ascii="Arial" w:eastAsiaTheme="minorEastAsia" w:hAnsi="Arial" w:cs="Arial"/>
                <w:noProof/>
                <w:lang w:eastAsia="pl-PL"/>
              </w:rPr>
              <w:tab/>
            </w:r>
            <w:r w:rsidR="00AD0D08" w:rsidRPr="00AD0D08">
              <w:rPr>
                <w:rStyle w:val="Hipercze"/>
                <w:rFonts w:ascii="Arial" w:hAnsi="Arial" w:cs="Arial"/>
                <w:noProof/>
              </w:rPr>
              <w:t>Sytuacja finansowo-ekonomiczna firm z branży motoryzacyjnej  w województwie podkarpackim</w:t>
            </w:r>
            <w:r w:rsidR="00AD0D08" w:rsidRPr="00AD0D08">
              <w:rPr>
                <w:rFonts w:ascii="Arial" w:hAnsi="Arial" w:cs="Arial"/>
                <w:noProof/>
                <w:webHidden/>
              </w:rPr>
              <w:tab/>
            </w:r>
            <w:r w:rsidR="00AD0D08" w:rsidRPr="00AD0D08">
              <w:rPr>
                <w:rFonts w:ascii="Arial" w:hAnsi="Arial" w:cs="Arial"/>
                <w:noProof/>
                <w:webHidden/>
              </w:rPr>
              <w:fldChar w:fldCharType="begin"/>
            </w:r>
            <w:r w:rsidR="00AD0D08" w:rsidRPr="00AD0D08">
              <w:rPr>
                <w:rFonts w:ascii="Arial" w:hAnsi="Arial" w:cs="Arial"/>
                <w:noProof/>
                <w:webHidden/>
              </w:rPr>
              <w:instrText xml:space="preserve"> PAGEREF _Toc160793873 \h </w:instrText>
            </w:r>
            <w:r w:rsidR="00AD0D08" w:rsidRPr="00AD0D08">
              <w:rPr>
                <w:rFonts w:ascii="Arial" w:hAnsi="Arial" w:cs="Arial"/>
                <w:noProof/>
                <w:webHidden/>
              </w:rPr>
            </w:r>
            <w:r w:rsidR="00AD0D08" w:rsidRPr="00AD0D08">
              <w:rPr>
                <w:rFonts w:ascii="Arial" w:hAnsi="Arial" w:cs="Arial"/>
                <w:noProof/>
                <w:webHidden/>
              </w:rPr>
              <w:fldChar w:fldCharType="separate"/>
            </w:r>
            <w:r w:rsidR="00A564A3">
              <w:rPr>
                <w:rFonts w:ascii="Arial" w:hAnsi="Arial" w:cs="Arial"/>
                <w:noProof/>
                <w:webHidden/>
              </w:rPr>
              <w:t>22</w:t>
            </w:r>
            <w:r w:rsidR="00AD0D08" w:rsidRPr="00AD0D08">
              <w:rPr>
                <w:rFonts w:ascii="Arial" w:hAnsi="Arial" w:cs="Arial"/>
                <w:noProof/>
                <w:webHidden/>
              </w:rPr>
              <w:fldChar w:fldCharType="end"/>
            </w:r>
          </w:hyperlink>
        </w:p>
        <w:p w:rsidR="00AD0D08" w:rsidRPr="00AD0D08" w:rsidRDefault="00AB3857" w:rsidP="00AD0D08">
          <w:pPr>
            <w:pStyle w:val="Spistreci1"/>
            <w:rPr>
              <w:rFonts w:ascii="Arial" w:eastAsiaTheme="minorEastAsia" w:hAnsi="Arial" w:cs="Arial"/>
              <w:noProof/>
              <w:lang w:eastAsia="pl-PL"/>
            </w:rPr>
          </w:pPr>
          <w:hyperlink w:anchor="_Toc160793874" w:history="1">
            <w:r w:rsidR="00AD0D08" w:rsidRPr="00AD0D08">
              <w:rPr>
                <w:rStyle w:val="Hipercze"/>
                <w:rFonts w:ascii="Arial" w:hAnsi="Arial" w:cs="Arial"/>
                <w:noProof/>
              </w:rPr>
              <w:t>5.</w:t>
            </w:r>
            <w:r w:rsidR="00AD0D08" w:rsidRPr="00AD0D08">
              <w:rPr>
                <w:rFonts w:ascii="Arial" w:eastAsiaTheme="minorEastAsia" w:hAnsi="Arial" w:cs="Arial"/>
                <w:noProof/>
                <w:lang w:eastAsia="pl-PL"/>
              </w:rPr>
              <w:tab/>
            </w:r>
            <w:r w:rsidR="00AD0D08" w:rsidRPr="00AD0D08">
              <w:rPr>
                <w:rStyle w:val="Hipercze"/>
                <w:rFonts w:ascii="Arial" w:hAnsi="Arial" w:cs="Arial"/>
                <w:noProof/>
              </w:rPr>
              <w:t>Inteligentna specjalizacja – informacja i telekomunikacja</w:t>
            </w:r>
            <w:r w:rsidR="00AD0D08" w:rsidRPr="00AD0D08">
              <w:rPr>
                <w:rFonts w:ascii="Arial" w:hAnsi="Arial" w:cs="Arial"/>
                <w:noProof/>
                <w:webHidden/>
              </w:rPr>
              <w:tab/>
            </w:r>
            <w:r w:rsidR="00AD0D08" w:rsidRPr="00AD0D08">
              <w:rPr>
                <w:rFonts w:ascii="Arial" w:hAnsi="Arial" w:cs="Arial"/>
                <w:noProof/>
                <w:webHidden/>
              </w:rPr>
              <w:fldChar w:fldCharType="begin"/>
            </w:r>
            <w:r w:rsidR="00AD0D08" w:rsidRPr="00AD0D08">
              <w:rPr>
                <w:rFonts w:ascii="Arial" w:hAnsi="Arial" w:cs="Arial"/>
                <w:noProof/>
                <w:webHidden/>
              </w:rPr>
              <w:instrText xml:space="preserve"> PAGEREF _Toc160793874 \h </w:instrText>
            </w:r>
            <w:r w:rsidR="00AD0D08" w:rsidRPr="00AD0D08">
              <w:rPr>
                <w:rFonts w:ascii="Arial" w:hAnsi="Arial" w:cs="Arial"/>
                <w:noProof/>
                <w:webHidden/>
              </w:rPr>
            </w:r>
            <w:r w:rsidR="00AD0D08" w:rsidRPr="00AD0D08">
              <w:rPr>
                <w:rFonts w:ascii="Arial" w:hAnsi="Arial" w:cs="Arial"/>
                <w:noProof/>
                <w:webHidden/>
              </w:rPr>
              <w:fldChar w:fldCharType="separate"/>
            </w:r>
            <w:r w:rsidR="00A564A3">
              <w:rPr>
                <w:rFonts w:ascii="Arial" w:hAnsi="Arial" w:cs="Arial"/>
                <w:noProof/>
                <w:webHidden/>
              </w:rPr>
              <w:t>32</w:t>
            </w:r>
            <w:r w:rsidR="00AD0D08" w:rsidRPr="00AD0D08">
              <w:rPr>
                <w:rFonts w:ascii="Arial" w:hAnsi="Arial" w:cs="Arial"/>
                <w:noProof/>
                <w:webHidden/>
              </w:rPr>
              <w:fldChar w:fldCharType="end"/>
            </w:r>
          </w:hyperlink>
        </w:p>
        <w:p w:rsidR="00AD0D08" w:rsidRPr="00AD0D08" w:rsidRDefault="00AB3857" w:rsidP="00AD0D08">
          <w:pPr>
            <w:pStyle w:val="Spistreci2"/>
            <w:rPr>
              <w:rFonts w:ascii="Arial" w:eastAsiaTheme="minorEastAsia" w:hAnsi="Arial" w:cs="Arial"/>
              <w:noProof/>
              <w:lang w:eastAsia="pl-PL"/>
            </w:rPr>
          </w:pPr>
          <w:hyperlink w:anchor="_Toc160793875" w:history="1">
            <w:r w:rsidR="00AD0D08" w:rsidRPr="00AD0D08">
              <w:rPr>
                <w:rStyle w:val="Hipercze"/>
                <w:rFonts w:ascii="Arial" w:hAnsi="Arial" w:cs="Arial"/>
                <w:noProof/>
              </w:rPr>
              <w:t>5.1</w:t>
            </w:r>
            <w:r w:rsidR="00AD0D08" w:rsidRPr="00AD0D08">
              <w:rPr>
                <w:rFonts w:ascii="Arial" w:eastAsiaTheme="minorEastAsia" w:hAnsi="Arial" w:cs="Arial"/>
                <w:noProof/>
                <w:lang w:eastAsia="pl-PL"/>
              </w:rPr>
              <w:tab/>
            </w:r>
            <w:r w:rsidR="00AD0D08" w:rsidRPr="00AD0D08">
              <w:rPr>
                <w:rStyle w:val="Hipercze"/>
                <w:rFonts w:ascii="Arial" w:hAnsi="Arial" w:cs="Arial"/>
                <w:noProof/>
              </w:rPr>
              <w:t>Informacja i telekomunikacja w województwie podkarpackim – przesłanki wyboru specjalizacji regionalnej</w:t>
            </w:r>
            <w:r w:rsidR="00AD0D08" w:rsidRPr="00AD0D08">
              <w:rPr>
                <w:rFonts w:ascii="Arial" w:hAnsi="Arial" w:cs="Arial"/>
                <w:noProof/>
                <w:webHidden/>
              </w:rPr>
              <w:tab/>
            </w:r>
            <w:r w:rsidR="00AD0D08" w:rsidRPr="00AD0D08">
              <w:rPr>
                <w:rFonts w:ascii="Arial" w:hAnsi="Arial" w:cs="Arial"/>
                <w:noProof/>
                <w:webHidden/>
              </w:rPr>
              <w:fldChar w:fldCharType="begin"/>
            </w:r>
            <w:r w:rsidR="00AD0D08" w:rsidRPr="00AD0D08">
              <w:rPr>
                <w:rFonts w:ascii="Arial" w:hAnsi="Arial" w:cs="Arial"/>
                <w:noProof/>
                <w:webHidden/>
              </w:rPr>
              <w:instrText xml:space="preserve"> PAGEREF _Toc160793875 \h </w:instrText>
            </w:r>
            <w:r w:rsidR="00AD0D08" w:rsidRPr="00AD0D08">
              <w:rPr>
                <w:rFonts w:ascii="Arial" w:hAnsi="Arial" w:cs="Arial"/>
                <w:noProof/>
                <w:webHidden/>
              </w:rPr>
            </w:r>
            <w:r w:rsidR="00AD0D08" w:rsidRPr="00AD0D08">
              <w:rPr>
                <w:rFonts w:ascii="Arial" w:hAnsi="Arial" w:cs="Arial"/>
                <w:noProof/>
                <w:webHidden/>
              </w:rPr>
              <w:fldChar w:fldCharType="separate"/>
            </w:r>
            <w:r w:rsidR="00A564A3">
              <w:rPr>
                <w:rFonts w:ascii="Arial" w:hAnsi="Arial" w:cs="Arial"/>
                <w:noProof/>
                <w:webHidden/>
              </w:rPr>
              <w:t>32</w:t>
            </w:r>
            <w:r w:rsidR="00AD0D08" w:rsidRPr="00AD0D08">
              <w:rPr>
                <w:rFonts w:ascii="Arial" w:hAnsi="Arial" w:cs="Arial"/>
                <w:noProof/>
                <w:webHidden/>
              </w:rPr>
              <w:fldChar w:fldCharType="end"/>
            </w:r>
          </w:hyperlink>
        </w:p>
        <w:p w:rsidR="00AD0D08" w:rsidRPr="00AD0D08" w:rsidRDefault="00AB3857" w:rsidP="00AD0D08">
          <w:pPr>
            <w:pStyle w:val="Spistreci2"/>
            <w:rPr>
              <w:rFonts w:ascii="Arial" w:eastAsiaTheme="minorEastAsia" w:hAnsi="Arial" w:cs="Arial"/>
              <w:noProof/>
              <w:lang w:eastAsia="pl-PL"/>
            </w:rPr>
          </w:pPr>
          <w:hyperlink w:anchor="_Toc160793876" w:history="1">
            <w:r w:rsidR="00AD0D08" w:rsidRPr="00AD0D08">
              <w:rPr>
                <w:rStyle w:val="Hipercze"/>
                <w:rFonts w:ascii="Arial" w:hAnsi="Arial" w:cs="Arial"/>
                <w:noProof/>
              </w:rPr>
              <w:t>5.2</w:t>
            </w:r>
            <w:r w:rsidR="00AD0D08" w:rsidRPr="00AD0D08">
              <w:rPr>
                <w:rFonts w:ascii="Arial" w:eastAsiaTheme="minorEastAsia" w:hAnsi="Arial" w:cs="Arial"/>
                <w:noProof/>
                <w:lang w:eastAsia="pl-PL"/>
              </w:rPr>
              <w:tab/>
            </w:r>
            <w:r w:rsidR="00AD0D08" w:rsidRPr="00AD0D08">
              <w:rPr>
                <w:rStyle w:val="Hipercze"/>
                <w:rFonts w:ascii="Arial" w:hAnsi="Arial" w:cs="Arial"/>
                <w:noProof/>
              </w:rPr>
              <w:t>Sytuacja finansowo-ekonomiczna firm sektora informacja i telekomunikacja  w województwie podkarpackim</w:t>
            </w:r>
            <w:r w:rsidR="00AD0D08" w:rsidRPr="00AD0D08">
              <w:rPr>
                <w:rFonts w:ascii="Arial" w:hAnsi="Arial" w:cs="Arial"/>
                <w:noProof/>
                <w:webHidden/>
              </w:rPr>
              <w:tab/>
            </w:r>
            <w:r w:rsidR="00AD0D08" w:rsidRPr="00AD0D08">
              <w:rPr>
                <w:rFonts w:ascii="Arial" w:hAnsi="Arial" w:cs="Arial"/>
                <w:noProof/>
                <w:webHidden/>
              </w:rPr>
              <w:fldChar w:fldCharType="begin"/>
            </w:r>
            <w:r w:rsidR="00AD0D08" w:rsidRPr="00AD0D08">
              <w:rPr>
                <w:rFonts w:ascii="Arial" w:hAnsi="Arial" w:cs="Arial"/>
                <w:noProof/>
                <w:webHidden/>
              </w:rPr>
              <w:instrText xml:space="preserve"> PAGEREF _Toc160793876 \h </w:instrText>
            </w:r>
            <w:r w:rsidR="00AD0D08" w:rsidRPr="00AD0D08">
              <w:rPr>
                <w:rFonts w:ascii="Arial" w:hAnsi="Arial" w:cs="Arial"/>
                <w:noProof/>
                <w:webHidden/>
              </w:rPr>
            </w:r>
            <w:r w:rsidR="00AD0D08" w:rsidRPr="00AD0D08">
              <w:rPr>
                <w:rFonts w:ascii="Arial" w:hAnsi="Arial" w:cs="Arial"/>
                <w:noProof/>
                <w:webHidden/>
              </w:rPr>
              <w:fldChar w:fldCharType="separate"/>
            </w:r>
            <w:r w:rsidR="00A564A3">
              <w:rPr>
                <w:rFonts w:ascii="Arial" w:hAnsi="Arial" w:cs="Arial"/>
                <w:noProof/>
                <w:webHidden/>
              </w:rPr>
              <w:t>33</w:t>
            </w:r>
            <w:r w:rsidR="00AD0D08" w:rsidRPr="00AD0D08">
              <w:rPr>
                <w:rFonts w:ascii="Arial" w:hAnsi="Arial" w:cs="Arial"/>
                <w:noProof/>
                <w:webHidden/>
              </w:rPr>
              <w:fldChar w:fldCharType="end"/>
            </w:r>
          </w:hyperlink>
        </w:p>
        <w:p w:rsidR="00AD0D08" w:rsidRPr="00AD0D08" w:rsidRDefault="00AB3857" w:rsidP="00AD0D08">
          <w:pPr>
            <w:pStyle w:val="Spistreci1"/>
            <w:rPr>
              <w:rFonts w:ascii="Arial" w:eastAsiaTheme="minorEastAsia" w:hAnsi="Arial" w:cs="Arial"/>
              <w:noProof/>
              <w:lang w:eastAsia="pl-PL"/>
            </w:rPr>
          </w:pPr>
          <w:hyperlink w:anchor="_Toc160793877" w:history="1">
            <w:r w:rsidR="00AD0D08" w:rsidRPr="00AD0D08">
              <w:rPr>
                <w:rStyle w:val="Hipercze"/>
                <w:rFonts w:ascii="Arial" w:hAnsi="Arial" w:cs="Arial"/>
                <w:noProof/>
              </w:rPr>
              <w:t>6.</w:t>
            </w:r>
            <w:r w:rsidR="00AD0D08" w:rsidRPr="00AD0D08">
              <w:rPr>
                <w:rFonts w:ascii="Arial" w:eastAsiaTheme="minorEastAsia" w:hAnsi="Arial" w:cs="Arial"/>
                <w:noProof/>
                <w:lang w:eastAsia="pl-PL"/>
              </w:rPr>
              <w:tab/>
            </w:r>
            <w:r w:rsidR="00AD0D08" w:rsidRPr="00AD0D08">
              <w:rPr>
                <w:rStyle w:val="Hipercze"/>
                <w:rFonts w:ascii="Arial" w:hAnsi="Arial" w:cs="Arial"/>
                <w:noProof/>
              </w:rPr>
              <w:t>Inteligentna specjalizacja – jakość życia</w:t>
            </w:r>
            <w:r w:rsidR="00AD0D08" w:rsidRPr="00AD0D08">
              <w:rPr>
                <w:rFonts w:ascii="Arial" w:hAnsi="Arial" w:cs="Arial"/>
                <w:noProof/>
                <w:webHidden/>
              </w:rPr>
              <w:tab/>
            </w:r>
            <w:r w:rsidR="00AD0D08" w:rsidRPr="00AD0D08">
              <w:rPr>
                <w:rFonts w:ascii="Arial" w:hAnsi="Arial" w:cs="Arial"/>
                <w:noProof/>
                <w:webHidden/>
              </w:rPr>
              <w:fldChar w:fldCharType="begin"/>
            </w:r>
            <w:r w:rsidR="00AD0D08" w:rsidRPr="00AD0D08">
              <w:rPr>
                <w:rFonts w:ascii="Arial" w:hAnsi="Arial" w:cs="Arial"/>
                <w:noProof/>
                <w:webHidden/>
              </w:rPr>
              <w:instrText xml:space="preserve"> PAGEREF _Toc160793877 \h </w:instrText>
            </w:r>
            <w:r w:rsidR="00AD0D08" w:rsidRPr="00AD0D08">
              <w:rPr>
                <w:rFonts w:ascii="Arial" w:hAnsi="Arial" w:cs="Arial"/>
                <w:noProof/>
                <w:webHidden/>
              </w:rPr>
            </w:r>
            <w:r w:rsidR="00AD0D08" w:rsidRPr="00AD0D08">
              <w:rPr>
                <w:rFonts w:ascii="Arial" w:hAnsi="Arial" w:cs="Arial"/>
                <w:noProof/>
                <w:webHidden/>
              </w:rPr>
              <w:fldChar w:fldCharType="separate"/>
            </w:r>
            <w:r w:rsidR="00A564A3">
              <w:rPr>
                <w:rFonts w:ascii="Arial" w:hAnsi="Arial" w:cs="Arial"/>
                <w:noProof/>
                <w:webHidden/>
              </w:rPr>
              <w:t>43</w:t>
            </w:r>
            <w:r w:rsidR="00AD0D08" w:rsidRPr="00AD0D08">
              <w:rPr>
                <w:rFonts w:ascii="Arial" w:hAnsi="Arial" w:cs="Arial"/>
                <w:noProof/>
                <w:webHidden/>
              </w:rPr>
              <w:fldChar w:fldCharType="end"/>
            </w:r>
          </w:hyperlink>
        </w:p>
        <w:p w:rsidR="00AD0D08" w:rsidRPr="00AD0D08" w:rsidRDefault="00AB3857" w:rsidP="00AD0D08">
          <w:pPr>
            <w:pStyle w:val="Spistreci2"/>
            <w:rPr>
              <w:rFonts w:ascii="Arial" w:eastAsiaTheme="minorEastAsia" w:hAnsi="Arial" w:cs="Arial"/>
              <w:noProof/>
              <w:lang w:eastAsia="pl-PL"/>
            </w:rPr>
          </w:pPr>
          <w:hyperlink w:anchor="_Toc160793878" w:history="1">
            <w:r w:rsidR="00AD0D08" w:rsidRPr="00AD0D08">
              <w:rPr>
                <w:rStyle w:val="Hipercze"/>
                <w:rFonts w:ascii="Arial" w:hAnsi="Arial" w:cs="Arial"/>
                <w:noProof/>
              </w:rPr>
              <w:t>6.1</w:t>
            </w:r>
            <w:r w:rsidR="00AD0D08" w:rsidRPr="00AD0D08">
              <w:rPr>
                <w:rFonts w:ascii="Arial" w:eastAsiaTheme="minorEastAsia" w:hAnsi="Arial" w:cs="Arial"/>
                <w:noProof/>
                <w:lang w:eastAsia="pl-PL"/>
              </w:rPr>
              <w:tab/>
            </w:r>
            <w:r w:rsidR="00AD0D08" w:rsidRPr="00AD0D08">
              <w:rPr>
                <w:rStyle w:val="Hipercze"/>
                <w:rFonts w:ascii="Arial" w:hAnsi="Arial" w:cs="Arial"/>
                <w:noProof/>
              </w:rPr>
              <w:t>Pomiar jakości życia</w:t>
            </w:r>
            <w:r w:rsidR="00AD0D08" w:rsidRPr="00AD0D08">
              <w:rPr>
                <w:rFonts w:ascii="Arial" w:hAnsi="Arial" w:cs="Arial"/>
                <w:noProof/>
                <w:webHidden/>
              </w:rPr>
              <w:tab/>
            </w:r>
            <w:r w:rsidR="00AD0D08" w:rsidRPr="00AD0D08">
              <w:rPr>
                <w:rFonts w:ascii="Arial" w:hAnsi="Arial" w:cs="Arial"/>
                <w:noProof/>
                <w:webHidden/>
              </w:rPr>
              <w:fldChar w:fldCharType="begin"/>
            </w:r>
            <w:r w:rsidR="00AD0D08" w:rsidRPr="00AD0D08">
              <w:rPr>
                <w:rFonts w:ascii="Arial" w:hAnsi="Arial" w:cs="Arial"/>
                <w:noProof/>
                <w:webHidden/>
              </w:rPr>
              <w:instrText xml:space="preserve"> PAGEREF _Toc160793878 \h </w:instrText>
            </w:r>
            <w:r w:rsidR="00AD0D08" w:rsidRPr="00AD0D08">
              <w:rPr>
                <w:rFonts w:ascii="Arial" w:hAnsi="Arial" w:cs="Arial"/>
                <w:noProof/>
                <w:webHidden/>
              </w:rPr>
            </w:r>
            <w:r w:rsidR="00AD0D08" w:rsidRPr="00AD0D08">
              <w:rPr>
                <w:rFonts w:ascii="Arial" w:hAnsi="Arial" w:cs="Arial"/>
                <w:noProof/>
                <w:webHidden/>
              </w:rPr>
              <w:fldChar w:fldCharType="separate"/>
            </w:r>
            <w:r w:rsidR="00A564A3">
              <w:rPr>
                <w:rFonts w:ascii="Arial" w:hAnsi="Arial" w:cs="Arial"/>
                <w:noProof/>
                <w:webHidden/>
              </w:rPr>
              <w:t>43</w:t>
            </w:r>
            <w:r w:rsidR="00AD0D08" w:rsidRPr="00AD0D08">
              <w:rPr>
                <w:rFonts w:ascii="Arial" w:hAnsi="Arial" w:cs="Arial"/>
                <w:noProof/>
                <w:webHidden/>
              </w:rPr>
              <w:fldChar w:fldCharType="end"/>
            </w:r>
          </w:hyperlink>
        </w:p>
        <w:p w:rsidR="00AD0D08" w:rsidRPr="00AD0D08" w:rsidRDefault="00AB3857" w:rsidP="00AD0D08">
          <w:pPr>
            <w:pStyle w:val="Spistreci2"/>
            <w:rPr>
              <w:rFonts w:ascii="Arial" w:eastAsiaTheme="minorEastAsia" w:hAnsi="Arial" w:cs="Arial"/>
              <w:noProof/>
              <w:lang w:eastAsia="pl-PL"/>
            </w:rPr>
          </w:pPr>
          <w:hyperlink w:anchor="_Toc160793879" w:history="1">
            <w:r w:rsidR="00AD0D08" w:rsidRPr="00AD0D08">
              <w:rPr>
                <w:rStyle w:val="Hipercze"/>
                <w:rFonts w:ascii="Arial" w:hAnsi="Arial" w:cs="Arial"/>
                <w:noProof/>
              </w:rPr>
              <w:t>6.2</w:t>
            </w:r>
            <w:r w:rsidR="00AD0D08" w:rsidRPr="00AD0D08">
              <w:rPr>
                <w:rFonts w:ascii="Arial" w:eastAsiaTheme="minorEastAsia" w:hAnsi="Arial" w:cs="Arial"/>
                <w:noProof/>
                <w:lang w:eastAsia="pl-PL"/>
              </w:rPr>
              <w:tab/>
            </w:r>
            <w:r w:rsidR="00AD0D08" w:rsidRPr="00AD0D08">
              <w:rPr>
                <w:rStyle w:val="Hipercze"/>
                <w:rFonts w:ascii="Arial" w:hAnsi="Arial" w:cs="Arial"/>
                <w:noProof/>
              </w:rPr>
              <w:t>Obiektywne warunki jakości życia mieszkańców regionu</w:t>
            </w:r>
            <w:r w:rsidR="00AD0D08" w:rsidRPr="00AD0D08">
              <w:rPr>
                <w:rFonts w:ascii="Arial" w:hAnsi="Arial" w:cs="Arial"/>
                <w:noProof/>
                <w:webHidden/>
              </w:rPr>
              <w:tab/>
            </w:r>
            <w:r w:rsidR="00AD0D08" w:rsidRPr="00AD0D08">
              <w:rPr>
                <w:rFonts w:ascii="Arial" w:hAnsi="Arial" w:cs="Arial"/>
                <w:noProof/>
                <w:webHidden/>
              </w:rPr>
              <w:fldChar w:fldCharType="begin"/>
            </w:r>
            <w:r w:rsidR="00AD0D08" w:rsidRPr="00AD0D08">
              <w:rPr>
                <w:rFonts w:ascii="Arial" w:hAnsi="Arial" w:cs="Arial"/>
                <w:noProof/>
                <w:webHidden/>
              </w:rPr>
              <w:instrText xml:space="preserve"> PAGEREF _Toc160793879 \h </w:instrText>
            </w:r>
            <w:r w:rsidR="00AD0D08" w:rsidRPr="00AD0D08">
              <w:rPr>
                <w:rFonts w:ascii="Arial" w:hAnsi="Arial" w:cs="Arial"/>
                <w:noProof/>
                <w:webHidden/>
              </w:rPr>
            </w:r>
            <w:r w:rsidR="00AD0D08" w:rsidRPr="00AD0D08">
              <w:rPr>
                <w:rFonts w:ascii="Arial" w:hAnsi="Arial" w:cs="Arial"/>
                <w:noProof/>
                <w:webHidden/>
              </w:rPr>
              <w:fldChar w:fldCharType="separate"/>
            </w:r>
            <w:r w:rsidR="00A564A3">
              <w:rPr>
                <w:rFonts w:ascii="Arial" w:hAnsi="Arial" w:cs="Arial"/>
                <w:noProof/>
                <w:webHidden/>
              </w:rPr>
              <w:t>43</w:t>
            </w:r>
            <w:r w:rsidR="00AD0D08" w:rsidRPr="00AD0D08">
              <w:rPr>
                <w:rFonts w:ascii="Arial" w:hAnsi="Arial" w:cs="Arial"/>
                <w:noProof/>
                <w:webHidden/>
              </w:rPr>
              <w:fldChar w:fldCharType="end"/>
            </w:r>
          </w:hyperlink>
        </w:p>
        <w:p w:rsidR="00AD0D08" w:rsidRPr="00AD0D08" w:rsidRDefault="00AB3857" w:rsidP="00AD0D08">
          <w:pPr>
            <w:pStyle w:val="Spistreci2"/>
            <w:rPr>
              <w:rFonts w:ascii="Arial" w:eastAsiaTheme="minorEastAsia" w:hAnsi="Arial" w:cs="Arial"/>
              <w:noProof/>
              <w:lang w:eastAsia="pl-PL"/>
            </w:rPr>
          </w:pPr>
          <w:hyperlink w:anchor="_Toc160793880" w:history="1">
            <w:r w:rsidR="00AD0D08" w:rsidRPr="00AD0D08">
              <w:rPr>
                <w:rStyle w:val="Hipercze"/>
                <w:rFonts w:ascii="Arial" w:hAnsi="Arial" w:cs="Arial"/>
                <w:noProof/>
              </w:rPr>
              <w:t>6.3</w:t>
            </w:r>
            <w:r w:rsidR="00AD0D08" w:rsidRPr="00AD0D08">
              <w:rPr>
                <w:rFonts w:ascii="Arial" w:eastAsiaTheme="minorEastAsia" w:hAnsi="Arial" w:cs="Arial"/>
                <w:noProof/>
                <w:lang w:eastAsia="pl-PL"/>
              </w:rPr>
              <w:tab/>
            </w:r>
            <w:r w:rsidR="00AD0D08" w:rsidRPr="00AD0D08">
              <w:rPr>
                <w:rStyle w:val="Hipercze"/>
                <w:rFonts w:ascii="Arial" w:hAnsi="Arial" w:cs="Arial"/>
                <w:noProof/>
              </w:rPr>
              <w:t>Subiektywne postrzeganie jakości życia mieszkańców</w:t>
            </w:r>
            <w:r w:rsidR="00AD0D08" w:rsidRPr="00AD0D08">
              <w:rPr>
                <w:rFonts w:ascii="Arial" w:hAnsi="Arial" w:cs="Arial"/>
                <w:noProof/>
                <w:webHidden/>
              </w:rPr>
              <w:tab/>
            </w:r>
            <w:r w:rsidR="00AD0D08" w:rsidRPr="00AD0D08">
              <w:rPr>
                <w:rFonts w:ascii="Arial" w:hAnsi="Arial" w:cs="Arial"/>
                <w:noProof/>
                <w:webHidden/>
              </w:rPr>
              <w:fldChar w:fldCharType="begin"/>
            </w:r>
            <w:r w:rsidR="00AD0D08" w:rsidRPr="00AD0D08">
              <w:rPr>
                <w:rFonts w:ascii="Arial" w:hAnsi="Arial" w:cs="Arial"/>
                <w:noProof/>
                <w:webHidden/>
              </w:rPr>
              <w:instrText xml:space="preserve"> PAGEREF _Toc160793880 \h </w:instrText>
            </w:r>
            <w:r w:rsidR="00AD0D08" w:rsidRPr="00AD0D08">
              <w:rPr>
                <w:rFonts w:ascii="Arial" w:hAnsi="Arial" w:cs="Arial"/>
                <w:noProof/>
                <w:webHidden/>
              </w:rPr>
            </w:r>
            <w:r w:rsidR="00AD0D08" w:rsidRPr="00AD0D08">
              <w:rPr>
                <w:rFonts w:ascii="Arial" w:hAnsi="Arial" w:cs="Arial"/>
                <w:noProof/>
                <w:webHidden/>
              </w:rPr>
              <w:fldChar w:fldCharType="separate"/>
            </w:r>
            <w:r w:rsidR="00A564A3">
              <w:rPr>
                <w:rFonts w:ascii="Arial" w:hAnsi="Arial" w:cs="Arial"/>
                <w:noProof/>
                <w:webHidden/>
              </w:rPr>
              <w:t>48</w:t>
            </w:r>
            <w:r w:rsidR="00AD0D08" w:rsidRPr="00AD0D08">
              <w:rPr>
                <w:rFonts w:ascii="Arial" w:hAnsi="Arial" w:cs="Arial"/>
                <w:noProof/>
                <w:webHidden/>
              </w:rPr>
              <w:fldChar w:fldCharType="end"/>
            </w:r>
          </w:hyperlink>
        </w:p>
        <w:p w:rsidR="00AD0D08" w:rsidRPr="00AD0D08" w:rsidRDefault="00AB3857" w:rsidP="00AD0D08">
          <w:pPr>
            <w:pStyle w:val="Spistreci2"/>
            <w:rPr>
              <w:rFonts w:ascii="Arial" w:eastAsiaTheme="minorEastAsia" w:hAnsi="Arial" w:cs="Arial"/>
              <w:noProof/>
              <w:lang w:eastAsia="pl-PL"/>
            </w:rPr>
          </w:pPr>
          <w:hyperlink w:anchor="_Toc160793881" w:history="1">
            <w:r w:rsidR="00AD0D08" w:rsidRPr="00AD0D08">
              <w:rPr>
                <w:rStyle w:val="Hipercze"/>
                <w:rFonts w:ascii="Arial" w:hAnsi="Arial" w:cs="Arial"/>
                <w:noProof/>
              </w:rPr>
              <w:t>6.4</w:t>
            </w:r>
            <w:r w:rsidR="00AD0D08" w:rsidRPr="00AD0D08">
              <w:rPr>
                <w:rFonts w:ascii="Arial" w:eastAsiaTheme="minorEastAsia" w:hAnsi="Arial" w:cs="Arial"/>
                <w:noProof/>
                <w:lang w:eastAsia="pl-PL"/>
              </w:rPr>
              <w:tab/>
            </w:r>
            <w:r w:rsidR="00AD0D08" w:rsidRPr="00AD0D08">
              <w:rPr>
                <w:rStyle w:val="Hipercze"/>
                <w:rFonts w:ascii="Arial" w:hAnsi="Arial" w:cs="Arial"/>
                <w:noProof/>
              </w:rPr>
              <w:t>Zasoby endogeniczne województwa podkarpackiego</w:t>
            </w:r>
            <w:r w:rsidR="00AD0D08" w:rsidRPr="00AD0D08">
              <w:rPr>
                <w:rFonts w:ascii="Arial" w:hAnsi="Arial" w:cs="Arial"/>
                <w:noProof/>
                <w:webHidden/>
              </w:rPr>
              <w:tab/>
            </w:r>
            <w:r w:rsidR="00AD0D08" w:rsidRPr="00AD0D08">
              <w:rPr>
                <w:rFonts w:ascii="Arial" w:hAnsi="Arial" w:cs="Arial"/>
                <w:noProof/>
                <w:webHidden/>
              </w:rPr>
              <w:fldChar w:fldCharType="begin"/>
            </w:r>
            <w:r w:rsidR="00AD0D08" w:rsidRPr="00AD0D08">
              <w:rPr>
                <w:rFonts w:ascii="Arial" w:hAnsi="Arial" w:cs="Arial"/>
                <w:noProof/>
                <w:webHidden/>
              </w:rPr>
              <w:instrText xml:space="preserve"> PAGEREF _Toc160793881 \h </w:instrText>
            </w:r>
            <w:r w:rsidR="00AD0D08" w:rsidRPr="00AD0D08">
              <w:rPr>
                <w:rFonts w:ascii="Arial" w:hAnsi="Arial" w:cs="Arial"/>
                <w:noProof/>
                <w:webHidden/>
              </w:rPr>
            </w:r>
            <w:r w:rsidR="00AD0D08" w:rsidRPr="00AD0D08">
              <w:rPr>
                <w:rFonts w:ascii="Arial" w:hAnsi="Arial" w:cs="Arial"/>
                <w:noProof/>
                <w:webHidden/>
              </w:rPr>
              <w:fldChar w:fldCharType="separate"/>
            </w:r>
            <w:r w:rsidR="00A564A3">
              <w:rPr>
                <w:rFonts w:ascii="Arial" w:hAnsi="Arial" w:cs="Arial"/>
                <w:noProof/>
                <w:webHidden/>
              </w:rPr>
              <w:t>52</w:t>
            </w:r>
            <w:r w:rsidR="00AD0D08" w:rsidRPr="00AD0D08">
              <w:rPr>
                <w:rFonts w:ascii="Arial" w:hAnsi="Arial" w:cs="Arial"/>
                <w:noProof/>
                <w:webHidden/>
              </w:rPr>
              <w:fldChar w:fldCharType="end"/>
            </w:r>
          </w:hyperlink>
        </w:p>
        <w:p w:rsidR="00AD0D08" w:rsidRPr="00AD0D08" w:rsidRDefault="00AB3857" w:rsidP="00AD0D08">
          <w:pPr>
            <w:pStyle w:val="Spistreci2"/>
            <w:rPr>
              <w:rFonts w:ascii="Arial" w:eastAsiaTheme="minorEastAsia" w:hAnsi="Arial" w:cs="Arial"/>
              <w:noProof/>
              <w:lang w:eastAsia="pl-PL"/>
            </w:rPr>
          </w:pPr>
          <w:hyperlink w:anchor="_Toc160793882" w:history="1">
            <w:r w:rsidR="00AD0D08" w:rsidRPr="00AD0D08">
              <w:rPr>
                <w:rStyle w:val="Hipercze"/>
                <w:rFonts w:ascii="Arial" w:hAnsi="Arial" w:cs="Arial"/>
                <w:noProof/>
              </w:rPr>
              <w:t>6.5</w:t>
            </w:r>
            <w:r w:rsidR="00AD0D08" w:rsidRPr="00AD0D08">
              <w:rPr>
                <w:rFonts w:ascii="Arial" w:eastAsiaTheme="minorEastAsia" w:hAnsi="Arial" w:cs="Arial"/>
                <w:noProof/>
                <w:lang w:eastAsia="pl-PL"/>
              </w:rPr>
              <w:tab/>
            </w:r>
            <w:r w:rsidR="00AD0D08" w:rsidRPr="00AD0D08">
              <w:rPr>
                <w:rStyle w:val="Hipercze"/>
                <w:rFonts w:ascii="Arial" w:hAnsi="Arial" w:cs="Arial"/>
                <w:noProof/>
              </w:rPr>
              <w:t>Jakość życia w województwie podkarpackim – przesłanki wyboru specjalizacji regionalnej</w:t>
            </w:r>
            <w:r w:rsidR="00AD0D08" w:rsidRPr="00AD0D08">
              <w:rPr>
                <w:rFonts w:ascii="Arial" w:hAnsi="Arial" w:cs="Arial"/>
                <w:noProof/>
                <w:webHidden/>
              </w:rPr>
              <w:tab/>
            </w:r>
            <w:r w:rsidR="00AD0D08" w:rsidRPr="00AD0D08">
              <w:rPr>
                <w:rFonts w:ascii="Arial" w:hAnsi="Arial" w:cs="Arial"/>
                <w:noProof/>
                <w:webHidden/>
              </w:rPr>
              <w:fldChar w:fldCharType="begin"/>
            </w:r>
            <w:r w:rsidR="00AD0D08" w:rsidRPr="00AD0D08">
              <w:rPr>
                <w:rFonts w:ascii="Arial" w:hAnsi="Arial" w:cs="Arial"/>
                <w:noProof/>
                <w:webHidden/>
              </w:rPr>
              <w:instrText xml:space="preserve"> PAGEREF _Toc160793882 \h </w:instrText>
            </w:r>
            <w:r w:rsidR="00AD0D08" w:rsidRPr="00AD0D08">
              <w:rPr>
                <w:rFonts w:ascii="Arial" w:hAnsi="Arial" w:cs="Arial"/>
                <w:noProof/>
                <w:webHidden/>
              </w:rPr>
            </w:r>
            <w:r w:rsidR="00AD0D08" w:rsidRPr="00AD0D08">
              <w:rPr>
                <w:rFonts w:ascii="Arial" w:hAnsi="Arial" w:cs="Arial"/>
                <w:noProof/>
                <w:webHidden/>
              </w:rPr>
              <w:fldChar w:fldCharType="separate"/>
            </w:r>
            <w:r w:rsidR="00A564A3">
              <w:rPr>
                <w:rFonts w:ascii="Arial" w:hAnsi="Arial" w:cs="Arial"/>
                <w:noProof/>
                <w:webHidden/>
              </w:rPr>
              <w:t>59</w:t>
            </w:r>
            <w:r w:rsidR="00AD0D08" w:rsidRPr="00AD0D08">
              <w:rPr>
                <w:rFonts w:ascii="Arial" w:hAnsi="Arial" w:cs="Arial"/>
                <w:noProof/>
                <w:webHidden/>
              </w:rPr>
              <w:fldChar w:fldCharType="end"/>
            </w:r>
          </w:hyperlink>
        </w:p>
        <w:p w:rsidR="00AD0D08" w:rsidRPr="00AD0D08" w:rsidRDefault="00AB3857" w:rsidP="00AD0D08">
          <w:pPr>
            <w:pStyle w:val="Spistreci2"/>
            <w:rPr>
              <w:rFonts w:ascii="Arial" w:eastAsiaTheme="minorEastAsia" w:hAnsi="Arial" w:cs="Arial"/>
              <w:noProof/>
              <w:lang w:eastAsia="pl-PL"/>
            </w:rPr>
          </w:pPr>
          <w:hyperlink w:anchor="_Toc160793883" w:history="1">
            <w:r w:rsidR="00AD0D08" w:rsidRPr="00AD0D08">
              <w:rPr>
                <w:rStyle w:val="Hipercze"/>
                <w:rFonts w:ascii="Arial" w:hAnsi="Arial" w:cs="Arial"/>
                <w:noProof/>
              </w:rPr>
              <w:t>6.6</w:t>
            </w:r>
            <w:r w:rsidR="00AD0D08" w:rsidRPr="00AD0D08">
              <w:rPr>
                <w:rFonts w:ascii="Arial" w:eastAsiaTheme="minorEastAsia" w:hAnsi="Arial" w:cs="Arial"/>
                <w:noProof/>
                <w:lang w:eastAsia="pl-PL"/>
              </w:rPr>
              <w:tab/>
            </w:r>
            <w:r w:rsidR="00AD0D08" w:rsidRPr="00AD0D08">
              <w:rPr>
                <w:rStyle w:val="Hipercze"/>
                <w:rFonts w:ascii="Arial" w:hAnsi="Arial" w:cs="Arial"/>
                <w:noProof/>
              </w:rPr>
              <w:t>Ekonomiczno-finansowe aspekty jakości życia w województwie podkarpackim</w:t>
            </w:r>
            <w:r w:rsidR="00AD0D08" w:rsidRPr="00AD0D08">
              <w:rPr>
                <w:rFonts w:ascii="Arial" w:hAnsi="Arial" w:cs="Arial"/>
                <w:noProof/>
                <w:webHidden/>
              </w:rPr>
              <w:tab/>
            </w:r>
            <w:r w:rsidR="00AD0D08" w:rsidRPr="00AD0D08">
              <w:rPr>
                <w:rFonts w:ascii="Arial" w:hAnsi="Arial" w:cs="Arial"/>
                <w:noProof/>
                <w:webHidden/>
              </w:rPr>
              <w:fldChar w:fldCharType="begin"/>
            </w:r>
            <w:r w:rsidR="00AD0D08" w:rsidRPr="00AD0D08">
              <w:rPr>
                <w:rFonts w:ascii="Arial" w:hAnsi="Arial" w:cs="Arial"/>
                <w:noProof/>
                <w:webHidden/>
              </w:rPr>
              <w:instrText xml:space="preserve"> PAGEREF _Toc160793883 \h </w:instrText>
            </w:r>
            <w:r w:rsidR="00AD0D08" w:rsidRPr="00AD0D08">
              <w:rPr>
                <w:rFonts w:ascii="Arial" w:hAnsi="Arial" w:cs="Arial"/>
                <w:noProof/>
                <w:webHidden/>
              </w:rPr>
            </w:r>
            <w:r w:rsidR="00AD0D08" w:rsidRPr="00AD0D08">
              <w:rPr>
                <w:rFonts w:ascii="Arial" w:hAnsi="Arial" w:cs="Arial"/>
                <w:noProof/>
                <w:webHidden/>
              </w:rPr>
              <w:fldChar w:fldCharType="separate"/>
            </w:r>
            <w:r w:rsidR="00A564A3">
              <w:rPr>
                <w:rFonts w:ascii="Arial" w:hAnsi="Arial" w:cs="Arial"/>
                <w:noProof/>
                <w:webHidden/>
              </w:rPr>
              <w:t>61</w:t>
            </w:r>
            <w:r w:rsidR="00AD0D08" w:rsidRPr="00AD0D08">
              <w:rPr>
                <w:rFonts w:ascii="Arial" w:hAnsi="Arial" w:cs="Arial"/>
                <w:noProof/>
                <w:webHidden/>
              </w:rPr>
              <w:fldChar w:fldCharType="end"/>
            </w:r>
          </w:hyperlink>
        </w:p>
        <w:p w:rsidR="00AD0D08" w:rsidRPr="00AD0D08" w:rsidRDefault="00AB3857" w:rsidP="00AD0D08">
          <w:pPr>
            <w:pStyle w:val="Spistreci1"/>
            <w:rPr>
              <w:rFonts w:ascii="Arial" w:eastAsiaTheme="minorEastAsia" w:hAnsi="Arial" w:cs="Arial"/>
              <w:noProof/>
              <w:lang w:eastAsia="pl-PL"/>
            </w:rPr>
          </w:pPr>
          <w:hyperlink w:anchor="_Toc160793884" w:history="1">
            <w:r w:rsidR="00AD0D08" w:rsidRPr="00AD0D08">
              <w:rPr>
                <w:rStyle w:val="Hipercze"/>
                <w:rFonts w:ascii="Arial" w:hAnsi="Arial" w:cs="Arial"/>
                <w:noProof/>
              </w:rPr>
              <w:t>7.</w:t>
            </w:r>
            <w:r w:rsidR="00AD0D08" w:rsidRPr="00AD0D08">
              <w:rPr>
                <w:rFonts w:ascii="Arial" w:eastAsiaTheme="minorEastAsia" w:hAnsi="Arial" w:cs="Arial"/>
                <w:noProof/>
                <w:lang w:eastAsia="pl-PL"/>
              </w:rPr>
              <w:tab/>
            </w:r>
            <w:r w:rsidR="00AD0D08" w:rsidRPr="00AD0D08">
              <w:rPr>
                <w:rStyle w:val="Hipercze"/>
                <w:rFonts w:ascii="Arial" w:hAnsi="Arial" w:cs="Arial"/>
                <w:noProof/>
              </w:rPr>
              <w:t>Podsumowanie i wnioski końcowe</w:t>
            </w:r>
            <w:r w:rsidR="00AD0D08" w:rsidRPr="00AD0D08">
              <w:rPr>
                <w:rFonts w:ascii="Arial" w:hAnsi="Arial" w:cs="Arial"/>
                <w:noProof/>
                <w:webHidden/>
              </w:rPr>
              <w:tab/>
            </w:r>
            <w:r w:rsidR="00AD0D08" w:rsidRPr="00AD0D08">
              <w:rPr>
                <w:rFonts w:ascii="Arial" w:hAnsi="Arial" w:cs="Arial"/>
                <w:noProof/>
                <w:webHidden/>
              </w:rPr>
              <w:fldChar w:fldCharType="begin"/>
            </w:r>
            <w:r w:rsidR="00AD0D08" w:rsidRPr="00AD0D08">
              <w:rPr>
                <w:rFonts w:ascii="Arial" w:hAnsi="Arial" w:cs="Arial"/>
                <w:noProof/>
                <w:webHidden/>
              </w:rPr>
              <w:instrText xml:space="preserve"> PAGEREF _Toc160793884 \h </w:instrText>
            </w:r>
            <w:r w:rsidR="00AD0D08" w:rsidRPr="00AD0D08">
              <w:rPr>
                <w:rFonts w:ascii="Arial" w:hAnsi="Arial" w:cs="Arial"/>
                <w:noProof/>
                <w:webHidden/>
              </w:rPr>
            </w:r>
            <w:r w:rsidR="00AD0D08" w:rsidRPr="00AD0D08">
              <w:rPr>
                <w:rFonts w:ascii="Arial" w:hAnsi="Arial" w:cs="Arial"/>
                <w:noProof/>
                <w:webHidden/>
              </w:rPr>
              <w:fldChar w:fldCharType="separate"/>
            </w:r>
            <w:r w:rsidR="00A564A3">
              <w:rPr>
                <w:rFonts w:ascii="Arial" w:hAnsi="Arial" w:cs="Arial"/>
                <w:noProof/>
                <w:webHidden/>
              </w:rPr>
              <w:t>86</w:t>
            </w:r>
            <w:r w:rsidR="00AD0D08" w:rsidRPr="00AD0D08">
              <w:rPr>
                <w:rFonts w:ascii="Arial" w:hAnsi="Arial" w:cs="Arial"/>
                <w:noProof/>
                <w:webHidden/>
              </w:rPr>
              <w:fldChar w:fldCharType="end"/>
            </w:r>
          </w:hyperlink>
        </w:p>
        <w:p w:rsidR="00AD0D08" w:rsidRPr="00AD0D08" w:rsidRDefault="00AB3857" w:rsidP="00AD0D08">
          <w:pPr>
            <w:pStyle w:val="Spistreci1"/>
            <w:rPr>
              <w:rFonts w:ascii="Arial" w:eastAsiaTheme="minorEastAsia" w:hAnsi="Arial" w:cs="Arial"/>
              <w:noProof/>
              <w:lang w:eastAsia="pl-PL"/>
            </w:rPr>
          </w:pPr>
          <w:hyperlink w:anchor="_Toc160793885" w:history="1">
            <w:r w:rsidR="00AD0D08" w:rsidRPr="00AD0D08">
              <w:rPr>
                <w:rStyle w:val="Hipercze"/>
                <w:rFonts w:ascii="Arial" w:hAnsi="Arial" w:cs="Arial"/>
                <w:noProof/>
              </w:rPr>
              <w:t>Spis tabel</w:t>
            </w:r>
            <w:r w:rsidR="00AD0D08" w:rsidRPr="00AD0D08">
              <w:rPr>
                <w:rFonts w:ascii="Arial" w:hAnsi="Arial" w:cs="Arial"/>
                <w:noProof/>
                <w:webHidden/>
              </w:rPr>
              <w:tab/>
            </w:r>
            <w:r w:rsidR="00AD0D08" w:rsidRPr="00AD0D08">
              <w:rPr>
                <w:rFonts w:ascii="Arial" w:hAnsi="Arial" w:cs="Arial"/>
                <w:noProof/>
                <w:webHidden/>
              </w:rPr>
              <w:fldChar w:fldCharType="begin"/>
            </w:r>
            <w:r w:rsidR="00AD0D08" w:rsidRPr="00AD0D08">
              <w:rPr>
                <w:rFonts w:ascii="Arial" w:hAnsi="Arial" w:cs="Arial"/>
                <w:noProof/>
                <w:webHidden/>
              </w:rPr>
              <w:instrText xml:space="preserve"> PAGEREF _Toc160793885 \h </w:instrText>
            </w:r>
            <w:r w:rsidR="00AD0D08" w:rsidRPr="00AD0D08">
              <w:rPr>
                <w:rFonts w:ascii="Arial" w:hAnsi="Arial" w:cs="Arial"/>
                <w:noProof/>
                <w:webHidden/>
              </w:rPr>
            </w:r>
            <w:r w:rsidR="00AD0D08" w:rsidRPr="00AD0D08">
              <w:rPr>
                <w:rFonts w:ascii="Arial" w:hAnsi="Arial" w:cs="Arial"/>
                <w:noProof/>
                <w:webHidden/>
              </w:rPr>
              <w:fldChar w:fldCharType="separate"/>
            </w:r>
            <w:r w:rsidR="00A564A3">
              <w:rPr>
                <w:rFonts w:ascii="Arial" w:hAnsi="Arial" w:cs="Arial"/>
                <w:noProof/>
                <w:webHidden/>
              </w:rPr>
              <w:t>89</w:t>
            </w:r>
            <w:r w:rsidR="00AD0D08" w:rsidRPr="00AD0D08">
              <w:rPr>
                <w:rFonts w:ascii="Arial" w:hAnsi="Arial" w:cs="Arial"/>
                <w:noProof/>
                <w:webHidden/>
              </w:rPr>
              <w:fldChar w:fldCharType="end"/>
            </w:r>
          </w:hyperlink>
        </w:p>
        <w:p w:rsidR="00AD0D08" w:rsidRPr="00AD0D08" w:rsidRDefault="00AB3857" w:rsidP="00AD0D08">
          <w:pPr>
            <w:pStyle w:val="Spistreci1"/>
            <w:rPr>
              <w:rFonts w:ascii="Arial" w:eastAsiaTheme="minorEastAsia" w:hAnsi="Arial" w:cs="Arial"/>
              <w:noProof/>
              <w:lang w:eastAsia="pl-PL"/>
            </w:rPr>
          </w:pPr>
          <w:hyperlink w:anchor="_Toc160793886" w:history="1">
            <w:r w:rsidR="00AD0D08" w:rsidRPr="00AD0D08">
              <w:rPr>
                <w:rStyle w:val="Hipercze"/>
                <w:rFonts w:ascii="Arial" w:hAnsi="Arial" w:cs="Arial"/>
                <w:noProof/>
              </w:rPr>
              <w:t>Spis wykresów</w:t>
            </w:r>
            <w:r w:rsidR="00AD0D08" w:rsidRPr="00AD0D08">
              <w:rPr>
                <w:rFonts w:ascii="Arial" w:hAnsi="Arial" w:cs="Arial"/>
                <w:noProof/>
                <w:webHidden/>
              </w:rPr>
              <w:tab/>
            </w:r>
            <w:r w:rsidR="00AD0D08" w:rsidRPr="00AD0D08">
              <w:rPr>
                <w:rFonts w:ascii="Arial" w:hAnsi="Arial" w:cs="Arial"/>
                <w:noProof/>
                <w:webHidden/>
              </w:rPr>
              <w:fldChar w:fldCharType="begin"/>
            </w:r>
            <w:r w:rsidR="00AD0D08" w:rsidRPr="00AD0D08">
              <w:rPr>
                <w:rFonts w:ascii="Arial" w:hAnsi="Arial" w:cs="Arial"/>
                <w:noProof/>
                <w:webHidden/>
              </w:rPr>
              <w:instrText xml:space="preserve"> PAGEREF _Toc160793886 \h </w:instrText>
            </w:r>
            <w:r w:rsidR="00AD0D08" w:rsidRPr="00AD0D08">
              <w:rPr>
                <w:rFonts w:ascii="Arial" w:hAnsi="Arial" w:cs="Arial"/>
                <w:noProof/>
                <w:webHidden/>
              </w:rPr>
            </w:r>
            <w:r w:rsidR="00AD0D08" w:rsidRPr="00AD0D08">
              <w:rPr>
                <w:rFonts w:ascii="Arial" w:hAnsi="Arial" w:cs="Arial"/>
                <w:noProof/>
                <w:webHidden/>
              </w:rPr>
              <w:fldChar w:fldCharType="separate"/>
            </w:r>
            <w:r w:rsidR="00A564A3">
              <w:rPr>
                <w:rFonts w:ascii="Arial" w:hAnsi="Arial" w:cs="Arial"/>
                <w:noProof/>
                <w:webHidden/>
              </w:rPr>
              <w:t>89</w:t>
            </w:r>
            <w:r w:rsidR="00AD0D08" w:rsidRPr="00AD0D08">
              <w:rPr>
                <w:rFonts w:ascii="Arial" w:hAnsi="Arial" w:cs="Arial"/>
                <w:noProof/>
                <w:webHidden/>
              </w:rPr>
              <w:fldChar w:fldCharType="end"/>
            </w:r>
          </w:hyperlink>
        </w:p>
        <w:p w:rsidR="00AD0D08" w:rsidRPr="00AD0D08" w:rsidRDefault="00AB3857" w:rsidP="00AD0D08">
          <w:pPr>
            <w:pStyle w:val="Spistreci1"/>
            <w:rPr>
              <w:rFonts w:ascii="Arial" w:eastAsiaTheme="minorEastAsia" w:hAnsi="Arial" w:cs="Arial"/>
              <w:noProof/>
              <w:lang w:eastAsia="pl-PL"/>
            </w:rPr>
          </w:pPr>
          <w:hyperlink w:anchor="_Toc160793887" w:history="1">
            <w:r w:rsidR="00AD0D08" w:rsidRPr="00AD0D08">
              <w:rPr>
                <w:rStyle w:val="Hipercze"/>
                <w:rFonts w:ascii="Arial" w:hAnsi="Arial" w:cs="Arial"/>
                <w:noProof/>
              </w:rPr>
              <w:t>Spis rysunków</w:t>
            </w:r>
            <w:r w:rsidR="00AD0D08" w:rsidRPr="00AD0D08">
              <w:rPr>
                <w:rFonts w:ascii="Arial" w:hAnsi="Arial" w:cs="Arial"/>
                <w:noProof/>
                <w:webHidden/>
              </w:rPr>
              <w:tab/>
            </w:r>
            <w:r w:rsidR="00AD0D08" w:rsidRPr="00AD0D08">
              <w:rPr>
                <w:rFonts w:ascii="Arial" w:hAnsi="Arial" w:cs="Arial"/>
                <w:noProof/>
                <w:webHidden/>
              </w:rPr>
              <w:fldChar w:fldCharType="begin"/>
            </w:r>
            <w:r w:rsidR="00AD0D08" w:rsidRPr="00AD0D08">
              <w:rPr>
                <w:rFonts w:ascii="Arial" w:hAnsi="Arial" w:cs="Arial"/>
                <w:noProof/>
                <w:webHidden/>
              </w:rPr>
              <w:instrText xml:space="preserve"> PAGEREF _Toc160793887 \h </w:instrText>
            </w:r>
            <w:r w:rsidR="00AD0D08" w:rsidRPr="00AD0D08">
              <w:rPr>
                <w:rFonts w:ascii="Arial" w:hAnsi="Arial" w:cs="Arial"/>
                <w:noProof/>
                <w:webHidden/>
              </w:rPr>
            </w:r>
            <w:r w:rsidR="00AD0D08" w:rsidRPr="00AD0D08">
              <w:rPr>
                <w:rFonts w:ascii="Arial" w:hAnsi="Arial" w:cs="Arial"/>
                <w:noProof/>
                <w:webHidden/>
              </w:rPr>
              <w:fldChar w:fldCharType="separate"/>
            </w:r>
            <w:r w:rsidR="00A564A3">
              <w:rPr>
                <w:rFonts w:ascii="Arial" w:hAnsi="Arial" w:cs="Arial"/>
                <w:noProof/>
                <w:webHidden/>
              </w:rPr>
              <w:t>92</w:t>
            </w:r>
            <w:r w:rsidR="00AD0D08" w:rsidRPr="00AD0D08">
              <w:rPr>
                <w:rFonts w:ascii="Arial" w:hAnsi="Arial" w:cs="Arial"/>
                <w:noProof/>
                <w:webHidden/>
              </w:rPr>
              <w:fldChar w:fldCharType="end"/>
            </w:r>
          </w:hyperlink>
        </w:p>
        <w:p w:rsidR="00871429" w:rsidRPr="00D62638" w:rsidRDefault="001428F8" w:rsidP="00AD0D08">
          <w:pPr>
            <w:spacing w:before="60" w:after="60" w:line="276" w:lineRule="auto"/>
            <w:jc w:val="both"/>
            <w:rPr>
              <w:rFonts w:ascii="Arial" w:hAnsi="Arial" w:cs="Arial"/>
            </w:rPr>
          </w:pPr>
          <w:r w:rsidRPr="00AD0D08">
            <w:rPr>
              <w:rFonts w:ascii="Arial" w:hAnsi="Arial" w:cs="Arial"/>
              <w:bCs/>
            </w:rPr>
            <w:fldChar w:fldCharType="end"/>
          </w:r>
        </w:p>
      </w:sdtContent>
    </w:sdt>
    <w:p w:rsidR="00383FC9" w:rsidRPr="0064087E" w:rsidRDefault="00383FC9">
      <w:pPr>
        <w:widowControl/>
        <w:autoSpaceDE/>
        <w:autoSpaceDN/>
        <w:spacing w:after="160" w:line="259" w:lineRule="auto"/>
        <w:rPr>
          <w:rFonts w:ascii="Arial" w:hAnsi="Arial" w:cs="Arial"/>
          <w:bCs/>
          <w:sz w:val="28"/>
          <w:szCs w:val="28"/>
        </w:rPr>
      </w:pPr>
      <w:r w:rsidRPr="0064087E">
        <w:rPr>
          <w:rFonts w:ascii="Arial" w:hAnsi="Arial" w:cs="Arial"/>
          <w:bCs/>
          <w:sz w:val="28"/>
          <w:szCs w:val="28"/>
        </w:rPr>
        <w:br w:type="page"/>
      </w:r>
    </w:p>
    <w:p w:rsidR="008757C0" w:rsidRPr="0064087E" w:rsidRDefault="00871429" w:rsidP="00BB598D">
      <w:pPr>
        <w:pStyle w:val="Nagwek1"/>
      </w:pPr>
      <w:bookmarkStart w:id="1" w:name="_Toc160793865"/>
      <w:r w:rsidRPr="0064087E">
        <w:lastRenderedPageBreak/>
        <w:t>Wstęp</w:t>
      </w:r>
      <w:bookmarkEnd w:id="1"/>
      <w:r w:rsidRPr="0064087E">
        <w:t xml:space="preserve"> </w:t>
      </w:r>
    </w:p>
    <w:p w:rsidR="00F45119" w:rsidRPr="00D62638" w:rsidRDefault="00E02186" w:rsidP="00BB598D">
      <w:pPr>
        <w:spacing w:after="120" w:line="276" w:lineRule="auto"/>
        <w:rPr>
          <w:rFonts w:ascii="Arial" w:hAnsi="Arial" w:cs="Arial"/>
        </w:rPr>
      </w:pPr>
      <w:r w:rsidRPr="00D62638">
        <w:rPr>
          <w:rFonts w:ascii="Arial" w:hAnsi="Arial" w:cs="Arial"/>
        </w:rPr>
        <w:t>Regionalna Strategia Innowacji Województwa Podkarpackiego 2021-2030</w:t>
      </w:r>
      <w:r w:rsidR="0074450A" w:rsidRPr="00D62638">
        <w:rPr>
          <w:rFonts w:ascii="Arial" w:hAnsi="Arial" w:cs="Arial"/>
        </w:rPr>
        <w:t xml:space="preserve"> (RSI WP)</w:t>
      </w:r>
      <w:r w:rsidRPr="00D62638">
        <w:rPr>
          <w:rFonts w:ascii="Arial" w:hAnsi="Arial" w:cs="Arial"/>
        </w:rPr>
        <w:t xml:space="preserve"> stanowi kontynuację dokumentu </w:t>
      </w:r>
      <w:r w:rsidR="0074450A" w:rsidRPr="00D62638">
        <w:rPr>
          <w:rFonts w:ascii="Arial" w:hAnsi="Arial" w:cs="Arial"/>
        </w:rPr>
        <w:t>RSI WP</w:t>
      </w:r>
      <w:r w:rsidRPr="00D62638">
        <w:rPr>
          <w:rFonts w:ascii="Arial" w:hAnsi="Arial" w:cs="Arial"/>
        </w:rPr>
        <w:t xml:space="preserve"> na lata </w:t>
      </w:r>
      <w:r w:rsidR="007E67B8" w:rsidRPr="00D62638">
        <w:rPr>
          <w:rFonts w:ascii="Arial" w:hAnsi="Arial" w:cs="Arial"/>
        </w:rPr>
        <w:t>2014-</w:t>
      </w:r>
      <w:r w:rsidRPr="00D62638">
        <w:rPr>
          <w:rFonts w:ascii="Arial" w:hAnsi="Arial" w:cs="Arial"/>
        </w:rPr>
        <w:t xml:space="preserve">2020, w którym wskazane zostały cztery inteligentne specjalizacje regionu: Lotnictwo i kosmonautyka, Motoryzacja, Jakość życia oraz Informacja i telekomunikacja. </w:t>
      </w:r>
      <w:r w:rsidR="007E67B8" w:rsidRPr="00D62638">
        <w:rPr>
          <w:rFonts w:ascii="Arial" w:hAnsi="Arial" w:cs="Arial"/>
        </w:rPr>
        <w:t xml:space="preserve">Zaktualizowana wersja wprowadza niezbędne korekty </w:t>
      </w:r>
      <w:r w:rsidR="00BB598D">
        <w:rPr>
          <w:rFonts w:ascii="Arial" w:hAnsi="Arial" w:cs="Arial"/>
        </w:rPr>
        <w:br/>
      </w:r>
      <w:r w:rsidR="007E67B8" w:rsidRPr="00D62638">
        <w:rPr>
          <w:rFonts w:ascii="Arial" w:hAnsi="Arial" w:cs="Arial"/>
        </w:rPr>
        <w:t>i modyfikacje</w:t>
      </w:r>
      <w:r w:rsidR="0074450A" w:rsidRPr="00D62638">
        <w:rPr>
          <w:rFonts w:ascii="Arial" w:hAnsi="Arial" w:cs="Arial"/>
        </w:rPr>
        <w:t xml:space="preserve"> oraz</w:t>
      </w:r>
      <w:r w:rsidR="007E67B8" w:rsidRPr="00D62638">
        <w:rPr>
          <w:rFonts w:ascii="Arial" w:hAnsi="Arial" w:cs="Arial"/>
        </w:rPr>
        <w:t xml:space="preserve"> kładzie szczególny nacisk na wspieranie inteligentnych specjalizacji</w:t>
      </w:r>
      <w:r w:rsidR="0074450A" w:rsidRPr="00D62638">
        <w:rPr>
          <w:rFonts w:ascii="Arial" w:hAnsi="Arial" w:cs="Arial"/>
        </w:rPr>
        <w:t xml:space="preserve"> potwierdzonych w procesie przedsiębiorczego odkrywania</w:t>
      </w:r>
      <w:r w:rsidR="007E67B8" w:rsidRPr="00D62638">
        <w:rPr>
          <w:rFonts w:ascii="Arial" w:hAnsi="Arial" w:cs="Arial"/>
        </w:rPr>
        <w:t>.</w:t>
      </w:r>
    </w:p>
    <w:p w:rsidR="00FD28F8" w:rsidRPr="00D62638" w:rsidRDefault="00FD28F8" w:rsidP="00BB598D">
      <w:pPr>
        <w:spacing w:after="120" w:line="276" w:lineRule="auto"/>
        <w:rPr>
          <w:rFonts w:ascii="Arial" w:hAnsi="Arial" w:cs="Arial"/>
        </w:rPr>
      </w:pPr>
      <w:r w:rsidRPr="00D62638">
        <w:rPr>
          <w:rFonts w:ascii="Arial" w:hAnsi="Arial" w:cs="Arial"/>
        </w:rPr>
        <w:t xml:space="preserve">Wymienione specjalizacje zostały zidentyfikowane jako mające największy potencjał do podniesienia poziomu innowacyjności i konkurencyjności województwa, odgrywające jednocześnie istotną rolę w społeczno-gospodarczym rozwoju </w:t>
      </w:r>
      <w:r w:rsidR="0074450A" w:rsidRPr="00D62638">
        <w:rPr>
          <w:rFonts w:ascii="Arial" w:hAnsi="Arial" w:cs="Arial"/>
        </w:rPr>
        <w:t>regionu</w:t>
      </w:r>
      <w:r w:rsidRPr="00D62638">
        <w:rPr>
          <w:rFonts w:ascii="Arial" w:hAnsi="Arial" w:cs="Arial"/>
        </w:rPr>
        <w:t>. Wyodrębnienie specjalizacji jest jednym z narzędzi mających na celu rozwój gospodarczy regionu poprzez wykorzystanie jego zasobów</w:t>
      </w:r>
      <w:r w:rsidR="005F1E3F" w:rsidRPr="0064087E">
        <w:rPr>
          <w:rStyle w:val="Odwoanieprzypisudolnego"/>
          <w:rFonts w:ascii="Arial" w:hAnsi="Arial" w:cs="Arial"/>
        </w:rPr>
        <w:footnoteReference w:id="1"/>
      </w:r>
      <w:r w:rsidRPr="00D62638">
        <w:rPr>
          <w:rFonts w:ascii="Arial" w:hAnsi="Arial" w:cs="Arial"/>
        </w:rPr>
        <w:t>.</w:t>
      </w:r>
    </w:p>
    <w:p w:rsidR="00C9376D" w:rsidRPr="00D62638" w:rsidRDefault="00C9376D" w:rsidP="00BB598D">
      <w:pPr>
        <w:spacing w:after="120" w:line="276" w:lineRule="auto"/>
        <w:rPr>
          <w:rFonts w:ascii="Arial" w:hAnsi="Arial" w:cs="Arial"/>
        </w:rPr>
      </w:pPr>
      <w:r w:rsidRPr="00D62638">
        <w:rPr>
          <w:rFonts w:ascii="Arial" w:hAnsi="Arial" w:cs="Arial"/>
        </w:rPr>
        <w:t>Inteligentne specjalizacje regionu są rezultatem wyboru bazującego przede wszystkim na regionalnych atutach i endogenicznych zasobach oraz na aktualnej i przyszłej działalności naukowo</w:t>
      </w:r>
      <w:r w:rsidR="008268D4" w:rsidRPr="00D62638">
        <w:rPr>
          <w:rFonts w:ascii="Arial" w:hAnsi="Arial" w:cs="Arial"/>
        </w:rPr>
        <w:t>-</w:t>
      </w:r>
      <w:r w:rsidRPr="00D62638">
        <w:rPr>
          <w:rFonts w:ascii="Arial" w:hAnsi="Arial" w:cs="Arial"/>
        </w:rPr>
        <w:t xml:space="preserve">badawczej i przedsiębiorczości. Koncepcja inteligentnych specjalizacji opiera się na założeniu, że dzięki skoncentrowaniu nakładów (zarówno finansowych </w:t>
      </w:r>
      <w:r w:rsidR="00BB598D">
        <w:rPr>
          <w:rFonts w:ascii="Arial" w:hAnsi="Arial" w:cs="Arial"/>
        </w:rPr>
        <w:br/>
      </w:r>
      <w:r w:rsidRPr="00D62638">
        <w:rPr>
          <w:rFonts w:ascii="Arial" w:hAnsi="Arial" w:cs="Arial"/>
        </w:rPr>
        <w:t>i pozafinansowych) w kilku wybranych obszarach gospodarki region będzie miał możliwość uzyskania przewagi konkurencyjnej na arenie krajowej i międzynarodowej.</w:t>
      </w:r>
    </w:p>
    <w:p w:rsidR="00871429" w:rsidRPr="00D62638" w:rsidRDefault="00C9376D" w:rsidP="00BB598D">
      <w:pPr>
        <w:spacing w:after="120" w:line="276" w:lineRule="auto"/>
        <w:rPr>
          <w:rFonts w:ascii="Arial" w:hAnsi="Arial" w:cs="Arial"/>
        </w:rPr>
      </w:pPr>
      <w:r w:rsidRPr="00D62638">
        <w:rPr>
          <w:rFonts w:ascii="Arial" w:hAnsi="Arial" w:cs="Arial"/>
        </w:rPr>
        <w:t>Idea inteligentnych specjalizacji stwarza podstawy do systemowego wsparcia lokalnych przedsiębiorstw w celu pobudzenia ich rozwoju i w konsekwencji wzrostu konkurencyjności całego regionu. Relacje pomiędzy nauką, sferą publiczną, biznesem i edukacją stwarzają podstawy do odpowiednio ukierunkowanego wsparcia. Ukierunkowane wsparcie w ramach inteligentnych specjalizacji pozwala na wzrost innowacyjności przedsiębiorstw, która jest niezbędnym czynnikiem ich dalszego rozwoju.</w:t>
      </w:r>
    </w:p>
    <w:p w:rsidR="006B0D91" w:rsidRPr="0064087E" w:rsidRDefault="006B0D91" w:rsidP="00BB598D">
      <w:pPr>
        <w:spacing w:after="120" w:line="276" w:lineRule="auto"/>
        <w:rPr>
          <w:rFonts w:ascii="Arial" w:hAnsi="Arial" w:cs="Arial"/>
        </w:rPr>
      </w:pPr>
      <w:r w:rsidRPr="0064087E">
        <w:rPr>
          <w:rFonts w:ascii="Arial" w:hAnsi="Arial" w:cs="Arial"/>
        </w:rPr>
        <w:t>Prezentowany raport powstaje od 2014 r. w cyklu 2-letnim we współpracy Regionalnego Obserwatorium Terytorialnego oraz Urzędu Statystycznego w Rzeszowie. Opracowanie zawiera analizę wskaźników z zakresu innowacyjności regionu, informacje dotyczące rozwoju branży stanowiących inteligentne specjalizacje regionu: Lotnictwo i kosmonautyka, Motoryzacja, Informacja i telekomunikacja oraz Jakość życia. Aktualne wydanie zostało przesunięte w czasie ze względu na pandemię COVID-19 oraz konieczność zebrania danych pokazujących sytuacje społeczno-gospodarczą po okresie pandemii. Ponadto proces aktualizacji dokumentu jakim jest RSI WP wymagał zmiany cyklu wydawania przedmiotowego opracowania.</w:t>
      </w:r>
    </w:p>
    <w:p w:rsidR="00587025" w:rsidRPr="0064087E" w:rsidRDefault="001428F8" w:rsidP="00BB598D">
      <w:pPr>
        <w:widowControl/>
        <w:autoSpaceDE/>
        <w:autoSpaceDN/>
        <w:spacing w:after="160" w:line="259" w:lineRule="auto"/>
        <w:rPr>
          <w:rFonts w:ascii="Arial" w:hAnsi="Arial" w:cs="Arial"/>
          <w:b/>
          <w:sz w:val="28"/>
          <w:szCs w:val="28"/>
        </w:rPr>
      </w:pPr>
      <w:r w:rsidRPr="0064087E">
        <w:rPr>
          <w:rFonts w:ascii="Arial" w:hAnsi="Arial" w:cs="Arial"/>
          <w:b/>
          <w:sz w:val="28"/>
          <w:szCs w:val="28"/>
        </w:rPr>
        <w:br w:type="page"/>
      </w:r>
    </w:p>
    <w:p w:rsidR="00332EAF" w:rsidRPr="0064087E" w:rsidRDefault="00587025" w:rsidP="00BB598D">
      <w:pPr>
        <w:pStyle w:val="Nagwek1"/>
        <w:numPr>
          <w:ilvl w:val="0"/>
          <w:numId w:val="1"/>
        </w:numPr>
        <w:ind w:left="357" w:hanging="357"/>
        <w:rPr>
          <w:rFonts w:cs="Arial"/>
          <w:szCs w:val="28"/>
        </w:rPr>
      </w:pPr>
      <w:bookmarkStart w:id="2" w:name="_Toc160793866"/>
      <w:r w:rsidRPr="0064087E">
        <w:rPr>
          <w:rFonts w:cs="Arial"/>
          <w:szCs w:val="28"/>
        </w:rPr>
        <w:lastRenderedPageBreak/>
        <w:t>Poziom innowacyjności województwa podkarpackiego</w:t>
      </w:r>
      <w:bookmarkEnd w:id="2"/>
    </w:p>
    <w:p w:rsidR="00587025" w:rsidRPr="0064087E" w:rsidRDefault="00587025" w:rsidP="00BB598D">
      <w:pPr>
        <w:spacing w:after="120" w:line="276" w:lineRule="auto"/>
        <w:rPr>
          <w:rFonts w:ascii="Arial" w:hAnsi="Arial" w:cs="Arial"/>
        </w:rPr>
      </w:pPr>
      <w:r w:rsidRPr="0064087E">
        <w:rPr>
          <w:rFonts w:ascii="Arial" w:hAnsi="Arial" w:cs="Arial"/>
        </w:rPr>
        <w:t>Poziom innowacyjności regionu może być determinowany przez wiele różnorodnych czynników. W celu określenia stopnia innowacyjności konkretnych obszarów stosuje się szereg metod i wskaźników. Jedną z najpopularniejszych z nich jest europejska tablica wyników innowacji (</w:t>
      </w:r>
      <w:proofErr w:type="spellStart"/>
      <w:r w:rsidRPr="0064087E">
        <w:rPr>
          <w:rFonts w:ascii="Arial" w:hAnsi="Arial" w:cs="Arial"/>
        </w:rPr>
        <w:t>European</w:t>
      </w:r>
      <w:proofErr w:type="spellEnd"/>
      <w:r w:rsidRPr="0064087E">
        <w:rPr>
          <w:rFonts w:ascii="Arial" w:hAnsi="Arial" w:cs="Arial"/>
        </w:rPr>
        <w:t xml:space="preserve"> </w:t>
      </w:r>
      <w:proofErr w:type="spellStart"/>
      <w:r w:rsidRPr="0064087E">
        <w:rPr>
          <w:rFonts w:ascii="Arial" w:hAnsi="Arial" w:cs="Arial"/>
        </w:rPr>
        <w:t>Innovation</w:t>
      </w:r>
      <w:proofErr w:type="spellEnd"/>
      <w:r w:rsidRPr="0064087E">
        <w:rPr>
          <w:rFonts w:ascii="Arial" w:hAnsi="Arial" w:cs="Arial"/>
        </w:rPr>
        <w:t xml:space="preserve"> </w:t>
      </w:r>
      <w:proofErr w:type="spellStart"/>
      <w:r w:rsidRPr="0064087E">
        <w:rPr>
          <w:rFonts w:ascii="Arial" w:hAnsi="Arial" w:cs="Arial"/>
        </w:rPr>
        <w:t>Scoreboard</w:t>
      </w:r>
      <w:proofErr w:type="spellEnd"/>
      <w:r w:rsidRPr="0064087E">
        <w:rPr>
          <w:rFonts w:ascii="Arial" w:hAnsi="Arial" w:cs="Arial"/>
        </w:rPr>
        <w:t>), która służy do oceny funkcjonowania krajowych systemów innowacji w Europie. Odpowiednikiem regionalnym niniejszej tablicy jest tablica wyników innowacyjności regionów (</w:t>
      </w:r>
      <w:proofErr w:type="spellStart"/>
      <w:r w:rsidRPr="0064087E">
        <w:rPr>
          <w:rFonts w:ascii="Arial" w:hAnsi="Arial" w:cs="Arial"/>
        </w:rPr>
        <w:t>Regional</w:t>
      </w:r>
      <w:proofErr w:type="spellEnd"/>
      <w:r w:rsidRPr="0064087E">
        <w:rPr>
          <w:rFonts w:ascii="Arial" w:hAnsi="Arial" w:cs="Arial"/>
        </w:rPr>
        <w:t xml:space="preserve"> </w:t>
      </w:r>
      <w:proofErr w:type="spellStart"/>
      <w:r w:rsidRPr="0064087E">
        <w:rPr>
          <w:rFonts w:ascii="Arial" w:hAnsi="Arial" w:cs="Arial"/>
        </w:rPr>
        <w:t>Innovation</w:t>
      </w:r>
      <w:proofErr w:type="spellEnd"/>
      <w:r w:rsidRPr="0064087E">
        <w:rPr>
          <w:rFonts w:ascii="Arial" w:hAnsi="Arial" w:cs="Arial"/>
        </w:rPr>
        <w:t xml:space="preserve"> </w:t>
      </w:r>
      <w:proofErr w:type="spellStart"/>
      <w:r w:rsidRPr="0064087E">
        <w:rPr>
          <w:rFonts w:ascii="Arial" w:hAnsi="Arial" w:cs="Arial"/>
        </w:rPr>
        <w:t>Scoreboard</w:t>
      </w:r>
      <w:proofErr w:type="spellEnd"/>
      <w:r w:rsidRPr="0064087E">
        <w:rPr>
          <w:rFonts w:ascii="Arial" w:hAnsi="Arial" w:cs="Arial"/>
        </w:rPr>
        <w:t>).</w:t>
      </w:r>
      <w:r w:rsidR="004D3843" w:rsidRPr="0064087E">
        <w:rPr>
          <w:rFonts w:ascii="Arial" w:hAnsi="Arial" w:cs="Arial"/>
        </w:rPr>
        <w:t xml:space="preserve"> </w:t>
      </w:r>
      <w:r w:rsidRPr="0064087E">
        <w:rPr>
          <w:rFonts w:ascii="Arial" w:hAnsi="Arial" w:cs="Arial"/>
        </w:rPr>
        <w:t xml:space="preserve">Najnowsza, </w:t>
      </w:r>
      <w:r w:rsidR="000C15AB" w:rsidRPr="0064087E">
        <w:rPr>
          <w:rFonts w:ascii="Arial" w:hAnsi="Arial" w:cs="Arial"/>
        </w:rPr>
        <w:t>jeden</w:t>
      </w:r>
      <w:r w:rsidR="00E424B2" w:rsidRPr="0064087E">
        <w:rPr>
          <w:rFonts w:ascii="Arial" w:hAnsi="Arial" w:cs="Arial"/>
        </w:rPr>
        <w:t>a</w:t>
      </w:r>
      <w:r w:rsidR="000C15AB" w:rsidRPr="0064087E">
        <w:rPr>
          <w:rFonts w:ascii="Arial" w:hAnsi="Arial" w:cs="Arial"/>
        </w:rPr>
        <w:t>sta</w:t>
      </w:r>
      <w:r w:rsidRPr="0064087E">
        <w:rPr>
          <w:rFonts w:ascii="Arial" w:hAnsi="Arial" w:cs="Arial"/>
        </w:rPr>
        <w:t xml:space="preserve"> edycja tej tablicy – RIS </w:t>
      </w:r>
      <w:r w:rsidR="00E424B2" w:rsidRPr="0064087E">
        <w:rPr>
          <w:rFonts w:ascii="Arial" w:hAnsi="Arial" w:cs="Arial"/>
        </w:rPr>
        <w:t xml:space="preserve">2023 </w:t>
      </w:r>
      <w:r w:rsidRPr="0064087E">
        <w:rPr>
          <w:rFonts w:ascii="Arial" w:hAnsi="Arial" w:cs="Arial"/>
        </w:rPr>
        <w:t xml:space="preserve">– przedstawia ocenę porównawczą wyników </w:t>
      </w:r>
      <w:r w:rsidR="00BB598D">
        <w:rPr>
          <w:rFonts w:ascii="Arial" w:hAnsi="Arial" w:cs="Arial"/>
        </w:rPr>
        <w:br/>
      </w:r>
      <w:r w:rsidRPr="0064087E">
        <w:rPr>
          <w:rFonts w:ascii="Arial" w:hAnsi="Arial" w:cs="Arial"/>
        </w:rPr>
        <w:t>w zakresie systemów innowacji 2</w:t>
      </w:r>
      <w:r w:rsidR="00E424B2" w:rsidRPr="0064087E">
        <w:rPr>
          <w:rFonts w:ascii="Arial" w:hAnsi="Arial" w:cs="Arial"/>
        </w:rPr>
        <w:t>39</w:t>
      </w:r>
      <w:r w:rsidRPr="0064087E">
        <w:rPr>
          <w:rFonts w:ascii="Arial" w:hAnsi="Arial" w:cs="Arial"/>
        </w:rPr>
        <w:t xml:space="preserve"> regionów w 22 państwach członkowskich Unii Europejskiej, Norwegii, Serbii, Szwajcarii oraz Wielkiej Brytanii</w:t>
      </w:r>
      <w:r w:rsidR="00E424B2" w:rsidRPr="0064087E">
        <w:rPr>
          <w:rFonts w:ascii="Arial" w:hAnsi="Arial" w:cs="Arial"/>
        </w:rPr>
        <w:t xml:space="preserve"> (dziesiąta edycja tablicy – RIS 2021</w:t>
      </w:r>
      <w:r w:rsidR="004B620F" w:rsidRPr="0064087E">
        <w:rPr>
          <w:rFonts w:ascii="Arial" w:hAnsi="Arial" w:cs="Arial"/>
        </w:rPr>
        <w:t xml:space="preserve"> –</w:t>
      </w:r>
      <w:r w:rsidR="00E424B2" w:rsidRPr="0064087E">
        <w:rPr>
          <w:rFonts w:ascii="Arial" w:hAnsi="Arial" w:cs="Arial"/>
        </w:rPr>
        <w:t xml:space="preserve"> przedstawiała ocenę porównawczą wyników w zakresie systemów innowacji 240 regionów)</w:t>
      </w:r>
      <w:r w:rsidRPr="0064087E">
        <w:rPr>
          <w:rFonts w:ascii="Arial" w:hAnsi="Arial" w:cs="Arial"/>
        </w:rPr>
        <w:t>. Ponadto uwzględnia ona Cypr, Estonię, Łotwę, Luksemburg i Maltę na poziomie kraju, ponieważ w tych krajach poziomy NUTS 1 i NUTS 2 są</w:t>
      </w:r>
      <w:r w:rsidR="005E2173" w:rsidRPr="0064087E">
        <w:rPr>
          <w:rFonts w:ascii="Arial" w:hAnsi="Arial" w:cs="Arial"/>
        </w:rPr>
        <w:t xml:space="preserve"> identyczne z terytorium kraju.</w:t>
      </w:r>
    </w:p>
    <w:p w:rsidR="00587025" w:rsidRPr="0064087E" w:rsidRDefault="00587025" w:rsidP="00BB598D">
      <w:pPr>
        <w:spacing w:line="276" w:lineRule="auto"/>
        <w:rPr>
          <w:rFonts w:ascii="Arial" w:hAnsi="Arial" w:cs="Arial"/>
        </w:rPr>
      </w:pPr>
      <w:r w:rsidRPr="0064087E">
        <w:rPr>
          <w:rFonts w:ascii="Arial" w:hAnsi="Arial" w:cs="Arial"/>
        </w:rPr>
        <w:t xml:space="preserve">Innowacyjność regionów mierzona jest za pomocą regionalnego wskaźnika innowacji – </w:t>
      </w:r>
      <w:proofErr w:type="spellStart"/>
      <w:r w:rsidRPr="0064087E">
        <w:rPr>
          <w:rFonts w:ascii="Arial" w:hAnsi="Arial" w:cs="Arial"/>
        </w:rPr>
        <w:t>Regional</w:t>
      </w:r>
      <w:proofErr w:type="spellEnd"/>
      <w:r w:rsidRPr="0064087E">
        <w:rPr>
          <w:rFonts w:ascii="Arial" w:hAnsi="Arial" w:cs="Arial"/>
        </w:rPr>
        <w:t xml:space="preserve"> </w:t>
      </w:r>
      <w:proofErr w:type="spellStart"/>
      <w:r w:rsidRPr="0064087E">
        <w:rPr>
          <w:rFonts w:ascii="Arial" w:hAnsi="Arial" w:cs="Arial"/>
        </w:rPr>
        <w:t>Innovation</w:t>
      </w:r>
      <w:proofErr w:type="spellEnd"/>
      <w:r w:rsidRPr="0064087E">
        <w:rPr>
          <w:rFonts w:ascii="Arial" w:hAnsi="Arial" w:cs="Arial"/>
        </w:rPr>
        <w:t xml:space="preserve"> Index (RII)</w:t>
      </w:r>
      <w:r w:rsidR="00906ECA" w:rsidRPr="0064087E">
        <w:rPr>
          <w:rStyle w:val="Odwoanieprzypisudolnego"/>
          <w:rFonts w:ascii="Arial" w:hAnsi="Arial" w:cs="Arial"/>
        </w:rPr>
        <w:footnoteReference w:id="2"/>
      </w:r>
      <w:r w:rsidRPr="0064087E">
        <w:rPr>
          <w:rFonts w:ascii="Arial" w:hAnsi="Arial" w:cs="Arial"/>
        </w:rPr>
        <w:t xml:space="preserve"> </w:t>
      </w:r>
      <w:r w:rsidR="00F33694" w:rsidRPr="0064087E">
        <w:rPr>
          <w:rFonts w:ascii="Arial" w:hAnsi="Arial" w:cs="Arial"/>
        </w:rPr>
        <w:t>–</w:t>
      </w:r>
      <w:r w:rsidRPr="0064087E">
        <w:rPr>
          <w:rFonts w:ascii="Arial" w:hAnsi="Arial" w:cs="Arial"/>
        </w:rPr>
        <w:t xml:space="preserve"> który jest oparty na 21 wskaźnikach cząstkowych.</w:t>
      </w:r>
      <w:r w:rsidR="00D80683" w:rsidRPr="0064087E">
        <w:rPr>
          <w:rFonts w:ascii="Arial" w:hAnsi="Arial" w:cs="Arial"/>
        </w:rPr>
        <w:t xml:space="preserve"> </w:t>
      </w:r>
      <w:r w:rsidRPr="0064087E">
        <w:rPr>
          <w:rFonts w:ascii="Arial" w:hAnsi="Arial" w:cs="Arial"/>
        </w:rPr>
        <w:t>Podobnie jak w przypadku europejskiej tablicy wyników innowacji, również regiony europejskie zostały sklasyfikowane wg czterech różnych grup innowacyjności:</w:t>
      </w:r>
    </w:p>
    <w:p w:rsidR="00587025" w:rsidRPr="0064087E" w:rsidRDefault="00587025" w:rsidP="00BB598D">
      <w:pPr>
        <w:pStyle w:val="Akapitzlist"/>
        <w:numPr>
          <w:ilvl w:val="0"/>
          <w:numId w:val="2"/>
        </w:numPr>
        <w:spacing w:line="276" w:lineRule="auto"/>
        <w:rPr>
          <w:rFonts w:ascii="Arial" w:hAnsi="Arial" w:cs="Arial"/>
        </w:rPr>
      </w:pPr>
      <w:r w:rsidRPr="0064087E">
        <w:rPr>
          <w:rFonts w:ascii="Arial" w:hAnsi="Arial" w:cs="Arial"/>
        </w:rPr>
        <w:t>regionalni liderzy innowacji (</w:t>
      </w:r>
      <w:proofErr w:type="spellStart"/>
      <w:r w:rsidRPr="0064087E">
        <w:rPr>
          <w:rFonts w:ascii="Arial" w:hAnsi="Arial" w:cs="Arial"/>
        </w:rPr>
        <w:t>regional</w:t>
      </w:r>
      <w:proofErr w:type="spellEnd"/>
      <w:r w:rsidRPr="0064087E">
        <w:rPr>
          <w:rFonts w:ascii="Arial" w:hAnsi="Arial" w:cs="Arial"/>
        </w:rPr>
        <w:t xml:space="preserve"> </w:t>
      </w:r>
      <w:proofErr w:type="spellStart"/>
      <w:r w:rsidRPr="0064087E">
        <w:rPr>
          <w:rFonts w:ascii="Arial" w:hAnsi="Arial" w:cs="Arial"/>
        </w:rPr>
        <w:t>innovation</w:t>
      </w:r>
      <w:proofErr w:type="spellEnd"/>
      <w:r w:rsidRPr="0064087E">
        <w:rPr>
          <w:rFonts w:ascii="Arial" w:hAnsi="Arial" w:cs="Arial"/>
        </w:rPr>
        <w:t xml:space="preserve"> </w:t>
      </w:r>
      <w:proofErr w:type="spellStart"/>
      <w:r w:rsidRPr="0064087E">
        <w:rPr>
          <w:rFonts w:ascii="Arial" w:hAnsi="Arial" w:cs="Arial"/>
        </w:rPr>
        <w:t>leaders</w:t>
      </w:r>
      <w:proofErr w:type="spellEnd"/>
      <w:r w:rsidRPr="0064087E">
        <w:rPr>
          <w:rFonts w:ascii="Arial" w:hAnsi="Arial" w:cs="Arial"/>
        </w:rPr>
        <w:t>) –</w:t>
      </w:r>
      <w:r w:rsidR="00E424B2" w:rsidRPr="0064087E">
        <w:rPr>
          <w:rFonts w:ascii="Arial" w:hAnsi="Arial" w:cs="Arial"/>
        </w:rPr>
        <w:t xml:space="preserve"> 36 regionów (RIS 2021 –</w:t>
      </w:r>
      <w:r w:rsidRPr="0064087E">
        <w:rPr>
          <w:rFonts w:ascii="Arial" w:hAnsi="Arial" w:cs="Arial"/>
        </w:rPr>
        <w:t xml:space="preserve"> 38</w:t>
      </w:r>
      <w:r w:rsidR="00E424B2" w:rsidRPr="0064087E">
        <w:rPr>
          <w:rFonts w:ascii="Arial" w:hAnsi="Arial" w:cs="Arial"/>
        </w:rPr>
        <w:t xml:space="preserve">  </w:t>
      </w:r>
      <w:r w:rsidRPr="0064087E">
        <w:rPr>
          <w:rFonts w:ascii="Arial" w:hAnsi="Arial" w:cs="Arial"/>
        </w:rPr>
        <w:t>regionów</w:t>
      </w:r>
      <w:r w:rsidR="00E424B2" w:rsidRPr="0064087E">
        <w:rPr>
          <w:rFonts w:ascii="Arial" w:hAnsi="Arial" w:cs="Arial"/>
        </w:rPr>
        <w:t>)</w:t>
      </w:r>
      <w:r w:rsidRPr="0064087E">
        <w:rPr>
          <w:rFonts w:ascii="Arial" w:hAnsi="Arial" w:cs="Arial"/>
        </w:rPr>
        <w:t>,</w:t>
      </w:r>
    </w:p>
    <w:p w:rsidR="00587025" w:rsidRPr="0064087E" w:rsidRDefault="00587025" w:rsidP="00BB598D">
      <w:pPr>
        <w:pStyle w:val="Akapitzlist"/>
        <w:numPr>
          <w:ilvl w:val="0"/>
          <w:numId w:val="2"/>
        </w:numPr>
        <w:spacing w:line="276" w:lineRule="auto"/>
        <w:rPr>
          <w:rFonts w:ascii="Arial" w:hAnsi="Arial" w:cs="Arial"/>
        </w:rPr>
      </w:pPr>
      <w:r w:rsidRPr="0064087E">
        <w:rPr>
          <w:rFonts w:ascii="Arial" w:hAnsi="Arial" w:cs="Arial"/>
        </w:rPr>
        <w:t>regionalni silni innowatorzy (</w:t>
      </w:r>
      <w:proofErr w:type="spellStart"/>
      <w:r w:rsidRPr="0064087E">
        <w:rPr>
          <w:rFonts w:ascii="Arial" w:hAnsi="Arial" w:cs="Arial"/>
        </w:rPr>
        <w:t>regional</w:t>
      </w:r>
      <w:proofErr w:type="spellEnd"/>
      <w:r w:rsidRPr="0064087E">
        <w:rPr>
          <w:rFonts w:ascii="Arial" w:hAnsi="Arial" w:cs="Arial"/>
        </w:rPr>
        <w:t xml:space="preserve"> </w:t>
      </w:r>
      <w:proofErr w:type="spellStart"/>
      <w:r w:rsidRPr="0064087E">
        <w:rPr>
          <w:rFonts w:ascii="Arial" w:hAnsi="Arial" w:cs="Arial"/>
        </w:rPr>
        <w:t>strong</w:t>
      </w:r>
      <w:proofErr w:type="spellEnd"/>
      <w:r w:rsidRPr="0064087E">
        <w:rPr>
          <w:rFonts w:ascii="Arial" w:hAnsi="Arial" w:cs="Arial"/>
        </w:rPr>
        <w:t xml:space="preserve"> </w:t>
      </w:r>
      <w:proofErr w:type="spellStart"/>
      <w:r w:rsidRPr="0064087E">
        <w:rPr>
          <w:rFonts w:ascii="Arial" w:hAnsi="Arial" w:cs="Arial"/>
        </w:rPr>
        <w:t>innovators</w:t>
      </w:r>
      <w:proofErr w:type="spellEnd"/>
      <w:r w:rsidRPr="0064087E">
        <w:rPr>
          <w:rFonts w:ascii="Arial" w:hAnsi="Arial" w:cs="Arial"/>
        </w:rPr>
        <w:t xml:space="preserve">) – </w:t>
      </w:r>
      <w:r w:rsidR="00F33694" w:rsidRPr="0064087E">
        <w:rPr>
          <w:rFonts w:ascii="Arial" w:hAnsi="Arial" w:cs="Arial"/>
        </w:rPr>
        <w:t xml:space="preserve">70 regionów (RIS 2021 – </w:t>
      </w:r>
      <w:r w:rsidRPr="0064087E">
        <w:rPr>
          <w:rFonts w:ascii="Arial" w:hAnsi="Arial" w:cs="Arial"/>
        </w:rPr>
        <w:t>67</w:t>
      </w:r>
      <w:r w:rsidR="00F33694" w:rsidRPr="0064087E">
        <w:rPr>
          <w:rFonts w:ascii="Arial" w:hAnsi="Arial" w:cs="Arial"/>
        </w:rPr>
        <w:t xml:space="preserve">  </w:t>
      </w:r>
      <w:r w:rsidRPr="0064087E">
        <w:rPr>
          <w:rFonts w:ascii="Arial" w:hAnsi="Arial" w:cs="Arial"/>
        </w:rPr>
        <w:t>regionów</w:t>
      </w:r>
      <w:r w:rsidR="00F33694" w:rsidRPr="0064087E">
        <w:rPr>
          <w:rFonts w:ascii="Arial" w:hAnsi="Arial" w:cs="Arial"/>
        </w:rPr>
        <w:t>)</w:t>
      </w:r>
      <w:r w:rsidRPr="0064087E">
        <w:rPr>
          <w:rFonts w:ascii="Arial" w:hAnsi="Arial" w:cs="Arial"/>
        </w:rPr>
        <w:t>,</w:t>
      </w:r>
    </w:p>
    <w:p w:rsidR="00587025" w:rsidRPr="0064087E" w:rsidRDefault="00587025" w:rsidP="00BB598D">
      <w:pPr>
        <w:pStyle w:val="Akapitzlist"/>
        <w:numPr>
          <w:ilvl w:val="0"/>
          <w:numId w:val="2"/>
        </w:numPr>
        <w:spacing w:line="276" w:lineRule="auto"/>
        <w:rPr>
          <w:rFonts w:ascii="Arial" w:hAnsi="Arial" w:cs="Arial"/>
        </w:rPr>
      </w:pPr>
      <w:r w:rsidRPr="0064087E">
        <w:rPr>
          <w:rFonts w:ascii="Arial" w:hAnsi="Arial" w:cs="Arial"/>
        </w:rPr>
        <w:t>regionalni umiarkowani innowatorzy (</w:t>
      </w:r>
      <w:proofErr w:type="spellStart"/>
      <w:r w:rsidRPr="0064087E">
        <w:rPr>
          <w:rFonts w:ascii="Arial" w:hAnsi="Arial" w:cs="Arial"/>
        </w:rPr>
        <w:t>regional</w:t>
      </w:r>
      <w:proofErr w:type="spellEnd"/>
      <w:r w:rsidRPr="0064087E">
        <w:rPr>
          <w:rFonts w:ascii="Arial" w:hAnsi="Arial" w:cs="Arial"/>
        </w:rPr>
        <w:t xml:space="preserve"> </w:t>
      </w:r>
      <w:proofErr w:type="spellStart"/>
      <w:r w:rsidRPr="0064087E">
        <w:rPr>
          <w:rFonts w:ascii="Arial" w:hAnsi="Arial" w:cs="Arial"/>
        </w:rPr>
        <w:t>moderate</w:t>
      </w:r>
      <w:proofErr w:type="spellEnd"/>
      <w:r w:rsidRPr="0064087E">
        <w:rPr>
          <w:rFonts w:ascii="Arial" w:hAnsi="Arial" w:cs="Arial"/>
        </w:rPr>
        <w:t xml:space="preserve"> </w:t>
      </w:r>
      <w:proofErr w:type="spellStart"/>
      <w:r w:rsidRPr="0064087E">
        <w:rPr>
          <w:rFonts w:ascii="Arial" w:hAnsi="Arial" w:cs="Arial"/>
        </w:rPr>
        <w:t>innovators</w:t>
      </w:r>
      <w:proofErr w:type="spellEnd"/>
      <w:r w:rsidRPr="0064087E">
        <w:rPr>
          <w:rFonts w:ascii="Arial" w:hAnsi="Arial" w:cs="Arial"/>
        </w:rPr>
        <w:t>) –</w:t>
      </w:r>
      <w:r w:rsidR="00F33694" w:rsidRPr="0064087E">
        <w:rPr>
          <w:rFonts w:ascii="Arial" w:hAnsi="Arial" w:cs="Arial"/>
        </w:rPr>
        <w:t xml:space="preserve"> 69 regionów </w:t>
      </w:r>
      <w:r w:rsidR="008D20E8" w:rsidRPr="0064087E">
        <w:rPr>
          <w:rFonts w:ascii="Arial" w:hAnsi="Arial" w:cs="Arial"/>
        </w:rPr>
        <w:br/>
      </w:r>
      <w:r w:rsidR="00F33694" w:rsidRPr="0064087E">
        <w:rPr>
          <w:rFonts w:ascii="Arial" w:hAnsi="Arial" w:cs="Arial"/>
        </w:rPr>
        <w:t xml:space="preserve">(RIS 2021 – </w:t>
      </w:r>
      <w:r w:rsidRPr="0064087E">
        <w:rPr>
          <w:rFonts w:ascii="Arial" w:hAnsi="Arial" w:cs="Arial"/>
        </w:rPr>
        <w:t>68 regionów</w:t>
      </w:r>
      <w:r w:rsidR="00F33694" w:rsidRPr="0064087E">
        <w:rPr>
          <w:rFonts w:ascii="Arial" w:hAnsi="Arial" w:cs="Arial"/>
        </w:rPr>
        <w:t>)</w:t>
      </w:r>
      <w:r w:rsidRPr="0064087E">
        <w:rPr>
          <w:rFonts w:ascii="Arial" w:hAnsi="Arial" w:cs="Arial"/>
        </w:rPr>
        <w:t>,</w:t>
      </w:r>
    </w:p>
    <w:p w:rsidR="00587025" w:rsidRPr="0064087E" w:rsidRDefault="00587025" w:rsidP="00BB598D">
      <w:pPr>
        <w:pStyle w:val="Akapitzlist"/>
        <w:numPr>
          <w:ilvl w:val="0"/>
          <w:numId w:val="2"/>
        </w:numPr>
        <w:spacing w:after="120" w:line="276" w:lineRule="auto"/>
        <w:ind w:left="714" w:hanging="357"/>
        <w:contextualSpacing w:val="0"/>
        <w:rPr>
          <w:rFonts w:ascii="Arial" w:hAnsi="Arial" w:cs="Arial"/>
        </w:rPr>
      </w:pPr>
      <w:r w:rsidRPr="0064087E">
        <w:rPr>
          <w:rFonts w:ascii="Arial" w:hAnsi="Arial" w:cs="Arial"/>
        </w:rPr>
        <w:t>regionalni wschodzący innowatorzy (</w:t>
      </w:r>
      <w:proofErr w:type="spellStart"/>
      <w:r w:rsidRPr="0064087E">
        <w:rPr>
          <w:rFonts w:ascii="Arial" w:hAnsi="Arial" w:cs="Arial"/>
        </w:rPr>
        <w:t>regional</w:t>
      </w:r>
      <w:proofErr w:type="spellEnd"/>
      <w:r w:rsidRPr="0064087E">
        <w:rPr>
          <w:rFonts w:ascii="Arial" w:hAnsi="Arial" w:cs="Arial"/>
        </w:rPr>
        <w:t xml:space="preserve"> </w:t>
      </w:r>
      <w:proofErr w:type="spellStart"/>
      <w:r w:rsidRPr="0064087E">
        <w:rPr>
          <w:rFonts w:ascii="Arial" w:hAnsi="Arial" w:cs="Arial"/>
        </w:rPr>
        <w:t>emerging</w:t>
      </w:r>
      <w:proofErr w:type="spellEnd"/>
      <w:r w:rsidRPr="0064087E">
        <w:rPr>
          <w:rFonts w:ascii="Arial" w:hAnsi="Arial" w:cs="Arial"/>
        </w:rPr>
        <w:t xml:space="preserve"> </w:t>
      </w:r>
      <w:proofErr w:type="spellStart"/>
      <w:r w:rsidRPr="0064087E">
        <w:rPr>
          <w:rFonts w:ascii="Arial" w:hAnsi="Arial" w:cs="Arial"/>
        </w:rPr>
        <w:t>innovators</w:t>
      </w:r>
      <w:proofErr w:type="spellEnd"/>
      <w:r w:rsidRPr="0064087E">
        <w:rPr>
          <w:rFonts w:ascii="Arial" w:hAnsi="Arial" w:cs="Arial"/>
        </w:rPr>
        <w:t xml:space="preserve">) – </w:t>
      </w:r>
      <w:r w:rsidR="00F33694" w:rsidRPr="0064087E">
        <w:rPr>
          <w:rFonts w:ascii="Arial" w:hAnsi="Arial" w:cs="Arial"/>
        </w:rPr>
        <w:t xml:space="preserve">64 regiony </w:t>
      </w:r>
      <w:r w:rsidR="008D20E8" w:rsidRPr="0064087E">
        <w:rPr>
          <w:rFonts w:ascii="Arial" w:hAnsi="Arial" w:cs="Arial"/>
        </w:rPr>
        <w:br/>
      </w:r>
      <w:r w:rsidR="00F33694" w:rsidRPr="0064087E">
        <w:rPr>
          <w:rFonts w:ascii="Arial" w:hAnsi="Arial" w:cs="Arial"/>
        </w:rPr>
        <w:t xml:space="preserve">(RIS 2021 – </w:t>
      </w:r>
      <w:r w:rsidRPr="0064087E">
        <w:rPr>
          <w:rFonts w:ascii="Arial" w:hAnsi="Arial" w:cs="Arial"/>
        </w:rPr>
        <w:t>67 regionów</w:t>
      </w:r>
      <w:r w:rsidR="00F33694" w:rsidRPr="0064087E">
        <w:rPr>
          <w:rFonts w:ascii="Arial" w:hAnsi="Arial" w:cs="Arial"/>
        </w:rPr>
        <w:t>)</w:t>
      </w:r>
      <w:r w:rsidRPr="0064087E">
        <w:rPr>
          <w:rFonts w:ascii="Arial" w:hAnsi="Arial" w:cs="Arial"/>
        </w:rPr>
        <w:t>.</w:t>
      </w:r>
    </w:p>
    <w:p w:rsidR="00587025" w:rsidRPr="0064087E" w:rsidRDefault="00587025" w:rsidP="00BB598D">
      <w:pPr>
        <w:spacing w:after="60" w:line="264" w:lineRule="auto"/>
        <w:rPr>
          <w:rFonts w:ascii="Arial" w:hAnsi="Arial" w:cs="Arial"/>
        </w:rPr>
      </w:pPr>
      <w:r w:rsidRPr="0064087E">
        <w:rPr>
          <w:rFonts w:ascii="Arial" w:hAnsi="Arial" w:cs="Arial"/>
        </w:rPr>
        <w:t>Regionalnymi liderami innowacji są te regiony, których wyniki przekraczają 125% średniej Unii Europejskiej dla tego wskaźnika. Regionalni silni innowatorzy to regiony mające od 100% do 125% średniej UE. Z kolei regionalni umiarkowani innowatorzy to regiony osiągające pomiędzy 70% i 100% średniej UE, natomiast regionalni wschodzący innowatorzy wykonują poniżej 70% średniej unijnej.</w:t>
      </w:r>
    </w:p>
    <w:p w:rsidR="005F52FD" w:rsidRPr="0064087E" w:rsidRDefault="005F52FD" w:rsidP="00BB598D">
      <w:pPr>
        <w:spacing w:after="60" w:line="264" w:lineRule="auto"/>
        <w:rPr>
          <w:rFonts w:ascii="Arial" w:hAnsi="Arial" w:cs="Arial"/>
        </w:rPr>
      </w:pPr>
      <w:r w:rsidRPr="0064087E">
        <w:rPr>
          <w:rFonts w:ascii="Arial" w:hAnsi="Arial" w:cs="Arial"/>
        </w:rPr>
        <w:t>Ponadto RIS 2023</w:t>
      </w:r>
      <w:r w:rsidR="007555B9" w:rsidRPr="0064087E">
        <w:rPr>
          <w:rFonts w:ascii="Arial" w:hAnsi="Arial" w:cs="Arial"/>
        </w:rPr>
        <w:t xml:space="preserve"> (podobnie jak RIS 2021)</w:t>
      </w:r>
      <w:r w:rsidRPr="0064087E">
        <w:rPr>
          <w:rFonts w:ascii="Arial" w:hAnsi="Arial" w:cs="Arial"/>
        </w:rPr>
        <w:t xml:space="preserve"> stosuje trzy podgrupy, w każdej z tych grup, aby umożliwić lepsze rozróżnienie na poziomie regionalnym: regiony w górnej części grupy (+), regiony w środkowej części grupy i regiony w dolnej części grupy (-). W Polsce</w:t>
      </w:r>
      <w:r w:rsidR="007555B9" w:rsidRPr="0064087E">
        <w:rPr>
          <w:rFonts w:ascii="Arial" w:hAnsi="Arial" w:cs="Arial"/>
        </w:rPr>
        <w:t xml:space="preserve"> (zarówno </w:t>
      </w:r>
      <w:r w:rsidR="008D20E8" w:rsidRPr="0064087E">
        <w:rPr>
          <w:rFonts w:ascii="Arial" w:hAnsi="Arial" w:cs="Arial"/>
        </w:rPr>
        <w:br/>
      </w:r>
      <w:r w:rsidR="007555B9" w:rsidRPr="0064087E">
        <w:rPr>
          <w:rFonts w:ascii="Arial" w:hAnsi="Arial" w:cs="Arial"/>
        </w:rPr>
        <w:t>w 2021 r. jak i w 2023 r.)</w:t>
      </w:r>
      <w:r w:rsidRPr="0064087E">
        <w:rPr>
          <w:rFonts w:ascii="Arial" w:hAnsi="Arial" w:cs="Arial"/>
        </w:rPr>
        <w:t xml:space="preserve"> 2 regiony znajdowały się w grupie regionalnych umiarkowanych innowatorów</w:t>
      </w:r>
      <w:r w:rsidR="00373782" w:rsidRPr="0064087E">
        <w:rPr>
          <w:rFonts w:ascii="Arial" w:hAnsi="Arial" w:cs="Arial"/>
        </w:rPr>
        <w:t xml:space="preserve"> (region Warszawski Stołeczny oraz województwo małopolskie)</w:t>
      </w:r>
      <w:r w:rsidRPr="0064087E">
        <w:rPr>
          <w:rFonts w:ascii="Arial" w:hAnsi="Arial" w:cs="Arial"/>
        </w:rPr>
        <w:t>, natomiast 15 regionów – w grupie regionalnych wschodzących innowatorów.</w:t>
      </w:r>
    </w:p>
    <w:p w:rsidR="005F1E3F" w:rsidRPr="0064087E" w:rsidRDefault="001431D5" w:rsidP="00BB598D">
      <w:pPr>
        <w:spacing w:after="60" w:line="264" w:lineRule="auto"/>
        <w:rPr>
          <w:rFonts w:ascii="Arial" w:hAnsi="Arial" w:cs="Arial"/>
        </w:rPr>
      </w:pPr>
      <w:r w:rsidRPr="0064087E">
        <w:rPr>
          <w:rFonts w:ascii="Arial" w:hAnsi="Arial" w:cs="Arial"/>
        </w:rPr>
        <w:t xml:space="preserve">Według tego wskaźnika w 2023 r. województwo podkarpackie z wartością 56,7 wśród 239 regionów UE zajmowało 209. </w:t>
      </w:r>
      <w:r w:rsidR="00317B80" w:rsidRPr="0064087E">
        <w:rPr>
          <w:rFonts w:ascii="Arial" w:hAnsi="Arial" w:cs="Arial"/>
        </w:rPr>
        <w:t>l</w:t>
      </w:r>
      <w:r w:rsidRPr="0064087E">
        <w:rPr>
          <w:rFonts w:ascii="Arial" w:hAnsi="Arial" w:cs="Arial"/>
        </w:rPr>
        <w:t>okatę i zaliczało się do grupy inno</w:t>
      </w:r>
      <w:r w:rsidR="00812525" w:rsidRPr="0064087E">
        <w:rPr>
          <w:rFonts w:ascii="Arial" w:hAnsi="Arial" w:cs="Arial"/>
        </w:rPr>
        <w:t>watorów</w:t>
      </w:r>
      <w:r w:rsidRPr="0064087E">
        <w:rPr>
          <w:rFonts w:ascii="Arial" w:hAnsi="Arial" w:cs="Arial"/>
        </w:rPr>
        <w:t xml:space="preserve"> wschodzących</w:t>
      </w:r>
      <w:r w:rsidR="00812525" w:rsidRPr="0064087E">
        <w:rPr>
          <w:rFonts w:ascii="Arial" w:hAnsi="Arial" w:cs="Arial"/>
        </w:rPr>
        <w:t xml:space="preserve"> +</w:t>
      </w:r>
      <w:r w:rsidRPr="0064087E">
        <w:rPr>
          <w:rFonts w:ascii="Arial" w:hAnsi="Arial" w:cs="Arial"/>
        </w:rPr>
        <w:t>. W</w:t>
      </w:r>
      <w:r w:rsidR="00812525" w:rsidRPr="0064087E">
        <w:rPr>
          <w:rFonts w:ascii="Arial" w:hAnsi="Arial" w:cs="Arial"/>
        </w:rPr>
        <w:t> </w:t>
      </w:r>
      <w:r w:rsidRPr="0064087E">
        <w:rPr>
          <w:rFonts w:ascii="Arial" w:hAnsi="Arial" w:cs="Arial"/>
        </w:rPr>
        <w:t xml:space="preserve">skali kraju natomiast Podkarpackie zajmowało </w:t>
      </w:r>
      <w:r w:rsidR="00812525" w:rsidRPr="0064087E">
        <w:rPr>
          <w:rFonts w:ascii="Arial" w:hAnsi="Arial" w:cs="Arial"/>
        </w:rPr>
        <w:t>9</w:t>
      </w:r>
      <w:r w:rsidRPr="0064087E">
        <w:rPr>
          <w:rFonts w:ascii="Arial" w:hAnsi="Arial" w:cs="Arial"/>
        </w:rPr>
        <w:t>. miejsce – wyższą wartość miały region Warszawski Stołeczny, województwo małopolskie, dolnośląskie</w:t>
      </w:r>
      <w:r w:rsidR="00812525" w:rsidRPr="0064087E">
        <w:rPr>
          <w:rFonts w:ascii="Arial" w:hAnsi="Arial" w:cs="Arial"/>
        </w:rPr>
        <w:t xml:space="preserve">, </w:t>
      </w:r>
      <w:r w:rsidRPr="0064087E">
        <w:rPr>
          <w:rFonts w:ascii="Arial" w:hAnsi="Arial" w:cs="Arial"/>
        </w:rPr>
        <w:t>pomorskie</w:t>
      </w:r>
      <w:r w:rsidR="00812525" w:rsidRPr="0064087E">
        <w:rPr>
          <w:rFonts w:ascii="Arial" w:hAnsi="Arial" w:cs="Arial"/>
        </w:rPr>
        <w:t xml:space="preserve">, łódzkie, </w:t>
      </w:r>
      <w:r w:rsidR="00812525" w:rsidRPr="0064087E">
        <w:rPr>
          <w:rFonts w:ascii="Arial" w:hAnsi="Arial" w:cs="Arial"/>
        </w:rPr>
        <w:lastRenderedPageBreak/>
        <w:t>lubelskie, podlaskie i śląskie</w:t>
      </w:r>
      <w:r w:rsidRPr="0064087E">
        <w:rPr>
          <w:rFonts w:ascii="Arial" w:hAnsi="Arial" w:cs="Arial"/>
        </w:rPr>
        <w:t>.</w:t>
      </w:r>
    </w:p>
    <w:p w:rsidR="004B5698" w:rsidRPr="0064087E" w:rsidRDefault="00587025" w:rsidP="00BB598D">
      <w:pPr>
        <w:spacing w:after="120" w:line="276" w:lineRule="auto"/>
        <w:rPr>
          <w:rFonts w:ascii="Arial" w:hAnsi="Arial" w:cs="Arial"/>
        </w:rPr>
      </w:pPr>
      <w:r w:rsidRPr="0064087E">
        <w:rPr>
          <w:rFonts w:ascii="Arial" w:hAnsi="Arial" w:cs="Arial"/>
        </w:rPr>
        <w:t>Pod względem nakładów ogółem na działalność badawczo-rozwojową (B+R) w relacji do PKB w roku 202</w:t>
      </w:r>
      <w:r w:rsidR="002C05A0" w:rsidRPr="0064087E">
        <w:rPr>
          <w:rFonts w:ascii="Arial" w:hAnsi="Arial" w:cs="Arial"/>
        </w:rPr>
        <w:t>2</w:t>
      </w:r>
      <w:r w:rsidRPr="0064087E">
        <w:rPr>
          <w:rFonts w:ascii="Arial" w:hAnsi="Arial" w:cs="Arial"/>
        </w:rPr>
        <w:t xml:space="preserve"> województwo podkarpackie z wynikiem 1,</w:t>
      </w:r>
      <w:r w:rsidR="002C05A0" w:rsidRPr="0064087E">
        <w:rPr>
          <w:rFonts w:ascii="Arial" w:hAnsi="Arial" w:cs="Arial"/>
        </w:rPr>
        <w:t>18</w:t>
      </w:r>
      <w:r w:rsidRPr="0064087E">
        <w:rPr>
          <w:rFonts w:ascii="Arial" w:hAnsi="Arial" w:cs="Arial"/>
        </w:rPr>
        <w:t xml:space="preserve">% osiągnęło 5. miejsce </w:t>
      </w:r>
      <w:r w:rsidR="00BB598D">
        <w:rPr>
          <w:rFonts w:ascii="Arial" w:hAnsi="Arial" w:cs="Arial"/>
        </w:rPr>
        <w:br/>
      </w:r>
      <w:r w:rsidRPr="0064087E">
        <w:rPr>
          <w:rFonts w:ascii="Arial" w:hAnsi="Arial" w:cs="Arial"/>
        </w:rPr>
        <w:t xml:space="preserve">w kraju (po województwie małopolskim, mazowieckim, pomorskim i dolnośląskim). </w:t>
      </w:r>
      <w:r w:rsidR="00BB598D">
        <w:rPr>
          <w:rFonts w:ascii="Arial" w:hAnsi="Arial" w:cs="Arial"/>
        </w:rPr>
        <w:br/>
      </w:r>
      <w:r w:rsidRPr="0064087E">
        <w:rPr>
          <w:rFonts w:ascii="Arial" w:hAnsi="Arial" w:cs="Arial"/>
        </w:rPr>
        <w:t xml:space="preserve">W porównaniu z rokiem 2017 </w:t>
      </w:r>
      <w:r w:rsidR="00250C6E" w:rsidRPr="0064087E">
        <w:rPr>
          <w:rFonts w:ascii="Arial" w:hAnsi="Arial" w:cs="Arial"/>
        </w:rPr>
        <w:t>w województwie podkarpackim</w:t>
      </w:r>
      <w:r w:rsidRPr="0064087E">
        <w:rPr>
          <w:rFonts w:ascii="Arial" w:hAnsi="Arial" w:cs="Arial"/>
        </w:rPr>
        <w:t xml:space="preserve"> wskaźnik ten wzrósł o 0,</w:t>
      </w:r>
      <w:r w:rsidR="004840E1" w:rsidRPr="0064087E">
        <w:rPr>
          <w:rFonts w:ascii="Arial" w:hAnsi="Arial" w:cs="Arial"/>
        </w:rPr>
        <w:t>15</w:t>
      </w:r>
      <w:r w:rsidRPr="0064087E">
        <w:rPr>
          <w:rFonts w:ascii="Arial" w:hAnsi="Arial" w:cs="Arial"/>
        </w:rPr>
        <w:t xml:space="preserve"> </w:t>
      </w:r>
      <w:proofErr w:type="spellStart"/>
      <w:r w:rsidRPr="0064087E">
        <w:rPr>
          <w:rFonts w:ascii="Arial" w:hAnsi="Arial" w:cs="Arial"/>
        </w:rPr>
        <w:t>p.proc</w:t>
      </w:r>
      <w:proofErr w:type="spellEnd"/>
      <w:r w:rsidRPr="0064087E">
        <w:rPr>
          <w:rFonts w:ascii="Arial" w:hAnsi="Arial" w:cs="Arial"/>
        </w:rPr>
        <w:t>., natomiast w porównaniu z rokiem 202</w:t>
      </w:r>
      <w:r w:rsidR="004840E1" w:rsidRPr="0064087E">
        <w:rPr>
          <w:rFonts w:ascii="Arial" w:hAnsi="Arial" w:cs="Arial"/>
        </w:rPr>
        <w:t>1</w:t>
      </w:r>
      <w:r w:rsidRPr="0064087E">
        <w:rPr>
          <w:rFonts w:ascii="Arial" w:hAnsi="Arial" w:cs="Arial"/>
        </w:rPr>
        <w:t xml:space="preserve"> </w:t>
      </w:r>
      <w:r w:rsidR="004840E1" w:rsidRPr="0064087E">
        <w:rPr>
          <w:rFonts w:ascii="Arial" w:hAnsi="Arial" w:cs="Arial"/>
        </w:rPr>
        <w:t>zmalał o 0</w:t>
      </w:r>
      <w:r w:rsidR="00206A64" w:rsidRPr="0064087E">
        <w:rPr>
          <w:rFonts w:ascii="Arial" w:hAnsi="Arial" w:cs="Arial"/>
        </w:rPr>
        <w:t>,</w:t>
      </w:r>
      <w:r w:rsidR="004840E1" w:rsidRPr="0064087E">
        <w:rPr>
          <w:rFonts w:ascii="Arial" w:hAnsi="Arial" w:cs="Arial"/>
        </w:rPr>
        <w:t xml:space="preserve">10 </w:t>
      </w:r>
      <w:proofErr w:type="spellStart"/>
      <w:r w:rsidR="004840E1" w:rsidRPr="0064087E">
        <w:rPr>
          <w:rFonts w:ascii="Arial" w:hAnsi="Arial" w:cs="Arial"/>
        </w:rPr>
        <w:t>p.proc</w:t>
      </w:r>
      <w:proofErr w:type="spellEnd"/>
      <w:r w:rsidRPr="0064087E">
        <w:rPr>
          <w:rFonts w:ascii="Arial" w:hAnsi="Arial" w:cs="Arial"/>
        </w:rPr>
        <w:t>. Dla Polski wartość tego wskaźnika w 202</w:t>
      </w:r>
      <w:r w:rsidR="004840E1" w:rsidRPr="0064087E">
        <w:rPr>
          <w:rFonts w:ascii="Arial" w:hAnsi="Arial" w:cs="Arial"/>
        </w:rPr>
        <w:t>2 </w:t>
      </w:r>
      <w:r w:rsidRPr="0064087E">
        <w:rPr>
          <w:rFonts w:ascii="Arial" w:hAnsi="Arial" w:cs="Arial"/>
        </w:rPr>
        <w:t>r. wyniosła 1,4</w:t>
      </w:r>
      <w:r w:rsidR="004840E1" w:rsidRPr="0064087E">
        <w:rPr>
          <w:rFonts w:ascii="Arial" w:hAnsi="Arial" w:cs="Arial"/>
        </w:rPr>
        <w:t>6</w:t>
      </w:r>
      <w:r w:rsidRPr="0064087E">
        <w:rPr>
          <w:rFonts w:ascii="Arial" w:hAnsi="Arial" w:cs="Arial"/>
        </w:rPr>
        <w:t>%.</w:t>
      </w:r>
    </w:p>
    <w:p w:rsidR="00B51095" w:rsidRPr="0064087E" w:rsidRDefault="00B51095" w:rsidP="00BB598D">
      <w:pPr>
        <w:spacing w:after="120" w:line="276" w:lineRule="auto"/>
        <w:rPr>
          <w:rFonts w:ascii="Arial" w:hAnsi="Arial" w:cs="Arial"/>
        </w:rPr>
      </w:pPr>
      <w:bookmarkStart w:id="3" w:name="_Toc160793507"/>
      <w:r w:rsidRPr="00D1353A">
        <w:rPr>
          <w:rFonts w:ascii="Arial" w:hAnsi="Arial" w:cs="Arial"/>
          <w:b/>
        </w:rPr>
        <w:t xml:space="preserve">Wykres </w:t>
      </w:r>
      <w:r w:rsidR="005922CE">
        <w:rPr>
          <w:rFonts w:ascii="Arial" w:hAnsi="Arial" w:cs="Arial"/>
          <w:b/>
        </w:rPr>
        <w:fldChar w:fldCharType="begin"/>
      </w:r>
      <w:r w:rsidR="005922CE">
        <w:rPr>
          <w:rFonts w:ascii="Arial" w:hAnsi="Arial" w:cs="Arial"/>
          <w:b/>
        </w:rPr>
        <w:instrText xml:space="preserve"> SEQ Wykres \* ARABIC </w:instrText>
      </w:r>
      <w:r w:rsidR="005922CE">
        <w:rPr>
          <w:rFonts w:ascii="Arial" w:hAnsi="Arial" w:cs="Arial"/>
          <w:b/>
        </w:rPr>
        <w:fldChar w:fldCharType="separate"/>
      </w:r>
      <w:r w:rsidR="00884DAD">
        <w:rPr>
          <w:rFonts w:ascii="Arial" w:hAnsi="Arial" w:cs="Arial"/>
          <w:b/>
          <w:noProof/>
        </w:rPr>
        <w:t>1</w:t>
      </w:r>
      <w:r w:rsidR="005922CE">
        <w:rPr>
          <w:rFonts w:ascii="Arial" w:hAnsi="Arial" w:cs="Arial"/>
          <w:b/>
        </w:rPr>
        <w:fldChar w:fldCharType="end"/>
      </w:r>
      <w:r w:rsidRPr="00D1353A">
        <w:rPr>
          <w:rFonts w:ascii="Arial" w:hAnsi="Arial" w:cs="Arial"/>
          <w:b/>
        </w:rPr>
        <w:t>.</w:t>
      </w:r>
      <w:r w:rsidRPr="0064087E">
        <w:t xml:space="preserve"> </w:t>
      </w:r>
      <w:r w:rsidRPr="0064087E">
        <w:rPr>
          <w:rFonts w:ascii="Arial" w:hAnsi="Arial" w:cs="Arial"/>
        </w:rPr>
        <w:t>Nakłady wewnętrzne na B+R w relacji do PKB (ceny bieżące) w latach 2017-2022</w:t>
      </w:r>
      <w:bookmarkEnd w:id="3"/>
    </w:p>
    <w:p w:rsidR="00B51095" w:rsidRPr="0064087E" w:rsidRDefault="00B51095" w:rsidP="00B51095">
      <w:pPr>
        <w:spacing w:after="120" w:line="276" w:lineRule="auto"/>
        <w:jc w:val="center"/>
        <w:rPr>
          <w:rFonts w:ascii="Calibri" w:hAnsi="Calibri" w:cs="Calibri"/>
        </w:rPr>
      </w:pPr>
      <w:r w:rsidRPr="0064087E">
        <w:rPr>
          <w:noProof/>
          <w:lang w:eastAsia="pl-PL"/>
        </w:rPr>
        <w:drawing>
          <wp:inline distT="0" distB="0" distL="0" distR="0" wp14:anchorId="766D9192" wp14:editId="647693A2">
            <wp:extent cx="4572000" cy="2743200"/>
            <wp:effectExtent l="0" t="0" r="0" b="0"/>
            <wp:docPr id="14" name="Wykres 14" descr="Wykres linowy w tym dane dla Polski w województwa podkarpackiego. Polska: 1,03 w 2017, 2018 w 2018, 1,32 w 2019, 1,39 w 2020, 1,43 w 2021, 1,46 w 2022. Podkarpackie: 1,03 w 2017, 1,10 w 2018, 1,20 w 2019, 1,29 w 2020, 1,28 w 2021, 1,18 w 2022">
              <a:extLst xmlns:a="http://schemas.openxmlformats.org/drawingml/2006/main">
                <a:ext uri="{FF2B5EF4-FFF2-40B4-BE49-F238E27FC236}">
                  <a16:creationId xmlns:a16="http://schemas.microsoft.com/office/drawing/2014/main" id="{872B8194-B858-4C35-A4FF-5D052C63E9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51095" w:rsidRPr="0064087E" w:rsidRDefault="00B51095" w:rsidP="00B51095">
      <w:pPr>
        <w:spacing w:after="120" w:line="276" w:lineRule="auto"/>
        <w:jc w:val="center"/>
        <w:rPr>
          <w:rFonts w:ascii="Arial" w:hAnsi="Arial" w:cs="Arial"/>
        </w:rPr>
      </w:pPr>
      <w:r w:rsidRPr="0064087E">
        <w:rPr>
          <w:rFonts w:ascii="Arial" w:hAnsi="Arial" w:cs="Arial"/>
        </w:rPr>
        <w:t>Źródło: Opracowanie własne na podstawie danych GUS.</w:t>
      </w:r>
    </w:p>
    <w:p w:rsidR="00B51095" w:rsidRPr="0064087E" w:rsidRDefault="00B51095" w:rsidP="00BB598D">
      <w:pPr>
        <w:spacing w:after="120" w:line="276" w:lineRule="auto"/>
        <w:rPr>
          <w:rFonts w:ascii="Arial" w:hAnsi="Arial" w:cs="Arial"/>
        </w:rPr>
      </w:pPr>
      <w:bookmarkStart w:id="4" w:name="_Toc160793508"/>
      <w:r w:rsidRPr="0064087E">
        <w:rPr>
          <w:rFonts w:ascii="Arial" w:hAnsi="Arial" w:cs="Arial"/>
          <w:b/>
        </w:rPr>
        <w:t xml:space="preserve">Wykres </w:t>
      </w:r>
      <w:r w:rsidR="005922CE">
        <w:rPr>
          <w:rFonts w:ascii="Arial" w:hAnsi="Arial" w:cs="Arial"/>
          <w:b/>
        </w:rPr>
        <w:fldChar w:fldCharType="begin"/>
      </w:r>
      <w:r w:rsidR="005922CE">
        <w:rPr>
          <w:rFonts w:ascii="Arial" w:hAnsi="Arial" w:cs="Arial"/>
          <w:b/>
        </w:rPr>
        <w:instrText xml:space="preserve"> SEQ Wykres \* ARABIC </w:instrText>
      </w:r>
      <w:r w:rsidR="005922CE">
        <w:rPr>
          <w:rFonts w:ascii="Arial" w:hAnsi="Arial" w:cs="Arial"/>
          <w:b/>
        </w:rPr>
        <w:fldChar w:fldCharType="separate"/>
      </w:r>
      <w:r w:rsidR="00884DAD">
        <w:rPr>
          <w:rFonts w:ascii="Arial" w:hAnsi="Arial" w:cs="Arial"/>
          <w:b/>
          <w:noProof/>
        </w:rPr>
        <w:t>2</w:t>
      </w:r>
      <w:r w:rsidR="005922CE">
        <w:rPr>
          <w:rFonts w:ascii="Arial" w:hAnsi="Arial" w:cs="Arial"/>
          <w:b/>
        </w:rPr>
        <w:fldChar w:fldCharType="end"/>
      </w:r>
      <w:r w:rsidRPr="0064087E">
        <w:rPr>
          <w:rFonts w:ascii="Arial" w:hAnsi="Arial" w:cs="Arial"/>
          <w:b/>
        </w:rPr>
        <w:t>.</w:t>
      </w:r>
      <w:r w:rsidRPr="0064087E">
        <w:rPr>
          <w:rFonts w:ascii="Arial" w:hAnsi="Arial" w:cs="Arial"/>
        </w:rPr>
        <w:t xml:space="preserve"> Udział nakładów na działalność B+R finansowanych z sektora przedsiębiorstw </w:t>
      </w:r>
      <w:r w:rsidRPr="0064087E">
        <w:rPr>
          <w:rFonts w:ascii="Arial" w:hAnsi="Arial" w:cs="Arial"/>
        </w:rPr>
        <w:br/>
        <w:t>w nakładach na działalność B+R ogółem według województw w 2022 r.</w:t>
      </w:r>
      <w:bookmarkEnd w:id="4"/>
    </w:p>
    <w:p w:rsidR="00B51095" w:rsidRPr="0064087E" w:rsidRDefault="00B51095" w:rsidP="00B51095">
      <w:pPr>
        <w:spacing w:after="120" w:line="276" w:lineRule="auto"/>
        <w:jc w:val="center"/>
        <w:rPr>
          <w:rFonts w:ascii="Arial" w:hAnsi="Arial" w:cs="Arial"/>
        </w:rPr>
      </w:pPr>
      <w:r w:rsidRPr="0064087E">
        <w:rPr>
          <w:noProof/>
          <w:lang w:eastAsia="pl-PL"/>
        </w:rPr>
        <w:drawing>
          <wp:inline distT="0" distB="0" distL="0" distR="0" wp14:anchorId="340AA8F6" wp14:editId="1800A98E">
            <wp:extent cx="4572000" cy="3000375"/>
            <wp:effectExtent l="0" t="0" r="0" b="0"/>
            <wp:docPr id="19" name="Wykres 19" descr="Wykres słupkowy w tym dane w %: Podkarpackie 68,6, Pomorskie 67,8, Mazowieckie 59,7, Małopolskie 59,0, Warmińsko-mazurskie 56,0, Polska 54,8, Dolnośląskie 54,3, Kujawsko-pomorskie 53,1, Opolskie 51,7, Śląskie, Lubuskie 50,3, Wielkopolskie 40,7, Świętokrzyskie 40,2, Zachodniopomorskie 37,4, Łódzkie 35,3, Podlaskie 27,5, Lubelskie 25,3 ">
              <a:extLst xmlns:a="http://schemas.openxmlformats.org/drawingml/2006/main">
                <a:ext uri="{FF2B5EF4-FFF2-40B4-BE49-F238E27FC236}">
                  <a16:creationId xmlns:a16="http://schemas.microsoft.com/office/drawing/2014/main" id="{A03774C2-7026-4C27-98F4-F9F35F842B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51095" w:rsidRPr="0064087E" w:rsidRDefault="00B51095" w:rsidP="00B51095">
      <w:pPr>
        <w:spacing w:after="120" w:line="276" w:lineRule="auto"/>
        <w:jc w:val="center"/>
        <w:rPr>
          <w:rFonts w:ascii="Arial" w:hAnsi="Arial" w:cs="Arial"/>
        </w:rPr>
      </w:pPr>
      <w:r w:rsidRPr="0064087E">
        <w:rPr>
          <w:rFonts w:ascii="Arial" w:hAnsi="Arial" w:cs="Arial"/>
        </w:rPr>
        <w:t>Źródło: Opracowanie własne na podstawie danych GUS.</w:t>
      </w:r>
    </w:p>
    <w:p w:rsidR="004B5698" w:rsidRPr="0064087E" w:rsidRDefault="00B51095" w:rsidP="00BB598D">
      <w:pPr>
        <w:spacing w:after="120" w:line="276" w:lineRule="auto"/>
        <w:rPr>
          <w:rFonts w:ascii="Arial" w:hAnsi="Arial" w:cs="Arial"/>
        </w:rPr>
      </w:pPr>
      <w:r w:rsidRPr="0064087E">
        <w:rPr>
          <w:rFonts w:ascii="Arial" w:hAnsi="Arial" w:cs="Arial"/>
        </w:rPr>
        <w:t xml:space="preserve">W 2022 r. udział nakładów na działalność B+R finansowanych z sektora przedsiębiorstw </w:t>
      </w:r>
      <w:r w:rsidRPr="0064087E">
        <w:rPr>
          <w:rFonts w:ascii="Arial" w:hAnsi="Arial" w:cs="Arial"/>
        </w:rPr>
        <w:lastRenderedPageBreak/>
        <w:t>w</w:t>
      </w:r>
      <w:r w:rsidR="006E7E47" w:rsidRPr="0064087E">
        <w:rPr>
          <w:rFonts w:ascii="Arial" w:hAnsi="Arial" w:cs="Arial"/>
        </w:rPr>
        <w:t> </w:t>
      </w:r>
      <w:r w:rsidRPr="0064087E">
        <w:rPr>
          <w:rFonts w:ascii="Arial" w:hAnsi="Arial" w:cs="Arial"/>
        </w:rPr>
        <w:t xml:space="preserve">nakładach na działalność B+R ogółem w województwie podkarpackim wynosił 68,6%, co uplasowało region na 1. miejscu w kraju. Dla Polski wskaźnik ten osiągnął wartość 54,8%. </w:t>
      </w:r>
      <w:r w:rsidR="00831718" w:rsidRPr="0064087E">
        <w:rPr>
          <w:rFonts w:ascii="Arial" w:hAnsi="Arial" w:cs="Arial"/>
        </w:rPr>
        <w:br/>
      </w:r>
      <w:r w:rsidRPr="0064087E">
        <w:rPr>
          <w:rFonts w:ascii="Arial" w:hAnsi="Arial" w:cs="Arial"/>
        </w:rPr>
        <w:t>W 2017 r. wskaźnik ten wynosił w Podkarpackim 71,0%,</w:t>
      </w:r>
      <w:r w:rsidR="009B5FE0" w:rsidRPr="0064087E">
        <w:rPr>
          <w:rFonts w:ascii="Arial" w:hAnsi="Arial" w:cs="Arial"/>
        </w:rPr>
        <w:t xml:space="preserve"> natomiast w 2021 r. 67,6%</w:t>
      </w:r>
      <w:r w:rsidRPr="0064087E">
        <w:rPr>
          <w:rFonts w:ascii="Arial" w:hAnsi="Arial" w:cs="Arial"/>
        </w:rPr>
        <w:t xml:space="preserve"> </w:t>
      </w:r>
      <w:r w:rsidR="00BB598D">
        <w:rPr>
          <w:rFonts w:ascii="Arial" w:hAnsi="Arial" w:cs="Arial"/>
        </w:rPr>
        <w:br/>
      </w:r>
      <w:r w:rsidR="009B5FE0" w:rsidRPr="0064087E">
        <w:rPr>
          <w:rFonts w:ascii="Arial" w:hAnsi="Arial" w:cs="Arial"/>
        </w:rPr>
        <w:t xml:space="preserve">(w </w:t>
      </w:r>
      <w:r w:rsidRPr="0064087E">
        <w:rPr>
          <w:rFonts w:ascii="Arial" w:hAnsi="Arial" w:cs="Arial"/>
        </w:rPr>
        <w:t xml:space="preserve">Polsce </w:t>
      </w:r>
      <w:r w:rsidR="009B5FE0" w:rsidRPr="0064087E">
        <w:rPr>
          <w:rFonts w:ascii="Arial" w:hAnsi="Arial" w:cs="Arial"/>
        </w:rPr>
        <w:t xml:space="preserve">odpowiednio </w:t>
      </w:r>
      <w:r w:rsidRPr="0064087E">
        <w:rPr>
          <w:rFonts w:ascii="Arial" w:hAnsi="Arial" w:cs="Arial"/>
        </w:rPr>
        <w:t>52,5%</w:t>
      </w:r>
      <w:r w:rsidR="009B5FE0" w:rsidRPr="0064087E">
        <w:rPr>
          <w:rFonts w:ascii="Arial" w:hAnsi="Arial" w:cs="Arial"/>
        </w:rPr>
        <w:t xml:space="preserve"> i 51,0%)</w:t>
      </w:r>
      <w:r w:rsidRPr="0064087E">
        <w:rPr>
          <w:rFonts w:ascii="Arial" w:hAnsi="Arial" w:cs="Arial"/>
        </w:rPr>
        <w:t>.</w:t>
      </w:r>
    </w:p>
    <w:p w:rsidR="00901829" w:rsidRPr="0064087E" w:rsidRDefault="00901829" w:rsidP="00BB598D">
      <w:pPr>
        <w:spacing w:after="120" w:line="276" w:lineRule="auto"/>
        <w:rPr>
          <w:rFonts w:ascii="Arial" w:hAnsi="Arial" w:cs="Arial"/>
        </w:rPr>
      </w:pPr>
      <w:bookmarkStart w:id="5" w:name="_Toc160793509"/>
      <w:r w:rsidRPr="0064087E">
        <w:rPr>
          <w:rFonts w:ascii="Arial" w:hAnsi="Arial" w:cs="Arial"/>
          <w:b/>
        </w:rPr>
        <w:t xml:space="preserve">Wykres </w:t>
      </w:r>
      <w:r w:rsidR="005922CE">
        <w:rPr>
          <w:rFonts w:ascii="Arial" w:hAnsi="Arial" w:cs="Arial"/>
          <w:b/>
        </w:rPr>
        <w:fldChar w:fldCharType="begin"/>
      </w:r>
      <w:r w:rsidR="005922CE">
        <w:rPr>
          <w:rFonts w:ascii="Arial" w:hAnsi="Arial" w:cs="Arial"/>
          <w:b/>
        </w:rPr>
        <w:instrText xml:space="preserve"> SEQ Wykres \* ARABIC </w:instrText>
      </w:r>
      <w:r w:rsidR="005922CE">
        <w:rPr>
          <w:rFonts w:ascii="Arial" w:hAnsi="Arial" w:cs="Arial"/>
          <w:b/>
        </w:rPr>
        <w:fldChar w:fldCharType="separate"/>
      </w:r>
      <w:r w:rsidR="00884DAD">
        <w:rPr>
          <w:rFonts w:ascii="Arial" w:hAnsi="Arial" w:cs="Arial"/>
          <w:b/>
          <w:noProof/>
        </w:rPr>
        <w:t>3</w:t>
      </w:r>
      <w:r w:rsidR="005922CE">
        <w:rPr>
          <w:rFonts w:ascii="Arial" w:hAnsi="Arial" w:cs="Arial"/>
          <w:b/>
        </w:rPr>
        <w:fldChar w:fldCharType="end"/>
      </w:r>
      <w:r w:rsidRPr="0064087E">
        <w:rPr>
          <w:rFonts w:ascii="Arial" w:hAnsi="Arial" w:cs="Arial"/>
          <w:b/>
        </w:rPr>
        <w:t>.</w:t>
      </w:r>
      <w:r w:rsidRPr="0064087E">
        <w:rPr>
          <w:rFonts w:ascii="Arial" w:hAnsi="Arial" w:cs="Arial"/>
        </w:rPr>
        <w:t xml:space="preserve"> Nakłady wewnętrzne inwestycyjne faktycznie poniesione na B+R na 1 podmiot gospodarczy w latach 2017-2022</w:t>
      </w:r>
      <w:bookmarkEnd w:id="5"/>
    </w:p>
    <w:p w:rsidR="00901829" w:rsidRPr="0064087E" w:rsidRDefault="00901829" w:rsidP="00901829">
      <w:pPr>
        <w:spacing w:after="120" w:line="276" w:lineRule="auto"/>
        <w:jc w:val="center"/>
        <w:rPr>
          <w:rFonts w:ascii="Arial" w:hAnsi="Arial" w:cs="Arial"/>
        </w:rPr>
      </w:pPr>
      <w:r w:rsidRPr="0064087E">
        <w:rPr>
          <w:noProof/>
          <w:lang w:eastAsia="pl-PL"/>
        </w:rPr>
        <w:drawing>
          <wp:inline distT="0" distB="0" distL="0" distR="0" wp14:anchorId="6C756B4C" wp14:editId="6FA24415">
            <wp:extent cx="5467350" cy="2428875"/>
            <wp:effectExtent l="0" t="0" r="0" b="0"/>
            <wp:docPr id="1857" name="Wykres 1857" descr="Wykres linowy w tym dane dla Polski w województwa podkarpackiego. Polska: 0,94 w 2017, 1,20 w 2018, 1,18 w 2019, 1,10 w 2020, 1,21 w 2021, 0,98 w 2022. Podkarpackie: 1,37 w 2017, 1,44 w 2018, 1,82 w 2019, 1,54 w 2020, 1,39 w 2021, 1,33 w 2022">
              <a:extLst xmlns:a="http://schemas.openxmlformats.org/drawingml/2006/main">
                <a:ext uri="{FF2B5EF4-FFF2-40B4-BE49-F238E27FC236}">
                  <a16:creationId xmlns:a16="http://schemas.microsoft.com/office/drawing/2014/main" id="{5C8757B6-6A71-40D7-A264-1D0452014F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01829" w:rsidRPr="0064087E" w:rsidRDefault="00901829" w:rsidP="00901829">
      <w:pPr>
        <w:spacing w:after="120" w:line="276" w:lineRule="auto"/>
        <w:jc w:val="center"/>
        <w:rPr>
          <w:rFonts w:ascii="Arial" w:hAnsi="Arial" w:cs="Arial"/>
        </w:rPr>
      </w:pPr>
      <w:r w:rsidRPr="0064087E">
        <w:rPr>
          <w:rFonts w:ascii="Arial" w:hAnsi="Arial" w:cs="Arial"/>
        </w:rPr>
        <w:t>Źródło: Opracowanie własne na podstawie danych GUS.</w:t>
      </w:r>
    </w:p>
    <w:p w:rsidR="00901829" w:rsidRPr="0064087E" w:rsidRDefault="00901829" w:rsidP="00BB598D">
      <w:pPr>
        <w:spacing w:after="120" w:line="276" w:lineRule="auto"/>
        <w:rPr>
          <w:rFonts w:ascii="Arial" w:hAnsi="Arial" w:cs="Arial"/>
        </w:rPr>
      </w:pPr>
      <w:r w:rsidRPr="0064087E">
        <w:rPr>
          <w:rFonts w:ascii="Arial" w:hAnsi="Arial" w:cs="Arial"/>
        </w:rPr>
        <w:t>W województwie podkarpackim w latach 2017-2021, nakłady wewnętrzne inwestycyjne faktycznie ponoszone na B+R w przeliczeniu na 1 podmiot gospodarczy przewyższały średnie nakłady dla Polski. Natomiast w 2022 r. wskaźnik ten w województwie podkarpackim wyniósł 0,98 tys. zł i był niższy od wskaźnika dla kraju, który osiągnął wartość 1,33 tys. zł.</w:t>
      </w:r>
    </w:p>
    <w:p w:rsidR="00901829" w:rsidRPr="0064087E" w:rsidRDefault="00901829" w:rsidP="00BB598D">
      <w:pPr>
        <w:spacing w:after="120" w:line="276" w:lineRule="auto"/>
        <w:rPr>
          <w:rFonts w:ascii="Arial" w:hAnsi="Arial" w:cs="Arial"/>
        </w:rPr>
      </w:pPr>
      <w:bookmarkStart w:id="6" w:name="_Toc160793510"/>
      <w:r w:rsidRPr="0064087E">
        <w:rPr>
          <w:rFonts w:ascii="Arial" w:hAnsi="Arial" w:cs="Arial"/>
          <w:b/>
        </w:rPr>
        <w:t xml:space="preserve">Wykres </w:t>
      </w:r>
      <w:r w:rsidR="005922CE">
        <w:rPr>
          <w:rFonts w:ascii="Arial" w:hAnsi="Arial" w:cs="Arial"/>
          <w:b/>
        </w:rPr>
        <w:fldChar w:fldCharType="begin"/>
      </w:r>
      <w:r w:rsidR="005922CE">
        <w:rPr>
          <w:rFonts w:ascii="Arial" w:hAnsi="Arial" w:cs="Arial"/>
          <w:b/>
        </w:rPr>
        <w:instrText xml:space="preserve"> SEQ Wykres \* ARABIC </w:instrText>
      </w:r>
      <w:r w:rsidR="005922CE">
        <w:rPr>
          <w:rFonts w:ascii="Arial" w:hAnsi="Arial" w:cs="Arial"/>
          <w:b/>
        </w:rPr>
        <w:fldChar w:fldCharType="separate"/>
      </w:r>
      <w:r w:rsidR="00884DAD">
        <w:rPr>
          <w:rFonts w:ascii="Arial" w:hAnsi="Arial" w:cs="Arial"/>
          <w:b/>
          <w:noProof/>
        </w:rPr>
        <w:t>4</w:t>
      </w:r>
      <w:r w:rsidR="005922CE">
        <w:rPr>
          <w:rFonts w:ascii="Arial" w:hAnsi="Arial" w:cs="Arial"/>
          <w:b/>
        </w:rPr>
        <w:fldChar w:fldCharType="end"/>
      </w:r>
      <w:r w:rsidRPr="0064087E">
        <w:rPr>
          <w:rFonts w:ascii="Arial" w:hAnsi="Arial" w:cs="Arial"/>
          <w:b/>
        </w:rPr>
        <w:t>.</w:t>
      </w:r>
      <w:r w:rsidRPr="0064087E">
        <w:rPr>
          <w:rFonts w:ascii="Arial" w:hAnsi="Arial" w:cs="Arial"/>
        </w:rPr>
        <w:t xml:space="preserve"> Ochrona własności przemysłowej według województw w 2022 r.</w:t>
      </w:r>
      <w:bookmarkEnd w:id="6"/>
    </w:p>
    <w:p w:rsidR="00901829" w:rsidRPr="0064087E" w:rsidRDefault="00901829" w:rsidP="00901829">
      <w:pPr>
        <w:spacing w:after="120" w:line="276" w:lineRule="auto"/>
        <w:jc w:val="center"/>
        <w:rPr>
          <w:rFonts w:ascii="Arial" w:hAnsi="Arial" w:cs="Arial"/>
        </w:rPr>
      </w:pPr>
      <w:r w:rsidRPr="0064087E">
        <w:rPr>
          <w:noProof/>
          <w:lang w:eastAsia="pl-PL"/>
        </w:rPr>
        <w:drawing>
          <wp:inline distT="0" distB="0" distL="0" distR="0" wp14:anchorId="3F1AD509" wp14:editId="036B9A68">
            <wp:extent cx="4572000" cy="3286125"/>
            <wp:effectExtent l="0" t="0" r="0" b="0"/>
            <wp:docPr id="21" name="Wykres 21" descr="Wykres liniowy w tym dane zgłoszenia w UPRP, patenty udzielone przez UPRP. Zgłoszenia w UPRP: Mazowieckie 548, Śląskie 383, Małopolskie 345, Wielkopolskie 267, Lubelskie 328, Dolnośląskie 175, Łódzkie 231, Pomorskie 170, Podkarpackie 216, Kujawsko-pomorskie 104, Zachodniopomorskie 161, Podlaskie 71, Świętokrzyskie 66, Opolskie 87, Warmińsko-mazurskie 44, Lubuskie 44. Patenty udzielone przez UPRP: Mazowieckie 371, Śląskie 269, Małopolskie 213, Wielkopolskie 208, Lubelskie 179, Dolnośląskie 179, Łódzkie 156, Pomorskie 136, Podkarpackie 115, Kujawsko-pomorskie 92, Zachodniopomorskie 79, Podlaskie 60, Świętokrzyskie 56, Opolskie 39, Warmińsko-mazurskie 37, Lubuskie 35    ">
              <a:extLst xmlns:a="http://schemas.openxmlformats.org/drawingml/2006/main">
                <a:ext uri="{FF2B5EF4-FFF2-40B4-BE49-F238E27FC236}">
                  <a16:creationId xmlns:a16="http://schemas.microsoft.com/office/drawing/2014/main" id="{BE6E9DC5-182B-4B26-B1CC-468CE8E4CB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01829" w:rsidRPr="0064087E" w:rsidRDefault="00901829" w:rsidP="007A1D01">
      <w:pPr>
        <w:spacing w:after="120" w:line="276" w:lineRule="auto"/>
        <w:jc w:val="center"/>
        <w:rPr>
          <w:rFonts w:ascii="Arial" w:hAnsi="Arial" w:cs="Arial"/>
        </w:rPr>
      </w:pPr>
      <w:r w:rsidRPr="0064087E">
        <w:rPr>
          <w:rFonts w:ascii="Arial" w:hAnsi="Arial" w:cs="Arial"/>
        </w:rPr>
        <w:t>Źródło: Opracowanie własne na podstawie danych GUS.</w:t>
      </w:r>
    </w:p>
    <w:p w:rsidR="00901829" w:rsidRPr="0064087E" w:rsidRDefault="00901829" w:rsidP="00BB598D">
      <w:pPr>
        <w:spacing w:after="120" w:line="276" w:lineRule="auto"/>
        <w:rPr>
          <w:rFonts w:ascii="Arial" w:hAnsi="Arial" w:cs="Arial"/>
        </w:rPr>
      </w:pPr>
      <w:r w:rsidRPr="0064087E">
        <w:rPr>
          <w:rFonts w:ascii="Arial" w:hAnsi="Arial" w:cs="Arial"/>
        </w:rPr>
        <w:lastRenderedPageBreak/>
        <w:t>W 2022 r. w województwie podkarpackim zgłoszono 216 wynalazk</w:t>
      </w:r>
      <w:r w:rsidR="005434F4" w:rsidRPr="0064087E">
        <w:rPr>
          <w:rFonts w:ascii="Arial" w:hAnsi="Arial" w:cs="Arial"/>
        </w:rPr>
        <w:t>ów</w:t>
      </w:r>
      <w:r w:rsidRPr="0064087E">
        <w:rPr>
          <w:rFonts w:ascii="Arial" w:hAnsi="Arial" w:cs="Arial"/>
        </w:rPr>
        <w:t xml:space="preserve"> w Urzędzie Patentowym Rzeczypospolitej Polskiej natomiast udzielonych przez UPRP zostało 115 patentów. Pod względem liczby zgłoszonych wynalazków Podkarpackie zajmowało 7. lokatę wśród województw, z kolei pod względem liczby udzielonych patentów uplasowało się na </w:t>
      </w:r>
      <w:r w:rsidR="00BB598D">
        <w:rPr>
          <w:rFonts w:ascii="Arial" w:hAnsi="Arial" w:cs="Arial"/>
        </w:rPr>
        <w:br/>
      </w:r>
      <w:r w:rsidRPr="0064087E">
        <w:rPr>
          <w:rFonts w:ascii="Arial" w:hAnsi="Arial" w:cs="Arial"/>
        </w:rPr>
        <w:t>9. miejscu.</w:t>
      </w:r>
      <w:r w:rsidR="009B5FE0" w:rsidRPr="0064087E">
        <w:rPr>
          <w:rFonts w:ascii="Arial" w:hAnsi="Arial" w:cs="Arial"/>
        </w:rPr>
        <w:t xml:space="preserve"> W 2021 r. w województwie podkarpackim zgłoszono 187 wynalazk</w:t>
      </w:r>
      <w:r w:rsidR="005434F4" w:rsidRPr="0064087E">
        <w:rPr>
          <w:rFonts w:ascii="Arial" w:hAnsi="Arial" w:cs="Arial"/>
        </w:rPr>
        <w:t>ów</w:t>
      </w:r>
      <w:r w:rsidR="009B5FE0" w:rsidRPr="0064087E">
        <w:rPr>
          <w:rFonts w:ascii="Arial" w:hAnsi="Arial" w:cs="Arial"/>
        </w:rPr>
        <w:t xml:space="preserve"> w Urzędzie Patentowym Rzeczypospolitej Polskiej (8. lokata) natomiast udzielonych przez UPRP zostało 173 patentów (8. lokata).</w:t>
      </w:r>
    </w:p>
    <w:p w:rsidR="00901829" w:rsidRPr="0064087E" w:rsidRDefault="00901829" w:rsidP="00BB598D">
      <w:pPr>
        <w:spacing w:after="120" w:line="276" w:lineRule="auto"/>
        <w:rPr>
          <w:rFonts w:ascii="Arial" w:hAnsi="Arial" w:cs="Arial"/>
        </w:rPr>
      </w:pPr>
      <w:bookmarkStart w:id="7" w:name="_Toc160793511"/>
      <w:r w:rsidRPr="0064087E">
        <w:rPr>
          <w:rFonts w:ascii="Arial" w:hAnsi="Arial" w:cs="Arial"/>
          <w:b/>
        </w:rPr>
        <w:t xml:space="preserve">Wykres </w:t>
      </w:r>
      <w:r w:rsidR="005922CE">
        <w:rPr>
          <w:rFonts w:ascii="Arial" w:hAnsi="Arial" w:cs="Arial"/>
          <w:b/>
        </w:rPr>
        <w:fldChar w:fldCharType="begin"/>
      </w:r>
      <w:r w:rsidR="005922CE">
        <w:rPr>
          <w:rFonts w:ascii="Arial" w:hAnsi="Arial" w:cs="Arial"/>
          <w:b/>
        </w:rPr>
        <w:instrText xml:space="preserve"> SEQ Wykres \* ARABIC </w:instrText>
      </w:r>
      <w:r w:rsidR="005922CE">
        <w:rPr>
          <w:rFonts w:ascii="Arial" w:hAnsi="Arial" w:cs="Arial"/>
          <w:b/>
        </w:rPr>
        <w:fldChar w:fldCharType="separate"/>
      </w:r>
      <w:r w:rsidR="00884DAD">
        <w:rPr>
          <w:rFonts w:ascii="Arial" w:hAnsi="Arial" w:cs="Arial"/>
          <w:b/>
          <w:noProof/>
        </w:rPr>
        <w:t>5</w:t>
      </w:r>
      <w:r w:rsidR="005922CE">
        <w:rPr>
          <w:rFonts w:ascii="Arial" w:hAnsi="Arial" w:cs="Arial"/>
          <w:b/>
        </w:rPr>
        <w:fldChar w:fldCharType="end"/>
      </w:r>
      <w:r w:rsidRPr="0064087E">
        <w:rPr>
          <w:rFonts w:ascii="Arial" w:hAnsi="Arial" w:cs="Arial"/>
          <w:b/>
        </w:rPr>
        <w:t>.</w:t>
      </w:r>
      <w:r w:rsidRPr="0064087E">
        <w:rPr>
          <w:rFonts w:ascii="Arial" w:hAnsi="Arial" w:cs="Arial"/>
        </w:rPr>
        <w:t xml:space="preserve"> Patenty udzielone przez UPRP na 1 milion mieszkańców według województw </w:t>
      </w:r>
      <w:r w:rsidRPr="0064087E">
        <w:rPr>
          <w:rFonts w:ascii="Arial" w:hAnsi="Arial" w:cs="Arial"/>
        </w:rPr>
        <w:br/>
        <w:t>w 2017</w:t>
      </w:r>
      <w:r w:rsidR="00D2434A" w:rsidRPr="0064087E">
        <w:rPr>
          <w:rFonts w:ascii="Arial" w:hAnsi="Arial" w:cs="Arial"/>
        </w:rPr>
        <w:t>, 2021</w:t>
      </w:r>
      <w:r w:rsidRPr="0064087E">
        <w:rPr>
          <w:rFonts w:ascii="Arial" w:hAnsi="Arial" w:cs="Arial"/>
        </w:rPr>
        <w:t xml:space="preserve"> i 2022 r.</w:t>
      </w:r>
      <w:bookmarkEnd w:id="7"/>
    </w:p>
    <w:p w:rsidR="00901829" w:rsidRPr="0064087E" w:rsidRDefault="00D2434A">
      <w:pPr>
        <w:spacing w:after="120" w:line="276" w:lineRule="auto"/>
        <w:jc w:val="center"/>
        <w:rPr>
          <w:rFonts w:ascii="Arial" w:hAnsi="Arial" w:cs="Arial"/>
        </w:rPr>
      </w:pPr>
      <w:r w:rsidRPr="0064087E">
        <w:rPr>
          <w:noProof/>
          <w:lang w:eastAsia="pl-PL"/>
        </w:rPr>
        <w:drawing>
          <wp:inline distT="0" distB="0" distL="0" distR="0" wp14:anchorId="520F3CFB" wp14:editId="2DA341AD">
            <wp:extent cx="4572000" cy="3009900"/>
            <wp:effectExtent l="0" t="0" r="0" b="0"/>
            <wp:docPr id="17" name="Wykres 17" descr="Patenty udzielone przez UPRP na 1 milion mieszkańców według województw &#10;w 2017, 2021 i 2022 r.&#10;">
              <a:extLst xmlns:a="http://schemas.openxmlformats.org/drawingml/2006/main">
                <a:ext uri="{FF2B5EF4-FFF2-40B4-BE49-F238E27FC236}">
                  <a16:creationId xmlns:a16="http://schemas.microsoft.com/office/drawing/2014/main" id="{83253B4F-60DA-410A-990D-8792C220A0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01829" w:rsidRPr="0064087E" w:rsidRDefault="00901829" w:rsidP="00901829">
      <w:pPr>
        <w:spacing w:after="120" w:line="276" w:lineRule="auto"/>
        <w:jc w:val="center"/>
        <w:rPr>
          <w:rFonts w:ascii="Arial" w:hAnsi="Arial" w:cs="Arial"/>
        </w:rPr>
      </w:pPr>
      <w:r w:rsidRPr="0064087E">
        <w:rPr>
          <w:rFonts w:ascii="Arial" w:hAnsi="Arial" w:cs="Arial"/>
        </w:rPr>
        <w:t>Źródło: Opracowanie własne na podstawie danych GUS.</w:t>
      </w:r>
    </w:p>
    <w:p w:rsidR="00901829" w:rsidRPr="0064087E" w:rsidRDefault="00901829" w:rsidP="00BB598D">
      <w:pPr>
        <w:spacing w:after="120" w:line="276" w:lineRule="auto"/>
        <w:rPr>
          <w:rFonts w:ascii="Arial" w:hAnsi="Arial" w:cs="Arial"/>
        </w:rPr>
      </w:pPr>
      <w:r w:rsidRPr="0064087E">
        <w:rPr>
          <w:rFonts w:ascii="Arial" w:hAnsi="Arial" w:cs="Arial"/>
        </w:rPr>
        <w:t xml:space="preserve">Pod względem liczby udzielonych przez UPRP patentów w przeliczeniu na milion mieszkańców, województwo podkarpackie z wartością 55,2 plasuje się poniżej średniej krajowej (9. miejsce w rankingu województw w 2022 r.). </w:t>
      </w:r>
      <w:r w:rsidR="00D065E8" w:rsidRPr="0064087E">
        <w:rPr>
          <w:rFonts w:ascii="Arial" w:hAnsi="Arial" w:cs="Arial"/>
        </w:rPr>
        <w:t xml:space="preserve">W 2021 r. </w:t>
      </w:r>
      <w:r w:rsidR="00FD1DC4" w:rsidRPr="0064087E">
        <w:rPr>
          <w:rFonts w:ascii="Arial" w:hAnsi="Arial" w:cs="Arial"/>
        </w:rPr>
        <w:t xml:space="preserve">była to wartość 82,7 </w:t>
      </w:r>
      <w:r w:rsidR="000B2087" w:rsidRPr="0064087E">
        <w:rPr>
          <w:rFonts w:ascii="Arial" w:hAnsi="Arial" w:cs="Arial"/>
        </w:rPr>
        <w:br/>
      </w:r>
      <w:r w:rsidR="00FD1DC4" w:rsidRPr="0064087E">
        <w:rPr>
          <w:rFonts w:ascii="Arial" w:hAnsi="Arial" w:cs="Arial"/>
        </w:rPr>
        <w:t xml:space="preserve">(8. miejsce). </w:t>
      </w:r>
      <w:r w:rsidRPr="0064087E">
        <w:rPr>
          <w:rFonts w:ascii="Arial" w:hAnsi="Arial" w:cs="Arial"/>
        </w:rPr>
        <w:t>W porównaniu z rokiem 2017 w regionie nastąpił wzrost tego wskaźnika</w:t>
      </w:r>
      <w:r w:rsidR="004C7ABB" w:rsidRPr="0064087E">
        <w:rPr>
          <w:rFonts w:ascii="Arial" w:hAnsi="Arial" w:cs="Arial"/>
        </w:rPr>
        <w:t xml:space="preserve"> natomiast w porównaniu z 2021 r. spadek</w:t>
      </w:r>
      <w:r w:rsidRPr="0064087E">
        <w:rPr>
          <w:rFonts w:ascii="Arial" w:hAnsi="Arial" w:cs="Arial"/>
        </w:rPr>
        <w:t>. W kraju wskaźnik ten w 2022 r. wyniósł 58,8</w:t>
      </w:r>
      <w:r w:rsidR="004C7ABB" w:rsidRPr="0064087E">
        <w:rPr>
          <w:rFonts w:ascii="Arial" w:hAnsi="Arial" w:cs="Arial"/>
        </w:rPr>
        <w:t xml:space="preserve">, </w:t>
      </w:r>
      <w:r w:rsidR="00BB598D">
        <w:rPr>
          <w:rFonts w:ascii="Arial" w:hAnsi="Arial" w:cs="Arial"/>
        </w:rPr>
        <w:br/>
      </w:r>
      <w:r w:rsidR="004C7ABB" w:rsidRPr="0064087E">
        <w:rPr>
          <w:rFonts w:ascii="Arial" w:hAnsi="Arial" w:cs="Arial"/>
        </w:rPr>
        <w:t>w 2021 r. 85,4</w:t>
      </w:r>
      <w:r w:rsidR="00FD1DC4" w:rsidRPr="0064087E">
        <w:rPr>
          <w:rFonts w:ascii="Arial" w:hAnsi="Arial" w:cs="Arial"/>
        </w:rPr>
        <w:t xml:space="preserve"> natomiast w 2017 r. 72,7</w:t>
      </w:r>
      <w:r w:rsidRPr="0064087E">
        <w:rPr>
          <w:rFonts w:ascii="Arial" w:hAnsi="Arial" w:cs="Arial"/>
        </w:rPr>
        <w:t>.</w:t>
      </w:r>
    </w:p>
    <w:p w:rsidR="00901829" w:rsidRPr="0064087E" w:rsidRDefault="00901829" w:rsidP="00BB598D">
      <w:pPr>
        <w:spacing w:after="120" w:line="276" w:lineRule="auto"/>
        <w:rPr>
          <w:rFonts w:ascii="Arial" w:hAnsi="Arial" w:cs="Arial"/>
        </w:rPr>
      </w:pPr>
      <w:r w:rsidRPr="0064087E">
        <w:rPr>
          <w:rFonts w:ascii="Arial" w:hAnsi="Arial" w:cs="Arial"/>
        </w:rPr>
        <w:t xml:space="preserve">W 2022 r. w województwie podkarpackim zgłoszonych zostało 103,8 wynalazków </w:t>
      </w:r>
      <w:r w:rsidRPr="0064087E">
        <w:rPr>
          <w:rFonts w:ascii="Arial" w:hAnsi="Arial" w:cs="Arial"/>
        </w:rPr>
        <w:br/>
        <w:t>w przeliczeniu na 1 milion mieszkańców</w:t>
      </w:r>
      <w:r w:rsidR="00372D59" w:rsidRPr="0064087E">
        <w:rPr>
          <w:rFonts w:ascii="Arial" w:hAnsi="Arial" w:cs="Arial"/>
        </w:rPr>
        <w:t xml:space="preserve"> (w 2021 r. 89,4 wynalazków)</w:t>
      </w:r>
      <w:r w:rsidRPr="0064087E">
        <w:rPr>
          <w:rFonts w:ascii="Arial" w:hAnsi="Arial" w:cs="Arial"/>
        </w:rPr>
        <w:t>. Pod względem wielkości tego wskaźnika Podkarpackie w 2022 r. zajmowało 2. lokatę wśród województw</w:t>
      </w:r>
      <w:r w:rsidR="00372D59" w:rsidRPr="0064087E">
        <w:rPr>
          <w:rFonts w:ascii="Arial" w:hAnsi="Arial" w:cs="Arial"/>
        </w:rPr>
        <w:t xml:space="preserve"> </w:t>
      </w:r>
      <w:r w:rsidR="00BB598D">
        <w:rPr>
          <w:rFonts w:ascii="Arial" w:hAnsi="Arial" w:cs="Arial"/>
        </w:rPr>
        <w:br/>
      </w:r>
      <w:r w:rsidR="00372D59" w:rsidRPr="0064087E">
        <w:rPr>
          <w:rFonts w:ascii="Arial" w:hAnsi="Arial" w:cs="Arial"/>
        </w:rPr>
        <w:t xml:space="preserve">(w 2021 r. była to </w:t>
      </w:r>
      <w:r w:rsidR="007F26C4" w:rsidRPr="0064087E">
        <w:rPr>
          <w:rFonts w:ascii="Arial" w:hAnsi="Arial" w:cs="Arial"/>
        </w:rPr>
        <w:t>5. lokata)</w:t>
      </w:r>
      <w:r w:rsidRPr="0064087E">
        <w:rPr>
          <w:rFonts w:ascii="Arial" w:hAnsi="Arial" w:cs="Arial"/>
        </w:rPr>
        <w:t xml:space="preserve">. </w:t>
      </w:r>
      <w:r w:rsidR="007F26C4" w:rsidRPr="0064087E">
        <w:rPr>
          <w:rFonts w:ascii="Arial" w:hAnsi="Arial" w:cs="Arial"/>
        </w:rPr>
        <w:t>Zarówno w</w:t>
      </w:r>
      <w:r w:rsidRPr="0064087E">
        <w:rPr>
          <w:rFonts w:ascii="Arial" w:hAnsi="Arial" w:cs="Arial"/>
        </w:rPr>
        <w:t xml:space="preserve"> porównaniu z 2017 r.</w:t>
      </w:r>
      <w:r w:rsidR="00E31ADD" w:rsidRPr="0064087E">
        <w:rPr>
          <w:rFonts w:ascii="Arial" w:hAnsi="Arial" w:cs="Arial"/>
        </w:rPr>
        <w:t>,</w:t>
      </w:r>
      <w:r w:rsidR="007F26C4" w:rsidRPr="0064087E">
        <w:rPr>
          <w:rFonts w:ascii="Arial" w:hAnsi="Arial" w:cs="Arial"/>
        </w:rPr>
        <w:t xml:space="preserve"> jak i z rokiem 2021</w:t>
      </w:r>
      <w:r w:rsidRPr="0064087E">
        <w:rPr>
          <w:rFonts w:ascii="Arial" w:hAnsi="Arial" w:cs="Arial"/>
        </w:rPr>
        <w:t xml:space="preserve"> liczba zgłoszonych wynalazków w przeliczeniu na 1 milion ludności zwiększyła się. W kraju wskaźnik ten w 2022</w:t>
      </w:r>
      <w:r w:rsidR="007F26C4" w:rsidRPr="0064087E">
        <w:rPr>
          <w:rFonts w:ascii="Arial" w:hAnsi="Arial" w:cs="Arial"/>
        </w:rPr>
        <w:t> </w:t>
      </w:r>
      <w:r w:rsidRPr="0064087E">
        <w:rPr>
          <w:rFonts w:ascii="Arial" w:hAnsi="Arial" w:cs="Arial"/>
        </w:rPr>
        <w:t>r. wyniósł 85,7</w:t>
      </w:r>
      <w:r w:rsidR="007F26C4" w:rsidRPr="0064087E">
        <w:rPr>
          <w:rFonts w:ascii="Arial" w:hAnsi="Arial" w:cs="Arial"/>
        </w:rPr>
        <w:t>, w 2021 r. 88,9 natomiast w 2017 r. 102,1.</w:t>
      </w:r>
    </w:p>
    <w:p w:rsidR="00901829" w:rsidRPr="0064087E" w:rsidRDefault="00901829" w:rsidP="00901829">
      <w:pPr>
        <w:widowControl/>
        <w:autoSpaceDE/>
        <w:autoSpaceDN/>
        <w:spacing w:after="120" w:line="259" w:lineRule="auto"/>
        <w:rPr>
          <w:rFonts w:ascii="Arial" w:hAnsi="Arial" w:cs="Arial"/>
        </w:rPr>
      </w:pPr>
      <w:r w:rsidRPr="0064087E">
        <w:rPr>
          <w:rFonts w:ascii="Arial" w:hAnsi="Arial" w:cs="Arial"/>
        </w:rPr>
        <w:br w:type="page"/>
      </w:r>
    </w:p>
    <w:p w:rsidR="00901829" w:rsidRPr="0064087E" w:rsidRDefault="00901829" w:rsidP="00BB598D">
      <w:pPr>
        <w:spacing w:after="120" w:line="276" w:lineRule="auto"/>
        <w:rPr>
          <w:rFonts w:ascii="Arial" w:hAnsi="Arial" w:cs="Arial"/>
        </w:rPr>
      </w:pPr>
      <w:bookmarkStart w:id="8" w:name="_Toc160793512"/>
      <w:r w:rsidRPr="0064087E">
        <w:rPr>
          <w:rFonts w:ascii="Arial" w:hAnsi="Arial" w:cs="Arial"/>
          <w:b/>
        </w:rPr>
        <w:lastRenderedPageBreak/>
        <w:t xml:space="preserve">Wykres </w:t>
      </w:r>
      <w:r w:rsidR="005922CE">
        <w:rPr>
          <w:rFonts w:ascii="Arial" w:hAnsi="Arial" w:cs="Arial"/>
          <w:b/>
        </w:rPr>
        <w:fldChar w:fldCharType="begin"/>
      </w:r>
      <w:r w:rsidR="005922CE">
        <w:rPr>
          <w:rFonts w:ascii="Arial" w:hAnsi="Arial" w:cs="Arial"/>
          <w:b/>
        </w:rPr>
        <w:instrText xml:space="preserve"> SEQ Wykres \* ARABIC </w:instrText>
      </w:r>
      <w:r w:rsidR="005922CE">
        <w:rPr>
          <w:rFonts w:ascii="Arial" w:hAnsi="Arial" w:cs="Arial"/>
          <w:b/>
        </w:rPr>
        <w:fldChar w:fldCharType="separate"/>
      </w:r>
      <w:r w:rsidR="00884DAD">
        <w:rPr>
          <w:rFonts w:ascii="Arial" w:hAnsi="Arial" w:cs="Arial"/>
          <w:b/>
          <w:noProof/>
        </w:rPr>
        <w:t>6</w:t>
      </w:r>
      <w:r w:rsidR="005922CE">
        <w:rPr>
          <w:rFonts w:ascii="Arial" w:hAnsi="Arial" w:cs="Arial"/>
          <w:b/>
        </w:rPr>
        <w:fldChar w:fldCharType="end"/>
      </w:r>
      <w:r w:rsidRPr="0064087E">
        <w:rPr>
          <w:rFonts w:ascii="Arial" w:hAnsi="Arial" w:cs="Arial"/>
          <w:b/>
        </w:rPr>
        <w:t>.</w:t>
      </w:r>
      <w:r w:rsidRPr="0064087E">
        <w:rPr>
          <w:rFonts w:ascii="Arial" w:hAnsi="Arial" w:cs="Arial"/>
        </w:rPr>
        <w:t xml:space="preserve"> Wynalazki zgłoszone na 1 milion mieszkańców według województw w 2017 r.</w:t>
      </w:r>
      <w:r w:rsidR="00E31ADD" w:rsidRPr="0064087E">
        <w:rPr>
          <w:rFonts w:ascii="Arial" w:hAnsi="Arial" w:cs="Arial"/>
        </w:rPr>
        <w:t xml:space="preserve">, 2021 r. </w:t>
      </w:r>
      <w:r w:rsidRPr="0064087E">
        <w:rPr>
          <w:rFonts w:ascii="Arial" w:hAnsi="Arial" w:cs="Arial"/>
        </w:rPr>
        <w:t>i 2022 r.</w:t>
      </w:r>
      <w:bookmarkEnd w:id="8"/>
    </w:p>
    <w:p w:rsidR="00901829" w:rsidRPr="0064087E" w:rsidRDefault="00E31ADD" w:rsidP="007A1D01">
      <w:pPr>
        <w:spacing w:after="120" w:line="276" w:lineRule="auto"/>
        <w:jc w:val="both"/>
        <w:rPr>
          <w:rFonts w:ascii="Arial" w:hAnsi="Arial" w:cs="Arial"/>
        </w:rPr>
      </w:pPr>
      <w:r w:rsidRPr="0064087E">
        <w:rPr>
          <w:noProof/>
          <w:lang w:eastAsia="pl-PL"/>
        </w:rPr>
        <w:drawing>
          <wp:inline distT="0" distB="0" distL="0" distR="0" wp14:anchorId="6B1B512D" wp14:editId="1206288E">
            <wp:extent cx="5753100" cy="3114675"/>
            <wp:effectExtent l="0" t="0" r="0" b="0"/>
            <wp:docPr id="2272" name="Wykres 2272" descr="Wynalazki zgłoszone na 1 milion mieszkańców według województw w 2017 r., 2021 r. i 2022 r.">
              <a:extLst xmlns:a="http://schemas.openxmlformats.org/drawingml/2006/main">
                <a:ext uri="{FF2B5EF4-FFF2-40B4-BE49-F238E27FC236}">
                  <a16:creationId xmlns:a16="http://schemas.microsoft.com/office/drawing/2014/main" id="{7324C829-58D9-47B3-BFA8-C532F2B8B5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01829" w:rsidRPr="0064087E" w:rsidRDefault="00901829" w:rsidP="00901829">
      <w:pPr>
        <w:spacing w:after="120" w:line="276" w:lineRule="auto"/>
        <w:jc w:val="center"/>
        <w:rPr>
          <w:rFonts w:ascii="Arial" w:hAnsi="Arial" w:cs="Arial"/>
        </w:rPr>
      </w:pPr>
      <w:r w:rsidRPr="0064087E">
        <w:rPr>
          <w:rFonts w:ascii="Arial" w:hAnsi="Arial" w:cs="Arial"/>
        </w:rPr>
        <w:t>Źródło: Opracowanie własne na podstawie danych GUS.</w:t>
      </w:r>
    </w:p>
    <w:p w:rsidR="00901829" w:rsidRPr="0064087E" w:rsidRDefault="00901829" w:rsidP="00BB598D">
      <w:pPr>
        <w:spacing w:after="120" w:line="276" w:lineRule="auto"/>
        <w:rPr>
          <w:rFonts w:ascii="Arial" w:hAnsi="Arial" w:cs="Arial"/>
        </w:rPr>
      </w:pPr>
      <w:bookmarkStart w:id="9" w:name="_Toc160793513"/>
      <w:r w:rsidRPr="0064087E">
        <w:rPr>
          <w:rFonts w:ascii="Arial" w:hAnsi="Arial" w:cs="Arial"/>
          <w:b/>
        </w:rPr>
        <w:t xml:space="preserve">Wykres </w:t>
      </w:r>
      <w:r w:rsidR="005922CE">
        <w:rPr>
          <w:rFonts w:ascii="Arial" w:hAnsi="Arial" w:cs="Arial"/>
          <w:b/>
        </w:rPr>
        <w:fldChar w:fldCharType="begin"/>
      </w:r>
      <w:r w:rsidR="005922CE">
        <w:rPr>
          <w:rFonts w:ascii="Arial" w:hAnsi="Arial" w:cs="Arial"/>
          <w:b/>
        </w:rPr>
        <w:instrText xml:space="preserve"> SEQ Wykres \* ARABIC </w:instrText>
      </w:r>
      <w:r w:rsidR="005922CE">
        <w:rPr>
          <w:rFonts w:ascii="Arial" w:hAnsi="Arial" w:cs="Arial"/>
          <w:b/>
        </w:rPr>
        <w:fldChar w:fldCharType="separate"/>
      </w:r>
      <w:r w:rsidR="00884DAD">
        <w:rPr>
          <w:rFonts w:ascii="Arial" w:hAnsi="Arial" w:cs="Arial"/>
          <w:b/>
          <w:noProof/>
        </w:rPr>
        <w:t>7</w:t>
      </w:r>
      <w:r w:rsidR="005922CE">
        <w:rPr>
          <w:rFonts w:ascii="Arial" w:hAnsi="Arial" w:cs="Arial"/>
          <w:b/>
        </w:rPr>
        <w:fldChar w:fldCharType="end"/>
      </w:r>
      <w:r w:rsidRPr="0064087E">
        <w:rPr>
          <w:rFonts w:ascii="Arial" w:hAnsi="Arial" w:cs="Arial"/>
          <w:b/>
        </w:rPr>
        <w:t>.</w:t>
      </w:r>
      <w:r w:rsidRPr="0064087E">
        <w:rPr>
          <w:rFonts w:ascii="Arial" w:hAnsi="Arial" w:cs="Arial"/>
        </w:rPr>
        <w:t xml:space="preserve"> Udział personelu wewnętrznego w działalności B+R pracujących ogółem w latach 2017-2022</w:t>
      </w:r>
      <w:bookmarkEnd w:id="9"/>
    </w:p>
    <w:p w:rsidR="00901829" w:rsidRPr="0064087E" w:rsidRDefault="00901829" w:rsidP="00901829">
      <w:pPr>
        <w:spacing w:after="120" w:line="276" w:lineRule="auto"/>
        <w:jc w:val="center"/>
        <w:rPr>
          <w:rFonts w:ascii="Arial" w:hAnsi="Arial" w:cs="Arial"/>
        </w:rPr>
      </w:pPr>
      <w:r w:rsidRPr="0064087E">
        <w:rPr>
          <w:noProof/>
          <w:lang w:eastAsia="pl-PL"/>
        </w:rPr>
        <w:drawing>
          <wp:inline distT="0" distB="0" distL="0" distR="0" wp14:anchorId="114E9725" wp14:editId="0F092BD4">
            <wp:extent cx="5067300" cy="2743200"/>
            <wp:effectExtent l="0" t="0" r="0" b="0"/>
            <wp:docPr id="29" name="Wykres 29" descr="Wykres linowy w tym dane dla Polski w województwa podkarpackiego. Polska: 1,16 w 2017, 1,25 w 2018, 1,32 w 2019, 1,39 w 2020, 1,50 w 2021, 1,57 w 2022. Podkarpackie: 0,97 w 2017, 1,01 w 2018, 1,32 w 2019, 1,39 w 2020, 1,50 w 2021, 1,57 w 2022">
              <a:extLst xmlns:a="http://schemas.openxmlformats.org/drawingml/2006/main">
                <a:ext uri="{FF2B5EF4-FFF2-40B4-BE49-F238E27FC236}">
                  <a16:creationId xmlns:a16="http://schemas.microsoft.com/office/drawing/2014/main" id="{5C800597-76B1-486B-8299-9394CD3DE7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01829" w:rsidRPr="0064087E" w:rsidRDefault="00901829" w:rsidP="00901829">
      <w:pPr>
        <w:spacing w:after="120" w:line="276" w:lineRule="auto"/>
        <w:jc w:val="center"/>
        <w:rPr>
          <w:rFonts w:ascii="Arial" w:hAnsi="Arial" w:cs="Arial"/>
        </w:rPr>
      </w:pPr>
      <w:r w:rsidRPr="0064087E">
        <w:rPr>
          <w:rFonts w:ascii="Arial" w:hAnsi="Arial" w:cs="Arial"/>
        </w:rPr>
        <w:t>Źródło: Opracowanie własne na podstawie danych GUS.</w:t>
      </w:r>
    </w:p>
    <w:p w:rsidR="00901829" w:rsidRPr="0064087E" w:rsidRDefault="00901829" w:rsidP="00BB598D">
      <w:pPr>
        <w:spacing w:after="120" w:line="276" w:lineRule="auto"/>
        <w:rPr>
          <w:rFonts w:ascii="Arial" w:hAnsi="Arial" w:cs="Arial"/>
        </w:rPr>
      </w:pPr>
      <w:r w:rsidRPr="0064087E">
        <w:rPr>
          <w:rFonts w:ascii="Arial" w:hAnsi="Arial" w:cs="Arial"/>
        </w:rPr>
        <w:t xml:space="preserve">Udział osób pracujących w działalności B+R ogółem w województwie podkarpackim w 2022 r. wynosił 1,09% i był on niższy od wskaźnika dla kraju (1,57%). Wartość tego wskaźnika zwiększyła się </w:t>
      </w:r>
      <w:r w:rsidR="00FD1DC4" w:rsidRPr="0064087E">
        <w:rPr>
          <w:rFonts w:ascii="Arial" w:hAnsi="Arial" w:cs="Arial"/>
        </w:rPr>
        <w:t xml:space="preserve">o 0,12 </w:t>
      </w:r>
      <w:proofErr w:type="spellStart"/>
      <w:r w:rsidR="00FD1DC4" w:rsidRPr="0064087E">
        <w:rPr>
          <w:rFonts w:ascii="Arial" w:hAnsi="Arial" w:cs="Arial"/>
        </w:rPr>
        <w:t>p.proc</w:t>
      </w:r>
      <w:proofErr w:type="spellEnd"/>
      <w:r w:rsidR="00FD1DC4" w:rsidRPr="0064087E">
        <w:rPr>
          <w:rFonts w:ascii="Arial" w:hAnsi="Arial" w:cs="Arial"/>
        </w:rPr>
        <w:t xml:space="preserve">. </w:t>
      </w:r>
      <w:r w:rsidRPr="0064087E">
        <w:rPr>
          <w:rFonts w:ascii="Arial" w:hAnsi="Arial" w:cs="Arial"/>
        </w:rPr>
        <w:t xml:space="preserve">w porównaniu z 2017 r. a zmniejszyła </w:t>
      </w:r>
      <w:r w:rsidR="00FD1DC4" w:rsidRPr="0064087E">
        <w:rPr>
          <w:rFonts w:ascii="Arial" w:hAnsi="Arial" w:cs="Arial"/>
        </w:rPr>
        <w:t xml:space="preserve">o 0,04 </w:t>
      </w:r>
      <w:proofErr w:type="spellStart"/>
      <w:r w:rsidR="00FD1DC4" w:rsidRPr="0064087E">
        <w:rPr>
          <w:rFonts w:ascii="Arial" w:hAnsi="Arial" w:cs="Arial"/>
        </w:rPr>
        <w:t>p.proc</w:t>
      </w:r>
      <w:proofErr w:type="spellEnd"/>
      <w:r w:rsidR="00FD1DC4" w:rsidRPr="0064087E">
        <w:rPr>
          <w:rFonts w:ascii="Arial" w:hAnsi="Arial" w:cs="Arial"/>
        </w:rPr>
        <w:t xml:space="preserve">. </w:t>
      </w:r>
      <w:r w:rsidR="00BB598D">
        <w:rPr>
          <w:rFonts w:ascii="Arial" w:hAnsi="Arial" w:cs="Arial"/>
        </w:rPr>
        <w:br/>
      </w:r>
      <w:r w:rsidRPr="0064087E">
        <w:rPr>
          <w:rFonts w:ascii="Arial" w:hAnsi="Arial" w:cs="Arial"/>
        </w:rPr>
        <w:t>w porównaniu z 2021 r.</w:t>
      </w:r>
    </w:p>
    <w:p w:rsidR="00901829" w:rsidRPr="0064087E" w:rsidRDefault="00901829" w:rsidP="00901829">
      <w:pPr>
        <w:widowControl/>
        <w:autoSpaceDE/>
        <w:autoSpaceDN/>
        <w:spacing w:after="160" w:line="259" w:lineRule="auto"/>
        <w:rPr>
          <w:rFonts w:ascii="Arial" w:hAnsi="Arial" w:cs="Arial"/>
        </w:rPr>
      </w:pPr>
      <w:r w:rsidRPr="0064087E">
        <w:rPr>
          <w:rFonts w:ascii="Arial" w:hAnsi="Arial" w:cs="Arial"/>
        </w:rPr>
        <w:br w:type="page"/>
      </w:r>
    </w:p>
    <w:p w:rsidR="00901829" w:rsidRPr="0064087E" w:rsidRDefault="00901829" w:rsidP="00BB598D">
      <w:pPr>
        <w:spacing w:after="120" w:line="276" w:lineRule="auto"/>
        <w:rPr>
          <w:rFonts w:ascii="Arial" w:hAnsi="Arial" w:cs="Arial"/>
        </w:rPr>
      </w:pPr>
      <w:bookmarkStart w:id="10" w:name="_Toc160793514"/>
      <w:r w:rsidRPr="0064087E">
        <w:rPr>
          <w:rFonts w:ascii="Arial" w:hAnsi="Arial" w:cs="Arial"/>
          <w:b/>
        </w:rPr>
        <w:lastRenderedPageBreak/>
        <w:t xml:space="preserve">Wykres </w:t>
      </w:r>
      <w:r w:rsidR="005922CE">
        <w:rPr>
          <w:rFonts w:ascii="Arial" w:hAnsi="Arial" w:cs="Arial"/>
          <w:b/>
        </w:rPr>
        <w:fldChar w:fldCharType="begin"/>
      </w:r>
      <w:r w:rsidR="005922CE">
        <w:rPr>
          <w:rFonts w:ascii="Arial" w:hAnsi="Arial" w:cs="Arial"/>
          <w:b/>
        </w:rPr>
        <w:instrText xml:space="preserve"> SEQ Wykres \* ARABIC </w:instrText>
      </w:r>
      <w:r w:rsidR="005922CE">
        <w:rPr>
          <w:rFonts w:ascii="Arial" w:hAnsi="Arial" w:cs="Arial"/>
          <w:b/>
        </w:rPr>
        <w:fldChar w:fldCharType="separate"/>
      </w:r>
      <w:r w:rsidR="00884DAD">
        <w:rPr>
          <w:rFonts w:ascii="Arial" w:hAnsi="Arial" w:cs="Arial"/>
          <w:b/>
          <w:noProof/>
        </w:rPr>
        <w:t>8</w:t>
      </w:r>
      <w:r w:rsidR="005922CE">
        <w:rPr>
          <w:rFonts w:ascii="Arial" w:hAnsi="Arial" w:cs="Arial"/>
          <w:b/>
        </w:rPr>
        <w:fldChar w:fldCharType="end"/>
      </w:r>
      <w:r w:rsidRPr="0064087E">
        <w:rPr>
          <w:rFonts w:ascii="Arial" w:hAnsi="Arial" w:cs="Arial"/>
          <w:b/>
        </w:rPr>
        <w:t>.</w:t>
      </w:r>
      <w:r w:rsidRPr="0064087E">
        <w:rPr>
          <w:rFonts w:ascii="Arial" w:hAnsi="Arial" w:cs="Arial"/>
        </w:rPr>
        <w:t xml:space="preserve"> Udział osób pracujących w działalności B+R w</w:t>
      </w:r>
      <w:r w:rsidR="00764E6E" w:rsidRPr="0064087E">
        <w:rPr>
          <w:rFonts w:ascii="Arial" w:hAnsi="Arial" w:cs="Arial"/>
        </w:rPr>
        <w:t>śród</w:t>
      </w:r>
      <w:r w:rsidRPr="0064087E">
        <w:rPr>
          <w:rFonts w:ascii="Arial" w:hAnsi="Arial" w:cs="Arial"/>
        </w:rPr>
        <w:t xml:space="preserve"> ludności aktywnej zawodowo </w:t>
      </w:r>
      <w:r w:rsidRPr="0064087E">
        <w:rPr>
          <w:rFonts w:ascii="Arial" w:hAnsi="Arial" w:cs="Arial"/>
        </w:rPr>
        <w:br/>
        <w:t>w latach 2017-2022</w:t>
      </w:r>
      <w:bookmarkEnd w:id="10"/>
    </w:p>
    <w:p w:rsidR="00901829" w:rsidRPr="0064087E" w:rsidRDefault="00901829" w:rsidP="00901829">
      <w:pPr>
        <w:spacing w:after="120" w:line="276" w:lineRule="auto"/>
        <w:jc w:val="center"/>
        <w:rPr>
          <w:rFonts w:ascii="Arial" w:hAnsi="Arial" w:cs="Arial"/>
        </w:rPr>
      </w:pPr>
      <w:r w:rsidRPr="0064087E">
        <w:rPr>
          <w:noProof/>
          <w:lang w:eastAsia="pl-PL"/>
        </w:rPr>
        <w:drawing>
          <wp:inline distT="0" distB="0" distL="0" distR="0" wp14:anchorId="6DE31F22" wp14:editId="3D2E4141">
            <wp:extent cx="4886325" cy="2743200"/>
            <wp:effectExtent l="0" t="0" r="0" b="0"/>
            <wp:docPr id="30" name="Wykres 30" descr="Wykres linowy w tym dane dla Polski w województwa podkarpackiego. Polska: 1,10 w 2017, 1,20 w 2018, 1,28 w 2019, 1,35 w 2020, 1,44 w 2021, 1,53 w 2022. Podkarpackie: 0,88 w 2017, 0,94 w 2018, 0,97 w 2019, 1,04 w 2020, 1,08 w 2021, 1,04 w 2022">
              <a:extLst xmlns:a="http://schemas.openxmlformats.org/drawingml/2006/main">
                <a:ext uri="{FF2B5EF4-FFF2-40B4-BE49-F238E27FC236}">
                  <a16:creationId xmlns:a16="http://schemas.microsoft.com/office/drawing/2014/main" id="{C529C619-6D6F-4358-B9DF-3AC198E4D9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01829" w:rsidRPr="0064087E" w:rsidRDefault="00901829" w:rsidP="00901829">
      <w:pPr>
        <w:spacing w:after="120" w:line="276" w:lineRule="auto"/>
        <w:jc w:val="center"/>
        <w:rPr>
          <w:rFonts w:ascii="Arial" w:hAnsi="Arial" w:cs="Arial"/>
        </w:rPr>
      </w:pPr>
      <w:r w:rsidRPr="0064087E">
        <w:rPr>
          <w:rFonts w:ascii="Arial" w:hAnsi="Arial" w:cs="Arial"/>
        </w:rPr>
        <w:t>Źródło: Opracowanie własne na podstawie danych GUS.</w:t>
      </w:r>
    </w:p>
    <w:p w:rsidR="00901829" w:rsidRPr="0064087E" w:rsidRDefault="00901829" w:rsidP="00BB598D">
      <w:pPr>
        <w:spacing w:after="120" w:line="276" w:lineRule="auto"/>
        <w:rPr>
          <w:rFonts w:ascii="Arial" w:hAnsi="Arial" w:cs="Arial"/>
        </w:rPr>
      </w:pPr>
      <w:r w:rsidRPr="0064087E">
        <w:rPr>
          <w:rFonts w:ascii="Arial" w:hAnsi="Arial" w:cs="Arial"/>
        </w:rPr>
        <w:t xml:space="preserve">W 2022 r. w województwie podkarpackim udział osób pracujących w działalności B+R </w:t>
      </w:r>
      <w:r w:rsidRPr="0064087E">
        <w:rPr>
          <w:rFonts w:ascii="Arial" w:hAnsi="Arial" w:cs="Arial"/>
        </w:rPr>
        <w:br/>
        <w:t>w</w:t>
      </w:r>
      <w:r w:rsidR="00764E6E" w:rsidRPr="0064087E">
        <w:rPr>
          <w:rFonts w:ascii="Arial" w:hAnsi="Arial" w:cs="Arial"/>
        </w:rPr>
        <w:t>śród</w:t>
      </w:r>
      <w:r w:rsidRPr="0064087E">
        <w:rPr>
          <w:rFonts w:ascii="Arial" w:hAnsi="Arial" w:cs="Arial"/>
        </w:rPr>
        <w:t xml:space="preserve"> ludności aktywnej zawodowo wynosił 1,04% i był on niższy od wskaźnika dla kraju (1,53%). Zarówno w województwie podkarpackim jaki i w kraju, od roku 2017 do roku 2021, udział osób pracujących w działalności B+R w</w:t>
      </w:r>
      <w:r w:rsidR="00764E6E" w:rsidRPr="0064087E">
        <w:rPr>
          <w:rFonts w:ascii="Arial" w:hAnsi="Arial" w:cs="Arial"/>
        </w:rPr>
        <w:t>śród</w:t>
      </w:r>
      <w:r w:rsidRPr="0064087E">
        <w:rPr>
          <w:rFonts w:ascii="Arial" w:hAnsi="Arial" w:cs="Arial"/>
        </w:rPr>
        <w:t xml:space="preserve"> ludności aktywnej zawodowo systematycznie wzrastał. Natomiast w 2022 r. udział osób pracujących w działalności B+R </w:t>
      </w:r>
      <w:r w:rsidR="00BB598D">
        <w:rPr>
          <w:rFonts w:ascii="Arial" w:hAnsi="Arial" w:cs="Arial"/>
        </w:rPr>
        <w:br/>
      </w:r>
      <w:r w:rsidRPr="0064087E">
        <w:rPr>
          <w:rFonts w:ascii="Arial" w:hAnsi="Arial" w:cs="Arial"/>
        </w:rPr>
        <w:t xml:space="preserve">w ludności aktywnej zawodowo w województwie podkarpackim </w:t>
      </w:r>
      <w:r w:rsidR="00236CF1" w:rsidRPr="0064087E">
        <w:rPr>
          <w:rFonts w:ascii="Arial" w:hAnsi="Arial" w:cs="Arial"/>
        </w:rPr>
        <w:t xml:space="preserve">nieznacznie </w:t>
      </w:r>
      <w:r w:rsidRPr="0064087E">
        <w:rPr>
          <w:rFonts w:ascii="Arial" w:hAnsi="Arial" w:cs="Arial"/>
        </w:rPr>
        <w:t>spadł a w Polsce wzrósł.</w:t>
      </w:r>
    </w:p>
    <w:p w:rsidR="00901829" w:rsidRPr="0064087E" w:rsidRDefault="00901829" w:rsidP="00BB598D">
      <w:pPr>
        <w:pStyle w:val="Legenda"/>
        <w:keepNext/>
        <w:spacing w:line="276" w:lineRule="auto"/>
        <w:rPr>
          <w:rFonts w:ascii="Arial" w:hAnsi="Arial" w:cs="Arial"/>
          <w:i w:val="0"/>
          <w:color w:val="auto"/>
          <w:sz w:val="22"/>
          <w:szCs w:val="22"/>
        </w:rPr>
      </w:pPr>
      <w:bookmarkStart w:id="11" w:name="_Toc160793515"/>
      <w:r w:rsidRPr="0064087E">
        <w:rPr>
          <w:rFonts w:ascii="Arial" w:hAnsi="Arial" w:cs="Arial"/>
          <w:b/>
          <w:i w:val="0"/>
          <w:color w:val="auto"/>
          <w:sz w:val="22"/>
          <w:szCs w:val="22"/>
        </w:rPr>
        <w:t xml:space="preserve">Wykres </w:t>
      </w:r>
      <w:r w:rsidR="005922CE">
        <w:rPr>
          <w:rFonts w:ascii="Arial" w:hAnsi="Arial" w:cs="Arial"/>
          <w:b/>
          <w:i w:val="0"/>
          <w:color w:val="auto"/>
          <w:sz w:val="22"/>
          <w:szCs w:val="22"/>
        </w:rPr>
        <w:fldChar w:fldCharType="begin"/>
      </w:r>
      <w:r w:rsidR="005922CE">
        <w:rPr>
          <w:rFonts w:ascii="Arial" w:hAnsi="Arial" w:cs="Arial"/>
          <w:b/>
          <w:i w:val="0"/>
          <w:color w:val="auto"/>
          <w:sz w:val="22"/>
          <w:szCs w:val="22"/>
        </w:rPr>
        <w:instrText xml:space="preserve"> SEQ Wykres \* ARABIC </w:instrText>
      </w:r>
      <w:r w:rsidR="005922CE">
        <w:rPr>
          <w:rFonts w:ascii="Arial" w:hAnsi="Arial" w:cs="Arial"/>
          <w:b/>
          <w:i w:val="0"/>
          <w:color w:val="auto"/>
          <w:sz w:val="22"/>
          <w:szCs w:val="22"/>
        </w:rPr>
        <w:fldChar w:fldCharType="separate"/>
      </w:r>
      <w:r w:rsidR="00884DAD">
        <w:rPr>
          <w:rFonts w:ascii="Arial" w:hAnsi="Arial" w:cs="Arial"/>
          <w:b/>
          <w:i w:val="0"/>
          <w:noProof/>
          <w:color w:val="auto"/>
          <w:sz w:val="22"/>
          <w:szCs w:val="22"/>
        </w:rPr>
        <w:t>9</w:t>
      </w:r>
      <w:r w:rsidR="005922CE">
        <w:rPr>
          <w:rFonts w:ascii="Arial" w:hAnsi="Arial" w:cs="Arial"/>
          <w:b/>
          <w:i w:val="0"/>
          <w:color w:val="auto"/>
          <w:sz w:val="22"/>
          <w:szCs w:val="22"/>
        </w:rPr>
        <w:fldChar w:fldCharType="end"/>
      </w:r>
      <w:r w:rsidRPr="0064087E">
        <w:rPr>
          <w:rFonts w:ascii="Arial" w:hAnsi="Arial" w:cs="Arial"/>
          <w:b/>
          <w:i w:val="0"/>
          <w:color w:val="auto"/>
          <w:sz w:val="22"/>
          <w:szCs w:val="22"/>
        </w:rPr>
        <w:t>.</w:t>
      </w:r>
      <w:r w:rsidRPr="0064087E">
        <w:rPr>
          <w:rFonts w:ascii="Arial" w:hAnsi="Arial" w:cs="Arial"/>
          <w:i w:val="0"/>
          <w:color w:val="auto"/>
          <w:sz w:val="22"/>
          <w:szCs w:val="22"/>
        </w:rPr>
        <w:t xml:space="preserve"> Udział przychodów netto ze sprzedaży produktów innowacyjnych w przychodach netto ze sprzedaży ogółem w przedsiębiorstwach przemysłowych w latach 2017-2022</w:t>
      </w:r>
      <w:bookmarkEnd w:id="11"/>
    </w:p>
    <w:p w:rsidR="00901829" w:rsidRPr="0064087E" w:rsidRDefault="00901829" w:rsidP="00901829">
      <w:pPr>
        <w:spacing w:after="120" w:line="276" w:lineRule="auto"/>
        <w:jc w:val="center"/>
        <w:rPr>
          <w:rFonts w:ascii="Arial" w:hAnsi="Arial" w:cs="Arial"/>
        </w:rPr>
      </w:pPr>
      <w:r w:rsidRPr="0064087E">
        <w:rPr>
          <w:noProof/>
          <w:lang w:eastAsia="pl-PL"/>
        </w:rPr>
        <w:drawing>
          <wp:inline distT="0" distB="0" distL="0" distR="0" wp14:anchorId="328A35A7" wp14:editId="7B3915BD">
            <wp:extent cx="4857750" cy="2743200"/>
            <wp:effectExtent l="0" t="0" r="0" b="0"/>
            <wp:docPr id="1856" name="Wykres 1856" descr="Wykres linowy w tym dane dla Polski w województwa podkarpackiego. Polska: 7,08 w 2017, 9,1 w 2018, 9,4 w 2019, 10,0 w 2020, 8,9 w 2021, 6,9 w 2022. Podkarpackie: 7,88 w 2017, 9,0 w 2018, 9,1 w 2019, 10,6 w 2020, 9,1 w 2021, 11,6 w 2022">
              <a:extLst xmlns:a="http://schemas.openxmlformats.org/drawingml/2006/main">
                <a:ext uri="{FF2B5EF4-FFF2-40B4-BE49-F238E27FC236}">
                  <a16:creationId xmlns:a16="http://schemas.microsoft.com/office/drawing/2014/main" id="{55CF1F24-6E9E-4AEE-A26E-6C69BBC88A16}"/>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01829" w:rsidRPr="0064087E" w:rsidRDefault="00901829" w:rsidP="00901829">
      <w:pPr>
        <w:spacing w:after="120" w:line="276" w:lineRule="auto"/>
        <w:jc w:val="center"/>
        <w:rPr>
          <w:rFonts w:ascii="Arial" w:hAnsi="Arial" w:cs="Arial"/>
        </w:rPr>
      </w:pPr>
      <w:r w:rsidRPr="0064087E">
        <w:rPr>
          <w:rFonts w:ascii="Arial" w:hAnsi="Arial" w:cs="Arial"/>
        </w:rPr>
        <w:t>Źródło: Opracowanie własne na podstawie danych GUS.</w:t>
      </w:r>
    </w:p>
    <w:p w:rsidR="00901829" w:rsidRPr="0064087E" w:rsidRDefault="00901829" w:rsidP="00BB598D">
      <w:pPr>
        <w:spacing w:after="120" w:line="276" w:lineRule="auto"/>
        <w:rPr>
          <w:rFonts w:ascii="Arial" w:hAnsi="Arial" w:cs="Arial"/>
        </w:rPr>
      </w:pPr>
      <w:r w:rsidRPr="0064087E">
        <w:rPr>
          <w:rFonts w:ascii="Arial" w:hAnsi="Arial" w:cs="Arial"/>
        </w:rPr>
        <w:t xml:space="preserve">W 2022 r. udział przychodów netto ze sprzedaży produktów innowacyjnych w przychodach netto ze sprzedaży ogółem przedsiębiorstw przemysłowych działających w Podkarpackim </w:t>
      </w:r>
      <w:r w:rsidRPr="0064087E">
        <w:rPr>
          <w:rFonts w:ascii="Arial" w:hAnsi="Arial" w:cs="Arial"/>
        </w:rPr>
        <w:lastRenderedPageBreak/>
        <w:t xml:space="preserve">wyniósł 11,6%. Wartość tego wskaźnika dla województwa podkarpackiego była wyższa niż </w:t>
      </w:r>
      <w:r w:rsidR="00BB598D">
        <w:rPr>
          <w:rFonts w:ascii="Arial" w:hAnsi="Arial" w:cs="Arial"/>
        </w:rPr>
        <w:br/>
      </w:r>
      <w:r w:rsidRPr="0064087E">
        <w:rPr>
          <w:rFonts w:ascii="Arial" w:hAnsi="Arial" w:cs="Arial"/>
        </w:rPr>
        <w:t>w kraju, gdzie osiągnął on poziom 6,9%.</w:t>
      </w:r>
      <w:r w:rsidR="004D0D26" w:rsidRPr="0064087E">
        <w:rPr>
          <w:rFonts w:ascii="Arial" w:hAnsi="Arial" w:cs="Arial"/>
        </w:rPr>
        <w:t xml:space="preserve"> Zarówno w porównaniu z rokiem 2017 jak i rokiem 2021 udział ten w województwie podkarpackim wzrósł (odpowiednio o </w:t>
      </w:r>
      <w:r w:rsidRPr="0064087E">
        <w:rPr>
          <w:rFonts w:ascii="Arial" w:hAnsi="Arial" w:cs="Arial"/>
        </w:rPr>
        <w:t xml:space="preserve"> </w:t>
      </w:r>
      <w:r w:rsidR="004D0D26" w:rsidRPr="0064087E">
        <w:rPr>
          <w:rFonts w:ascii="Arial" w:hAnsi="Arial" w:cs="Arial"/>
        </w:rPr>
        <w:t xml:space="preserve">3,72 </w:t>
      </w:r>
      <w:proofErr w:type="spellStart"/>
      <w:r w:rsidR="004D0D26" w:rsidRPr="0064087E">
        <w:rPr>
          <w:rFonts w:ascii="Arial" w:hAnsi="Arial" w:cs="Arial"/>
        </w:rPr>
        <w:t>p.proc</w:t>
      </w:r>
      <w:proofErr w:type="spellEnd"/>
      <w:r w:rsidR="004D0D26" w:rsidRPr="0064087E">
        <w:rPr>
          <w:rFonts w:ascii="Arial" w:hAnsi="Arial" w:cs="Arial"/>
        </w:rPr>
        <w:t xml:space="preserve">. oraz 2,5 </w:t>
      </w:r>
      <w:proofErr w:type="spellStart"/>
      <w:r w:rsidR="004D0D26" w:rsidRPr="0064087E">
        <w:rPr>
          <w:rFonts w:ascii="Arial" w:hAnsi="Arial" w:cs="Arial"/>
        </w:rPr>
        <w:t>p.proc</w:t>
      </w:r>
      <w:proofErr w:type="spellEnd"/>
      <w:r w:rsidR="004D0D26" w:rsidRPr="0064087E">
        <w:rPr>
          <w:rFonts w:ascii="Arial" w:hAnsi="Arial" w:cs="Arial"/>
        </w:rPr>
        <w:t xml:space="preserve">.). </w:t>
      </w:r>
      <w:r w:rsidRPr="0064087E">
        <w:rPr>
          <w:rFonts w:ascii="Arial" w:hAnsi="Arial" w:cs="Arial"/>
        </w:rPr>
        <w:t xml:space="preserve">Pod względem udziału przychodów netto ze sprzedaży produktów innowacyjnych </w:t>
      </w:r>
      <w:r w:rsidR="001D1790" w:rsidRPr="0064087E">
        <w:rPr>
          <w:rFonts w:ascii="Arial" w:hAnsi="Arial" w:cs="Arial"/>
        </w:rPr>
        <w:br/>
      </w:r>
      <w:r w:rsidRPr="0064087E">
        <w:rPr>
          <w:rFonts w:ascii="Arial" w:hAnsi="Arial" w:cs="Arial"/>
        </w:rPr>
        <w:t>w przychodach netto ze sprzedaży ogółem w 2022 r. województwo podkarpackie zajmowało 3. lokatę w kraju (po województwie lubuskim i opolskim).</w:t>
      </w:r>
    </w:p>
    <w:p w:rsidR="00901829" w:rsidRPr="0064087E" w:rsidRDefault="00901829" w:rsidP="00BB598D">
      <w:pPr>
        <w:spacing w:after="120" w:line="276" w:lineRule="auto"/>
        <w:rPr>
          <w:rFonts w:ascii="Arial" w:hAnsi="Arial" w:cs="Arial"/>
        </w:rPr>
      </w:pPr>
      <w:bookmarkStart w:id="12" w:name="_Toc160793516"/>
      <w:r w:rsidRPr="0064087E">
        <w:rPr>
          <w:rFonts w:ascii="Arial" w:hAnsi="Arial" w:cs="Arial"/>
          <w:b/>
        </w:rPr>
        <w:t xml:space="preserve">Wykres </w:t>
      </w:r>
      <w:r w:rsidR="005922CE">
        <w:rPr>
          <w:rFonts w:ascii="Arial" w:hAnsi="Arial" w:cs="Arial"/>
          <w:b/>
        </w:rPr>
        <w:fldChar w:fldCharType="begin"/>
      </w:r>
      <w:r w:rsidR="005922CE">
        <w:rPr>
          <w:rFonts w:ascii="Arial" w:hAnsi="Arial" w:cs="Arial"/>
          <w:b/>
        </w:rPr>
        <w:instrText xml:space="preserve"> SEQ Wykres \* ARABIC </w:instrText>
      </w:r>
      <w:r w:rsidR="005922CE">
        <w:rPr>
          <w:rFonts w:ascii="Arial" w:hAnsi="Arial" w:cs="Arial"/>
          <w:b/>
        </w:rPr>
        <w:fldChar w:fldCharType="separate"/>
      </w:r>
      <w:r w:rsidR="00884DAD">
        <w:rPr>
          <w:rFonts w:ascii="Arial" w:hAnsi="Arial" w:cs="Arial"/>
          <w:b/>
          <w:noProof/>
        </w:rPr>
        <w:t>10</w:t>
      </w:r>
      <w:r w:rsidR="005922CE">
        <w:rPr>
          <w:rFonts w:ascii="Arial" w:hAnsi="Arial" w:cs="Arial"/>
          <w:b/>
        </w:rPr>
        <w:fldChar w:fldCharType="end"/>
      </w:r>
      <w:r w:rsidRPr="0064087E">
        <w:rPr>
          <w:rFonts w:ascii="Arial" w:hAnsi="Arial" w:cs="Arial"/>
          <w:b/>
        </w:rPr>
        <w:t>.</w:t>
      </w:r>
      <w:r w:rsidRPr="0064087E">
        <w:rPr>
          <w:rFonts w:ascii="Arial" w:hAnsi="Arial" w:cs="Arial"/>
        </w:rPr>
        <w:t xml:space="preserve"> Udział przedsiębiorstw przemysłowych współpracujących w ramach inicjatywy klastrowej lub innej sformalizowanej współpracy w % przedsiębiorstw aktywnych innowacyjnie w latach 2017-2022</w:t>
      </w:r>
      <w:bookmarkEnd w:id="12"/>
    </w:p>
    <w:p w:rsidR="00901829" w:rsidRPr="0064087E" w:rsidRDefault="00901829" w:rsidP="00901829">
      <w:pPr>
        <w:spacing w:after="120" w:line="276" w:lineRule="auto"/>
        <w:jc w:val="center"/>
        <w:rPr>
          <w:rFonts w:ascii="Arial" w:hAnsi="Arial" w:cs="Arial"/>
        </w:rPr>
      </w:pPr>
      <w:r w:rsidRPr="0064087E">
        <w:rPr>
          <w:noProof/>
          <w:lang w:eastAsia="pl-PL"/>
        </w:rPr>
        <w:drawing>
          <wp:inline distT="0" distB="0" distL="0" distR="0" wp14:anchorId="5803FE34" wp14:editId="2C3BE530">
            <wp:extent cx="5019675" cy="2743200"/>
            <wp:effectExtent l="0" t="0" r="0" b="0"/>
            <wp:docPr id="31" name="Wykres 31" descr="Wykres linowy w tym dane dla Polski w województwa podkarpackiego. Polska: 8,7 w 2017, 21,0 w 2018, 20,5 w 2019, 14,3 w 2020, 12,8 w 2021, 10,4 w 2022. Podkarpackie: 11,6 w 2017, 32,8 w 2018, 35,3 w 2019, 19,7 w 2020, 22,8 w 2021, 12,0 w 2022">
              <a:extLst xmlns:a="http://schemas.openxmlformats.org/drawingml/2006/main">
                <a:ext uri="{FF2B5EF4-FFF2-40B4-BE49-F238E27FC236}">
                  <a16:creationId xmlns:a16="http://schemas.microsoft.com/office/drawing/2014/main" id="{AA375F87-F34F-41EB-98B0-922CCAE1E1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01829" w:rsidRPr="0064087E" w:rsidRDefault="00901829" w:rsidP="00901829">
      <w:pPr>
        <w:spacing w:after="120" w:line="276" w:lineRule="auto"/>
        <w:jc w:val="center"/>
        <w:rPr>
          <w:rFonts w:ascii="Arial" w:hAnsi="Arial" w:cs="Arial"/>
        </w:rPr>
      </w:pPr>
      <w:r w:rsidRPr="0064087E">
        <w:rPr>
          <w:rFonts w:ascii="Arial" w:hAnsi="Arial" w:cs="Arial"/>
        </w:rPr>
        <w:t>Źródło: Opracowanie własne na podstawie danych GUS.</w:t>
      </w:r>
    </w:p>
    <w:p w:rsidR="008635B3" w:rsidRPr="0064087E" w:rsidRDefault="00901829" w:rsidP="002132EA">
      <w:pPr>
        <w:spacing w:after="120" w:line="276" w:lineRule="auto"/>
        <w:rPr>
          <w:rFonts w:ascii="Arial" w:hAnsi="Arial" w:cs="Arial"/>
        </w:rPr>
      </w:pPr>
      <w:r w:rsidRPr="0064087E">
        <w:rPr>
          <w:rFonts w:ascii="Arial" w:hAnsi="Arial" w:cs="Arial"/>
        </w:rPr>
        <w:t xml:space="preserve">W 2022 r. w województwie podkarpackim udział przedsiębiorstw przemysłowych współpracujących w ramach inicjatywy klastrowej lub innej sformalizowanej współpracy </w:t>
      </w:r>
      <w:r w:rsidRPr="0064087E">
        <w:rPr>
          <w:rFonts w:ascii="Arial" w:hAnsi="Arial" w:cs="Arial"/>
        </w:rPr>
        <w:br/>
        <w:t xml:space="preserve">w przedsiębiorstwach aktywnych innowacyjnie wyniósł 12,0% i był on o 1,6 </w:t>
      </w:r>
      <w:proofErr w:type="spellStart"/>
      <w:r w:rsidRPr="0064087E">
        <w:rPr>
          <w:rFonts w:ascii="Arial" w:hAnsi="Arial" w:cs="Arial"/>
        </w:rPr>
        <w:t>p.proc</w:t>
      </w:r>
      <w:proofErr w:type="spellEnd"/>
      <w:r w:rsidRPr="0064087E">
        <w:rPr>
          <w:rFonts w:ascii="Arial" w:hAnsi="Arial" w:cs="Arial"/>
        </w:rPr>
        <w:t xml:space="preserve">. wyższy niż w skali kraju. W porównaniu z rokiem 2017 udział ten w województwie podkarpackim zwiększył się o 0,4 </w:t>
      </w:r>
      <w:proofErr w:type="spellStart"/>
      <w:r w:rsidRPr="0064087E">
        <w:rPr>
          <w:rFonts w:ascii="Arial" w:hAnsi="Arial" w:cs="Arial"/>
        </w:rPr>
        <w:t>p.proc</w:t>
      </w:r>
      <w:proofErr w:type="spellEnd"/>
      <w:r w:rsidRPr="0064087E">
        <w:rPr>
          <w:rFonts w:ascii="Arial" w:hAnsi="Arial" w:cs="Arial"/>
        </w:rPr>
        <w:t xml:space="preserve">., natomiast w porównaniu do 2021 r. zmniejszył się o 10,8 </w:t>
      </w:r>
      <w:proofErr w:type="spellStart"/>
      <w:r w:rsidRPr="0064087E">
        <w:rPr>
          <w:rFonts w:ascii="Arial" w:hAnsi="Arial" w:cs="Arial"/>
        </w:rPr>
        <w:t>p.proc</w:t>
      </w:r>
      <w:proofErr w:type="spellEnd"/>
      <w:r w:rsidRPr="0064087E">
        <w:rPr>
          <w:rFonts w:ascii="Arial" w:hAnsi="Arial" w:cs="Arial"/>
        </w:rPr>
        <w:t xml:space="preserve">. </w:t>
      </w:r>
      <w:r w:rsidR="00A96D2A" w:rsidRPr="0064087E">
        <w:rPr>
          <w:rFonts w:ascii="Arial" w:hAnsi="Arial" w:cs="Arial"/>
        </w:rPr>
        <w:t>Na tle województw Podkarpac</w:t>
      </w:r>
      <w:r w:rsidR="00E97FA5" w:rsidRPr="0064087E">
        <w:rPr>
          <w:rFonts w:ascii="Arial" w:hAnsi="Arial" w:cs="Arial"/>
        </w:rPr>
        <w:t>kie</w:t>
      </w:r>
      <w:r w:rsidR="00A96D2A" w:rsidRPr="0064087E">
        <w:rPr>
          <w:rFonts w:ascii="Arial" w:hAnsi="Arial" w:cs="Arial"/>
        </w:rPr>
        <w:t xml:space="preserve"> pod względem wielkości tego wskaźnika zajmowało </w:t>
      </w:r>
      <w:r w:rsidR="00DA4FE9">
        <w:rPr>
          <w:rFonts w:ascii="Arial" w:hAnsi="Arial" w:cs="Arial"/>
        </w:rPr>
        <w:br/>
      </w:r>
      <w:r w:rsidR="00A96D2A" w:rsidRPr="0064087E">
        <w:rPr>
          <w:rFonts w:ascii="Arial" w:hAnsi="Arial" w:cs="Arial"/>
        </w:rPr>
        <w:t>w 202</w:t>
      </w:r>
      <w:r w:rsidRPr="0064087E">
        <w:rPr>
          <w:rFonts w:ascii="Arial" w:hAnsi="Arial" w:cs="Arial"/>
        </w:rPr>
        <w:t>2</w:t>
      </w:r>
      <w:r w:rsidR="00A96D2A" w:rsidRPr="0064087E">
        <w:rPr>
          <w:rFonts w:ascii="Arial" w:hAnsi="Arial" w:cs="Arial"/>
        </w:rPr>
        <w:t xml:space="preserve"> r.</w:t>
      </w:r>
      <w:r w:rsidRPr="0064087E">
        <w:rPr>
          <w:rFonts w:ascii="Arial" w:hAnsi="Arial" w:cs="Arial"/>
        </w:rPr>
        <w:t xml:space="preserve"> 8 miejsce</w:t>
      </w:r>
      <w:r w:rsidR="00A96D2A" w:rsidRPr="0064087E">
        <w:rPr>
          <w:rFonts w:ascii="Arial" w:hAnsi="Arial" w:cs="Arial"/>
        </w:rPr>
        <w:t>.</w:t>
      </w:r>
      <w:r w:rsidR="009A0D25" w:rsidRPr="0064087E">
        <w:rPr>
          <w:rFonts w:ascii="Arial" w:hAnsi="Arial" w:cs="Arial"/>
        </w:rPr>
        <w:t xml:space="preserve"> </w:t>
      </w:r>
    </w:p>
    <w:p w:rsidR="008635B3" w:rsidRPr="00D62638" w:rsidRDefault="008635B3" w:rsidP="002132EA">
      <w:pPr>
        <w:spacing w:after="120" w:line="276" w:lineRule="auto"/>
        <w:rPr>
          <w:rFonts w:ascii="Arial" w:hAnsi="Arial" w:cs="Arial"/>
        </w:rPr>
      </w:pPr>
      <w:r w:rsidRPr="00D62638">
        <w:rPr>
          <w:rFonts w:ascii="Arial" w:hAnsi="Arial" w:cs="Arial"/>
        </w:rPr>
        <w:t xml:space="preserve">Województwo podkarpackie należy do najbardziej innowacyjnych regionów w kraju. Wyróżnia się najwyższym odsetkiem przedsiębiorstw aktywnych innowacyjnie oraz wysokim udziałem przedsiębiorstw innowacyjnych. W przedsiębiorstwach przemysłowych </w:t>
      </w:r>
      <w:r w:rsidR="002132EA">
        <w:rPr>
          <w:rFonts w:ascii="Arial" w:hAnsi="Arial" w:cs="Arial"/>
        </w:rPr>
        <w:br/>
      </w:r>
      <w:r w:rsidRPr="00D62638">
        <w:rPr>
          <w:rFonts w:ascii="Arial" w:hAnsi="Arial" w:cs="Arial"/>
        </w:rPr>
        <w:t>z województwa podkarpackiego występuje najwyższy odsetek podmiotów ponoszących nakłady na działalność B+R. Region wyróżnia również wysoki poziom uprzemysłowienia, który związany jest ze wskazanymi przez województwo podkarpackie inteligentnymi specjalizacjami.</w:t>
      </w:r>
    </w:p>
    <w:p w:rsidR="00D76E60" w:rsidRPr="0064087E" w:rsidRDefault="00D76E60">
      <w:pPr>
        <w:widowControl/>
        <w:autoSpaceDE/>
        <w:autoSpaceDN/>
        <w:spacing w:after="160" w:line="259" w:lineRule="auto"/>
        <w:rPr>
          <w:rFonts w:ascii="Arial" w:hAnsi="Arial" w:cs="Arial"/>
        </w:rPr>
      </w:pPr>
      <w:r w:rsidRPr="0064087E">
        <w:rPr>
          <w:rFonts w:ascii="Arial" w:hAnsi="Arial" w:cs="Arial"/>
        </w:rPr>
        <w:br w:type="page"/>
      </w:r>
    </w:p>
    <w:p w:rsidR="00D76E60" w:rsidRPr="0064087E" w:rsidRDefault="00D76E60" w:rsidP="002132EA">
      <w:pPr>
        <w:pStyle w:val="Nagwek1"/>
        <w:numPr>
          <w:ilvl w:val="0"/>
          <w:numId w:val="1"/>
        </w:numPr>
        <w:ind w:left="357" w:hanging="357"/>
      </w:pPr>
      <w:bookmarkStart w:id="13" w:name="_Toc160793867"/>
      <w:r w:rsidRPr="0064087E">
        <w:lastRenderedPageBreak/>
        <w:t>Inteligentne specjalizacje województwa podkarpackiego</w:t>
      </w:r>
      <w:bookmarkEnd w:id="13"/>
    </w:p>
    <w:p w:rsidR="00D76E60" w:rsidRPr="0064087E" w:rsidRDefault="00D76E60" w:rsidP="002132EA">
      <w:pPr>
        <w:spacing w:after="120" w:line="276" w:lineRule="auto"/>
        <w:rPr>
          <w:rFonts w:ascii="Arial" w:hAnsi="Arial" w:cs="Arial"/>
        </w:rPr>
      </w:pPr>
      <w:r w:rsidRPr="0047013A">
        <w:rPr>
          <w:rFonts w:ascii="Arial" w:hAnsi="Arial" w:cs="Arial"/>
        </w:rPr>
        <w:t xml:space="preserve">Podstawą koncepcji inteligentnych specjalizacji (IS) jest założenie, że dzięki koncentracji zasobów wiedzy ukierunkowanych na ograniczoną liczbę priorytetów gospodarczych, region będzie miał możliwość osiągnąć i utrzymać przewagę konkurencyjną na rynku krajowym </w:t>
      </w:r>
      <w:r w:rsidRPr="0047013A">
        <w:rPr>
          <w:rFonts w:ascii="Arial" w:hAnsi="Arial" w:cs="Arial"/>
        </w:rPr>
        <w:br/>
        <w:t>i światowym.</w:t>
      </w:r>
      <w:r w:rsidRPr="0064087E">
        <w:rPr>
          <w:rFonts w:ascii="Arial" w:hAnsi="Arial" w:cs="Arial"/>
        </w:rPr>
        <w:t xml:space="preserve"> Największe szanse na osiągnięcie sukcesu daje wybór niewielkiej liczby specjalizacji ściśle powiązanej z konkretnymi atutami regionalnej gospodarki. Idea inteligentnej specjalizacji wskazuje również na konieczność podejmowania współpracy ponadregionalnej oraz międzynarodowej przy wyznaczaniu specjalizacji w celu zapewnienia jak największego ich potencjału i różnorodności. Koncepcja tym samym promuje efektywne, oparte na wiedzy wykorzystanie inwestycji publicznych oraz wspiera rozwój potencjału innowacyjności regionu poprzez m.in. koncentrację zasobów ludzkich i finansowych na kilku obszarach konkurencyjnych w skali krajowej lub globalnej w celu pobudzania wzrostu gospodarczego. Inteligentna specjalizacja powinna zostać wskazana na podstawie unikalnych atutów </w:t>
      </w:r>
      <w:r w:rsidRPr="0064087E">
        <w:rPr>
          <w:rFonts w:ascii="Arial" w:hAnsi="Arial" w:cs="Arial"/>
        </w:rPr>
        <w:br/>
        <w:t>i możliwości poprzez analizę: struktury przemysłu oraz bazy wiedzy cechującej region.</w:t>
      </w:r>
    </w:p>
    <w:p w:rsidR="00841D0A" w:rsidRPr="0064087E" w:rsidRDefault="00D76E60" w:rsidP="002132EA">
      <w:pPr>
        <w:spacing w:line="276" w:lineRule="auto"/>
        <w:rPr>
          <w:rFonts w:ascii="Arial" w:hAnsi="Arial" w:cs="Arial"/>
        </w:rPr>
      </w:pPr>
      <w:r w:rsidRPr="0064087E">
        <w:rPr>
          <w:rFonts w:ascii="Arial" w:hAnsi="Arial" w:cs="Arial"/>
        </w:rPr>
        <w:t>W procesie wyznaczania inteligentnych specjalizacji niezbędny jest udział szerokiego grona interesariuszy, reprezentujących sektory</w:t>
      </w:r>
      <w:r w:rsidR="00847723" w:rsidRPr="0064087E">
        <w:rPr>
          <w:rFonts w:ascii="Arial" w:hAnsi="Arial" w:cs="Arial"/>
        </w:rPr>
        <w:t xml:space="preserve"> </w:t>
      </w:r>
      <w:r w:rsidR="00847723" w:rsidRPr="00D62638">
        <w:rPr>
          <w:rFonts w:ascii="Arial" w:hAnsi="Arial" w:cs="Arial"/>
        </w:rPr>
        <w:t>z modelu poczwórnej helisy</w:t>
      </w:r>
      <w:r w:rsidRPr="0064087E">
        <w:rPr>
          <w:rFonts w:ascii="Arial" w:hAnsi="Arial" w:cs="Arial"/>
        </w:rPr>
        <w:t xml:space="preserve">: </w:t>
      </w:r>
    </w:p>
    <w:p w:rsidR="00841D0A" w:rsidRPr="0064087E" w:rsidRDefault="00841D0A" w:rsidP="002132EA">
      <w:pPr>
        <w:pStyle w:val="Akapitzlist"/>
        <w:numPr>
          <w:ilvl w:val="0"/>
          <w:numId w:val="34"/>
        </w:numPr>
        <w:spacing w:line="276" w:lineRule="auto"/>
        <w:rPr>
          <w:rFonts w:ascii="Arial" w:hAnsi="Arial" w:cs="Arial"/>
        </w:rPr>
      </w:pPr>
      <w:r w:rsidRPr="0064087E">
        <w:rPr>
          <w:rFonts w:ascii="Arial" w:hAnsi="Arial" w:cs="Arial"/>
        </w:rPr>
        <w:t xml:space="preserve">sektor przedsiębiorstw, </w:t>
      </w:r>
    </w:p>
    <w:p w:rsidR="00841D0A" w:rsidRPr="0064087E" w:rsidRDefault="00841D0A" w:rsidP="002132EA">
      <w:pPr>
        <w:pStyle w:val="Akapitzlist"/>
        <w:numPr>
          <w:ilvl w:val="0"/>
          <w:numId w:val="34"/>
        </w:numPr>
        <w:spacing w:line="276" w:lineRule="auto"/>
        <w:rPr>
          <w:rFonts w:ascii="Arial" w:hAnsi="Arial" w:cs="Arial"/>
        </w:rPr>
      </w:pPr>
      <w:r w:rsidRPr="0064087E">
        <w:rPr>
          <w:rFonts w:ascii="Arial" w:hAnsi="Arial" w:cs="Arial"/>
        </w:rPr>
        <w:t xml:space="preserve">sektor administracji, </w:t>
      </w:r>
    </w:p>
    <w:p w:rsidR="00841D0A" w:rsidRPr="0064087E" w:rsidRDefault="00841D0A" w:rsidP="002132EA">
      <w:pPr>
        <w:pStyle w:val="Akapitzlist"/>
        <w:numPr>
          <w:ilvl w:val="0"/>
          <w:numId w:val="34"/>
        </w:numPr>
        <w:spacing w:line="276" w:lineRule="auto"/>
        <w:rPr>
          <w:rFonts w:ascii="Arial" w:hAnsi="Arial" w:cs="Arial"/>
        </w:rPr>
      </w:pPr>
      <w:r w:rsidRPr="0064087E">
        <w:rPr>
          <w:rFonts w:ascii="Arial" w:hAnsi="Arial" w:cs="Arial"/>
        </w:rPr>
        <w:t xml:space="preserve">sektor nauki, </w:t>
      </w:r>
    </w:p>
    <w:p w:rsidR="00841D0A" w:rsidRPr="0064087E" w:rsidRDefault="00841D0A" w:rsidP="002132EA">
      <w:pPr>
        <w:pStyle w:val="Akapitzlist"/>
        <w:numPr>
          <w:ilvl w:val="0"/>
          <w:numId w:val="34"/>
        </w:numPr>
        <w:spacing w:line="276" w:lineRule="auto"/>
        <w:rPr>
          <w:rFonts w:ascii="Arial" w:hAnsi="Arial" w:cs="Arial"/>
        </w:rPr>
      </w:pPr>
      <w:r w:rsidRPr="0064087E">
        <w:rPr>
          <w:rFonts w:ascii="Arial" w:hAnsi="Arial" w:cs="Arial"/>
        </w:rPr>
        <w:t xml:space="preserve">społeczeństwa obywatelskiego itp. </w:t>
      </w:r>
    </w:p>
    <w:p w:rsidR="00D76E60" w:rsidRPr="0064087E" w:rsidRDefault="00D76E60" w:rsidP="002132EA">
      <w:pPr>
        <w:spacing w:after="120" w:line="276" w:lineRule="auto"/>
        <w:rPr>
          <w:rFonts w:ascii="Arial" w:hAnsi="Arial" w:cs="Arial"/>
        </w:rPr>
      </w:pPr>
      <w:r w:rsidRPr="0064087E">
        <w:rPr>
          <w:rFonts w:ascii="Arial" w:hAnsi="Arial" w:cs="Arial"/>
        </w:rPr>
        <w:t>Wiedza i zaangażowanie w powyższy proces poszczególnych interesariuszy są często niezbędne do określenia obszarów priorytetowych i inwestycji, dających największe prawdopodobieństwo zwiększenia liczby miejsc pracy, a w efekcie wzrostu gospodarczego regionu</w:t>
      </w:r>
      <w:r w:rsidR="00BD3ABA" w:rsidRPr="0064087E">
        <w:rPr>
          <w:rStyle w:val="Odwoanieprzypisudolnego"/>
          <w:rFonts w:ascii="Arial" w:hAnsi="Arial" w:cs="Arial"/>
        </w:rPr>
        <w:footnoteReference w:id="3"/>
      </w:r>
      <w:r w:rsidRPr="0064087E">
        <w:rPr>
          <w:rFonts w:ascii="Arial" w:hAnsi="Arial" w:cs="Arial"/>
        </w:rPr>
        <w:t>.</w:t>
      </w:r>
    </w:p>
    <w:p w:rsidR="00D76E60" w:rsidRPr="0064087E" w:rsidRDefault="00D76E60" w:rsidP="002132EA">
      <w:pPr>
        <w:spacing w:after="120" w:line="276" w:lineRule="auto"/>
        <w:rPr>
          <w:rFonts w:ascii="Arial" w:hAnsi="Arial" w:cs="Arial"/>
        </w:rPr>
      </w:pPr>
      <w:r w:rsidRPr="0064087E">
        <w:rPr>
          <w:rFonts w:ascii="Arial" w:hAnsi="Arial" w:cs="Arial"/>
        </w:rPr>
        <w:t>Zgodnie z wytycznymi Unii Europejskiej wyznaczanie inteligentnych specjalizacji województwa podkarpackiego realizowane było z wykorzystaniem procesu przedsiębiorczego odkrywania (PPO),</w:t>
      </w:r>
      <w:r w:rsidR="00E97FA5" w:rsidRPr="0064087E">
        <w:rPr>
          <w:rFonts w:ascii="Arial" w:hAnsi="Arial" w:cs="Arial"/>
        </w:rPr>
        <w:t xml:space="preserve"> </w:t>
      </w:r>
      <w:r w:rsidR="0077037D" w:rsidRPr="0064087E">
        <w:rPr>
          <w:rFonts w:ascii="Arial" w:hAnsi="Arial" w:cs="Arial"/>
        </w:rPr>
        <w:t>rozumianego</w:t>
      </w:r>
      <w:r w:rsidRPr="0064087E">
        <w:rPr>
          <w:rFonts w:ascii="Arial" w:hAnsi="Arial" w:cs="Arial"/>
        </w:rPr>
        <w:t xml:space="preserve"> jako proces integrujący różnych interesariuszy w celu identyfikowania priorytetów w zakresie badań, rozwoju i innowacji, wokół których koncentrowane są inwestycje prywatne i publiczne</w:t>
      </w:r>
      <w:r w:rsidR="001D291D">
        <w:rPr>
          <w:rStyle w:val="Odwoanieprzypisudolnego"/>
          <w:rFonts w:ascii="Arial" w:hAnsi="Arial" w:cs="Arial"/>
        </w:rPr>
        <w:footnoteReference w:id="4"/>
      </w:r>
      <w:r w:rsidRPr="0064087E">
        <w:rPr>
          <w:rFonts w:ascii="Arial" w:hAnsi="Arial" w:cs="Arial"/>
        </w:rPr>
        <w:t xml:space="preserve">. W efekcie wskazane zostały cztery inteligentne specjalizacje, </w:t>
      </w:r>
      <w:r w:rsidR="003E0682">
        <w:rPr>
          <w:rFonts w:ascii="Arial" w:hAnsi="Arial" w:cs="Arial"/>
        </w:rPr>
        <w:br/>
      </w:r>
      <w:r w:rsidRPr="0064087E">
        <w:rPr>
          <w:rFonts w:ascii="Arial" w:hAnsi="Arial" w:cs="Arial"/>
        </w:rPr>
        <w:t>tj. lotnictwo i kosmonautyka, motoryzacja, jakość życia oraz informacja i telekomunikacja</w:t>
      </w:r>
      <w:r w:rsidR="00CF3E01" w:rsidRPr="0064087E">
        <w:rPr>
          <w:rStyle w:val="Odwoanieprzypisudolnego"/>
          <w:rFonts w:ascii="Arial" w:hAnsi="Arial" w:cs="Arial"/>
        </w:rPr>
        <w:footnoteReference w:id="5"/>
      </w:r>
      <w:r w:rsidRPr="0064087E">
        <w:rPr>
          <w:rFonts w:ascii="Arial" w:hAnsi="Arial" w:cs="Arial"/>
        </w:rPr>
        <w:t xml:space="preserve">. </w:t>
      </w:r>
      <w:r w:rsidR="003E0682">
        <w:rPr>
          <w:rFonts w:ascii="Arial" w:hAnsi="Arial" w:cs="Arial"/>
        </w:rPr>
        <w:br/>
      </w:r>
      <w:r w:rsidRPr="0064087E">
        <w:rPr>
          <w:rFonts w:ascii="Arial" w:hAnsi="Arial" w:cs="Arial"/>
        </w:rPr>
        <w:t>W regionie widoczne są również sektory wysokiej szansy, które po spełnieniu niezbędnych warunków mogą stać się specjalizacjami regionu.</w:t>
      </w:r>
    </w:p>
    <w:p w:rsidR="00D76E60" w:rsidRPr="0064087E" w:rsidRDefault="00D76E60" w:rsidP="002132EA">
      <w:pPr>
        <w:widowControl/>
        <w:autoSpaceDE/>
        <w:autoSpaceDN/>
        <w:spacing w:after="160" w:line="259" w:lineRule="auto"/>
        <w:rPr>
          <w:rFonts w:ascii="Arial" w:hAnsi="Arial" w:cs="Arial"/>
        </w:rPr>
      </w:pPr>
      <w:r w:rsidRPr="0064087E">
        <w:rPr>
          <w:rFonts w:ascii="Arial" w:hAnsi="Arial" w:cs="Arial"/>
        </w:rPr>
        <w:br w:type="page"/>
      </w:r>
    </w:p>
    <w:p w:rsidR="00D76E60" w:rsidRPr="0064087E" w:rsidRDefault="00D76E60" w:rsidP="002132EA">
      <w:pPr>
        <w:pStyle w:val="Nagwek1"/>
        <w:numPr>
          <w:ilvl w:val="0"/>
          <w:numId w:val="1"/>
        </w:numPr>
        <w:ind w:left="357" w:hanging="357"/>
      </w:pPr>
      <w:bookmarkStart w:id="14" w:name="_Toc160793868"/>
      <w:r w:rsidRPr="0064087E">
        <w:lastRenderedPageBreak/>
        <w:t>Inteligentna specjalizacja – lotnictwo i kosmonautyka</w:t>
      </w:r>
      <w:bookmarkEnd w:id="14"/>
    </w:p>
    <w:p w:rsidR="00D76E60" w:rsidRPr="0064087E" w:rsidRDefault="00D76E60" w:rsidP="002132EA">
      <w:pPr>
        <w:pStyle w:val="Nagwek2"/>
        <w:numPr>
          <w:ilvl w:val="1"/>
          <w:numId w:val="1"/>
        </w:numPr>
        <w:ind w:left="357" w:hanging="357"/>
        <w:rPr>
          <w:b/>
          <w:color w:val="auto"/>
        </w:rPr>
      </w:pPr>
      <w:bookmarkStart w:id="15" w:name="_Toc160793869"/>
      <w:r w:rsidRPr="0064087E">
        <w:rPr>
          <w:b/>
          <w:color w:val="auto"/>
        </w:rPr>
        <w:t xml:space="preserve">Sektor lotniczy </w:t>
      </w:r>
      <w:r w:rsidR="0068538C" w:rsidRPr="0064087E">
        <w:rPr>
          <w:b/>
          <w:color w:val="auto"/>
        </w:rPr>
        <w:t>w województwie podkarpackim</w:t>
      </w:r>
      <w:bookmarkEnd w:id="15"/>
    </w:p>
    <w:p w:rsidR="007E751A" w:rsidRPr="0064087E" w:rsidRDefault="00D76E60" w:rsidP="002132EA">
      <w:pPr>
        <w:spacing w:after="120" w:line="276" w:lineRule="auto"/>
        <w:rPr>
          <w:rFonts w:ascii="Arial" w:hAnsi="Arial" w:cs="Arial"/>
        </w:rPr>
      </w:pPr>
      <w:r w:rsidRPr="0064087E">
        <w:rPr>
          <w:rFonts w:ascii="Arial" w:hAnsi="Arial" w:cs="Arial"/>
        </w:rPr>
        <w:t>Województwo podkarpackie jako jedyne w Polsce na inteligentną specjalizację regionu wskazało lotnictwo i kosmonautykę.</w:t>
      </w:r>
    </w:p>
    <w:p w:rsidR="007E751A" w:rsidRPr="0064087E" w:rsidRDefault="007E751A" w:rsidP="002132EA">
      <w:pPr>
        <w:spacing w:after="120" w:line="276" w:lineRule="auto"/>
        <w:rPr>
          <w:rFonts w:ascii="Arial" w:hAnsi="Arial" w:cs="Arial"/>
        </w:rPr>
      </w:pPr>
      <w:r w:rsidRPr="0064087E">
        <w:rPr>
          <w:rFonts w:ascii="Arial" w:hAnsi="Arial" w:cs="Arial"/>
        </w:rPr>
        <w:t>Lotnictwo stanowi ogół zagadnień (technicznych, technologicznych, organizacyjnych, marketingowych, procesowych itd.) związanych z wszelkiego rodzaju statkami powietrznymi (w tym bezzałogowymi) produkowanymi zarówno dla celów cywilnych, jak i militarnych. Obszar ten obejmuje również budowę, modernizację oraz utrzymanie obiektów infrastruktury przemysłu lotniczego, innych obiektów bezpośrednio związanych z działalnością transportu lotniczego, jak też sam transport lotniczy. Lotnictwo obejmuje także produkcję paliw na potrzeby tej branży (zwłaszcza paliw alternatywnych), jak i działalność badawczo-naukową realizowaną na potrzeby rozwoju tego sektora.</w:t>
      </w:r>
    </w:p>
    <w:p w:rsidR="00D76E60" w:rsidRPr="0064087E" w:rsidRDefault="007E751A" w:rsidP="002132EA">
      <w:pPr>
        <w:spacing w:after="120" w:line="276" w:lineRule="auto"/>
        <w:rPr>
          <w:rFonts w:ascii="Arial" w:hAnsi="Arial" w:cs="Arial"/>
        </w:rPr>
      </w:pPr>
      <w:r w:rsidRPr="0064087E">
        <w:rPr>
          <w:rFonts w:ascii="Arial" w:hAnsi="Arial" w:cs="Arial"/>
        </w:rPr>
        <w:t xml:space="preserve">Przyjęta na potrzeby </w:t>
      </w:r>
      <w:r w:rsidR="00430CFF" w:rsidRPr="0064087E">
        <w:rPr>
          <w:rFonts w:ascii="Arial" w:hAnsi="Arial" w:cs="Arial"/>
        </w:rPr>
        <w:t xml:space="preserve">Regionalnej Strategii Innowacji Województwa Podkarpackiego </w:t>
      </w:r>
      <w:r w:rsidRPr="0064087E">
        <w:rPr>
          <w:rFonts w:ascii="Arial" w:hAnsi="Arial" w:cs="Arial"/>
        </w:rPr>
        <w:t xml:space="preserve">definicja kosmonautyki opisuje ją jako: </w:t>
      </w:r>
      <w:r w:rsidR="00A90845" w:rsidRPr="0064087E">
        <w:rPr>
          <w:rFonts w:ascii="Arial" w:hAnsi="Arial" w:cs="Arial"/>
        </w:rPr>
        <w:t xml:space="preserve">zespół </w:t>
      </w:r>
      <w:r w:rsidRPr="0064087E">
        <w:rPr>
          <w:rFonts w:ascii="Arial" w:hAnsi="Arial" w:cs="Arial"/>
        </w:rPr>
        <w:t xml:space="preserve">działań związanych z produkcją urządzeń kosmicznych w tym m.in. </w:t>
      </w:r>
      <w:proofErr w:type="spellStart"/>
      <w:r w:rsidRPr="0064087E">
        <w:rPr>
          <w:rFonts w:ascii="Arial" w:hAnsi="Arial" w:cs="Arial"/>
        </w:rPr>
        <w:t>satelit</w:t>
      </w:r>
      <w:proofErr w:type="spellEnd"/>
      <w:r w:rsidRPr="0064087E">
        <w:rPr>
          <w:rFonts w:ascii="Arial" w:hAnsi="Arial" w:cs="Arial"/>
        </w:rPr>
        <w:t xml:space="preserve"> oraz opracowywaniem i wdrażaniem systemów ich wznoszenia </w:t>
      </w:r>
      <w:r w:rsidR="002132EA">
        <w:rPr>
          <w:rFonts w:ascii="Arial" w:hAnsi="Arial" w:cs="Arial"/>
        </w:rPr>
        <w:br/>
      </w:r>
      <w:r w:rsidRPr="0064087E">
        <w:rPr>
          <w:rFonts w:ascii="Arial" w:hAnsi="Arial" w:cs="Arial"/>
        </w:rPr>
        <w:t xml:space="preserve">w przestrzeń kosmiczną oraz działań mających na celu wykorzystywanie danych pozyskanych za pomocą tych urządzeń, w tym świadczenie usług z wykorzystaniem tych danych. Do tego obszaru zalicza się również działalność badawczo-naukową prowadzoną </w:t>
      </w:r>
      <w:r w:rsidR="002132EA">
        <w:rPr>
          <w:rFonts w:ascii="Arial" w:hAnsi="Arial" w:cs="Arial"/>
        </w:rPr>
        <w:br/>
      </w:r>
      <w:r w:rsidRPr="0064087E">
        <w:rPr>
          <w:rFonts w:ascii="Arial" w:hAnsi="Arial" w:cs="Arial"/>
        </w:rPr>
        <w:t>w zakresie kosmonautyki</w:t>
      </w:r>
      <w:r w:rsidR="00E73A5E" w:rsidRPr="0064087E">
        <w:rPr>
          <w:rStyle w:val="Odwoanieprzypisudolnego"/>
          <w:rFonts w:ascii="Arial" w:hAnsi="Arial" w:cs="Arial"/>
        </w:rPr>
        <w:footnoteReference w:id="6"/>
      </w:r>
      <w:r w:rsidRPr="0064087E">
        <w:rPr>
          <w:rFonts w:ascii="Arial" w:hAnsi="Arial" w:cs="Arial"/>
        </w:rPr>
        <w:t>.</w:t>
      </w:r>
    </w:p>
    <w:p w:rsidR="00D76E60" w:rsidRPr="0064087E" w:rsidRDefault="00D76E60" w:rsidP="002132EA">
      <w:pPr>
        <w:spacing w:after="120" w:line="276" w:lineRule="auto"/>
        <w:rPr>
          <w:rFonts w:ascii="Arial" w:hAnsi="Arial" w:cs="Arial"/>
        </w:rPr>
      </w:pPr>
      <w:r w:rsidRPr="0064087E">
        <w:rPr>
          <w:rFonts w:ascii="Arial" w:hAnsi="Arial" w:cs="Arial"/>
        </w:rPr>
        <w:t xml:space="preserve">Sektor lotniczy w województwie podkarpackim stanowi pewną kontynuację przemysłu elektromaszynowego obecnego w regionie od czasów Centralnego Okręgu Przemysłowego. Na obszarze województwa zlokalizowano znaczną część potencjału całego sektora </w:t>
      </w:r>
      <w:r w:rsidR="002132EA">
        <w:rPr>
          <w:rFonts w:ascii="Arial" w:hAnsi="Arial" w:cs="Arial"/>
        </w:rPr>
        <w:br/>
      </w:r>
      <w:r w:rsidRPr="0064087E">
        <w:rPr>
          <w:rFonts w:ascii="Arial" w:hAnsi="Arial" w:cs="Arial"/>
        </w:rPr>
        <w:t>w Polsce. W skali Europy i świata nie ma wielu regionów dysponujących podobnymi uwarunkowaniami i możliwościami rozwoju</w:t>
      </w:r>
      <w:r w:rsidR="00BD3ABA" w:rsidRPr="0064087E">
        <w:rPr>
          <w:rFonts w:ascii="Arial" w:hAnsi="Arial" w:cs="Arial"/>
        </w:rPr>
        <w:t>.</w:t>
      </w:r>
      <w:r w:rsidR="007E751A" w:rsidRPr="0064087E">
        <w:rPr>
          <w:rFonts w:ascii="Arial" w:hAnsi="Arial" w:cs="Arial"/>
        </w:rPr>
        <w:t xml:space="preserve"> Wybór lotnictwa i kosmonautyki jako specjalizacji spełnia określone przez Komisję Europejską założenia i wymagania wobec inteligentnych specjalizacji regionu. Specjalizacja obecnie posiada duży potencjał i odgrywa istotną rolę </w:t>
      </w:r>
      <w:r w:rsidR="002132EA">
        <w:rPr>
          <w:rFonts w:ascii="Arial" w:hAnsi="Arial" w:cs="Arial"/>
        </w:rPr>
        <w:br/>
      </w:r>
      <w:r w:rsidR="007E751A" w:rsidRPr="0064087E">
        <w:rPr>
          <w:rFonts w:ascii="Arial" w:hAnsi="Arial" w:cs="Arial"/>
        </w:rPr>
        <w:t>w rozwoju gospodarczym regionu.</w:t>
      </w:r>
    </w:p>
    <w:p w:rsidR="00D76E60" w:rsidRPr="0064087E" w:rsidRDefault="00D76E60" w:rsidP="002132EA">
      <w:pPr>
        <w:spacing w:after="120" w:line="276" w:lineRule="auto"/>
        <w:rPr>
          <w:rFonts w:ascii="Arial" w:hAnsi="Arial" w:cs="Arial"/>
        </w:rPr>
      </w:pPr>
      <w:r w:rsidRPr="0064087E">
        <w:rPr>
          <w:rFonts w:ascii="Arial" w:hAnsi="Arial" w:cs="Arial"/>
        </w:rPr>
        <w:t xml:space="preserve">Specjalizacja lotnictwo i kosmonautyka posiada udowodniony potencjał naukowo-badawczy. Zaliczany jest do najbardziej innowacyjnych sektorów gospodarki. Przedsiębiorstwa </w:t>
      </w:r>
      <w:r w:rsidR="002132EA">
        <w:rPr>
          <w:rFonts w:ascii="Arial" w:hAnsi="Arial" w:cs="Arial"/>
        </w:rPr>
        <w:br/>
      </w:r>
      <w:r w:rsidRPr="0064087E">
        <w:rPr>
          <w:rFonts w:ascii="Arial" w:hAnsi="Arial" w:cs="Arial"/>
        </w:rPr>
        <w:t xml:space="preserve">z sektora lotniczego od wielu lat z powodzeniem ściśle współpracują ze szkołami wyższymi, w tym przede wszystkim z Wydziałem Budowy Maszyn i Lotnictwa Politechniki Rzeszowskiej, prowadzącym kształcenie na kierunku Lotnictwo i kosmonautyka. </w:t>
      </w:r>
      <w:r w:rsidR="00A90845" w:rsidRPr="0064087E">
        <w:rPr>
          <w:rFonts w:ascii="Arial" w:hAnsi="Arial" w:cs="Arial"/>
        </w:rPr>
        <w:t>Ponadto dz</w:t>
      </w:r>
      <w:r w:rsidRPr="0064087E">
        <w:rPr>
          <w:rFonts w:ascii="Arial" w:hAnsi="Arial" w:cs="Arial"/>
        </w:rPr>
        <w:t xml:space="preserve">ięki wspólnej inicjatywie Politechnik: Lubelskiej, Łódzkiej, Śląskiej, Warszawskiej oraz Uniwersytetu Rzeszowskiego i Stowarzyszenia Grupy Przedsiębiorców Przemysłu Lotniczego „Dolina Lotnicza” powstało Centrum Zaawansowanych Technologii AERONET. Jednym z głównych obszarów są badania, wdrażanie i komercjalizacja nowych technologii związanych </w:t>
      </w:r>
      <w:r w:rsidR="002132EA">
        <w:rPr>
          <w:rFonts w:ascii="Arial" w:hAnsi="Arial" w:cs="Arial"/>
        </w:rPr>
        <w:br/>
      </w:r>
      <w:r w:rsidRPr="0064087E">
        <w:rPr>
          <w:rFonts w:ascii="Arial" w:hAnsi="Arial" w:cs="Arial"/>
        </w:rPr>
        <w:t xml:space="preserve">z lotnictwem. Koordynatorem Centrum jest </w:t>
      </w:r>
      <w:r w:rsidR="00CA11F3" w:rsidRPr="0064087E">
        <w:rPr>
          <w:rFonts w:ascii="Arial" w:hAnsi="Arial" w:cs="Arial"/>
        </w:rPr>
        <w:t>obecnie Politechnika Rzeszowska</w:t>
      </w:r>
      <w:r w:rsidR="00CA11F3" w:rsidRPr="0064087E">
        <w:rPr>
          <w:rStyle w:val="Odwoanieprzypisudolnego"/>
          <w:rFonts w:ascii="Arial" w:hAnsi="Arial" w:cs="Arial"/>
        </w:rPr>
        <w:footnoteReference w:id="7"/>
      </w:r>
      <w:r w:rsidRPr="0064087E">
        <w:rPr>
          <w:rFonts w:ascii="Arial" w:hAnsi="Arial" w:cs="Arial"/>
        </w:rPr>
        <w:t>.</w:t>
      </w:r>
    </w:p>
    <w:p w:rsidR="00D76E60" w:rsidRPr="0064087E" w:rsidRDefault="00D76E60" w:rsidP="002132EA">
      <w:pPr>
        <w:spacing w:after="120" w:line="276" w:lineRule="auto"/>
        <w:rPr>
          <w:rFonts w:ascii="Arial" w:hAnsi="Arial" w:cs="Arial"/>
        </w:rPr>
      </w:pPr>
      <w:r w:rsidRPr="0064087E">
        <w:rPr>
          <w:rFonts w:ascii="Arial" w:hAnsi="Arial" w:cs="Arial"/>
        </w:rPr>
        <w:t xml:space="preserve">Region charakteryzuje duże nagromadzenie podmiotów gospodarczych prowadzących działalność związaną z przemysłem lotniczym i kosmonautyką. Funkcjonują również ośrodki kształcenia pilotów oraz wiele instytucji naukowo-badawczych, tworzących rozwinięte zaplecze edukacyjne i szkoleniowe. Między tymi podmiotami funkcjonuje rzeczywista </w:t>
      </w:r>
      <w:r w:rsidRPr="0064087E">
        <w:rPr>
          <w:rFonts w:ascii="Arial" w:hAnsi="Arial" w:cs="Arial"/>
        </w:rPr>
        <w:lastRenderedPageBreak/>
        <w:t>współpraca naukowo-badawcza i edukacyjna, dzięki czemu specjalizacja ma duże perspektywy rozwoju.</w:t>
      </w:r>
    </w:p>
    <w:p w:rsidR="00D76E60" w:rsidRDefault="00D76E60" w:rsidP="002132EA">
      <w:pPr>
        <w:spacing w:after="120" w:line="276" w:lineRule="auto"/>
        <w:rPr>
          <w:rFonts w:ascii="Arial" w:hAnsi="Arial" w:cs="Arial"/>
        </w:rPr>
      </w:pPr>
      <w:r w:rsidRPr="0064087E">
        <w:rPr>
          <w:rFonts w:ascii="Arial" w:hAnsi="Arial" w:cs="Arial"/>
        </w:rPr>
        <w:t>W województwie podkarpackim zlokalizowane jest również wspomniane wyżej Stowarzyszenie Grupy Przedsiębiorców Przemysłu Lotniczego „Dolina Lotnicza”. Jest to klaster o znaczeniu krajowym zrzeszający obecnie ok. 180</w:t>
      </w:r>
      <w:r w:rsidR="00E97FA5" w:rsidRPr="0064087E">
        <w:rPr>
          <w:rFonts w:ascii="Arial" w:hAnsi="Arial" w:cs="Arial"/>
        </w:rPr>
        <w:t xml:space="preserve"> </w:t>
      </w:r>
      <w:r w:rsidRPr="0064087E">
        <w:rPr>
          <w:rFonts w:ascii="Arial" w:hAnsi="Arial" w:cs="Arial"/>
        </w:rPr>
        <w:t>podmiotów z sektora lotniczego. Głównym celem jego działania jest umocnienie roli południowo-wschodniej Polski jako jednego z wiodących w Europ</w:t>
      </w:r>
      <w:r w:rsidR="00CA11F3" w:rsidRPr="0064087E">
        <w:rPr>
          <w:rFonts w:ascii="Arial" w:hAnsi="Arial" w:cs="Arial"/>
        </w:rPr>
        <w:t>ie regionów przemysłu lotniczego</w:t>
      </w:r>
      <w:r w:rsidR="00CA11F3" w:rsidRPr="0064087E">
        <w:rPr>
          <w:rStyle w:val="Odwoanieprzypisudolnego"/>
          <w:rFonts w:ascii="Arial" w:hAnsi="Arial" w:cs="Arial"/>
        </w:rPr>
        <w:footnoteReference w:id="8"/>
      </w:r>
      <w:r w:rsidRPr="0064087E">
        <w:rPr>
          <w:rFonts w:ascii="Arial" w:hAnsi="Arial" w:cs="Arial"/>
        </w:rPr>
        <w:t xml:space="preserve">. </w:t>
      </w:r>
      <w:r w:rsidR="00430CFF" w:rsidRPr="0064087E">
        <w:rPr>
          <w:rFonts w:ascii="Arial" w:hAnsi="Arial" w:cs="Arial"/>
        </w:rPr>
        <w:t>Obecnie funkcjonuje również</w:t>
      </w:r>
      <w:r w:rsidRPr="0064087E">
        <w:rPr>
          <w:rFonts w:ascii="Arial" w:hAnsi="Arial" w:cs="Arial"/>
        </w:rPr>
        <w:t xml:space="preserve"> Klaster Systemów Bezzałogowych, w ramach którego działa 13 podmiotów oraz Podkarpackie Powiązania Kooperacyjne</w:t>
      </w:r>
      <w:r w:rsidR="00513042" w:rsidRPr="0064087E">
        <w:rPr>
          <w:rFonts w:ascii="Arial" w:hAnsi="Arial" w:cs="Arial"/>
        </w:rPr>
        <w:t xml:space="preserve"> </w:t>
      </w:r>
      <w:r w:rsidRPr="0064087E">
        <w:rPr>
          <w:rFonts w:ascii="Arial" w:hAnsi="Arial" w:cs="Arial"/>
        </w:rPr>
        <w:t xml:space="preserve">Klaster Lotnictwa Lekkiego i Ultralekkiego zrzeszający </w:t>
      </w:r>
      <w:r w:rsidR="001D27B2" w:rsidRPr="0064087E">
        <w:rPr>
          <w:rFonts w:ascii="Arial" w:hAnsi="Arial" w:cs="Arial"/>
        </w:rPr>
        <w:t>ok</w:t>
      </w:r>
      <w:r w:rsidR="009C19F7" w:rsidRPr="0064087E">
        <w:rPr>
          <w:rFonts w:ascii="Arial" w:hAnsi="Arial" w:cs="Arial"/>
        </w:rPr>
        <w:t>.</w:t>
      </w:r>
      <w:r w:rsidR="001D27B2" w:rsidRPr="0064087E">
        <w:rPr>
          <w:rFonts w:ascii="Arial" w:hAnsi="Arial" w:cs="Arial"/>
        </w:rPr>
        <w:t xml:space="preserve"> 40 </w:t>
      </w:r>
      <w:r w:rsidRPr="0064087E">
        <w:rPr>
          <w:rFonts w:ascii="Arial" w:hAnsi="Arial" w:cs="Arial"/>
        </w:rPr>
        <w:t>podmiotów</w:t>
      </w:r>
      <w:r w:rsidR="00CA11F3" w:rsidRPr="0064087E">
        <w:rPr>
          <w:rStyle w:val="Odwoanieprzypisudolnego"/>
          <w:rFonts w:ascii="Arial" w:hAnsi="Arial" w:cs="Arial"/>
        </w:rPr>
        <w:footnoteReference w:id="9"/>
      </w:r>
      <w:r w:rsidRPr="0064087E">
        <w:rPr>
          <w:rFonts w:ascii="Arial" w:hAnsi="Arial" w:cs="Arial"/>
        </w:rPr>
        <w:t>.</w:t>
      </w:r>
    </w:p>
    <w:p w:rsidR="0040437C" w:rsidRPr="000E4E17" w:rsidRDefault="0040437C" w:rsidP="002132EA">
      <w:pPr>
        <w:spacing w:after="120" w:line="276" w:lineRule="auto"/>
        <w:rPr>
          <w:rFonts w:ascii="Arial" w:hAnsi="Arial" w:cs="Arial"/>
        </w:rPr>
      </w:pPr>
      <w:r w:rsidRPr="000E4E17">
        <w:rPr>
          <w:rFonts w:ascii="Arial" w:hAnsi="Arial" w:cs="Arial"/>
        </w:rPr>
        <w:t xml:space="preserve">W Mielcu oraz Kośnie powstaną Branżowe Centra Umiejętności, które nie tylko będą kształcić fachowców dla lotnictwa, ale również zacieśniać współpracę między szkołami </w:t>
      </w:r>
      <w:r w:rsidR="002132EA">
        <w:rPr>
          <w:rFonts w:ascii="Arial" w:hAnsi="Arial" w:cs="Arial"/>
        </w:rPr>
        <w:br/>
      </w:r>
      <w:r w:rsidRPr="000E4E17">
        <w:rPr>
          <w:rFonts w:ascii="Arial" w:hAnsi="Arial" w:cs="Arial"/>
        </w:rPr>
        <w:t xml:space="preserve">i firmami. </w:t>
      </w:r>
      <w:r w:rsidR="00811E89" w:rsidRPr="000E4E17">
        <w:rPr>
          <w:rFonts w:ascii="Arial" w:hAnsi="Arial" w:cs="Arial"/>
        </w:rPr>
        <w:t>Zostaną wyposażone w najnowsze technologie oraz sprzęt, a szkolenia poprowadzą specjaliści.</w:t>
      </w:r>
    </w:p>
    <w:p w:rsidR="00D76E60" w:rsidRPr="0064087E" w:rsidRDefault="00D76E60" w:rsidP="002132EA">
      <w:pPr>
        <w:spacing w:after="120" w:line="276" w:lineRule="auto"/>
        <w:rPr>
          <w:rFonts w:ascii="Arial" w:hAnsi="Arial" w:cs="Arial"/>
        </w:rPr>
      </w:pPr>
      <w:r w:rsidRPr="0064087E">
        <w:rPr>
          <w:rFonts w:ascii="Arial" w:hAnsi="Arial" w:cs="Arial"/>
        </w:rPr>
        <w:t xml:space="preserve">Przemysł lotniczy województwa podkarpackiego osiągnął światowy poziom. Działające </w:t>
      </w:r>
      <w:r w:rsidRPr="0064087E">
        <w:rPr>
          <w:rFonts w:ascii="Arial" w:hAnsi="Arial" w:cs="Arial"/>
        </w:rPr>
        <w:br/>
        <w:t>w regionie przedsiębiorstwa obecnie są pełnoprawnymi uczestnikami światowego łańcucha dostaw, stanowiąc trwały element globalnego przemysłu lotniczego. Należy zauważyć również, że zaliczane do sektorów wysokich technologii lotnictwo i kosmonautyka oddziałują na rozwój innych gałęzi przemysłu. Wytwarzane technologie, materiały i koncepcje rozwiązań znajdują zastosowanie w wielu obszarach gospodarki, dzięki czemu niekwestionowany pozostaje wpływ tej inteligentnej specjalizacji na rozwój gospodarczy regionu.</w:t>
      </w:r>
      <w:r w:rsidR="0019201E" w:rsidRPr="0064087E">
        <w:rPr>
          <w:rFonts w:ascii="Arial" w:hAnsi="Arial" w:cs="Arial"/>
        </w:rPr>
        <w:t xml:space="preserve"> </w:t>
      </w:r>
      <w:r w:rsidRPr="0064087E">
        <w:rPr>
          <w:rFonts w:ascii="Arial" w:hAnsi="Arial" w:cs="Arial"/>
        </w:rPr>
        <w:t>Wszystkie te czynniki zadecydowały o wskazaniu lotnictwa i kosmonautyki jako inteligentnej specjalizacji województwa podkarpackiego.</w:t>
      </w:r>
    </w:p>
    <w:p w:rsidR="00D76E60" w:rsidRPr="0064087E" w:rsidRDefault="00D76E60" w:rsidP="002132EA">
      <w:pPr>
        <w:pStyle w:val="Nagwek2"/>
        <w:numPr>
          <w:ilvl w:val="1"/>
          <w:numId w:val="1"/>
        </w:numPr>
        <w:ind w:left="357" w:hanging="357"/>
        <w:rPr>
          <w:b/>
          <w:color w:val="auto"/>
        </w:rPr>
      </w:pPr>
      <w:bookmarkStart w:id="17" w:name="_Toc160793870"/>
      <w:r w:rsidRPr="0064087E">
        <w:rPr>
          <w:b/>
          <w:color w:val="auto"/>
        </w:rPr>
        <w:t>Sytuacja finansowo-ekonomiczna firm branży lotniczej w województwie podkarpackim</w:t>
      </w:r>
      <w:bookmarkEnd w:id="17"/>
    </w:p>
    <w:p w:rsidR="00D76E60" w:rsidRPr="0064087E" w:rsidRDefault="00D76E60" w:rsidP="002132EA">
      <w:pPr>
        <w:spacing w:after="120" w:line="276" w:lineRule="auto"/>
        <w:rPr>
          <w:rFonts w:ascii="Arial" w:hAnsi="Arial" w:cs="Arial"/>
        </w:rPr>
      </w:pPr>
      <w:r w:rsidRPr="0064087E">
        <w:rPr>
          <w:rFonts w:ascii="Arial" w:hAnsi="Arial" w:cs="Arial"/>
        </w:rPr>
        <w:t xml:space="preserve">Na potrzeby niniejszej analizy, pod pojęciem sektora lotniczego </w:t>
      </w:r>
      <w:r w:rsidR="00060F8A" w:rsidRPr="0064087E">
        <w:rPr>
          <w:rFonts w:ascii="Arial" w:hAnsi="Arial" w:cs="Arial"/>
        </w:rPr>
        <w:t>(</w:t>
      </w:r>
      <w:r w:rsidRPr="0064087E">
        <w:rPr>
          <w:rFonts w:ascii="Arial" w:hAnsi="Arial" w:cs="Arial"/>
        </w:rPr>
        <w:t>lotnictwa</w:t>
      </w:r>
      <w:r w:rsidR="00060F8A" w:rsidRPr="0064087E">
        <w:rPr>
          <w:rFonts w:ascii="Arial" w:hAnsi="Arial" w:cs="Arial"/>
        </w:rPr>
        <w:t>)</w:t>
      </w:r>
      <w:r w:rsidRPr="0064087E">
        <w:rPr>
          <w:rFonts w:ascii="Arial" w:hAnsi="Arial" w:cs="Arial"/>
        </w:rPr>
        <w:t xml:space="preserve"> należy rozumieć jednostki zaklasyfikowane do następujących działów PKD tj.: 19.20, 24.53, 25.40, 25.61, 25.62, 27.40, 27.90, 28.99, 29.32, 30.30, 33.12, 33.16, 71.12, 85.53.</w:t>
      </w:r>
      <w:r w:rsidR="0019201E" w:rsidRPr="0064087E">
        <w:rPr>
          <w:rFonts w:ascii="Arial" w:hAnsi="Arial" w:cs="Arial"/>
        </w:rPr>
        <w:t xml:space="preserve"> </w:t>
      </w:r>
      <w:r w:rsidRPr="0064087E">
        <w:rPr>
          <w:rFonts w:ascii="Arial" w:hAnsi="Arial" w:cs="Arial"/>
        </w:rPr>
        <w:t>W 2017 r. było 129 jednostek, w 2018 r. – 137, w 2019 r. – 130, w 2020 r. – 130, w 2021 r. – 128 jednostek. Przedsiębiorstwa zajmujące się lotnictwem ulokowały swoje siedziby głównie w Rzeszowie oraz w</w:t>
      </w:r>
      <w:r w:rsidR="0077037D" w:rsidRPr="0064087E">
        <w:rPr>
          <w:rFonts w:ascii="Arial" w:hAnsi="Arial" w:cs="Arial"/>
        </w:rPr>
        <w:t xml:space="preserve"> powiatach</w:t>
      </w:r>
      <w:r w:rsidRPr="0064087E">
        <w:rPr>
          <w:rFonts w:ascii="Arial" w:hAnsi="Arial" w:cs="Arial"/>
        </w:rPr>
        <w:t>: mieleckim, stalowowolskim i rzeszowsk</w:t>
      </w:r>
      <w:r w:rsidR="007C351B" w:rsidRPr="0064087E">
        <w:rPr>
          <w:rFonts w:ascii="Arial" w:hAnsi="Arial" w:cs="Arial"/>
        </w:rPr>
        <w:t>im.</w:t>
      </w:r>
    </w:p>
    <w:p w:rsidR="00D76E60" w:rsidRPr="0064087E" w:rsidRDefault="00D76E60">
      <w:pPr>
        <w:widowControl/>
        <w:autoSpaceDE/>
        <w:autoSpaceDN/>
        <w:spacing w:after="160" w:line="259" w:lineRule="auto"/>
        <w:rPr>
          <w:rFonts w:ascii="Arial" w:hAnsi="Arial" w:cs="Arial"/>
        </w:rPr>
      </w:pPr>
      <w:r w:rsidRPr="0064087E">
        <w:rPr>
          <w:rFonts w:ascii="Arial" w:hAnsi="Arial" w:cs="Arial"/>
        </w:rPr>
        <w:br w:type="page"/>
      </w:r>
    </w:p>
    <w:p w:rsidR="00672B1C" w:rsidRPr="0064087E" w:rsidRDefault="00672B1C" w:rsidP="00672B1C">
      <w:pPr>
        <w:pStyle w:val="Legenda"/>
        <w:keepNext/>
        <w:rPr>
          <w:rFonts w:ascii="Arial" w:hAnsi="Arial" w:cs="Arial"/>
          <w:i w:val="0"/>
          <w:color w:val="auto"/>
          <w:sz w:val="22"/>
          <w:szCs w:val="22"/>
        </w:rPr>
      </w:pPr>
      <w:bookmarkStart w:id="18" w:name="_Toc161123001"/>
      <w:r w:rsidRPr="0064087E">
        <w:rPr>
          <w:rFonts w:ascii="Arial" w:hAnsi="Arial" w:cs="Arial"/>
          <w:b/>
          <w:i w:val="0"/>
          <w:color w:val="auto"/>
          <w:sz w:val="22"/>
          <w:szCs w:val="22"/>
        </w:rPr>
        <w:lastRenderedPageBreak/>
        <w:t xml:space="preserve">Rysunek </w:t>
      </w:r>
      <w:r w:rsidRPr="0064087E">
        <w:rPr>
          <w:rFonts w:ascii="Arial" w:hAnsi="Arial" w:cs="Arial"/>
          <w:b/>
          <w:i w:val="0"/>
          <w:color w:val="auto"/>
          <w:sz w:val="22"/>
          <w:szCs w:val="22"/>
        </w:rPr>
        <w:fldChar w:fldCharType="begin"/>
      </w:r>
      <w:r w:rsidRPr="0064087E">
        <w:rPr>
          <w:rFonts w:ascii="Arial" w:hAnsi="Arial" w:cs="Arial"/>
          <w:b/>
          <w:i w:val="0"/>
          <w:color w:val="auto"/>
          <w:sz w:val="22"/>
          <w:szCs w:val="22"/>
        </w:rPr>
        <w:instrText xml:space="preserve"> SEQ Rysunek \* ARABIC </w:instrText>
      </w:r>
      <w:r w:rsidRPr="0064087E">
        <w:rPr>
          <w:rFonts w:ascii="Arial" w:hAnsi="Arial" w:cs="Arial"/>
          <w:b/>
          <w:i w:val="0"/>
          <w:color w:val="auto"/>
          <w:sz w:val="22"/>
          <w:szCs w:val="22"/>
        </w:rPr>
        <w:fldChar w:fldCharType="separate"/>
      </w:r>
      <w:r w:rsidR="00884DAD">
        <w:rPr>
          <w:rFonts w:ascii="Arial" w:hAnsi="Arial" w:cs="Arial"/>
          <w:b/>
          <w:i w:val="0"/>
          <w:noProof/>
          <w:color w:val="auto"/>
          <w:sz w:val="22"/>
          <w:szCs w:val="22"/>
        </w:rPr>
        <w:t>1</w:t>
      </w:r>
      <w:r w:rsidRPr="0064087E">
        <w:rPr>
          <w:rFonts w:ascii="Arial" w:hAnsi="Arial" w:cs="Arial"/>
          <w:b/>
          <w:i w:val="0"/>
          <w:color w:val="auto"/>
          <w:sz w:val="22"/>
          <w:szCs w:val="22"/>
        </w:rPr>
        <w:fldChar w:fldCharType="end"/>
      </w:r>
      <w:r w:rsidR="009D6051" w:rsidRPr="0064087E">
        <w:rPr>
          <w:rFonts w:ascii="Arial" w:hAnsi="Arial" w:cs="Arial"/>
          <w:b/>
          <w:i w:val="0"/>
          <w:color w:val="auto"/>
          <w:sz w:val="22"/>
          <w:szCs w:val="22"/>
        </w:rPr>
        <w:t>.</w:t>
      </w:r>
      <w:r w:rsidRPr="0064087E">
        <w:rPr>
          <w:rFonts w:ascii="Arial" w:hAnsi="Arial" w:cs="Arial"/>
          <w:i w:val="0"/>
          <w:color w:val="auto"/>
          <w:sz w:val="22"/>
          <w:szCs w:val="22"/>
        </w:rPr>
        <w:t xml:space="preserve"> Rozmieszczenie firm branży lotniczej w 2021 r.</w:t>
      </w:r>
      <w:bookmarkEnd w:id="18"/>
    </w:p>
    <w:p w:rsidR="00D76E60" w:rsidRPr="0064087E" w:rsidRDefault="00D76E60" w:rsidP="00D76E60">
      <w:pPr>
        <w:spacing w:after="120" w:line="276" w:lineRule="auto"/>
        <w:jc w:val="center"/>
        <w:rPr>
          <w:rFonts w:ascii="Arial" w:hAnsi="Arial" w:cs="Arial"/>
        </w:rPr>
      </w:pPr>
      <w:r w:rsidRPr="0064087E">
        <w:rPr>
          <w:noProof/>
          <w:lang w:eastAsia="pl-PL"/>
        </w:rPr>
        <w:drawing>
          <wp:inline distT="0" distB="0" distL="0" distR="0" wp14:anchorId="10D4232E" wp14:editId="35564CCA">
            <wp:extent cx="4391025" cy="4391025"/>
            <wp:effectExtent l="0" t="0" r="9525" b="9525"/>
            <wp:docPr id="3199" name="Obraz 3199" descr="Kontur województwa podkarpackiego w tym zaznaczone miejsca rozmieszczenia firm branży lotniczej. Najwięcej firm znajduje się w granicach powiatów: dębickiego, mieleckiego, ropczyckiego, kolbuszowskiego, rzeszowskiego, łańcuckiego leżajskiego przeworskiego i jarosławskiego, Ponadto firmy znajdują się w poszczególnych jednostkach terytorialnych: Osiek Jasielski, Jasło, Chorkówka, Krosno, Strzyżów, Brzozów, Sanok, Zagórz, Ustrzyki Dolne, Przemyśl, Lubaczów. Najwięcej firm znajduję się: Rzeszów, Trzebownisko, Mielec, Stalowa W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91025" cy="4391025"/>
                    </a:xfrm>
                    <a:prstGeom prst="rect">
                      <a:avLst/>
                    </a:prstGeom>
                    <a:noFill/>
                    <a:ln>
                      <a:noFill/>
                    </a:ln>
                  </pic:spPr>
                </pic:pic>
              </a:graphicData>
            </a:graphic>
          </wp:inline>
        </w:drawing>
      </w:r>
    </w:p>
    <w:p w:rsidR="00D76E60" w:rsidRPr="0064087E" w:rsidRDefault="00D76E60" w:rsidP="00D76E60">
      <w:pPr>
        <w:spacing w:after="120" w:line="276" w:lineRule="auto"/>
        <w:jc w:val="center"/>
        <w:rPr>
          <w:rFonts w:ascii="Arial" w:hAnsi="Arial" w:cs="Arial"/>
        </w:rPr>
      </w:pPr>
      <w:r w:rsidRPr="0064087E">
        <w:rPr>
          <w:rFonts w:ascii="Arial" w:hAnsi="Arial" w:cs="Arial"/>
        </w:rPr>
        <w:t xml:space="preserve">Źródło: </w:t>
      </w:r>
      <w:r w:rsidR="005E1D71" w:rsidRPr="0064087E">
        <w:rPr>
          <w:rFonts w:ascii="Arial" w:hAnsi="Arial" w:cs="Arial"/>
        </w:rPr>
        <w:t>Opracowanie własne na podstawie danych GUS</w:t>
      </w:r>
      <w:r w:rsidRPr="0064087E">
        <w:rPr>
          <w:rFonts w:ascii="Arial" w:hAnsi="Arial" w:cs="Arial"/>
        </w:rPr>
        <w:t>.</w:t>
      </w:r>
    </w:p>
    <w:p w:rsidR="001D1790" w:rsidRPr="0064087E" w:rsidRDefault="00D76E60" w:rsidP="002132EA">
      <w:pPr>
        <w:spacing w:after="240" w:line="276" w:lineRule="auto"/>
        <w:rPr>
          <w:rFonts w:ascii="Arial" w:hAnsi="Arial" w:cs="Arial"/>
        </w:rPr>
      </w:pPr>
      <w:r w:rsidRPr="0064087E">
        <w:rPr>
          <w:rFonts w:ascii="Arial" w:hAnsi="Arial" w:cs="Arial"/>
        </w:rPr>
        <w:t>W latach 2017-2021 w przedsiębio</w:t>
      </w:r>
      <w:r w:rsidR="00A7214C" w:rsidRPr="0064087E">
        <w:rPr>
          <w:rFonts w:ascii="Arial" w:hAnsi="Arial" w:cs="Arial"/>
        </w:rPr>
        <w:t>rstwach związanych z lotnictwem</w:t>
      </w:r>
      <w:r w:rsidR="00A7214C" w:rsidRPr="0064087E">
        <w:rPr>
          <w:rStyle w:val="Odwoanieprzypisudolnego"/>
          <w:rFonts w:ascii="Arial" w:hAnsi="Arial" w:cs="Arial"/>
        </w:rPr>
        <w:footnoteReference w:id="10"/>
      </w:r>
      <w:r w:rsidRPr="0064087E">
        <w:rPr>
          <w:rFonts w:ascii="Arial" w:hAnsi="Arial" w:cs="Arial"/>
        </w:rPr>
        <w:t xml:space="preserve"> mających siedzibę </w:t>
      </w:r>
      <w:r w:rsidRPr="0064087E">
        <w:rPr>
          <w:rFonts w:ascii="Arial" w:hAnsi="Arial" w:cs="Arial"/>
        </w:rPr>
        <w:br/>
        <w:t xml:space="preserve">w województwie podkarpackim tendencje wzrostowe wykazywały zarówno przychody, jak </w:t>
      </w:r>
      <w:r w:rsidRPr="0064087E">
        <w:rPr>
          <w:rFonts w:ascii="Arial" w:hAnsi="Arial" w:cs="Arial"/>
        </w:rPr>
        <w:br/>
        <w:t>i</w:t>
      </w:r>
      <w:r w:rsidR="007C351B" w:rsidRPr="0064087E">
        <w:rPr>
          <w:rFonts w:ascii="Arial" w:hAnsi="Arial" w:cs="Arial"/>
        </w:rPr>
        <w:t xml:space="preserve"> koszty z całokształtu działal</w:t>
      </w:r>
      <w:r w:rsidRPr="0064087E">
        <w:rPr>
          <w:rFonts w:ascii="Arial" w:hAnsi="Arial" w:cs="Arial"/>
        </w:rPr>
        <w:t xml:space="preserve">ności (z wyjątkiem 2020 r. gdzie nastąpił spadek zarówno przychodów jak i kosztów z całokształtu działalności). W analizowanym okresie wskaźnik </w:t>
      </w:r>
      <w:r w:rsidR="007C351B" w:rsidRPr="0064087E">
        <w:rPr>
          <w:rFonts w:ascii="Arial" w:hAnsi="Arial" w:cs="Arial"/>
        </w:rPr>
        <w:t xml:space="preserve">poziomu kosztów poprawiał się </w:t>
      </w:r>
      <w:r w:rsidRPr="0064087E">
        <w:rPr>
          <w:rFonts w:ascii="Arial" w:hAnsi="Arial" w:cs="Arial"/>
        </w:rPr>
        <w:t xml:space="preserve">(z wyjątkiem 2019 r. gdzie nieznacznie się pogorszył) </w:t>
      </w:r>
      <w:r w:rsidRPr="0064087E">
        <w:rPr>
          <w:rFonts w:ascii="Arial" w:hAnsi="Arial" w:cs="Arial"/>
        </w:rPr>
        <w:br/>
      </w:r>
      <w:r w:rsidRPr="0064087E">
        <w:rPr>
          <w:rFonts w:ascii="Arial" w:hAnsi="Arial" w:cs="Arial"/>
        </w:rPr>
        <w:lastRenderedPageBreak/>
        <w:t>i w 2021 r. wynosił 94,9</w:t>
      </w:r>
      <w:r w:rsidR="00513042" w:rsidRPr="0064087E">
        <w:rPr>
          <w:rFonts w:ascii="Arial" w:hAnsi="Arial" w:cs="Arial"/>
        </w:rPr>
        <w:t>%</w:t>
      </w:r>
      <w:r w:rsidRPr="0064087E">
        <w:rPr>
          <w:rFonts w:ascii="Arial" w:hAnsi="Arial" w:cs="Arial"/>
        </w:rPr>
        <w:t>.</w:t>
      </w:r>
    </w:p>
    <w:p w:rsidR="007C351B" w:rsidRPr="0064087E" w:rsidRDefault="007C351B" w:rsidP="002132EA">
      <w:pPr>
        <w:pStyle w:val="Legenda"/>
        <w:keepNext/>
        <w:rPr>
          <w:rFonts w:ascii="Arial" w:hAnsi="Arial" w:cs="Arial"/>
          <w:i w:val="0"/>
          <w:color w:val="auto"/>
          <w:sz w:val="22"/>
          <w:szCs w:val="22"/>
        </w:rPr>
      </w:pPr>
      <w:bookmarkStart w:id="19" w:name="_Toc160793517"/>
      <w:r w:rsidRPr="0064087E">
        <w:rPr>
          <w:rFonts w:ascii="Arial" w:hAnsi="Arial" w:cs="Arial"/>
          <w:b/>
          <w:i w:val="0"/>
          <w:color w:val="auto"/>
          <w:sz w:val="22"/>
          <w:szCs w:val="22"/>
        </w:rPr>
        <w:t xml:space="preserve">Wykres </w:t>
      </w:r>
      <w:r w:rsidR="005922CE">
        <w:rPr>
          <w:rFonts w:ascii="Arial" w:hAnsi="Arial" w:cs="Arial"/>
          <w:b/>
          <w:i w:val="0"/>
          <w:color w:val="auto"/>
          <w:sz w:val="22"/>
          <w:szCs w:val="22"/>
        </w:rPr>
        <w:fldChar w:fldCharType="begin"/>
      </w:r>
      <w:r w:rsidR="005922CE">
        <w:rPr>
          <w:rFonts w:ascii="Arial" w:hAnsi="Arial" w:cs="Arial"/>
          <w:b/>
          <w:i w:val="0"/>
          <w:color w:val="auto"/>
          <w:sz w:val="22"/>
          <w:szCs w:val="22"/>
        </w:rPr>
        <w:instrText xml:space="preserve"> SEQ Wykres \* ARABIC </w:instrText>
      </w:r>
      <w:r w:rsidR="005922CE">
        <w:rPr>
          <w:rFonts w:ascii="Arial" w:hAnsi="Arial" w:cs="Arial"/>
          <w:b/>
          <w:i w:val="0"/>
          <w:color w:val="auto"/>
          <w:sz w:val="22"/>
          <w:szCs w:val="22"/>
        </w:rPr>
        <w:fldChar w:fldCharType="separate"/>
      </w:r>
      <w:r w:rsidR="00884DAD">
        <w:rPr>
          <w:rFonts w:ascii="Arial" w:hAnsi="Arial" w:cs="Arial"/>
          <w:b/>
          <w:i w:val="0"/>
          <w:noProof/>
          <w:color w:val="auto"/>
          <w:sz w:val="22"/>
          <w:szCs w:val="22"/>
        </w:rPr>
        <w:t>11</w:t>
      </w:r>
      <w:r w:rsidR="005922CE">
        <w:rPr>
          <w:rFonts w:ascii="Arial" w:hAnsi="Arial" w:cs="Arial"/>
          <w:b/>
          <w:i w:val="0"/>
          <w:color w:val="auto"/>
          <w:sz w:val="22"/>
          <w:szCs w:val="22"/>
        </w:rPr>
        <w:fldChar w:fldCharType="end"/>
      </w:r>
      <w:r w:rsidR="00315515" w:rsidRPr="0064087E">
        <w:rPr>
          <w:rFonts w:ascii="Arial" w:hAnsi="Arial" w:cs="Arial"/>
          <w:b/>
          <w:i w:val="0"/>
          <w:color w:val="auto"/>
          <w:sz w:val="22"/>
          <w:szCs w:val="22"/>
        </w:rPr>
        <w:t>.</w:t>
      </w:r>
      <w:r w:rsidRPr="0064087E">
        <w:rPr>
          <w:rFonts w:ascii="Arial" w:hAnsi="Arial" w:cs="Arial"/>
          <w:i w:val="0"/>
          <w:color w:val="auto"/>
          <w:sz w:val="22"/>
          <w:szCs w:val="22"/>
        </w:rPr>
        <w:t xml:space="preserve"> Przychody, koszty oraz wskaźnik poziomu kosztów z całokształtu działalności firm branży lotniczej z wojewódz</w:t>
      </w:r>
      <w:r w:rsidR="00EF5637" w:rsidRPr="0064087E">
        <w:rPr>
          <w:rFonts w:ascii="Arial" w:hAnsi="Arial" w:cs="Arial"/>
          <w:i w:val="0"/>
          <w:color w:val="auto"/>
          <w:sz w:val="22"/>
          <w:szCs w:val="22"/>
        </w:rPr>
        <w:t>twa podkarpackiego w latach 2017-2021</w:t>
      </w:r>
      <w:r w:rsidR="00E43864" w:rsidRPr="0064087E">
        <w:rPr>
          <w:rFonts w:ascii="Arial" w:hAnsi="Arial" w:cs="Arial"/>
          <w:i w:val="0"/>
          <w:color w:val="auto"/>
          <w:sz w:val="22"/>
          <w:szCs w:val="22"/>
        </w:rPr>
        <w:t>.</w:t>
      </w:r>
      <w:bookmarkEnd w:id="19"/>
    </w:p>
    <w:p w:rsidR="007C351B" w:rsidRPr="0064087E" w:rsidRDefault="006839D3" w:rsidP="007C351B">
      <w:pPr>
        <w:spacing w:after="120" w:line="276" w:lineRule="auto"/>
        <w:jc w:val="center"/>
        <w:rPr>
          <w:rFonts w:ascii="Arial" w:hAnsi="Arial" w:cs="Arial"/>
        </w:rPr>
      </w:pPr>
      <w:r w:rsidRPr="0064087E">
        <w:rPr>
          <w:noProof/>
          <w:lang w:eastAsia="pl-PL"/>
        </w:rPr>
        <w:drawing>
          <wp:inline distT="0" distB="0" distL="0" distR="0" wp14:anchorId="4ACCBA3F" wp14:editId="2B11ED10">
            <wp:extent cx="4572000" cy="2743200"/>
            <wp:effectExtent l="0" t="0" r="0" b="0"/>
            <wp:docPr id="7" name="Wykres 7" descr="Wykres kolumnowy w tym dane w mln zł przychody z całokształtu działalności: 8,63 w 2017, 8,80 w 2018, 9,72 w 2019, 8,48 w 2020, 9,71 w 2021. Koszty uzyskania przychodów z całokształtu działalności: 7,56 w 2017, 7,98 w 2018, 8,66 w 2019, 7,97 w 2020, 9,21 w 2021. Wskaźnik poziomu kosztów z całokształtu działalności w %: 87,6 w 2017, 90,6 w 2018, 89,1 w 2019, 93,9 w 2020, 94,9 w 2021 ">
              <a:extLst xmlns:a="http://schemas.openxmlformats.org/drawingml/2006/main">
                <a:ext uri="{FF2B5EF4-FFF2-40B4-BE49-F238E27FC236}">
                  <a16:creationId xmlns:a16="http://schemas.microsoft.com/office/drawing/2014/main" id="{E844B3CA-0433-4996-8E54-EFF95C7B34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C351B" w:rsidRPr="0064087E" w:rsidRDefault="007C351B" w:rsidP="007C351B">
      <w:pPr>
        <w:spacing w:after="120" w:line="276" w:lineRule="auto"/>
        <w:jc w:val="center"/>
        <w:rPr>
          <w:rFonts w:ascii="Arial" w:hAnsi="Arial" w:cs="Arial"/>
        </w:rPr>
      </w:pPr>
      <w:r w:rsidRPr="0064087E">
        <w:rPr>
          <w:rFonts w:ascii="Arial" w:hAnsi="Arial" w:cs="Arial"/>
        </w:rPr>
        <w:t xml:space="preserve">Źródło: </w:t>
      </w:r>
      <w:r w:rsidR="00BA7A28" w:rsidRPr="0064087E">
        <w:rPr>
          <w:rFonts w:ascii="Arial" w:hAnsi="Arial" w:cs="Arial"/>
        </w:rPr>
        <w:t>Opracowanie własne na podstawie danych GUS</w:t>
      </w:r>
      <w:r w:rsidRPr="0064087E">
        <w:rPr>
          <w:rFonts w:ascii="Arial" w:hAnsi="Arial" w:cs="Arial"/>
        </w:rPr>
        <w:t>.</w:t>
      </w:r>
    </w:p>
    <w:p w:rsidR="007C351B" w:rsidRPr="0064087E" w:rsidRDefault="007C351B" w:rsidP="002132EA">
      <w:pPr>
        <w:spacing w:after="120" w:line="276" w:lineRule="auto"/>
        <w:rPr>
          <w:rFonts w:ascii="Arial" w:hAnsi="Arial" w:cs="Arial"/>
        </w:rPr>
      </w:pPr>
      <w:r w:rsidRPr="0064087E">
        <w:rPr>
          <w:rFonts w:ascii="Arial" w:hAnsi="Arial" w:cs="Arial"/>
        </w:rPr>
        <w:t xml:space="preserve">W przedsiębiorstwach branży lotniczej w latach 2017-2021 udział eksportu w przychodach ze sprzedaży był stosunkowo wysoki i przekraczał lub był niewiele poniżej 70%. </w:t>
      </w:r>
      <w:r w:rsidRPr="0064087E">
        <w:rPr>
          <w:rFonts w:ascii="Arial" w:hAnsi="Arial" w:cs="Arial"/>
        </w:rPr>
        <w:br/>
        <w:t xml:space="preserve">W województwie podkarpackim udział eksportu wahał się w analizowanym okresie </w:t>
      </w:r>
      <w:r w:rsidRPr="0064087E">
        <w:rPr>
          <w:rFonts w:ascii="Arial" w:hAnsi="Arial" w:cs="Arial"/>
        </w:rPr>
        <w:br/>
        <w:t xml:space="preserve">w granicach od 23,2% do 24,4%, natomiast w kraju w przedziale </w:t>
      </w:r>
      <w:r w:rsidR="00BB4EB9" w:rsidRPr="0064087E">
        <w:rPr>
          <w:rFonts w:ascii="Arial" w:hAnsi="Arial" w:cs="Arial"/>
        </w:rPr>
        <w:t xml:space="preserve">od </w:t>
      </w:r>
      <w:r w:rsidRPr="0064087E">
        <w:rPr>
          <w:rFonts w:ascii="Arial" w:hAnsi="Arial" w:cs="Arial"/>
        </w:rPr>
        <w:t>22,8%</w:t>
      </w:r>
      <w:r w:rsidR="00BB4EB9" w:rsidRPr="0064087E">
        <w:rPr>
          <w:rFonts w:ascii="Arial" w:hAnsi="Arial" w:cs="Arial"/>
        </w:rPr>
        <w:t xml:space="preserve"> do </w:t>
      </w:r>
      <w:r w:rsidRPr="0064087E">
        <w:rPr>
          <w:rFonts w:ascii="Arial" w:hAnsi="Arial" w:cs="Arial"/>
        </w:rPr>
        <w:t>23,5%.</w:t>
      </w:r>
    </w:p>
    <w:p w:rsidR="0020340C" w:rsidRPr="0064087E" w:rsidRDefault="0020340C" w:rsidP="002132EA">
      <w:pPr>
        <w:spacing w:after="120" w:line="276" w:lineRule="auto"/>
        <w:rPr>
          <w:rFonts w:ascii="Arial" w:hAnsi="Arial" w:cs="Arial"/>
        </w:rPr>
      </w:pPr>
      <w:bookmarkStart w:id="20" w:name="_Toc160793518"/>
      <w:r w:rsidRPr="0064087E">
        <w:rPr>
          <w:rFonts w:ascii="Arial" w:hAnsi="Arial" w:cs="Arial"/>
          <w:b/>
        </w:rPr>
        <w:t xml:space="preserve">Wykres </w:t>
      </w:r>
      <w:r w:rsidR="005922CE">
        <w:rPr>
          <w:rFonts w:ascii="Arial" w:hAnsi="Arial" w:cs="Arial"/>
          <w:b/>
        </w:rPr>
        <w:fldChar w:fldCharType="begin"/>
      </w:r>
      <w:r w:rsidR="005922CE">
        <w:rPr>
          <w:rFonts w:ascii="Arial" w:hAnsi="Arial" w:cs="Arial"/>
          <w:b/>
        </w:rPr>
        <w:instrText xml:space="preserve"> SEQ Wykres \* ARABIC </w:instrText>
      </w:r>
      <w:r w:rsidR="005922CE">
        <w:rPr>
          <w:rFonts w:ascii="Arial" w:hAnsi="Arial" w:cs="Arial"/>
          <w:b/>
        </w:rPr>
        <w:fldChar w:fldCharType="separate"/>
      </w:r>
      <w:r w:rsidR="00884DAD">
        <w:rPr>
          <w:rFonts w:ascii="Arial" w:hAnsi="Arial" w:cs="Arial"/>
          <w:b/>
          <w:noProof/>
        </w:rPr>
        <w:t>12</w:t>
      </w:r>
      <w:r w:rsidR="005922CE">
        <w:rPr>
          <w:rFonts w:ascii="Arial" w:hAnsi="Arial" w:cs="Arial"/>
          <w:b/>
        </w:rPr>
        <w:fldChar w:fldCharType="end"/>
      </w:r>
      <w:r w:rsidR="00315515" w:rsidRPr="0064087E">
        <w:rPr>
          <w:rFonts w:ascii="Arial" w:hAnsi="Arial" w:cs="Arial"/>
          <w:b/>
        </w:rPr>
        <w:t>.</w:t>
      </w:r>
      <w:r w:rsidRPr="0064087E">
        <w:rPr>
          <w:rFonts w:ascii="Arial" w:hAnsi="Arial" w:cs="Arial"/>
        </w:rPr>
        <w:t xml:space="preserve"> Udział przychodów netto ze sprzedaży produktów, towarów i materiałów na eksport w przychodach netto ze sprzedaży produktów, towarów i </w:t>
      </w:r>
      <w:r w:rsidR="005E76B7" w:rsidRPr="0064087E">
        <w:rPr>
          <w:rFonts w:ascii="Arial" w:hAnsi="Arial" w:cs="Arial"/>
        </w:rPr>
        <w:t>materiałów</w:t>
      </w:r>
      <w:r w:rsidR="00E259F4">
        <w:rPr>
          <w:rFonts w:ascii="Arial" w:hAnsi="Arial" w:cs="Arial"/>
        </w:rPr>
        <w:t xml:space="preserve"> w Polsce, województwie podkarpackim oraz</w:t>
      </w:r>
      <w:r w:rsidR="005E76B7" w:rsidRPr="0064087E">
        <w:rPr>
          <w:rFonts w:ascii="Arial" w:hAnsi="Arial" w:cs="Arial"/>
        </w:rPr>
        <w:t xml:space="preserve">  branży lotniczej</w:t>
      </w:r>
      <w:r w:rsidRPr="0064087E">
        <w:rPr>
          <w:rFonts w:ascii="Arial" w:hAnsi="Arial" w:cs="Arial"/>
        </w:rPr>
        <w:t xml:space="preserve"> w latach 2017-2021</w:t>
      </w:r>
      <w:r w:rsidR="00E43864" w:rsidRPr="0064087E">
        <w:rPr>
          <w:rFonts w:ascii="Arial" w:hAnsi="Arial" w:cs="Arial"/>
        </w:rPr>
        <w:t>.</w:t>
      </w:r>
      <w:bookmarkEnd w:id="20"/>
    </w:p>
    <w:p w:rsidR="007C351B" w:rsidRPr="0064087E" w:rsidRDefault="007C351B" w:rsidP="0020340C">
      <w:pPr>
        <w:spacing w:after="120" w:line="276" w:lineRule="auto"/>
        <w:jc w:val="center"/>
        <w:rPr>
          <w:rFonts w:ascii="Arial" w:hAnsi="Arial" w:cs="Arial"/>
        </w:rPr>
      </w:pPr>
      <w:r w:rsidRPr="0064087E">
        <w:rPr>
          <w:noProof/>
          <w:lang w:eastAsia="pl-PL"/>
        </w:rPr>
        <w:drawing>
          <wp:inline distT="0" distB="0" distL="0" distR="0" wp14:anchorId="69C0410C" wp14:editId="0F8C5915">
            <wp:extent cx="5153025" cy="2171700"/>
            <wp:effectExtent l="0" t="0" r="0" b="0"/>
            <wp:docPr id="90" name="Wykres 90" descr="Wykres kolumnowy w tym dane w %: Polska: 23,0 w 2017, 22,8 w 2018, 23,0 w 2019, 22,9 w 2020, 23,5 w 2021. Województwo podkarpackie: 23,5 w 2017, 24,2 w 2018, 24,3 w 2019, 23,2 w 2020, 24,4 w 2021. Sektor lotniczy: 73,3 w 2017, 69,7 w 2018, 73,5 w 2019, 70,7 w 2020, 75,0 w 2021">
              <a:extLst xmlns:a="http://schemas.openxmlformats.org/drawingml/2006/main">
                <a:ext uri="{FF2B5EF4-FFF2-40B4-BE49-F238E27FC236}">
                  <a16:creationId xmlns:a16="http://schemas.microsoft.com/office/drawing/2014/main" id="{E33F98CA-CBBB-408E-B8BC-1C1C862AB6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0340C" w:rsidRPr="0064087E" w:rsidRDefault="0020340C" w:rsidP="0020340C">
      <w:pPr>
        <w:spacing w:after="120" w:line="276" w:lineRule="auto"/>
        <w:jc w:val="center"/>
        <w:rPr>
          <w:rFonts w:ascii="Arial" w:hAnsi="Arial" w:cs="Arial"/>
        </w:rPr>
      </w:pPr>
      <w:r w:rsidRPr="0064087E">
        <w:rPr>
          <w:rFonts w:ascii="Arial" w:hAnsi="Arial" w:cs="Arial"/>
        </w:rPr>
        <w:t xml:space="preserve">Źródło: </w:t>
      </w:r>
      <w:r w:rsidR="007A3E32" w:rsidRPr="0064087E">
        <w:rPr>
          <w:rFonts w:ascii="Arial" w:hAnsi="Arial" w:cs="Arial"/>
        </w:rPr>
        <w:t>Opracowanie własne na podstawie danych GUS</w:t>
      </w:r>
      <w:r w:rsidRPr="0064087E">
        <w:rPr>
          <w:rFonts w:ascii="Arial" w:hAnsi="Arial" w:cs="Arial"/>
        </w:rPr>
        <w:t>.</w:t>
      </w:r>
    </w:p>
    <w:p w:rsidR="00CE0FB3" w:rsidRPr="0064087E" w:rsidRDefault="0020340C" w:rsidP="002132EA">
      <w:pPr>
        <w:spacing w:after="120" w:line="276" w:lineRule="auto"/>
        <w:rPr>
          <w:rFonts w:ascii="Arial" w:hAnsi="Arial" w:cs="Arial"/>
        </w:rPr>
      </w:pPr>
      <w:r w:rsidRPr="0064087E">
        <w:rPr>
          <w:rFonts w:ascii="Arial" w:hAnsi="Arial" w:cs="Arial"/>
        </w:rPr>
        <w:t>W 2018 r. dynamika przychodów ze sprzedaży produktów, towarów i materiałów na eksport dla</w:t>
      </w:r>
      <w:r w:rsidR="002A6C54" w:rsidRPr="0064087E">
        <w:rPr>
          <w:rFonts w:ascii="Arial" w:hAnsi="Arial" w:cs="Arial"/>
        </w:rPr>
        <w:t xml:space="preserve"> województwa podkarpackiego</w:t>
      </w:r>
      <w:r w:rsidRPr="0064087E">
        <w:rPr>
          <w:rFonts w:ascii="Arial" w:hAnsi="Arial" w:cs="Arial"/>
        </w:rPr>
        <w:t xml:space="preserve"> i dla Polski była wyższa niż w firmach z branży lotniczej. Natomiast w 2019 r. tempo wzrostu przychodów z eksportu w sektorze lotniczym ukształtowało się powyżej poziomu wzrostów dla Podkarpac</w:t>
      </w:r>
      <w:r w:rsidR="002A6C54" w:rsidRPr="0064087E">
        <w:rPr>
          <w:rFonts w:ascii="Arial" w:hAnsi="Arial" w:cs="Arial"/>
        </w:rPr>
        <w:t>kiego</w:t>
      </w:r>
      <w:r w:rsidRPr="0064087E">
        <w:rPr>
          <w:rFonts w:ascii="Arial" w:hAnsi="Arial" w:cs="Arial"/>
        </w:rPr>
        <w:t xml:space="preserve"> i Polski. Zarówno </w:t>
      </w:r>
      <w:r w:rsidR="006D3FB0">
        <w:rPr>
          <w:rFonts w:ascii="Arial" w:hAnsi="Arial" w:cs="Arial"/>
        </w:rPr>
        <w:br/>
      </w:r>
      <w:r w:rsidRPr="0064087E">
        <w:rPr>
          <w:rFonts w:ascii="Arial" w:hAnsi="Arial" w:cs="Arial"/>
        </w:rPr>
        <w:t xml:space="preserve">w sektorze lotniczym jak i w województwie i w kraju w 2020 r. nastąpił spadek przychodów </w:t>
      </w:r>
      <w:r w:rsidRPr="0064087E">
        <w:rPr>
          <w:rFonts w:ascii="Arial" w:hAnsi="Arial" w:cs="Arial"/>
        </w:rPr>
        <w:lastRenderedPageBreak/>
        <w:t>ze sprzedaży produktów, towarów i m</w:t>
      </w:r>
      <w:r w:rsidR="00A7214C" w:rsidRPr="0064087E">
        <w:rPr>
          <w:rFonts w:ascii="Arial" w:hAnsi="Arial" w:cs="Arial"/>
        </w:rPr>
        <w:t xml:space="preserve">ateriałów na eksport, jednak w </w:t>
      </w:r>
      <w:r w:rsidRPr="0064087E">
        <w:rPr>
          <w:rFonts w:ascii="Arial" w:hAnsi="Arial" w:cs="Arial"/>
        </w:rPr>
        <w:t>2021</w:t>
      </w:r>
      <w:r w:rsidR="00BB4EB9" w:rsidRPr="0064087E">
        <w:rPr>
          <w:rFonts w:ascii="Arial" w:hAnsi="Arial" w:cs="Arial"/>
        </w:rPr>
        <w:t xml:space="preserve"> </w:t>
      </w:r>
      <w:r w:rsidRPr="0064087E">
        <w:rPr>
          <w:rFonts w:ascii="Arial" w:hAnsi="Arial" w:cs="Arial"/>
        </w:rPr>
        <w:t>r. dynamika przychodów z eksportu znacznie się poprawiła.</w:t>
      </w:r>
    </w:p>
    <w:p w:rsidR="0020340C" w:rsidRPr="0064087E" w:rsidRDefault="0020340C" w:rsidP="002132EA">
      <w:pPr>
        <w:pStyle w:val="Legenda"/>
        <w:keepNext/>
        <w:spacing w:after="120" w:line="276" w:lineRule="auto"/>
        <w:rPr>
          <w:rFonts w:ascii="Arial" w:hAnsi="Arial" w:cs="Arial"/>
          <w:i w:val="0"/>
          <w:color w:val="auto"/>
          <w:sz w:val="22"/>
          <w:szCs w:val="22"/>
        </w:rPr>
      </w:pPr>
      <w:bookmarkStart w:id="21" w:name="_Toc160793519"/>
      <w:r w:rsidRPr="0064087E">
        <w:rPr>
          <w:rFonts w:ascii="Arial" w:hAnsi="Arial" w:cs="Arial"/>
          <w:b/>
          <w:i w:val="0"/>
          <w:color w:val="auto"/>
          <w:sz w:val="22"/>
          <w:szCs w:val="22"/>
        </w:rPr>
        <w:t xml:space="preserve">Wykres </w:t>
      </w:r>
      <w:r w:rsidR="005922CE">
        <w:rPr>
          <w:rFonts w:ascii="Arial" w:hAnsi="Arial" w:cs="Arial"/>
          <w:b/>
          <w:i w:val="0"/>
          <w:color w:val="auto"/>
          <w:sz w:val="22"/>
          <w:szCs w:val="22"/>
        </w:rPr>
        <w:fldChar w:fldCharType="begin"/>
      </w:r>
      <w:r w:rsidR="005922CE">
        <w:rPr>
          <w:rFonts w:ascii="Arial" w:hAnsi="Arial" w:cs="Arial"/>
          <w:b/>
          <w:i w:val="0"/>
          <w:color w:val="auto"/>
          <w:sz w:val="22"/>
          <w:szCs w:val="22"/>
        </w:rPr>
        <w:instrText xml:space="preserve"> SEQ Wykres \* ARABIC </w:instrText>
      </w:r>
      <w:r w:rsidR="005922CE">
        <w:rPr>
          <w:rFonts w:ascii="Arial" w:hAnsi="Arial" w:cs="Arial"/>
          <w:b/>
          <w:i w:val="0"/>
          <w:color w:val="auto"/>
          <w:sz w:val="22"/>
          <w:szCs w:val="22"/>
        </w:rPr>
        <w:fldChar w:fldCharType="separate"/>
      </w:r>
      <w:r w:rsidR="00884DAD">
        <w:rPr>
          <w:rFonts w:ascii="Arial" w:hAnsi="Arial" w:cs="Arial"/>
          <w:b/>
          <w:i w:val="0"/>
          <w:noProof/>
          <w:color w:val="auto"/>
          <w:sz w:val="22"/>
          <w:szCs w:val="22"/>
        </w:rPr>
        <w:t>13</w:t>
      </w:r>
      <w:r w:rsidR="005922CE">
        <w:rPr>
          <w:rFonts w:ascii="Arial" w:hAnsi="Arial" w:cs="Arial"/>
          <w:b/>
          <w:i w:val="0"/>
          <w:color w:val="auto"/>
          <w:sz w:val="22"/>
          <w:szCs w:val="22"/>
        </w:rPr>
        <w:fldChar w:fldCharType="end"/>
      </w:r>
      <w:r w:rsidR="00315515" w:rsidRPr="0064087E">
        <w:rPr>
          <w:rFonts w:ascii="Arial" w:hAnsi="Arial" w:cs="Arial"/>
          <w:b/>
          <w:i w:val="0"/>
          <w:color w:val="auto"/>
          <w:sz w:val="22"/>
          <w:szCs w:val="22"/>
        </w:rPr>
        <w:t>.</w:t>
      </w:r>
      <w:r w:rsidR="00905A1C" w:rsidRPr="0064087E">
        <w:rPr>
          <w:rFonts w:ascii="Arial" w:hAnsi="Arial" w:cs="Arial"/>
          <w:i w:val="0"/>
          <w:color w:val="auto"/>
          <w:sz w:val="22"/>
          <w:szCs w:val="22"/>
        </w:rPr>
        <w:t xml:space="preserve"> Dynamika przychodów netto ze sprzedaży produktów towarów i materiałów na eksport (</w:t>
      </w:r>
      <w:r w:rsidR="00B82BC4" w:rsidRPr="0064087E">
        <w:rPr>
          <w:rFonts w:ascii="Arial" w:hAnsi="Arial" w:cs="Arial"/>
          <w:i w:val="0"/>
          <w:color w:val="auto"/>
          <w:sz w:val="22"/>
          <w:szCs w:val="22"/>
        </w:rPr>
        <w:t>rok poprzedni=100)</w:t>
      </w:r>
      <w:r w:rsidR="005E76B7" w:rsidRPr="0064087E">
        <w:rPr>
          <w:rFonts w:ascii="Arial" w:hAnsi="Arial" w:cs="Arial"/>
          <w:i w:val="0"/>
          <w:color w:val="auto"/>
          <w:sz w:val="22"/>
          <w:szCs w:val="22"/>
        </w:rPr>
        <w:t xml:space="preserve"> w</w:t>
      </w:r>
      <w:r w:rsidR="0019175F">
        <w:rPr>
          <w:rFonts w:ascii="Arial" w:hAnsi="Arial" w:cs="Arial"/>
          <w:i w:val="0"/>
          <w:color w:val="auto"/>
          <w:sz w:val="22"/>
          <w:szCs w:val="22"/>
        </w:rPr>
        <w:t xml:space="preserve"> Polsce, województwie podkarpackim oraz </w:t>
      </w:r>
      <w:r w:rsidR="005E76B7" w:rsidRPr="0064087E">
        <w:rPr>
          <w:rFonts w:ascii="Arial" w:hAnsi="Arial" w:cs="Arial"/>
          <w:i w:val="0"/>
          <w:color w:val="auto"/>
          <w:sz w:val="22"/>
          <w:szCs w:val="22"/>
        </w:rPr>
        <w:t>branży lotniczej</w:t>
      </w:r>
      <w:r w:rsidR="00B82BC4" w:rsidRPr="0064087E">
        <w:rPr>
          <w:rFonts w:ascii="Arial" w:hAnsi="Arial" w:cs="Arial"/>
          <w:i w:val="0"/>
          <w:color w:val="auto"/>
          <w:sz w:val="22"/>
          <w:szCs w:val="22"/>
        </w:rPr>
        <w:t xml:space="preserve"> w</w:t>
      </w:r>
      <w:r w:rsidR="0019175F">
        <w:rPr>
          <w:rFonts w:ascii="Arial" w:hAnsi="Arial" w:cs="Arial"/>
          <w:i w:val="0"/>
          <w:color w:val="auto"/>
          <w:sz w:val="22"/>
          <w:szCs w:val="22"/>
        </w:rPr>
        <w:t> </w:t>
      </w:r>
      <w:r w:rsidR="00B82BC4" w:rsidRPr="0064087E">
        <w:rPr>
          <w:rFonts w:ascii="Arial" w:hAnsi="Arial" w:cs="Arial"/>
          <w:i w:val="0"/>
          <w:color w:val="auto"/>
          <w:sz w:val="22"/>
          <w:szCs w:val="22"/>
        </w:rPr>
        <w:t>latach 2018</w:t>
      </w:r>
      <w:r w:rsidR="00905A1C" w:rsidRPr="0064087E">
        <w:rPr>
          <w:rFonts w:ascii="Arial" w:hAnsi="Arial" w:cs="Arial"/>
          <w:i w:val="0"/>
          <w:color w:val="auto"/>
          <w:sz w:val="22"/>
          <w:szCs w:val="22"/>
        </w:rPr>
        <w:t>-2021</w:t>
      </w:r>
      <w:r w:rsidR="00E43864" w:rsidRPr="0064087E">
        <w:rPr>
          <w:rFonts w:ascii="Arial" w:hAnsi="Arial" w:cs="Arial"/>
          <w:i w:val="0"/>
          <w:color w:val="auto"/>
          <w:sz w:val="22"/>
          <w:szCs w:val="22"/>
        </w:rPr>
        <w:t>.</w:t>
      </w:r>
      <w:bookmarkEnd w:id="21"/>
    </w:p>
    <w:p w:rsidR="0020340C" w:rsidRPr="0064087E" w:rsidRDefault="00CE0FB3" w:rsidP="0020340C">
      <w:pPr>
        <w:spacing w:after="120" w:line="276" w:lineRule="auto"/>
        <w:jc w:val="center"/>
        <w:rPr>
          <w:rFonts w:ascii="Arial" w:hAnsi="Arial" w:cs="Arial"/>
        </w:rPr>
      </w:pPr>
      <w:r w:rsidRPr="0064087E">
        <w:rPr>
          <w:noProof/>
          <w:lang w:eastAsia="pl-PL"/>
        </w:rPr>
        <w:drawing>
          <wp:inline distT="0" distB="0" distL="0" distR="0" wp14:anchorId="16422770" wp14:editId="02EFBEFF">
            <wp:extent cx="5286375" cy="2409825"/>
            <wp:effectExtent l="0" t="0" r="0" b="0"/>
            <wp:docPr id="89" name="Wykres 89" descr="Wykres linowy w tym dane Polska: 106,4 w 2018, 106,1 w 2019, 97,8 w 2020, 123,7 w 2021. Województwo podkarpackie: 101,6 w 2018, 116,3 w 2019, 82,5 w 2020, 124,4 w 2021. Sektor lotniczy: 101,6 w 2018, 116,3 w 2019, 82,5 w 2020, 124,4 w 2021">
              <a:extLst xmlns:a="http://schemas.openxmlformats.org/drawingml/2006/main">
                <a:ext uri="{FF2B5EF4-FFF2-40B4-BE49-F238E27FC236}">
                  <a16:creationId xmlns:a16="http://schemas.microsoft.com/office/drawing/2014/main" id="{7A940552-D7A5-4C55-9B6F-C912ADFB4F20}"/>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0340C" w:rsidRPr="0064087E" w:rsidRDefault="0020340C" w:rsidP="0020340C">
      <w:pPr>
        <w:spacing w:after="120" w:line="276" w:lineRule="auto"/>
        <w:jc w:val="center"/>
        <w:rPr>
          <w:rFonts w:ascii="Arial" w:hAnsi="Arial" w:cs="Arial"/>
        </w:rPr>
      </w:pPr>
      <w:r w:rsidRPr="0064087E">
        <w:rPr>
          <w:rFonts w:ascii="Arial" w:hAnsi="Arial" w:cs="Arial"/>
        </w:rPr>
        <w:t xml:space="preserve">Źródło: </w:t>
      </w:r>
      <w:r w:rsidR="005811FE" w:rsidRPr="0064087E">
        <w:rPr>
          <w:rFonts w:ascii="Arial" w:hAnsi="Arial" w:cs="Arial"/>
        </w:rPr>
        <w:t>Opracowanie własne na podstawie danych GUS</w:t>
      </w:r>
      <w:r w:rsidRPr="0064087E">
        <w:rPr>
          <w:rFonts w:ascii="Arial" w:hAnsi="Arial" w:cs="Arial"/>
        </w:rPr>
        <w:t>.</w:t>
      </w:r>
    </w:p>
    <w:p w:rsidR="00905A1C" w:rsidRPr="0064087E" w:rsidRDefault="0020340C" w:rsidP="006D3FB0">
      <w:pPr>
        <w:spacing w:after="120" w:line="276" w:lineRule="auto"/>
        <w:rPr>
          <w:rFonts w:ascii="Arial" w:hAnsi="Arial" w:cs="Arial"/>
        </w:rPr>
      </w:pPr>
      <w:r w:rsidRPr="0064087E">
        <w:rPr>
          <w:rFonts w:ascii="Arial" w:hAnsi="Arial" w:cs="Arial"/>
        </w:rPr>
        <w:t xml:space="preserve">Wskaźnik rentowności sprzedaży jest liczony jako relacja wyniku netto ze sprzedaży produktów, towarów i materiałów do przychodów netto ze sprzedaży produktów towarów </w:t>
      </w:r>
      <w:r w:rsidR="006D3FB0">
        <w:rPr>
          <w:rFonts w:ascii="Arial" w:hAnsi="Arial" w:cs="Arial"/>
        </w:rPr>
        <w:br/>
      </w:r>
      <w:r w:rsidRPr="0064087E">
        <w:rPr>
          <w:rFonts w:ascii="Arial" w:hAnsi="Arial" w:cs="Arial"/>
        </w:rPr>
        <w:t>i materiałów. W porównaniu ze wskaźnikiem dla Podkarpac</w:t>
      </w:r>
      <w:r w:rsidR="002A6C54" w:rsidRPr="0064087E">
        <w:rPr>
          <w:rFonts w:ascii="Arial" w:hAnsi="Arial" w:cs="Arial"/>
        </w:rPr>
        <w:t>kiego</w:t>
      </w:r>
      <w:r w:rsidRPr="0064087E">
        <w:rPr>
          <w:rFonts w:ascii="Arial" w:hAnsi="Arial" w:cs="Arial"/>
        </w:rPr>
        <w:t xml:space="preserve"> i wskaźnikiem dla Polski, </w:t>
      </w:r>
      <w:r w:rsidRPr="0064087E">
        <w:rPr>
          <w:rFonts w:ascii="Arial" w:hAnsi="Arial" w:cs="Arial"/>
        </w:rPr>
        <w:br/>
        <w:t xml:space="preserve">w analizowanych firmach odnotowano wyższy poziom wskaźnika rentowności sprzedaży, na co miał wpływ dłuższy cykl produkcyjny, większe ryzyko i wyższe koszty zamrożenia kapitału. W przedsiębiorstwach związanych z lotnictwem mających siedzibę na terenie </w:t>
      </w:r>
      <w:r w:rsidR="002A6C54" w:rsidRPr="0064087E">
        <w:rPr>
          <w:rFonts w:ascii="Arial" w:hAnsi="Arial" w:cs="Arial"/>
        </w:rPr>
        <w:t>województwa podkarpackiego</w:t>
      </w:r>
      <w:r w:rsidRPr="0064087E">
        <w:rPr>
          <w:rFonts w:ascii="Arial" w:hAnsi="Arial" w:cs="Arial"/>
        </w:rPr>
        <w:t xml:space="preserve"> wskaźnik w 2021 r. osiągnął poziom 7,3%.</w:t>
      </w:r>
    </w:p>
    <w:p w:rsidR="00905A1C" w:rsidRPr="0064087E" w:rsidRDefault="00905A1C" w:rsidP="006D3FB0">
      <w:pPr>
        <w:spacing w:after="120" w:line="276" w:lineRule="auto"/>
        <w:rPr>
          <w:rFonts w:ascii="Arial" w:hAnsi="Arial" w:cs="Arial"/>
        </w:rPr>
      </w:pPr>
      <w:bookmarkStart w:id="22" w:name="_Toc160793520"/>
      <w:r w:rsidRPr="0064087E">
        <w:rPr>
          <w:rFonts w:ascii="Arial" w:hAnsi="Arial" w:cs="Arial"/>
          <w:b/>
        </w:rPr>
        <w:t xml:space="preserve">Wykres </w:t>
      </w:r>
      <w:r w:rsidR="005922CE">
        <w:rPr>
          <w:rFonts w:ascii="Arial" w:hAnsi="Arial" w:cs="Arial"/>
          <w:b/>
        </w:rPr>
        <w:fldChar w:fldCharType="begin"/>
      </w:r>
      <w:r w:rsidR="005922CE">
        <w:rPr>
          <w:rFonts w:ascii="Arial" w:hAnsi="Arial" w:cs="Arial"/>
          <w:b/>
        </w:rPr>
        <w:instrText xml:space="preserve"> SEQ Wykres \* ARABIC </w:instrText>
      </w:r>
      <w:r w:rsidR="005922CE">
        <w:rPr>
          <w:rFonts w:ascii="Arial" w:hAnsi="Arial" w:cs="Arial"/>
          <w:b/>
        </w:rPr>
        <w:fldChar w:fldCharType="separate"/>
      </w:r>
      <w:r w:rsidR="00884DAD">
        <w:rPr>
          <w:rFonts w:ascii="Arial" w:hAnsi="Arial" w:cs="Arial"/>
          <w:b/>
          <w:noProof/>
        </w:rPr>
        <w:t>14</w:t>
      </w:r>
      <w:r w:rsidR="005922CE">
        <w:rPr>
          <w:rFonts w:ascii="Arial" w:hAnsi="Arial" w:cs="Arial"/>
          <w:b/>
        </w:rPr>
        <w:fldChar w:fldCharType="end"/>
      </w:r>
      <w:r w:rsidR="00315515" w:rsidRPr="0064087E">
        <w:rPr>
          <w:rFonts w:ascii="Arial" w:hAnsi="Arial" w:cs="Arial"/>
          <w:b/>
        </w:rPr>
        <w:t>.</w:t>
      </w:r>
      <w:r w:rsidRPr="0064087E">
        <w:rPr>
          <w:rFonts w:ascii="Arial" w:hAnsi="Arial" w:cs="Arial"/>
        </w:rPr>
        <w:t xml:space="preserve"> Wskaźnik rentowności obrotu ze sprzedaży </w:t>
      </w:r>
      <w:r w:rsidR="005E76B7" w:rsidRPr="0064087E">
        <w:rPr>
          <w:rFonts w:ascii="Arial" w:hAnsi="Arial" w:cs="Arial"/>
        </w:rPr>
        <w:t>w</w:t>
      </w:r>
      <w:r w:rsidR="0019175F">
        <w:rPr>
          <w:rFonts w:ascii="Arial" w:hAnsi="Arial" w:cs="Arial"/>
        </w:rPr>
        <w:t xml:space="preserve"> Polsce, województwie podkarpackim oraz</w:t>
      </w:r>
      <w:r w:rsidR="005E76B7" w:rsidRPr="0064087E">
        <w:rPr>
          <w:rFonts w:ascii="Arial" w:hAnsi="Arial" w:cs="Arial"/>
        </w:rPr>
        <w:t xml:space="preserve"> branży lotniczej </w:t>
      </w:r>
      <w:r w:rsidRPr="0064087E">
        <w:rPr>
          <w:rFonts w:ascii="Arial" w:hAnsi="Arial" w:cs="Arial"/>
        </w:rPr>
        <w:t>w latach 2017-2021</w:t>
      </w:r>
      <w:r w:rsidR="00E43864" w:rsidRPr="0064087E">
        <w:rPr>
          <w:rFonts w:ascii="Arial" w:hAnsi="Arial" w:cs="Arial"/>
        </w:rPr>
        <w:t>.</w:t>
      </w:r>
      <w:bookmarkEnd w:id="22"/>
    </w:p>
    <w:p w:rsidR="00905A1C" w:rsidRPr="0064087E" w:rsidRDefault="00905A1C" w:rsidP="00905A1C">
      <w:pPr>
        <w:spacing w:after="120" w:line="276" w:lineRule="auto"/>
        <w:jc w:val="center"/>
        <w:rPr>
          <w:rFonts w:ascii="Arial" w:hAnsi="Arial" w:cs="Arial"/>
        </w:rPr>
      </w:pPr>
      <w:r w:rsidRPr="0064087E">
        <w:rPr>
          <w:noProof/>
          <w:lang w:eastAsia="pl-PL"/>
        </w:rPr>
        <w:drawing>
          <wp:inline distT="0" distB="0" distL="0" distR="0" wp14:anchorId="427EDECE" wp14:editId="18365816">
            <wp:extent cx="5324475" cy="2676525"/>
            <wp:effectExtent l="0" t="0" r="0" b="0"/>
            <wp:docPr id="93" name="Wykres 93" descr="Wykres kolumnowy w tym dane w %: Polska: 5,0 w 2017, 4,9 w 2018, 4,6 w 2019, 4,9 w 2020, 5,6 w 2021. Województwo podkarpackie: 4,3 w 2017, 4,5 w 2018, 4,1 w 2019, 3,8 w 2020, 5,5 w 2021. Sektor lotniczy: 10,9 w 2017, 13,4 w 2018, 13,0 w 2019, 7,8 w 2020, 7,3 w 2021">
              <a:extLst xmlns:a="http://schemas.openxmlformats.org/drawingml/2006/main">
                <a:ext uri="{FF2B5EF4-FFF2-40B4-BE49-F238E27FC236}">
                  <a16:creationId xmlns:a16="http://schemas.microsoft.com/office/drawing/2014/main" id="{DC33564D-FD74-4A13-AC52-39CAF0FF6B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05A1C" w:rsidRPr="0064087E" w:rsidRDefault="00905A1C" w:rsidP="00905A1C">
      <w:pPr>
        <w:spacing w:after="120" w:line="276" w:lineRule="auto"/>
        <w:jc w:val="center"/>
        <w:rPr>
          <w:rFonts w:ascii="Arial" w:hAnsi="Arial" w:cs="Arial"/>
        </w:rPr>
      </w:pPr>
      <w:r w:rsidRPr="0064087E">
        <w:rPr>
          <w:rFonts w:ascii="Arial" w:hAnsi="Arial" w:cs="Arial"/>
        </w:rPr>
        <w:t xml:space="preserve">Źródło: </w:t>
      </w:r>
      <w:r w:rsidR="005811FE" w:rsidRPr="0064087E">
        <w:rPr>
          <w:rFonts w:ascii="Arial" w:hAnsi="Arial" w:cs="Arial"/>
        </w:rPr>
        <w:t>Opracowanie własne na podstawie danych GUS</w:t>
      </w:r>
      <w:r w:rsidRPr="0064087E">
        <w:rPr>
          <w:rFonts w:ascii="Arial" w:hAnsi="Arial" w:cs="Arial"/>
        </w:rPr>
        <w:t>.</w:t>
      </w:r>
    </w:p>
    <w:p w:rsidR="00905A1C" w:rsidRPr="0064087E" w:rsidRDefault="00905A1C" w:rsidP="006D3FB0">
      <w:pPr>
        <w:spacing w:after="120" w:line="276" w:lineRule="auto"/>
        <w:rPr>
          <w:rFonts w:ascii="Arial" w:hAnsi="Arial" w:cs="Arial"/>
        </w:rPr>
      </w:pPr>
      <w:r w:rsidRPr="0064087E">
        <w:rPr>
          <w:rFonts w:ascii="Arial" w:hAnsi="Arial" w:cs="Arial"/>
        </w:rPr>
        <w:t xml:space="preserve">Wskaźnik rentowności obrotu netto, liczony jako relacja wyniku finansowego netto do </w:t>
      </w:r>
      <w:r w:rsidRPr="0064087E">
        <w:rPr>
          <w:rFonts w:ascii="Arial" w:hAnsi="Arial" w:cs="Arial"/>
        </w:rPr>
        <w:lastRenderedPageBreak/>
        <w:t xml:space="preserve">przychodów z całokształtu działalności, w analizowanych podmiotach gospodarczych zanotował spadek z poziomu 10,8% w 2017 r. do 3,9% w 2021 r. W województwie podkarpackim wskaźnik rentowności obrotu netto najwyższą wartość osiągnął w 2021 r. – 65,1%, a w pozostałych latach utrzymywał się w przedziale 3,4%-4,5%. W Polsce </w:t>
      </w:r>
      <w:r w:rsidR="006D3FB0">
        <w:rPr>
          <w:rFonts w:ascii="Arial" w:hAnsi="Arial" w:cs="Arial"/>
        </w:rPr>
        <w:br/>
      </w:r>
      <w:r w:rsidRPr="0064087E">
        <w:rPr>
          <w:rFonts w:ascii="Arial" w:hAnsi="Arial" w:cs="Arial"/>
        </w:rPr>
        <w:t>w analizowanym okresie wskaźnik rentowności obrotu netto oscylował w przedziale 3,5-5,5%. Wyższy wskaźnik wskazuje na dłuższy cykl produkcyjny, a co za tym idzie wyższe ryzyko i wyższe koszty zamrożenia kapitału.</w:t>
      </w:r>
    </w:p>
    <w:p w:rsidR="00905A1C" w:rsidRPr="0064087E" w:rsidRDefault="00905A1C" w:rsidP="006D3FB0">
      <w:pPr>
        <w:spacing w:after="120" w:line="276" w:lineRule="auto"/>
        <w:rPr>
          <w:rFonts w:ascii="Arial" w:hAnsi="Arial" w:cs="Arial"/>
        </w:rPr>
      </w:pPr>
      <w:r w:rsidRPr="0064087E">
        <w:rPr>
          <w:rFonts w:ascii="Arial" w:hAnsi="Arial" w:cs="Arial"/>
        </w:rPr>
        <w:t>Wahania wskaźnika rentowności aktywów liczonego, jako relacja wyniku finansowego netto do wartości aktywów notowały zbliżone tendencje do pozostałych wskaźników rentowności. Wysokość wskaźnika rentowności aktywów jest zależna od kapitałochłonności branży. Dla sektora lotniczego wskaźnik w latach 2017, 2018 i 2019 notował wyższe wartości i wyniósł odpowiednio 8,1%, 6,2% i 6,6%, natomiast w pozostałych latach wartości wskaźnika by</w:t>
      </w:r>
      <w:r w:rsidR="00A7214C" w:rsidRPr="0064087E">
        <w:rPr>
          <w:rFonts w:ascii="Arial" w:hAnsi="Arial" w:cs="Arial"/>
        </w:rPr>
        <w:t xml:space="preserve">ły niższe (3,0% w 2020 r. oraz </w:t>
      </w:r>
      <w:r w:rsidRPr="0064087E">
        <w:rPr>
          <w:rFonts w:ascii="Arial" w:hAnsi="Arial" w:cs="Arial"/>
        </w:rPr>
        <w:t>2,7% w 2021 r.). Dla Podkarpac</w:t>
      </w:r>
      <w:r w:rsidR="002A6C54" w:rsidRPr="0064087E">
        <w:rPr>
          <w:rFonts w:ascii="Arial" w:hAnsi="Arial" w:cs="Arial"/>
        </w:rPr>
        <w:t>kiego</w:t>
      </w:r>
      <w:r w:rsidRPr="0064087E">
        <w:rPr>
          <w:rFonts w:ascii="Arial" w:hAnsi="Arial" w:cs="Arial"/>
        </w:rPr>
        <w:t xml:space="preserve"> najwyższy poziom wskaźnika zanotowano w 2021 r. (7,1%), natomiast w pozostałych latach analizowanego okresu oscylował w granicach 4,6%-6,0%. Dla kraju wskaźnik rentowności aktywów był niższy w stosunku do województwa, natomiast w stosunku do branży lotniczej był </w:t>
      </w:r>
      <w:r w:rsidR="007C0611" w:rsidRPr="0064087E">
        <w:rPr>
          <w:rFonts w:ascii="Arial" w:hAnsi="Arial" w:cs="Arial"/>
        </w:rPr>
        <w:t xml:space="preserve">również niższy </w:t>
      </w:r>
      <w:r w:rsidRPr="0064087E">
        <w:rPr>
          <w:rFonts w:ascii="Arial" w:hAnsi="Arial" w:cs="Arial"/>
        </w:rPr>
        <w:t>w latach 2017</w:t>
      </w:r>
      <w:r w:rsidR="00BB4EB9" w:rsidRPr="0064087E">
        <w:rPr>
          <w:rFonts w:ascii="Arial" w:hAnsi="Arial" w:cs="Arial"/>
        </w:rPr>
        <w:t>-</w:t>
      </w:r>
      <w:r w:rsidRPr="0064087E">
        <w:rPr>
          <w:rFonts w:ascii="Arial" w:hAnsi="Arial" w:cs="Arial"/>
        </w:rPr>
        <w:t>2019</w:t>
      </w:r>
      <w:r w:rsidR="00B0264E" w:rsidRPr="0064087E">
        <w:rPr>
          <w:rFonts w:ascii="Arial" w:hAnsi="Arial" w:cs="Arial"/>
        </w:rPr>
        <w:t>,</w:t>
      </w:r>
      <w:r w:rsidRPr="0064087E">
        <w:rPr>
          <w:rFonts w:ascii="Arial" w:hAnsi="Arial" w:cs="Arial"/>
        </w:rPr>
        <w:t xml:space="preserve"> a wyższy w latach 2020</w:t>
      </w:r>
      <w:r w:rsidR="007C0611" w:rsidRPr="0064087E">
        <w:rPr>
          <w:rFonts w:ascii="Arial" w:hAnsi="Arial" w:cs="Arial"/>
        </w:rPr>
        <w:t>-</w:t>
      </w:r>
      <w:r w:rsidRPr="0064087E">
        <w:rPr>
          <w:rFonts w:ascii="Arial" w:hAnsi="Arial" w:cs="Arial"/>
        </w:rPr>
        <w:t xml:space="preserve">2021. Najniższą wartość </w:t>
      </w:r>
      <w:r w:rsidR="00DA4FE9">
        <w:rPr>
          <w:rFonts w:ascii="Arial" w:hAnsi="Arial" w:cs="Arial"/>
        </w:rPr>
        <w:br/>
      </w:r>
      <w:r w:rsidRPr="0064087E">
        <w:rPr>
          <w:rFonts w:ascii="Arial" w:hAnsi="Arial" w:cs="Arial"/>
        </w:rPr>
        <w:t>w analizowanym okresie zanotowano w 2020 r. – 3,6%, natomiast najwyższą w 2021 r. – 6,1%.</w:t>
      </w:r>
    </w:p>
    <w:p w:rsidR="005C1A41" w:rsidRPr="0064087E" w:rsidRDefault="005C1A41" w:rsidP="006D3FB0">
      <w:pPr>
        <w:pStyle w:val="Legenda"/>
        <w:keepNext/>
        <w:spacing w:after="120" w:line="276" w:lineRule="auto"/>
        <w:rPr>
          <w:rFonts w:ascii="Arial" w:hAnsi="Arial" w:cs="Arial"/>
          <w:i w:val="0"/>
          <w:color w:val="auto"/>
          <w:sz w:val="22"/>
          <w:szCs w:val="22"/>
        </w:rPr>
      </w:pPr>
      <w:bookmarkStart w:id="23" w:name="_Toc160793521"/>
      <w:r w:rsidRPr="0064087E">
        <w:rPr>
          <w:rFonts w:ascii="Arial" w:hAnsi="Arial" w:cs="Arial"/>
          <w:b/>
          <w:i w:val="0"/>
          <w:color w:val="auto"/>
          <w:sz w:val="22"/>
          <w:szCs w:val="22"/>
        </w:rPr>
        <w:t xml:space="preserve">Wykres </w:t>
      </w:r>
      <w:r w:rsidR="005922CE">
        <w:rPr>
          <w:rFonts w:ascii="Arial" w:hAnsi="Arial" w:cs="Arial"/>
          <w:b/>
          <w:i w:val="0"/>
          <w:color w:val="auto"/>
          <w:sz w:val="22"/>
          <w:szCs w:val="22"/>
        </w:rPr>
        <w:fldChar w:fldCharType="begin"/>
      </w:r>
      <w:r w:rsidR="005922CE">
        <w:rPr>
          <w:rFonts w:ascii="Arial" w:hAnsi="Arial" w:cs="Arial"/>
          <w:b/>
          <w:i w:val="0"/>
          <w:color w:val="auto"/>
          <w:sz w:val="22"/>
          <w:szCs w:val="22"/>
        </w:rPr>
        <w:instrText xml:space="preserve"> SEQ Wykres \* ARABIC </w:instrText>
      </w:r>
      <w:r w:rsidR="005922CE">
        <w:rPr>
          <w:rFonts w:ascii="Arial" w:hAnsi="Arial" w:cs="Arial"/>
          <w:b/>
          <w:i w:val="0"/>
          <w:color w:val="auto"/>
          <w:sz w:val="22"/>
          <w:szCs w:val="22"/>
        </w:rPr>
        <w:fldChar w:fldCharType="separate"/>
      </w:r>
      <w:r w:rsidR="00884DAD">
        <w:rPr>
          <w:rFonts w:ascii="Arial" w:hAnsi="Arial" w:cs="Arial"/>
          <w:b/>
          <w:i w:val="0"/>
          <w:noProof/>
          <w:color w:val="auto"/>
          <w:sz w:val="22"/>
          <w:szCs w:val="22"/>
        </w:rPr>
        <w:t>15</w:t>
      </w:r>
      <w:r w:rsidR="005922CE">
        <w:rPr>
          <w:rFonts w:ascii="Arial" w:hAnsi="Arial" w:cs="Arial"/>
          <w:b/>
          <w:i w:val="0"/>
          <w:color w:val="auto"/>
          <w:sz w:val="22"/>
          <w:szCs w:val="22"/>
        </w:rPr>
        <w:fldChar w:fldCharType="end"/>
      </w:r>
      <w:r w:rsidR="00315515" w:rsidRPr="0064087E">
        <w:rPr>
          <w:rFonts w:ascii="Arial" w:hAnsi="Arial" w:cs="Arial"/>
          <w:b/>
          <w:i w:val="0"/>
          <w:color w:val="auto"/>
          <w:sz w:val="22"/>
          <w:szCs w:val="22"/>
        </w:rPr>
        <w:t>.</w:t>
      </w:r>
      <w:r w:rsidRPr="0064087E">
        <w:rPr>
          <w:rFonts w:ascii="Arial" w:hAnsi="Arial" w:cs="Arial"/>
          <w:i w:val="0"/>
          <w:color w:val="auto"/>
          <w:sz w:val="22"/>
          <w:szCs w:val="22"/>
        </w:rPr>
        <w:t xml:space="preserve"> Wskaźnik r</w:t>
      </w:r>
      <w:r w:rsidR="00D82561" w:rsidRPr="0064087E">
        <w:rPr>
          <w:rFonts w:ascii="Arial" w:hAnsi="Arial" w:cs="Arial"/>
          <w:i w:val="0"/>
          <w:color w:val="auto"/>
          <w:sz w:val="22"/>
          <w:szCs w:val="22"/>
        </w:rPr>
        <w:t>entowności aktywów</w:t>
      </w:r>
      <w:r w:rsidR="005E76B7" w:rsidRPr="0064087E">
        <w:rPr>
          <w:rFonts w:ascii="Arial" w:hAnsi="Arial" w:cs="Arial"/>
          <w:i w:val="0"/>
          <w:color w:val="auto"/>
          <w:sz w:val="22"/>
          <w:szCs w:val="22"/>
        </w:rPr>
        <w:t xml:space="preserve"> w</w:t>
      </w:r>
      <w:r w:rsidR="0019175F">
        <w:rPr>
          <w:rFonts w:ascii="Arial" w:hAnsi="Arial" w:cs="Arial"/>
          <w:i w:val="0"/>
          <w:color w:val="auto"/>
          <w:sz w:val="22"/>
          <w:szCs w:val="22"/>
        </w:rPr>
        <w:t xml:space="preserve"> Polsce, województwie podkarpackim oraz</w:t>
      </w:r>
      <w:r w:rsidR="005E76B7" w:rsidRPr="0064087E">
        <w:rPr>
          <w:rFonts w:ascii="Arial" w:hAnsi="Arial" w:cs="Arial"/>
          <w:i w:val="0"/>
          <w:color w:val="auto"/>
          <w:sz w:val="22"/>
          <w:szCs w:val="22"/>
        </w:rPr>
        <w:t xml:space="preserve"> branży lotniczej</w:t>
      </w:r>
      <w:r w:rsidR="00D82561" w:rsidRPr="0064087E">
        <w:rPr>
          <w:rFonts w:ascii="Arial" w:hAnsi="Arial" w:cs="Arial"/>
          <w:i w:val="0"/>
          <w:color w:val="auto"/>
          <w:sz w:val="22"/>
          <w:szCs w:val="22"/>
        </w:rPr>
        <w:t xml:space="preserve"> w latach 2017-2021</w:t>
      </w:r>
      <w:r w:rsidR="00E43864" w:rsidRPr="0064087E">
        <w:rPr>
          <w:rFonts w:ascii="Arial" w:hAnsi="Arial" w:cs="Arial"/>
          <w:i w:val="0"/>
          <w:color w:val="auto"/>
          <w:sz w:val="22"/>
          <w:szCs w:val="22"/>
        </w:rPr>
        <w:t>.</w:t>
      </w:r>
      <w:bookmarkEnd w:id="23"/>
    </w:p>
    <w:p w:rsidR="00905A1C" w:rsidRPr="0064087E" w:rsidRDefault="0066035F" w:rsidP="00905A1C">
      <w:pPr>
        <w:spacing w:after="120" w:line="276" w:lineRule="auto"/>
        <w:jc w:val="center"/>
        <w:rPr>
          <w:rFonts w:ascii="Arial" w:hAnsi="Arial" w:cs="Arial"/>
        </w:rPr>
      </w:pPr>
      <w:r w:rsidRPr="0064087E">
        <w:rPr>
          <w:noProof/>
          <w:lang w:eastAsia="pl-PL"/>
        </w:rPr>
        <w:drawing>
          <wp:inline distT="0" distB="0" distL="0" distR="0" wp14:anchorId="77DE06E6" wp14:editId="1BBBADA1">
            <wp:extent cx="5295900" cy="2590800"/>
            <wp:effectExtent l="0" t="0" r="0" b="0"/>
            <wp:docPr id="144" name="Wykres 144" descr="Wykres kolumnowy w tym dane w %: Polska: 4,9 w 2017, 4,3 w 2018, 3,9 w 2019, 3,6 w 2020, 6,1 w 2021. Województwo podkarpackie: 6,0 w 2017, 4,6 w 2018, 5,2 w 2019, 5,6 w 2020, 7,1 w 2021. Sektor lotniczy: 8,1 w 2017, 6,2 w 2018, 6,6 w 2019, 3,0 w 2020, 2,7 w 2021">
              <a:extLst xmlns:a="http://schemas.openxmlformats.org/drawingml/2006/main">
                <a:ext uri="{FF2B5EF4-FFF2-40B4-BE49-F238E27FC236}">
                  <a16:creationId xmlns:a16="http://schemas.microsoft.com/office/drawing/2014/main" id="{0CFC8303-B92C-453A-99E9-1AEB1AC0BD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05A1C" w:rsidRPr="0064087E" w:rsidRDefault="00905A1C" w:rsidP="00905A1C">
      <w:pPr>
        <w:spacing w:after="120" w:line="276" w:lineRule="auto"/>
        <w:jc w:val="center"/>
        <w:rPr>
          <w:rFonts w:ascii="Arial" w:hAnsi="Arial" w:cs="Arial"/>
        </w:rPr>
      </w:pPr>
      <w:r w:rsidRPr="0064087E">
        <w:rPr>
          <w:rFonts w:ascii="Arial" w:hAnsi="Arial" w:cs="Arial"/>
        </w:rPr>
        <w:t xml:space="preserve">Źródło: </w:t>
      </w:r>
      <w:r w:rsidR="005811FE" w:rsidRPr="0064087E">
        <w:rPr>
          <w:rFonts w:ascii="Arial" w:hAnsi="Arial" w:cs="Arial"/>
        </w:rPr>
        <w:t>Opracowanie własne na podstawie danych GUS</w:t>
      </w:r>
      <w:r w:rsidRPr="0064087E">
        <w:rPr>
          <w:rFonts w:ascii="Arial" w:hAnsi="Arial" w:cs="Arial"/>
        </w:rPr>
        <w:t>.</w:t>
      </w:r>
    </w:p>
    <w:p w:rsidR="0066035F" w:rsidRPr="0064087E" w:rsidRDefault="00905A1C" w:rsidP="00DA4FE9">
      <w:pPr>
        <w:spacing w:after="120" w:line="276" w:lineRule="auto"/>
        <w:rPr>
          <w:rFonts w:ascii="Arial" w:hAnsi="Arial" w:cs="Arial"/>
        </w:rPr>
      </w:pPr>
      <w:r w:rsidRPr="0064087E">
        <w:rPr>
          <w:rFonts w:ascii="Arial" w:hAnsi="Arial" w:cs="Arial"/>
        </w:rPr>
        <w:t>Wskaźnik rentowności kapitału własnego liczony jako relacja wyn</w:t>
      </w:r>
      <w:r w:rsidR="003D2880" w:rsidRPr="0064087E">
        <w:rPr>
          <w:rFonts w:ascii="Arial" w:hAnsi="Arial" w:cs="Arial"/>
        </w:rPr>
        <w:t>iku finansowego netto do warto</w:t>
      </w:r>
      <w:r w:rsidRPr="0064087E">
        <w:rPr>
          <w:rFonts w:ascii="Arial" w:hAnsi="Arial" w:cs="Arial"/>
        </w:rPr>
        <w:t xml:space="preserve">ści kapitału własnego, w odróżnieniu od wskaźnika rentowności aktywów, jest wyrazem efektywności nie całości kapitału ulokowanego w aktywach, lecz jedynie jego części </w:t>
      </w:r>
      <w:r w:rsidR="009A67C3" w:rsidRPr="0064087E">
        <w:rPr>
          <w:rFonts w:ascii="Arial" w:hAnsi="Arial" w:cs="Arial"/>
        </w:rPr>
        <w:br/>
      </w:r>
      <w:r w:rsidRPr="0064087E">
        <w:rPr>
          <w:rFonts w:ascii="Arial" w:hAnsi="Arial" w:cs="Arial"/>
        </w:rPr>
        <w:t xml:space="preserve">(bez zobowiązań). Podobnie jak wskaźnik rentowności aktywów wskaźnik w początkowych latach analizowanego okresu był nieco wyższy dla przedsiębiorstw związanych z lotnictwem niż dla województwa czy Polski, co sugeruje, że wyższy wynik przynoszą akcjonariuszom inwestycje w przedsiębiorstwa z branży lotniczej. Natomiast w latach 2020 i 2021 wskaźnik rentowności kapitału własnego dla branży lotniczej spadł i wyniósł odpowiednio 5,6% i 5,4% </w:t>
      </w:r>
      <w:r w:rsidR="006D3FB0">
        <w:rPr>
          <w:rFonts w:ascii="Arial" w:hAnsi="Arial" w:cs="Arial"/>
        </w:rPr>
        <w:br/>
      </w:r>
      <w:r w:rsidRPr="0064087E">
        <w:rPr>
          <w:rFonts w:ascii="Arial" w:hAnsi="Arial" w:cs="Arial"/>
        </w:rPr>
        <w:t>i był niższy niż notowane w tych latach wskaźniki dla województwa i dla Polski.</w:t>
      </w:r>
    </w:p>
    <w:p w:rsidR="003D2880" w:rsidRPr="0064087E" w:rsidRDefault="003D2880" w:rsidP="006D3FB0">
      <w:pPr>
        <w:spacing w:after="120" w:line="276" w:lineRule="auto"/>
        <w:rPr>
          <w:rFonts w:ascii="Arial" w:hAnsi="Arial" w:cs="Arial"/>
        </w:rPr>
      </w:pPr>
      <w:bookmarkStart w:id="24" w:name="_Toc160793522"/>
      <w:r w:rsidRPr="0064087E">
        <w:rPr>
          <w:rFonts w:ascii="Arial" w:hAnsi="Arial" w:cs="Arial"/>
          <w:b/>
        </w:rPr>
        <w:lastRenderedPageBreak/>
        <w:t xml:space="preserve">Wykres </w:t>
      </w:r>
      <w:r w:rsidR="005922CE">
        <w:rPr>
          <w:rFonts w:ascii="Arial" w:hAnsi="Arial" w:cs="Arial"/>
          <w:b/>
        </w:rPr>
        <w:fldChar w:fldCharType="begin"/>
      </w:r>
      <w:r w:rsidR="005922CE">
        <w:rPr>
          <w:rFonts w:ascii="Arial" w:hAnsi="Arial" w:cs="Arial"/>
          <w:b/>
        </w:rPr>
        <w:instrText xml:space="preserve"> SEQ Wykres \* ARABIC </w:instrText>
      </w:r>
      <w:r w:rsidR="005922CE">
        <w:rPr>
          <w:rFonts w:ascii="Arial" w:hAnsi="Arial" w:cs="Arial"/>
          <w:b/>
        </w:rPr>
        <w:fldChar w:fldCharType="separate"/>
      </w:r>
      <w:r w:rsidR="00884DAD">
        <w:rPr>
          <w:rFonts w:ascii="Arial" w:hAnsi="Arial" w:cs="Arial"/>
          <w:b/>
          <w:noProof/>
        </w:rPr>
        <w:t>16</w:t>
      </w:r>
      <w:r w:rsidR="005922CE">
        <w:rPr>
          <w:rFonts w:ascii="Arial" w:hAnsi="Arial" w:cs="Arial"/>
          <w:b/>
        </w:rPr>
        <w:fldChar w:fldCharType="end"/>
      </w:r>
      <w:r w:rsidR="00315515" w:rsidRPr="0064087E">
        <w:rPr>
          <w:rFonts w:ascii="Arial" w:hAnsi="Arial" w:cs="Arial"/>
          <w:b/>
        </w:rPr>
        <w:t>.</w:t>
      </w:r>
      <w:r w:rsidRPr="0064087E">
        <w:rPr>
          <w:rFonts w:ascii="Arial" w:hAnsi="Arial" w:cs="Arial"/>
        </w:rPr>
        <w:t xml:space="preserve"> Wskaźnik rentowności</w:t>
      </w:r>
      <w:r w:rsidR="00EF5637" w:rsidRPr="0064087E">
        <w:rPr>
          <w:rFonts w:ascii="Arial" w:hAnsi="Arial" w:cs="Arial"/>
        </w:rPr>
        <w:t xml:space="preserve"> kapitału własnego </w:t>
      </w:r>
      <w:r w:rsidR="00362EAC" w:rsidRPr="0064087E">
        <w:rPr>
          <w:rFonts w:ascii="Arial" w:hAnsi="Arial" w:cs="Arial"/>
        </w:rPr>
        <w:t>w</w:t>
      </w:r>
      <w:r w:rsidR="0019175F">
        <w:rPr>
          <w:rFonts w:ascii="Arial" w:hAnsi="Arial" w:cs="Arial"/>
        </w:rPr>
        <w:t xml:space="preserve"> Polsce, województwie podkarpackim oraz</w:t>
      </w:r>
      <w:r w:rsidR="00362EAC" w:rsidRPr="0064087E">
        <w:rPr>
          <w:rFonts w:ascii="Arial" w:hAnsi="Arial" w:cs="Arial"/>
        </w:rPr>
        <w:t xml:space="preserve"> branży lotniczej </w:t>
      </w:r>
      <w:r w:rsidR="00EF5637" w:rsidRPr="0064087E">
        <w:rPr>
          <w:rFonts w:ascii="Arial" w:hAnsi="Arial" w:cs="Arial"/>
        </w:rPr>
        <w:t>w latach 2017-2021</w:t>
      </w:r>
      <w:r w:rsidR="00E43864" w:rsidRPr="0064087E">
        <w:rPr>
          <w:rFonts w:ascii="Arial" w:hAnsi="Arial" w:cs="Arial"/>
        </w:rPr>
        <w:t>.</w:t>
      </w:r>
      <w:bookmarkEnd w:id="24"/>
    </w:p>
    <w:p w:rsidR="003D2880" w:rsidRPr="0064087E" w:rsidRDefault="0066035F" w:rsidP="003D2880">
      <w:pPr>
        <w:spacing w:after="120" w:line="276" w:lineRule="auto"/>
        <w:jc w:val="center"/>
        <w:rPr>
          <w:rFonts w:ascii="Arial" w:hAnsi="Arial" w:cs="Arial"/>
        </w:rPr>
      </w:pPr>
      <w:r w:rsidRPr="0064087E">
        <w:rPr>
          <w:noProof/>
          <w:lang w:eastAsia="pl-PL"/>
        </w:rPr>
        <w:drawing>
          <wp:inline distT="0" distB="0" distL="0" distR="0" wp14:anchorId="0A00A793" wp14:editId="56295AB6">
            <wp:extent cx="5153025" cy="2438400"/>
            <wp:effectExtent l="0" t="0" r="0" b="0"/>
            <wp:docPr id="145" name="Wykres 145" descr="Wykres kolumnowy w tym dane w %: Polska: 10,0 w 2017, 9,0 w 2018, 8,4 w 2019, 7,9 w 2020, 13,5 w 2021. Województwo podkarpackie: 10,9 w 2017, 8,8 w 2018, 10,0 w 2019, 10,6 w 2020, 14,1 w 2021. Sektor lotniczy: 16,6 w 2017, 13,2 w 2018, 13,2 w 2019, 5,6 w 2020, 5,4 w 2021">
              <a:extLst xmlns:a="http://schemas.openxmlformats.org/drawingml/2006/main">
                <a:ext uri="{FF2B5EF4-FFF2-40B4-BE49-F238E27FC236}">
                  <a16:creationId xmlns:a16="http://schemas.microsoft.com/office/drawing/2014/main" id="{5043D60A-E6C1-45C0-B229-7D9634168C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C1A41" w:rsidRPr="0064087E" w:rsidRDefault="005C1A41" w:rsidP="005C1A41">
      <w:pPr>
        <w:spacing w:after="120" w:line="276" w:lineRule="auto"/>
        <w:jc w:val="center"/>
        <w:rPr>
          <w:rFonts w:ascii="Arial" w:hAnsi="Arial" w:cs="Arial"/>
        </w:rPr>
      </w:pPr>
      <w:r w:rsidRPr="0064087E">
        <w:rPr>
          <w:rFonts w:ascii="Arial" w:hAnsi="Arial" w:cs="Arial"/>
        </w:rPr>
        <w:t xml:space="preserve">Źródło: </w:t>
      </w:r>
      <w:r w:rsidR="005811FE" w:rsidRPr="0064087E">
        <w:rPr>
          <w:rFonts w:ascii="Arial" w:hAnsi="Arial" w:cs="Arial"/>
        </w:rPr>
        <w:t>Opracowanie własne na podstawie danych GUS</w:t>
      </w:r>
      <w:r w:rsidRPr="0064087E">
        <w:rPr>
          <w:rFonts w:ascii="Arial" w:hAnsi="Arial" w:cs="Arial"/>
        </w:rPr>
        <w:t>.</w:t>
      </w:r>
    </w:p>
    <w:p w:rsidR="005C1A41" w:rsidRPr="0064087E" w:rsidRDefault="005C1A41" w:rsidP="007F75E6">
      <w:pPr>
        <w:spacing w:after="120" w:line="276" w:lineRule="auto"/>
        <w:rPr>
          <w:rFonts w:ascii="Arial" w:hAnsi="Arial" w:cs="Arial"/>
        </w:rPr>
      </w:pPr>
      <w:r w:rsidRPr="0064087E">
        <w:rPr>
          <w:rFonts w:ascii="Arial" w:hAnsi="Arial" w:cs="Arial"/>
        </w:rPr>
        <w:t xml:space="preserve">Wynik finansowy netto, który jest składową wskaźników rentowności aktywów, rentowności kapitału własnego i rentowności obrotu netto, zarówno w grupie firm związanych z branżą lotniczą, jak i ogółem jednostek mających siedzibę na terenie województwa podkarpackiego zanotował w 2018 r. spadek w stosunku do poprzedniego roku (odpowiednio o 16,3% </w:t>
      </w:r>
      <w:r w:rsidR="00830D71" w:rsidRPr="0064087E">
        <w:rPr>
          <w:rFonts w:ascii="Arial" w:hAnsi="Arial" w:cs="Arial"/>
        </w:rPr>
        <w:br/>
      </w:r>
      <w:r w:rsidRPr="0064087E">
        <w:rPr>
          <w:rFonts w:ascii="Arial" w:hAnsi="Arial" w:cs="Arial"/>
        </w:rPr>
        <w:t>i o 16</w:t>
      </w:r>
      <w:r w:rsidR="00830D71" w:rsidRPr="0064087E">
        <w:rPr>
          <w:rFonts w:ascii="Arial" w:hAnsi="Arial" w:cs="Arial"/>
        </w:rPr>
        <w:t>,0</w:t>
      </w:r>
      <w:r w:rsidRPr="0064087E">
        <w:rPr>
          <w:rFonts w:ascii="Arial" w:hAnsi="Arial" w:cs="Arial"/>
        </w:rPr>
        <w:t xml:space="preserve">%). W latach 2018-2019 jednostki sektora lotniczego notowały dynamiki zbliżone do województwa podkarpackiego. W 2020 r. sektor lotniczy zanotował duży spadek o 55,2% </w:t>
      </w:r>
      <w:r w:rsidR="00830D71" w:rsidRPr="0064087E">
        <w:rPr>
          <w:rFonts w:ascii="Arial" w:hAnsi="Arial" w:cs="Arial"/>
        </w:rPr>
        <w:br/>
      </w:r>
      <w:r w:rsidRPr="0064087E">
        <w:rPr>
          <w:rFonts w:ascii="Arial" w:hAnsi="Arial" w:cs="Arial"/>
        </w:rPr>
        <w:t>w stosunku do roku poprzedniego, a w 2021</w:t>
      </w:r>
      <w:r w:rsidR="00830D71" w:rsidRPr="0064087E">
        <w:rPr>
          <w:rFonts w:ascii="Arial" w:hAnsi="Arial" w:cs="Arial"/>
        </w:rPr>
        <w:t xml:space="preserve"> r.</w:t>
      </w:r>
      <w:r w:rsidRPr="0064087E">
        <w:rPr>
          <w:rFonts w:ascii="Arial" w:hAnsi="Arial" w:cs="Arial"/>
        </w:rPr>
        <w:t xml:space="preserve"> – o 4,8%. Natomiast w województwie podkarpackim nastąpił w tych latach wzrost (w 2020 r. o 11,1%</w:t>
      </w:r>
      <w:r w:rsidR="00830D71" w:rsidRPr="0064087E">
        <w:rPr>
          <w:rFonts w:ascii="Arial" w:hAnsi="Arial" w:cs="Arial"/>
        </w:rPr>
        <w:t>,</w:t>
      </w:r>
      <w:r w:rsidRPr="0064087E">
        <w:rPr>
          <w:rFonts w:ascii="Arial" w:hAnsi="Arial" w:cs="Arial"/>
        </w:rPr>
        <w:t xml:space="preserve"> a w 2021 r. o 35,4%). </w:t>
      </w:r>
      <w:r w:rsidR="007F75E6">
        <w:rPr>
          <w:rFonts w:ascii="Arial" w:hAnsi="Arial" w:cs="Arial"/>
        </w:rPr>
        <w:br/>
      </w:r>
      <w:r w:rsidRPr="0064087E">
        <w:rPr>
          <w:rFonts w:ascii="Arial" w:hAnsi="Arial" w:cs="Arial"/>
        </w:rPr>
        <w:t>W kraju po spadkach wyników finansowych netto w latach 2018-2020</w:t>
      </w:r>
      <w:r w:rsidR="00830D71" w:rsidRPr="0064087E">
        <w:rPr>
          <w:rFonts w:ascii="Arial" w:hAnsi="Arial" w:cs="Arial"/>
        </w:rPr>
        <w:t>,</w:t>
      </w:r>
      <w:r w:rsidR="00E97FA5" w:rsidRPr="0064087E">
        <w:rPr>
          <w:rFonts w:ascii="Arial" w:hAnsi="Arial" w:cs="Arial"/>
        </w:rPr>
        <w:t xml:space="preserve"> </w:t>
      </w:r>
      <w:r w:rsidRPr="0064087E">
        <w:rPr>
          <w:rFonts w:ascii="Arial" w:hAnsi="Arial" w:cs="Arial"/>
        </w:rPr>
        <w:t>w 2021 r. nastąpił wzrost o 89,8%.</w:t>
      </w:r>
    </w:p>
    <w:p w:rsidR="005C1A41" w:rsidRPr="0064087E" w:rsidRDefault="005C1A41" w:rsidP="007F75E6">
      <w:pPr>
        <w:spacing w:after="120" w:line="276" w:lineRule="auto"/>
        <w:rPr>
          <w:rFonts w:ascii="Arial" w:hAnsi="Arial" w:cs="Arial"/>
        </w:rPr>
      </w:pPr>
      <w:bookmarkStart w:id="25" w:name="_Toc160793523"/>
      <w:r w:rsidRPr="0064087E">
        <w:rPr>
          <w:rFonts w:ascii="Arial" w:hAnsi="Arial" w:cs="Arial"/>
          <w:b/>
        </w:rPr>
        <w:t xml:space="preserve">Wykres </w:t>
      </w:r>
      <w:r w:rsidR="005922CE">
        <w:rPr>
          <w:rFonts w:ascii="Arial" w:hAnsi="Arial" w:cs="Arial"/>
          <w:b/>
        </w:rPr>
        <w:fldChar w:fldCharType="begin"/>
      </w:r>
      <w:r w:rsidR="005922CE">
        <w:rPr>
          <w:rFonts w:ascii="Arial" w:hAnsi="Arial" w:cs="Arial"/>
          <w:b/>
        </w:rPr>
        <w:instrText xml:space="preserve"> SEQ Wykres \* ARABIC </w:instrText>
      </w:r>
      <w:r w:rsidR="005922CE">
        <w:rPr>
          <w:rFonts w:ascii="Arial" w:hAnsi="Arial" w:cs="Arial"/>
          <w:b/>
        </w:rPr>
        <w:fldChar w:fldCharType="separate"/>
      </w:r>
      <w:r w:rsidR="00884DAD">
        <w:rPr>
          <w:rFonts w:ascii="Arial" w:hAnsi="Arial" w:cs="Arial"/>
          <w:b/>
          <w:noProof/>
        </w:rPr>
        <w:t>17</w:t>
      </w:r>
      <w:r w:rsidR="005922CE">
        <w:rPr>
          <w:rFonts w:ascii="Arial" w:hAnsi="Arial" w:cs="Arial"/>
          <w:b/>
        </w:rPr>
        <w:fldChar w:fldCharType="end"/>
      </w:r>
      <w:r w:rsidR="00315515" w:rsidRPr="0064087E">
        <w:rPr>
          <w:rFonts w:ascii="Arial" w:hAnsi="Arial" w:cs="Arial"/>
          <w:b/>
        </w:rPr>
        <w:t>.</w:t>
      </w:r>
      <w:r w:rsidRPr="0064087E">
        <w:rPr>
          <w:rFonts w:ascii="Arial" w:hAnsi="Arial" w:cs="Arial"/>
        </w:rPr>
        <w:t xml:space="preserve"> Dynamika wyniku finansowego netto (</w:t>
      </w:r>
      <w:r w:rsidR="00EF5637" w:rsidRPr="0064087E">
        <w:rPr>
          <w:rFonts w:ascii="Arial" w:hAnsi="Arial" w:cs="Arial"/>
        </w:rPr>
        <w:t xml:space="preserve">rok poprzedni=100) </w:t>
      </w:r>
      <w:r w:rsidR="00275B1D" w:rsidRPr="0064087E">
        <w:rPr>
          <w:rFonts w:ascii="Arial" w:hAnsi="Arial" w:cs="Arial"/>
        </w:rPr>
        <w:t>w</w:t>
      </w:r>
      <w:r w:rsidR="0019175F">
        <w:rPr>
          <w:rFonts w:ascii="Arial" w:hAnsi="Arial" w:cs="Arial"/>
        </w:rPr>
        <w:t xml:space="preserve"> Polsce, województwie podkarpackim oraz</w:t>
      </w:r>
      <w:r w:rsidR="00275B1D" w:rsidRPr="0064087E">
        <w:rPr>
          <w:rFonts w:ascii="Arial" w:hAnsi="Arial" w:cs="Arial"/>
        </w:rPr>
        <w:t xml:space="preserve"> branży lotniczej </w:t>
      </w:r>
      <w:r w:rsidR="00EF5637" w:rsidRPr="0064087E">
        <w:rPr>
          <w:rFonts w:ascii="Arial" w:hAnsi="Arial" w:cs="Arial"/>
        </w:rPr>
        <w:t>w</w:t>
      </w:r>
      <w:r w:rsidR="00275B1D" w:rsidRPr="0064087E">
        <w:rPr>
          <w:rFonts w:ascii="Arial" w:hAnsi="Arial" w:cs="Arial"/>
        </w:rPr>
        <w:t> </w:t>
      </w:r>
      <w:r w:rsidR="00EF5637" w:rsidRPr="0064087E">
        <w:rPr>
          <w:rFonts w:ascii="Arial" w:hAnsi="Arial" w:cs="Arial"/>
        </w:rPr>
        <w:t>latach 2018-2021</w:t>
      </w:r>
      <w:r w:rsidR="00E43864" w:rsidRPr="0064087E">
        <w:rPr>
          <w:rFonts w:ascii="Arial" w:hAnsi="Arial" w:cs="Arial"/>
        </w:rPr>
        <w:t>.</w:t>
      </w:r>
      <w:bookmarkEnd w:id="25"/>
    </w:p>
    <w:p w:rsidR="005C1A41" w:rsidRPr="0064087E" w:rsidRDefault="00194753" w:rsidP="005C1A41">
      <w:pPr>
        <w:spacing w:after="120" w:line="276" w:lineRule="auto"/>
        <w:jc w:val="center"/>
        <w:rPr>
          <w:rFonts w:ascii="Arial" w:hAnsi="Arial" w:cs="Arial"/>
        </w:rPr>
      </w:pPr>
      <w:r w:rsidRPr="0064087E">
        <w:rPr>
          <w:noProof/>
          <w:lang w:eastAsia="pl-PL"/>
        </w:rPr>
        <w:drawing>
          <wp:inline distT="0" distB="0" distL="0" distR="0" wp14:anchorId="0B89EDAF" wp14:editId="457005D3">
            <wp:extent cx="4866199" cy="2194560"/>
            <wp:effectExtent l="0" t="0" r="0" b="0"/>
            <wp:docPr id="91" name="Wykres 91" descr="Wykres linowy w tym dane Polska: 93,8 w 2018, 96,3 w 2019, 97,5 w 2020, 189,8 w 2021. Województwo podkarpackie: 83,9 w 2018, 118,5 w 2019, 111,1 w 2020, 135,4 w 2021. Sektor lotniczy: 83,7 w 2018, 114,8 w 2019, 44,8 w 2020, 95,2 w 2021">
              <a:extLst xmlns:a="http://schemas.openxmlformats.org/drawingml/2006/main">
                <a:ext uri="{FF2B5EF4-FFF2-40B4-BE49-F238E27FC236}">
                  <a16:creationId xmlns:a16="http://schemas.microsoft.com/office/drawing/2014/main" id="{93ED0BF5-5AE3-411E-91DF-CF92DF9AC7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C1A41" w:rsidRPr="0064087E" w:rsidRDefault="005C1A41" w:rsidP="005C1A41">
      <w:pPr>
        <w:spacing w:after="120" w:line="276" w:lineRule="auto"/>
        <w:jc w:val="center"/>
        <w:rPr>
          <w:rFonts w:ascii="Arial" w:hAnsi="Arial" w:cs="Arial"/>
        </w:rPr>
      </w:pPr>
      <w:r w:rsidRPr="0064087E">
        <w:rPr>
          <w:rFonts w:ascii="Arial" w:hAnsi="Arial" w:cs="Arial"/>
        </w:rPr>
        <w:t xml:space="preserve">Źródło: </w:t>
      </w:r>
      <w:r w:rsidR="005811FE" w:rsidRPr="0064087E">
        <w:rPr>
          <w:rFonts w:ascii="Arial" w:hAnsi="Arial" w:cs="Arial"/>
        </w:rPr>
        <w:t>Opracowanie własne na podstawie danych GUS</w:t>
      </w:r>
      <w:r w:rsidRPr="0064087E">
        <w:rPr>
          <w:rFonts w:ascii="Arial" w:hAnsi="Arial" w:cs="Arial"/>
        </w:rPr>
        <w:t>.</w:t>
      </w:r>
    </w:p>
    <w:p w:rsidR="005C1A41" w:rsidRPr="0064087E" w:rsidRDefault="005C1A41" w:rsidP="007F75E6">
      <w:pPr>
        <w:spacing w:after="120" w:line="276" w:lineRule="auto"/>
        <w:rPr>
          <w:rFonts w:ascii="Arial" w:hAnsi="Arial" w:cs="Arial"/>
        </w:rPr>
      </w:pPr>
      <w:r w:rsidRPr="0064087E">
        <w:rPr>
          <w:rFonts w:ascii="Arial" w:hAnsi="Arial" w:cs="Arial"/>
        </w:rPr>
        <w:t>Płynność finansowa to zdolność do terminowego regulowania zobowią</w:t>
      </w:r>
      <w:r w:rsidR="001C3402" w:rsidRPr="0064087E">
        <w:rPr>
          <w:rFonts w:ascii="Arial" w:hAnsi="Arial" w:cs="Arial"/>
        </w:rPr>
        <w:t>zań. Płynność finansowa I stop</w:t>
      </w:r>
      <w:r w:rsidRPr="0064087E">
        <w:rPr>
          <w:rFonts w:ascii="Arial" w:hAnsi="Arial" w:cs="Arial"/>
        </w:rPr>
        <w:t xml:space="preserve">nia, liczona jako relacja inwestycji krótkoterminowych do zobowiązań krótkoterminowych, to zdolność przedsiębiorstw do natychmiastowej spłaty zobowiązań. Dla podmiotów gospodarczych związanych z lotnictwem wskaźnik płynności I stopnia w latach </w:t>
      </w:r>
      <w:r w:rsidRPr="0064087E">
        <w:rPr>
          <w:rFonts w:ascii="Arial" w:hAnsi="Arial" w:cs="Arial"/>
        </w:rPr>
        <w:lastRenderedPageBreak/>
        <w:t>2017-2021 utrzymywała się w przedziale</w:t>
      </w:r>
      <w:r w:rsidR="00E97FA5" w:rsidRPr="0064087E">
        <w:rPr>
          <w:rFonts w:ascii="Arial" w:hAnsi="Arial" w:cs="Arial"/>
        </w:rPr>
        <w:t xml:space="preserve"> </w:t>
      </w:r>
      <w:r w:rsidRPr="0064087E">
        <w:rPr>
          <w:rFonts w:ascii="Arial" w:hAnsi="Arial" w:cs="Arial"/>
        </w:rPr>
        <w:t xml:space="preserve">44,7% </w:t>
      </w:r>
      <w:r w:rsidR="00830D71" w:rsidRPr="0064087E">
        <w:rPr>
          <w:rFonts w:ascii="Arial" w:hAnsi="Arial" w:cs="Arial"/>
        </w:rPr>
        <w:t>–</w:t>
      </w:r>
      <w:r w:rsidRPr="0064087E">
        <w:rPr>
          <w:rFonts w:ascii="Arial" w:hAnsi="Arial" w:cs="Arial"/>
        </w:rPr>
        <w:t xml:space="preserve"> 67,5% i był wyższy niż dla </w:t>
      </w:r>
      <w:r w:rsidR="002A6C54" w:rsidRPr="0064087E">
        <w:rPr>
          <w:rFonts w:ascii="Arial" w:hAnsi="Arial" w:cs="Arial"/>
        </w:rPr>
        <w:t>województwa podkarpackiego</w:t>
      </w:r>
      <w:r w:rsidRPr="0064087E">
        <w:rPr>
          <w:rFonts w:ascii="Arial" w:hAnsi="Arial" w:cs="Arial"/>
        </w:rPr>
        <w:t xml:space="preserve"> i dla Polski. Według standardów wskaźnik powinien być wyższy niż 20%, jednak zbyt wysoki może świadczyć o nieproduktywnym gromadzeniu środków pieniężnych lub braku koncepcji ich wykorzystania.</w:t>
      </w:r>
    </w:p>
    <w:p w:rsidR="005C1A41" w:rsidRPr="0064087E" w:rsidRDefault="005C1A41" w:rsidP="007F75E6">
      <w:pPr>
        <w:spacing w:after="120" w:line="276" w:lineRule="auto"/>
        <w:rPr>
          <w:rFonts w:ascii="Arial" w:hAnsi="Arial" w:cs="Arial"/>
        </w:rPr>
      </w:pPr>
      <w:r w:rsidRPr="0064087E">
        <w:rPr>
          <w:rFonts w:ascii="Arial" w:hAnsi="Arial" w:cs="Arial"/>
        </w:rPr>
        <w:t>Wskaźnik płynności II stopnia, liczony jako relacja inwestycji krótkotermin</w:t>
      </w:r>
      <w:r w:rsidR="00194753" w:rsidRPr="0064087E">
        <w:rPr>
          <w:rFonts w:ascii="Arial" w:hAnsi="Arial" w:cs="Arial"/>
        </w:rPr>
        <w:t>owych i należności krótkotermi</w:t>
      </w:r>
      <w:r w:rsidRPr="0064087E">
        <w:rPr>
          <w:rFonts w:ascii="Arial" w:hAnsi="Arial" w:cs="Arial"/>
        </w:rPr>
        <w:t xml:space="preserve">nowych do zobowiązań krótkoterminowych, informuje o stopniu pokrycia zapasów aktywami o dużym stopniu płynności. Jako pożądana wartość wskaźnika przyjmuje się 100%, jednak tak jak w przypadku podmiotów gospodarczych związanych z lotnictwem poziom wskaźnika jest zależny od specyfiki branży. Dla podmiotów gospodarczych związanych z lotnictwem w analizowanym okresie wskaźnik przyjmował wartości powyżej 100% (od 104,7% w 2018 r. do 116,0% w 2019 r.) i był nieco wyższy niż dla </w:t>
      </w:r>
      <w:r w:rsidR="002A6C54" w:rsidRPr="0064087E">
        <w:rPr>
          <w:rFonts w:ascii="Arial" w:hAnsi="Arial" w:cs="Arial"/>
        </w:rPr>
        <w:t>województwa podkarpackiego</w:t>
      </w:r>
      <w:r w:rsidRPr="0064087E">
        <w:rPr>
          <w:rFonts w:ascii="Arial" w:hAnsi="Arial" w:cs="Arial"/>
        </w:rPr>
        <w:t xml:space="preserve"> i Polski, poza rokiem 2021 w którym wskaźnik dla Polski nieznacznie go</w:t>
      </w:r>
      <w:r w:rsidR="00E97FA5" w:rsidRPr="0064087E">
        <w:rPr>
          <w:rFonts w:ascii="Arial" w:hAnsi="Arial" w:cs="Arial"/>
        </w:rPr>
        <w:t xml:space="preserve"> </w:t>
      </w:r>
      <w:r w:rsidRPr="0064087E">
        <w:rPr>
          <w:rFonts w:ascii="Arial" w:hAnsi="Arial" w:cs="Arial"/>
        </w:rPr>
        <w:t>przewyższył.</w:t>
      </w:r>
    </w:p>
    <w:p w:rsidR="005C1A41" w:rsidRPr="0064087E" w:rsidRDefault="005C1A41" w:rsidP="007F75E6">
      <w:pPr>
        <w:spacing w:after="120" w:line="276" w:lineRule="auto"/>
        <w:rPr>
          <w:rFonts w:ascii="Arial" w:hAnsi="Arial" w:cs="Arial"/>
        </w:rPr>
      </w:pPr>
      <w:r w:rsidRPr="0064087E">
        <w:rPr>
          <w:rFonts w:ascii="Arial" w:hAnsi="Arial" w:cs="Arial"/>
        </w:rPr>
        <w:t xml:space="preserve">Wskaźnikiem obrazującym skalę ryzyka w przedsiębiorstwach jest wskaźnik płynności </w:t>
      </w:r>
      <w:r w:rsidR="00831718" w:rsidRPr="0064087E">
        <w:rPr>
          <w:rFonts w:ascii="Arial" w:hAnsi="Arial" w:cs="Arial"/>
        </w:rPr>
        <w:br/>
      </w:r>
      <w:r w:rsidRPr="0064087E">
        <w:rPr>
          <w:rFonts w:ascii="Arial" w:hAnsi="Arial" w:cs="Arial"/>
        </w:rPr>
        <w:t xml:space="preserve">III stopnia tzw. bieżącej płynności, liczony jako relacja aktywów obrotowych do zobowiązań krótkoterminowych. Wskaźnik informuje, czy zobowiązania mogłyby być terminowo spłacone dzięki upłynnieniu aktywów obrotowych. Zadowalający poziom wskaźnika to przedział 120% – 200%. Wskaźnik III stopnia liczony dla podmiotów gospodarczych sektora lotniczego </w:t>
      </w:r>
      <w:r w:rsidRPr="0064087E">
        <w:rPr>
          <w:rFonts w:ascii="Arial" w:hAnsi="Arial" w:cs="Arial"/>
        </w:rPr>
        <w:br/>
        <w:t xml:space="preserve">w analizowanym okresie był wyższy od notowanego w województwie i kraju, w tym najniższą wartość osiągnął w 2018 r. – 169,2%, a najwyższą w 2017 r. – 193,4%. Dla </w:t>
      </w:r>
      <w:r w:rsidR="002A6C54" w:rsidRPr="0064087E">
        <w:rPr>
          <w:rFonts w:ascii="Arial" w:hAnsi="Arial" w:cs="Arial"/>
        </w:rPr>
        <w:t>województwa podkarpackiego</w:t>
      </w:r>
      <w:r w:rsidRPr="0064087E">
        <w:rPr>
          <w:rFonts w:ascii="Arial" w:hAnsi="Arial" w:cs="Arial"/>
        </w:rPr>
        <w:t xml:space="preserve"> utrzymywał się w przedziale 159,2% – 167,4%, natomiast dla Polski oscylował w granicach 143,6% – 153,1%.</w:t>
      </w:r>
    </w:p>
    <w:p w:rsidR="005C1A41" w:rsidRPr="0064087E" w:rsidRDefault="005C1A41" w:rsidP="007F75E6">
      <w:pPr>
        <w:spacing w:after="120" w:line="276" w:lineRule="auto"/>
        <w:rPr>
          <w:rFonts w:ascii="Arial" w:hAnsi="Arial" w:cs="Arial"/>
        </w:rPr>
      </w:pPr>
      <w:r w:rsidRPr="0064087E">
        <w:rPr>
          <w:rFonts w:ascii="Arial" w:hAnsi="Arial" w:cs="Arial"/>
        </w:rPr>
        <w:t>Przeciętne zatrudnienie w jednostkach sektora lotniczego w 2018 r. notowało wzrost natomiast w latach 2019-2021 spadek. W województwie w latach 2019-2020 zatrudnienie spadło, a w 2021 r. zanotowało wzrost. W 2019 r. zarówno w sektorze</w:t>
      </w:r>
      <w:r w:rsidR="00B0264E" w:rsidRPr="0064087E">
        <w:rPr>
          <w:rFonts w:ascii="Arial" w:hAnsi="Arial" w:cs="Arial"/>
        </w:rPr>
        <w:t xml:space="preserve"> lotniczym</w:t>
      </w:r>
      <w:r w:rsidRPr="0064087E">
        <w:rPr>
          <w:rFonts w:ascii="Arial" w:hAnsi="Arial" w:cs="Arial"/>
        </w:rPr>
        <w:t xml:space="preserve">, jak </w:t>
      </w:r>
      <w:r w:rsidR="007F75E6">
        <w:rPr>
          <w:rFonts w:ascii="Arial" w:hAnsi="Arial" w:cs="Arial"/>
        </w:rPr>
        <w:br/>
      </w:r>
      <w:r w:rsidRPr="0064087E">
        <w:rPr>
          <w:rFonts w:ascii="Arial" w:hAnsi="Arial" w:cs="Arial"/>
        </w:rPr>
        <w:t xml:space="preserve">i województwie zatrudnienie spadło w stosunku do poprzedniego roku, natomiast w 2021 r. </w:t>
      </w:r>
      <w:r w:rsidR="007F75E6">
        <w:rPr>
          <w:rFonts w:ascii="Arial" w:hAnsi="Arial" w:cs="Arial"/>
        </w:rPr>
        <w:br/>
      </w:r>
      <w:r w:rsidRPr="0064087E">
        <w:rPr>
          <w:rFonts w:ascii="Arial" w:hAnsi="Arial" w:cs="Arial"/>
        </w:rPr>
        <w:t xml:space="preserve">w województwie zatrudnienie wzrosło a </w:t>
      </w:r>
      <w:r w:rsidR="008C4403" w:rsidRPr="0064087E">
        <w:rPr>
          <w:rFonts w:ascii="Arial" w:hAnsi="Arial" w:cs="Arial"/>
        </w:rPr>
        <w:t xml:space="preserve">w </w:t>
      </w:r>
      <w:r w:rsidRPr="0064087E">
        <w:rPr>
          <w:rFonts w:ascii="Arial" w:hAnsi="Arial" w:cs="Arial"/>
        </w:rPr>
        <w:t>branży lotniczej</w:t>
      </w:r>
      <w:r w:rsidR="00E97FA5" w:rsidRPr="0064087E">
        <w:rPr>
          <w:rFonts w:ascii="Arial" w:hAnsi="Arial" w:cs="Arial"/>
        </w:rPr>
        <w:t xml:space="preserve"> </w:t>
      </w:r>
      <w:r w:rsidRPr="0064087E">
        <w:rPr>
          <w:rFonts w:ascii="Arial" w:hAnsi="Arial" w:cs="Arial"/>
        </w:rPr>
        <w:t>nieznacznie spadło.</w:t>
      </w:r>
    </w:p>
    <w:p w:rsidR="005C1A41" w:rsidRPr="0064087E" w:rsidRDefault="005C1A41" w:rsidP="007F75E6">
      <w:pPr>
        <w:spacing w:after="120" w:line="276" w:lineRule="auto"/>
        <w:rPr>
          <w:rFonts w:ascii="Arial" w:hAnsi="Arial" w:cs="Arial"/>
        </w:rPr>
      </w:pPr>
      <w:bookmarkStart w:id="26" w:name="_Toc160793524"/>
      <w:r w:rsidRPr="0064087E">
        <w:rPr>
          <w:rFonts w:ascii="Arial" w:hAnsi="Arial" w:cs="Arial"/>
          <w:b/>
        </w:rPr>
        <w:t xml:space="preserve">Wykres </w:t>
      </w:r>
      <w:r w:rsidR="005922CE">
        <w:rPr>
          <w:rFonts w:ascii="Arial" w:hAnsi="Arial" w:cs="Arial"/>
          <w:b/>
        </w:rPr>
        <w:fldChar w:fldCharType="begin"/>
      </w:r>
      <w:r w:rsidR="005922CE">
        <w:rPr>
          <w:rFonts w:ascii="Arial" w:hAnsi="Arial" w:cs="Arial"/>
          <w:b/>
        </w:rPr>
        <w:instrText xml:space="preserve"> SEQ Wykres \* ARABIC </w:instrText>
      </w:r>
      <w:r w:rsidR="005922CE">
        <w:rPr>
          <w:rFonts w:ascii="Arial" w:hAnsi="Arial" w:cs="Arial"/>
          <w:b/>
        </w:rPr>
        <w:fldChar w:fldCharType="separate"/>
      </w:r>
      <w:r w:rsidR="00884DAD">
        <w:rPr>
          <w:rFonts w:ascii="Arial" w:hAnsi="Arial" w:cs="Arial"/>
          <w:b/>
          <w:noProof/>
        </w:rPr>
        <w:t>18</w:t>
      </w:r>
      <w:r w:rsidR="005922CE">
        <w:rPr>
          <w:rFonts w:ascii="Arial" w:hAnsi="Arial" w:cs="Arial"/>
          <w:b/>
        </w:rPr>
        <w:fldChar w:fldCharType="end"/>
      </w:r>
      <w:r w:rsidR="00315515" w:rsidRPr="0064087E">
        <w:rPr>
          <w:rFonts w:ascii="Arial" w:hAnsi="Arial" w:cs="Arial"/>
          <w:b/>
        </w:rPr>
        <w:t>.</w:t>
      </w:r>
      <w:r w:rsidRPr="0064087E">
        <w:rPr>
          <w:rFonts w:ascii="Arial" w:hAnsi="Arial" w:cs="Arial"/>
        </w:rPr>
        <w:t xml:space="preserve"> Dynamika przeciętnego zatrudnienia (</w:t>
      </w:r>
      <w:r w:rsidR="00E8018D" w:rsidRPr="0064087E">
        <w:rPr>
          <w:rFonts w:ascii="Arial" w:hAnsi="Arial" w:cs="Arial"/>
        </w:rPr>
        <w:t xml:space="preserve">rok poprzedni=100) </w:t>
      </w:r>
      <w:r w:rsidR="00275B1D" w:rsidRPr="0064087E">
        <w:rPr>
          <w:rFonts w:ascii="Arial" w:hAnsi="Arial" w:cs="Arial"/>
        </w:rPr>
        <w:t>w</w:t>
      </w:r>
      <w:r w:rsidR="0019175F">
        <w:rPr>
          <w:rFonts w:ascii="Arial" w:hAnsi="Arial" w:cs="Arial"/>
        </w:rPr>
        <w:t xml:space="preserve"> województwie podkarpackim oraz</w:t>
      </w:r>
      <w:r w:rsidR="00275B1D" w:rsidRPr="0064087E">
        <w:rPr>
          <w:rFonts w:ascii="Arial" w:hAnsi="Arial" w:cs="Arial"/>
        </w:rPr>
        <w:t xml:space="preserve"> branży lotniczej </w:t>
      </w:r>
      <w:r w:rsidR="00E8018D" w:rsidRPr="0064087E">
        <w:rPr>
          <w:rFonts w:ascii="Arial" w:hAnsi="Arial" w:cs="Arial"/>
        </w:rPr>
        <w:t>w</w:t>
      </w:r>
      <w:r w:rsidR="00275B1D" w:rsidRPr="0064087E">
        <w:rPr>
          <w:rFonts w:ascii="Arial" w:hAnsi="Arial" w:cs="Arial"/>
        </w:rPr>
        <w:t> </w:t>
      </w:r>
      <w:r w:rsidR="00E8018D" w:rsidRPr="0064087E">
        <w:rPr>
          <w:rFonts w:ascii="Arial" w:hAnsi="Arial" w:cs="Arial"/>
        </w:rPr>
        <w:t>latach 2018-2021</w:t>
      </w:r>
      <w:r w:rsidR="00E43864" w:rsidRPr="0064087E">
        <w:rPr>
          <w:rFonts w:ascii="Arial" w:hAnsi="Arial" w:cs="Arial"/>
        </w:rPr>
        <w:t>.</w:t>
      </w:r>
      <w:bookmarkEnd w:id="26"/>
    </w:p>
    <w:p w:rsidR="005C1A41" w:rsidRPr="0064087E" w:rsidRDefault="00194753" w:rsidP="005C1A41">
      <w:pPr>
        <w:spacing w:after="120" w:line="276" w:lineRule="auto"/>
        <w:jc w:val="center"/>
        <w:rPr>
          <w:rFonts w:ascii="Arial" w:hAnsi="Arial" w:cs="Arial"/>
        </w:rPr>
      </w:pPr>
      <w:r w:rsidRPr="0064087E">
        <w:rPr>
          <w:noProof/>
          <w:lang w:eastAsia="pl-PL"/>
        </w:rPr>
        <w:drawing>
          <wp:inline distT="0" distB="0" distL="0" distR="0" wp14:anchorId="759C52C8" wp14:editId="5B1F43AD">
            <wp:extent cx="5200153" cy="2639833"/>
            <wp:effectExtent l="0" t="0" r="635" b="8255"/>
            <wp:docPr id="1876" name="Wykres 1876" descr="Wykres linowy w tym dane Województwo podkarpackie: 103,7 w 2018, 99,8 w 2019, 94,0 w 2020, 100,8 w 2021. Sektor lotniczy: 102,5 w 2018, 99,3 w 2019, 95,3 w 2020, 99,9 w 2021">
              <a:extLst xmlns:a="http://schemas.openxmlformats.org/drawingml/2006/main">
                <a:ext uri="{FF2B5EF4-FFF2-40B4-BE49-F238E27FC236}">
                  <a16:creationId xmlns:a16="http://schemas.microsoft.com/office/drawing/2014/main" id="{364CC176-38C3-4CDC-8C8E-41C5FD70EA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7214C" w:rsidRPr="0064087E" w:rsidRDefault="005C1A41" w:rsidP="00194753">
      <w:pPr>
        <w:spacing w:after="120" w:line="276" w:lineRule="auto"/>
        <w:jc w:val="center"/>
        <w:rPr>
          <w:rFonts w:ascii="Arial" w:hAnsi="Arial" w:cs="Arial"/>
        </w:rPr>
      </w:pPr>
      <w:r w:rsidRPr="0064087E">
        <w:rPr>
          <w:rFonts w:ascii="Arial" w:hAnsi="Arial" w:cs="Arial"/>
        </w:rPr>
        <w:t xml:space="preserve">Źródło: </w:t>
      </w:r>
      <w:r w:rsidR="005811FE" w:rsidRPr="0064087E">
        <w:rPr>
          <w:rFonts w:ascii="Arial" w:hAnsi="Arial" w:cs="Arial"/>
        </w:rPr>
        <w:t>Opracowanie własne na podstawie danych GUS</w:t>
      </w:r>
      <w:r w:rsidRPr="0064087E">
        <w:rPr>
          <w:rFonts w:ascii="Arial" w:hAnsi="Arial" w:cs="Arial"/>
        </w:rPr>
        <w:t>.</w:t>
      </w:r>
    </w:p>
    <w:p w:rsidR="005C1A41" w:rsidRPr="0064087E" w:rsidRDefault="005C1A41" w:rsidP="007F75E6">
      <w:pPr>
        <w:pStyle w:val="Nagwek1"/>
        <w:numPr>
          <w:ilvl w:val="0"/>
          <w:numId w:val="1"/>
        </w:numPr>
        <w:ind w:left="357" w:hanging="357"/>
      </w:pPr>
      <w:bookmarkStart w:id="27" w:name="_Toc160793871"/>
      <w:r w:rsidRPr="0064087E">
        <w:lastRenderedPageBreak/>
        <w:t>Inteligentna specjalizacja – motoryzacja</w:t>
      </w:r>
      <w:bookmarkEnd w:id="27"/>
    </w:p>
    <w:p w:rsidR="005C1A41" w:rsidRPr="0064087E" w:rsidRDefault="005C1A41" w:rsidP="007F75E6">
      <w:pPr>
        <w:pStyle w:val="Nagwek2"/>
        <w:numPr>
          <w:ilvl w:val="1"/>
          <w:numId w:val="1"/>
        </w:numPr>
        <w:ind w:left="357" w:hanging="357"/>
        <w:rPr>
          <w:b/>
          <w:color w:val="auto"/>
        </w:rPr>
      </w:pPr>
      <w:bookmarkStart w:id="28" w:name="_Toc160793872"/>
      <w:r w:rsidRPr="0064087E">
        <w:rPr>
          <w:b/>
          <w:color w:val="auto"/>
        </w:rPr>
        <w:t>Sektor motoryzacyjny w województwie podkarpackim – przesłanki wyboru specjalizacji regionalnej</w:t>
      </w:r>
      <w:bookmarkEnd w:id="28"/>
    </w:p>
    <w:p w:rsidR="005C1A41" w:rsidRPr="0064087E" w:rsidRDefault="005C1A41" w:rsidP="007F75E6">
      <w:pPr>
        <w:spacing w:after="100" w:line="276" w:lineRule="auto"/>
        <w:rPr>
          <w:rFonts w:ascii="Arial" w:hAnsi="Arial" w:cs="Arial"/>
        </w:rPr>
      </w:pPr>
      <w:r w:rsidRPr="0064087E">
        <w:rPr>
          <w:rFonts w:ascii="Arial" w:hAnsi="Arial" w:cs="Arial"/>
        </w:rPr>
        <w:t xml:space="preserve">Motoryzacja została wyłoniona jako kolejna inteligentna specjalizacja województwa podkarpackiego. Podobnie jak w przypadku pozostałych specjalizacji występuje </w:t>
      </w:r>
      <w:r w:rsidR="00F63732" w:rsidRPr="0064087E">
        <w:rPr>
          <w:rFonts w:ascii="Arial" w:hAnsi="Arial" w:cs="Arial"/>
        </w:rPr>
        <w:t xml:space="preserve">pewna </w:t>
      </w:r>
      <w:r w:rsidRPr="0064087E">
        <w:rPr>
          <w:rFonts w:ascii="Arial" w:hAnsi="Arial" w:cs="Arial"/>
        </w:rPr>
        <w:t>trudność w precyzyjnym zdefiniowaniu i opisaniu branży za pomocą kodów PKD (w wąskim ujęciu nie obejmuje dostawców części i podzespołów wykorzystywanych w przemyśle motoryzacyjnym, przy rozszerzeniu na inne działy PKD do specjalizacji zaliczane byłyby podmioty nie powiązane z branżą).</w:t>
      </w:r>
    </w:p>
    <w:p w:rsidR="00530FBD" w:rsidRPr="0064087E" w:rsidRDefault="00F63732" w:rsidP="007F75E6">
      <w:pPr>
        <w:spacing w:after="100" w:line="276" w:lineRule="auto"/>
        <w:rPr>
          <w:rFonts w:ascii="Arial" w:hAnsi="Arial" w:cs="Arial"/>
        </w:rPr>
      </w:pPr>
      <w:r w:rsidRPr="0064087E">
        <w:rPr>
          <w:rFonts w:ascii="Arial" w:hAnsi="Arial" w:cs="Arial"/>
        </w:rPr>
        <w:t>Motoryzacje zdefiniowano jako szeroko rozumianą działalnoś</w:t>
      </w:r>
      <w:r w:rsidR="00F61247" w:rsidRPr="0064087E">
        <w:rPr>
          <w:rFonts w:ascii="Arial" w:hAnsi="Arial" w:cs="Arial"/>
        </w:rPr>
        <w:t>ć</w:t>
      </w:r>
      <w:r w:rsidRPr="0064087E">
        <w:rPr>
          <w:rFonts w:ascii="Arial" w:hAnsi="Arial" w:cs="Arial"/>
        </w:rPr>
        <w:t xml:space="preserve"> związaną z produkcją pojazdów samochodowych, przyczep i naczep oraz taboru szynowego, w tym środków transportu o nowoczesnym ekologicznym napędzie, a także wytwarzania ich komponentów </w:t>
      </w:r>
      <w:r w:rsidRPr="0064087E">
        <w:rPr>
          <w:rFonts w:ascii="Arial" w:hAnsi="Arial" w:cs="Arial"/>
        </w:rPr>
        <w:br/>
        <w:t>i produktów tworzonych na potrzeby tego sektora. Specjalizację tworzy również działalność badawczo-naukowa realizowana na potrzeby branży</w:t>
      </w:r>
      <w:r w:rsidRPr="0064087E">
        <w:rPr>
          <w:rStyle w:val="Odwoanieprzypisudolnego"/>
          <w:rFonts w:ascii="Arial" w:hAnsi="Arial" w:cs="Arial"/>
        </w:rPr>
        <w:footnoteReference w:id="11"/>
      </w:r>
      <w:r w:rsidRPr="0064087E">
        <w:rPr>
          <w:rFonts w:ascii="Arial" w:hAnsi="Arial" w:cs="Arial"/>
        </w:rPr>
        <w:t>.</w:t>
      </w:r>
    </w:p>
    <w:p w:rsidR="005C1A41" w:rsidRPr="0064087E" w:rsidRDefault="00530FBD" w:rsidP="007F75E6">
      <w:pPr>
        <w:spacing w:after="100" w:line="276" w:lineRule="auto"/>
        <w:rPr>
          <w:rFonts w:ascii="Arial" w:hAnsi="Arial" w:cs="Arial"/>
        </w:rPr>
      </w:pPr>
      <w:r w:rsidRPr="0064087E">
        <w:rPr>
          <w:rFonts w:ascii="Arial" w:hAnsi="Arial" w:cs="Arial"/>
        </w:rPr>
        <w:t xml:space="preserve">Województwo podkarpackie uznawane jest za wiodący region w rozwoju innowacyjnych technologii motoryzacyjnych oraz producenta najwyższej jakości komponentów i pojazdów </w:t>
      </w:r>
      <w:r w:rsidRPr="0064087E">
        <w:rPr>
          <w:rFonts w:ascii="Arial" w:hAnsi="Arial" w:cs="Arial"/>
        </w:rPr>
        <w:br/>
        <w:t xml:space="preserve">w Polsce. </w:t>
      </w:r>
      <w:r w:rsidR="005C1A41" w:rsidRPr="0064087E">
        <w:rPr>
          <w:rFonts w:ascii="Arial" w:hAnsi="Arial" w:cs="Arial"/>
        </w:rPr>
        <w:t xml:space="preserve">Podobnie jak i lotnictwo, przemysł motoryzacyjny jest obecny </w:t>
      </w:r>
      <w:r w:rsidR="002A6C54" w:rsidRPr="0064087E">
        <w:rPr>
          <w:rFonts w:ascii="Arial" w:hAnsi="Arial" w:cs="Arial"/>
        </w:rPr>
        <w:t>w regionie</w:t>
      </w:r>
      <w:r w:rsidR="005C1A41" w:rsidRPr="0064087E">
        <w:rPr>
          <w:rFonts w:ascii="Arial" w:hAnsi="Arial" w:cs="Arial"/>
        </w:rPr>
        <w:t xml:space="preserve"> od wielu lat. W regionie jest zlokalizowana stosunkowo niewielka liczba podmiotów zaliczanych do branży motoryzacyjnej</w:t>
      </w:r>
      <w:r w:rsidR="00CC7FC7" w:rsidRPr="0064087E">
        <w:rPr>
          <w:rFonts w:ascii="Arial" w:hAnsi="Arial" w:cs="Arial"/>
        </w:rPr>
        <w:t>, jednak</w:t>
      </w:r>
      <w:r w:rsidR="005C1A41" w:rsidRPr="0064087E">
        <w:rPr>
          <w:rFonts w:ascii="Arial" w:hAnsi="Arial" w:cs="Arial"/>
        </w:rPr>
        <w:t xml:space="preserve"> są to duże przedsiębiorstwa (najczęściej z kapitałem zagranicznym), które cechuje globalny zasięg. Podmioty zaliczane do IS skupione są głównie w SSE w Mielcu i Tarnobrzegu, okolicach Rzeszowa oraz na południu województwa </w:t>
      </w:r>
      <w:r w:rsidR="00831718" w:rsidRPr="0064087E">
        <w:rPr>
          <w:rFonts w:ascii="Arial" w:hAnsi="Arial" w:cs="Arial"/>
        </w:rPr>
        <w:br/>
      </w:r>
      <w:r w:rsidR="005C1A41" w:rsidRPr="0064087E">
        <w:rPr>
          <w:rFonts w:ascii="Arial" w:hAnsi="Arial" w:cs="Arial"/>
        </w:rPr>
        <w:t>(w okolicach Sanoka).</w:t>
      </w:r>
    </w:p>
    <w:p w:rsidR="005C1A41" w:rsidRPr="0064087E" w:rsidRDefault="005C1A41" w:rsidP="007F75E6">
      <w:pPr>
        <w:spacing w:after="100" w:line="276" w:lineRule="auto"/>
        <w:rPr>
          <w:rFonts w:ascii="Arial" w:hAnsi="Arial" w:cs="Arial"/>
        </w:rPr>
      </w:pPr>
      <w:r w:rsidRPr="0064087E">
        <w:rPr>
          <w:rFonts w:ascii="Arial" w:hAnsi="Arial" w:cs="Arial"/>
        </w:rPr>
        <w:t>Motoryzacja ma niekwestionowany wpływ na rozwój gospodarczy regionu. Sektor ten wyróżnia wysoki udział w produkcji sprzedanej przemysłu. Produkcja przemysłu motoryzacyjnego ukierunkowana jest na wytwarzanie podzespołów i komponentów dla globalnych koncernów motoryzacyjnych, dzięki czemu branżę cechuje również bardzo wysoki poziom eksportu towarów. Dodatkowo motoryzacja charakteryzuje się wysokim udziałem w zatrudnieniu.</w:t>
      </w:r>
    </w:p>
    <w:p w:rsidR="005C1A41" w:rsidRPr="0064087E" w:rsidRDefault="005C1A41" w:rsidP="007F75E6">
      <w:pPr>
        <w:spacing w:after="80" w:line="276" w:lineRule="auto"/>
        <w:rPr>
          <w:rFonts w:ascii="Arial" w:hAnsi="Arial" w:cs="Arial"/>
        </w:rPr>
      </w:pPr>
      <w:r w:rsidRPr="0064087E">
        <w:rPr>
          <w:rFonts w:ascii="Arial" w:hAnsi="Arial" w:cs="Arial"/>
        </w:rPr>
        <w:t>Przemysł motoryzacyjny zaliczany jest również do najbardziej innowacyjnych gałęzi przemysłu. Na</w:t>
      </w:r>
      <w:r w:rsidR="0077037D" w:rsidRPr="0064087E">
        <w:rPr>
          <w:rFonts w:ascii="Arial" w:hAnsi="Arial" w:cs="Arial"/>
        </w:rPr>
        <w:t xml:space="preserve"> podkarpackich</w:t>
      </w:r>
      <w:r w:rsidRPr="0064087E">
        <w:rPr>
          <w:rFonts w:ascii="Arial" w:hAnsi="Arial" w:cs="Arial"/>
        </w:rPr>
        <w:t xml:space="preserve"> uczelniach prowadzone są prace badawcze powiązane z tym sektorem gospodarki. Katedra Pojazdów Samochodowych i Inżynierii Transportu Politechniki Rzeszowskiej dysponuje bogatą bazą laboratoryjną i ofertą naukowo</w:t>
      </w:r>
      <w:r w:rsidR="00E57F55" w:rsidRPr="0064087E">
        <w:rPr>
          <w:rFonts w:ascii="Arial" w:hAnsi="Arial" w:cs="Arial"/>
        </w:rPr>
        <w:t>-badawczą z zakresu motoryzacji</w:t>
      </w:r>
      <w:r w:rsidR="00E57F55" w:rsidRPr="0064087E">
        <w:rPr>
          <w:rStyle w:val="Odwoanieprzypisudolnego"/>
          <w:rFonts w:ascii="Arial" w:hAnsi="Arial" w:cs="Arial"/>
        </w:rPr>
        <w:footnoteReference w:id="12"/>
      </w:r>
      <w:r w:rsidRPr="0064087E">
        <w:rPr>
          <w:rFonts w:ascii="Arial" w:hAnsi="Arial" w:cs="Arial"/>
        </w:rPr>
        <w:t>.</w:t>
      </w:r>
    </w:p>
    <w:p w:rsidR="005C1A41" w:rsidRPr="0064087E" w:rsidRDefault="005C1A41" w:rsidP="007F75E6">
      <w:pPr>
        <w:spacing w:after="80" w:line="276" w:lineRule="auto"/>
        <w:rPr>
          <w:rFonts w:ascii="Arial" w:hAnsi="Arial" w:cs="Arial"/>
        </w:rPr>
      </w:pPr>
      <w:r w:rsidRPr="0064087E">
        <w:rPr>
          <w:rFonts w:ascii="Arial" w:hAnsi="Arial" w:cs="Arial"/>
        </w:rPr>
        <w:t xml:space="preserve">Podobnie jak w przypadku lotnictwa, sektor motoryzacyjny wyróżnia wysoki poziom współpracy przedsiębiorstw i instytucji naukowo-badawczych realizowany m.in. poprzez działalność klastrów. Najwięcej podmiotów zrzesza Klaster Przemysłowo-Naukowy „Ziemia </w:t>
      </w:r>
      <w:r w:rsidR="00A500E9" w:rsidRPr="0064087E">
        <w:rPr>
          <w:rFonts w:ascii="Arial" w:hAnsi="Arial" w:cs="Arial"/>
        </w:rPr>
        <w:t>Sanocka”– 5</w:t>
      </w:r>
      <w:r w:rsidR="00F973F5" w:rsidRPr="0064087E">
        <w:rPr>
          <w:rFonts w:ascii="Arial" w:hAnsi="Arial" w:cs="Arial"/>
        </w:rPr>
        <w:t xml:space="preserve">3 </w:t>
      </w:r>
      <w:r w:rsidR="00A500E9" w:rsidRPr="0064087E">
        <w:rPr>
          <w:rFonts w:ascii="Arial" w:hAnsi="Arial" w:cs="Arial"/>
        </w:rPr>
        <w:t xml:space="preserve"> </w:t>
      </w:r>
      <w:r w:rsidR="00F973F5" w:rsidRPr="0064087E">
        <w:rPr>
          <w:rFonts w:ascii="Arial" w:hAnsi="Arial" w:cs="Arial"/>
        </w:rPr>
        <w:t>podmioty</w:t>
      </w:r>
      <w:r w:rsidRPr="0064087E">
        <w:rPr>
          <w:rFonts w:ascii="Arial" w:hAnsi="Arial" w:cs="Arial"/>
        </w:rPr>
        <w:t>.</w:t>
      </w:r>
    </w:p>
    <w:p w:rsidR="005C1A41" w:rsidRPr="0064087E" w:rsidRDefault="005C1A41" w:rsidP="007F75E6">
      <w:pPr>
        <w:spacing w:after="120" w:line="276" w:lineRule="auto"/>
        <w:rPr>
          <w:rFonts w:ascii="Arial" w:hAnsi="Arial" w:cs="Arial"/>
        </w:rPr>
      </w:pPr>
      <w:r w:rsidRPr="0064087E">
        <w:rPr>
          <w:rFonts w:ascii="Arial" w:hAnsi="Arial" w:cs="Arial"/>
        </w:rPr>
        <w:t>Najaktywniej działającym obecnie klastrem w branży motoryzacyjnej w regionie jest Stowarzyszenie Wschodni Sojusz Motoryzacyjny East Automotive Alliance, do którego należy ponad 3</w:t>
      </w:r>
      <w:r w:rsidR="00E06E42" w:rsidRPr="0064087E">
        <w:rPr>
          <w:rFonts w:ascii="Arial" w:hAnsi="Arial" w:cs="Arial"/>
        </w:rPr>
        <w:t>0</w:t>
      </w:r>
      <w:r w:rsidRPr="0064087E">
        <w:rPr>
          <w:rFonts w:ascii="Arial" w:hAnsi="Arial" w:cs="Arial"/>
        </w:rPr>
        <w:t xml:space="preserve"> podmiotów. Celem jego działania jest ochrona i reprezentacja interesów przedsiębiorstw branży motoryzacyjnej, tworzenie warunków do rozwoju branży oraz </w:t>
      </w:r>
      <w:r w:rsidRPr="0064087E">
        <w:rPr>
          <w:rFonts w:ascii="Arial" w:hAnsi="Arial" w:cs="Arial"/>
        </w:rPr>
        <w:lastRenderedPageBreak/>
        <w:t>propagowanie wiedzy o motoryzacji. Klaster oprócz szkolnictwa wyższego współpracuje również ze szkołami średnimi w regionie, realizując projekt Podkarpackiej Akademii Motoryzacji - Innowacyjne Szkolnictwo Zawodowe, którego celem jest m.in. poprawa jakości kształcenia zawodowego dostosowanego do potrzeb ry</w:t>
      </w:r>
      <w:r w:rsidR="00A500E9" w:rsidRPr="0064087E">
        <w:rPr>
          <w:rFonts w:ascii="Arial" w:hAnsi="Arial" w:cs="Arial"/>
        </w:rPr>
        <w:t>nku pracy</w:t>
      </w:r>
      <w:r w:rsidR="00A500E9" w:rsidRPr="0064087E">
        <w:rPr>
          <w:rStyle w:val="Odwoanieprzypisudolnego"/>
          <w:rFonts w:ascii="Arial" w:hAnsi="Arial" w:cs="Arial"/>
        </w:rPr>
        <w:footnoteReference w:id="13"/>
      </w:r>
      <w:r w:rsidRPr="0064087E">
        <w:rPr>
          <w:rFonts w:ascii="Arial" w:hAnsi="Arial" w:cs="Arial"/>
        </w:rPr>
        <w:t>.</w:t>
      </w:r>
    </w:p>
    <w:p w:rsidR="005C1A41" w:rsidRPr="0064087E" w:rsidRDefault="005C1A41" w:rsidP="007F75E6">
      <w:pPr>
        <w:spacing w:after="120" w:line="276" w:lineRule="auto"/>
        <w:rPr>
          <w:rFonts w:ascii="Arial" w:hAnsi="Arial" w:cs="Arial"/>
        </w:rPr>
      </w:pPr>
      <w:r w:rsidRPr="0064087E">
        <w:rPr>
          <w:rFonts w:ascii="Arial" w:hAnsi="Arial" w:cs="Arial"/>
        </w:rPr>
        <w:t xml:space="preserve">Współczesną motoryzację charakteryzuje coraz większe wykorzystanie technologii informatycznych i rozwiązań komunikacyjnych, dlatego też coraz istotniejsze jest nawiązywanie ścisłej współpracy pomiędzy podmiotami zaliczanymi do </w:t>
      </w:r>
      <w:r w:rsidR="008E5344" w:rsidRPr="0064087E">
        <w:rPr>
          <w:rFonts w:ascii="Arial" w:hAnsi="Arial" w:cs="Arial"/>
        </w:rPr>
        <w:t>specjalizacji</w:t>
      </w:r>
      <w:r w:rsidRPr="0064087E">
        <w:rPr>
          <w:rFonts w:ascii="Arial" w:hAnsi="Arial" w:cs="Arial"/>
        </w:rPr>
        <w:t xml:space="preserve"> </w:t>
      </w:r>
      <w:r w:rsidR="008E5344" w:rsidRPr="0064087E">
        <w:rPr>
          <w:rFonts w:ascii="Arial" w:hAnsi="Arial" w:cs="Arial"/>
        </w:rPr>
        <w:t>m</w:t>
      </w:r>
      <w:r w:rsidRPr="0064087E">
        <w:rPr>
          <w:rFonts w:ascii="Arial" w:hAnsi="Arial" w:cs="Arial"/>
        </w:rPr>
        <w:t xml:space="preserve">otoryzacja a podmiotami tworzącymi specjalizację </w:t>
      </w:r>
      <w:r w:rsidR="00D20D74" w:rsidRPr="0064087E">
        <w:rPr>
          <w:rFonts w:ascii="Arial" w:hAnsi="Arial" w:cs="Arial"/>
        </w:rPr>
        <w:t>informacja i telekomunikacja</w:t>
      </w:r>
      <w:r w:rsidRPr="0064087E">
        <w:rPr>
          <w:rFonts w:ascii="Arial" w:hAnsi="Arial" w:cs="Arial"/>
        </w:rPr>
        <w:t>.</w:t>
      </w:r>
      <w:r w:rsidR="0062469A" w:rsidRPr="0064087E">
        <w:rPr>
          <w:rFonts w:ascii="Arial" w:hAnsi="Arial" w:cs="Arial"/>
        </w:rPr>
        <w:t xml:space="preserve"> </w:t>
      </w:r>
      <w:r w:rsidRPr="0064087E">
        <w:rPr>
          <w:rFonts w:ascii="Arial" w:hAnsi="Arial" w:cs="Arial"/>
        </w:rPr>
        <w:t xml:space="preserve">Biorąc pod uwagę znaczenie sektora </w:t>
      </w:r>
      <w:r w:rsidR="00CC7FC7" w:rsidRPr="0064087E">
        <w:rPr>
          <w:rFonts w:ascii="Arial" w:hAnsi="Arial" w:cs="Arial"/>
        </w:rPr>
        <w:t>motoryzacyjnego</w:t>
      </w:r>
      <w:r w:rsidR="00EB41B4" w:rsidRPr="0064087E">
        <w:rPr>
          <w:rFonts w:ascii="Arial" w:hAnsi="Arial" w:cs="Arial"/>
        </w:rPr>
        <w:t xml:space="preserve"> </w:t>
      </w:r>
      <w:r w:rsidRPr="0064087E">
        <w:rPr>
          <w:rFonts w:ascii="Arial" w:hAnsi="Arial" w:cs="Arial"/>
        </w:rPr>
        <w:t xml:space="preserve">dla rozwoju zarówno gospodarczego, jak </w:t>
      </w:r>
      <w:r w:rsidR="00EB41B4" w:rsidRPr="0064087E">
        <w:rPr>
          <w:rFonts w:ascii="Arial" w:hAnsi="Arial" w:cs="Arial"/>
        </w:rPr>
        <w:br/>
      </w:r>
      <w:r w:rsidRPr="0064087E">
        <w:rPr>
          <w:rFonts w:ascii="Arial" w:hAnsi="Arial" w:cs="Arial"/>
        </w:rPr>
        <w:t>i społecznego regionu oraz uwzględniając potencjał badawczo-rozwojowy i poziom współpracy pomiędzy podmiotami branży, zadecydowano o wyborze motoryzacji na kolejną inteligentną specjalizację województwa.</w:t>
      </w:r>
    </w:p>
    <w:p w:rsidR="005C1A41" w:rsidRPr="0064087E" w:rsidRDefault="005C1A41" w:rsidP="007F75E6">
      <w:pPr>
        <w:pStyle w:val="Nagwek2"/>
        <w:numPr>
          <w:ilvl w:val="1"/>
          <w:numId w:val="1"/>
        </w:numPr>
        <w:ind w:left="357" w:hanging="357"/>
        <w:rPr>
          <w:b/>
          <w:color w:val="auto"/>
        </w:rPr>
      </w:pPr>
      <w:bookmarkStart w:id="29" w:name="_Toc160793873"/>
      <w:r w:rsidRPr="0064087E">
        <w:rPr>
          <w:b/>
          <w:color w:val="auto"/>
        </w:rPr>
        <w:t xml:space="preserve">Sytuacja finansowo-ekonomiczna firm z branży motoryzacyjnej </w:t>
      </w:r>
      <w:r w:rsidR="00315515" w:rsidRPr="0064087E">
        <w:rPr>
          <w:b/>
          <w:color w:val="auto"/>
        </w:rPr>
        <w:br/>
      </w:r>
      <w:r w:rsidRPr="0064087E">
        <w:rPr>
          <w:b/>
          <w:color w:val="auto"/>
        </w:rPr>
        <w:t>w województwie podkarpackim</w:t>
      </w:r>
      <w:bookmarkEnd w:id="29"/>
    </w:p>
    <w:p w:rsidR="00E57F55" w:rsidRPr="0064087E" w:rsidRDefault="005C1A41" w:rsidP="007F75E6">
      <w:pPr>
        <w:spacing w:after="120" w:line="276" w:lineRule="auto"/>
        <w:rPr>
          <w:rFonts w:ascii="Arial" w:hAnsi="Arial" w:cs="Arial"/>
        </w:rPr>
      </w:pPr>
      <w:r w:rsidRPr="0064087E">
        <w:rPr>
          <w:rFonts w:ascii="Arial" w:hAnsi="Arial" w:cs="Arial"/>
        </w:rPr>
        <w:t>Na potrzeby niniejszej analizy, pod pojęciem sektora motoryzacyjnego należy rozumieć jednostki zaklasyfikowane do następujących działów PKD tj.: 13.20A, 13.92, 22.11, 22.19, 22.29, 23.12, 24.51, 24.53, 25.61, 25.62, 25.72, 25.73, 25.99, 26.51, 28.11, 28.12, 28.13, 28.2, 28.30, 29.10, 29.20, 29.31, 29.32, 30.91, 71.12, 74.10.</w:t>
      </w:r>
      <w:r w:rsidR="0062469A" w:rsidRPr="0064087E">
        <w:rPr>
          <w:rFonts w:ascii="Arial" w:hAnsi="Arial" w:cs="Arial"/>
        </w:rPr>
        <w:t xml:space="preserve"> </w:t>
      </w:r>
      <w:r w:rsidRPr="0064087E">
        <w:rPr>
          <w:rFonts w:ascii="Arial" w:hAnsi="Arial" w:cs="Arial"/>
        </w:rPr>
        <w:t>W 2017 r. było to 168 jednostek, w 2018 r. – 173, w 2019 r. – 170, w 2020 r. – 167, a w 2021 r. – 170 jednost</w:t>
      </w:r>
      <w:r w:rsidR="00A523A8" w:rsidRPr="0064087E">
        <w:rPr>
          <w:rFonts w:ascii="Arial" w:hAnsi="Arial" w:cs="Arial"/>
        </w:rPr>
        <w:t>ek</w:t>
      </w:r>
      <w:r w:rsidRPr="0064087E">
        <w:rPr>
          <w:rFonts w:ascii="Arial" w:hAnsi="Arial" w:cs="Arial"/>
        </w:rPr>
        <w:t>. Firmy z branży motoryzacyjnej występują na terenie 20 powiatów województwa, przy czym ich zagęszczenie występuje głównie w Rzeszowie oraz w powiatach: mieleckim, rzeszowskim i dębickim.</w:t>
      </w:r>
    </w:p>
    <w:p w:rsidR="00E57F55" w:rsidRPr="0064087E" w:rsidRDefault="00E57F55">
      <w:pPr>
        <w:widowControl/>
        <w:autoSpaceDE/>
        <w:autoSpaceDN/>
        <w:spacing w:after="160" w:line="259" w:lineRule="auto"/>
        <w:rPr>
          <w:rFonts w:ascii="Arial" w:hAnsi="Arial" w:cs="Arial"/>
        </w:rPr>
      </w:pPr>
      <w:r w:rsidRPr="0064087E">
        <w:rPr>
          <w:rFonts w:ascii="Arial" w:hAnsi="Arial" w:cs="Arial"/>
        </w:rPr>
        <w:br w:type="page"/>
      </w:r>
    </w:p>
    <w:p w:rsidR="00672B1C" w:rsidRPr="0064087E" w:rsidRDefault="00672B1C" w:rsidP="007F75E6">
      <w:pPr>
        <w:pStyle w:val="Legenda"/>
        <w:keepNext/>
        <w:rPr>
          <w:rFonts w:ascii="Arial" w:hAnsi="Arial" w:cs="Arial"/>
          <w:i w:val="0"/>
          <w:color w:val="auto"/>
          <w:sz w:val="22"/>
          <w:szCs w:val="22"/>
        </w:rPr>
      </w:pPr>
      <w:bookmarkStart w:id="30" w:name="_Toc161123002"/>
      <w:r w:rsidRPr="0064087E">
        <w:rPr>
          <w:rFonts w:ascii="Arial" w:hAnsi="Arial" w:cs="Arial"/>
          <w:b/>
          <w:i w:val="0"/>
          <w:color w:val="auto"/>
          <w:sz w:val="22"/>
          <w:szCs w:val="22"/>
        </w:rPr>
        <w:lastRenderedPageBreak/>
        <w:t xml:space="preserve">Rysunek </w:t>
      </w:r>
      <w:r w:rsidRPr="0064087E">
        <w:rPr>
          <w:rFonts w:ascii="Arial" w:hAnsi="Arial" w:cs="Arial"/>
          <w:b/>
          <w:i w:val="0"/>
          <w:color w:val="auto"/>
          <w:sz w:val="22"/>
          <w:szCs w:val="22"/>
        </w:rPr>
        <w:fldChar w:fldCharType="begin"/>
      </w:r>
      <w:r w:rsidRPr="0064087E">
        <w:rPr>
          <w:rFonts w:ascii="Arial" w:hAnsi="Arial" w:cs="Arial"/>
          <w:b/>
          <w:i w:val="0"/>
          <w:color w:val="auto"/>
          <w:sz w:val="22"/>
          <w:szCs w:val="22"/>
        </w:rPr>
        <w:instrText xml:space="preserve"> SEQ Rysunek \* ARABIC </w:instrText>
      </w:r>
      <w:r w:rsidRPr="0064087E">
        <w:rPr>
          <w:rFonts w:ascii="Arial" w:hAnsi="Arial" w:cs="Arial"/>
          <w:b/>
          <w:i w:val="0"/>
          <w:color w:val="auto"/>
          <w:sz w:val="22"/>
          <w:szCs w:val="22"/>
        </w:rPr>
        <w:fldChar w:fldCharType="separate"/>
      </w:r>
      <w:r w:rsidR="00884DAD">
        <w:rPr>
          <w:rFonts w:ascii="Arial" w:hAnsi="Arial" w:cs="Arial"/>
          <w:b/>
          <w:i w:val="0"/>
          <w:noProof/>
          <w:color w:val="auto"/>
          <w:sz w:val="22"/>
          <w:szCs w:val="22"/>
        </w:rPr>
        <w:t>2</w:t>
      </w:r>
      <w:r w:rsidRPr="0064087E">
        <w:rPr>
          <w:rFonts w:ascii="Arial" w:hAnsi="Arial" w:cs="Arial"/>
          <w:b/>
          <w:i w:val="0"/>
          <w:color w:val="auto"/>
          <w:sz w:val="22"/>
          <w:szCs w:val="22"/>
        </w:rPr>
        <w:fldChar w:fldCharType="end"/>
      </w:r>
      <w:r w:rsidR="00DA1871">
        <w:rPr>
          <w:rFonts w:ascii="Arial" w:hAnsi="Arial" w:cs="Arial"/>
          <w:b/>
          <w:i w:val="0"/>
          <w:color w:val="auto"/>
          <w:sz w:val="22"/>
          <w:szCs w:val="22"/>
        </w:rPr>
        <w:t>.</w:t>
      </w:r>
      <w:r w:rsidRPr="0064087E">
        <w:rPr>
          <w:rFonts w:ascii="Arial" w:hAnsi="Arial" w:cs="Arial"/>
          <w:i w:val="0"/>
          <w:color w:val="auto"/>
          <w:sz w:val="22"/>
          <w:szCs w:val="22"/>
        </w:rPr>
        <w:t xml:space="preserve"> Rozmieszczenie firm branży motoryzacyjnej w 2021 r.</w:t>
      </w:r>
      <w:bookmarkEnd w:id="30"/>
    </w:p>
    <w:p w:rsidR="005C1A41" w:rsidRPr="0064087E" w:rsidRDefault="003C59FA" w:rsidP="00B82BC4">
      <w:pPr>
        <w:spacing w:after="120" w:line="276" w:lineRule="auto"/>
        <w:jc w:val="center"/>
        <w:rPr>
          <w:rFonts w:ascii="Arial" w:hAnsi="Arial" w:cs="Arial"/>
        </w:rPr>
      </w:pPr>
      <w:r w:rsidRPr="0064087E">
        <w:rPr>
          <w:noProof/>
          <w:lang w:eastAsia="pl-PL"/>
        </w:rPr>
        <w:drawing>
          <wp:inline distT="0" distB="0" distL="0" distR="0" wp14:anchorId="44E99165" wp14:editId="1D420353">
            <wp:extent cx="4676775" cy="4849316"/>
            <wp:effectExtent l="0" t="0" r="0" b="8890"/>
            <wp:docPr id="2749" name="Obraz 2749" descr="Kontur województwa podkarpackiego w tym zaznaczone miejsca rozmieszczenia firm branży motoryzacyjnej. Najwięcej firm znajduje się w granicach powiatów: dębickiego, mieleckiego, ropczyckiego, strzyżowskiego, kolbuszowskiego, tarnobrzeskiego, rzeszowskiego, łańcuckiego leżajskiego przeworskiego i jarosławskiego, Ponadto firmy znajdują się w poszczególnych jednostkach terytorialnych: Skołyszyn, Osiek Jasielski, Chorkówka, Korczyna, Zagórz, Ustrzyki Dolne, Przemyśl, Orły, Lubaczów, Najwięcej firm znajduję się w: Rzeszów, Miele, Dębica, Krosno, Trzebownisko, Stalowa W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95452" cy="4868682"/>
                    </a:xfrm>
                    <a:prstGeom prst="rect">
                      <a:avLst/>
                    </a:prstGeom>
                    <a:noFill/>
                    <a:ln>
                      <a:noFill/>
                    </a:ln>
                  </pic:spPr>
                </pic:pic>
              </a:graphicData>
            </a:graphic>
          </wp:inline>
        </w:drawing>
      </w:r>
    </w:p>
    <w:p w:rsidR="00E57F55" w:rsidRPr="0064087E" w:rsidRDefault="00E57F55" w:rsidP="00315515">
      <w:pPr>
        <w:spacing w:after="120" w:line="276" w:lineRule="auto"/>
        <w:jc w:val="center"/>
        <w:rPr>
          <w:rFonts w:ascii="Arial" w:hAnsi="Arial" w:cs="Arial"/>
        </w:rPr>
      </w:pPr>
      <w:r w:rsidRPr="0064087E">
        <w:rPr>
          <w:rFonts w:ascii="Arial" w:hAnsi="Arial" w:cs="Arial"/>
        </w:rPr>
        <w:t xml:space="preserve">Źródło: </w:t>
      </w:r>
      <w:r w:rsidR="0062469A" w:rsidRPr="0064087E">
        <w:rPr>
          <w:rFonts w:ascii="Arial" w:hAnsi="Arial" w:cs="Arial"/>
        </w:rPr>
        <w:t>Opracowanie własne na podstawie danych GUS</w:t>
      </w:r>
      <w:r w:rsidRPr="0064087E">
        <w:rPr>
          <w:rFonts w:ascii="Arial" w:hAnsi="Arial" w:cs="Arial"/>
        </w:rPr>
        <w:t>.</w:t>
      </w:r>
    </w:p>
    <w:p w:rsidR="00E57F55" w:rsidRPr="0064087E" w:rsidRDefault="00E57F55" w:rsidP="007F75E6">
      <w:pPr>
        <w:spacing w:after="120" w:line="276" w:lineRule="auto"/>
        <w:rPr>
          <w:rFonts w:ascii="Arial" w:hAnsi="Arial" w:cs="Arial"/>
        </w:rPr>
      </w:pPr>
      <w:r w:rsidRPr="0064087E">
        <w:rPr>
          <w:rFonts w:ascii="Arial" w:hAnsi="Arial" w:cs="Arial"/>
        </w:rPr>
        <w:t>Analizie poddano sytuację finansowo-ekonomiczną podmiotów gospodarczych sektora motoryzacyjnego</w:t>
      </w:r>
      <w:r w:rsidR="00D20D74" w:rsidRPr="0064087E">
        <w:rPr>
          <w:rStyle w:val="Odwoanieprzypisudolnego"/>
          <w:rFonts w:ascii="Arial" w:hAnsi="Arial" w:cs="Arial"/>
        </w:rPr>
        <w:footnoteReference w:id="14"/>
      </w:r>
      <w:r w:rsidR="00D20D74" w:rsidRPr="0064087E">
        <w:rPr>
          <w:rFonts w:ascii="Arial" w:hAnsi="Arial" w:cs="Arial"/>
        </w:rPr>
        <w:t xml:space="preserve"> </w:t>
      </w:r>
      <w:r w:rsidRPr="0064087E">
        <w:rPr>
          <w:rFonts w:ascii="Arial" w:hAnsi="Arial" w:cs="Arial"/>
        </w:rPr>
        <w:t xml:space="preserve">w województwie podkarpackim w latach 2017-2021. Wskaźniki obliczone dla tych jednostek zostały porównane ze wskaźnikami dla województwa podkarpackiego </w:t>
      </w:r>
      <w:r w:rsidRPr="0064087E">
        <w:rPr>
          <w:rFonts w:ascii="Arial" w:hAnsi="Arial" w:cs="Arial"/>
        </w:rPr>
        <w:br/>
        <w:t>i Polski.</w:t>
      </w:r>
    </w:p>
    <w:p w:rsidR="00CC7F54" w:rsidRPr="0064087E" w:rsidRDefault="00E57F55" w:rsidP="007F75E6">
      <w:pPr>
        <w:spacing w:after="120" w:line="276" w:lineRule="auto"/>
        <w:rPr>
          <w:rFonts w:ascii="Arial" w:hAnsi="Arial" w:cs="Arial"/>
        </w:rPr>
      </w:pPr>
      <w:r w:rsidRPr="0064087E">
        <w:rPr>
          <w:rFonts w:ascii="Arial" w:hAnsi="Arial" w:cs="Arial"/>
        </w:rPr>
        <w:t xml:space="preserve">W latach 2017-2021 w przedsiębiorstwach związanych z motoryzacją w województwie podkarpackim zwiększyły się zarówno przychody, jak i koszty z całokształtu działalności, </w:t>
      </w:r>
      <w:r w:rsidRPr="0064087E">
        <w:rPr>
          <w:rFonts w:ascii="Arial" w:hAnsi="Arial" w:cs="Arial"/>
        </w:rPr>
        <w:br/>
        <w:t>z wyjątkiem roku 2020</w:t>
      </w:r>
      <w:r w:rsidR="00B30B42" w:rsidRPr="0064087E">
        <w:rPr>
          <w:rFonts w:ascii="Arial" w:hAnsi="Arial" w:cs="Arial"/>
        </w:rPr>
        <w:t>,</w:t>
      </w:r>
      <w:r w:rsidRPr="0064087E">
        <w:rPr>
          <w:rFonts w:ascii="Arial" w:hAnsi="Arial" w:cs="Arial"/>
        </w:rPr>
        <w:t xml:space="preserve"> w którym nastąpił ich spadek. Wskaźnik poziomu kosztów (relacja kosztów z całokształtu działalności do przychodów z całokształtu działalności) utrzymywał się w analizowanym okresie na podobnym poziomie (92,1%</w:t>
      </w:r>
      <w:r w:rsidR="00830D71" w:rsidRPr="0064087E">
        <w:rPr>
          <w:rFonts w:ascii="Arial" w:hAnsi="Arial" w:cs="Arial"/>
        </w:rPr>
        <w:t xml:space="preserve"> – </w:t>
      </w:r>
      <w:r w:rsidRPr="0064087E">
        <w:rPr>
          <w:rFonts w:ascii="Arial" w:hAnsi="Arial" w:cs="Arial"/>
        </w:rPr>
        <w:t>93,4%).</w:t>
      </w:r>
    </w:p>
    <w:p w:rsidR="00CC7F54" w:rsidRPr="0064087E" w:rsidRDefault="00CC7F54">
      <w:pPr>
        <w:widowControl/>
        <w:autoSpaceDE/>
        <w:autoSpaceDN/>
        <w:spacing w:after="160" w:line="259" w:lineRule="auto"/>
        <w:rPr>
          <w:rFonts w:ascii="Arial" w:hAnsi="Arial" w:cs="Arial"/>
        </w:rPr>
      </w:pPr>
      <w:r w:rsidRPr="0064087E">
        <w:rPr>
          <w:rFonts w:ascii="Arial" w:hAnsi="Arial" w:cs="Arial"/>
        </w:rPr>
        <w:br w:type="page"/>
      </w:r>
    </w:p>
    <w:p w:rsidR="00D20D74" w:rsidRPr="0064087E" w:rsidRDefault="00D20D74" w:rsidP="007F75E6">
      <w:pPr>
        <w:pStyle w:val="Legenda"/>
        <w:keepNext/>
        <w:spacing w:after="120" w:line="276" w:lineRule="auto"/>
        <w:rPr>
          <w:rFonts w:ascii="Arial" w:hAnsi="Arial" w:cs="Arial"/>
          <w:i w:val="0"/>
          <w:color w:val="auto"/>
          <w:sz w:val="22"/>
          <w:szCs w:val="22"/>
        </w:rPr>
      </w:pPr>
      <w:bookmarkStart w:id="32" w:name="_Toc160793525"/>
      <w:r w:rsidRPr="0064087E">
        <w:rPr>
          <w:rFonts w:ascii="Arial" w:hAnsi="Arial" w:cs="Arial"/>
          <w:b/>
          <w:i w:val="0"/>
          <w:color w:val="auto"/>
          <w:sz w:val="22"/>
          <w:szCs w:val="22"/>
        </w:rPr>
        <w:lastRenderedPageBreak/>
        <w:t xml:space="preserve">Wykres </w:t>
      </w:r>
      <w:r w:rsidR="005922CE">
        <w:rPr>
          <w:rFonts w:ascii="Arial" w:hAnsi="Arial" w:cs="Arial"/>
          <w:b/>
          <w:i w:val="0"/>
          <w:color w:val="auto"/>
          <w:sz w:val="22"/>
          <w:szCs w:val="22"/>
        </w:rPr>
        <w:fldChar w:fldCharType="begin"/>
      </w:r>
      <w:r w:rsidR="005922CE">
        <w:rPr>
          <w:rFonts w:ascii="Arial" w:hAnsi="Arial" w:cs="Arial"/>
          <w:b/>
          <w:i w:val="0"/>
          <w:color w:val="auto"/>
          <w:sz w:val="22"/>
          <w:szCs w:val="22"/>
        </w:rPr>
        <w:instrText xml:space="preserve"> SEQ Wykres \* ARABIC </w:instrText>
      </w:r>
      <w:r w:rsidR="005922CE">
        <w:rPr>
          <w:rFonts w:ascii="Arial" w:hAnsi="Arial" w:cs="Arial"/>
          <w:b/>
          <w:i w:val="0"/>
          <w:color w:val="auto"/>
          <w:sz w:val="22"/>
          <w:szCs w:val="22"/>
        </w:rPr>
        <w:fldChar w:fldCharType="separate"/>
      </w:r>
      <w:r w:rsidR="00884DAD">
        <w:rPr>
          <w:rFonts w:ascii="Arial" w:hAnsi="Arial" w:cs="Arial"/>
          <w:b/>
          <w:i w:val="0"/>
          <w:noProof/>
          <w:color w:val="auto"/>
          <w:sz w:val="22"/>
          <w:szCs w:val="22"/>
        </w:rPr>
        <w:t>19</w:t>
      </w:r>
      <w:r w:rsidR="005922CE">
        <w:rPr>
          <w:rFonts w:ascii="Arial" w:hAnsi="Arial" w:cs="Arial"/>
          <w:b/>
          <w:i w:val="0"/>
          <w:color w:val="auto"/>
          <w:sz w:val="22"/>
          <w:szCs w:val="22"/>
        </w:rPr>
        <w:fldChar w:fldCharType="end"/>
      </w:r>
      <w:r w:rsidR="00DA1871">
        <w:rPr>
          <w:rFonts w:ascii="Arial" w:hAnsi="Arial" w:cs="Arial"/>
          <w:b/>
          <w:i w:val="0"/>
          <w:color w:val="auto"/>
          <w:sz w:val="22"/>
          <w:szCs w:val="22"/>
        </w:rPr>
        <w:t>.</w:t>
      </w:r>
      <w:r w:rsidRPr="0064087E">
        <w:rPr>
          <w:rFonts w:ascii="Arial" w:hAnsi="Arial" w:cs="Arial"/>
          <w:i w:val="0"/>
          <w:color w:val="auto"/>
          <w:sz w:val="22"/>
          <w:szCs w:val="22"/>
        </w:rPr>
        <w:t xml:space="preserve"> Przychody, koszty oraz wskaźnik poziomu kosztów z całokształtu działalności firm branży motoryzacyjnej z wojewódz</w:t>
      </w:r>
      <w:r w:rsidR="00B82BC4" w:rsidRPr="0064087E">
        <w:rPr>
          <w:rFonts w:ascii="Arial" w:hAnsi="Arial" w:cs="Arial"/>
          <w:i w:val="0"/>
          <w:color w:val="auto"/>
          <w:sz w:val="22"/>
          <w:szCs w:val="22"/>
        </w:rPr>
        <w:t>twa podkarpackiego w latach 2017-2021</w:t>
      </w:r>
      <w:bookmarkEnd w:id="32"/>
    </w:p>
    <w:p w:rsidR="00D20D74" w:rsidRPr="0064087E" w:rsidRDefault="00231687" w:rsidP="00194753">
      <w:pPr>
        <w:spacing w:after="120" w:line="276" w:lineRule="auto"/>
        <w:jc w:val="center"/>
        <w:rPr>
          <w:rFonts w:ascii="Arial" w:hAnsi="Arial" w:cs="Arial"/>
        </w:rPr>
      </w:pPr>
      <w:r w:rsidRPr="0064087E">
        <w:rPr>
          <w:noProof/>
        </w:rPr>
        <w:t xml:space="preserve"> </w:t>
      </w:r>
      <w:r w:rsidRPr="0064087E">
        <w:rPr>
          <w:noProof/>
          <w:lang w:eastAsia="pl-PL"/>
        </w:rPr>
        <w:drawing>
          <wp:inline distT="0" distB="0" distL="0" distR="0" wp14:anchorId="57B3261A" wp14:editId="0EC98F76">
            <wp:extent cx="4924425" cy="3095625"/>
            <wp:effectExtent l="0" t="0" r="0" b="0"/>
            <wp:docPr id="12" name="Wykres 12" descr="Wykres kolumnowy w tym dane w mln zł przychody z całokształtu działalności: 8,21 w 2017, 9,27 w 2018, 9,85 w 2019, 9,11 w 2020, 11,34 w 2021. Koszty uzyskania przychodów z całokształtu działalności: 7,57 w 2017, 8,63 w 2018, 9,09 w 2019, 8,42 w 2020, 10,59 w 2021. Wskaźnik poziomu kosztów z całokształtu działalności w %: 92,1 w 2017, 93,0 w 2018, 92,3 w 2019, 92,4 w 2020, 93,4 w 2021 ">
              <a:extLst xmlns:a="http://schemas.openxmlformats.org/drawingml/2006/main">
                <a:ext uri="{FF2B5EF4-FFF2-40B4-BE49-F238E27FC236}">
                  <a16:creationId xmlns:a16="http://schemas.microsoft.com/office/drawing/2014/main" id="{AFE13755-BDF7-48FD-9CC1-F7F66687A5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20D74" w:rsidRPr="0064087E" w:rsidRDefault="00D20D74" w:rsidP="00D20D74">
      <w:pPr>
        <w:spacing w:after="120" w:line="276" w:lineRule="auto"/>
        <w:jc w:val="center"/>
        <w:rPr>
          <w:rFonts w:ascii="Arial" w:hAnsi="Arial" w:cs="Arial"/>
        </w:rPr>
      </w:pPr>
      <w:r w:rsidRPr="0064087E">
        <w:rPr>
          <w:rFonts w:ascii="Arial" w:hAnsi="Arial" w:cs="Arial"/>
        </w:rPr>
        <w:t xml:space="preserve">Źródło: </w:t>
      </w:r>
      <w:r w:rsidR="00231687" w:rsidRPr="0064087E">
        <w:rPr>
          <w:rFonts w:ascii="Arial" w:hAnsi="Arial" w:cs="Arial"/>
        </w:rPr>
        <w:t>Opracowanie własne na podstawie danych GUS</w:t>
      </w:r>
      <w:r w:rsidRPr="0064087E">
        <w:rPr>
          <w:rFonts w:ascii="Arial" w:hAnsi="Arial" w:cs="Arial"/>
        </w:rPr>
        <w:t>.</w:t>
      </w:r>
    </w:p>
    <w:p w:rsidR="00194753" w:rsidRPr="0064087E" w:rsidRDefault="00D20D74" w:rsidP="007F75E6">
      <w:pPr>
        <w:spacing w:after="120" w:line="276" w:lineRule="auto"/>
        <w:rPr>
          <w:rFonts w:ascii="Arial" w:hAnsi="Arial" w:cs="Arial"/>
        </w:rPr>
      </w:pPr>
      <w:r w:rsidRPr="0064087E">
        <w:rPr>
          <w:rFonts w:ascii="Arial" w:hAnsi="Arial" w:cs="Arial"/>
        </w:rPr>
        <w:t xml:space="preserve">Udział przychodów netto ze sprzedaży produktów, towarów i materiałów na eksport </w:t>
      </w:r>
      <w:r w:rsidRPr="0064087E">
        <w:rPr>
          <w:rFonts w:ascii="Arial" w:hAnsi="Arial" w:cs="Arial"/>
        </w:rPr>
        <w:br/>
        <w:t xml:space="preserve">w przychodach netto ze sprzedaży produktów, towarów i materiałów w branży motoryzacyjnej w latach 2017-2021 notował niewielkie wahania. Sektor motoryzacyjny wykazuje udział eksportu na poziomie ponad trzykrotnie wyższym niż w województwie </w:t>
      </w:r>
      <w:r w:rsidR="007F75E6">
        <w:rPr>
          <w:rFonts w:ascii="Arial" w:hAnsi="Arial" w:cs="Arial"/>
        </w:rPr>
        <w:br/>
      </w:r>
      <w:r w:rsidRPr="0064087E">
        <w:rPr>
          <w:rFonts w:ascii="Arial" w:hAnsi="Arial" w:cs="Arial"/>
        </w:rPr>
        <w:t>i kraju. Po wzroście udziału w latach 2017-2020 w 2021 r. nastąpił niewielki spadek do 76,3%. Zarówno w województwie</w:t>
      </w:r>
      <w:r w:rsidR="00B30B42" w:rsidRPr="0064087E">
        <w:rPr>
          <w:rFonts w:ascii="Arial" w:hAnsi="Arial" w:cs="Arial"/>
        </w:rPr>
        <w:t>,</w:t>
      </w:r>
      <w:r w:rsidRPr="0064087E">
        <w:rPr>
          <w:rFonts w:ascii="Arial" w:hAnsi="Arial" w:cs="Arial"/>
        </w:rPr>
        <w:t xml:space="preserve"> jak </w:t>
      </w:r>
      <w:r w:rsidR="006C1852" w:rsidRPr="0064087E">
        <w:rPr>
          <w:rFonts w:ascii="Arial" w:hAnsi="Arial" w:cs="Arial"/>
        </w:rPr>
        <w:t xml:space="preserve">i </w:t>
      </w:r>
      <w:r w:rsidRPr="0064087E">
        <w:rPr>
          <w:rFonts w:ascii="Arial" w:hAnsi="Arial" w:cs="Arial"/>
        </w:rPr>
        <w:t>w kraju udział przychodów z eksportu w przychodach ogółem wykazywał niewielkie wahania i utrzymywał się na poziomie 23,2%</w:t>
      </w:r>
      <w:r w:rsidR="00830D71" w:rsidRPr="0064087E">
        <w:rPr>
          <w:rFonts w:ascii="Arial" w:hAnsi="Arial" w:cs="Arial"/>
        </w:rPr>
        <w:t xml:space="preserve"> – </w:t>
      </w:r>
      <w:r w:rsidRPr="0064087E">
        <w:rPr>
          <w:rFonts w:ascii="Arial" w:hAnsi="Arial" w:cs="Arial"/>
        </w:rPr>
        <w:t>24,4% dla województwa oraz 22,8%</w:t>
      </w:r>
      <w:r w:rsidR="00830D71" w:rsidRPr="0064087E">
        <w:rPr>
          <w:rFonts w:ascii="Arial" w:hAnsi="Arial" w:cs="Arial"/>
        </w:rPr>
        <w:t xml:space="preserve"> – </w:t>
      </w:r>
      <w:r w:rsidRPr="0064087E">
        <w:rPr>
          <w:rFonts w:ascii="Arial" w:hAnsi="Arial" w:cs="Arial"/>
        </w:rPr>
        <w:t>23,5% dla kraju.</w:t>
      </w:r>
    </w:p>
    <w:p w:rsidR="00194753" w:rsidRPr="0064087E" w:rsidRDefault="00194753">
      <w:pPr>
        <w:widowControl/>
        <w:autoSpaceDE/>
        <w:autoSpaceDN/>
        <w:spacing w:after="160" w:line="259" w:lineRule="auto"/>
        <w:rPr>
          <w:rFonts w:ascii="Arial" w:hAnsi="Arial" w:cs="Arial"/>
        </w:rPr>
      </w:pPr>
      <w:r w:rsidRPr="0064087E">
        <w:rPr>
          <w:rFonts w:ascii="Arial" w:hAnsi="Arial" w:cs="Arial"/>
        </w:rPr>
        <w:br w:type="page"/>
      </w:r>
    </w:p>
    <w:p w:rsidR="00D20D74" w:rsidRPr="0064087E" w:rsidRDefault="00D20D74" w:rsidP="007F75E6">
      <w:pPr>
        <w:pStyle w:val="Legenda"/>
        <w:keepNext/>
        <w:spacing w:after="120" w:line="276" w:lineRule="auto"/>
        <w:rPr>
          <w:rFonts w:ascii="Arial" w:hAnsi="Arial" w:cs="Arial"/>
          <w:i w:val="0"/>
          <w:color w:val="auto"/>
          <w:sz w:val="22"/>
          <w:szCs w:val="22"/>
        </w:rPr>
      </w:pPr>
      <w:bookmarkStart w:id="33" w:name="_Toc160793526"/>
      <w:r w:rsidRPr="0064087E">
        <w:rPr>
          <w:rFonts w:ascii="Arial" w:hAnsi="Arial" w:cs="Arial"/>
          <w:b/>
          <w:i w:val="0"/>
          <w:color w:val="auto"/>
          <w:sz w:val="22"/>
          <w:szCs w:val="22"/>
        </w:rPr>
        <w:lastRenderedPageBreak/>
        <w:t xml:space="preserve">Wykres </w:t>
      </w:r>
      <w:r w:rsidR="005922CE">
        <w:rPr>
          <w:rFonts w:ascii="Arial" w:hAnsi="Arial" w:cs="Arial"/>
          <w:b/>
          <w:i w:val="0"/>
          <w:color w:val="auto"/>
          <w:sz w:val="22"/>
          <w:szCs w:val="22"/>
        </w:rPr>
        <w:fldChar w:fldCharType="begin"/>
      </w:r>
      <w:r w:rsidR="005922CE">
        <w:rPr>
          <w:rFonts w:ascii="Arial" w:hAnsi="Arial" w:cs="Arial"/>
          <w:b/>
          <w:i w:val="0"/>
          <w:color w:val="auto"/>
          <w:sz w:val="22"/>
          <w:szCs w:val="22"/>
        </w:rPr>
        <w:instrText xml:space="preserve"> SEQ Wykres \* ARABIC </w:instrText>
      </w:r>
      <w:r w:rsidR="005922CE">
        <w:rPr>
          <w:rFonts w:ascii="Arial" w:hAnsi="Arial" w:cs="Arial"/>
          <w:b/>
          <w:i w:val="0"/>
          <w:color w:val="auto"/>
          <w:sz w:val="22"/>
          <w:szCs w:val="22"/>
        </w:rPr>
        <w:fldChar w:fldCharType="separate"/>
      </w:r>
      <w:r w:rsidR="00884DAD">
        <w:rPr>
          <w:rFonts w:ascii="Arial" w:hAnsi="Arial" w:cs="Arial"/>
          <w:b/>
          <w:i w:val="0"/>
          <w:noProof/>
          <w:color w:val="auto"/>
          <w:sz w:val="22"/>
          <w:szCs w:val="22"/>
        </w:rPr>
        <w:t>20</w:t>
      </w:r>
      <w:r w:rsidR="005922CE">
        <w:rPr>
          <w:rFonts w:ascii="Arial" w:hAnsi="Arial" w:cs="Arial"/>
          <w:b/>
          <w:i w:val="0"/>
          <w:color w:val="auto"/>
          <w:sz w:val="22"/>
          <w:szCs w:val="22"/>
        </w:rPr>
        <w:fldChar w:fldCharType="end"/>
      </w:r>
      <w:r w:rsidR="00DA1871">
        <w:rPr>
          <w:rFonts w:ascii="Arial" w:hAnsi="Arial" w:cs="Arial"/>
          <w:b/>
          <w:i w:val="0"/>
          <w:color w:val="auto"/>
          <w:sz w:val="22"/>
          <w:szCs w:val="22"/>
        </w:rPr>
        <w:t>.</w:t>
      </w:r>
      <w:r w:rsidRPr="0064087E">
        <w:rPr>
          <w:rFonts w:ascii="Arial" w:hAnsi="Arial" w:cs="Arial"/>
          <w:i w:val="0"/>
          <w:color w:val="auto"/>
          <w:sz w:val="22"/>
          <w:szCs w:val="22"/>
        </w:rPr>
        <w:t xml:space="preserve"> Udział przychodów netto ze sprzedaży produktów, towarów i materiałów na eksport w przychodach netto ze sprzedaży produktów, towarów i materiałów</w:t>
      </w:r>
      <w:r w:rsidR="00275B1D" w:rsidRPr="0064087E">
        <w:rPr>
          <w:rFonts w:ascii="Arial" w:hAnsi="Arial" w:cs="Arial"/>
          <w:i w:val="0"/>
          <w:color w:val="auto"/>
          <w:sz w:val="22"/>
          <w:szCs w:val="22"/>
        </w:rPr>
        <w:t xml:space="preserve"> w</w:t>
      </w:r>
      <w:r w:rsidR="00064B7B">
        <w:rPr>
          <w:rFonts w:ascii="Arial" w:hAnsi="Arial" w:cs="Arial"/>
          <w:i w:val="0"/>
          <w:color w:val="auto"/>
          <w:sz w:val="22"/>
          <w:szCs w:val="22"/>
        </w:rPr>
        <w:t xml:space="preserve"> Polsce, województwie podkarpackim</w:t>
      </w:r>
      <w:r w:rsidR="00440D92">
        <w:rPr>
          <w:rFonts w:ascii="Arial" w:hAnsi="Arial" w:cs="Arial"/>
          <w:i w:val="0"/>
          <w:color w:val="auto"/>
          <w:sz w:val="22"/>
          <w:szCs w:val="22"/>
        </w:rPr>
        <w:t xml:space="preserve"> oraz</w:t>
      </w:r>
      <w:r w:rsidR="00275B1D" w:rsidRPr="0064087E">
        <w:rPr>
          <w:rFonts w:ascii="Arial" w:hAnsi="Arial" w:cs="Arial"/>
          <w:i w:val="0"/>
          <w:color w:val="auto"/>
          <w:sz w:val="22"/>
          <w:szCs w:val="22"/>
        </w:rPr>
        <w:t xml:space="preserve"> branży motoryzacyjnej</w:t>
      </w:r>
      <w:r w:rsidRPr="0064087E">
        <w:rPr>
          <w:rFonts w:ascii="Arial" w:hAnsi="Arial" w:cs="Arial"/>
          <w:i w:val="0"/>
          <w:color w:val="auto"/>
          <w:sz w:val="22"/>
          <w:szCs w:val="22"/>
        </w:rPr>
        <w:t xml:space="preserve"> w latach</w:t>
      </w:r>
      <w:r w:rsidR="00B82BC4" w:rsidRPr="0064087E">
        <w:rPr>
          <w:rFonts w:ascii="Arial" w:hAnsi="Arial" w:cs="Arial"/>
          <w:i w:val="0"/>
          <w:color w:val="auto"/>
          <w:sz w:val="22"/>
          <w:szCs w:val="22"/>
        </w:rPr>
        <w:t xml:space="preserve"> 2017-2021</w:t>
      </w:r>
      <w:bookmarkEnd w:id="33"/>
    </w:p>
    <w:p w:rsidR="00D20D74" w:rsidRPr="0064087E" w:rsidRDefault="00194753" w:rsidP="00194753">
      <w:pPr>
        <w:spacing w:after="120" w:line="276" w:lineRule="auto"/>
        <w:jc w:val="center"/>
        <w:rPr>
          <w:rFonts w:ascii="Arial" w:hAnsi="Arial" w:cs="Arial"/>
        </w:rPr>
      </w:pPr>
      <w:r w:rsidRPr="0064087E">
        <w:rPr>
          <w:noProof/>
          <w:lang w:eastAsia="pl-PL"/>
        </w:rPr>
        <w:drawing>
          <wp:inline distT="0" distB="0" distL="0" distR="0" wp14:anchorId="65915770" wp14:editId="13D45F06">
            <wp:extent cx="5133975" cy="2743200"/>
            <wp:effectExtent l="0" t="0" r="0" b="0"/>
            <wp:docPr id="146" name="Wykres 146" descr="Wykres kolumnowy w tym dane w %: Polska: 23,0 w 2017, 22,8 w 2018, 23,0 w 2019, 22,9 w 2020, 23,5 w 2021. Województwo podkarpackie: 23,5 w 2017, 24,2 w 2018, 24,3 w 2019, 23,2 w 2020, 24,4 w 2021. Sektor motoryzacyjny:  76,4 w 2017, 77,1 w 2018, 77,6 w 2019, 78,0 w 2020, 76,3 w 2021">
              <a:extLst xmlns:a="http://schemas.openxmlformats.org/drawingml/2006/main">
                <a:ext uri="{FF2B5EF4-FFF2-40B4-BE49-F238E27FC236}">
                  <a16:creationId xmlns:a16="http://schemas.microsoft.com/office/drawing/2014/main" id="{CADFBBDE-EE38-4EE2-A417-47A523EA45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20D74" w:rsidRPr="0064087E" w:rsidRDefault="00D20D74" w:rsidP="00194753">
      <w:pPr>
        <w:spacing w:after="120" w:line="276" w:lineRule="auto"/>
        <w:jc w:val="center"/>
        <w:rPr>
          <w:rFonts w:ascii="Arial" w:hAnsi="Arial" w:cs="Arial"/>
        </w:rPr>
      </w:pPr>
      <w:r w:rsidRPr="0064087E">
        <w:rPr>
          <w:rFonts w:ascii="Arial" w:hAnsi="Arial" w:cs="Arial"/>
        </w:rPr>
        <w:t xml:space="preserve">Źródło: </w:t>
      </w:r>
      <w:r w:rsidR="00231687" w:rsidRPr="0064087E">
        <w:rPr>
          <w:rFonts w:ascii="Arial" w:hAnsi="Arial" w:cs="Arial"/>
        </w:rPr>
        <w:t>Opracowanie własne na podstawie danych GUS</w:t>
      </w:r>
      <w:r w:rsidRPr="0064087E">
        <w:rPr>
          <w:rFonts w:ascii="Arial" w:hAnsi="Arial" w:cs="Arial"/>
        </w:rPr>
        <w:t>.</w:t>
      </w:r>
    </w:p>
    <w:p w:rsidR="002E1825" w:rsidRPr="0064087E" w:rsidRDefault="00D20D74" w:rsidP="007F75E6">
      <w:pPr>
        <w:spacing w:after="120" w:line="276" w:lineRule="auto"/>
        <w:rPr>
          <w:rFonts w:ascii="Arial" w:hAnsi="Arial" w:cs="Arial"/>
        </w:rPr>
      </w:pPr>
      <w:r w:rsidRPr="0064087E">
        <w:rPr>
          <w:rFonts w:ascii="Arial" w:hAnsi="Arial" w:cs="Arial"/>
        </w:rPr>
        <w:t>Przychody netto ze sprzedaży produktów, towarów i materiałów na eksport w sektorze motoryzacyjnym w 2018 r. były wyższe niż w roku poprzednim. W 2019 r. ponownie wzrosły, a dynamika wyniosła odpowiednio 113,7 w 2018 r. i 107,1 w 2019 r. W 2020 r. nastąpił spadek, natomiast w końcu analizowanego okresu zanotowano ponownie wzrost (o 23,6%). Zarówno w województwie podkarpackim jak i w Polsce, w analizowanym okresie przychody netto ze sprzedaży produktów, towarów i materiałów na eksport rosły w latach 2018-2019 po czym nast</w:t>
      </w:r>
      <w:r w:rsidR="006C1852" w:rsidRPr="0064087E">
        <w:rPr>
          <w:rFonts w:ascii="Arial" w:hAnsi="Arial" w:cs="Arial"/>
        </w:rPr>
        <w:t>ąpił</w:t>
      </w:r>
      <w:r w:rsidRPr="0064087E">
        <w:rPr>
          <w:rFonts w:ascii="Arial" w:hAnsi="Arial" w:cs="Arial"/>
        </w:rPr>
        <w:t xml:space="preserve"> spadek w 2020 r. a następnie ponownie wzrost w 2021 r.</w:t>
      </w:r>
    </w:p>
    <w:p w:rsidR="00341988" w:rsidRPr="0064087E" w:rsidRDefault="00341988" w:rsidP="007F75E6">
      <w:pPr>
        <w:pStyle w:val="Legenda"/>
        <w:keepNext/>
        <w:spacing w:after="120" w:line="276" w:lineRule="auto"/>
        <w:rPr>
          <w:rFonts w:ascii="Arial" w:hAnsi="Arial" w:cs="Arial"/>
          <w:i w:val="0"/>
          <w:color w:val="auto"/>
          <w:sz w:val="22"/>
          <w:szCs w:val="22"/>
        </w:rPr>
      </w:pPr>
      <w:bookmarkStart w:id="34" w:name="_Toc160793527"/>
      <w:r w:rsidRPr="0064087E">
        <w:rPr>
          <w:rFonts w:ascii="Arial" w:hAnsi="Arial" w:cs="Arial"/>
          <w:b/>
          <w:i w:val="0"/>
          <w:color w:val="auto"/>
          <w:sz w:val="22"/>
          <w:szCs w:val="22"/>
        </w:rPr>
        <w:t xml:space="preserve">Wykres </w:t>
      </w:r>
      <w:r w:rsidR="005922CE">
        <w:rPr>
          <w:rFonts w:ascii="Arial" w:hAnsi="Arial" w:cs="Arial"/>
          <w:b/>
          <w:i w:val="0"/>
          <w:color w:val="auto"/>
          <w:sz w:val="22"/>
          <w:szCs w:val="22"/>
        </w:rPr>
        <w:fldChar w:fldCharType="begin"/>
      </w:r>
      <w:r w:rsidR="005922CE">
        <w:rPr>
          <w:rFonts w:ascii="Arial" w:hAnsi="Arial" w:cs="Arial"/>
          <w:b/>
          <w:i w:val="0"/>
          <w:color w:val="auto"/>
          <w:sz w:val="22"/>
          <w:szCs w:val="22"/>
        </w:rPr>
        <w:instrText xml:space="preserve"> SEQ Wykres \* ARABIC </w:instrText>
      </w:r>
      <w:r w:rsidR="005922CE">
        <w:rPr>
          <w:rFonts w:ascii="Arial" w:hAnsi="Arial" w:cs="Arial"/>
          <w:b/>
          <w:i w:val="0"/>
          <w:color w:val="auto"/>
          <w:sz w:val="22"/>
          <w:szCs w:val="22"/>
        </w:rPr>
        <w:fldChar w:fldCharType="separate"/>
      </w:r>
      <w:r w:rsidR="00884DAD">
        <w:rPr>
          <w:rFonts w:ascii="Arial" w:hAnsi="Arial" w:cs="Arial"/>
          <w:b/>
          <w:i w:val="0"/>
          <w:noProof/>
          <w:color w:val="auto"/>
          <w:sz w:val="22"/>
          <w:szCs w:val="22"/>
        </w:rPr>
        <w:t>21</w:t>
      </w:r>
      <w:r w:rsidR="005922CE">
        <w:rPr>
          <w:rFonts w:ascii="Arial" w:hAnsi="Arial" w:cs="Arial"/>
          <w:b/>
          <w:i w:val="0"/>
          <w:color w:val="auto"/>
          <w:sz w:val="22"/>
          <w:szCs w:val="22"/>
        </w:rPr>
        <w:fldChar w:fldCharType="end"/>
      </w:r>
      <w:r w:rsidR="00DA1871">
        <w:rPr>
          <w:rFonts w:ascii="Arial" w:hAnsi="Arial" w:cs="Arial"/>
          <w:b/>
          <w:i w:val="0"/>
          <w:color w:val="auto"/>
          <w:sz w:val="22"/>
          <w:szCs w:val="22"/>
        </w:rPr>
        <w:t>.</w:t>
      </w:r>
      <w:r w:rsidRPr="0064087E">
        <w:rPr>
          <w:rFonts w:ascii="Arial" w:hAnsi="Arial" w:cs="Arial"/>
          <w:i w:val="0"/>
          <w:color w:val="auto"/>
          <w:sz w:val="22"/>
          <w:szCs w:val="22"/>
        </w:rPr>
        <w:t xml:space="preserve"> Dynamika przychodów netto ze sprzedaży produktów towarów i materiałów na eksport (rok poprzedni=100)</w:t>
      </w:r>
      <w:r w:rsidR="00275B1D" w:rsidRPr="0064087E">
        <w:rPr>
          <w:rFonts w:ascii="Arial" w:hAnsi="Arial" w:cs="Arial"/>
          <w:i w:val="0"/>
          <w:color w:val="auto"/>
          <w:sz w:val="22"/>
          <w:szCs w:val="22"/>
        </w:rPr>
        <w:t xml:space="preserve"> w </w:t>
      </w:r>
      <w:r w:rsidR="00440D92">
        <w:rPr>
          <w:rFonts w:ascii="Arial" w:hAnsi="Arial" w:cs="Arial"/>
          <w:i w:val="0"/>
          <w:color w:val="auto"/>
          <w:sz w:val="22"/>
          <w:szCs w:val="22"/>
        </w:rPr>
        <w:t xml:space="preserve">Polsce, województwie podkarpackim oraz </w:t>
      </w:r>
      <w:r w:rsidR="00275B1D" w:rsidRPr="0064087E">
        <w:rPr>
          <w:rFonts w:ascii="Arial" w:hAnsi="Arial" w:cs="Arial"/>
          <w:i w:val="0"/>
          <w:color w:val="auto"/>
          <w:sz w:val="22"/>
          <w:szCs w:val="22"/>
        </w:rPr>
        <w:t xml:space="preserve">branży motoryzacyjnej </w:t>
      </w:r>
      <w:r w:rsidRPr="0064087E">
        <w:rPr>
          <w:rFonts w:ascii="Arial" w:hAnsi="Arial" w:cs="Arial"/>
          <w:i w:val="0"/>
          <w:color w:val="auto"/>
          <w:sz w:val="22"/>
          <w:szCs w:val="22"/>
        </w:rPr>
        <w:t>w</w:t>
      </w:r>
      <w:r w:rsidR="00B82BC4" w:rsidRPr="0064087E">
        <w:rPr>
          <w:rFonts w:ascii="Arial" w:hAnsi="Arial" w:cs="Arial"/>
          <w:i w:val="0"/>
          <w:color w:val="auto"/>
          <w:sz w:val="22"/>
          <w:szCs w:val="22"/>
        </w:rPr>
        <w:t xml:space="preserve"> latach 2018-2021</w:t>
      </w:r>
      <w:bookmarkEnd w:id="34"/>
    </w:p>
    <w:p w:rsidR="00D20D74" w:rsidRPr="0064087E" w:rsidRDefault="00194753" w:rsidP="00194753">
      <w:pPr>
        <w:spacing w:after="120" w:line="276" w:lineRule="auto"/>
        <w:jc w:val="center"/>
        <w:rPr>
          <w:rFonts w:ascii="Arial" w:hAnsi="Arial" w:cs="Arial"/>
        </w:rPr>
      </w:pPr>
      <w:r w:rsidRPr="0064087E">
        <w:rPr>
          <w:noProof/>
          <w:lang w:eastAsia="pl-PL"/>
        </w:rPr>
        <w:drawing>
          <wp:inline distT="0" distB="0" distL="0" distR="0" wp14:anchorId="554E1BE8" wp14:editId="6C8FA1F1">
            <wp:extent cx="5410200" cy="2829464"/>
            <wp:effectExtent l="0" t="0" r="0" b="0"/>
            <wp:docPr id="87" name="Wykres 87" descr="Wykres linowy w tym dane Polska: 106,4 w 2018, 106,1 w 2019, 97,8 w 2020, 123,7 w 2021. Województwo podkarpackie: 108,4 w 2018, 105,7 w 2019, 88,7 w 2020, 125,1 w 2021. Sektor motoryzacyjny: 113,7 w 2018, 107,1 w 2019, 91,7 w 2020, 123,6 w 2021">
              <a:extLst xmlns:a="http://schemas.openxmlformats.org/drawingml/2006/main">
                <a:ext uri="{FF2B5EF4-FFF2-40B4-BE49-F238E27FC236}">
                  <a16:creationId xmlns:a16="http://schemas.microsoft.com/office/drawing/2014/main" id="{C188AD41-68A1-4466-900D-9E503DEAD06A}"/>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E1825" w:rsidRPr="0064087E" w:rsidRDefault="002E1825" w:rsidP="00194753">
      <w:pPr>
        <w:spacing w:after="120" w:line="276" w:lineRule="auto"/>
        <w:jc w:val="center"/>
        <w:rPr>
          <w:rFonts w:ascii="Arial" w:hAnsi="Arial" w:cs="Arial"/>
        </w:rPr>
      </w:pPr>
      <w:r w:rsidRPr="0064087E">
        <w:rPr>
          <w:rFonts w:ascii="Arial" w:hAnsi="Arial" w:cs="Arial"/>
        </w:rPr>
        <w:t xml:space="preserve">Źródło: </w:t>
      </w:r>
      <w:r w:rsidR="006837C5" w:rsidRPr="0064087E">
        <w:rPr>
          <w:rFonts w:ascii="Arial" w:hAnsi="Arial" w:cs="Arial"/>
        </w:rPr>
        <w:t>Opracowanie własne na podstawie danych GUS</w:t>
      </w:r>
      <w:r w:rsidRPr="0064087E">
        <w:rPr>
          <w:rFonts w:ascii="Arial" w:hAnsi="Arial" w:cs="Arial"/>
        </w:rPr>
        <w:t>.</w:t>
      </w:r>
    </w:p>
    <w:p w:rsidR="002E1825" w:rsidRPr="0064087E" w:rsidRDefault="002E1825" w:rsidP="007F75E6">
      <w:pPr>
        <w:spacing w:after="120" w:line="276" w:lineRule="auto"/>
        <w:rPr>
          <w:rFonts w:ascii="Arial" w:hAnsi="Arial" w:cs="Arial"/>
        </w:rPr>
      </w:pPr>
      <w:r w:rsidRPr="0064087E">
        <w:rPr>
          <w:rFonts w:ascii="Arial" w:hAnsi="Arial" w:cs="Arial"/>
        </w:rPr>
        <w:lastRenderedPageBreak/>
        <w:t>Wynik finansowy netto w sektorze motoryzacyjnym po spadku w 2018 r.</w:t>
      </w:r>
      <w:r w:rsidR="006C1852" w:rsidRPr="0064087E">
        <w:rPr>
          <w:rFonts w:ascii="Arial" w:hAnsi="Arial" w:cs="Arial"/>
        </w:rPr>
        <w:t xml:space="preserve">, </w:t>
      </w:r>
      <w:r w:rsidRPr="0064087E">
        <w:rPr>
          <w:rFonts w:ascii="Arial" w:hAnsi="Arial" w:cs="Arial"/>
        </w:rPr>
        <w:t>w stosunku do poprzedniego roku, w 2019 r. zanotował wzrost o 27,4%. W 2020 r. nastąpił spadek (dynamika wyniosła 85,4)</w:t>
      </w:r>
      <w:r w:rsidR="00B30B42" w:rsidRPr="0064087E">
        <w:rPr>
          <w:rFonts w:ascii="Arial" w:hAnsi="Arial" w:cs="Arial"/>
        </w:rPr>
        <w:t>,</w:t>
      </w:r>
      <w:r w:rsidRPr="0064087E">
        <w:rPr>
          <w:rFonts w:ascii="Arial" w:hAnsi="Arial" w:cs="Arial"/>
        </w:rPr>
        <w:t xml:space="preserve"> a w końcu analizowanego okresu ponowny wzrost (dynamika wyniosła 105,9), jednakże wzrost ten był znacznie niższy niż ogółem w województwie i kraju (w województwie o 35,4% a w kraju o 89,8%).</w:t>
      </w:r>
    </w:p>
    <w:p w:rsidR="002E1825" w:rsidRPr="0064087E" w:rsidRDefault="002E1825" w:rsidP="007F75E6">
      <w:pPr>
        <w:pStyle w:val="Legenda"/>
        <w:keepNext/>
        <w:spacing w:after="120" w:line="276" w:lineRule="auto"/>
        <w:rPr>
          <w:rFonts w:ascii="Arial" w:hAnsi="Arial" w:cs="Arial"/>
          <w:i w:val="0"/>
          <w:color w:val="auto"/>
          <w:sz w:val="22"/>
          <w:szCs w:val="22"/>
        </w:rPr>
      </w:pPr>
      <w:bookmarkStart w:id="35" w:name="_Toc160793528"/>
      <w:r w:rsidRPr="0064087E">
        <w:rPr>
          <w:rFonts w:ascii="Arial" w:hAnsi="Arial" w:cs="Arial"/>
          <w:b/>
          <w:i w:val="0"/>
          <w:color w:val="auto"/>
          <w:sz w:val="22"/>
          <w:szCs w:val="22"/>
        </w:rPr>
        <w:t xml:space="preserve">Wykres </w:t>
      </w:r>
      <w:r w:rsidR="005922CE">
        <w:rPr>
          <w:rFonts w:ascii="Arial" w:hAnsi="Arial" w:cs="Arial"/>
          <w:b/>
          <w:i w:val="0"/>
          <w:color w:val="auto"/>
          <w:sz w:val="22"/>
          <w:szCs w:val="22"/>
        </w:rPr>
        <w:fldChar w:fldCharType="begin"/>
      </w:r>
      <w:r w:rsidR="005922CE">
        <w:rPr>
          <w:rFonts w:ascii="Arial" w:hAnsi="Arial" w:cs="Arial"/>
          <w:b/>
          <w:i w:val="0"/>
          <w:color w:val="auto"/>
          <w:sz w:val="22"/>
          <w:szCs w:val="22"/>
        </w:rPr>
        <w:instrText xml:space="preserve"> SEQ Wykres \* ARABIC </w:instrText>
      </w:r>
      <w:r w:rsidR="005922CE">
        <w:rPr>
          <w:rFonts w:ascii="Arial" w:hAnsi="Arial" w:cs="Arial"/>
          <w:b/>
          <w:i w:val="0"/>
          <w:color w:val="auto"/>
          <w:sz w:val="22"/>
          <w:szCs w:val="22"/>
        </w:rPr>
        <w:fldChar w:fldCharType="separate"/>
      </w:r>
      <w:r w:rsidR="00884DAD">
        <w:rPr>
          <w:rFonts w:ascii="Arial" w:hAnsi="Arial" w:cs="Arial"/>
          <w:b/>
          <w:i w:val="0"/>
          <w:noProof/>
          <w:color w:val="auto"/>
          <w:sz w:val="22"/>
          <w:szCs w:val="22"/>
        </w:rPr>
        <w:t>22</w:t>
      </w:r>
      <w:r w:rsidR="005922CE">
        <w:rPr>
          <w:rFonts w:ascii="Arial" w:hAnsi="Arial" w:cs="Arial"/>
          <w:b/>
          <w:i w:val="0"/>
          <w:color w:val="auto"/>
          <w:sz w:val="22"/>
          <w:szCs w:val="22"/>
        </w:rPr>
        <w:fldChar w:fldCharType="end"/>
      </w:r>
      <w:r w:rsidR="00DA1871">
        <w:rPr>
          <w:rFonts w:ascii="Arial" w:hAnsi="Arial" w:cs="Arial"/>
          <w:b/>
          <w:i w:val="0"/>
          <w:color w:val="auto"/>
          <w:sz w:val="22"/>
          <w:szCs w:val="22"/>
        </w:rPr>
        <w:t>.</w:t>
      </w:r>
      <w:r w:rsidRPr="0064087E">
        <w:rPr>
          <w:rFonts w:ascii="Arial" w:hAnsi="Arial" w:cs="Arial"/>
          <w:i w:val="0"/>
          <w:color w:val="auto"/>
          <w:sz w:val="22"/>
          <w:szCs w:val="22"/>
        </w:rPr>
        <w:t xml:space="preserve"> Dynamika wyniku finansowego netto (rok poprzedni=</w:t>
      </w:r>
      <w:r w:rsidR="00B82BC4" w:rsidRPr="0064087E">
        <w:rPr>
          <w:rFonts w:ascii="Arial" w:hAnsi="Arial" w:cs="Arial"/>
          <w:i w:val="0"/>
          <w:color w:val="auto"/>
          <w:sz w:val="22"/>
          <w:szCs w:val="22"/>
        </w:rPr>
        <w:t>100)</w:t>
      </w:r>
      <w:r w:rsidR="00275B1D" w:rsidRPr="0064087E">
        <w:rPr>
          <w:rFonts w:ascii="Arial" w:hAnsi="Arial" w:cs="Arial"/>
          <w:i w:val="0"/>
          <w:color w:val="auto"/>
          <w:sz w:val="22"/>
          <w:szCs w:val="22"/>
        </w:rPr>
        <w:t xml:space="preserve"> w </w:t>
      </w:r>
      <w:r w:rsidR="00440D92">
        <w:rPr>
          <w:rFonts w:ascii="Arial" w:hAnsi="Arial" w:cs="Arial"/>
          <w:i w:val="0"/>
          <w:color w:val="auto"/>
          <w:sz w:val="22"/>
          <w:szCs w:val="22"/>
        </w:rPr>
        <w:t xml:space="preserve">Polsce, województwie podkarpackim oraz </w:t>
      </w:r>
      <w:r w:rsidR="00275B1D" w:rsidRPr="0064087E">
        <w:rPr>
          <w:rFonts w:ascii="Arial" w:hAnsi="Arial" w:cs="Arial"/>
          <w:i w:val="0"/>
          <w:color w:val="auto"/>
          <w:sz w:val="22"/>
          <w:szCs w:val="22"/>
        </w:rPr>
        <w:t>branży motoryzacyjnej</w:t>
      </w:r>
      <w:r w:rsidR="00B82BC4" w:rsidRPr="0064087E">
        <w:rPr>
          <w:rFonts w:ascii="Arial" w:hAnsi="Arial" w:cs="Arial"/>
          <w:i w:val="0"/>
          <w:color w:val="auto"/>
          <w:sz w:val="22"/>
          <w:szCs w:val="22"/>
        </w:rPr>
        <w:t xml:space="preserve"> w latach 2018-2021</w:t>
      </w:r>
      <w:bookmarkEnd w:id="35"/>
    </w:p>
    <w:p w:rsidR="002E1825" w:rsidRPr="0064087E" w:rsidRDefault="006F5B52" w:rsidP="006F5B52">
      <w:pPr>
        <w:widowControl/>
        <w:autoSpaceDE/>
        <w:autoSpaceDN/>
        <w:spacing w:after="160" w:line="259" w:lineRule="auto"/>
        <w:jc w:val="center"/>
        <w:rPr>
          <w:rFonts w:ascii="Arial" w:hAnsi="Arial" w:cs="Arial"/>
        </w:rPr>
      </w:pPr>
      <w:r w:rsidRPr="0064087E">
        <w:rPr>
          <w:noProof/>
          <w:lang w:eastAsia="pl-PL"/>
        </w:rPr>
        <w:drawing>
          <wp:inline distT="0" distB="0" distL="0" distR="0" wp14:anchorId="55E8F1DF" wp14:editId="6493E8DA">
            <wp:extent cx="5248275" cy="2743200"/>
            <wp:effectExtent l="0" t="0" r="0" b="0"/>
            <wp:docPr id="88" name="Wykres 88">
              <a:extLst xmlns:a="http://schemas.openxmlformats.org/drawingml/2006/main">
                <a:ext uri="{FF2B5EF4-FFF2-40B4-BE49-F238E27FC236}">
                  <a16:creationId xmlns:a16="http://schemas.microsoft.com/office/drawing/2014/main" id="{C5CCC49E-1258-4882-B53F-E495B9DFB0C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E1825" w:rsidRPr="0064087E" w:rsidRDefault="002E1825" w:rsidP="006F5B52">
      <w:pPr>
        <w:widowControl/>
        <w:autoSpaceDE/>
        <w:autoSpaceDN/>
        <w:spacing w:after="120" w:line="276" w:lineRule="auto"/>
        <w:jc w:val="center"/>
        <w:rPr>
          <w:rFonts w:ascii="Arial" w:hAnsi="Arial" w:cs="Arial"/>
        </w:rPr>
      </w:pPr>
      <w:r w:rsidRPr="0064087E">
        <w:rPr>
          <w:rFonts w:ascii="Arial" w:hAnsi="Arial" w:cs="Arial"/>
        </w:rPr>
        <w:t xml:space="preserve">Źródło: </w:t>
      </w:r>
      <w:r w:rsidR="006837C5" w:rsidRPr="0064087E">
        <w:rPr>
          <w:rFonts w:ascii="Arial" w:hAnsi="Arial" w:cs="Arial"/>
        </w:rPr>
        <w:t>Opracowanie własne na podstawie danych GUS</w:t>
      </w:r>
      <w:r w:rsidRPr="0064087E">
        <w:rPr>
          <w:rFonts w:ascii="Arial" w:hAnsi="Arial" w:cs="Arial"/>
        </w:rPr>
        <w:t>.</w:t>
      </w:r>
    </w:p>
    <w:p w:rsidR="006D1A0B" w:rsidRDefault="002E1825" w:rsidP="007F75E6">
      <w:pPr>
        <w:widowControl/>
        <w:autoSpaceDE/>
        <w:autoSpaceDN/>
        <w:spacing w:after="120" w:line="276" w:lineRule="auto"/>
        <w:rPr>
          <w:rFonts w:ascii="Arial" w:hAnsi="Arial" w:cs="Arial"/>
        </w:rPr>
      </w:pPr>
      <w:r w:rsidRPr="0064087E">
        <w:rPr>
          <w:rFonts w:ascii="Arial" w:hAnsi="Arial" w:cs="Arial"/>
        </w:rPr>
        <w:t>Ocenę efektywności gospodarowania w przedsiębiorstwach oparto przede wszystkim na wskaźnikach rentowności. Wskaźnik rentowności sprzedaży</w:t>
      </w:r>
      <w:r w:rsidR="00CE3062" w:rsidRPr="0064087E">
        <w:rPr>
          <w:rStyle w:val="Odwoanieprzypisudolnego"/>
          <w:rFonts w:ascii="Arial" w:hAnsi="Arial" w:cs="Arial"/>
        </w:rPr>
        <w:footnoteReference w:id="15"/>
      </w:r>
      <w:r w:rsidR="00E004F4" w:rsidRPr="0064087E">
        <w:rPr>
          <w:rFonts w:ascii="Arial" w:hAnsi="Arial" w:cs="Arial"/>
        </w:rPr>
        <w:t xml:space="preserve"> </w:t>
      </w:r>
      <w:r w:rsidRPr="0064087E">
        <w:rPr>
          <w:rFonts w:ascii="Arial" w:hAnsi="Arial" w:cs="Arial"/>
        </w:rPr>
        <w:t xml:space="preserve">przyjmował wyższe wartości </w:t>
      </w:r>
      <w:r w:rsidR="00831718" w:rsidRPr="0064087E">
        <w:rPr>
          <w:rFonts w:ascii="Arial" w:hAnsi="Arial" w:cs="Arial"/>
        </w:rPr>
        <w:br/>
      </w:r>
      <w:r w:rsidRPr="0064087E">
        <w:rPr>
          <w:rFonts w:ascii="Arial" w:hAnsi="Arial" w:cs="Arial"/>
        </w:rPr>
        <w:t>w przedsiębiorstwach sektora motoryzacyjnego niż w województwie i kraju. Wpływ na wysokość wskaźnika w sektorze motoryzacyjnym mają: dłuższy cykl produkcyjny, większe ryzyko i</w:t>
      </w:r>
      <w:r w:rsidR="00E004F4" w:rsidRPr="0064087E">
        <w:rPr>
          <w:rFonts w:ascii="Arial" w:hAnsi="Arial" w:cs="Arial"/>
        </w:rPr>
        <w:t> </w:t>
      </w:r>
      <w:r w:rsidRPr="0064087E">
        <w:rPr>
          <w:rFonts w:ascii="Arial" w:hAnsi="Arial" w:cs="Arial"/>
        </w:rPr>
        <w:t>wyższe koszty zamrożenia kapitału. W latach 2017-2018 wskaźnik obniżył się z 8,1% do 7,3%, następnie wzrósł w 2019 r. do poziomu 8,0%</w:t>
      </w:r>
      <w:r w:rsidR="00B30B42" w:rsidRPr="0064087E">
        <w:rPr>
          <w:rFonts w:ascii="Arial" w:hAnsi="Arial" w:cs="Arial"/>
        </w:rPr>
        <w:t>,</w:t>
      </w:r>
      <w:r w:rsidRPr="0064087E">
        <w:rPr>
          <w:rFonts w:ascii="Arial" w:hAnsi="Arial" w:cs="Arial"/>
        </w:rPr>
        <w:t xml:space="preserve"> po czym w kolejnych dwóch latach spadł i</w:t>
      </w:r>
      <w:r w:rsidR="00E004F4" w:rsidRPr="0064087E">
        <w:rPr>
          <w:rFonts w:ascii="Arial" w:hAnsi="Arial" w:cs="Arial"/>
        </w:rPr>
        <w:t> </w:t>
      </w:r>
      <w:r w:rsidRPr="0064087E">
        <w:rPr>
          <w:rFonts w:ascii="Arial" w:hAnsi="Arial" w:cs="Arial"/>
        </w:rPr>
        <w:t>w 2021</w:t>
      </w:r>
      <w:r w:rsidR="00E004F4" w:rsidRPr="0064087E">
        <w:rPr>
          <w:rFonts w:ascii="Arial" w:hAnsi="Arial" w:cs="Arial"/>
        </w:rPr>
        <w:t> </w:t>
      </w:r>
      <w:r w:rsidRPr="0064087E">
        <w:rPr>
          <w:rFonts w:ascii="Arial" w:hAnsi="Arial" w:cs="Arial"/>
        </w:rPr>
        <w:t xml:space="preserve">r. wyniósł 6,8%. Wskaźniki rentowności sprzedaży ogółem dla województwa były niższe zarówno w porównaniu z branżą motoryzacyjną </w:t>
      </w:r>
      <w:r w:rsidR="006C1852" w:rsidRPr="0064087E">
        <w:rPr>
          <w:rFonts w:ascii="Arial" w:hAnsi="Arial" w:cs="Arial"/>
        </w:rPr>
        <w:t>oraz</w:t>
      </w:r>
      <w:r w:rsidR="0077037D" w:rsidRPr="0064087E">
        <w:rPr>
          <w:rFonts w:ascii="Arial" w:hAnsi="Arial" w:cs="Arial"/>
        </w:rPr>
        <w:t xml:space="preserve"> </w:t>
      </w:r>
      <w:r w:rsidRPr="0064087E">
        <w:rPr>
          <w:rFonts w:ascii="Arial" w:hAnsi="Arial" w:cs="Arial"/>
        </w:rPr>
        <w:t>ogółem dla kraju. W analizowanym okresie wskaźnik dla województwa wykazywał wahania od 3,8% do 5,5%). W kraju w latach 2017-2019 wskaźnik spadał, natomiast w ostatnich dwóch latach wzrósł do poziomu 5,6%.</w:t>
      </w:r>
    </w:p>
    <w:p w:rsidR="006D1A0B" w:rsidRDefault="006D1A0B">
      <w:pPr>
        <w:widowControl/>
        <w:autoSpaceDE/>
        <w:autoSpaceDN/>
        <w:spacing w:after="160" w:line="259" w:lineRule="auto"/>
        <w:rPr>
          <w:rFonts w:ascii="Arial" w:hAnsi="Arial" w:cs="Arial"/>
        </w:rPr>
      </w:pPr>
      <w:r>
        <w:rPr>
          <w:rFonts w:ascii="Arial" w:hAnsi="Arial" w:cs="Arial"/>
        </w:rPr>
        <w:br w:type="page"/>
      </w:r>
    </w:p>
    <w:p w:rsidR="00254719" w:rsidRPr="0064087E" w:rsidRDefault="00254719" w:rsidP="007F75E6">
      <w:pPr>
        <w:pStyle w:val="Legenda"/>
        <w:keepNext/>
        <w:spacing w:after="120" w:line="276" w:lineRule="auto"/>
        <w:rPr>
          <w:rFonts w:ascii="Arial" w:hAnsi="Arial" w:cs="Arial"/>
          <w:i w:val="0"/>
          <w:color w:val="auto"/>
          <w:sz w:val="22"/>
          <w:szCs w:val="22"/>
        </w:rPr>
      </w:pPr>
      <w:bookmarkStart w:id="36" w:name="_Toc160793529"/>
      <w:r w:rsidRPr="0064087E">
        <w:rPr>
          <w:rFonts w:ascii="Arial" w:hAnsi="Arial" w:cs="Arial"/>
          <w:b/>
          <w:i w:val="0"/>
          <w:color w:val="auto"/>
          <w:sz w:val="22"/>
          <w:szCs w:val="22"/>
        </w:rPr>
        <w:lastRenderedPageBreak/>
        <w:t xml:space="preserve">Wykres </w:t>
      </w:r>
      <w:r w:rsidR="005922CE">
        <w:rPr>
          <w:rFonts w:ascii="Arial" w:hAnsi="Arial" w:cs="Arial"/>
          <w:b/>
          <w:i w:val="0"/>
          <w:color w:val="auto"/>
          <w:sz w:val="22"/>
          <w:szCs w:val="22"/>
        </w:rPr>
        <w:fldChar w:fldCharType="begin"/>
      </w:r>
      <w:r w:rsidR="005922CE">
        <w:rPr>
          <w:rFonts w:ascii="Arial" w:hAnsi="Arial" w:cs="Arial"/>
          <w:b/>
          <w:i w:val="0"/>
          <w:color w:val="auto"/>
          <w:sz w:val="22"/>
          <w:szCs w:val="22"/>
        </w:rPr>
        <w:instrText xml:space="preserve"> SEQ Wykres \* ARABIC </w:instrText>
      </w:r>
      <w:r w:rsidR="005922CE">
        <w:rPr>
          <w:rFonts w:ascii="Arial" w:hAnsi="Arial" w:cs="Arial"/>
          <w:b/>
          <w:i w:val="0"/>
          <w:color w:val="auto"/>
          <w:sz w:val="22"/>
          <w:szCs w:val="22"/>
        </w:rPr>
        <w:fldChar w:fldCharType="separate"/>
      </w:r>
      <w:r w:rsidR="00884DAD">
        <w:rPr>
          <w:rFonts w:ascii="Arial" w:hAnsi="Arial" w:cs="Arial"/>
          <w:b/>
          <w:i w:val="0"/>
          <w:noProof/>
          <w:color w:val="auto"/>
          <w:sz w:val="22"/>
          <w:szCs w:val="22"/>
        </w:rPr>
        <w:t>23</w:t>
      </w:r>
      <w:r w:rsidR="005922CE">
        <w:rPr>
          <w:rFonts w:ascii="Arial" w:hAnsi="Arial" w:cs="Arial"/>
          <w:b/>
          <w:i w:val="0"/>
          <w:color w:val="auto"/>
          <w:sz w:val="22"/>
          <w:szCs w:val="22"/>
        </w:rPr>
        <w:fldChar w:fldCharType="end"/>
      </w:r>
      <w:r w:rsidR="00DA1871">
        <w:rPr>
          <w:rFonts w:ascii="Arial" w:hAnsi="Arial" w:cs="Arial"/>
          <w:b/>
          <w:i w:val="0"/>
          <w:color w:val="auto"/>
          <w:sz w:val="22"/>
          <w:szCs w:val="22"/>
        </w:rPr>
        <w:t>.</w:t>
      </w:r>
      <w:r w:rsidRPr="0064087E">
        <w:rPr>
          <w:rFonts w:ascii="Arial" w:hAnsi="Arial" w:cs="Arial"/>
          <w:i w:val="0"/>
          <w:color w:val="auto"/>
          <w:sz w:val="22"/>
          <w:szCs w:val="22"/>
        </w:rPr>
        <w:t xml:space="preserve"> Wskaźnik rentowności sprzedaży</w:t>
      </w:r>
      <w:r w:rsidR="00275B1D" w:rsidRPr="0064087E">
        <w:rPr>
          <w:rFonts w:ascii="Arial" w:hAnsi="Arial" w:cs="Arial"/>
          <w:i w:val="0"/>
          <w:color w:val="auto"/>
          <w:sz w:val="22"/>
          <w:szCs w:val="22"/>
        </w:rPr>
        <w:t xml:space="preserve"> w</w:t>
      </w:r>
      <w:r w:rsidR="00140E8D">
        <w:rPr>
          <w:rFonts w:ascii="Arial" w:hAnsi="Arial" w:cs="Arial"/>
          <w:i w:val="0"/>
          <w:color w:val="auto"/>
          <w:sz w:val="22"/>
          <w:szCs w:val="22"/>
        </w:rPr>
        <w:t xml:space="preserve"> Polsce, województwie podkarpackim oraz</w:t>
      </w:r>
      <w:r w:rsidR="00275B1D" w:rsidRPr="0064087E">
        <w:rPr>
          <w:rFonts w:ascii="Arial" w:hAnsi="Arial" w:cs="Arial"/>
          <w:i w:val="0"/>
          <w:color w:val="auto"/>
          <w:sz w:val="22"/>
          <w:szCs w:val="22"/>
        </w:rPr>
        <w:t xml:space="preserve"> branży motoryzacyjnej</w:t>
      </w:r>
      <w:r w:rsidRPr="0064087E">
        <w:rPr>
          <w:rFonts w:ascii="Arial" w:hAnsi="Arial" w:cs="Arial"/>
          <w:i w:val="0"/>
          <w:color w:val="auto"/>
          <w:sz w:val="22"/>
          <w:szCs w:val="22"/>
        </w:rPr>
        <w:t xml:space="preserve"> w latach 2017-2021</w:t>
      </w:r>
      <w:bookmarkEnd w:id="36"/>
    </w:p>
    <w:p w:rsidR="00254719" w:rsidRPr="0064087E" w:rsidRDefault="00254719" w:rsidP="00B82BC4">
      <w:pPr>
        <w:widowControl/>
        <w:autoSpaceDE/>
        <w:autoSpaceDN/>
        <w:spacing w:after="120" w:line="276" w:lineRule="auto"/>
        <w:jc w:val="center"/>
        <w:rPr>
          <w:rFonts w:ascii="Arial" w:hAnsi="Arial" w:cs="Arial"/>
        </w:rPr>
      </w:pPr>
      <w:r w:rsidRPr="0064087E">
        <w:rPr>
          <w:noProof/>
          <w:lang w:eastAsia="pl-PL"/>
        </w:rPr>
        <w:drawing>
          <wp:inline distT="0" distB="0" distL="0" distR="0" wp14:anchorId="1958E22B" wp14:editId="535D8BDD">
            <wp:extent cx="5357004" cy="2898475"/>
            <wp:effectExtent l="0" t="0" r="0" b="0"/>
            <wp:docPr id="148" name="Wykres 148" descr="Wykres linowy w tym dane Polska: 93,8 w 2018, 96,3 w 2019, 97,5 w 2020, 189,8 w 2021. Województwo podkarpackie: 83,9 w 2018, 118,5 w 2019, 111,1 w 2020, 135,4 w 2021. Sektor motoryzacyjny: 98,3 w 2018, 127,4 w 2019, 85,4 w 2020, 105,9 w 2021">
              <a:extLst xmlns:a="http://schemas.openxmlformats.org/drawingml/2006/main">
                <a:ext uri="{FF2B5EF4-FFF2-40B4-BE49-F238E27FC236}">
                  <a16:creationId xmlns:a16="http://schemas.microsoft.com/office/drawing/2014/main" id="{15CCB495-E700-40DD-B8A4-599503B006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54719" w:rsidRPr="0064087E" w:rsidRDefault="00315515" w:rsidP="00315515">
      <w:pPr>
        <w:widowControl/>
        <w:autoSpaceDE/>
        <w:autoSpaceDN/>
        <w:spacing w:after="120" w:line="276" w:lineRule="auto"/>
        <w:jc w:val="center"/>
        <w:rPr>
          <w:rFonts w:ascii="Arial" w:hAnsi="Arial" w:cs="Arial"/>
        </w:rPr>
      </w:pPr>
      <w:r w:rsidRPr="0064087E">
        <w:rPr>
          <w:rFonts w:ascii="Arial" w:hAnsi="Arial" w:cs="Arial"/>
        </w:rPr>
        <w:t xml:space="preserve">Źródło: </w:t>
      </w:r>
      <w:r w:rsidR="002B4114" w:rsidRPr="0064087E">
        <w:rPr>
          <w:rFonts w:ascii="Arial" w:hAnsi="Arial" w:cs="Arial"/>
        </w:rPr>
        <w:t>Opracowanie własne na podstawie danych GUS</w:t>
      </w:r>
      <w:r w:rsidRPr="0064087E">
        <w:rPr>
          <w:rFonts w:ascii="Arial" w:hAnsi="Arial" w:cs="Arial"/>
        </w:rPr>
        <w:t>.</w:t>
      </w:r>
    </w:p>
    <w:p w:rsidR="006D1A0B" w:rsidRDefault="00254719" w:rsidP="007F75E6">
      <w:pPr>
        <w:widowControl/>
        <w:autoSpaceDE/>
        <w:autoSpaceDN/>
        <w:spacing w:after="120" w:line="276" w:lineRule="auto"/>
        <w:rPr>
          <w:rFonts w:ascii="Arial" w:hAnsi="Arial" w:cs="Arial"/>
        </w:rPr>
      </w:pPr>
      <w:r w:rsidRPr="0064087E">
        <w:rPr>
          <w:rFonts w:ascii="Arial" w:hAnsi="Arial" w:cs="Arial"/>
        </w:rPr>
        <w:t xml:space="preserve">W analizie efektywności zarządzania aktywami przedsiębiorstw wykorzystano </w:t>
      </w:r>
      <w:bookmarkStart w:id="37" w:name="_Hlk155959264"/>
      <w:r w:rsidRPr="0064087E">
        <w:rPr>
          <w:rFonts w:ascii="Arial" w:hAnsi="Arial" w:cs="Arial"/>
        </w:rPr>
        <w:t>wskaźnik rentowności aktywów</w:t>
      </w:r>
      <w:r w:rsidR="00CE3062" w:rsidRPr="0064087E">
        <w:rPr>
          <w:rStyle w:val="Odwoanieprzypisudolnego"/>
          <w:rFonts w:ascii="Arial" w:hAnsi="Arial" w:cs="Arial"/>
        </w:rPr>
        <w:footnoteReference w:id="16"/>
      </w:r>
      <w:r w:rsidR="00056105" w:rsidRPr="0064087E">
        <w:rPr>
          <w:rFonts w:ascii="Arial" w:hAnsi="Arial" w:cs="Arial"/>
        </w:rPr>
        <w:t>.</w:t>
      </w:r>
      <w:r w:rsidRPr="0064087E">
        <w:rPr>
          <w:rFonts w:ascii="Arial" w:hAnsi="Arial" w:cs="Arial"/>
        </w:rPr>
        <w:t xml:space="preserve"> </w:t>
      </w:r>
      <w:bookmarkEnd w:id="37"/>
      <w:r w:rsidRPr="0064087E">
        <w:rPr>
          <w:rFonts w:ascii="Arial" w:hAnsi="Arial" w:cs="Arial"/>
        </w:rPr>
        <w:t xml:space="preserve">Dla firm sektora motoryzacyjnego wartość wskaźnika była wyższa od wartości dla </w:t>
      </w:r>
      <w:r w:rsidR="002A6C54" w:rsidRPr="0064087E">
        <w:rPr>
          <w:rFonts w:ascii="Arial" w:hAnsi="Arial" w:cs="Arial"/>
        </w:rPr>
        <w:t>województwa podkarpackiego</w:t>
      </w:r>
      <w:r w:rsidRPr="0064087E">
        <w:rPr>
          <w:rFonts w:ascii="Arial" w:hAnsi="Arial" w:cs="Arial"/>
        </w:rPr>
        <w:t xml:space="preserve"> i Polski (z wyjątkiem 2021</w:t>
      </w:r>
      <w:r w:rsidR="002A6C54" w:rsidRPr="0064087E">
        <w:rPr>
          <w:rFonts w:ascii="Arial" w:hAnsi="Arial" w:cs="Arial"/>
        </w:rPr>
        <w:t xml:space="preserve"> </w:t>
      </w:r>
      <w:r w:rsidRPr="0064087E">
        <w:rPr>
          <w:rFonts w:ascii="Arial" w:hAnsi="Arial" w:cs="Arial"/>
        </w:rPr>
        <w:t xml:space="preserve">r. gdzie wartość wskaźnika dla </w:t>
      </w:r>
      <w:r w:rsidR="002A6C54" w:rsidRPr="0064087E">
        <w:rPr>
          <w:rFonts w:ascii="Arial" w:hAnsi="Arial" w:cs="Arial"/>
        </w:rPr>
        <w:t>regionu</w:t>
      </w:r>
      <w:r w:rsidRPr="0064087E">
        <w:rPr>
          <w:rFonts w:ascii="Arial" w:hAnsi="Arial" w:cs="Arial"/>
        </w:rPr>
        <w:t xml:space="preserve"> nieznacznie przewyższyła wartość dla firm sektora motoryzacyjnego). Wykazywała też tendencje zbliżone do wskaźnika rentowności sprzedaży. W latach 2017-2018 odnotowano spadek wskaźnika do 7,4%, natomiast w kolejnym roku wskaźnik wzrósł do 8,5% po czym znowu obniżył się w kolejnych latach i w 2021 r. wyniósł 6,7%. Dla województwa wskaźnik w latach 2017 i 2018 obniżył się do 4,6%, natomiast w kolejnych latach znacznie wzrósł i w 2021 r.</w:t>
      </w:r>
      <w:r w:rsidR="00E97FA5" w:rsidRPr="0064087E">
        <w:rPr>
          <w:rFonts w:ascii="Arial" w:hAnsi="Arial" w:cs="Arial"/>
        </w:rPr>
        <w:t xml:space="preserve"> </w:t>
      </w:r>
      <w:r w:rsidRPr="0064087E">
        <w:rPr>
          <w:rFonts w:ascii="Arial" w:hAnsi="Arial" w:cs="Arial"/>
        </w:rPr>
        <w:t>wyniósł 7,1%. W Polsce, w omawianym okresie, wskaźnik rentowności aktywów wahał się w przedziale 3,6% w 2020 r. do 6,1% w 2021 r.</w:t>
      </w:r>
    </w:p>
    <w:p w:rsidR="006D1A0B" w:rsidRDefault="006D1A0B">
      <w:pPr>
        <w:widowControl/>
        <w:autoSpaceDE/>
        <w:autoSpaceDN/>
        <w:spacing w:after="160" w:line="259" w:lineRule="auto"/>
        <w:rPr>
          <w:rFonts w:ascii="Arial" w:hAnsi="Arial" w:cs="Arial"/>
        </w:rPr>
      </w:pPr>
      <w:r>
        <w:rPr>
          <w:rFonts w:ascii="Arial" w:hAnsi="Arial" w:cs="Arial"/>
        </w:rPr>
        <w:br w:type="page"/>
      </w:r>
    </w:p>
    <w:p w:rsidR="004E0E99" w:rsidRPr="0064087E" w:rsidRDefault="004E0E99" w:rsidP="007F75E6">
      <w:pPr>
        <w:pStyle w:val="Legenda"/>
        <w:keepNext/>
        <w:spacing w:after="120" w:line="276" w:lineRule="auto"/>
        <w:rPr>
          <w:rFonts w:ascii="Arial" w:hAnsi="Arial" w:cs="Arial"/>
          <w:i w:val="0"/>
          <w:color w:val="auto"/>
          <w:sz w:val="22"/>
          <w:szCs w:val="22"/>
        </w:rPr>
      </w:pPr>
      <w:bookmarkStart w:id="38" w:name="_Toc160793530"/>
      <w:r w:rsidRPr="0064087E">
        <w:rPr>
          <w:rFonts w:ascii="Arial" w:hAnsi="Arial" w:cs="Arial"/>
          <w:b/>
          <w:i w:val="0"/>
          <w:color w:val="auto"/>
          <w:sz w:val="22"/>
          <w:szCs w:val="22"/>
        </w:rPr>
        <w:lastRenderedPageBreak/>
        <w:t xml:space="preserve">Wykres </w:t>
      </w:r>
      <w:r w:rsidR="005922CE">
        <w:rPr>
          <w:rFonts w:ascii="Arial" w:hAnsi="Arial" w:cs="Arial"/>
          <w:b/>
          <w:i w:val="0"/>
          <w:color w:val="auto"/>
          <w:sz w:val="22"/>
          <w:szCs w:val="22"/>
        </w:rPr>
        <w:fldChar w:fldCharType="begin"/>
      </w:r>
      <w:r w:rsidR="005922CE">
        <w:rPr>
          <w:rFonts w:ascii="Arial" w:hAnsi="Arial" w:cs="Arial"/>
          <w:b/>
          <w:i w:val="0"/>
          <w:color w:val="auto"/>
          <w:sz w:val="22"/>
          <w:szCs w:val="22"/>
        </w:rPr>
        <w:instrText xml:space="preserve"> SEQ Wykres \* ARABIC </w:instrText>
      </w:r>
      <w:r w:rsidR="005922CE">
        <w:rPr>
          <w:rFonts w:ascii="Arial" w:hAnsi="Arial" w:cs="Arial"/>
          <w:b/>
          <w:i w:val="0"/>
          <w:color w:val="auto"/>
          <w:sz w:val="22"/>
          <w:szCs w:val="22"/>
        </w:rPr>
        <w:fldChar w:fldCharType="separate"/>
      </w:r>
      <w:r w:rsidR="00884DAD">
        <w:rPr>
          <w:rFonts w:ascii="Arial" w:hAnsi="Arial" w:cs="Arial"/>
          <w:b/>
          <w:i w:val="0"/>
          <w:noProof/>
          <w:color w:val="auto"/>
          <w:sz w:val="22"/>
          <w:szCs w:val="22"/>
        </w:rPr>
        <w:t>24</w:t>
      </w:r>
      <w:r w:rsidR="005922CE">
        <w:rPr>
          <w:rFonts w:ascii="Arial" w:hAnsi="Arial" w:cs="Arial"/>
          <w:b/>
          <w:i w:val="0"/>
          <w:color w:val="auto"/>
          <w:sz w:val="22"/>
          <w:szCs w:val="22"/>
        </w:rPr>
        <w:fldChar w:fldCharType="end"/>
      </w:r>
      <w:r w:rsidR="00DA1871">
        <w:rPr>
          <w:rFonts w:ascii="Arial" w:hAnsi="Arial" w:cs="Arial"/>
          <w:b/>
          <w:i w:val="0"/>
          <w:color w:val="auto"/>
          <w:sz w:val="22"/>
          <w:szCs w:val="22"/>
        </w:rPr>
        <w:t>.</w:t>
      </w:r>
      <w:r w:rsidRPr="0064087E">
        <w:rPr>
          <w:rFonts w:ascii="Arial" w:hAnsi="Arial" w:cs="Arial"/>
          <w:i w:val="0"/>
          <w:color w:val="auto"/>
          <w:sz w:val="22"/>
          <w:szCs w:val="22"/>
        </w:rPr>
        <w:t xml:space="preserve"> Rentowność aktywów</w:t>
      </w:r>
      <w:r w:rsidR="00275B1D" w:rsidRPr="0064087E">
        <w:rPr>
          <w:rFonts w:ascii="Arial" w:hAnsi="Arial" w:cs="Arial"/>
          <w:i w:val="0"/>
          <w:color w:val="auto"/>
          <w:sz w:val="22"/>
          <w:szCs w:val="22"/>
        </w:rPr>
        <w:t xml:space="preserve"> w </w:t>
      </w:r>
      <w:r w:rsidR="00140E8D">
        <w:rPr>
          <w:rFonts w:ascii="Arial" w:hAnsi="Arial" w:cs="Arial"/>
          <w:i w:val="0"/>
          <w:color w:val="auto"/>
          <w:sz w:val="22"/>
          <w:szCs w:val="22"/>
        </w:rPr>
        <w:t xml:space="preserve">Polsce, województwie podkarpackim oraz </w:t>
      </w:r>
      <w:r w:rsidR="00275B1D" w:rsidRPr="0064087E">
        <w:rPr>
          <w:rFonts w:ascii="Arial" w:hAnsi="Arial" w:cs="Arial"/>
          <w:i w:val="0"/>
          <w:color w:val="auto"/>
          <w:sz w:val="22"/>
          <w:szCs w:val="22"/>
        </w:rPr>
        <w:t>branży motoryzacyjnej</w:t>
      </w:r>
      <w:r w:rsidRPr="0064087E">
        <w:rPr>
          <w:rFonts w:ascii="Arial" w:hAnsi="Arial" w:cs="Arial"/>
          <w:i w:val="0"/>
          <w:color w:val="auto"/>
          <w:sz w:val="22"/>
          <w:szCs w:val="22"/>
        </w:rPr>
        <w:t xml:space="preserve"> w latach 2017-2021</w:t>
      </w:r>
      <w:bookmarkEnd w:id="38"/>
    </w:p>
    <w:p w:rsidR="00F929D2" w:rsidRPr="0064087E" w:rsidRDefault="00F929D2" w:rsidP="00B82BC4">
      <w:pPr>
        <w:widowControl/>
        <w:autoSpaceDE/>
        <w:autoSpaceDN/>
        <w:spacing w:after="120" w:line="276" w:lineRule="auto"/>
        <w:jc w:val="center"/>
        <w:rPr>
          <w:rFonts w:ascii="Arial" w:hAnsi="Arial" w:cs="Arial"/>
        </w:rPr>
      </w:pPr>
      <w:r w:rsidRPr="0064087E">
        <w:rPr>
          <w:noProof/>
          <w:lang w:eastAsia="pl-PL"/>
        </w:rPr>
        <w:drawing>
          <wp:inline distT="0" distB="0" distL="0" distR="0" wp14:anchorId="6C34D31B" wp14:editId="41939DF5">
            <wp:extent cx="5158105" cy="2705100"/>
            <wp:effectExtent l="0" t="0" r="4445" b="0"/>
            <wp:docPr id="150" name="Wykres 150" descr="Wykres kolumnowy w tym dane w %: Polska: 4,9 w 2017, 4,3 w 2018, 3,9 w 2019, 3,6 w 2020, 6,1 w 2021. Województwo podkarpackie: 6,0 w 2017, 4,6 w 2018, 5,2 w 2019, 5,6 w 2020, 7,1 w 2021. Sektor motoryzacyjny: 8,5 w 2017, 7,4 w 2018, 8,5 w 2019, 7,0 w 2020, 6,7 w 2021">
              <a:extLst xmlns:a="http://schemas.openxmlformats.org/drawingml/2006/main">
                <a:ext uri="{FF2B5EF4-FFF2-40B4-BE49-F238E27FC236}">
                  <a16:creationId xmlns:a16="http://schemas.microsoft.com/office/drawing/2014/main" id="{371EE2AC-4476-43FE-8FB0-B02BFDAC86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E0E99" w:rsidRPr="0064087E" w:rsidRDefault="004E0E99" w:rsidP="00315515">
      <w:pPr>
        <w:widowControl/>
        <w:autoSpaceDE/>
        <w:autoSpaceDN/>
        <w:spacing w:after="120" w:line="276" w:lineRule="auto"/>
        <w:jc w:val="center"/>
        <w:rPr>
          <w:rFonts w:ascii="Arial" w:hAnsi="Arial" w:cs="Arial"/>
        </w:rPr>
      </w:pPr>
      <w:r w:rsidRPr="0064087E">
        <w:rPr>
          <w:rFonts w:ascii="Arial" w:hAnsi="Arial" w:cs="Arial"/>
        </w:rPr>
        <w:t xml:space="preserve">Źródło: </w:t>
      </w:r>
      <w:r w:rsidR="00555EDB" w:rsidRPr="0064087E">
        <w:rPr>
          <w:rFonts w:ascii="Arial" w:hAnsi="Arial" w:cs="Arial"/>
        </w:rPr>
        <w:t>Opracowanie własne na podstawie danych GUS</w:t>
      </w:r>
      <w:r w:rsidRPr="0064087E">
        <w:rPr>
          <w:rFonts w:ascii="Arial" w:hAnsi="Arial" w:cs="Arial"/>
        </w:rPr>
        <w:t>.</w:t>
      </w:r>
    </w:p>
    <w:p w:rsidR="004E0E99" w:rsidRPr="0064087E" w:rsidRDefault="004E0E99" w:rsidP="007F75E6">
      <w:pPr>
        <w:widowControl/>
        <w:autoSpaceDE/>
        <w:autoSpaceDN/>
        <w:spacing w:after="120" w:line="276" w:lineRule="auto"/>
        <w:rPr>
          <w:rFonts w:ascii="Arial" w:hAnsi="Arial" w:cs="Arial"/>
        </w:rPr>
      </w:pPr>
      <w:r w:rsidRPr="0064087E">
        <w:rPr>
          <w:rFonts w:ascii="Arial" w:hAnsi="Arial" w:cs="Arial"/>
        </w:rPr>
        <w:t>Wskaźnik rentowności kapitału własnego</w:t>
      </w:r>
      <w:r w:rsidR="00B911B4" w:rsidRPr="0064087E">
        <w:rPr>
          <w:rStyle w:val="Odwoanieprzypisudolnego"/>
          <w:rFonts w:ascii="Arial" w:hAnsi="Arial" w:cs="Arial"/>
        </w:rPr>
        <w:footnoteReference w:id="17"/>
      </w:r>
      <w:r w:rsidR="00B911B4" w:rsidRPr="0064087E">
        <w:rPr>
          <w:rFonts w:ascii="Arial" w:hAnsi="Arial" w:cs="Arial"/>
        </w:rPr>
        <w:t xml:space="preserve"> </w:t>
      </w:r>
      <w:r w:rsidRPr="0064087E">
        <w:rPr>
          <w:rFonts w:ascii="Arial" w:hAnsi="Arial" w:cs="Arial"/>
        </w:rPr>
        <w:t>w sektorze motoryzacyjnym w analizowanym okresie z wyjątkiem 2021 r., osiągał wartości wyższe od wartości dla województwa i dla Polski. Zarówno w sektorze motoryzacyjnym, jak i dla województwa i kraju wykazywał tendencję zbliżoną do wskaźnika rentowności aktywów.</w:t>
      </w:r>
    </w:p>
    <w:p w:rsidR="004E0E99" w:rsidRPr="0064087E" w:rsidRDefault="004E0E99" w:rsidP="007F75E6">
      <w:pPr>
        <w:pStyle w:val="Legenda"/>
        <w:keepNext/>
        <w:spacing w:after="120" w:line="276" w:lineRule="auto"/>
        <w:rPr>
          <w:rFonts w:ascii="Arial" w:hAnsi="Arial" w:cs="Arial"/>
          <w:i w:val="0"/>
          <w:color w:val="auto"/>
          <w:sz w:val="22"/>
          <w:szCs w:val="22"/>
        </w:rPr>
      </w:pPr>
      <w:bookmarkStart w:id="39" w:name="_Toc160793531"/>
      <w:r w:rsidRPr="0064087E">
        <w:rPr>
          <w:rFonts w:ascii="Arial" w:hAnsi="Arial" w:cs="Arial"/>
          <w:b/>
          <w:i w:val="0"/>
          <w:color w:val="auto"/>
          <w:sz w:val="22"/>
          <w:szCs w:val="22"/>
        </w:rPr>
        <w:t xml:space="preserve">Wykres </w:t>
      </w:r>
      <w:r w:rsidR="005922CE">
        <w:rPr>
          <w:rFonts w:ascii="Arial" w:hAnsi="Arial" w:cs="Arial"/>
          <w:b/>
          <w:i w:val="0"/>
          <w:color w:val="auto"/>
          <w:sz w:val="22"/>
          <w:szCs w:val="22"/>
        </w:rPr>
        <w:fldChar w:fldCharType="begin"/>
      </w:r>
      <w:r w:rsidR="005922CE">
        <w:rPr>
          <w:rFonts w:ascii="Arial" w:hAnsi="Arial" w:cs="Arial"/>
          <w:b/>
          <w:i w:val="0"/>
          <w:color w:val="auto"/>
          <w:sz w:val="22"/>
          <w:szCs w:val="22"/>
        </w:rPr>
        <w:instrText xml:space="preserve"> SEQ Wykres \* ARABIC </w:instrText>
      </w:r>
      <w:r w:rsidR="005922CE">
        <w:rPr>
          <w:rFonts w:ascii="Arial" w:hAnsi="Arial" w:cs="Arial"/>
          <w:b/>
          <w:i w:val="0"/>
          <w:color w:val="auto"/>
          <w:sz w:val="22"/>
          <w:szCs w:val="22"/>
        </w:rPr>
        <w:fldChar w:fldCharType="separate"/>
      </w:r>
      <w:r w:rsidR="00884DAD">
        <w:rPr>
          <w:rFonts w:ascii="Arial" w:hAnsi="Arial" w:cs="Arial"/>
          <w:b/>
          <w:i w:val="0"/>
          <w:noProof/>
          <w:color w:val="auto"/>
          <w:sz w:val="22"/>
          <w:szCs w:val="22"/>
        </w:rPr>
        <w:t>25</w:t>
      </w:r>
      <w:r w:rsidR="005922CE">
        <w:rPr>
          <w:rFonts w:ascii="Arial" w:hAnsi="Arial" w:cs="Arial"/>
          <w:b/>
          <w:i w:val="0"/>
          <w:color w:val="auto"/>
          <w:sz w:val="22"/>
          <w:szCs w:val="22"/>
        </w:rPr>
        <w:fldChar w:fldCharType="end"/>
      </w:r>
      <w:r w:rsidR="00DA1871">
        <w:rPr>
          <w:rFonts w:ascii="Arial" w:hAnsi="Arial" w:cs="Arial"/>
          <w:b/>
          <w:i w:val="0"/>
          <w:color w:val="auto"/>
          <w:sz w:val="22"/>
          <w:szCs w:val="22"/>
        </w:rPr>
        <w:t>.</w:t>
      </w:r>
      <w:r w:rsidRPr="0064087E">
        <w:rPr>
          <w:rFonts w:ascii="Arial" w:hAnsi="Arial" w:cs="Arial"/>
          <w:i w:val="0"/>
          <w:color w:val="auto"/>
          <w:sz w:val="22"/>
          <w:szCs w:val="22"/>
        </w:rPr>
        <w:t xml:space="preserve"> Wskaźnik rentowności kapitału własnego</w:t>
      </w:r>
      <w:r w:rsidR="00275B1D" w:rsidRPr="0064087E">
        <w:rPr>
          <w:rFonts w:ascii="Arial" w:hAnsi="Arial" w:cs="Arial"/>
          <w:i w:val="0"/>
          <w:color w:val="auto"/>
          <w:sz w:val="22"/>
          <w:szCs w:val="22"/>
        </w:rPr>
        <w:t xml:space="preserve"> w </w:t>
      </w:r>
      <w:r w:rsidR="00140E8D">
        <w:rPr>
          <w:rFonts w:ascii="Arial" w:hAnsi="Arial" w:cs="Arial"/>
          <w:i w:val="0"/>
          <w:color w:val="auto"/>
          <w:sz w:val="22"/>
          <w:szCs w:val="22"/>
        </w:rPr>
        <w:t xml:space="preserve">Polsce, województwie podkarpackim oraz </w:t>
      </w:r>
      <w:r w:rsidR="00275B1D" w:rsidRPr="0064087E">
        <w:rPr>
          <w:rFonts w:ascii="Arial" w:hAnsi="Arial" w:cs="Arial"/>
          <w:i w:val="0"/>
          <w:color w:val="auto"/>
          <w:sz w:val="22"/>
          <w:szCs w:val="22"/>
        </w:rPr>
        <w:t>branży motoryzacyjnej</w:t>
      </w:r>
      <w:r w:rsidRPr="0064087E">
        <w:rPr>
          <w:rFonts w:ascii="Arial" w:hAnsi="Arial" w:cs="Arial"/>
          <w:i w:val="0"/>
          <w:color w:val="auto"/>
          <w:sz w:val="22"/>
          <w:szCs w:val="22"/>
        </w:rPr>
        <w:t xml:space="preserve"> w latach 2017-2021</w:t>
      </w:r>
      <w:bookmarkEnd w:id="39"/>
    </w:p>
    <w:p w:rsidR="004E0E99" w:rsidRPr="0064087E" w:rsidRDefault="004E0E99" w:rsidP="00B82BC4">
      <w:pPr>
        <w:widowControl/>
        <w:autoSpaceDE/>
        <w:autoSpaceDN/>
        <w:spacing w:after="120" w:line="276" w:lineRule="auto"/>
        <w:jc w:val="center"/>
        <w:rPr>
          <w:rFonts w:ascii="Arial" w:hAnsi="Arial" w:cs="Arial"/>
        </w:rPr>
      </w:pPr>
      <w:r w:rsidRPr="0064087E">
        <w:rPr>
          <w:noProof/>
          <w:lang w:eastAsia="pl-PL"/>
        </w:rPr>
        <w:drawing>
          <wp:inline distT="0" distB="0" distL="0" distR="0" wp14:anchorId="571FA72E" wp14:editId="745D6E1E">
            <wp:extent cx="5200650" cy="2743200"/>
            <wp:effectExtent l="0" t="0" r="0" b="0"/>
            <wp:docPr id="151" name="Wykres 151" descr="Wykres kolumnowy w tym dane w %: Polska: 10,0 w 2017, 9,0 w 2018, 8,4 w 2019, 7,9 w 2020, 13,5 w 2021. Województwo podkarpackie: 10,9 w 2017, 8,8 w 2018, 10,0 w 2019, 10,6 w 2020, 14,1 w 2021. Sektor motoryzacyjny: 13,6 w 2017, 12,2 w 2018, 13,9 w 2019, 11,7 w 2020, 11,6 w 2021">
              <a:extLst xmlns:a="http://schemas.openxmlformats.org/drawingml/2006/main">
                <a:ext uri="{FF2B5EF4-FFF2-40B4-BE49-F238E27FC236}">
                  <a16:creationId xmlns:a16="http://schemas.microsoft.com/office/drawing/2014/main" id="{B3C8C92D-B452-43E7-BAD9-327CE4B72B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E0E99" w:rsidRPr="0064087E" w:rsidRDefault="004E0E99" w:rsidP="00315515">
      <w:pPr>
        <w:widowControl/>
        <w:autoSpaceDE/>
        <w:autoSpaceDN/>
        <w:spacing w:after="120" w:line="276" w:lineRule="auto"/>
        <w:jc w:val="center"/>
        <w:rPr>
          <w:rFonts w:ascii="Arial" w:hAnsi="Arial" w:cs="Arial"/>
        </w:rPr>
      </w:pPr>
      <w:r w:rsidRPr="0064087E">
        <w:rPr>
          <w:rFonts w:ascii="Arial" w:hAnsi="Arial" w:cs="Arial"/>
        </w:rPr>
        <w:t xml:space="preserve">Źródło: </w:t>
      </w:r>
      <w:r w:rsidR="00FA262C" w:rsidRPr="0064087E">
        <w:rPr>
          <w:rFonts w:ascii="Arial" w:hAnsi="Arial" w:cs="Arial"/>
        </w:rPr>
        <w:t>Opracowanie własne na podstawie danych GUS</w:t>
      </w:r>
      <w:r w:rsidRPr="0064087E">
        <w:rPr>
          <w:rFonts w:ascii="Arial" w:hAnsi="Arial" w:cs="Arial"/>
        </w:rPr>
        <w:t>.</w:t>
      </w:r>
    </w:p>
    <w:p w:rsidR="004E0E99" w:rsidRPr="0064087E" w:rsidRDefault="004E0E99" w:rsidP="007F75E6">
      <w:pPr>
        <w:widowControl/>
        <w:autoSpaceDE/>
        <w:autoSpaceDN/>
        <w:spacing w:after="120" w:line="276" w:lineRule="auto"/>
        <w:rPr>
          <w:rFonts w:ascii="Arial" w:hAnsi="Arial" w:cs="Arial"/>
        </w:rPr>
      </w:pPr>
      <w:r w:rsidRPr="0064087E">
        <w:rPr>
          <w:rFonts w:ascii="Arial" w:hAnsi="Arial" w:cs="Arial"/>
        </w:rPr>
        <w:t xml:space="preserve">Wskaźnik rentowności obrotu netto w sektorze motoryzacyjnym wykazywał tendencje zbliżone do wskaźnika rentowności aktywów i w 2021 r. osiągnął wartość 5,8%. Natomiast </w:t>
      </w:r>
      <w:r w:rsidRPr="0064087E">
        <w:rPr>
          <w:rFonts w:ascii="Arial" w:hAnsi="Arial" w:cs="Arial"/>
        </w:rPr>
        <w:br/>
      </w:r>
      <w:r w:rsidRPr="0064087E">
        <w:rPr>
          <w:rFonts w:ascii="Arial" w:hAnsi="Arial" w:cs="Arial"/>
        </w:rPr>
        <w:lastRenderedPageBreak/>
        <w:t xml:space="preserve">w województwie w latach 2017-2018 wskaźnik zanotował spadek a w kolejnych latach </w:t>
      </w:r>
      <w:r w:rsidR="006C1852" w:rsidRPr="0064087E">
        <w:rPr>
          <w:rFonts w:ascii="Arial" w:hAnsi="Arial" w:cs="Arial"/>
        </w:rPr>
        <w:t>wzrósł</w:t>
      </w:r>
      <w:r w:rsidRPr="0064087E">
        <w:rPr>
          <w:rFonts w:ascii="Arial" w:hAnsi="Arial" w:cs="Arial"/>
        </w:rPr>
        <w:t xml:space="preserve"> do poziomu 5,1%. W kraju wskaźnik wykazywał tendencję zmienną a w 2021 r. osiągnął wartość 5,5%.</w:t>
      </w:r>
    </w:p>
    <w:p w:rsidR="004E0E99" w:rsidRPr="0064087E" w:rsidRDefault="004E0E99" w:rsidP="007F75E6">
      <w:pPr>
        <w:widowControl/>
        <w:autoSpaceDE/>
        <w:autoSpaceDN/>
        <w:spacing w:after="120" w:line="276" w:lineRule="auto"/>
        <w:rPr>
          <w:rFonts w:ascii="Arial" w:hAnsi="Arial" w:cs="Arial"/>
        </w:rPr>
      </w:pPr>
      <w:r w:rsidRPr="0064087E">
        <w:rPr>
          <w:rFonts w:ascii="Arial" w:hAnsi="Arial" w:cs="Arial"/>
        </w:rPr>
        <w:t>W ocenie zdolności przedsiębiorstw do regulowania kapitałów obcych krótkoterminowych, wykorzystano wskaźniki płynności finansowej I, II i III stopnia. W latach 2017-2018 wskaźnik płynności finansowej I stopnia</w:t>
      </w:r>
      <w:r w:rsidR="00E07AEA" w:rsidRPr="0064087E">
        <w:rPr>
          <w:rStyle w:val="Odwoanieprzypisudolnego"/>
          <w:rFonts w:ascii="Arial" w:hAnsi="Arial" w:cs="Arial"/>
        </w:rPr>
        <w:footnoteReference w:id="18"/>
      </w:r>
      <w:r w:rsidR="000C03BD" w:rsidRPr="0064087E">
        <w:rPr>
          <w:rFonts w:ascii="Arial" w:hAnsi="Arial" w:cs="Arial"/>
        </w:rPr>
        <w:t xml:space="preserve"> </w:t>
      </w:r>
      <w:r w:rsidRPr="0064087E">
        <w:rPr>
          <w:rFonts w:ascii="Arial" w:hAnsi="Arial" w:cs="Arial"/>
        </w:rPr>
        <w:t xml:space="preserve">w branży motoryzacyjnej spadł z poziomu 57,4% do 47,6%, następnie w 2019 r. zanotował wzrost do 59,6% po czym w kolejnych latach znowu spadł do poziomu 42,3% w 2021 r. </w:t>
      </w:r>
      <w:r w:rsidR="000C03BD" w:rsidRPr="0064087E">
        <w:rPr>
          <w:rFonts w:ascii="Arial" w:hAnsi="Arial" w:cs="Arial"/>
        </w:rPr>
        <w:t>W</w:t>
      </w:r>
      <w:r w:rsidRPr="0064087E">
        <w:rPr>
          <w:rFonts w:ascii="Arial" w:hAnsi="Arial" w:cs="Arial"/>
        </w:rPr>
        <w:t xml:space="preserve"> analizowanym okresie kształtował się on poniżej wartości przypadających dla województwa i Polski z wyjątkiem 2021</w:t>
      </w:r>
      <w:r w:rsidR="00885563" w:rsidRPr="0064087E">
        <w:rPr>
          <w:rFonts w:ascii="Arial" w:hAnsi="Arial" w:cs="Arial"/>
        </w:rPr>
        <w:t xml:space="preserve"> </w:t>
      </w:r>
      <w:r w:rsidRPr="0064087E">
        <w:rPr>
          <w:rFonts w:ascii="Arial" w:hAnsi="Arial" w:cs="Arial"/>
        </w:rPr>
        <w:t>r.</w:t>
      </w:r>
      <w:r w:rsidR="005176B3" w:rsidRPr="0064087E">
        <w:rPr>
          <w:rFonts w:ascii="Arial" w:hAnsi="Arial" w:cs="Arial"/>
        </w:rPr>
        <w:t>,</w:t>
      </w:r>
      <w:r w:rsidRPr="0064087E">
        <w:rPr>
          <w:rFonts w:ascii="Arial" w:hAnsi="Arial" w:cs="Arial"/>
        </w:rPr>
        <w:t xml:space="preserve"> w którym wskaźnik dla kraju był wyższy niż dla branży motoryzacyjnej. Płynność finansowa I stopnia podmiotów gospodarczych w województwie podkarpackim w latach 2017-2020 wzrosła do poziomu</w:t>
      </w:r>
      <w:r w:rsidR="00E97FA5" w:rsidRPr="0064087E">
        <w:rPr>
          <w:rFonts w:ascii="Arial" w:hAnsi="Arial" w:cs="Arial"/>
        </w:rPr>
        <w:t xml:space="preserve"> </w:t>
      </w:r>
      <w:r w:rsidRPr="0064087E">
        <w:rPr>
          <w:rFonts w:ascii="Arial" w:hAnsi="Arial" w:cs="Arial"/>
        </w:rPr>
        <w:t>44,5%</w:t>
      </w:r>
      <w:r w:rsidR="005176B3" w:rsidRPr="0064087E">
        <w:rPr>
          <w:rFonts w:ascii="Arial" w:hAnsi="Arial" w:cs="Arial"/>
        </w:rPr>
        <w:t>,</w:t>
      </w:r>
      <w:r w:rsidRPr="0064087E">
        <w:rPr>
          <w:rFonts w:ascii="Arial" w:hAnsi="Arial" w:cs="Arial"/>
        </w:rPr>
        <w:t xml:space="preserve"> a następnie w 2021</w:t>
      </w:r>
      <w:r w:rsidR="006C1852" w:rsidRPr="0064087E">
        <w:rPr>
          <w:rFonts w:ascii="Arial" w:hAnsi="Arial" w:cs="Arial"/>
        </w:rPr>
        <w:t xml:space="preserve"> </w:t>
      </w:r>
      <w:r w:rsidRPr="0064087E">
        <w:rPr>
          <w:rFonts w:ascii="Arial" w:hAnsi="Arial" w:cs="Arial"/>
        </w:rPr>
        <w:t xml:space="preserve">r. spadła do 38,8%. W kraju wskaźnik podlegał zmianom </w:t>
      </w:r>
      <w:r w:rsidR="00B52AC4" w:rsidRPr="0064087E">
        <w:rPr>
          <w:rFonts w:ascii="Arial" w:hAnsi="Arial" w:cs="Arial"/>
        </w:rPr>
        <w:br/>
      </w:r>
      <w:r w:rsidRPr="0064087E">
        <w:rPr>
          <w:rFonts w:ascii="Arial" w:hAnsi="Arial" w:cs="Arial"/>
        </w:rPr>
        <w:t>i oscylował w</w:t>
      </w:r>
      <w:r w:rsidR="00E004F4" w:rsidRPr="0064087E">
        <w:rPr>
          <w:rFonts w:ascii="Arial" w:hAnsi="Arial" w:cs="Arial"/>
        </w:rPr>
        <w:t> </w:t>
      </w:r>
      <w:r w:rsidRPr="0064087E">
        <w:rPr>
          <w:rFonts w:ascii="Arial" w:hAnsi="Arial" w:cs="Arial"/>
        </w:rPr>
        <w:t>przedziale 39,3% do 46,6%.</w:t>
      </w:r>
    </w:p>
    <w:p w:rsidR="004E0E99" w:rsidRPr="0064087E" w:rsidRDefault="004E0E99" w:rsidP="007F75E6">
      <w:pPr>
        <w:widowControl/>
        <w:autoSpaceDE/>
        <w:autoSpaceDN/>
        <w:spacing w:after="120" w:line="276" w:lineRule="auto"/>
        <w:rPr>
          <w:rFonts w:ascii="Arial" w:hAnsi="Arial" w:cs="Arial"/>
        </w:rPr>
      </w:pPr>
      <w:r w:rsidRPr="0064087E">
        <w:rPr>
          <w:rFonts w:ascii="Arial" w:hAnsi="Arial" w:cs="Arial"/>
        </w:rPr>
        <w:t xml:space="preserve">Informacji o możliwości spłaty zobowiązań bieżącymi aktywami płynnymi dostarcza </w:t>
      </w:r>
      <w:bookmarkStart w:id="40" w:name="_Hlk155959964"/>
      <w:r w:rsidRPr="0064087E">
        <w:rPr>
          <w:rFonts w:ascii="Arial" w:hAnsi="Arial" w:cs="Arial"/>
        </w:rPr>
        <w:t>wskaźnik płynności finansowej II stopnia</w:t>
      </w:r>
      <w:bookmarkEnd w:id="40"/>
      <w:r w:rsidR="00E07AEA" w:rsidRPr="0064087E">
        <w:rPr>
          <w:rStyle w:val="Odwoanieprzypisudolnego"/>
          <w:rFonts w:ascii="Arial" w:hAnsi="Arial" w:cs="Arial"/>
        </w:rPr>
        <w:footnoteReference w:id="19"/>
      </w:r>
      <w:r w:rsidR="000C03BD" w:rsidRPr="0064087E">
        <w:rPr>
          <w:rFonts w:ascii="Arial" w:hAnsi="Arial" w:cs="Arial"/>
        </w:rPr>
        <w:t>.</w:t>
      </w:r>
      <w:r w:rsidRPr="0064087E">
        <w:rPr>
          <w:rFonts w:ascii="Arial" w:hAnsi="Arial" w:cs="Arial"/>
        </w:rPr>
        <w:t xml:space="preserve"> Wielkość tego wskaźnika w granicach 100% uważana jest za wzorcową, ponieważ świadczy o zdolności do pokrywania w krótkim czasie wymaganych zobowiązań. Dla podmiotów gospodarczych związanych z motoryzacją wskaźnik notował </w:t>
      </w:r>
      <w:r w:rsidR="00831718" w:rsidRPr="0064087E">
        <w:rPr>
          <w:rFonts w:ascii="Arial" w:hAnsi="Arial" w:cs="Arial"/>
        </w:rPr>
        <w:br/>
      </w:r>
      <w:r w:rsidRPr="0064087E">
        <w:rPr>
          <w:rFonts w:ascii="Arial" w:hAnsi="Arial" w:cs="Arial"/>
        </w:rPr>
        <w:t>w latach 2017-2021 wartości po</w:t>
      </w:r>
      <w:r w:rsidR="006C1852" w:rsidRPr="0064087E">
        <w:rPr>
          <w:rFonts w:ascii="Arial" w:hAnsi="Arial" w:cs="Arial"/>
        </w:rPr>
        <w:t xml:space="preserve">wyżej </w:t>
      </w:r>
      <w:r w:rsidRPr="0064087E">
        <w:rPr>
          <w:rFonts w:ascii="Arial" w:hAnsi="Arial" w:cs="Arial"/>
        </w:rPr>
        <w:t xml:space="preserve">100%, w tym najwyższą w 2019 r. – 135,5%. </w:t>
      </w:r>
      <w:r w:rsidR="007F75E6">
        <w:rPr>
          <w:rFonts w:ascii="Arial" w:hAnsi="Arial" w:cs="Arial"/>
        </w:rPr>
        <w:br/>
      </w:r>
      <w:r w:rsidRPr="0064087E">
        <w:rPr>
          <w:rFonts w:ascii="Arial" w:hAnsi="Arial" w:cs="Arial"/>
        </w:rPr>
        <w:t xml:space="preserve">W przypadku województwa wahał się on w granicach od 104,2% do 111,4%, natomiast </w:t>
      </w:r>
      <w:r w:rsidR="00831718" w:rsidRPr="0064087E">
        <w:rPr>
          <w:rFonts w:ascii="Arial" w:hAnsi="Arial" w:cs="Arial"/>
        </w:rPr>
        <w:br/>
      </w:r>
      <w:r w:rsidRPr="0064087E">
        <w:rPr>
          <w:rFonts w:ascii="Arial" w:hAnsi="Arial" w:cs="Arial"/>
        </w:rPr>
        <w:t>w Polsce oscylował w przedziale 100,9% do 108,9%.</w:t>
      </w:r>
    </w:p>
    <w:p w:rsidR="004E0E99" w:rsidRPr="0064087E" w:rsidRDefault="004E0E99" w:rsidP="007F75E6">
      <w:pPr>
        <w:widowControl/>
        <w:autoSpaceDE/>
        <w:autoSpaceDN/>
        <w:spacing w:after="120" w:line="276" w:lineRule="auto"/>
        <w:rPr>
          <w:rFonts w:ascii="Arial" w:hAnsi="Arial" w:cs="Arial"/>
        </w:rPr>
      </w:pPr>
      <w:bookmarkStart w:id="41" w:name="_Hlk155960324"/>
      <w:r w:rsidRPr="0064087E">
        <w:rPr>
          <w:rFonts w:ascii="Arial" w:hAnsi="Arial" w:cs="Arial"/>
        </w:rPr>
        <w:t>Wskaźnik płynności finansowej III stopnia</w:t>
      </w:r>
      <w:r w:rsidR="004E766D" w:rsidRPr="0064087E">
        <w:rPr>
          <w:rStyle w:val="Odwoanieprzypisudolnego"/>
          <w:rFonts w:ascii="Arial" w:hAnsi="Arial" w:cs="Arial"/>
        </w:rPr>
        <w:footnoteReference w:id="20"/>
      </w:r>
      <w:r w:rsidR="008D037B" w:rsidRPr="0064087E">
        <w:rPr>
          <w:rFonts w:ascii="Arial" w:hAnsi="Arial" w:cs="Arial"/>
        </w:rPr>
        <w:t xml:space="preserve"> </w:t>
      </w:r>
      <w:bookmarkEnd w:id="41"/>
      <w:r w:rsidRPr="0064087E">
        <w:rPr>
          <w:rFonts w:ascii="Arial" w:hAnsi="Arial" w:cs="Arial"/>
        </w:rPr>
        <w:t xml:space="preserve">w podmiotach gospodarczych branży motoryzacyjnej w latach 2017-2018 spadł z 189,5% do 174,8%, natomiast w 2019 </w:t>
      </w:r>
      <w:r w:rsidR="006C1852" w:rsidRPr="0064087E">
        <w:rPr>
          <w:rFonts w:ascii="Arial" w:hAnsi="Arial" w:cs="Arial"/>
        </w:rPr>
        <w:t xml:space="preserve">r. </w:t>
      </w:r>
      <w:r w:rsidRPr="0064087E">
        <w:rPr>
          <w:rFonts w:ascii="Arial" w:hAnsi="Arial" w:cs="Arial"/>
        </w:rPr>
        <w:t>wzrósł do poziomu 189,3%, po czym w kolejnych latach znowu spadł do 170,3%</w:t>
      </w:r>
      <w:r w:rsidR="006C1852" w:rsidRPr="0064087E">
        <w:rPr>
          <w:rFonts w:ascii="Arial" w:hAnsi="Arial" w:cs="Arial"/>
        </w:rPr>
        <w:t xml:space="preserve"> w 2021 r</w:t>
      </w:r>
      <w:r w:rsidRPr="0064087E">
        <w:rPr>
          <w:rFonts w:ascii="Arial" w:hAnsi="Arial" w:cs="Arial"/>
        </w:rPr>
        <w:t>. Wartość wskaźnika dla województwa podkarpackiego wahała się w przedziale od 159,2% do 167,4%. Natomiast w kraju wskaźnik najpierw spadł z 147,8% w 2017 r. do 143,6% w 2018 r.</w:t>
      </w:r>
      <w:r w:rsidR="005176B3" w:rsidRPr="0064087E">
        <w:rPr>
          <w:rFonts w:ascii="Arial" w:hAnsi="Arial" w:cs="Arial"/>
        </w:rPr>
        <w:t>,</w:t>
      </w:r>
      <w:r w:rsidRPr="0064087E">
        <w:rPr>
          <w:rFonts w:ascii="Arial" w:hAnsi="Arial" w:cs="Arial"/>
        </w:rPr>
        <w:t xml:space="preserve"> </w:t>
      </w:r>
      <w:r w:rsidR="007F75E6">
        <w:rPr>
          <w:rFonts w:ascii="Arial" w:hAnsi="Arial" w:cs="Arial"/>
        </w:rPr>
        <w:br/>
      </w:r>
      <w:r w:rsidRPr="0064087E">
        <w:rPr>
          <w:rFonts w:ascii="Arial" w:hAnsi="Arial" w:cs="Arial"/>
        </w:rPr>
        <w:t>a następnie w kolejnych latach wzrastał do poziomu 153,1</w:t>
      </w:r>
      <w:r w:rsidR="006C1852" w:rsidRPr="0064087E">
        <w:rPr>
          <w:rFonts w:ascii="Arial" w:hAnsi="Arial" w:cs="Arial"/>
        </w:rPr>
        <w:t>%</w:t>
      </w:r>
      <w:r w:rsidRPr="0064087E">
        <w:rPr>
          <w:rFonts w:ascii="Arial" w:hAnsi="Arial" w:cs="Arial"/>
        </w:rPr>
        <w:t xml:space="preserve"> w 2021 r.</w:t>
      </w:r>
    </w:p>
    <w:p w:rsidR="006D1A0B" w:rsidRDefault="004E0E99" w:rsidP="007F75E6">
      <w:pPr>
        <w:widowControl/>
        <w:autoSpaceDE/>
        <w:autoSpaceDN/>
        <w:spacing w:after="120" w:line="276" w:lineRule="auto"/>
        <w:rPr>
          <w:rFonts w:ascii="Arial" w:hAnsi="Arial" w:cs="Arial"/>
        </w:rPr>
      </w:pPr>
      <w:r w:rsidRPr="0064087E">
        <w:rPr>
          <w:rFonts w:ascii="Arial" w:hAnsi="Arial" w:cs="Arial"/>
        </w:rPr>
        <w:t xml:space="preserve">Przeciętne zatrudnienie w sektorze motoryzacyjnym rosło w latach 2018-2019, natomiast </w:t>
      </w:r>
      <w:r w:rsidRPr="0064087E">
        <w:rPr>
          <w:rFonts w:ascii="Arial" w:hAnsi="Arial" w:cs="Arial"/>
        </w:rPr>
        <w:br/>
        <w:t xml:space="preserve">w 2020 r. spadło w porównaniu z poprzednim rokiem. W województwie po wzroście w  2018 r. w kolejnych dwóch latach zanotowano spadek, natomiast w 2021 r. zarówno w </w:t>
      </w:r>
      <w:r w:rsidR="006C1852" w:rsidRPr="0064087E">
        <w:rPr>
          <w:rFonts w:ascii="Arial" w:hAnsi="Arial" w:cs="Arial"/>
        </w:rPr>
        <w:t xml:space="preserve">sektorze </w:t>
      </w:r>
      <w:r w:rsidRPr="0064087E">
        <w:rPr>
          <w:rFonts w:ascii="Arial" w:hAnsi="Arial" w:cs="Arial"/>
        </w:rPr>
        <w:t>motoryzac</w:t>
      </w:r>
      <w:r w:rsidR="006C1852" w:rsidRPr="0064087E">
        <w:rPr>
          <w:rFonts w:ascii="Arial" w:hAnsi="Arial" w:cs="Arial"/>
        </w:rPr>
        <w:t>yjnym</w:t>
      </w:r>
      <w:r w:rsidRPr="0064087E">
        <w:rPr>
          <w:rFonts w:ascii="Arial" w:hAnsi="Arial" w:cs="Arial"/>
        </w:rPr>
        <w:t>, jak i ogółem dla województwa zatrudnienie wzrosło odpowiednio o 3</w:t>
      </w:r>
      <w:r w:rsidR="006C1852" w:rsidRPr="0064087E">
        <w:rPr>
          <w:rFonts w:ascii="Arial" w:hAnsi="Arial" w:cs="Arial"/>
        </w:rPr>
        <w:t>,0</w:t>
      </w:r>
      <w:r w:rsidRPr="0064087E">
        <w:rPr>
          <w:rFonts w:ascii="Arial" w:hAnsi="Arial" w:cs="Arial"/>
        </w:rPr>
        <w:t xml:space="preserve">% </w:t>
      </w:r>
      <w:r w:rsidR="00831718" w:rsidRPr="0064087E">
        <w:rPr>
          <w:rFonts w:ascii="Arial" w:hAnsi="Arial" w:cs="Arial"/>
        </w:rPr>
        <w:br/>
      </w:r>
      <w:r w:rsidRPr="0064087E">
        <w:rPr>
          <w:rFonts w:ascii="Arial" w:hAnsi="Arial" w:cs="Arial"/>
        </w:rPr>
        <w:t>i o 0,8% w stosunku do roku poprzedniego.</w:t>
      </w:r>
    </w:p>
    <w:p w:rsidR="006D1A0B" w:rsidRDefault="006D1A0B" w:rsidP="007F75E6">
      <w:pPr>
        <w:widowControl/>
        <w:autoSpaceDE/>
        <w:autoSpaceDN/>
        <w:spacing w:after="160" w:line="259" w:lineRule="auto"/>
        <w:rPr>
          <w:rFonts w:ascii="Arial" w:hAnsi="Arial" w:cs="Arial"/>
        </w:rPr>
      </w:pPr>
      <w:r>
        <w:rPr>
          <w:rFonts w:ascii="Arial" w:hAnsi="Arial" w:cs="Arial"/>
        </w:rPr>
        <w:br w:type="page"/>
      </w:r>
    </w:p>
    <w:p w:rsidR="004E0E99" w:rsidRPr="0064087E" w:rsidRDefault="004E0E99" w:rsidP="007F75E6">
      <w:pPr>
        <w:pStyle w:val="Legenda"/>
        <w:keepNext/>
        <w:spacing w:after="120" w:line="276" w:lineRule="auto"/>
        <w:rPr>
          <w:rFonts w:ascii="Arial" w:hAnsi="Arial" w:cs="Arial"/>
          <w:i w:val="0"/>
          <w:color w:val="auto"/>
          <w:sz w:val="22"/>
          <w:szCs w:val="22"/>
        </w:rPr>
      </w:pPr>
      <w:bookmarkStart w:id="42" w:name="_Toc160793532"/>
      <w:r w:rsidRPr="0064087E">
        <w:rPr>
          <w:rFonts w:ascii="Arial" w:hAnsi="Arial" w:cs="Arial"/>
          <w:b/>
          <w:i w:val="0"/>
          <w:color w:val="auto"/>
          <w:sz w:val="22"/>
          <w:szCs w:val="22"/>
        </w:rPr>
        <w:lastRenderedPageBreak/>
        <w:t xml:space="preserve">Wykres </w:t>
      </w:r>
      <w:r w:rsidR="005922CE">
        <w:rPr>
          <w:rFonts w:ascii="Arial" w:hAnsi="Arial" w:cs="Arial"/>
          <w:b/>
          <w:i w:val="0"/>
          <w:color w:val="auto"/>
          <w:sz w:val="22"/>
          <w:szCs w:val="22"/>
        </w:rPr>
        <w:fldChar w:fldCharType="begin"/>
      </w:r>
      <w:r w:rsidR="005922CE">
        <w:rPr>
          <w:rFonts w:ascii="Arial" w:hAnsi="Arial" w:cs="Arial"/>
          <w:b/>
          <w:i w:val="0"/>
          <w:color w:val="auto"/>
          <w:sz w:val="22"/>
          <w:szCs w:val="22"/>
        </w:rPr>
        <w:instrText xml:space="preserve"> SEQ Wykres \* ARABIC </w:instrText>
      </w:r>
      <w:r w:rsidR="005922CE">
        <w:rPr>
          <w:rFonts w:ascii="Arial" w:hAnsi="Arial" w:cs="Arial"/>
          <w:b/>
          <w:i w:val="0"/>
          <w:color w:val="auto"/>
          <w:sz w:val="22"/>
          <w:szCs w:val="22"/>
        </w:rPr>
        <w:fldChar w:fldCharType="separate"/>
      </w:r>
      <w:r w:rsidR="00884DAD">
        <w:rPr>
          <w:rFonts w:ascii="Arial" w:hAnsi="Arial" w:cs="Arial"/>
          <w:b/>
          <w:i w:val="0"/>
          <w:noProof/>
          <w:color w:val="auto"/>
          <w:sz w:val="22"/>
          <w:szCs w:val="22"/>
        </w:rPr>
        <w:t>26</w:t>
      </w:r>
      <w:r w:rsidR="005922CE">
        <w:rPr>
          <w:rFonts w:ascii="Arial" w:hAnsi="Arial" w:cs="Arial"/>
          <w:b/>
          <w:i w:val="0"/>
          <w:color w:val="auto"/>
          <w:sz w:val="22"/>
          <w:szCs w:val="22"/>
        </w:rPr>
        <w:fldChar w:fldCharType="end"/>
      </w:r>
      <w:r w:rsidR="00DA1871">
        <w:rPr>
          <w:rFonts w:ascii="Arial" w:hAnsi="Arial" w:cs="Arial"/>
          <w:b/>
          <w:i w:val="0"/>
          <w:color w:val="auto"/>
          <w:sz w:val="22"/>
          <w:szCs w:val="22"/>
        </w:rPr>
        <w:t>.</w:t>
      </w:r>
      <w:r w:rsidRPr="0064087E">
        <w:rPr>
          <w:rFonts w:ascii="Arial" w:hAnsi="Arial" w:cs="Arial"/>
          <w:i w:val="0"/>
          <w:color w:val="auto"/>
          <w:sz w:val="22"/>
          <w:szCs w:val="22"/>
        </w:rPr>
        <w:t xml:space="preserve"> Dynamika przeciętnego zatrudnienia (rok poprzedni=100) </w:t>
      </w:r>
      <w:r w:rsidR="00275B1D" w:rsidRPr="0064087E">
        <w:rPr>
          <w:rFonts w:ascii="Arial" w:hAnsi="Arial" w:cs="Arial"/>
          <w:i w:val="0"/>
          <w:color w:val="auto"/>
          <w:sz w:val="22"/>
          <w:szCs w:val="22"/>
        </w:rPr>
        <w:t>w</w:t>
      </w:r>
      <w:r w:rsidR="00140E8D">
        <w:rPr>
          <w:rFonts w:ascii="Arial" w:hAnsi="Arial" w:cs="Arial"/>
          <w:i w:val="0"/>
          <w:color w:val="auto"/>
          <w:sz w:val="22"/>
          <w:szCs w:val="22"/>
        </w:rPr>
        <w:t xml:space="preserve"> województwie podkarpackim oraz</w:t>
      </w:r>
      <w:r w:rsidR="00275B1D" w:rsidRPr="0064087E">
        <w:rPr>
          <w:rFonts w:ascii="Arial" w:hAnsi="Arial" w:cs="Arial"/>
          <w:i w:val="0"/>
          <w:color w:val="auto"/>
          <w:sz w:val="22"/>
          <w:szCs w:val="22"/>
        </w:rPr>
        <w:t xml:space="preserve"> branży motoryzacyjnej </w:t>
      </w:r>
      <w:r w:rsidRPr="0064087E">
        <w:rPr>
          <w:rFonts w:ascii="Arial" w:hAnsi="Arial" w:cs="Arial"/>
          <w:i w:val="0"/>
          <w:color w:val="auto"/>
          <w:sz w:val="22"/>
          <w:szCs w:val="22"/>
        </w:rPr>
        <w:t>w latach 2018-2021</w:t>
      </w:r>
      <w:bookmarkEnd w:id="42"/>
    </w:p>
    <w:p w:rsidR="004E0E99" w:rsidRPr="0064087E" w:rsidRDefault="004E0E99" w:rsidP="00B82BC4">
      <w:pPr>
        <w:widowControl/>
        <w:autoSpaceDE/>
        <w:autoSpaceDN/>
        <w:spacing w:after="120" w:line="276" w:lineRule="auto"/>
        <w:jc w:val="center"/>
        <w:rPr>
          <w:rFonts w:ascii="Arial" w:hAnsi="Arial" w:cs="Arial"/>
        </w:rPr>
      </w:pPr>
      <w:r w:rsidRPr="0064087E">
        <w:rPr>
          <w:noProof/>
          <w:lang w:eastAsia="pl-PL"/>
        </w:rPr>
        <w:drawing>
          <wp:inline distT="0" distB="0" distL="0" distR="0" wp14:anchorId="3F567002" wp14:editId="7213C0FC">
            <wp:extent cx="5219700" cy="2457450"/>
            <wp:effectExtent l="0" t="0" r="0" b="0"/>
            <wp:docPr id="1875" name="Wykres 1875" descr="Wykres kolumnowy w tym dane województwo podkarpackie: 103,7 w 2018, 99,8 w 2019, 94,0 w 2020, 100,8 w 2021. Sektor motoryzacyjny: 106,2 w 2018, 102,1 w 2019, 94,0 w 2020, 103,0 w 2021">
              <a:extLst xmlns:a="http://schemas.openxmlformats.org/drawingml/2006/main">
                <a:ext uri="{FF2B5EF4-FFF2-40B4-BE49-F238E27FC236}">
                  <a16:creationId xmlns:a16="http://schemas.microsoft.com/office/drawing/2014/main" id="{278D0F57-114A-4E6D-B3F9-407211F310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911B4" w:rsidRPr="0064087E" w:rsidRDefault="004E0E99" w:rsidP="007A1D01">
      <w:pPr>
        <w:widowControl/>
        <w:autoSpaceDE/>
        <w:autoSpaceDN/>
        <w:spacing w:after="120" w:line="276" w:lineRule="auto"/>
        <w:jc w:val="center"/>
        <w:rPr>
          <w:rFonts w:ascii="Arial" w:hAnsi="Arial" w:cs="Arial"/>
        </w:rPr>
      </w:pPr>
      <w:r w:rsidRPr="0064087E">
        <w:rPr>
          <w:rFonts w:ascii="Arial" w:hAnsi="Arial" w:cs="Arial"/>
        </w:rPr>
        <w:t xml:space="preserve">Źródło: </w:t>
      </w:r>
      <w:r w:rsidR="00FA262C" w:rsidRPr="0064087E">
        <w:rPr>
          <w:rFonts w:ascii="Arial" w:hAnsi="Arial" w:cs="Arial"/>
        </w:rPr>
        <w:t>Opracowanie własne na podstawie danych GUS</w:t>
      </w:r>
      <w:r w:rsidRPr="0064087E">
        <w:rPr>
          <w:rFonts w:ascii="Arial" w:hAnsi="Arial" w:cs="Arial"/>
        </w:rPr>
        <w:t>.</w:t>
      </w:r>
    </w:p>
    <w:p w:rsidR="004E0E99" w:rsidRPr="0064087E" w:rsidRDefault="004E0E99" w:rsidP="007F75E6">
      <w:pPr>
        <w:widowControl/>
        <w:autoSpaceDE/>
        <w:autoSpaceDN/>
        <w:spacing w:after="120" w:line="276" w:lineRule="auto"/>
        <w:rPr>
          <w:rFonts w:ascii="Arial" w:hAnsi="Arial" w:cs="Arial"/>
        </w:rPr>
      </w:pPr>
      <w:r w:rsidRPr="0064087E">
        <w:rPr>
          <w:rFonts w:ascii="Arial" w:hAnsi="Arial" w:cs="Arial"/>
        </w:rPr>
        <w:t>Do analizy sektora motoryzacyjnego</w:t>
      </w:r>
      <w:r w:rsidRPr="0064087E">
        <w:rPr>
          <w:rStyle w:val="Odwoanieprzypisudolnego"/>
          <w:rFonts w:ascii="Arial" w:hAnsi="Arial" w:cs="Arial"/>
        </w:rPr>
        <w:footnoteReference w:id="21"/>
      </w:r>
      <w:r w:rsidRPr="0064087E">
        <w:rPr>
          <w:rFonts w:ascii="Arial" w:hAnsi="Arial" w:cs="Arial"/>
        </w:rPr>
        <w:t xml:space="preserve"> wybrano również dwie cechy, które obrazują stan </w:t>
      </w:r>
      <w:r w:rsidRPr="0064087E">
        <w:rPr>
          <w:rFonts w:ascii="Arial" w:hAnsi="Arial" w:cs="Arial"/>
        </w:rPr>
        <w:br/>
        <w:t>i kondycję handlu w tych jednostkach w okresie od 2017 r. do 2021 r.:</w:t>
      </w:r>
    </w:p>
    <w:p w:rsidR="004E0E99" w:rsidRPr="0064087E" w:rsidRDefault="004E0E99" w:rsidP="007F75E6">
      <w:pPr>
        <w:pStyle w:val="Akapitzlist"/>
        <w:widowControl/>
        <w:numPr>
          <w:ilvl w:val="0"/>
          <w:numId w:val="12"/>
        </w:numPr>
        <w:autoSpaceDE/>
        <w:autoSpaceDN/>
        <w:spacing w:after="120" w:line="276" w:lineRule="auto"/>
        <w:ind w:left="697" w:hanging="340"/>
        <w:rPr>
          <w:rFonts w:ascii="Arial" w:hAnsi="Arial" w:cs="Arial"/>
        </w:rPr>
      </w:pPr>
      <w:r w:rsidRPr="0064087E">
        <w:rPr>
          <w:rFonts w:ascii="Arial" w:hAnsi="Arial" w:cs="Arial"/>
        </w:rPr>
        <w:t>sprzedaż detaliczną,</w:t>
      </w:r>
    </w:p>
    <w:p w:rsidR="004E0E99" w:rsidRPr="0064087E" w:rsidRDefault="004E0E99" w:rsidP="007F75E6">
      <w:pPr>
        <w:pStyle w:val="Akapitzlist"/>
        <w:widowControl/>
        <w:numPr>
          <w:ilvl w:val="0"/>
          <w:numId w:val="12"/>
        </w:numPr>
        <w:autoSpaceDE/>
        <w:autoSpaceDN/>
        <w:spacing w:after="120" w:line="276" w:lineRule="auto"/>
        <w:ind w:left="697" w:hanging="340"/>
        <w:rPr>
          <w:rFonts w:ascii="Arial" w:hAnsi="Arial" w:cs="Arial"/>
        </w:rPr>
      </w:pPr>
      <w:r w:rsidRPr="0064087E">
        <w:rPr>
          <w:rFonts w:ascii="Arial" w:hAnsi="Arial" w:cs="Arial"/>
        </w:rPr>
        <w:t>sprzedaż hurtową.</w:t>
      </w:r>
    </w:p>
    <w:p w:rsidR="004E0E99" w:rsidRPr="0064087E" w:rsidRDefault="004E0E99" w:rsidP="007F75E6">
      <w:pPr>
        <w:widowControl/>
        <w:autoSpaceDE/>
        <w:autoSpaceDN/>
        <w:spacing w:after="120" w:line="276" w:lineRule="auto"/>
        <w:rPr>
          <w:rFonts w:ascii="Arial" w:hAnsi="Arial" w:cs="Arial"/>
        </w:rPr>
      </w:pPr>
      <w:r w:rsidRPr="0064087E">
        <w:rPr>
          <w:rFonts w:ascii="Arial" w:hAnsi="Arial" w:cs="Arial"/>
        </w:rPr>
        <w:t xml:space="preserve">Dla każdej z tych cech zostały wyliczone dynamiki przy podstawie rok 2010=100. Wskaźniki dynamiki dla jednostek zaliczonych do sektora motoryzacyjnego zostały porównane ze wskaźnikami dla województwa podkarpackiego. Dynamiki sprzedaży detalicznej sektora motoryzacyjnego w odniesieniu do roku bazowego (2010=100) były wyższe w </w:t>
      </w:r>
      <w:r w:rsidR="00315515" w:rsidRPr="0064087E">
        <w:rPr>
          <w:rFonts w:ascii="Arial" w:hAnsi="Arial" w:cs="Arial"/>
        </w:rPr>
        <w:t xml:space="preserve">2019 r., 2020 r. i 2021 r. </w:t>
      </w:r>
      <w:r w:rsidRPr="0064087E">
        <w:rPr>
          <w:rFonts w:ascii="Arial" w:hAnsi="Arial" w:cs="Arial"/>
        </w:rPr>
        <w:t>w porównaniu z danymi wojewódzkimi, natomiast wskaźniki sprzedaży hurtowej we wszystkich analizowanych latach były zdecydowanie niższe niż dane wojewódzkie.</w:t>
      </w:r>
    </w:p>
    <w:p w:rsidR="004E0E99" w:rsidRPr="0064087E" w:rsidRDefault="004E0E99" w:rsidP="007F75E6">
      <w:pPr>
        <w:widowControl/>
        <w:autoSpaceDE/>
        <w:autoSpaceDN/>
        <w:spacing w:after="120" w:line="276" w:lineRule="auto"/>
        <w:rPr>
          <w:rFonts w:ascii="Arial" w:hAnsi="Arial" w:cs="Arial"/>
        </w:rPr>
      </w:pPr>
      <w:r w:rsidRPr="0064087E">
        <w:rPr>
          <w:rFonts w:ascii="Arial" w:hAnsi="Arial" w:cs="Arial"/>
        </w:rPr>
        <w:t>W badanym okresie sprzedaż detaliczna sektora motoryzacyjnego przy podstawie rok poprzedni=100 wykazywała tendencję zmienną. W 2017 r. sprzedaż detaliczna zmniejszyła się o prawie 20% w porównaniu z 2016 r., a w 2018 r. wzrosła</w:t>
      </w:r>
      <w:r w:rsidR="00E97FA5" w:rsidRPr="0064087E">
        <w:rPr>
          <w:rFonts w:ascii="Arial" w:hAnsi="Arial" w:cs="Arial"/>
        </w:rPr>
        <w:t xml:space="preserve"> </w:t>
      </w:r>
      <w:r w:rsidRPr="0064087E">
        <w:rPr>
          <w:rFonts w:ascii="Arial" w:hAnsi="Arial" w:cs="Arial"/>
        </w:rPr>
        <w:t xml:space="preserve">o 2,6% w porównaniu </w:t>
      </w:r>
      <w:r w:rsidR="007F75E6">
        <w:rPr>
          <w:rFonts w:ascii="Arial" w:hAnsi="Arial" w:cs="Arial"/>
        </w:rPr>
        <w:br/>
      </w:r>
      <w:r w:rsidRPr="0064087E">
        <w:rPr>
          <w:rFonts w:ascii="Arial" w:hAnsi="Arial" w:cs="Arial"/>
        </w:rPr>
        <w:t xml:space="preserve">z ubiegłym rokiem. Następnie w 2019 r. wzrosła o 34,3% i osiągnęła najwyższy poziom spośród analizowanych lat. W 2020 r. zmniejszyła się o 4,3%, a w 2021 r. zwiększyła się </w:t>
      </w:r>
      <w:r w:rsidR="007F75E6">
        <w:rPr>
          <w:rFonts w:ascii="Arial" w:hAnsi="Arial" w:cs="Arial"/>
        </w:rPr>
        <w:br/>
      </w:r>
      <w:r w:rsidRPr="0064087E">
        <w:rPr>
          <w:rFonts w:ascii="Arial" w:hAnsi="Arial" w:cs="Arial"/>
        </w:rPr>
        <w:t xml:space="preserve">o 16,3%. W województwie podkarpackim dynamika sprzedaży detalicznej wykazywała także tendencję zmienną. W 2017 r. sprzedaż detaliczna zmniejszyła się o 2,8% w porównaniu </w:t>
      </w:r>
      <w:r w:rsidR="007F75E6">
        <w:rPr>
          <w:rFonts w:ascii="Arial" w:hAnsi="Arial" w:cs="Arial"/>
        </w:rPr>
        <w:br/>
      </w:r>
      <w:r w:rsidRPr="0064087E">
        <w:rPr>
          <w:rFonts w:ascii="Arial" w:hAnsi="Arial" w:cs="Arial"/>
        </w:rPr>
        <w:t>z 2016 r., a w 2018 r. wzrosła</w:t>
      </w:r>
      <w:r w:rsidR="00E97FA5" w:rsidRPr="0064087E">
        <w:rPr>
          <w:rFonts w:ascii="Arial" w:hAnsi="Arial" w:cs="Arial"/>
        </w:rPr>
        <w:t xml:space="preserve"> </w:t>
      </w:r>
      <w:r w:rsidRPr="0064087E">
        <w:rPr>
          <w:rFonts w:ascii="Arial" w:hAnsi="Arial" w:cs="Arial"/>
        </w:rPr>
        <w:t>o 8,2% w porównaniu z ubiegłym rokiem. Następnie w 2019 r. wzrosła o 7,7%. W 2020 r. zmniejszyła się o 10,2%, a w 2021 r. zwiększyła się o 13,1%.</w:t>
      </w:r>
    </w:p>
    <w:p w:rsidR="00275B1D" w:rsidRPr="0064087E" w:rsidRDefault="004E0E99" w:rsidP="007F75E6">
      <w:pPr>
        <w:widowControl/>
        <w:autoSpaceDE/>
        <w:autoSpaceDN/>
        <w:spacing w:after="120" w:line="276" w:lineRule="auto"/>
        <w:rPr>
          <w:rFonts w:ascii="Arial" w:hAnsi="Arial" w:cs="Arial"/>
        </w:rPr>
      </w:pPr>
      <w:r w:rsidRPr="0064087E">
        <w:rPr>
          <w:rFonts w:ascii="Arial" w:hAnsi="Arial" w:cs="Arial"/>
        </w:rPr>
        <w:t xml:space="preserve">W latach 2017-2021 sprzedaż detaliczna zarówno w województwie, jak i w sektorze motoryzacyjnym przy podstawie rok 2010=100 wykazywała tendencję wzrostową. </w:t>
      </w:r>
      <w:r w:rsidRPr="0064087E">
        <w:rPr>
          <w:rFonts w:ascii="Arial" w:hAnsi="Arial" w:cs="Arial"/>
        </w:rPr>
        <w:br/>
        <w:t xml:space="preserve">W omawianym sektorze </w:t>
      </w:r>
      <w:r w:rsidR="00A523A8" w:rsidRPr="0064087E">
        <w:rPr>
          <w:rFonts w:ascii="Arial" w:hAnsi="Arial" w:cs="Arial"/>
        </w:rPr>
        <w:t xml:space="preserve">motoryzacyjnym </w:t>
      </w:r>
      <w:r w:rsidRPr="0064087E">
        <w:rPr>
          <w:rFonts w:ascii="Arial" w:hAnsi="Arial" w:cs="Arial"/>
        </w:rPr>
        <w:t xml:space="preserve">najwyższy poziom sprzedaż detaliczna osiągnęła </w:t>
      </w:r>
      <w:r w:rsidR="00A523A8" w:rsidRPr="0064087E">
        <w:rPr>
          <w:rFonts w:ascii="Arial" w:hAnsi="Arial" w:cs="Arial"/>
        </w:rPr>
        <w:br/>
      </w:r>
      <w:r w:rsidRPr="0064087E">
        <w:rPr>
          <w:rFonts w:ascii="Arial" w:hAnsi="Arial" w:cs="Arial"/>
        </w:rPr>
        <w:lastRenderedPageBreak/>
        <w:t xml:space="preserve">w 2021 r. – wzrost o 87,7%, natomiast w województwie </w:t>
      </w:r>
      <w:r w:rsidR="00A523A8" w:rsidRPr="0064087E">
        <w:rPr>
          <w:rFonts w:ascii="Arial" w:hAnsi="Arial" w:cs="Arial"/>
        </w:rPr>
        <w:t>podkarpackim najwyższy wzrost osiągnęła</w:t>
      </w:r>
      <w:r w:rsidRPr="0064087E">
        <w:rPr>
          <w:rFonts w:ascii="Arial" w:hAnsi="Arial" w:cs="Arial"/>
        </w:rPr>
        <w:t xml:space="preserve"> także w 2021 r. – wzrost o 55,9%.</w:t>
      </w:r>
    </w:p>
    <w:p w:rsidR="00F00713" w:rsidRPr="0064087E" w:rsidRDefault="00F00713" w:rsidP="007F75E6">
      <w:pPr>
        <w:pStyle w:val="Legenda"/>
        <w:keepNext/>
        <w:spacing w:after="120" w:line="276" w:lineRule="auto"/>
        <w:rPr>
          <w:rFonts w:ascii="Arial" w:hAnsi="Arial" w:cs="Arial"/>
          <w:i w:val="0"/>
          <w:color w:val="auto"/>
          <w:sz w:val="22"/>
          <w:szCs w:val="22"/>
        </w:rPr>
      </w:pPr>
      <w:bookmarkStart w:id="43" w:name="_Toc160793533"/>
      <w:r w:rsidRPr="0064087E">
        <w:rPr>
          <w:rFonts w:ascii="Arial" w:hAnsi="Arial" w:cs="Arial"/>
          <w:b/>
          <w:i w:val="0"/>
          <w:color w:val="auto"/>
          <w:sz w:val="22"/>
          <w:szCs w:val="22"/>
        </w:rPr>
        <w:t xml:space="preserve">Wykres </w:t>
      </w:r>
      <w:r w:rsidR="005922CE">
        <w:rPr>
          <w:rFonts w:ascii="Arial" w:hAnsi="Arial" w:cs="Arial"/>
          <w:b/>
          <w:i w:val="0"/>
          <w:color w:val="auto"/>
          <w:sz w:val="22"/>
          <w:szCs w:val="22"/>
        </w:rPr>
        <w:fldChar w:fldCharType="begin"/>
      </w:r>
      <w:r w:rsidR="005922CE">
        <w:rPr>
          <w:rFonts w:ascii="Arial" w:hAnsi="Arial" w:cs="Arial"/>
          <w:b/>
          <w:i w:val="0"/>
          <w:color w:val="auto"/>
          <w:sz w:val="22"/>
          <w:szCs w:val="22"/>
        </w:rPr>
        <w:instrText xml:space="preserve"> SEQ Wykres \* ARABIC </w:instrText>
      </w:r>
      <w:r w:rsidR="005922CE">
        <w:rPr>
          <w:rFonts w:ascii="Arial" w:hAnsi="Arial" w:cs="Arial"/>
          <w:b/>
          <w:i w:val="0"/>
          <w:color w:val="auto"/>
          <w:sz w:val="22"/>
          <w:szCs w:val="22"/>
        </w:rPr>
        <w:fldChar w:fldCharType="separate"/>
      </w:r>
      <w:r w:rsidR="00884DAD">
        <w:rPr>
          <w:rFonts w:ascii="Arial" w:hAnsi="Arial" w:cs="Arial"/>
          <w:b/>
          <w:i w:val="0"/>
          <w:noProof/>
          <w:color w:val="auto"/>
          <w:sz w:val="22"/>
          <w:szCs w:val="22"/>
        </w:rPr>
        <w:t>27</w:t>
      </w:r>
      <w:r w:rsidR="005922CE">
        <w:rPr>
          <w:rFonts w:ascii="Arial" w:hAnsi="Arial" w:cs="Arial"/>
          <w:b/>
          <w:i w:val="0"/>
          <w:color w:val="auto"/>
          <w:sz w:val="22"/>
          <w:szCs w:val="22"/>
        </w:rPr>
        <w:fldChar w:fldCharType="end"/>
      </w:r>
      <w:r w:rsidR="00315515" w:rsidRPr="0064087E">
        <w:rPr>
          <w:rFonts w:ascii="Arial" w:hAnsi="Arial" w:cs="Arial"/>
          <w:b/>
          <w:i w:val="0"/>
          <w:color w:val="auto"/>
          <w:sz w:val="22"/>
          <w:szCs w:val="22"/>
        </w:rPr>
        <w:t>.</w:t>
      </w:r>
      <w:r w:rsidRPr="0064087E">
        <w:rPr>
          <w:rFonts w:ascii="Arial" w:hAnsi="Arial" w:cs="Arial"/>
          <w:i w:val="0"/>
          <w:color w:val="auto"/>
          <w:sz w:val="22"/>
          <w:szCs w:val="22"/>
        </w:rPr>
        <w:t xml:space="preserve"> Dynamika sprzedaży detalicznej (2010=100) </w:t>
      </w:r>
      <w:r w:rsidR="00275B1D" w:rsidRPr="0064087E">
        <w:rPr>
          <w:rFonts w:ascii="Arial" w:hAnsi="Arial" w:cs="Arial"/>
          <w:i w:val="0"/>
          <w:color w:val="auto"/>
          <w:sz w:val="22"/>
          <w:szCs w:val="22"/>
        </w:rPr>
        <w:t xml:space="preserve">w </w:t>
      </w:r>
      <w:r w:rsidR="00140E8D">
        <w:rPr>
          <w:rFonts w:ascii="Arial" w:hAnsi="Arial" w:cs="Arial"/>
          <w:i w:val="0"/>
          <w:color w:val="auto"/>
          <w:sz w:val="22"/>
          <w:szCs w:val="22"/>
        </w:rPr>
        <w:t xml:space="preserve">województwie podkarpackim oraz </w:t>
      </w:r>
      <w:r w:rsidR="00275B1D" w:rsidRPr="0064087E">
        <w:rPr>
          <w:rFonts w:ascii="Arial" w:hAnsi="Arial" w:cs="Arial"/>
          <w:i w:val="0"/>
          <w:color w:val="auto"/>
          <w:sz w:val="22"/>
          <w:szCs w:val="22"/>
        </w:rPr>
        <w:t xml:space="preserve">branży motoryzacyjnej </w:t>
      </w:r>
      <w:r w:rsidRPr="0064087E">
        <w:rPr>
          <w:rFonts w:ascii="Arial" w:hAnsi="Arial" w:cs="Arial"/>
          <w:i w:val="0"/>
          <w:color w:val="auto"/>
          <w:sz w:val="22"/>
          <w:szCs w:val="22"/>
        </w:rPr>
        <w:t>w latach 2017-2021</w:t>
      </w:r>
      <w:bookmarkEnd w:id="43"/>
    </w:p>
    <w:p w:rsidR="00F00713" w:rsidRPr="0064087E" w:rsidRDefault="00F00713" w:rsidP="00B82BC4">
      <w:pPr>
        <w:widowControl/>
        <w:autoSpaceDE/>
        <w:autoSpaceDN/>
        <w:spacing w:after="120" w:line="276" w:lineRule="auto"/>
        <w:jc w:val="center"/>
        <w:rPr>
          <w:rFonts w:ascii="Arial" w:hAnsi="Arial" w:cs="Arial"/>
        </w:rPr>
      </w:pPr>
      <w:r w:rsidRPr="0064087E">
        <w:rPr>
          <w:noProof/>
          <w:lang w:eastAsia="pl-PL"/>
        </w:rPr>
        <w:drawing>
          <wp:inline distT="0" distB="0" distL="0" distR="0" wp14:anchorId="7ADF6F97" wp14:editId="68C8F15C">
            <wp:extent cx="4882073" cy="1971924"/>
            <wp:effectExtent l="0" t="0" r="0" b="0"/>
            <wp:docPr id="85" name="Wykres 85" descr="Wykres kolumnowy w tym dane województwo podkarpackie: 131,7 w 2017, 142,5 w 2018, 153,5 w 2019, 137,8 w 2020, 155,9 w 2021. Sektor motoryzacyjny: 122,4 w 2017, 125,6 w 2018, 168,7 w 2019, 161,4 w 2020, 187,7 w 2021">
              <a:extLst xmlns:a="http://schemas.openxmlformats.org/drawingml/2006/main">
                <a:ext uri="{FF2B5EF4-FFF2-40B4-BE49-F238E27FC236}">
                  <a16:creationId xmlns:a16="http://schemas.microsoft.com/office/drawing/2014/main" id="{D8C98A33-C514-4190-A188-B369DD833B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00713" w:rsidRPr="0064087E" w:rsidRDefault="00F00713" w:rsidP="00315515">
      <w:pPr>
        <w:widowControl/>
        <w:autoSpaceDE/>
        <w:autoSpaceDN/>
        <w:spacing w:after="120" w:line="276" w:lineRule="auto"/>
        <w:jc w:val="center"/>
        <w:rPr>
          <w:rFonts w:ascii="Arial" w:hAnsi="Arial" w:cs="Arial"/>
        </w:rPr>
      </w:pPr>
      <w:r w:rsidRPr="0064087E">
        <w:rPr>
          <w:rFonts w:ascii="Arial" w:hAnsi="Arial" w:cs="Arial"/>
        </w:rPr>
        <w:t xml:space="preserve">Źródło: </w:t>
      </w:r>
      <w:r w:rsidR="004C103A" w:rsidRPr="0064087E">
        <w:rPr>
          <w:rFonts w:ascii="Arial" w:hAnsi="Arial" w:cs="Arial"/>
        </w:rPr>
        <w:t>Opracowanie własne na podstawie danych GUS</w:t>
      </w:r>
      <w:r w:rsidRPr="0064087E">
        <w:rPr>
          <w:rFonts w:ascii="Arial" w:hAnsi="Arial" w:cs="Arial"/>
        </w:rPr>
        <w:t>.</w:t>
      </w:r>
    </w:p>
    <w:p w:rsidR="00F00713" w:rsidRPr="0064087E" w:rsidRDefault="00F00713" w:rsidP="007F75E6">
      <w:pPr>
        <w:widowControl/>
        <w:autoSpaceDE/>
        <w:autoSpaceDN/>
        <w:spacing w:after="120" w:line="276" w:lineRule="auto"/>
        <w:rPr>
          <w:rFonts w:ascii="Arial" w:hAnsi="Arial" w:cs="Arial"/>
        </w:rPr>
      </w:pPr>
      <w:r w:rsidRPr="0064087E">
        <w:rPr>
          <w:rFonts w:ascii="Arial" w:hAnsi="Arial" w:cs="Arial"/>
        </w:rPr>
        <w:t>W analizowanym okresie dynamiki sprzedaży hurtowej sektora motoryzacyjnego były mniej korzystne niż wojewódzkie,</w:t>
      </w:r>
      <w:r w:rsidR="00E97FA5" w:rsidRPr="0064087E">
        <w:rPr>
          <w:rFonts w:ascii="Arial" w:hAnsi="Arial" w:cs="Arial"/>
        </w:rPr>
        <w:t xml:space="preserve"> </w:t>
      </w:r>
      <w:r w:rsidRPr="0064087E">
        <w:rPr>
          <w:rFonts w:ascii="Arial" w:hAnsi="Arial" w:cs="Arial"/>
        </w:rPr>
        <w:t>w odniesieniu do roku bazowego (2010=100).</w:t>
      </w:r>
      <w:r w:rsidR="007B3B0A" w:rsidRPr="0064087E">
        <w:rPr>
          <w:rFonts w:ascii="Arial" w:hAnsi="Arial" w:cs="Arial"/>
        </w:rPr>
        <w:t xml:space="preserve"> </w:t>
      </w:r>
      <w:r w:rsidRPr="0064087E">
        <w:rPr>
          <w:rFonts w:ascii="Arial" w:hAnsi="Arial" w:cs="Arial"/>
        </w:rPr>
        <w:t xml:space="preserve">W latach 2017-2021 sprzedaż hurtowa sektora motoryzacyjnego przy podstawie rok poprzedni=100 wykazywała tendencję zmienną. W 2017 r. i 2018 r. sprzedaż hurtowa w </w:t>
      </w:r>
      <w:r w:rsidR="0077037D" w:rsidRPr="0064087E">
        <w:rPr>
          <w:rFonts w:ascii="Arial" w:hAnsi="Arial" w:cs="Arial"/>
        </w:rPr>
        <w:t xml:space="preserve">porównaniu </w:t>
      </w:r>
      <w:r w:rsidR="007F75E6">
        <w:rPr>
          <w:rFonts w:ascii="Arial" w:hAnsi="Arial" w:cs="Arial"/>
        </w:rPr>
        <w:br/>
      </w:r>
      <w:r w:rsidR="0077037D" w:rsidRPr="0064087E">
        <w:rPr>
          <w:rFonts w:ascii="Arial" w:hAnsi="Arial" w:cs="Arial"/>
        </w:rPr>
        <w:t>z</w:t>
      </w:r>
      <w:r w:rsidR="008F1A03" w:rsidRPr="0064087E">
        <w:rPr>
          <w:rFonts w:ascii="Arial" w:hAnsi="Arial" w:cs="Arial"/>
        </w:rPr>
        <w:t xml:space="preserve"> </w:t>
      </w:r>
      <w:r w:rsidRPr="0064087E">
        <w:rPr>
          <w:rFonts w:ascii="Arial" w:hAnsi="Arial" w:cs="Arial"/>
        </w:rPr>
        <w:t xml:space="preserve">poprzednim okresem zwiększyła się (odpowiednio o 54,7% i o 9,2%). W latach 2019 i 2020 sprzedaż hurtowa omawianego sektora zmniejszyła się, a najwyższy poziom osiągnęła </w:t>
      </w:r>
      <w:r w:rsidR="007F75E6">
        <w:rPr>
          <w:rFonts w:ascii="Arial" w:hAnsi="Arial" w:cs="Arial"/>
        </w:rPr>
        <w:br/>
      </w:r>
      <w:r w:rsidRPr="0064087E">
        <w:rPr>
          <w:rFonts w:ascii="Arial" w:hAnsi="Arial" w:cs="Arial"/>
        </w:rPr>
        <w:t>w 2021 r. (wzrost o 73,3% w porównaniu z 2020 r.). W województwie podkarpackim sprzedaż hurtowa, w stosunku do ubiegłego roku, najbardziej wzrosła w 2017 r. (o 37,4%). W kolejnych latach także wzrosła (o 8,3% w 2018 r. i o 5,7% w 2019 r.) po czym</w:t>
      </w:r>
      <w:r w:rsidR="00E97FA5" w:rsidRPr="0064087E">
        <w:rPr>
          <w:rFonts w:ascii="Arial" w:hAnsi="Arial" w:cs="Arial"/>
        </w:rPr>
        <w:t xml:space="preserve"> </w:t>
      </w:r>
      <w:r w:rsidRPr="0064087E">
        <w:rPr>
          <w:rFonts w:ascii="Arial" w:hAnsi="Arial" w:cs="Arial"/>
        </w:rPr>
        <w:t>obniżyła się w 2020 r. o 15,2%. Następnie w 2021 r. zwiększyła się o 25,9%.</w:t>
      </w:r>
    </w:p>
    <w:p w:rsidR="006D1A0B" w:rsidRDefault="00F00713" w:rsidP="00DA4FE9">
      <w:pPr>
        <w:widowControl/>
        <w:autoSpaceDE/>
        <w:autoSpaceDN/>
        <w:spacing w:after="120" w:line="276" w:lineRule="auto"/>
        <w:rPr>
          <w:rFonts w:ascii="Arial" w:hAnsi="Arial" w:cs="Arial"/>
        </w:rPr>
      </w:pPr>
      <w:r w:rsidRPr="0064087E">
        <w:rPr>
          <w:rFonts w:ascii="Arial" w:hAnsi="Arial" w:cs="Arial"/>
        </w:rPr>
        <w:t>W badanym okresie sprzedaż hurtowa w sektorze motoryzacyjnym przy podstawie rok 2010=100</w:t>
      </w:r>
      <w:r w:rsidR="00E97FA5" w:rsidRPr="0064087E">
        <w:rPr>
          <w:rFonts w:ascii="Arial" w:hAnsi="Arial" w:cs="Arial"/>
        </w:rPr>
        <w:t xml:space="preserve"> </w:t>
      </w:r>
      <w:r w:rsidRPr="0064087E">
        <w:rPr>
          <w:rFonts w:ascii="Arial" w:hAnsi="Arial" w:cs="Arial"/>
        </w:rPr>
        <w:t xml:space="preserve">wykazywała tendencję wzrostową, z wyjątkiem 2020 r. gdzie odnotowano nieznaczny spadek o 0,6%. Najwyższy poziom sprzedaż hurtowa osiągnęła w 2021 r. – wzrost o 72,3%. </w:t>
      </w:r>
      <w:r w:rsidR="00D768DE" w:rsidRPr="0064087E">
        <w:rPr>
          <w:rFonts w:ascii="Arial" w:hAnsi="Arial" w:cs="Arial"/>
        </w:rPr>
        <w:t>Natomiast w województwie podkarpackim w latach 2017–2020 odnotowano ponad 2-krotne wzrosty w sprzedaży hurtowej, a w 2021 r. nawet nieco ponad 3-krotny wzrost.</w:t>
      </w:r>
    </w:p>
    <w:p w:rsidR="00F00713" w:rsidRPr="0064087E" w:rsidRDefault="00F00713" w:rsidP="007F75E6">
      <w:pPr>
        <w:pStyle w:val="Legenda"/>
        <w:keepNext/>
        <w:spacing w:after="120" w:line="276" w:lineRule="auto"/>
        <w:rPr>
          <w:rFonts w:ascii="Arial" w:hAnsi="Arial" w:cs="Arial"/>
          <w:i w:val="0"/>
          <w:color w:val="auto"/>
          <w:sz w:val="22"/>
          <w:szCs w:val="22"/>
        </w:rPr>
      </w:pPr>
      <w:bookmarkStart w:id="44" w:name="_Toc160793534"/>
      <w:r w:rsidRPr="0064087E">
        <w:rPr>
          <w:rFonts w:ascii="Arial" w:hAnsi="Arial" w:cs="Arial"/>
          <w:b/>
          <w:i w:val="0"/>
          <w:color w:val="auto"/>
          <w:sz w:val="22"/>
          <w:szCs w:val="22"/>
        </w:rPr>
        <w:t xml:space="preserve">Wykres </w:t>
      </w:r>
      <w:r w:rsidR="005922CE">
        <w:rPr>
          <w:rFonts w:ascii="Arial" w:hAnsi="Arial" w:cs="Arial"/>
          <w:b/>
          <w:i w:val="0"/>
          <w:color w:val="auto"/>
          <w:sz w:val="22"/>
          <w:szCs w:val="22"/>
        </w:rPr>
        <w:fldChar w:fldCharType="begin"/>
      </w:r>
      <w:r w:rsidR="005922CE">
        <w:rPr>
          <w:rFonts w:ascii="Arial" w:hAnsi="Arial" w:cs="Arial"/>
          <w:b/>
          <w:i w:val="0"/>
          <w:color w:val="auto"/>
          <w:sz w:val="22"/>
          <w:szCs w:val="22"/>
        </w:rPr>
        <w:instrText xml:space="preserve"> SEQ Wykres \* ARABIC </w:instrText>
      </w:r>
      <w:r w:rsidR="005922CE">
        <w:rPr>
          <w:rFonts w:ascii="Arial" w:hAnsi="Arial" w:cs="Arial"/>
          <w:b/>
          <w:i w:val="0"/>
          <w:color w:val="auto"/>
          <w:sz w:val="22"/>
          <w:szCs w:val="22"/>
        </w:rPr>
        <w:fldChar w:fldCharType="separate"/>
      </w:r>
      <w:r w:rsidR="00884DAD">
        <w:rPr>
          <w:rFonts w:ascii="Arial" w:hAnsi="Arial" w:cs="Arial"/>
          <w:b/>
          <w:i w:val="0"/>
          <w:noProof/>
          <w:color w:val="auto"/>
          <w:sz w:val="22"/>
          <w:szCs w:val="22"/>
        </w:rPr>
        <w:t>28</w:t>
      </w:r>
      <w:r w:rsidR="005922CE">
        <w:rPr>
          <w:rFonts w:ascii="Arial" w:hAnsi="Arial" w:cs="Arial"/>
          <w:b/>
          <w:i w:val="0"/>
          <w:color w:val="auto"/>
          <w:sz w:val="22"/>
          <w:szCs w:val="22"/>
        </w:rPr>
        <w:fldChar w:fldCharType="end"/>
      </w:r>
      <w:r w:rsidR="00315515" w:rsidRPr="0064087E">
        <w:rPr>
          <w:rFonts w:ascii="Arial" w:hAnsi="Arial" w:cs="Arial"/>
          <w:b/>
          <w:i w:val="0"/>
          <w:color w:val="auto"/>
          <w:sz w:val="22"/>
          <w:szCs w:val="22"/>
        </w:rPr>
        <w:t>.</w:t>
      </w:r>
      <w:r w:rsidRPr="0064087E">
        <w:rPr>
          <w:rFonts w:ascii="Arial" w:hAnsi="Arial" w:cs="Arial"/>
          <w:i w:val="0"/>
          <w:color w:val="auto"/>
          <w:sz w:val="22"/>
          <w:szCs w:val="22"/>
        </w:rPr>
        <w:t xml:space="preserve"> Dynamika sprzedaży hurtowej (2010=100) </w:t>
      </w:r>
      <w:r w:rsidR="00275B1D" w:rsidRPr="0064087E">
        <w:rPr>
          <w:rFonts w:ascii="Arial" w:hAnsi="Arial" w:cs="Arial"/>
          <w:i w:val="0"/>
          <w:color w:val="auto"/>
          <w:sz w:val="22"/>
          <w:szCs w:val="22"/>
        </w:rPr>
        <w:t xml:space="preserve">w </w:t>
      </w:r>
      <w:r w:rsidR="00140E8D">
        <w:rPr>
          <w:rFonts w:ascii="Arial" w:hAnsi="Arial" w:cs="Arial"/>
          <w:i w:val="0"/>
          <w:color w:val="auto"/>
          <w:sz w:val="22"/>
          <w:szCs w:val="22"/>
        </w:rPr>
        <w:t xml:space="preserve">województwie podkarpackim oraz </w:t>
      </w:r>
      <w:r w:rsidR="00275B1D" w:rsidRPr="0064087E">
        <w:rPr>
          <w:rFonts w:ascii="Arial" w:hAnsi="Arial" w:cs="Arial"/>
          <w:i w:val="0"/>
          <w:color w:val="auto"/>
          <w:sz w:val="22"/>
          <w:szCs w:val="22"/>
        </w:rPr>
        <w:t xml:space="preserve">branży motoryzacyjnej </w:t>
      </w:r>
      <w:r w:rsidRPr="0064087E">
        <w:rPr>
          <w:rFonts w:ascii="Arial" w:hAnsi="Arial" w:cs="Arial"/>
          <w:i w:val="0"/>
          <w:color w:val="auto"/>
          <w:sz w:val="22"/>
          <w:szCs w:val="22"/>
        </w:rPr>
        <w:t>w latach 2017-2021</w:t>
      </w:r>
      <w:bookmarkEnd w:id="44"/>
    </w:p>
    <w:p w:rsidR="00F00713" w:rsidRPr="0064087E" w:rsidRDefault="00F00713" w:rsidP="00B82BC4">
      <w:pPr>
        <w:widowControl/>
        <w:autoSpaceDE/>
        <w:autoSpaceDN/>
        <w:spacing w:after="120" w:line="276" w:lineRule="auto"/>
        <w:jc w:val="center"/>
        <w:rPr>
          <w:rFonts w:ascii="Arial" w:hAnsi="Arial" w:cs="Arial"/>
        </w:rPr>
      </w:pPr>
      <w:r w:rsidRPr="0064087E">
        <w:rPr>
          <w:noProof/>
          <w:lang w:eastAsia="pl-PL"/>
        </w:rPr>
        <w:drawing>
          <wp:inline distT="0" distB="0" distL="0" distR="0" wp14:anchorId="7FE039D9" wp14:editId="58183B75">
            <wp:extent cx="4826221" cy="1836751"/>
            <wp:effectExtent l="0" t="0" r="0" b="0"/>
            <wp:docPr id="86" name="Wykres 86" descr="Wykres kolumnowy w tym dane województwo podkarpackie: 246,6 w 2017, 267,1 w 2018, 282,3 w 2019, 239,4 w 2020, 301,4 w 2021. Sektor motoryzacyjny: 106,3 w 2017, 116,1 w 2018, 110,8 w 2019, 99,4 w 2020, 1172,3 w 2021">
              <a:extLst xmlns:a="http://schemas.openxmlformats.org/drawingml/2006/main">
                <a:ext uri="{FF2B5EF4-FFF2-40B4-BE49-F238E27FC236}">
                  <a16:creationId xmlns:a16="http://schemas.microsoft.com/office/drawing/2014/main" id="{48B132AA-F22A-4C79-B5E8-120549E986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A3BB5" w:rsidRPr="0064087E" w:rsidRDefault="00AA3BB5" w:rsidP="00A564A3">
      <w:pPr>
        <w:widowControl/>
        <w:autoSpaceDE/>
        <w:autoSpaceDN/>
        <w:spacing w:after="120" w:line="276" w:lineRule="auto"/>
        <w:jc w:val="center"/>
        <w:rPr>
          <w:rFonts w:ascii="Arial" w:hAnsi="Arial" w:cs="Arial"/>
        </w:rPr>
      </w:pPr>
      <w:r w:rsidRPr="0064087E">
        <w:rPr>
          <w:rFonts w:ascii="Arial" w:hAnsi="Arial" w:cs="Arial"/>
        </w:rPr>
        <w:t xml:space="preserve">Źródło: </w:t>
      </w:r>
      <w:r w:rsidR="009D323A" w:rsidRPr="0064087E">
        <w:rPr>
          <w:rFonts w:ascii="Arial" w:hAnsi="Arial" w:cs="Arial"/>
        </w:rPr>
        <w:t>Opracowanie własne na podstawie danych GUS</w:t>
      </w:r>
      <w:r w:rsidRPr="0064087E">
        <w:rPr>
          <w:rFonts w:ascii="Arial" w:hAnsi="Arial" w:cs="Arial"/>
        </w:rPr>
        <w:t>.</w:t>
      </w:r>
    </w:p>
    <w:p w:rsidR="00187A7B" w:rsidRPr="0064087E" w:rsidRDefault="00187A7B" w:rsidP="007F75E6">
      <w:pPr>
        <w:pStyle w:val="Nagwek1"/>
        <w:numPr>
          <w:ilvl w:val="0"/>
          <w:numId w:val="1"/>
        </w:numPr>
        <w:ind w:left="357" w:hanging="357"/>
      </w:pPr>
      <w:bookmarkStart w:id="45" w:name="_Toc160793874"/>
      <w:r w:rsidRPr="0064087E">
        <w:lastRenderedPageBreak/>
        <w:t>Inteligentna specjalizacja – informacja i telekomunikacja</w:t>
      </w:r>
      <w:bookmarkEnd w:id="45"/>
    </w:p>
    <w:p w:rsidR="00187A7B" w:rsidRPr="0064087E" w:rsidRDefault="00187A7B" w:rsidP="007F75E6">
      <w:pPr>
        <w:pStyle w:val="Nagwek2"/>
        <w:numPr>
          <w:ilvl w:val="1"/>
          <w:numId w:val="1"/>
        </w:numPr>
        <w:ind w:left="357" w:hanging="357"/>
        <w:rPr>
          <w:b/>
          <w:color w:val="auto"/>
        </w:rPr>
      </w:pPr>
      <w:bookmarkStart w:id="46" w:name="_Toc160793875"/>
      <w:r w:rsidRPr="0064087E">
        <w:rPr>
          <w:b/>
          <w:color w:val="auto"/>
        </w:rPr>
        <w:t>Informacja i telekomunikacja w województwie podkarpackim – przesłanki wyboru specjalizacji regionalnej</w:t>
      </w:r>
      <w:bookmarkEnd w:id="46"/>
    </w:p>
    <w:p w:rsidR="00187A7B" w:rsidRPr="0064087E" w:rsidRDefault="00187A7B" w:rsidP="007F75E6">
      <w:pPr>
        <w:spacing w:after="120" w:line="276" w:lineRule="auto"/>
        <w:rPr>
          <w:rFonts w:ascii="Arial" w:hAnsi="Arial" w:cs="Arial"/>
        </w:rPr>
      </w:pPr>
      <w:r w:rsidRPr="0064087E">
        <w:rPr>
          <w:rFonts w:ascii="Arial" w:hAnsi="Arial" w:cs="Arial"/>
        </w:rPr>
        <w:t>Informacja i telekomunikacja (ICT) w Regionalnej Strategii Innowacji Województwa Podkarpackiego na lata 2021-2030 została wskazana jako specjalizacja o charakterze horyzontalnym, która ma wzmacniać poziom konkurencyjności i innowacyjności pozostałych specjalizacji. Jej głównym zadaniem jest wspomaganie rozwoju trzech pozostałych inteligentnych specjalizacji: lotnictwa i kosmonautyki, motoryzacji i jakości życia.</w:t>
      </w:r>
    </w:p>
    <w:p w:rsidR="00187A7B" w:rsidRPr="0064087E" w:rsidRDefault="00187A7B" w:rsidP="007F75E6">
      <w:pPr>
        <w:spacing w:after="120" w:line="276" w:lineRule="auto"/>
        <w:rPr>
          <w:rFonts w:ascii="Arial" w:hAnsi="Arial" w:cs="Arial"/>
        </w:rPr>
      </w:pPr>
      <w:r w:rsidRPr="0064087E">
        <w:rPr>
          <w:rFonts w:ascii="Arial" w:hAnsi="Arial" w:cs="Arial"/>
        </w:rPr>
        <w:t xml:space="preserve">Technologie informacyjno-telekomunikacyjne (ICT) stanowią grupę technologii przetwarzających, gromadzących i przesyłających informacje w formie elektronicznej. Sektor ICT obejmuje przedsiębiorstwa podejmujące działalność w zakresie produkcji towarów </w:t>
      </w:r>
      <w:r w:rsidR="007F75E6">
        <w:rPr>
          <w:rFonts w:ascii="Arial" w:hAnsi="Arial" w:cs="Arial"/>
        </w:rPr>
        <w:br/>
      </w:r>
      <w:r w:rsidRPr="0064087E">
        <w:rPr>
          <w:rFonts w:ascii="Arial" w:hAnsi="Arial" w:cs="Arial"/>
        </w:rPr>
        <w:t>i usług umożliwiających elektroniczne rejestrowanie, przetwarzanie, przesyłanie, odtwarzanie lub wyświetlanie informacji. Obszar specjalizacji tworzy również działalność badawczo-naukowa prowadzona na potrzeby branży ICT</w:t>
      </w:r>
      <w:r w:rsidRPr="0064087E">
        <w:rPr>
          <w:rStyle w:val="Odwoanieprzypisudolnego"/>
          <w:rFonts w:ascii="Arial" w:hAnsi="Arial" w:cs="Arial"/>
        </w:rPr>
        <w:footnoteReference w:id="22"/>
      </w:r>
      <w:r w:rsidRPr="0064087E">
        <w:rPr>
          <w:rFonts w:ascii="Arial" w:hAnsi="Arial" w:cs="Arial"/>
        </w:rPr>
        <w:t>.</w:t>
      </w:r>
    </w:p>
    <w:p w:rsidR="00187A7B" w:rsidRPr="0064087E" w:rsidRDefault="00187A7B" w:rsidP="007F75E6">
      <w:pPr>
        <w:spacing w:after="120" w:line="276" w:lineRule="auto"/>
        <w:rPr>
          <w:rFonts w:ascii="Arial" w:hAnsi="Arial" w:cs="Arial"/>
        </w:rPr>
      </w:pPr>
      <w:r w:rsidRPr="0064087E">
        <w:rPr>
          <w:rFonts w:ascii="Arial" w:hAnsi="Arial" w:cs="Arial"/>
        </w:rPr>
        <w:t>Wzmocnieniem rozwoju specjalizacji będzie wsparcie kierowane na obszary związane z:</w:t>
      </w:r>
    </w:p>
    <w:p w:rsidR="00187A7B" w:rsidRPr="0064087E" w:rsidRDefault="00187A7B" w:rsidP="007F75E6">
      <w:pPr>
        <w:pStyle w:val="Akapitzlist"/>
        <w:numPr>
          <w:ilvl w:val="0"/>
          <w:numId w:val="21"/>
        </w:numPr>
        <w:spacing w:after="120" w:line="276" w:lineRule="auto"/>
        <w:ind w:left="697" w:hanging="340"/>
        <w:rPr>
          <w:rFonts w:ascii="Arial" w:hAnsi="Arial" w:cs="Arial"/>
        </w:rPr>
      </w:pPr>
      <w:r w:rsidRPr="0064087E">
        <w:rPr>
          <w:rFonts w:ascii="Arial" w:hAnsi="Arial" w:cs="Arial"/>
        </w:rPr>
        <w:t xml:space="preserve">Opracowywaniem i wdrażaniem rozwiązań z zakresu cyfrowej transformacji </w:t>
      </w:r>
      <w:r w:rsidR="007F75E6">
        <w:rPr>
          <w:rFonts w:ascii="Arial" w:hAnsi="Arial" w:cs="Arial"/>
        </w:rPr>
        <w:br/>
      </w:r>
      <w:r w:rsidRPr="0064087E">
        <w:rPr>
          <w:rFonts w:ascii="Arial" w:hAnsi="Arial" w:cs="Arial"/>
        </w:rPr>
        <w:t>i Przemysłu 4.0;</w:t>
      </w:r>
    </w:p>
    <w:p w:rsidR="00187A7B" w:rsidRPr="0064087E" w:rsidRDefault="00187A7B" w:rsidP="007F75E6">
      <w:pPr>
        <w:pStyle w:val="Akapitzlist"/>
        <w:numPr>
          <w:ilvl w:val="0"/>
          <w:numId w:val="21"/>
        </w:numPr>
        <w:spacing w:after="120" w:line="276" w:lineRule="auto"/>
        <w:ind w:left="697" w:hanging="340"/>
        <w:rPr>
          <w:rFonts w:ascii="Arial" w:hAnsi="Arial" w:cs="Arial"/>
        </w:rPr>
      </w:pPr>
      <w:r w:rsidRPr="0064087E">
        <w:rPr>
          <w:rFonts w:ascii="Arial" w:hAnsi="Arial" w:cs="Arial"/>
        </w:rPr>
        <w:t>Opracowywaniem i wdrażaniem rozwiązań z zakresu gospodarki obiegu zamkniętego;</w:t>
      </w:r>
    </w:p>
    <w:p w:rsidR="00187A7B" w:rsidRPr="0064087E" w:rsidRDefault="00187A7B" w:rsidP="007F75E6">
      <w:pPr>
        <w:pStyle w:val="Akapitzlist"/>
        <w:numPr>
          <w:ilvl w:val="0"/>
          <w:numId w:val="21"/>
        </w:numPr>
        <w:spacing w:after="120" w:line="276" w:lineRule="auto"/>
        <w:ind w:left="697" w:hanging="340"/>
        <w:rPr>
          <w:rFonts w:ascii="Arial" w:hAnsi="Arial" w:cs="Arial"/>
        </w:rPr>
      </w:pPr>
      <w:r w:rsidRPr="0064087E">
        <w:rPr>
          <w:rFonts w:ascii="Arial" w:hAnsi="Arial" w:cs="Arial"/>
        </w:rPr>
        <w:t>Działalność badawczo-rozwojowa bezpośrednio związana z szeroko rozumianym sektorem ICT,</w:t>
      </w:r>
      <w:r w:rsidR="00BD31B9" w:rsidRPr="0064087E">
        <w:rPr>
          <w:rFonts w:ascii="Arial" w:hAnsi="Arial" w:cs="Arial"/>
        </w:rPr>
        <w:t xml:space="preserve"> </w:t>
      </w:r>
      <w:r w:rsidRPr="0064087E">
        <w:rPr>
          <w:rFonts w:ascii="Arial" w:hAnsi="Arial" w:cs="Arial"/>
        </w:rPr>
        <w:t xml:space="preserve">ukierunkowana na wdrażanie wyników badań do produkcji </w:t>
      </w:r>
      <w:r w:rsidR="00831718" w:rsidRPr="0064087E">
        <w:rPr>
          <w:rFonts w:ascii="Arial" w:hAnsi="Arial" w:cs="Arial"/>
        </w:rPr>
        <w:br/>
      </w:r>
      <w:r w:rsidRPr="0064087E">
        <w:rPr>
          <w:rFonts w:ascii="Arial" w:hAnsi="Arial" w:cs="Arial"/>
        </w:rPr>
        <w:t>i w społeczeństwie;</w:t>
      </w:r>
    </w:p>
    <w:p w:rsidR="00187A7B" w:rsidRPr="0064087E" w:rsidRDefault="00187A7B" w:rsidP="007F75E6">
      <w:pPr>
        <w:pStyle w:val="Akapitzlist"/>
        <w:numPr>
          <w:ilvl w:val="0"/>
          <w:numId w:val="33"/>
        </w:numPr>
        <w:spacing w:after="120" w:line="276" w:lineRule="auto"/>
        <w:ind w:left="697" w:hanging="340"/>
        <w:rPr>
          <w:rFonts w:ascii="Arial" w:hAnsi="Arial" w:cs="Arial"/>
        </w:rPr>
      </w:pPr>
      <w:r w:rsidRPr="0064087E">
        <w:rPr>
          <w:rFonts w:ascii="Arial" w:hAnsi="Arial" w:cs="Arial"/>
        </w:rPr>
        <w:t>Działalność w zakresie kształcenia kadr na potrzeby branży oraz podnoszenia kompetencji pracowników (w tym w zakresie efektywnego wykorzystania technologii cyfrowych, profesjonalnego zarządzania, transferu informacji)</w:t>
      </w:r>
      <w:r w:rsidRPr="0064087E">
        <w:rPr>
          <w:rStyle w:val="Odwoanieprzypisudolnego"/>
          <w:rFonts w:ascii="Arial" w:hAnsi="Arial" w:cs="Arial"/>
        </w:rPr>
        <w:t xml:space="preserve"> </w:t>
      </w:r>
      <w:r w:rsidRPr="0064087E">
        <w:rPr>
          <w:rStyle w:val="Odwoanieprzypisudolnego"/>
          <w:rFonts w:ascii="Arial" w:hAnsi="Arial" w:cs="Arial"/>
        </w:rPr>
        <w:footnoteReference w:id="23"/>
      </w:r>
      <w:r w:rsidRPr="0064087E">
        <w:rPr>
          <w:rFonts w:ascii="Arial" w:hAnsi="Arial" w:cs="Arial"/>
        </w:rPr>
        <w:t>.</w:t>
      </w:r>
    </w:p>
    <w:p w:rsidR="00187A7B" w:rsidRPr="0064087E" w:rsidRDefault="00187A7B" w:rsidP="007F75E6">
      <w:pPr>
        <w:spacing w:after="120" w:line="276" w:lineRule="auto"/>
        <w:rPr>
          <w:rFonts w:ascii="Arial" w:hAnsi="Arial" w:cs="Arial"/>
        </w:rPr>
      </w:pPr>
      <w:r w:rsidRPr="0064087E">
        <w:rPr>
          <w:rFonts w:ascii="Arial" w:hAnsi="Arial" w:cs="Arial"/>
        </w:rPr>
        <w:t xml:space="preserve">Wybór ICT na inteligentną specjalizację regionu wynikał ze znaczenia rozwoju technologii informacyjnych i telekomunikacyjnych dla rozwoju społeczno-gospodarczego województwa, ale również uzasadniony był wyróżniającym się wysokim potencjałem naukowo-badawczym </w:t>
      </w:r>
      <w:r w:rsidRPr="0064087E">
        <w:rPr>
          <w:rFonts w:ascii="Arial" w:hAnsi="Arial" w:cs="Arial"/>
        </w:rPr>
        <w:br/>
        <w:t xml:space="preserve">w zakresie tych technologii. Kształcenie w kierunkach informatycznych realizowane </w:t>
      </w:r>
      <w:r w:rsidR="00E43864" w:rsidRPr="0064087E">
        <w:rPr>
          <w:rFonts w:ascii="Arial" w:hAnsi="Arial" w:cs="Arial"/>
        </w:rPr>
        <w:t xml:space="preserve">jest </w:t>
      </w:r>
      <w:r w:rsidRPr="0064087E">
        <w:rPr>
          <w:rFonts w:ascii="Arial" w:hAnsi="Arial" w:cs="Arial"/>
        </w:rPr>
        <w:t>przez kilka uczelni w regionie, w tym Uniwersytet Rzeszowski, Politechnikę Rzeszowską oraz Wyższą Szkołę Informatyki i Zarządzania w Rzeszowie.</w:t>
      </w:r>
    </w:p>
    <w:p w:rsidR="00187A7B" w:rsidRPr="0064087E" w:rsidRDefault="00187A7B" w:rsidP="007F75E6">
      <w:pPr>
        <w:spacing w:after="120" w:line="276" w:lineRule="auto"/>
        <w:rPr>
          <w:rFonts w:ascii="Arial" w:hAnsi="Arial" w:cs="Arial"/>
        </w:rPr>
      </w:pPr>
      <w:r w:rsidRPr="0064087E">
        <w:rPr>
          <w:rFonts w:ascii="Arial" w:hAnsi="Arial" w:cs="Arial"/>
        </w:rPr>
        <w:t xml:space="preserve">Specyfiką branży informatycznej jest skupienie firm z sektora ICT w Rzeszowie i okolicach. </w:t>
      </w:r>
      <w:r w:rsidRPr="0064087E">
        <w:rPr>
          <w:rFonts w:ascii="Arial" w:hAnsi="Arial" w:cs="Arial"/>
        </w:rPr>
        <w:br/>
        <w:t xml:space="preserve">W Rzeszowie siedzibę ma firma Asseco Poland, będąca spółką giełdową </w:t>
      </w:r>
      <w:r w:rsidR="007F75E6">
        <w:rPr>
          <w:rFonts w:ascii="Arial" w:hAnsi="Arial" w:cs="Arial"/>
        </w:rPr>
        <w:br/>
      </w:r>
      <w:r w:rsidRPr="0064087E">
        <w:rPr>
          <w:rFonts w:ascii="Arial" w:hAnsi="Arial" w:cs="Arial"/>
        </w:rPr>
        <w:t>o międzynarodowym zasięgu, zaliczaną do 30 największych firm w Polsce i zarazem najwyżej notowaną firmą z branży IT. Firma intensywnie rozwija się na rynkach międzynarodowych, które stanowią 90% zysków ze sprzedaży. W 2022 r. firma osiągnęła rekordowe 17,4 mld zł przychodów ze sprzedaży</w:t>
      </w:r>
      <w:r w:rsidRPr="0064087E">
        <w:rPr>
          <w:rStyle w:val="Odwoanieprzypisudolnego"/>
          <w:rFonts w:ascii="Arial" w:hAnsi="Arial" w:cs="Arial"/>
        </w:rPr>
        <w:footnoteReference w:id="24"/>
      </w:r>
      <w:r w:rsidRPr="0064087E">
        <w:rPr>
          <w:rFonts w:ascii="Arial" w:hAnsi="Arial" w:cs="Arial"/>
        </w:rPr>
        <w:t xml:space="preserve">. Obecność w regionie przedsiębiorstwa </w:t>
      </w:r>
      <w:r w:rsidR="007F75E6">
        <w:rPr>
          <w:rFonts w:ascii="Arial" w:hAnsi="Arial" w:cs="Arial"/>
        </w:rPr>
        <w:br/>
      </w:r>
      <w:r w:rsidRPr="0064087E">
        <w:rPr>
          <w:rFonts w:ascii="Arial" w:hAnsi="Arial" w:cs="Arial"/>
        </w:rPr>
        <w:t xml:space="preserve">o takim zasięgu i wynikach finansowych powoduje, że znaczna część danych dotyczących sektora ICT jest objęta tajemnicą statystyczną, uniemożliwiając tym samym porównanie do </w:t>
      </w:r>
      <w:r w:rsidRPr="0064087E">
        <w:rPr>
          <w:rFonts w:ascii="Arial" w:hAnsi="Arial" w:cs="Arial"/>
        </w:rPr>
        <w:lastRenderedPageBreak/>
        <w:t>innych województw.</w:t>
      </w:r>
    </w:p>
    <w:p w:rsidR="00187A7B" w:rsidRPr="0064087E" w:rsidRDefault="00187A7B" w:rsidP="007F75E6">
      <w:pPr>
        <w:spacing w:after="120" w:line="276" w:lineRule="auto"/>
        <w:rPr>
          <w:rFonts w:ascii="Arial" w:hAnsi="Arial" w:cs="Arial"/>
        </w:rPr>
      </w:pPr>
      <w:r w:rsidRPr="0064087E">
        <w:rPr>
          <w:rFonts w:ascii="Arial" w:hAnsi="Arial" w:cs="Arial"/>
        </w:rPr>
        <w:t xml:space="preserve">W Rzeszowie zlokalizowany jest Klaster Firm Informatycznych Polski Wschodniej, którego koordynatorem jest Stowarzyszenie „Informatyka Podkarpacka”. Jego celem jest wsparcie rozwoju przedsiębiorczości poprzez m.in. pomoc w zwiększaniu konkurencyjności </w:t>
      </w:r>
      <w:r w:rsidRPr="0064087E">
        <w:rPr>
          <w:rFonts w:ascii="Arial" w:hAnsi="Arial" w:cs="Arial"/>
        </w:rPr>
        <w:br/>
        <w:t>w szczególności przez innowacyjność, umożliwianie nawiązywania współpracy, realizację wspólnych projektów biznesowych czy też prowadzenie badań, analiz, opracowań. Klaster zrzesza obecnie ponad 100 podmiotów związanych z branżą telekomunikacyjno-informatyczną, w tym uczelnie i instytucje otoczenia biznesu</w:t>
      </w:r>
      <w:r w:rsidRPr="0064087E">
        <w:rPr>
          <w:rStyle w:val="Odwoanieprzypisudolnego"/>
          <w:rFonts w:ascii="Arial" w:hAnsi="Arial" w:cs="Arial"/>
        </w:rPr>
        <w:footnoteReference w:id="25"/>
      </w:r>
      <w:r w:rsidRPr="0064087E">
        <w:rPr>
          <w:rFonts w:ascii="Arial" w:hAnsi="Arial" w:cs="Arial"/>
        </w:rPr>
        <w:t>.</w:t>
      </w:r>
    </w:p>
    <w:p w:rsidR="00187A7B" w:rsidRPr="0064087E" w:rsidRDefault="00187A7B" w:rsidP="007F75E6">
      <w:pPr>
        <w:pStyle w:val="Nagwek2"/>
        <w:numPr>
          <w:ilvl w:val="1"/>
          <w:numId w:val="1"/>
        </w:numPr>
        <w:ind w:left="357" w:hanging="357"/>
        <w:rPr>
          <w:b/>
          <w:color w:val="auto"/>
        </w:rPr>
      </w:pPr>
      <w:bookmarkStart w:id="47" w:name="_Toc160793876"/>
      <w:r w:rsidRPr="0064087E">
        <w:rPr>
          <w:b/>
          <w:color w:val="auto"/>
        </w:rPr>
        <w:t xml:space="preserve">Sytuacja finansowo-ekonomiczna firm sektora informacja i telekomunikacja </w:t>
      </w:r>
      <w:r w:rsidRPr="0064087E">
        <w:rPr>
          <w:b/>
          <w:color w:val="auto"/>
        </w:rPr>
        <w:br/>
        <w:t>w województwie podkarpackim</w:t>
      </w:r>
      <w:bookmarkEnd w:id="47"/>
    </w:p>
    <w:p w:rsidR="00187A7B" w:rsidRPr="0064087E" w:rsidRDefault="00187A7B" w:rsidP="007F75E6">
      <w:pPr>
        <w:spacing w:after="120" w:line="276" w:lineRule="auto"/>
        <w:rPr>
          <w:rFonts w:ascii="Arial" w:hAnsi="Arial" w:cs="Arial"/>
        </w:rPr>
      </w:pPr>
      <w:r w:rsidRPr="0064087E">
        <w:rPr>
          <w:rFonts w:ascii="Arial" w:hAnsi="Arial" w:cs="Arial"/>
        </w:rPr>
        <w:t>Na potrzeby niniejszej analizy, pod pojęciem sektora informacja i telekomunikacja - należy rozumieć jednostki zaklasyfikowane do następujących działów PKD tj.: PKD: 26 (z wyjątkiem 26.60 - tajemnica</w:t>
      </w:r>
      <w:r w:rsidR="009A4DDD" w:rsidRPr="00D62638">
        <w:rPr>
          <w:rFonts w:ascii="Arial" w:hAnsi="Arial" w:cs="Arial"/>
        </w:rPr>
        <w:t xml:space="preserve"> statystyczna</w:t>
      </w:r>
      <w:r w:rsidRPr="0064087E">
        <w:rPr>
          <w:rFonts w:ascii="Arial" w:hAnsi="Arial" w:cs="Arial"/>
        </w:rPr>
        <w:t>, 58</w:t>
      </w:r>
      <w:r w:rsidR="00B72B46" w:rsidRPr="0064087E">
        <w:rPr>
          <w:rFonts w:ascii="Arial" w:hAnsi="Arial" w:cs="Arial"/>
        </w:rPr>
        <w:t>.</w:t>
      </w:r>
      <w:r w:rsidRPr="0064087E">
        <w:rPr>
          <w:rFonts w:ascii="Arial" w:hAnsi="Arial" w:cs="Arial"/>
        </w:rPr>
        <w:t>2, 59</w:t>
      </w:r>
      <w:r w:rsidR="00B72B46" w:rsidRPr="0064087E">
        <w:rPr>
          <w:rFonts w:ascii="Arial" w:hAnsi="Arial" w:cs="Arial"/>
        </w:rPr>
        <w:t>.</w:t>
      </w:r>
      <w:r w:rsidRPr="0064087E">
        <w:rPr>
          <w:rFonts w:ascii="Arial" w:hAnsi="Arial" w:cs="Arial"/>
        </w:rPr>
        <w:t>12, 61, 62, 63, 70</w:t>
      </w:r>
      <w:r w:rsidR="00B72B46" w:rsidRPr="0064087E">
        <w:rPr>
          <w:rFonts w:ascii="Arial" w:hAnsi="Arial" w:cs="Arial"/>
        </w:rPr>
        <w:t>.</w:t>
      </w:r>
      <w:r w:rsidRPr="0064087E">
        <w:rPr>
          <w:rFonts w:ascii="Arial" w:hAnsi="Arial" w:cs="Arial"/>
        </w:rPr>
        <w:t>21, 72</w:t>
      </w:r>
      <w:r w:rsidR="00B72B46" w:rsidRPr="0064087E">
        <w:rPr>
          <w:rFonts w:ascii="Arial" w:hAnsi="Arial" w:cs="Arial"/>
        </w:rPr>
        <w:t>.</w:t>
      </w:r>
      <w:r w:rsidRPr="0064087E">
        <w:rPr>
          <w:rFonts w:ascii="Arial" w:hAnsi="Arial" w:cs="Arial"/>
        </w:rPr>
        <w:t>19, 72</w:t>
      </w:r>
      <w:r w:rsidR="00B72B46" w:rsidRPr="0064087E">
        <w:rPr>
          <w:rFonts w:ascii="Arial" w:hAnsi="Arial" w:cs="Arial"/>
        </w:rPr>
        <w:t>.</w:t>
      </w:r>
      <w:r w:rsidRPr="0064087E">
        <w:rPr>
          <w:rFonts w:ascii="Arial" w:hAnsi="Arial" w:cs="Arial"/>
        </w:rPr>
        <w:t>20, 74</w:t>
      </w:r>
      <w:r w:rsidR="00B72B46" w:rsidRPr="0064087E">
        <w:rPr>
          <w:rFonts w:ascii="Arial" w:hAnsi="Arial" w:cs="Arial"/>
        </w:rPr>
        <w:t>.</w:t>
      </w:r>
      <w:r w:rsidRPr="0064087E">
        <w:rPr>
          <w:rFonts w:ascii="Arial" w:hAnsi="Arial" w:cs="Arial"/>
        </w:rPr>
        <w:t>90. W 2018 r. było</w:t>
      </w:r>
      <w:r w:rsidR="00B72B46" w:rsidRPr="0064087E">
        <w:rPr>
          <w:rFonts w:ascii="Arial" w:hAnsi="Arial" w:cs="Arial"/>
        </w:rPr>
        <w:t xml:space="preserve"> </w:t>
      </w:r>
      <w:r w:rsidRPr="0064087E">
        <w:rPr>
          <w:rFonts w:ascii="Arial" w:hAnsi="Arial" w:cs="Arial"/>
        </w:rPr>
        <w:t xml:space="preserve">638 jednostek, w 2019 r. – 739, w 2020 r. – 826, w 2021 r. – 913, i w 2022 r. – 950 jednostek. Firmy z branży informacja i telekomunikacja sekcja J występują na terenie 25 powiatów województwa, przy czym ich zagęszczenie występuje głównie w Rzeszowie oraz </w:t>
      </w:r>
      <w:r w:rsidR="00D67498">
        <w:rPr>
          <w:rFonts w:ascii="Arial" w:hAnsi="Arial" w:cs="Arial"/>
        </w:rPr>
        <w:br/>
      </w:r>
      <w:r w:rsidRPr="0064087E">
        <w:rPr>
          <w:rFonts w:ascii="Arial" w:hAnsi="Arial" w:cs="Arial"/>
        </w:rPr>
        <w:t>w powiatach: rzeszowskim, stalowowolskim, dębickim, mieleckim, sanockim, jarosławskim, łańcuckim, przeworskim.</w:t>
      </w:r>
    </w:p>
    <w:p w:rsidR="0068201F" w:rsidRPr="0064087E" w:rsidRDefault="0068201F" w:rsidP="00DB76F6">
      <w:pPr>
        <w:pStyle w:val="Legenda"/>
        <w:keepNext/>
        <w:spacing w:after="120" w:line="276" w:lineRule="auto"/>
        <w:rPr>
          <w:rFonts w:ascii="Arial" w:hAnsi="Arial" w:cs="Arial"/>
          <w:i w:val="0"/>
          <w:color w:val="auto"/>
          <w:sz w:val="22"/>
          <w:szCs w:val="22"/>
        </w:rPr>
      </w:pPr>
      <w:bookmarkStart w:id="48" w:name="_Toc161123003"/>
      <w:r w:rsidRPr="0064087E">
        <w:rPr>
          <w:rFonts w:ascii="Arial" w:hAnsi="Arial" w:cs="Arial"/>
          <w:b/>
          <w:i w:val="0"/>
          <w:color w:val="auto"/>
          <w:sz w:val="22"/>
          <w:szCs w:val="22"/>
        </w:rPr>
        <w:lastRenderedPageBreak/>
        <w:t xml:space="preserve">Rysunek </w:t>
      </w:r>
      <w:r w:rsidRPr="0064087E">
        <w:rPr>
          <w:rFonts w:ascii="Arial" w:hAnsi="Arial" w:cs="Arial"/>
          <w:b/>
          <w:i w:val="0"/>
          <w:color w:val="auto"/>
          <w:sz w:val="22"/>
          <w:szCs w:val="22"/>
        </w:rPr>
        <w:fldChar w:fldCharType="begin"/>
      </w:r>
      <w:r w:rsidRPr="0064087E">
        <w:rPr>
          <w:rFonts w:ascii="Arial" w:hAnsi="Arial" w:cs="Arial"/>
          <w:b/>
          <w:i w:val="0"/>
          <w:color w:val="auto"/>
          <w:sz w:val="22"/>
          <w:szCs w:val="22"/>
        </w:rPr>
        <w:instrText xml:space="preserve"> SEQ Rysunek \* ARABIC </w:instrText>
      </w:r>
      <w:r w:rsidRPr="0064087E">
        <w:rPr>
          <w:rFonts w:ascii="Arial" w:hAnsi="Arial" w:cs="Arial"/>
          <w:b/>
          <w:i w:val="0"/>
          <w:color w:val="auto"/>
          <w:sz w:val="22"/>
          <w:szCs w:val="22"/>
        </w:rPr>
        <w:fldChar w:fldCharType="separate"/>
      </w:r>
      <w:r w:rsidR="00884DAD">
        <w:rPr>
          <w:rFonts w:ascii="Arial" w:hAnsi="Arial" w:cs="Arial"/>
          <w:b/>
          <w:i w:val="0"/>
          <w:noProof/>
          <w:color w:val="auto"/>
          <w:sz w:val="22"/>
          <w:szCs w:val="22"/>
        </w:rPr>
        <w:t>3</w:t>
      </w:r>
      <w:r w:rsidRPr="0064087E">
        <w:rPr>
          <w:rFonts w:ascii="Arial" w:hAnsi="Arial" w:cs="Arial"/>
          <w:b/>
          <w:i w:val="0"/>
          <w:color w:val="auto"/>
          <w:sz w:val="22"/>
          <w:szCs w:val="22"/>
        </w:rPr>
        <w:fldChar w:fldCharType="end"/>
      </w:r>
      <w:r w:rsidR="00DA1871">
        <w:rPr>
          <w:rFonts w:ascii="Arial" w:hAnsi="Arial" w:cs="Arial"/>
          <w:b/>
          <w:i w:val="0"/>
          <w:color w:val="auto"/>
          <w:sz w:val="22"/>
          <w:szCs w:val="22"/>
        </w:rPr>
        <w:t>.</w:t>
      </w:r>
      <w:r w:rsidRPr="0064087E">
        <w:rPr>
          <w:rFonts w:ascii="Arial" w:hAnsi="Arial" w:cs="Arial"/>
          <w:i w:val="0"/>
          <w:color w:val="auto"/>
          <w:sz w:val="22"/>
          <w:szCs w:val="22"/>
        </w:rPr>
        <w:t xml:space="preserve"> Rozmieszczenie firm sektora informacja i telekomunikacja w 2021 r. – sekcja J.</w:t>
      </w:r>
      <w:bookmarkEnd w:id="48"/>
    </w:p>
    <w:p w:rsidR="00187A7B" w:rsidRPr="0064087E" w:rsidRDefault="00187A7B" w:rsidP="00187A7B">
      <w:pPr>
        <w:spacing w:after="120" w:line="276" w:lineRule="auto"/>
        <w:jc w:val="center"/>
        <w:rPr>
          <w:rFonts w:ascii="Arial" w:hAnsi="Arial" w:cs="Arial"/>
        </w:rPr>
      </w:pPr>
      <w:r w:rsidRPr="0064087E">
        <w:rPr>
          <w:rFonts w:ascii="Arial" w:hAnsi="Arial" w:cs="Arial"/>
          <w:noProof/>
          <w:lang w:eastAsia="pl-PL"/>
        </w:rPr>
        <w:drawing>
          <wp:inline distT="0" distB="0" distL="0" distR="0" wp14:anchorId="34ADDAA3" wp14:editId="0CA95E9C">
            <wp:extent cx="5886214" cy="5271770"/>
            <wp:effectExtent l="0" t="0" r="635" b="5080"/>
            <wp:docPr id="1337818930" name="Obraz 1337818930" descr="Kontur województwa podkarpackiego w tym zaznaczone miejsca rozmieszczenia firm branży informacja i telekomunikacja. Najwięcej firm znajduje się w granicach powiatów: dębickiego, ropczyckiego, strzyżowskiego, kolbuszowskiego, tarnobrzeskiego, rzeszowskiego, łańcuckiego leżajskiego, w paru miejscach powiatu przeworskiego, jarosławskiego, przemyskiego, krośnieńskiego i jasielskiego, Ponadto firmy znajdują się w poszczególnych jednostkach terytorialnych: Lubaczów, Nowy Żmigród, Lesko, Ustrzyki Dolne. Najwięcej firm znajduję się w: Rzeszów, Trzebownisko, Głogów Małopolski, Krosno, Sanok, Dębica, Jasło, Mielec, Stalowa Wola, Tarnobrzeg, Łańcut, Przeworsk, Jarosław, Przemyś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pa2_202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12655" cy="5295451"/>
                    </a:xfrm>
                    <a:prstGeom prst="rect">
                      <a:avLst/>
                    </a:prstGeom>
                  </pic:spPr>
                </pic:pic>
              </a:graphicData>
            </a:graphic>
          </wp:inline>
        </w:drawing>
      </w:r>
    </w:p>
    <w:p w:rsidR="00187A7B" w:rsidRPr="0064087E" w:rsidRDefault="00187A7B" w:rsidP="00187A7B">
      <w:pPr>
        <w:spacing w:after="120" w:line="276" w:lineRule="auto"/>
        <w:jc w:val="center"/>
        <w:rPr>
          <w:rFonts w:ascii="Arial" w:hAnsi="Arial" w:cs="Arial"/>
        </w:rPr>
      </w:pPr>
      <w:r w:rsidRPr="0064087E">
        <w:rPr>
          <w:rFonts w:ascii="Arial" w:hAnsi="Arial" w:cs="Arial"/>
        </w:rPr>
        <w:t>Źródło: Opracowanie własne na podstawie</w:t>
      </w:r>
      <w:r w:rsidR="00370846" w:rsidRPr="0064087E">
        <w:rPr>
          <w:rFonts w:ascii="Arial" w:hAnsi="Arial" w:cs="Arial"/>
        </w:rPr>
        <w:t xml:space="preserve"> danych</w:t>
      </w:r>
      <w:r w:rsidRPr="0064087E">
        <w:rPr>
          <w:rFonts w:ascii="Arial" w:hAnsi="Arial" w:cs="Arial"/>
        </w:rPr>
        <w:t xml:space="preserve"> Izby Administracji Skarbowej.</w:t>
      </w:r>
    </w:p>
    <w:p w:rsidR="00445F0F" w:rsidRPr="0064087E" w:rsidRDefault="00445F0F" w:rsidP="00DB76F6">
      <w:pPr>
        <w:spacing w:after="120" w:line="276" w:lineRule="auto"/>
        <w:rPr>
          <w:rFonts w:ascii="Arial" w:hAnsi="Arial" w:cs="Arial"/>
        </w:rPr>
      </w:pPr>
      <w:r w:rsidRPr="0064087E">
        <w:rPr>
          <w:rFonts w:ascii="Arial" w:hAnsi="Arial" w:cs="Arial"/>
        </w:rPr>
        <w:t xml:space="preserve">W latach 2018-2021 w przedsiębiorstwach związanych z Informacja i telekomunikacja mających siedzibę w województwie podkarpackim nastąpiło zróżnicowanie zarówno przychodów, jak i kosztów z całokształtu działalności. W okresie od 2019 r. do 2020 r. nastąpił spadek przychodów, jak i kosztów z całokształtu działalności, natomiast w 2021 r. poziom przychodów, jak i kosztów z całokształtu działalności wzrósł do poziomu podobnego jak w 2018 r. W analizowanym okresie wskaźnik poziomu kosztów był zróżnicowany. W 2019 r. osiągnął najwyższy poziom – 91,8%. W 2020 r. spadł o 2,7 </w:t>
      </w:r>
      <w:proofErr w:type="spellStart"/>
      <w:r w:rsidRPr="0064087E">
        <w:rPr>
          <w:rFonts w:ascii="Arial" w:hAnsi="Arial" w:cs="Arial"/>
        </w:rPr>
        <w:t>p.proc</w:t>
      </w:r>
      <w:proofErr w:type="spellEnd"/>
      <w:r w:rsidRPr="0064087E">
        <w:rPr>
          <w:rFonts w:ascii="Arial" w:hAnsi="Arial" w:cs="Arial"/>
        </w:rPr>
        <w:t xml:space="preserve">., natomiast w 2021 r. wyniósł 91,1%. W 2022 r. nastąpił wzrost zarówno przychodów z całokształtu działalności jak i kosztów uzyskania przychodów z całokształtu działalności. Wskaźnik poziomu kosztów </w:t>
      </w:r>
      <w:r w:rsidRPr="0064087E">
        <w:rPr>
          <w:rFonts w:ascii="Arial" w:hAnsi="Arial" w:cs="Arial"/>
        </w:rPr>
        <w:br/>
        <w:t xml:space="preserve">z całokształtu działalności </w:t>
      </w:r>
      <w:r w:rsidR="00831718" w:rsidRPr="0064087E">
        <w:rPr>
          <w:rFonts w:ascii="Arial" w:hAnsi="Arial" w:cs="Arial"/>
        </w:rPr>
        <w:t xml:space="preserve">w 2022 r. </w:t>
      </w:r>
      <w:r w:rsidRPr="0064087E">
        <w:rPr>
          <w:rFonts w:ascii="Arial" w:hAnsi="Arial" w:cs="Arial"/>
        </w:rPr>
        <w:t>nie uległ zmianie w porównaniu do 2021 r.</w:t>
      </w:r>
    </w:p>
    <w:p w:rsidR="00187A7B" w:rsidRPr="0064087E" w:rsidRDefault="00187A7B" w:rsidP="00187A7B">
      <w:pPr>
        <w:widowControl/>
        <w:autoSpaceDE/>
        <w:autoSpaceDN/>
        <w:spacing w:after="160" w:line="259" w:lineRule="auto"/>
        <w:rPr>
          <w:rFonts w:ascii="Arial" w:hAnsi="Arial" w:cs="Arial"/>
        </w:rPr>
      </w:pPr>
      <w:r w:rsidRPr="0064087E">
        <w:rPr>
          <w:rFonts w:ascii="Arial" w:hAnsi="Arial" w:cs="Arial"/>
        </w:rPr>
        <w:br w:type="page"/>
      </w:r>
    </w:p>
    <w:p w:rsidR="00101CBB" w:rsidRPr="0064087E" w:rsidRDefault="00101CBB" w:rsidP="00DB76F6">
      <w:pPr>
        <w:pStyle w:val="Legenda"/>
        <w:keepNext/>
        <w:spacing w:after="120" w:line="276" w:lineRule="auto"/>
        <w:rPr>
          <w:rFonts w:ascii="Arial" w:hAnsi="Arial" w:cs="Arial"/>
          <w:i w:val="0"/>
          <w:color w:val="auto"/>
          <w:sz w:val="22"/>
          <w:szCs w:val="22"/>
        </w:rPr>
      </w:pPr>
      <w:bookmarkStart w:id="49" w:name="_Toc160793535"/>
      <w:r w:rsidRPr="0064087E">
        <w:rPr>
          <w:rFonts w:ascii="Arial" w:hAnsi="Arial" w:cs="Arial"/>
          <w:b/>
          <w:i w:val="0"/>
          <w:color w:val="auto"/>
          <w:sz w:val="22"/>
          <w:szCs w:val="22"/>
        </w:rPr>
        <w:lastRenderedPageBreak/>
        <w:t xml:space="preserve">Wykres </w:t>
      </w:r>
      <w:r w:rsidR="005922CE">
        <w:rPr>
          <w:rFonts w:ascii="Arial" w:hAnsi="Arial" w:cs="Arial"/>
          <w:b/>
          <w:i w:val="0"/>
          <w:color w:val="auto"/>
          <w:sz w:val="22"/>
          <w:szCs w:val="22"/>
        </w:rPr>
        <w:fldChar w:fldCharType="begin"/>
      </w:r>
      <w:r w:rsidR="005922CE">
        <w:rPr>
          <w:rFonts w:ascii="Arial" w:hAnsi="Arial" w:cs="Arial"/>
          <w:b/>
          <w:i w:val="0"/>
          <w:color w:val="auto"/>
          <w:sz w:val="22"/>
          <w:szCs w:val="22"/>
        </w:rPr>
        <w:instrText xml:space="preserve"> SEQ Wykres \* ARABIC </w:instrText>
      </w:r>
      <w:r w:rsidR="005922CE">
        <w:rPr>
          <w:rFonts w:ascii="Arial" w:hAnsi="Arial" w:cs="Arial"/>
          <w:b/>
          <w:i w:val="0"/>
          <w:color w:val="auto"/>
          <w:sz w:val="22"/>
          <w:szCs w:val="22"/>
        </w:rPr>
        <w:fldChar w:fldCharType="separate"/>
      </w:r>
      <w:r w:rsidR="00884DAD">
        <w:rPr>
          <w:rFonts w:ascii="Arial" w:hAnsi="Arial" w:cs="Arial"/>
          <w:b/>
          <w:i w:val="0"/>
          <w:noProof/>
          <w:color w:val="auto"/>
          <w:sz w:val="22"/>
          <w:szCs w:val="22"/>
        </w:rPr>
        <w:t>29</w:t>
      </w:r>
      <w:r w:rsidR="005922CE">
        <w:rPr>
          <w:rFonts w:ascii="Arial" w:hAnsi="Arial" w:cs="Arial"/>
          <w:b/>
          <w:i w:val="0"/>
          <w:color w:val="auto"/>
          <w:sz w:val="22"/>
          <w:szCs w:val="22"/>
        </w:rPr>
        <w:fldChar w:fldCharType="end"/>
      </w:r>
      <w:r w:rsidR="00DA1871">
        <w:rPr>
          <w:rFonts w:ascii="Arial" w:hAnsi="Arial" w:cs="Arial"/>
          <w:b/>
          <w:i w:val="0"/>
          <w:color w:val="auto"/>
          <w:sz w:val="22"/>
          <w:szCs w:val="22"/>
        </w:rPr>
        <w:t>.</w:t>
      </w:r>
      <w:r w:rsidRPr="0064087E">
        <w:rPr>
          <w:rFonts w:ascii="Arial" w:hAnsi="Arial" w:cs="Arial"/>
          <w:i w:val="0"/>
          <w:color w:val="auto"/>
          <w:sz w:val="22"/>
          <w:szCs w:val="22"/>
        </w:rPr>
        <w:t xml:space="preserve"> Przychody, koszty oraz wskaźnik poziomu kosztów z całokształtu działalności firm branży Informacja i telekomunikacja z województwa podkarpackiego w latach 2018-2022</w:t>
      </w:r>
      <w:r w:rsidR="00E43864" w:rsidRPr="0064087E">
        <w:rPr>
          <w:rFonts w:ascii="Arial" w:hAnsi="Arial" w:cs="Arial"/>
          <w:i w:val="0"/>
          <w:color w:val="auto"/>
          <w:sz w:val="22"/>
          <w:szCs w:val="22"/>
        </w:rPr>
        <w:t>.</w:t>
      </w:r>
      <w:bookmarkEnd w:id="49"/>
    </w:p>
    <w:p w:rsidR="00187A7B" w:rsidRPr="0064087E" w:rsidRDefault="00445F0F" w:rsidP="00187A7B">
      <w:pPr>
        <w:spacing w:after="120" w:line="276" w:lineRule="auto"/>
        <w:jc w:val="center"/>
        <w:rPr>
          <w:rFonts w:ascii="Arial" w:hAnsi="Arial" w:cs="Arial"/>
        </w:rPr>
      </w:pPr>
      <w:r w:rsidRPr="0064087E">
        <w:rPr>
          <w:noProof/>
          <w:lang w:eastAsia="pl-PL"/>
        </w:rPr>
        <w:drawing>
          <wp:inline distT="0" distB="0" distL="0" distR="0" wp14:anchorId="589F2D69" wp14:editId="6D9DEB76">
            <wp:extent cx="4572000" cy="2743200"/>
            <wp:effectExtent l="0" t="0" r="0" b="0"/>
            <wp:docPr id="35" name="Wykres 35" descr="Wykres kolumnowy w tym dane w mln zł przychody z całokształtu działalności: 1,96 w 2018, 1,42 w 2019, 1,45 w 2020, 1,88 w 2021, 2,31 w 2022. Koszty uzyskania przychodów z całokształtu działalności: 1,70 w 2018, 1,30 w 2019, 1,29 w 2020, 1,71 w 2021, 2,11 w 2022. Wskaźnik poziomu kosztów z całokształtu działalności w %: 86,9 w 2018, 91,8 w 2019, 89,1 w 2020, 91,1 w 2021, 91,1 w 202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87A7B" w:rsidRPr="0064087E" w:rsidRDefault="00187A7B" w:rsidP="00187A7B">
      <w:pPr>
        <w:spacing w:after="120" w:line="276" w:lineRule="auto"/>
        <w:jc w:val="center"/>
        <w:rPr>
          <w:rFonts w:ascii="Arial" w:hAnsi="Arial" w:cs="Arial"/>
        </w:rPr>
      </w:pPr>
      <w:r w:rsidRPr="0064087E">
        <w:rPr>
          <w:rFonts w:ascii="Arial" w:hAnsi="Arial" w:cs="Arial"/>
        </w:rPr>
        <w:t xml:space="preserve">Źródło: Opracowanie własne na podstawie </w:t>
      </w:r>
      <w:r w:rsidR="00370846" w:rsidRPr="0064087E">
        <w:rPr>
          <w:rFonts w:ascii="Arial" w:hAnsi="Arial" w:cs="Arial"/>
        </w:rPr>
        <w:t xml:space="preserve">danych </w:t>
      </w:r>
      <w:r w:rsidRPr="0064087E">
        <w:rPr>
          <w:rFonts w:ascii="Arial" w:hAnsi="Arial" w:cs="Arial"/>
        </w:rPr>
        <w:t>Izby Administracji Skarbowej.</w:t>
      </w:r>
    </w:p>
    <w:p w:rsidR="00187A7B" w:rsidRPr="0064087E" w:rsidRDefault="00187A7B" w:rsidP="00DB76F6">
      <w:pPr>
        <w:spacing w:after="120" w:line="276" w:lineRule="auto"/>
        <w:rPr>
          <w:rFonts w:ascii="Arial" w:hAnsi="Arial" w:cs="Arial"/>
        </w:rPr>
      </w:pPr>
      <w:r w:rsidRPr="0064087E">
        <w:rPr>
          <w:rFonts w:ascii="Arial" w:hAnsi="Arial" w:cs="Arial"/>
        </w:rPr>
        <w:t>W 202</w:t>
      </w:r>
      <w:r w:rsidR="007559DF" w:rsidRPr="0064087E">
        <w:rPr>
          <w:rFonts w:ascii="Arial" w:hAnsi="Arial" w:cs="Arial"/>
        </w:rPr>
        <w:t>2</w:t>
      </w:r>
      <w:r w:rsidRPr="0064087E">
        <w:rPr>
          <w:rFonts w:ascii="Arial" w:hAnsi="Arial" w:cs="Arial"/>
        </w:rPr>
        <w:t xml:space="preserve"> r. największą łączną kwotę przychodów z zeznania rocznego CIT-8 miały podmioty, które zajmowały się działalnością: związan</w:t>
      </w:r>
      <w:r w:rsidR="00881089" w:rsidRPr="0064087E">
        <w:rPr>
          <w:rFonts w:ascii="Arial" w:hAnsi="Arial" w:cs="Arial"/>
        </w:rPr>
        <w:t>ą</w:t>
      </w:r>
      <w:r w:rsidRPr="0064087E">
        <w:rPr>
          <w:rFonts w:ascii="Arial" w:hAnsi="Arial" w:cs="Arial"/>
        </w:rPr>
        <w:t xml:space="preserve"> z oprogramowaniem, portali internetowych, </w:t>
      </w:r>
      <w:r w:rsidRPr="0064087E">
        <w:rPr>
          <w:rFonts w:ascii="Arial" w:hAnsi="Arial" w:cs="Arial"/>
        </w:rPr>
        <w:br/>
        <w:t>w zakresie telekomunikacji przewodowej, związaną z doradztwem w zakresie informatyki, wydawniczą w zakresie pozostałego oprogramowania, przetwarzaniem danych; zarządzaniem stronami internetowymi (hosting) i podobn</w:t>
      </w:r>
      <w:r w:rsidR="00881089" w:rsidRPr="0064087E">
        <w:rPr>
          <w:rFonts w:ascii="Arial" w:hAnsi="Arial" w:cs="Arial"/>
        </w:rPr>
        <w:t>ą</w:t>
      </w:r>
      <w:r w:rsidRPr="0064087E">
        <w:rPr>
          <w:rFonts w:ascii="Arial" w:hAnsi="Arial" w:cs="Arial"/>
        </w:rPr>
        <w:t xml:space="preserve"> działalnością. Najmniejszą łączną kwotę przychodów z zeznania rocznego CIT-8 miały podmioty, które zajmowały się działalnością: w zakresie telekomunikacji bezprzewodowej, z wyłączeniem telekomunikacji satelitarnej, wydawniczą w zakresie gier komputerowych, w zakresie pozostałej telekomunikacji oraz agencji informacyjnych.</w:t>
      </w:r>
    </w:p>
    <w:p w:rsidR="00187A7B" w:rsidRPr="0064087E" w:rsidRDefault="00187A7B" w:rsidP="00187A7B">
      <w:pPr>
        <w:widowControl/>
        <w:autoSpaceDE/>
        <w:autoSpaceDN/>
        <w:spacing w:after="160" w:line="259" w:lineRule="auto"/>
        <w:rPr>
          <w:rFonts w:ascii="Arial" w:hAnsi="Arial" w:cs="Arial"/>
        </w:rPr>
      </w:pPr>
      <w:r w:rsidRPr="0064087E">
        <w:rPr>
          <w:rFonts w:ascii="Arial" w:hAnsi="Arial" w:cs="Arial"/>
        </w:rPr>
        <w:br w:type="page"/>
      </w:r>
    </w:p>
    <w:p w:rsidR="00101CBB" w:rsidRPr="0064087E" w:rsidRDefault="00101CBB" w:rsidP="00DB76F6">
      <w:pPr>
        <w:pStyle w:val="Legenda"/>
        <w:keepNext/>
        <w:spacing w:line="276" w:lineRule="auto"/>
        <w:rPr>
          <w:rFonts w:ascii="Arial" w:hAnsi="Arial" w:cs="Arial"/>
          <w:i w:val="0"/>
          <w:color w:val="auto"/>
          <w:sz w:val="22"/>
          <w:szCs w:val="22"/>
        </w:rPr>
      </w:pPr>
      <w:bookmarkStart w:id="50" w:name="_Toc160793536"/>
      <w:r w:rsidRPr="0064087E">
        <w:rPr>
          <w:rFonts w:ascii="Arial" w:hAnsi="Arial" w:cs="Arial"/>
          <w:b/>
          <w:i w:val="0"/>
          <w:color w:val="auto"/>
          <w:sz w:val="22"/>
          <w:szCs w:val="22"/>
        </w:rPr>
        <w:lastRenderedPageBreak/>
        <w:t xml:space="preserve">Wykres </w:t>
      </w:r>
      <w:r w:rsidR="005922CE">
        <w:rPr>
          <w:rFonts w:ascii="Arial" w:hAnsi="Arial" w:cs="Arial"/>
          <w:b/>
          <w:i w:val="0"/>
          <w:color w:val="auto"/>
          <w:sz w:val="22"/>
          <w:szCs w:val="22"/>
        </w:rPr>
        <w:fldChar w:fldCharType="begin"/>
      </w:r>
      <w:r w:rsidR="005922CE">
        <w:rPr>
          <w:rFonts w:ascii="Arial" w:hAnsi="Arial" w:cs="Arial"/>
          <w:b/>
          <w:i w:val="0"/>
          <w:color w:val="auto"/>
          <w:sz w:val="22"/>
          <w:szCs w:val="22"/>
        </w:rPr>
        <w:instrText xml:space="preserve"> SEQ Wykres \* ARABIC </w:instrText>
      </w:r>
      <w:r w:rsidR="005922CE">
        <w:rPr>
          <w:rFonts w:ascii="Arial" w:hAnsi="Arial" w:cs="Arial"/>
          <w:b/>
          <w:i w:val="0"/>
          <w:color w:val="auto"/>
          <w:sz w:val="22"/>
          <w:szCs w:val="22"/>
        </w:rPr>
        <w:fldChar w:fldCharType="separate"/>
      </w:r>
      <w:r w:rsidR="00884DAD">
        <w:rPr>
          <w:rFonts w:ascii="Arial" w:hAnsi="Arial" w:cs="Arial"/>
          <w:b/>
          <w:i w:val="0"/>
          <w:noProof/>
          <w:color w:val="auto"/>
          <w:sz w:val="22"/>
          <w:szCs w:val="22"/>
        </w:rPr>
        <w:t>30</w:t>
      </w:r>
      <w:r w:rsidR="005922CE">
        <w:rPr>
          <w:rFonts w:ascii="Arial" w:hAnsi="Arial" w:cs="Arial"/>
          <w:b/>
          <w:i w:val="0"/>
          <w:color w:val="auto"/>
          <w:sz w:val="22"/>
          <w:szCs w:val="22"/>
        </w:rPr>
        <w:fldChar w:fldCharType="end"/>
      </w:r>
      <w:r w:rsidR="00DA1871">
        <w:rPr>
          <w:rFonts w:ascii="Arial" w:hAnsi="Arial" w:cs="Arial"/>
          <w:b/>
          <w:i w:val="0"/>
          <w:color w:val="auto"/>
          <w:sz w:val="22"/>
          <w:szCs w:val="22"/>
        </w:rPr>
        <w:t>.</w:t>
      </w:r>
      <w:r w:rsidRPr="0064087E">
        <w:rPr>
          <w:rFonts w:ascii="Arial" w:hAnsi="Arial" w:cs="Arial"/>
          <w:i w:val="0"/>
          <w:color w:val="auto"/>
          <w:sz w:val="22"/>
          <w:szCs w:val="22"/>
        </w:rPr>
        <w:t xml:space="preserve"> Łączna kwota przychodów z zeznań rocznych CIT-8 składanych przez podmioty działające w branży inteligentna specjalizacja - informacja i telekomunikacja sekcja </w:t>
      </w:r>
      <w:r w:rsidR="00537B21">
        <w:rPr>
          <w:rFonts w:ascii="Arial" w:hAnsi="Arial" w:cs="Arial"/>
          <w:i w:val="0"/>
          <w:color w:val="auto"/>
          <w:sz w:val="22"/>
          <w:szCs w:val="22"/>
        </w:rPr>
        <w:br/>
      </w:r>
      <w:r w:rsidRPr="0064087E">
        <w:rPr>
          <w:rFonts w:ascii="Arial" w:hAnsi="Arial" w:cs="Arial"/>
          <w:i w:val="0"/>
          <w:color w:val="auto"/>
          <w:sz w:val="22"/>
          <w:szCs w:val="22"/>
        </w:rPr>
        <w:t>J - informacja i telekomunikacja w 2021 r.</w:t>
      </w:r>
      <w:bookmarkEnd w:id="50"/>
    </w:p>
    <w:p w:rsidR="00187A7B" w:rsidRPr="0064087E" w:rsidRDefault="00187A7B" w:rsidP="00187A7B">
      <w:pPr>
        <w:spacing w:after="120" w:line="276" w:lineRule="auto"/>
        <w:jc w:val="center"/>
        <w:rPr>
          <w:rFonts w:ascii="Arial" w:hAnsi="Arial" w:cs="Arial"/>
        </w:rPr>
      </w:pPr>
      <w:r w:rsidRPr="0064087E">
        <w:rPr>
          <w:noProof/>
          <w:lang w:eastAsia="pl-PL"/>
        </w:rPr>
        <w:drawing>
          <wp:inline distT="0" distB="0" distL="0" distR="0" wp14:anchorId="5E5EF14C" wp14:editId="7B5BCBF2">
            <wp:extent cx="5760720" cy="5035099"/>
            <wp:effectExtent l="0" t="0" r="0" b="0"/>
            <wp:docPr id="868425590" name="Wykres 868425590" descr="Łączna kwota przychodów z zeznań rocznych CIT-8 składanych przez podmioty działające w branży inteligentna specjalizacja - informacja i telekomunikacja sekcja &#10;J - informacja i telekomunikacja w 2021 r. Opis do wykresu znajduję się w tekście."/>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87A7B" w:rsidRPr="0064087E" w:rsidRDefault="00187A7B" w:rsidP="00187A7B">
      <w:pPr>
        <w:spacing w:after="120" w:line="276" w:lineRule="auto"/>
        <w:jc w:val="center"/>
        <w:rPr>
          <w:rFonts w:ascii="Arial" w:hAnsi="Arial" w:cs="Arial"/>
        </w:rPr>
      </w:pPr>
      <w:r w:rsidRPr="0064087E">
        <w:rPr>
          <w:rFonts w:ascii="Arial" w:hAnsi="Arial" w:cs="Arial"/>
        </w:rPr>
        <w:t xml:space="preserve">Źródło: Opracowanie własne na podstawie </w:t>
      </w:r>
      <w:r w:rsidR="00370846" w:rsidRPr="0064087E">
        <w:rPr>
          <w:rFonts w:ascii="Arial" w:hAnsi="Arial" w:cs="Arial"/>
        </w:rPr>
        <w:t xml:space="preserve">danych </w:t>
      </w:r>
      <w:r w:rsidRPr="0064087E">
        <w:rPr>
          <w:rFonts w:ascii="Arial" w:hAnsi="Arial" w:cs="Arial"/>
        </w:rPr>
        <w:t>Izby Administracji Skarbowej.</w:t>
      </w:r>
    </w:p>
    <w:p w:rsidR="00187A7B" w:rsidRPr="0064087E" w:rsidRDefault="00187A7B" w:rsidP="00DB76F6">
      <w:pPr>
        <w:spacing w:after="120" w:line="276" w:lineRule="auto"/>
        <w:rPr>
          <w:rFonts w:ascii="Arial" w:hAnsi="Arial" w:cs="Arial"/>
        </w:rPr>
      </w:pPr>
      <w:r w:rsidRPr="0064087E">
        <w:rPr>
          <w:rFonts w:ascii="Arial" w:hAnsi="Arial" w:cs="Arial"/>
        </w:rPr>
        <w:t>W 2021 r. największą łączną kwotę kosztów uzyskania przychodu z zeznania rocznego CIT-8 miały podmioty, które zajmowały się działalnością: związan</w:t>
      </w:r>
      <w:r w:rsidR="00881089" w:rsidRPr="0064087E">
        <w:rPr>
          <w:rFonts w:ascii="Arial" w:hAnsi="Arial" w:cs="Arial"/>
        </w:rPr>
        <w:t>ą</w:t>
      </w:r>
      <w:r w:rsidRPr="0064087E">
        <w:rPr>
          <w:rFonts w:ascii="Arial" w:hAnsi="Arial" w:cs="Arial"/>
        </w:rPr>
        <w:t xml:space="preserve"> z oprogramowaniem, portali internetowych, w zakresie telekomunikacji przewodowej, wydawnicz</w:t>
      </w:r>
      <w:r w:rsidR="00881089" w:rsidRPr="0064087E">
        <w:rPr>
          <w:rFonts w:ascii="Arial" w:hAnsi="Arial" w:cs="Arial"/>
        </w:rPr>
        <w:t>ą</w:t>
      </w:r>
      <w:r w:rsidRPr="0064087E">
        <w:rPr>
          <w:rFonts w:ascii="Arial" w:hAnsi="Arial" w:cs="Arial"/>
        </w:rPr>
        <w:t xml:space="preserve"> w zakresie pozostałego oprogramowania oraz związan</w:t>
      </w:r>
      <w:r w:rsidR="00881089" w:rsidRPr="0064087E">
        <w:rPr>
          <w:rFonts w:ascii="Arial" w:hAnsi="Arial" w:cs="Arial"/>
        </w:rPr>
        <w:t>ą</w:t>
      </w:r>
      <w:r w:rsidRPr="0064087E">
        <w:rPr>
          <w:rFonts w:ascii="Arial" w:hAnsi="Arial" w:cs="Arial"/>
        </w:rPr>
        <w:t xml:space="preserve"> z doradztwem w zakresie informatyki. Najmniejszą łączną kwotę kosztów uzyskania przychodów z zeznania rocznego CIT-8 miały podmioty, które zajmowały się działalnością: związan</w:t>
      </w:r>
      <w:r w:rsidR="00881089" w:rsidRPr="0064087E">
        <w:rPr>
          <w:rFonts w:ascii="Arial" w:hAnsi="Arial" w:cs="Arial"/>
        </w:rPr>
        <w:t>ą</w:t>
      </w:r>
      <w:r w:rsidRPr="0064087E">
        <w:rPr>
          <w:rFonts w:ascii="Arial" w:hAnsi="Arial" w:cs="Arial"/>
        </w:rPr>
        <w:t xml:space="preserve"> z zarządzaniem urządzeniami informatycznymi, w zakresie telekomunikacji bezprzewodowej, z wyłączeniem telekomunikacji satelitarnej, w zakresie pozostałej telekomunikacji, wydawniczą w zakresie gier komputerowych, agencji informacyjnych.</w:t>
      </w:r>
    </w:p>
    <w:p w:rsidR="00187A7B" w:rsidRPr="0064087E" w:rsidRDefault="00187A7B" w:rsidP="00187A7B">
      <w:pPr>
        <w:widowControl/>
        <w:autoSpaceDE/>
        <w:autoSpaceDN/>
        <w:spacing w:after="160" w:line="259" w:lineRule="auto"/>
        <w:rPr>
          <w:rFonts w:ascii="Arial" w:hAnsi="Arial" w:cs="Arial"/>
        </w:rPr>
      </w:pPr>
      <w:r w:rsidRPr="0064087E">
        <w:rPr>
          <w:rFonts w:ascii="Arial" w:hAnsi="Arial" w:cs="Arial"/>
        </w:rPr>
        <w:br w:type="page"/>
      </w:r>
    </w:p>
    <w:p w:rsidR="00101CBB" w:rsidRPr="0064087E" w:rsidRDefault="00101CBB" w:rsidP="00DB76F6">
      <w:pPr>
        <w:pStyle w:val="Legenda"/>
        <w:keepNext/>
        <w:spacing w:after="120" w:line="276" w:lineRule="auto"/>
        <w:rPr>
          <w:rFonts w:ascii="Arial" w:hAnsi="Arial" w:cs="Arial"/>
          <w:i w:val="0"/>
          <w:color w:val="auto"/>
          <w:sz w:val="22"/>
          <w:szCs w:val="22"/>
        </w:rPr>
      </w:pPr>
      <w:bookmarkStart w:id="51" w:name="_Toc160793537"/>
      <w:r w:rsidRPr="0064087E">
        <w:rPr>
          <w:rFonts w:ascii="Arial" w:hAnsi="Arial" w:cs="Arial"/>
          <w:b/>
          <w:i w:val="0"/>
          <w:color w:val="auto"/>
          <w:sz w:val="22"/>
          <w:szCs w:val="22"/>
        </w:rPr>
        <w:lastRenderedPageBreak/>
        <w:t xml:space="preserve">Wykres </w:t>
      </w:r>
      <w:r w:rsidR="005922CE">
        <w:rPr>
          <w:rFonts w:ascii="Arial" w:hAnsi="Arial" w:cs="Arial"/>
          <w:b/>
          <w:i w:val="0"/>
          <w:color w:val="auto"/>
          <w:sz w:val="22"/>
          <w:szCs w:val="22"/>
        </w:rPr>
        <w:fldChar w:fldCharType="begin"/>
      </w:r>
      <w:r w:rsidR="005922CE">
        <w:rPr>
          <w:rFonts w:ascii="Arial" w:hAnsi="Arial" w:cs="Arial"/>
          <w:b/>
          <w:i w:val="0"/>
          <w:color w:val="auto"/>
          <w:sz w:val="22"/>
          <w:szCs w:val="22"/>
        </w:rPr>
        <w:instrText xml:space="preserve"> SEQ Wykres \* ARABIC </w:instrText>
      </w:r>
      <w:r w:rsidR="005922CE">
        <w:rPr>
          <w:rFonts w:ascii="Arial" w:hAnsi="Arial" w:cs="Arial"/>
          <w:b/>
          <w:i w:val="0"/>
          <w:color w:val="auto"/>
          <w:sz w:val="22"/>
          <w:szCs w:val="22"/>
        </w:rPr>
        <w:fldChar w:fldCharType="separate"/>
      </w:r>
      <w:r w:rsidR="00884DAD">
        <w:rPr>
          <w:rFonts w:ascii="Arial" w:hAnsi="Arial" w:cs="Arial"/>
          <w:b/>
          <w:i w:val="0"/>
          <w:noProof/>
          <w:color w:val="auto"/>
          <w:sz w:val="22"/>
          <w:szCs w:val="22"/>
        </w:rPr>
        <w:t>31</w:t>
      </w:r>
      <w:r w:rsidR="005922CE">
        <w:rPr>
          <w:rFonts w:ascii="Arial" w:hAnsi="Arial" w:cs="Arial"/>
          <w:b/>
          <w:i w:val="0"/>
          <w:color w:val="auto"/>
          <w:sz w:val="22"/>
          <w:szCs w:val="22"/>
        </w:rPr>
        <w:fldChar w:fldCharType="end"/>
      </w:r>
      <w:r w:rsidR="00DA1871">
        <w:rPr>
          <w:rFonts w:ascii="Arial" w:hAnsi="Arial" w:cs="Arial"/>
          <w:b/>
          <w:i w:val="0"/>
          <w:color w:val="auto"/>
          <w:sz w:val="22"/>
          <w:szCs w:val="22"/>
        </w:rPr>
        <w:t>.</w:t>
      </w:r>
      <w:r w:rsidRPr="0064087E">
        <w:rPr>
          <w:rFonts w:ascii="Arial" w:hAnsi="Arial" w:cs="Arial"/>
          <w:i w:val="0"/>
          <w:color w:val="auto"/>
          <w:sz w:val="22"/>
          <w:szCs w:val="22"/>
        </w:rPr>
        <w:t xml:space="preserve"> Łączna kwota kosztów uzyskania przychodu z zeznań rocznych CIT-8 składanych przez podmioty działające w branży inteligentna specjalizacja - informacja </w:t>
      </w:r>
      <w:r w:rsidR="00A564A3">
        <w:rPr>
          <w:rFonts w:ascii="Arial" w:hAnsi="Arial" w:cs="Arial"/>
          <w:i w:val="0"/>
          <w:color w:val="auto"/>
          <w:sz w:val="22"/>
          <w:szCs w:val="22"/>
        </w:rPr>
        <w:br/>
      </w:r>
      <w:r w:rsidRPr="0064087E">
        <w:rPr>
          <w:rFonts w:ascii="Arial" w:hAnsi="Arial" w:cs="Arial"/>
          <w:i w:val="0"/>
          <w:color w:val="auto"/>
          <w:sz w:val="22"/>
          <w:szCs w:val="22"/>
        </w:rPr>
        <w:t>i telekomunikacja sekcja J - informacja i telekomunikacja w 2021 r.</w:t>
      </w:r>
      <w:bookmarkEnd w:id="51"/>
    </w:p>
    <w:p w:rsidR="00187A7B" w:rsidRPr="0064087E" w:rsidRDefault="00187A7B" w:rsidP="00187A7B">
      <w:pPr>
        <w:spacing w:after="120" w:line="276" w:lineRule="auto"/>
        <w:jc w:val="center"/>
        <w:rPr>
          <w:rFonts w:ascii="Arial" w:hAnsi="Arial" w:cs="Arial"/>
        </w:rPr>
      </w:pPr>
      <w:r w:rsidRPr="0064087E">
        <w:rPr>
          <w:noProof/>
          <w:lang w:eastAsia="pl-PL"/>
        </w:rPr>
        <w:drawing>
          <wp:inline distT="0" distB="0" distL="0" distR="0" wp14:anchorId="0BABECDE" wp14:editId="5DAAAE21">
            <wp:extent cx="5760720" cy="5120640"/>
            <wp:effectExtent l="0" t="0" r="0" b="3810"/>
            <wp:docPr id="211735587" name="Wykres 211735587" descr="Łączna kwota kosztów uzyskania przychodu z zeznań rocznych CIT-8 składanych przez podmioty działające w branży inteligentna specjalizacja - informacja &#10;i telekomunikacja sekcja J - informacja i telekomunikacja w 2021 r. Opis do wykresu znajduję się w tekście"/>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87A7B" w:rsidRPr="0064087E" w:rsidRDefault="00187A7B" w:rsidP="00187A7B">
      <w:pPr>
        <w:spacing w:after="120" w:line="276" w:lineRule="auto"/>
        <w:jc w:val="center"/>
        <w:rPr>
          <w:rFonts w:ascii="Arial" w:hAnsi="Arial" w:cs="Arial"/>
        </w:rPr>
      </w:pPr>
      <w:r w:rsidRPr="0064087E">
        <w:rPr>
          <w:rFonts w:ascii="Arial" w:hAnsi="Arial" w:cs="Arial"/>
        </w:rPr>
        <w:t xml:space="preserve">Źródło: Opracowanie własne na podstawie </w:t>
      </w:r>
      <w:r w:rsidR="00370846" w:rsidRPr="0064087E">
        <w:rPr>
          <w:rFonts w:ascii="Arial" w:hAnsi="Arial" w:cs="Arial"/>
        </w:rPr>
        <w:t xml:space="preserve">danych </w:t>
      </w:r>
      <w:r w:rsidRPr="0064087E">
        <w:rPr>
          <w:rFonts w:ascii="Arial" w:hAnsi="Arial" w:cs="Arial"/>
        </w:rPr>
        <w:t>Izby Administracji Skarbowej.</w:t>
      </w:r>
    </w:p>
    <w:p w:rsidR="00187A7B" w:rsidRPr="0064087E" w:rsidRDefault="00187A7B" w:rsidP="00DB76F6">
      <w:pPr>
        <w:spacing w:after="120" w:line="276" w:lineRule="auto"/>
        <w:rPr>
          <w:rFonts w:ascii="Arial" w:hAnsi="Arial" w:cs="Arial"/>
        </w:rPr>
      </w:pPr>
      <w:r w:rsidRPr="0064087E">
        <w:rPr>
          <w:rFonts w:ascii="Arial" w:hAnsi="Arial" w:cs="Arial"/>
        </w:rPr>
        <w:t xml:space="preserve">W 2021 r. największą łączną kwotę osiągniętego dochodu z zeznania rocznego CIT-8 miały podmioty, które zajmowały się działalnością: związaną z oprogramowaniem, w zakresie telekomunikacji przewodowej, portali internetowych, związaną z doradztwem w zakresie informatyki, pozostała działalność usługowa w zakresie technologii informatycznych </w:t>
      </w:r>
      <w:r w:rsidRPr="0064087E">
        <w:rPr>
          <w:rFonts w:ascii="Arial" w:hAnsi="Arial" w:cs="Arial"/>
        </w:rPr>
        <w:br/>
        <w:t xml:space="preserve">i komputerowych. Najmniejszą łączną kwotę osiągniętego dochodu z zeznania rocznego </w:t>
      </w:r>
      <w:r w:rsidR="00EF2329">
        <w:rPr>
          <w:rFonts w:ascii="Arial" w:hAnsi="Arial" w:cs="Arial"/>
        </w:rPr>
        <w:br/>
      </w:r>
      <w:r w:rsidRPr="0064087E">
        <w:rPr>
          <w:rFonts w:ascii="Arial" w:hAnsi="Arial" w:cs="Arial"/>
        </w:rPr>
        <w:t>CIT-8 miały podmioty, które zajmowały się działalnością: w zakresie telekomunikacji bezprzewodowej, z wyłączeniem telekomunikacji satelitarnej, pozostałą działalność usługową w zakresie informacji, gdzie indziej niesklasyfikowana, wydawniczą w zakresie gier komputerowych, w zakresie pozostałej telekomunikacji, agencji informacyjnych.</w:t>
      </w:r>
    </w:p>
    <w:p w:rsidR="00187A7B" w:rsidRPr="0064087E" w:rsidRDefault="00187A7B" w:rsidP="00187A7B">
      <w:pPr>
        <w:widowControl/>
        <w:autoSpaceDE/>
        <w:autoSpaceDN/>
        <w:spacing w:after="160" w:line="259" w:lineRule="auto"/>
        <w:rPr>
          <w:rFonts w:ascii="Arial" w:hAnsi="Arial" w:cs="Arial"/>
        </w:rPr>
      </w:pPr>
      <w:r w:rsidRPr="0064087E">
        <w:rPr>
          <w:rFonts w:ascii="Arial" w:hAnsi="Arial" w:cs="Arial"/>
        </w:rPr>
        <w:br w:type="page"/>
      </w:r>
    </w:p>
    <w:p w:rsidR="00101CBB" w:rsidRPr="0064087E" w:rsidRDefault="00101CBB" w:rsidP="00DB76F6">
      <w:pPr>
        <w:pStyle w:val="Legenda"/>
        <w:keepNext/>
        <w:spacing w:after="120" w:line="276" w:lineRule="auto"/>
        <w:rPr>
          <w:rFonts w:ascii="Arial" w:hAnsi="Arial" w:cs="Arial"/>
          <w:i w:val="0"/>
          <w:color w:val="auto"/>
          <w:sz w:val="22"/>
          <w:szCs w:val="22"/>
        </w:rPr>
      </w:pPr>
      <w:bookmarkStart w:id="52" w:name="_Toc160793538"/>
      <w:r w:rsidRPr="0064087E">
        <w:rPr>
          <w:rFonts w:ascii="Arial" w:hAnsi="Arial" w:cs="Arial"/>
          <w:b/>
          <w:i w:val="0"/>
          <w:color w:val="auto"/>
          <w:sz w:val="22"/>
          <w:szCs w:val="22"/>
        </w:rPr>
        <w:lastRenderedPageBreak/>
        <w:t xml:space="preserve">Wykres </w:t>
      </w:r>
      <w:r w:rsidR="005922CE">
        <w:rPr>
          <w:rFonts w:ascii="Arial" w:hAnsi="Arial" w:cs="Arial"/>
          <w:b/>
          <w:i w:val="0"/>
          <w:color w:val="auto"/>
          <w:sz w:val="22"/>
          <w:szCs w:val="22"/>
        </w:rPr>
        <w:fldChar w:fldCharType="begin"/>
      </w:r>
      <w:r w:rsidR="005922CE">
        <w:rPr>
          <w:rFonts w:ascii="Arial" w:hAnsi="Arial" w:cs="Arial"/>
          <w:b/>
          <w:i w:val="0"/>
          <w:color w:val="auto"/>
          <w:sz w:val="22"/>
          <w:szCs w:val="22"/>
        </w:rPr>
        <w:instrText xml:space="preserve"> SEQ Wykres \* ARABIC </w:instrText>
      </w:r>
      <w:r w:rsidR="005922CE">
        <w:rPr>
          <w:rFonts w:ascii="Arial" w:hAnsi="Arial" w:cs="Arial"/>
          <w:b/>
          <w:i w:val="0"/>
          <w:color w:val="auto"/>
          <w:sz w:val="22"/>
          <w:szCs w:val="22"/>
        </w:rPr>
        <w:fldChar w:fldCharType="separate"/>
      </w:r>
      <w:r w:rsidR="00884DAD">
        <w:rPr>
          <w:rFonts w:ascii="Arial" w:hAnsi="Arial" w:cs="Arial"/>
          <w:b/>
          <w:i w:val="0"/>
          <w:noProof/>
          <w:color w:val="auto"/>
          <w:sz w:val="22"/>
          <w:szCs w:val="22"/>
        </w:rPr>
        <w:t>32</w:t>
      </w:r>
      <w:r w:rsidR="005922CE">
        <w:rPr>
          <w:rFonts w:ascii="Arial" w:hAnsi="Arial" w:cs="Arial"/>
          <w:b/>
          <w:i w:val="0"/>
          <w:color w:val="auto"/>
          <w:sz w:val="22"/>
          <w:szCs w:val="22"/>
        </w:rPr>
        <w:fldChar w:fldCharType="end"/>
      </w:r>
      <w:r w:rsidR="00DA1871">
        <w:rPr>
          <w:rFonts w:ascii="Arial" w:hAnsi="Arial" w:cs="Arial"/>
          <w:b/>
          <w:i w:val="0"/>
          <w:color w:val="auto"/>
          <w:sz w:val="22"/>
          <w:szCs w:val="22"/>
        </w:rPr>
        <w:t>.</w:t>
      </w:r>
      <w:r w:rsidRPr="0064087E">
        <w:rPr>
          <w:rFonts w:ascii="Arial" w:hAnsi="Arial" w:cs="Arial"/>
          <w:i w:val="0"/>
          <w:color w:val="auto"/>
          <w:sz w:val="22"/>
          <w:szCs w:val="22"/>
        </w:rPr>
        <w:t xml:space="preserve"> Łączna kwota osiągniętego dochodu z zeznań rocznych CIT-8 składanych przez podmioty działające w branży inteligentna specjalizacja - informacja i telekomunikacja sekcja J - informacja i telekomunikacja w 2021 r.</w:t>
      </w:r>
      <w:bookmarkEnd w:id="52"/>
    </w:p>
    <w:p w:rsidR="00187A7B" w:rsidRPr="0064087E" w:rsidRDefault="00187A7B" w:rsidP="00187A7B">
      <w:pPr>
        <w:spacing w:after="120" w:line="276" w:lineRule="auto"/>
        <w:jc w:val="center"/>
        <w:rPr>
          <w:rFonts w:ascii="Arial" w:hAnsi="Arial" w:cs="Arial"/>
        </w:rPr>
      </w:pPr>
      <w:r w:rsidRPr="0064087E">
        <w:rPr>
          <w:noProof/>
          <w:lang w:eastAsia="pl-PL"/>
        </w:rPr>
        <w:drawing>
          <wp:inline distT="0" distB="0" distL="0" distR="0" wp14:anchorId="77E70BA4" wp14:editId="75B682BE">
            <wp:extent cx="5760720" cy="4857219"/>
            <wp:effectExtent l="0" t="0" r="0" b="635"/>
            <wp:docPr id="642638596" name="Wykres 642638596" descr="Łączna kwota osiągniętego dochodu z zeznań rocznych CIT-8 składanych przez podmioty działające w branży inteligentna specjalizacja - informacja i telekomunikacja sekcja J - informacja i telekomunikacja w 2021 r. Opis do wykresu znajduję się w tekście"/>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87A7B" w:rsidRPr="0064087E" w:rsidRDefault="00187A7B" w:rsidP="00187A7B">
      <w:pPr>
        <w:spacing w:after="120" w:line="276" w:lineRule="auto"/>
        <w:jc w:val="center"/>
        <w:rPr>
          <w:rFonts w:ascii="Arial" w:hAnsi="Arial" w:cs="Arial"/>
        </w:rPr>
      </w:pPr>
      <w:r w:rsidRPr="0064087E">
        <w:rPr>
          <w:rFonts w:ascii="Arial" w:hAnsi="Arial" w:cs="Arial"/>
        </w:rPr>
        <w:t xml:space="preserve">Źródło: Opracowanie własne na podstawie </w:t>
      </w:r>
      <w:r w:rsidR="00370846" w:rsidRPr="0064087E">
        <w:rPr>
          <w:rFonts w:ascii="Arial" w:hAnsi="Arial" w:cs="Arial"/>
        </w:rPr>
        <w:t xml:space="preserve">danych </w:t>
      </w:r>
      <w:r w:rsidRPr="0064087E">
        <w:rPr>
          <w:rFonts w:ascii="Arial" w:hAnsi="Arial" w:cs="Arial"/>
        </w:rPr>
        <w:t>Izby Administracji Skarbowej.</w:t>
      </w:r>
    </w:p>
    <w:p w:rsidR="00187A7B" w:rsidRPr="0064087E" w:rsidRDefault="00187A7B" w:rsidP="00DB76F6">
      <w:pPr>
        <w:spacing w:after="120" w:line="276" w:lineRule="auto"/>
        <w:rPr>
          <w:rFonts w:ascii="Arial" w:hAnsi="Arial" w:cs="Arial"/>
        </w:rPr>
      </w:pPr>
      <w:r w:rsidRPr="0064087E">
        <w:rPr>
          <w:rFonts w:ascii="Arial" w:hAnsi="Arial" w:cs="Arial"/>
        </w:rPr>
        <w:t xml:space="preserve">W 2021 r. największą łączną kwotę poniesionej straty z zeznania rocznego CIT-8 miały podmioty, które zajmowały się działalnością związana z oprogramowaniem. Najmniejszą łączną kwotę poniesionej straty z zeznania rocznego CIT-8 miały podmioty, które zajmowały się działalnością: związana z zarządzaniem urządzeniami informatycznymi, w zakresie pozostałej telekomunikacji, wydawniczą w zakresie gier komputerowych, wydawniczą </w:t>
      </w:r>
      <w:r w:rsidRPr="0064087E">
        <w:rPr>
          <w:rFonts w:ascii="Arial" w:hAnsi="Arial" w:cs="Arial"/>
        </w:rPr>
        <w:br/>
        <w:t xml:space="preserve">w zakresie pozostałego oprogramowania, w zakresie telekomunikacji bezprzewodowej, </w:t>
      </w:r>
      <w:r w:rsidRPr="0064087E">
        <w:rPr>
          <w:rFonts w:ascii="Arial" w:hAnsi="Arial" w:cs="Arial"/>
        </w:rPr>
        <w:br/>
        <w:t>z wyłączeniem telekomunikacji satelitarnej, pozostała działalność usługowa w zakresie informacji, gdzie indziej niesklasyfikowana.</w:t>
      </w:r>
    </w:p>
    <w:p w:rsidR="00187A7B" w:rsidRPr="0064087E" w:rsidRDefault="00187A7B" w:rsidP="00187A7B">
      <w:pPr>
        <w:widowControl/>
        <w:autoSpaceDE/>
        <w:autoSpaceDN/>
        <w:spacing w:after="160" w:line="259" w:lineRule="auto"/>
        <w:rPr>
          <w:rFonts w:ascii="Arial" w:hAnsi="Arial" w:cs="Arial"/>
        </w:rPr>
      </w:pPr>
      <w:r w:rsidRPr="0064087E">
        <w:rPr>
          <w:rFonts w:ascii="Arial" w:hAnsi="Arial" w:cs="Arial"/>
        </w:rPr>
        <w:br w:type="page"/>
      </w:r>
    </w:p>
    <w:p w:rsidR="00101CBB" w:rsidRPr="0064087E" w:rsidRDefault="00101CBB" w:rsidP="00DB76F6">
      <w:pPr>
        <w:pStyle w:val="Legenda"/>
        <w:keepNext/>
        <w:spacing w:after="120" w:line="276" w:lineRule="auto"/>
        <w:rPr>
          <w:rFonts w:ascii="Arial" w:hAnsi="Arial" w:cs="Arial"/>
          <w:i w:val="0"/>
          <w:color w:val="auto"/>
          <w:sz w:val="22"/>
          <w:szCs w:val="22"/>
        </w:rPr>
      </w:pPr>
      <w:bookmarkStart w:id="53" w:name="_Toc160793539"/>
      <w:r w:rsidRPr="0064087E">
        <w:rPr>
          <w:rFonts w:ascii="Arial" w:hAnsi="Arial" w:cs="Arial"/>
          <w:b/>
          <w:i w:val="0"/>
          <w:color w:val="auto"/>
          <w:sz w:val="22"/>
          <w:szCs w:val="22"/>
        </w:rPr>
        <w:lastRenderedPageBreak/>
        <w:t xml:space="preserve">Wykres </w:t>
      </w:r>
      <w:r w:rsidR="005922CE">
        <w:rPr>
          <w:rFonts w:ascii="Arial" w:hAnsi="Arial" w:cs="Arial"/>
          <w:b/>
          <w:i w:val="0"/>
          <w:color w:val="auto"/>
          <w:sz w:val="22"/>
          <w:szCs w:val="22"/>
        </w:rPr>
        <w:fldChar w:fldCharType="begin"/>
      </w:r>
      <w:r w:rsidR="005922CE">
        <w:rPr>
          <w:rFonts w:ascii="Arial" w:hAnsi="Arial" w:cs="Arial"/>
          <w:b/>
          <w:i w:val="0"/>
          <w:color w:val="auto"/>
          <w:sz w:val="22"/>
          <w:szCs w:val="22"/>
        </w:rPr>
        <w:instrText xml:space="preserve"> SEQ Wykres \* ARABIC </w:instrText>
      </w:r>
      <w:r w:rsidR="005922CE">
        <w:rPr>
          <w:rFonts w:ascii="Arial" w:hAnsi="Arial" w:cs="Arial"/>
          <w:b/>
          <w:i w:val="0"/>
          <w:color w:val="auto"/>
          <w:sz w:val="22"/>
          <w:szCs w:val="22"/>
        </w:rPr>
        <w:fldChar w:fldCharType="separate"/>
      </w:r>
      <w:r w:rsidR="00884DAD">
        <w:rPr>
          <w:rFonts w:ascii="Arial" w:hAnsi="Arial" w:cs="Arial"/>
          <w:b/>
          <w:i w:val="0"/>
          <w:noProof/>
          <w:color w:val="auto"/>
          <w:sz w:val="22"/>
          <w:szCs w:val="22"/>
        </w:rPr>
        <w:t>33</w:t>
      </w:r>
      <w:r w:rsidR="005922CE">
        <w:rPr>
          <w:rFonts w:ascii="Arial" w:hAnsi="Arial" w:cs="Arial"/>
          <w:b/>
          <w:i w:val="0"/>
          <w:color w:val="auto"/>
          <w:sz w:val="22"/>
          <w:szCs w:val="22"/>
        </w:rPr>
        <w:fldChar w:fldCharType="end"/>
      </w:r>
      <w:r w:rsidR="00DA1871">
        <w:rPr>
          <w:rFonts w:ascii="Arial" w:hAnsi="Arial" w:cs="Arial"/>
          <w:b/>
          <w:i w:val="0"/>
          <w:color w:val="auto"/>
          <w:sz w:val="22"/>
          <w:szCs w:val="22"/>
        </w:rPr>
        <w:t>.</w:t>
      </w:r>
      <w:r w:rsidRPr="0064087E">
        <w:rPr>
          <w:rFonts w:ascii="Arial" w:hAnsi="Arial" w:cs="Arial"/>
          <w:i w:val="0"/>
          <w:color w:val="auto"/>
          <w:sz w:val="22"/>
          <w:szCs w:val="22"/>
        </w:rPr>
        <w:t xml:space="preserve"> Łączna kwota poniesionej straty z zeznań rocznych CIT-8 składanych przez podmioty działające w branży inteligentna specjalizacja - informacja i telekomunikacja sekcja J - informacja i telekomunikacja w 2021 r.</w:t>
      </w:r>
      <w:bookmarkEnd w:id="53"/>
    </w:p>
    <w:p w:rsidR="00187A7B" w:rsidRPr="0064087E" w:rsidRDefault="00187A7B" w:rsidP="00187A7B">
      <w:pPr>
        <w:spacing w:after="120" w:line="276" w:lineRule="auto"/>
        <w:jc w:val="center"/>
        <w:rPr>
          <w:rFonts w:ascii="Arial" w:hAnsi="Arial" w:cs="Arial"/>
        </w:rPr>
      </w:pPr>
      <w:r w:rsidRPr="0064087E">
        <w:rPr>
          <w:noProof/>
          <w:lang w:eastAsia="pl-PL"/>
        </w:rPr>
        <w:drawing>
          <wp:inline distT="0" distB="0" distL="0" distR="0" wp14:anchorId="75C2B013" wp14:editId="48E9CF40">
            <wp:extent cx="5760720" cy="5700789"/>
            <wp:effectExtent l="0" t="0" r="0" b="0"/>
            <wp:docPr id="785335935" name="Wykres 785335935" descr="Łączna kwota poniesionej straty z zeznań rocznych CIT-8 składanych przez podmioty działające w branży inteligentna specjalizacja - informacja i telekomunikacja sekcja J - informacja i telekomunikacja w 2021 r. Opis do wykresu znajduję się w tekście"/>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72B46" w:rsidRPr="0064087E" w:rsidRDefault="00187A7B" w:rsidP="00DB76F6">
      <w:pPr>
        <w:spacing w:after="120" w:line="276" w:lineRule="auto"/>
        <w:jc w:val="center"/>
        <w:rPr>
          <w:rFonts w:ascii="Arial" w:hAnsi="Arial" w:cs="Arial"/>
        </w:rPr>
      </w:pPr>
      <w:r w:rsidRPr="0064087E">
        <w:rPr>
          <w:rFonts w:ascii="Arial" w:hAnsi="Arial" w:cs="Arial"/>
        </w:rPr>
        <w:t>Źródło: Opracowanie własne na podstawie</w:t>
      </w:r>
      <w:r w:rsidR="00370846" w:rsidRPr="0064087E">
        <w:rPr>
          <w:rFonts w:ascii="Arial" w:hAnsi="Arial" w:cs="Arial"/>
        </w:rPr>
        <w:t xml:space="preserve"> danych</w:t>
      </w:r>
      <w:r w:rsidRPr="0064087E">
        <w:rPr>
          <w:rFonts w:ascii="Arial" w:hAnsi="Arial" w:cs="Arial"/>
        </w:rPr>
        <w:t xml:space="preserve"> Izby Administracji Skarbowej.</w:t>
      </w:r>
    </w:p>
    <w:p w:rsidR="00DB76F6" w:rsidRDefault="00187A7B" w:rsidP="007A1D01">
      <w:pPr>
        <w:spacing w:after="120" w:line="276" w:lineRule="auto"/>
        <w:jc w:val="both"/>
        <w:rPr>
          <w:rFonts w:ascii="Arial" w:hAnsi="Arial" w:cs="Arial"/>
        </w:rPr>
      </w:pPr>
      <w:r w:rsidRPr="0064087E">
        <w:rPr>
          <w:rFonts w:ascii="Arial" w:hAnsi="Arial" w:cs="Arial"/>
        </w:rPr>
        <w:t>Firmy z branży informacja i telekomunikacja</w:t>
      </w:r>
      <w:r w:rsidR="000D2D7A" w:rsidRPr="0064087E">
        <w:rPr>
          <w:rFonts w:ascii="Arial" w:hAnsi="Arial" w:cs="Arial"/>
        </w:rPr>
        <w:t xml:space="preserve"> (s</w:t>
      </w:r>
      <w:r w:rsidRPr="0064087E">
        <w:rPr>
          <w:rFonts w:ascii="Arial" w:hAnsi="Arial" w:cs="Arial"/>
        </w:rPr>
        <w:t>ekcj</w:t>
      </w:r>
      <w:r w:rsidR="000D2D7A" w:rsidRPr="0064087E">
        <w:rPr>
          <w:rFonts w:ascii="Arial" w:hAnsi="Arial" w:cs="Arial"/>
        </w:rPr>
        <w:t xml:space="preserve">a </w:t>
      </w:r>
      <w:r w:rsidRPr="0064087E">
        <w:rPr>
          <w:rFonts w:ascii="Arial" w:hAnsi="Arial" w:cs="Arial"/>
        </w:rPr>
        <w:t>C i M</w:t>
      </w:r>
      <w:r w:rsidR="000D2D7A" w:rsidRPr="0064087E">
        <w:rPr>
          <w:rFonts w:ascii="Arial" w:hAnsi="Arial" w:cs="Arial"/>
        </w:rPr>
        <w:t>)</w:t>
      </w:r>
      <w:r w:rsidRPr="0064087E">
        <w:rPr>
          <w:rFonts w:ascii="Arial" w:hAnsi="Arial" w:cs="Arial"/>
        </w:rPr>
        <w:t xml:space="preserve"> występują na terenie 22 powiatów województwa, przy czym ich zagęszczenie występuje głównie w Rzeszowie oraz w powiatach: mieleckim, rzeszowskim, dębickim, krośnieńskim, przeworskim, stalowowolskim.</w:t>
      </w:r>
    </w:p>
    <w:p w:rsidR="00DB76F6" w:rsidRDefault="00DB76F6">
      <w:pPr>
        <w:widowControl/>
        <w:autoSpaceDE/>
        <w:autoSpaceDN/>
        <w:spacing w:after="160" w:line="259" w:lineRule="auto"/>
        <w:rPr>
          <w:rFonts w:ascii="Arial" w:hAnsi="Arial" w:cs="Arial"/>
        </w:rPr>
      </w:pPr>
      <w:r>
        <w:rPr>
          <w:rFonts w:ascii="Arial" w:hAnsi="Arial" w:cs="Arial"/>
        </w:rPr>
        <w:br w:type="page"/>
      </w:r>
    </w:p>
    <w:p w:rsidR="00187A7B" w:rsidRPr="0064087E" w:rsidRDefault="0068201F" w:rsidP="007A1D01">
      <w:pPr>
        <w:pStyle w:val="Legenda"/>
        <w:keepNext/>
        <w:spacing w:after="120" w:line="276" w:lineRule="auto"/>
        <w:jc w:val="both"/>
        <w:rPr>
          <w:rFonts w:ascii="Arial" w:hAnsi="Arial" w:cs="Arial"/>
          <w:i w:val="0"/>
          <w:color w:val="auto"/>
          <w:sz w:val="22"/>
          <w:szCs w:val="22"/>
        </w:rPr>
      </w:pPr>
      <w:bookmarkStart w:id="54" w:name="_Toc161123004"/>
      <w:r w:rsidRPr="0064087E">
        <w:rPr>
          <w:rFonts w:ascii="Arial" w:hAnsi="Arial" w:cs="Arial"/>
          <w:b/>
          <w:i w:val="0"/>
          <w:color w:val="auto"/>
          <w:sz w:val="22"/>
          <w:szCs w:val="22"/>
        </w:rPr>
        <w:lastRenderedPageBreak/>
        <w:t xml:space="preserve">Rysunek </w:t>
      </w:r>
      <w:r w:rsidRPr="0064087E">
        <w:rPr>
          <w:rFonts w:ascii="Arial" w:hAnsi="Arial" w:cs="Arial"/>
          <w:b/>
          <w:i w:val="0"/>
          <w:color w:val="auto"/>
          <w:sz w:val="22"/>
          <w:szCs w:val="22"/>
        </w:rPr>
        <w:fldChar w:fldCharType="begin"/>
      </w:r>
      <w:r w:rsidRPr="0064087E">
        <w:rPr>
          <w:rFonts w:ascii="Arial" w:hAnsi="Arial" w:cs="Arial"/>
          <w:b/>
          <w:i w:val="0"/>
          <w:color w:val="auto"/>
          <w:sz w:val="22"/>
          <w:szCs w:val="22"/>
        </w:rPr>
        <w:instrText xml:space="preserve"> SEQ Rysunek \* ARABIC </w:instrText>
      </w:r>
      <w:r w:rsidRPr="0064087E">
        <w:rPr>
          <w:rFonts w:ascii="Arial" w:hAnsi="Arial" w:cs="Arial"/>
          <w:b/>
          <w:i w:val="0"/>
          <w:color w:val="auto"/>
          <w:sz w:val="22"/>
          <w:szCs w:val="22"/>
        </w:rPr>
        <w:fldChar w:fldCharType="separate"/>
      </w:r>
      <w:r w:rsidR="00884DAD">
        <w:rPr>
          <w:rFonts w:ascii="Arial" w:hAnsi="Arial" w:cs="Arial"/>
          <w:b/>
          <w:i w:val="0"/>
          <w:noProof/>
          <w:color w:val="auto"/>
          <w:sz w:val="22"/>
          <w:szCs w:val="22"/>
        </w:rPr>
        <w:t>4</w:t>
      </w:r>
      <w:r w:rsidRPr="0064087E">
        <w:rPr>
          <w:rFonts w:ascii="Arial" w:hAnsi="Arial" w:cs="Arial"/>
          <w:b/>
          <w:i w:val="0"/>
          <w:color w:val="auto"/>
          <w:sz w:val="22"/>
          <w:szCs w:val="22"/>
        </w:rPr>
        <w:fldChar w:fldCharType="end"/>
      </w:r>
      <w:r w:rsidR="00DA1871">
        <w:rPr>
          <w:rFonts w:ascii="Arial" w:hAnsi="Arial" w:cs="Arial"/>
          <w:b/>
          <w:i w:val="0"/>
          <w:color w:val="auto"/>
          <w:sz w:val="22"/>
          <w:szCs w:val="22"/>
        </w:rPr>
        <w:t>.</w:t>
      </w:r>
      <w:r w:rsidRPr="0064087E">
        <w:rPr>
          <w:rFonts w:ascii="Arial" w:hAnsi="Arial" w:cs="Arial"/>
          <w:i w:val="0"/>
          <w:color w:val="auto"/>
          <w:sz w:val="22"/>
          <w:szCs w:val="22"/>
        </w:rPr>
        <w:t xml:space="preserve"> Rozmieszczenie firm sektora informacja i telekomunikacja w 2021 r. – sekcja </w:t>
      </w:r>
      <w:r w:rsidRPr="0064087E">
        <w:rPr>
          <w:rFonts w:ascii="Arial" w:hAnsi="Arial" w:cs="Arial"/>
          <w:i w:val="0"/>
          <w:color w:val="auto"/>
          <w:sz w:val="22"/>
          <w:szCs w:val="22"/>
        </w:rPr>
        <w:br/>
        <w:t>C i M.</w:t>
      </w:r>
      <w:bookmarkEnd w:id="54"/>
    </w:p>
    <w:p w:rsidR="00903B16" w:rsidRPr="0064087E" w:rsidRDefault="00903B16" w:rsidP="00903B16">
      <w:pPr>
        <w:spacing w:after="120"/>
      </w:pPr>
      <w:r w:rsidRPr="0064087E">
        <w:rPr>
          <w:rFonts w:ascii="Arial" w:hAnsi="Arial" w:cs="Arial"/>
          <w:noProof/>
          <w:lang w:eastAsia="pl-PL"/>
        </w:rPr>
        <w:drawing>
          <wp:inline distT="0" distB="0" distL="0" distR="0" wp14:anchorId="4CC097F3" wp14:editId="13922CFB">
            <wp:extent cx="5760720" cy="5159375"/>
            <wp:effectExtent l="0" t="0" r="0" b="3175"/>
            <wp:docPr id="774628555" name="Obraz 774628555" descr="Kontur województwa podkarpackiego w tym zaznaczone miejsca rozmieszczenia firm branży informacja i telekomunikacja. Najwięcej firm znajduje się w Miasto Rzeszów, Mielec, Trzebownisko, Dębica, Stalowa wola, Miasto Krosno, Jarosław, Korczyna, Gać, Miasto Przemyśl i Tarnobrzeg, Kolbuszowa, Czarna, Mielec, Sanok, Strzyżów, Nowa dęba, Brzozów, Dębica, Jasło, Majdan królewski, Dukla, Jedlicze, Miejsce Piastowe, Leżajsk, Łańcut, Żołynia, Harasiuki, Nisko, Stubno, Przeworsk, Sieniawa, Tryńcza, Iwierzyce, Głogów małopolski, Świlcza, Be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a1_202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720" cy="5159375"/>
                    </a:xfrm>
                    <a:prstGeom prst="rect">
                      <a:avLst/>
                    </a:prstGeom>
                  </pic:spPr>
                </pic:pic>
              </a:graphicData>
            </a:graphic>
          </wp:inline>
        </w:drawing>
      </w:r>
    </w:p>
    <w:p w:rsidR="00187A7B" w:rsidRPr="0064087E" w:rsidRDefault="00187A7B" w:rsidP="00187A7B">
      <w:pPr>
        <w:spacing w:after="120" w:line="276" w:lineRule="auto"/>
        <w:jc w:val="center"/>
        <w:rPr>
          <w:rFonts w:ascii="Arial" w:hAnsi="Arial" w:cs="Arial"/>
        </w:rPr>
      </w:pPr>
      <w:r w:rsidRPr="0064087E">
        <w:rPr>
          <w:rFonts w:ascii="Arial" w:hAnsi="Arial" w:cs="Arial"/>
        </w:rPr>
        <w:t xml:space="preserve">Źródło: Opracowanie własne na podstawie </w:t>
      </w:r>
      <w:r w:rsidR="00370846" w:rsidRPr="0064087E">
        <w:rPr>
          <w:rFonts w:ascii="Arial" w:hAnsi="Arial" w:cs="Arial"/>
        </w:rPr>
        <w:t xml:space="preserve">danych </w:t>
      </w:r>
      <w:r w:rsidRPr="0064087E">
        <w:rPr>
          <w:rFonts w:ascii="Arial" w:hAnsi="Arial" w:cs="Arial"/>
        </w:rPr>
        <w:t>Izby Administracji Skarbowej.</w:t>
      </w:r>
    </w:p>
    <w:p w:rsidR="00445F0F" w:rsidRPr="0064087E" w:rsidRDefault="00445F0F" w:rsidP="00DB76F6">
      <w:pPr>
        <w:spacing w:after="120" w:line="276" w:lineRule="auto"/>
        <w:rPr>
          <w:rFonts w:ascii="Arial" w:hAnsi="Arial" w:cs="Arial"/>
        </w:rPr>
      </w:pPr>
      <w:r w:rsidRPr="0064087E">
        <w:rPr>
          <w:rFonts w:ascii="Arial" w:hAnsi="Arial" w:cs="Arial"/>
        </w:rPr>
        <w:t xml:space="preserve">W przedsiębiorstwach branż Przetwórstwo Przemysłowe (Sekcja C) oraz Działalność Profesjonalna, Naukowa i Techniczna (Sekcja M) w latach 2018-2022 łączna kwota przychodów z zeznań rocznych CIT-8 składanych przez podmioty była wysoka. W 2018 roku wynosiła najwięcej, bo aż 1 211,4 mln zł. W latach 2019 i 2020 nastąpił znaczny spadek. Natomiast w latach 2021-2022  kwota przychodów z zeznań rocznych CIT-8 zaczęła wzrastać i na koniec analizowanego okresu </w:t>
      </w:r>
      <w:r w:rsidR="00831718" w:rsidRPr="0064087E">
        <w:rPr>
          <w:rFonts w:ascii="Arial" w:hAnsi="Arial" w:cs="Arial"/>
        </w:rPr>
        <w:t xml:space="preserve">w 2022 r. </w:t>
      </w:r>
      <w:r w:rsidRPr="0064087E">
        <w:rPr>
          <w:rFonts w:ascii="Arial" w:hAnsi="Arial" w:cs="Arial"/>
        </w:rPr>
        <w:t>wynosiła 1 005,5 mln zł.</w:t>
      </w:r>
    </w:p>
    <w:p w:rsidR="00187A7B" w:rsidRPr="0064087E" w:rsidRDefault="00187A7B" w:rsidP="00DB76F6">
      <w:pPr>
        <w:widowControl/>
        <w:autoSpaceDE/>
        <w:autoSpaceDN/>
        <w:spacing w:after="160" w:line="259" w:lineRule="auto"/>
        <w:rPr>
          <w:rFonts w:ascii="Arial" w:hAnsi="Arial" w:cs="Arial"/>
        </w:rPr>
      </w:pPr>
      <w:r w:rsidRPr="0064087E">
        <w:rPr>
          <w:rFonts w:ascii="Arial" w:hAnsi="Arial" w:cs="Arial"/>
        </w:rPr>
        <w:br w:type="page"/>
      </w:r>
    </w:p>
    <w:p w:rsidR="00101CBB" w:rsidRPr="0064087E" w:rsidRDefault="00101CBB" w:rsidP="00DB76F6">
      <w:pPr>
        <w:pStyle w:val="Legenda"/>
        <w:keepNext/>
        <w:spacing w:after="120" w:line="276" w:lineRule="auto"/>
        <w:rPr>
          <w:rFonts w:ascii="Arial" w:hAnsi="Arial" w:cs="Arial"/>
          <w:i w:val="0"/>
          <w:color w:val="auto"/>
          <w:sz w:val="22"/>
          <w:szCs w:val="22"/>
        </w:rPr>
      </w:pPr>
      <w:bookmarkStart w:id="55" w:name="_Toc160793540"/>
      <w:r w:rsidRPr="0064087E">
        <w:rPr>
          <w:rFonts w:ascii="Arial" w:hAnsi="Arial" w:cs="Arial"/>
          <w:b/>
          <w:i w:val="0"/>
          <w:color w:val="auto"/>
          <w:sz w:val="22"/>
          <w:szCs w:val="22"/>
        </w:rPr>
        <w:lastRenderedPageBreak/>
        <w:t xml:space="preserve">Wykres </w:t>
      </w:r>
      <w:r w:rsidR="005922CE">
        <w:rPr>
          <w:rFonts w:ascii="Arial" w:hAnsi="Arial" w:cs="Arial"/>
          <w:b/>
          <w:i w:val="0"/>
          <w:color w:val="auto"/>
          <w:sz w:val="22"/>
          <w:szCs w:val="22"/>
        </w:rPr>
        <w:fldChar w:fldCharType="begin"/>
      </w:r>
      <w:r w:rsidR="005922CE">
        <w:rPr>
          <w:rFonts w:ascii="Arial" w:hAnsi="Arial" w:cs="Arial"/>
          <w:b/>
          <w:i w:val="0"/>
          <w:color w:val="auto"/>
          <w:sz w:val="22"/>
          <w:szCs w:val="22"/>
        </w:rPr>
        <w:instrText xml:space="preserve"> SEQ Wykres \* ARABIC </w:instrText>
      </w:r>
      <w:r w:rsidR="005922CE">
        <w:rPr>
          <w:rFonts w:ascii="Arial" w:hAnsi="Arial" w:cs="Arial"/>
          <w:b/>
          <w:i w:val="0"/>
          <w:color w:val="auto"/>
          <w:sz w:val="22"/>
          <w:szCs w:val="22"/>
        </w:rPr>
        <w:fldChar w:fldCharType="separate"/>
      </w:r>
      <w:r w:rsidR="00884DAD">
        <w:rPr>
          <w:rFonts w:ascii="Arial" w:hAnsi="Arial" w:cs="Arial"/>
          <w:b/>
          <w:i w:val="0"/>
          <w:noProof/>
          <w:color w:val="auto"/>
          <w:sz w:val="22"/>
          <w:szCs w:val="22"/>
        </w:rPr>
        <w:t>34</w:t>
      </w:r>
      <w:r w:rsidR="005922CE">
        <w:rPr>
          <w:rFonts w:ascii="Arial" w:hAnsi="Arial" w:cs="Arial"/>
          <w:b/>
          <w:i w:val="0"/>
          <w:color w:val="auto"/>
          <w:sz w:val="22"/>
          <w:szCs w:val="22"/>
        </w:rPr>
        <w:fldChar w:fldCharType="end"/>
      </w:r>
      <w:r w:rsidR="00DA1871">
        <w:rPr>
          <w:rFonts w:ascii="Arial" w:hAnsi="Arial" w:cs="Arial"/>
          <w:b/>
          <w:i w:val="0"/>
          <w:color w:val="auto"/>
          <w:sz w:val="22"/>
          <w:szCs w:val="22"/>
        </w:rPr>
        <w:t>.</w:t>
      </w:r>
      <w:r w:rsidRPr="0064087E">
        <w:rPr>
          <w:rFonts w:ascii="Arial" w:hAnsi="Arial" w:cs="Arial"/>
          <w:i w:val="0"/>
          <w:color w:val="auto"/>
          <w:sz w:val="22"/>
          <w:szCs w:val="22"/>
        </w:rPr>
        <w:t xml:space="preserve"> Łączna kwota przychodów z zeznań rocznych CIT-8 składanych przez podmioty działające w branży przetwórstwo przemysłowe Sekcja C oraz działalność profesjonalna, naukowa i techniczna Sekcja M w latach 2018-2022.</w:t>
      </w:r>
      <w:bookmarkEnd w:id="55"/>
    </w:p>
    <w:p w:rsidR="00187A7B" w:rsidRPr="0064087E" w:rsidRDefault="006E2D77" w:rsidP="00187A7B">
      <w:pPr>
        <w:spacing w:after="120" w:line="276" w:lineRule="auto"/>
        <w:jc w:val="center"/>
        <w:rPr>
          <w:rFonts w:ascii="Arial" w:hAnsi="Arial" w:cs="Arial"/>
        </w:rPr>
      </w:pPr>
      <w:r w:rsidRPr="0064087E">
        <w:rPr>
          <w:noProof/>
          <w:lang w:eastAsia="pl-PL"/>
        </w:rPr>
        <w:drawing>
          <wp:inline distT="0" distB="0" distL="0" distR="0" wp14:anchorId="69D45BA5" wp14:editId="12CCA734">
            <wp:extent cx="4314825" cy="2381250"/>
            <wp:effectExtent l="0" t="0" r="0" b="0"/>
            <wp:docPr id="38" name="Wykres 38" descr="Łączna kwota przychodów z zeznań rocznych CIT-8 składanych przez podmioty działające w branży przetwórstwo przemysłowe Sekcja C oraz działalność profesjonalna, naukowa i techniczna Sekcja M w latach 2018-2022. Opis do wykresu znajduję się w tekście">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87A7B" w:rsidRPr="0064087E" w:rsidRDefault="00187A7B" w:rsidP="00187A7B">
      <w:pPr>
        <w:spacing w:after="120" w:line="276" w:lineRule="auto"/>
        <w:jc w:val="center"/>
        <w:rPr>
          <w:rFonts w:ascii="Arial" w:hAnsi="Arial" w:cs="Arial"/>
        </w:rPr>
      </w:pPr>
      <w:r w:rsidRPr="0064087E">
        <w:rPr>
          <w:rFonts w:ascii="Arial" w:hAnsi="Arial" w:cs="Arial"/>
        </w:rPr>
        <w:t xml:space="preserve">Źródło: Opracowanie własne na podstawie </w:t>
      </w:r>
      <w:r w:rsidR="00370846" w:rsidRPr="0064087E">
        <w:rPr>
          <w:rFonts w:ascii="Arial" w:hAnsi="Arial" w:cs="Arial"/>
        </w:rPr>
        <w:t xml:space="preserve">danych </w:t>
      </w:r>
      <w:r w:rsidRPr="0064087E">
        <w:rPr>
          <w:rFonts w:ascii="Arial" w:hAnsi="Arial" w:cs="Arial"/>
        </w:rPr>
        <w:t>Izby Administracji Skarbowej.</w:t>
      </w:r>
    </w:p>
    <w:p w:rsidR="006E2D77" w:rsidRPr="0064087E" w:rsidRDefault="006E2D77" w:rsidP="00C500A0">
      <w:pPr>
        <w:spacing w:after="120" w:line="276" w:lineRule="auto"/>
        <w:rPr>
          <w:rFonts w:ascii="Arial" w:hAnsi="Arial" w:cs="Arial"/>
        </w:rPr>
      </w:pPr>
      <w:r w:rsidRPr="0064087E">
        <w:rPr>
          <w:rFonts w:ascii="Arial" w:hAnsi="Arial" w:cs="Arial"/>
        </w:rPr>
        <w:t xml:space="preserve">W przedsiębiorstwach branż Przetwórstwo Przemysłowe (Sekcja C) oraz Działalność Profesjonalna, Naukowa i Techniczna (Sekcja M) w latach 2018-2022 łączna kwota kosztów uzyskania przychodu z zeznań rocznych CIT-8 składanych przez podmioty była wysoka. </w:t>
      </w:r>
      <w:r w:rsidR="00101CBB" w:rsidRPr="0064087E">
        <w:rPr>
          <w:rFonts w:ascii="Arial" w:hAnsi="Arial" w:cs="Arial"/>
        </w:rPr>
        <w:br/>
      </w:r>
      <w:r w:rsidRPr="0064087E">
        <w:rPr>
          <w:rFonts w:ascii="Arial" w:hAnsi="Arial" w:cs="Arial"/>
        </w:rPr>
        <w:t xml:space="preserve">W 2018 roku wynosiła najwięcej, bo aż 1 036,1 mln zł. W latach 2019 i 2020 nastąpił znaczny spadek. Natomiast w latach 2021-2022 kwota kosztów uzyskania przychodu </w:t>
      </w:r>
      <w:r w:rsidR="00C500A0">
        <w:rPr>
          <w:rFonts w:ascii="Arial" w:hAnsi="Arial" w:cs="Arial"/>
        </w:rPr>
        <w:br/>
      </w:r>
      <w:r w:rsidRPr="0064087E">
        <w:rPr>
          <w:rFonts w:ascii="Arial" w:hAnsi="Arial" w:cs="Arial"/>
        </w:rPr>
        <w:t xml:space="preserve">z zeznań rocznych CIT-8 zaczęła rosnąć i na koniec analizowanego okresu </w:t>
      </w:r>
      <w:r w:rsidR="00831718" w:rsidRPr="0064087E">
        <w:rPr>
          <w:rFonts w:ascii="Arial" w:hAnsi="Arial" w:cs="Arial"/>
        </w:rPr>
        <w:t xml:space="preserve">w 2022 r. </w:t>
      </w:r>
      <w:r w:rsidRPr="0064087E">
        <w:rPr>
          <w:rFonts w:ascii="Arial" w:hAnsi="Arial" w:cs="Arial"/>
        </w:rPr>
        <w:t>wynosiła 921,2 mln zł.</w:t>
      </w:r>
    </w:p>
    <w:p w:rsidR="005D1F6A" w:rsidRPr="0064087E" w:rsidRDefault="005D1F6A" w:rsidP="00C500A0">
      <w:pPr>
        <w:pStyle w:val="Legenda"/>
        <w:keepNext/>
        <w:spacing w:after="120" w:line="276" w:lineRule="auto"/>
        <w:rPr>
          <w:rFonts w:ascii="Arial" w:hAnsi="Arial" w:cs="Arial"/>
          <w:i w:val="0"/>
          <w:color w:val="auto"/>
          <w:sz w:val="22"/>
          <w:szCs w:val="22"/>
        </w:rPr>
      </w:pPr>
      <w:bookmarkStart w:id="56" w:name="_Toc160793541"/>
      <w:r w:rsidRPr="0064087E">
        <w:rPr>
          <w:rFonts w:ascii="Arial" w:hAnsi="Arial" w:cs="Arial"/>
          <w:b/>
          <w:i w:val="0"/>
          <w:color w:val="auto"/>
          <w:sz w:val="22"/>
          <w:szCs w:val="22"/>
        </w:rPr>
        <w:t xml:space="preserve">Wykres </w:t>
      </w:r>
      <w:r w:rsidR="005922CE">
        <w:rPr>
          <w:rFonts w:ascii="Arial" w:hAnsi="Arial" w:cs="Arial"/>
          <w:b/>
          <w:i w:val="0"/>
          <w:color w:val="auto"/>
          <w:sz w:val="22"/>
          <w:szCs w:val="22"/>
        </w:rPr>
        <w:fldChar w:fldCharType="begin"/>
      </w:r>
      <w:r w:rsidR="005922CE">
        <w:rPr>
          <w:rFonts w:ascii="Arial" w:hAnsi="Arial" w:cs="Arial"/>
          <w:b/>
          <w:i w:val="0"/>
          <w:color w:val="auto"/>
          <w:sz w:val="22"/>
          <w:szCs w:val="22"/>
        </w:rPr>
        <w:instrText xml:space="preserve"> SEQ Wykres \* ARABIC </w:instrText>
      </w:r>
      <w:r w:rsidR="005922CE">
        <w:rPr>
          <w:rFonts w:ascii="Arial" w:hAnsi="Arial" w:cs="Arial"/>
          <w:b/>
          <w:i w:val="0"/>
          <w:color w:val="auto"/>
          <w:sz w:val="22"/>
          <w:szCs w:val="22"/>
        </w:rPr>
        <w:fldChar w:fldCharType="separate"/>
      </w:r>
      <w:r w:rsidR="00884DAD">
        <w:rPr>
          <w:rFonts w:ascii="Arial" w:hAnsi="Arial" w:cs="Arial"/>
          <w:b/>
          <w:i w:val="0"/>
          <w:noProof/>
          <w:color w:val="auto"/>
          <w:sz w:val="22"/>
          <w:szCs w:val="22"/>
        </w:rPr>
        <w:t>35</w:t>
      </w:r>
      <w:r w:rsidR="005922CE">
        <w:rPr>
          <w:rFonts w:ascii="Arial" w:hAnsi="Arial" w:cs="Arial"/>
          <w:b/>
          <w:i w:val="0"/>
          <w:color w:val="auto"/>
          <w:sz w:val="22"/>
          <w:szCs w:val="22"/>
        </w:rPr>
        <w:fldChar w:fldCharType="end"/>
      </w:r>
      <w:r w:rsidR="00DA1871">
        <w:rPr>
          <w:rFonts w:ascii="Arial" w:hAnsi="Arial" w:cs="Arial"/>
          <w:b/>
          <w:i w:val="0"/>
          <w:color w:val="auto"/>
          <w:sz w:val="22"/>
          <w:szCs w:val="22"/>
        </w:rPr>
        <w:t>.</w:t>
      </w:r>
      <w:r w:rsidRPr="0064087E">
        <w:rPr>
          <w:rFonts w:ascii="Arial" w:hAnsi="Arial" w:cs="Arial"/>
          <w:i w:val="0"/>
          <w:color w:val="auto"/>
          <w:sz w:val="22"/>
          <w:szCs w:val="22"/>
        </w:rPr>
        <w:t xml:space="preserve"> Łączna kwota kosztów uzyskania przychodu z zeznań rocznych CIT-8 składanych przez podmioty działające w branży przetwórstwo przemysłowe Sekcja C oraz działalność profesjonalna, naukowa i techniczna Sekcja M w latach 2018-2022.</w:t>
      </w:r>
      <w:bookmarkEnd w:id="56"/>
    </w:p>
    <w:p w:rsidR="00187A7B" w:rsidRPr="0064087E" w:rsidRDefault="006E2D77" w:rsidP="00187A7B">
      <w:pPr>
        <w:spacing w:after="120" w:line="276" w:lineRule="auto"/>
        <w:jc w:val="center"/>
        <w:rPr>
          <w:rFonts w:ascii="Arial" w:hAnsi="Arial" w:cs="Arial"/>
        </w:rPr>
      </w:pPr>
      <w:r w:rsidRPr="0064087E">
        <w:rPr>
          <w:noProof/>
          <w:lang w:eastAsia="pl-PL"/>
        </w:rPr>
        <w:drawing>
          <wp:inline distT="0" distB="0" distL="0" distR="0" wp14:anchorId="50373CB2" wp14:editId="72206B74">
            <wp:extent cx="4314825" cy="2333625"/>
            <wp:effectExtent l="0" t="0" r="0" b="0"/>
            <wp:docPr id="39" name="Wykres 39" descr="Łączna kwota kosztów uzyskania przychodu z zeznań rocznych CIT-8 składanych przez podmioty działające w branży przetwórstwo przemysłowe Sekcja C oraz działalność profesjonalna, naukowa i techniczna Sekcja M w latach 2018-2022. Opis do wykresu znajduję się w tekście">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87A7B" w:rsidRPr="0064087E" w:rsidRDefault="00187A7B" w:rsidP="00187A7B">
      <w:pPr>
        <w:spacing w:after="120" w:line="276" w:lineRule="auto"/>
        <w:jc w:val="center"/>
        <w:rPr>
          <w:rFonts w:ascii="Arial" w:hAnsi="Arial" w:cs="Arial"/>
        </w:rPr>
      </w:pPr>
      <w:r w:rsidRPr="0064087E">
        <w:rPr>
          <w:rFonts w:ascii="Arial" w:hAnsi="Arial" w:cs="Arial"/>
        </w:rPr>
        <w:t xml:space="preserve">Źródło: Opracowanie własne na podstawie </w:t>
      </w:r>
      <w:r w:rsidR="00370846" w:rsidRPr="0064087E">
        <w:rPr>
          <w:rFonts w:ascii="Arial" w:hAnsi="Arial" w:cs="Arial"/>
        </w:rPr>
        <w:t xml:space="preserve">danych </w:t>
      </w:r>
      <w:r w:rsidRPr="0064087E">
        <w:rPr>
          <w:rFonts w:ascii="Arial" w:hAnsi="Arial" w:cs="Arial"/>
        </w:rPr>
        <w:t>Izby Administracji Skarbowej.</w:t>
      </w:r>
    </w:p>
    <w:p w:rsidR="006E2D77" w:rsidRPr="0064087E" w:rsidRDefault="006E2D77" w:rsidP="00C500A0">
      <w:pPr>
        <w:spacing w:after="120" w:line="276" w:lineRule="auto"/>
        <w:rPr>
          <w:rFonts w:ascii="Arial" w:hAnsi="Arial" w:cs="Arial"/>
        </w:rPr>
      </w:pPr>
      <w:r w:rsidRPr="0064087E">
        <w:rPr>
          <w:rFonts w:ascii="Arial" w:hAnsi="Arial" w:cs="Arial"/>
        </w:rPr>
        <w:t xml:space="preserve">W przedsiębiorstwach branż Przetwórstwo Przemysłowe (Sekcja C) oraz Działalność Profesjonalna, Naukowa i Techniczna (Sekcja M) w latach 2018-2022 łączna kwota osiągniętego dochodu z zeznań rocznych CIT-8 składanych przez podmioty była wysoka. </w:t>
      </w:r>
      <w:r w:rsidR="00101CBB" w:rsidRPr="0064087E">
        <w:rPr>
          <w:rFonts w:ascii="Arial" w:hAnsi="Arial" w:cs="Arial"/>
        </w:rPr>
        <w:br/>
      </w:r>
      <w:r w:rsidRPr="0064087E">
        <w:rPr>
          <w:rFonts w:ascii="Arial" w:hAnsi="Arial" w:cs="Arial"/>
        </w:rPr>
        <w:t xml:space="preserve">W 2018 roku wynosiła najwięcej, bo aż 180,8 mln zł. W latach 2019 i 2020 nastąpił znaczny </w:t>
      </w:r>
      <w:r w:rsidRPr="0064087E">
        <w:rPr>
          <w:rFonts w:ascii="Arial" w:hAnsi="Arial" w:cs="Arial"/>
        </w:rPr>
        <w:lastRenderedPageBreak/>
        <w:t xml:space="preserve">spadek. Natomiast w latach 2021-2022 kwota osiągniętego dochodu z zeznań rocznych </w:t>
      </w:r>
      <w:r w:rsidR="00903B16" w:rsidRPr="0064087E">
        <w:rPr>
          <w:rFonts w:ascii="Arial" w:hAnsi="Arial" w:cs="Arial"/>
        </w:rPr>
        <w:br/>
      </w:r>
      <w:r w:rsidRPr="0064087E">
        <w:rPr>
          <w:rFonts w:ascii="Arial" w:hAnsi="Arial" w:cs="Arial"/>
        </w:rPr>
        <w:t>CIT-8 zaczęła wzrastać i na koniec analizowanego okresu</w:t>
      </w:r>
      <w:r w:rsidR="00831718" w:rsidRPr="0064087E">
        <w:rPr>
          <w:rFonts w:ascii="Arial" w:hAnsi="Arial" w:cs="Arial"/>
        </w:rPr>
        <w:t xml:space="preserve"> w 2022 r.</w:t>
      </w:r>
      <w:r w:rsidRPr="0064087E">
        <w:rPr>
          <w:rFonts w:ascii="Arial" w:hAnsi="Arial" w:cs="Arial"/>
        </w:rPr>
        <w:t xml:space="preserve"> wynosiła 99,6 mln zł.</w:t>
      </w:r>
    </w:p>
    <w:p w:rsidR="00CE2FDC" w:rsidRPr="0064087E" w:rsidRDefault="00CE2FDC" w:rsidP="00C500A0">
      <w:pPr>
        <w:pStyle w:val="Legenda"/>
        <w:keepNext/>
        <w:spacing w:after="120" w:line="276" w:lineRule="auto"/>
        <w:rPr>
          <w:rFonts w:ascii="Arial" w:hAnsi="Arial" w:cs="Arial"/>
          <w:i w:val="0"/>
          <w:color w:val="auto"/>
          <w:sz w:val="22"/>
          <w:szCs w:val="22"/>
        </w:rPr>
      </w:pPr>
      <w:bookmarkStart w:id="57" w:name="_Toc160793542"/>
      <w:r w:rsidRPr="0064087E">
        <w:rPr>
          <w:rFonts w:ascii="Arial" w:hAnsi="Arial" w:cs="Arial"/>
          <w:b/>
          <w:i w:val="0"/>
          <w:color w:val="auto"/>
          <w:sz w:val="22"/>
          <w:szCs w:val="22"/>
        </w:rPr>
        <w:t xml:space="preserve">Wykres </w:t>
      </w:r>
      <w:r w:rsidR="005922CE">
        <w:rPr>
          <w:rFonts w:ascii="Arial" w:hAnsi="Arial" w:cs="Arial"/>
          <w:b/>
          <w:i w:val="0"/>
          <w:color w:val="auto"/>
          <w:sz w:val="22"/>
          <w:szCs w:val="22"/>
        </w:rPr>
        <w:fldChar w:fldCharType="begin"/>
      </w:r>
      <w:r w:rsidR="005922CE">
        <w:rPr>
          <w:rFonts w:ascii="Arial" w:hAnsi="Arial" w:cs="Arial"/>
          <w:b/>
          <w:i w:val="0"/>
          <w:color w:val="auto"/>
          <w:sz w:val="22"/>
          <w:szCs w:val="22"/>
        </w:rPr>
        <w:instrText xml:space="preserve"> SEQ Wykres \* ARABIC </w:instrText>
      </w:r>
      <w:r w:rsidR="005922CE">
        <w:rPr>
          <w:rFonts w:ascii="Arial" w:hAnsi="Arial" w:cs="Arial"/>
          <w:b/>
          <w:i w:val="0"/>
          <w:color w:val="auto"/>
          <w:sz w:val="22"/>
          <w:szCs w:val="22"/>
        </w:rPr>
        <w:fldChar w:fldCharType="separate"/>
      </w:r>
      <w:r w:rsidR="00884DAD">
        <w:rPr>
          <w:rFonts w:ascii="Arial" w:hAnsi="Arial" w:cs="Arial"/>
          <w:b/>
          <w:i w:val="0"/>
          <w:noProof/>
          <w:color w:val="auto"/>
          <w:sz w:val="22"/>
          <w:szCs w:val="22"/>
        </w:rPr>
        <w:t>36</w:t>
      </w:r>
      <w:r w:rsidR="005922CE">
        <w:rPr>
          <w:rFonts w:ascii="Arial" w:hAnsi="Arial" w:cs="Arial"/>
          <w:b/>
          <w:i w:val="0"/>
          <w:color w:val="auto"/>
          <w:sz w:val="22"/>
          <w:szCs w:val="22"/>
        </w:rPr>
        <w:fldChar w:fldCharType="end"/>
      </w:r>
      <w:r w:rsidR="00DA1871">
        <w:rPr>
          <w:rFonts w:ascii="Arial" w:hAnsi="Arial" w:cs="Arial"/>
          <w:b/>
          <w:i w:val="0"/>
          <w:color w:val="auto"/>
          <w:sz w:val="22"/>
          <w:szCs w:val="22"/>
        </w:rPr>
        <w:t>.</w:t>
      </w:r>
      <w:r w:rsidRPr="0064087E">
        <w:rPr>
          <w:rFonts w:ascii="Arial" w:hAnsi="Arial" w:cs="Arial"/>
          <w:i w:val="0"/>
          <w:color w:val="auto"/>
          <w:sz w:val="22"/>
          <w:szCs w:val="22"/>
        </w:rPr>
        <w:t xml:space="preserve"> Łączna kwota osiągniętego dochodu z zeznań rocznych CIT-8 składanych przez podmioty działające w branży przetwórstwo przemysłowe Sekcja C oraz działalność profesjonalna, naukowa i techniczna Sekcja M w latach 2018-2022.</w:t>
      </w:r>
      <w:bookmarkEnd w:id="57"/>
    </w:p>
    <w:p w:rsidR="00187A7B" w:rsidRPr="0064087E" w:rsidRDefault="006E2D77" w:rsidP="00187A7B">
      <w:pPr>
        <w:spacing w:after="120" w:line="276" w:lineRule="auto"/>
        <w:jc w:val="center"/>
        <w:rPr>
          <w:rFonts w:ascii="Arial" w:hAnsi="Arial" w:cs="Arial"/>
        </w:rPr>
      </w:pPr>
      <w:r w:rsidRPr="0064087E">
        <w:rPr>
          <w:noProof/>
          <w:lang w:eastAsia="pl-PL"/>
        </w:rPr>
        <w:drawing>
          <wp:inline distT="0" distB="0" distL="0" distR="0" wp14:anchorId="60C72578" wp14:editId="52F54ED3">
            <wp:extent cx="4448175" cy="2552700"/>
            <wp:effectExtent l="0" t="0" r="0" b="0"/>
            <wp:docPr id="40" name="Wykres 40" descr="Łączna kwota osiągniętego dochodu z zeznań rocznych CIT-8 składanych przez podmioty działające w branży przetwórstwo przemysłowe Sekcja C oraz działalność profesjonalna, naukowa i techniczna Sekcja M w latach 2018-2022. Opis do wykresu znajduję się w tekście">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87A7B" w:rsidRPr="0064087E" w:rsidRDefault="00187A7B" w:rsidP="00187A7B">
      <w:pPr>
        <w:spacing w:after="120" w:line="276" w:lineRule="auto"/>
        <w:jc w:val="center"/>
        <w:rPr>
          <w:rFonts w:ascii="Arial" w:hAnsi="Arial" w:cs="Arial"/>
        </w:rPr>
      </w:pPr>
      <w:r w:rsidRPr="0064087E">
        <w:rPr>
          <w:rFonts w:ascii="Arial" w:hAnsi="Arial" w:cs="Arial"/>
        </w:rPr>
        <w:t xml:space="preserve">Źródło: Opracowanie własne na podstawie </w:t>
      </w:r>
      <w:r w:rsidR="00370846" w:rsidRPr="0064087E">
        <w:rPr>
          <w:rFonts w:ascii="Arial" w:hAnsi="Arial" w:cs="Arial"/>
        </w:rPr>
        <w:t xml:space="preserve">danych </w:t>
      </w:r>
      <w:r w:rsidRPr="0064087E">
        <w:rPr>
          <w:rFonts w:ascii="Arial" w:hAnsi="Arial" w:cs="Arial"/>
        </w:rPr>
        <w:t>Izby Administracji Skarbowej.</w:t>
      </w:r>
    </w:p>
    <w:p w:rsidR="00B72B46" w:rsidRPr="0064087E" w:rsidRDefault="006E2D77" w:rsidP="00C500A0">
      <w:pPr>
        <w:spacing w:after="120" w:line="276" w:lineRule="auto"/>
        <w:rPr>
          <w:rFonts w:ascii="Arial" w:hAnsi="Arial" w:cs="Arial"/>
        </w:rPr>
      </w:pPr>
      <w:r w:rsidRPr="0064087E">
        <w:rPr>
          <w:rFonts w:ascii="Arial" w:hAnsi="Arial" w:cs="Arial"/>
        </w:rPr>
        <w:t>W przedsiębiorstwach branży Przetwórstwo Przemysłowe (Sekcja C) oraz Działalność Profesjonalna, Naukowa i Techniczna (Sekcja M) w latach 2018-2022 łączna kwota poniesionej straty z zeznań rocznych CIT-8 składanych przez podmioty utrzymywała się na zróżnicowanym poziomie. W okresie 2018-2020 utrzymywała się na podobnym poziomie. Dopiero w 2021 roku nastąpił znaczący wzrost, osiągając poziom 18,1 mln zł. Na koniec analizowanego okresu</w:t>
      </w:r>
      <w:r w:rsidR="00831718" w:rsidRPr="0064087E">
        <w:rPr>
          <w:rFonts w:ascii="Arial" w:hAnsi="Arial" w:cs="Arial"/>
        </w:rPr>
        <w:t xml:space="preserve"> w 2022 r.</w:t>
      </w:r>
      <w:r w:rsidRPr="0064087E">
        <w:rPr>
          <w:rFonts w:ascii="Arial" w:hAnsi="Arial" w:cs="Arial"/>
        </w:rPr>
        <w:t xml:space="preserve"> wynosiła 15,3 mln zł.</w:t>
      </w:r>
    </w:p>
    <w:p w:rsidR="0068201F" w:rsidRPr="0064087E" w:rsidRDefault="0068201F" w:rsidP="00C500A0">
      <w:pPr>
        <w:pStyle w:val="Legenda"/>
        <w:keepNext/>
        <w:spacing w:after="120" w:line="276" w:lineRule="auto"/>
        <w:rPr>
          <w:rFonts w:ascii="Arial" w:hAnsi="Arial" w:cs="Arial"/>
          <w:i w:val="0"/>
          <w:color w:val="auto"/>
          <w:sz w:val="22"/>
          <w:szCs w:val="22"/>
        </w:rPr>
      </w:pPr>
      <w:bookmarkStart w:id="58" w:name="_Toc160793543"/>
      <w:r w:rsidRPr="0064087E">
        <w:rPr>
          <w:rFonts w:ascii="Arial" w:hAnsi="Arial" w:cs="Arial"/>
          <w:b/>
          <w:i w:val="0"/>
          <w:color w:val="auto"/>
          <w:sz w:val="22"/>
          <w:szCs w:val="22"/>
        </w:rPr>
        <w:t xml:space="preserve">Wykres </w:t>
      </w:r>
      <w:r w:rsidR="005922CE">
        <w:rPr>
          <w:rFonts w:ascii="Arial" w:hAnsi="Arial" w:cs="Arial"/>
          <w:b/>
          <w:i w:val="0"/>
          <w:color w:val="auto"/>
          <w:sz w:val="22"/>
          <w:szCs w:val="22"/>
        </w:rPr>
        <w:fldChar w:fldCharType="begin"/>
      </w:r>
      <w:r w:rsidR="005922CE">
        <w:rPr>
          <w:rFonts w:ascii="Arial" w:hAnsi="Arial" w:cs="Arial"/>
          <w:b/>
          <w:i w:val="0"/>
          <w:color w:val="auto"/>
          <w:sz w:val="22"/>
          <w:szCs w:val="22"/>
        </w:rPr>
        <w:instrText xml:space="preserve"> SEQ Wykres \* ARABIC </w:instrText>
      </w:r>
      <w:r w:rsidR="005922CE">
        <w:rPr>
          <w:rFonts w:ascii="Arial" w:hAnsi="Arial" w:cs="Arial"/>
          <w:b/>
          <w:i w:val="0"/>
          <w:color w:val="auto"/>
          <w:sz w:val="22"/>
          <w:szCs w:val="22"/>
        </w:rPr>
        <w:fldChar w:fldCharType="separate"/>
      </w:r>
      <w:r w:rsidR="00884DAD">
        <w:rPr>
          <w:rFonts w:ascii="Arial" w:hAnsi="Arial" w:cs="Arial"/>
          <w:b/>
          <w:i w:val="0"/>
          <w:noProof/>
          <w:color w:val="auto"/>
          <w:sz w:val="22"/>
          <w:szCs w:val="22"/>
        </w:rPr>
        <w:t>37</w:t>
      </w:r>
      <w:r w:rsidR="005922CE">
        <w:rPr>
          <w:rFonts w:ascii="Arial" w:hAnsi="Arial" w:cs="Arial"/>
          <w:b/>
          <w:i w:val="0"/>
          <w:color w:val="auto"/>
          <w:sz w:val="22"/>
          <w:szCs w:val="22"/>
        </w:rPr>
        <w:fldChar w:fldCharType="end"/>
      </w:r>
      <w:r w:rsidR="00DA1871">
        <w:rPr>
          <w:rFonts w:ascii="Arial" w:hAnsi="Arial" w:cs="Arial"/>
          <w:b/>
          <w:i w:val="0"/>
          <w:color w:val="auto"/>
          <w:sz w:val="22"/>
          <w:szCs w:val="22"/>
        </w:rPr>
        <w:t>.</w:t>
      </w:r>
      <w:r w:rsidRPr="0064087E">
        <w:rPr>
          <w:rFonts w:ascii="Arial" w:hAnsi="Arial" w:cs="Arial"/>
          <w:i w:val="0"/>
          <w:color w:val="auto"/>
          <w:sz w:val="22"/>
          <w:szCs w:val="22"/>
        </w:rPr>
        <w:t xml:space="preserve"> Łączna kwota poniesionej straty z zeznań rocznych CIT-8 składanych przez podmioty działające w branży przetwórstwo przemysłowe Sekcja C oraz działalność profesjonalna, naukowa i techniczna Sekcja M w latach 2018-2022.</w:t>
      </w:r>
      <w:bookmarkEnd w:id="58"/>
    </w:p>
    <w:p w:rsidR="00187A7B" w:rsidRPr="0064087E" w:rsidRDefault="006E2D77" w:rsidP="00187A7B">
      <w:pPr>
        <w:spacing w:after="120" w:line="276" w:lineRule="auto"/>
        <w:jc w:val="center"/>
        <w:rPr>
          <w:rFonts w:ascii="Arial" w:hAnsi="Arial" w:cs="Arial"/>
        </w:rPr>
      </w:pPr>
      <w:r w:rsidRPr="0064087E">
        <w:rPr>
          <w:noProof/>
          <w:lang w:eastAsia="pl-PL"/>
        </w:rPr>
        <w:drawing>
          <wp:inline distT="0" distB="0" distL="0" distR="0" wp14:anchorId="27DDD383" wp14:editId="040820C9">
            <wp:extent cx="4572000" cy="2743200"/>
            <wp:effectExtent l="0" t="0" r="0" b="0"/>
            <wp:docPr id="41" name="Wykres 41" descr="Łączna kwota poniesionej straty z zeznań rocznych CIT-8 składanych przez podmioty działające w branży przetwórstwo przemysłowe Sekcja C oraz działalność profesjonalna, naukowa i techniczna Sekcja M w latach 2018-2022. Opis do wykresu znajduję się w tekście">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87A7B" w:rsidRPr="0064087E" w:rsidRDefault="00187A7B" w:rsidP="007A1D01">
      <w:pPr>
        <w:spacing w:after="120" w:line="276" w:lineRule="auto"/>
        <w:jc w:val="center"/>
        <w:rPr>
          <w:rFonts w:ascii="Arial" w:hAnsi="Arial" w:cs="Arial"/>
        </w:rPr>
      </w:pPr>
      <w:r w:rsidRPr="0064087E">
        <w:rPr>
          <w:rFonts w:ascii="Arial" w:hAnsi="Arial" w:cs="Arial"/>
        </w:rPr>
        <w:t xml:space="preserve">Źródło: Opracowanie własne na podstawie </w:t>
      </w:r>
      <w:r w:rsidR="00370846" w:rsidRPr="0064087E">
        <w:rPr>
          <w:rFonts w:ascii="Arial" w:hAnsi="Arial" w:cs="Arial"/>
        </w:rPr>
        <w:t xml:space="preserve">danych </w:t>
      </w:r>
      <w:r w:rsidRPr="0064087E">
        <w:rPr>
          <w:rFonts w:ascii="Arial" w:hAnsi="Arial" w:cs="Arial"/>
        </w:rPr>
        <w:t>Izby Administracji Skarbowej.</w:t>
      </w:r>
    </w:p>
    <w:p w:rsidR="004358A4" w:rsidRPr="0064087E" w:rsidRDefault="00AA3BB5" w:rsidP="00C500A0">
      <w:pPr>
        <w:pStyle w:val="Nagwek1"/>
        <w:numPr>
          <w:ilvl w:val="0"/>
          <w:numId w:val="1"/>
        </w:numPr>
        <w:ind w:left="357" w:hanging="357"/>
      </w:pPr>
      <w:bookmarkStart w:id="59" w:name="_Toc160793877"/>
      <w:r w:rsidRPr="0064087E">
        <w:lastRenderedPageBreak/>
        <w:t>Inteligentna specjalizacja – jakość życia</w:t>
      </w:r>
      <w:bookmarkEnd w:id="59"/>
    </w:p>
    <w:p w:rsidR="004358A4" w:rsidRPr="0064087E" w:rsidRDefault="004358A4" w:rsidP="00C500A0">
      <w:pPr>
        <w:pStyle w:val="Nagwek2"/>
        <w:numPr>
          <w:ilvl w:val="1"/>
          <w:numId w:val="1"/>
        </w:numPr>
        <w:ind w:left="357" w:hanging="357"/>
        <w:rPr>
          <w:b/>
          <w:color w:val="auto"/>
        </w:rPr>
      </w:pPr>
      <w:bookmarkStart w:id="60" w:name="_Toc160793878"/>
      <w:r w:rsidRPr="0064087E">
        <w:rPr>
          <w:b/>
          <w:color w:val="auto"/>
        </w:rPr>
        <w:t>Pomiar jakości życia</w:t>
      </w:r>
      <w:bookmarkEnd w:id="60"/>
    </w:p>
    <w:p w:rsidR="004358A4" w:rsidRPr="0064087E" w:rsidRDefault="004358A4" w:rsidP="00C500A0">
      <w:pPr>
        <w:spacing w:after="120" w:line="276" w:lineRule="auto"/>
        <w:rPr>
          <w:rFonts w:ascii="Arial" w:hAnsi="Arial" w:cs="Arial"/>
        </w:rPr>
      </w:pPr>
      <w:r w:rsidRPr="0064087E">
        <w:rPr>
          <w:rFonts w:ascii="Arial" w:hAnsi="Arial" w:cs="Arial"/>
        </w:rPr>
        <w:t xml:space="preserve">Według zaleceń Raportu </w:t>
      </w:r>
      <w:proofErr w:type="spellStart"/>
      <w:r w:rsidRPr="0064087E">
        <w:rPr>
          <w:rFonts w:ascii="Arial" w:hAnsi="Arial" w:cs="Arial"/>
        </w:rPr>
        <w:t>Stiglitza</w:t>
      </w:r>
      <w:proofErr w:type="spellEnd"/>
      <w:r w:rsidRPr="0064087E">
        <w:rPr>
          <w:rStyle w:val="Odwoanieprzypisudolnego"/>
          <w:rFonts w:ascii="Arial" w:hAnsi="Arial" w:cs="Arial"/>
        </w:rPr>
        <w:footnoteReference w:id="26"/>
      </w:r>
      <w:r w:rsidRPr="0064087E">
        <w:rPr>
          <w:rFonts w:ascii="Arial" w:hAnsi="Arial" w:cs="Arial"/>
        </w:rPr>
        <w:t xml:space="preserve"> przyjmuje się, że statystyczny pomiar jakości życia powinien obejmować dwa wymiary: szeroko rozumiane warunki obiektywne oraz dobrobyt subiektywny. Subiektywny wymiar jakości życia koncentruje się bardziej na samej ocenie jakości życia, natomiast warunki obiektywne dotyczą czynników determinujących tę ocenę, wykraczając dużo dalej niż tylko kwestia dochodów i warunków materialnych. W ramach warunków obiektywnych powinny być brane pod uwagę m.in. takie domeny jak: materialne warunki życia, zdrowie, edukacja, aktywność ekonomiczna, czas wolny i relacje społeczne, osobiste bezpieczeństwo, jakość państwa i jego zdolność do zapewnienia ludziom podstawowych praw oraz sposób realizacji tych praw, a także jakość infrastruktury </w:t>
      </w:r>
      <w:r w:rsidRPr="0064087E">
        <w:rPr>
          <w:rFonts w:ascii="Arial" w:hAnsi="Arial" w:cs="Arial"/>
        </w:rPr>
        <w:br/>
        <w:t>i środowiska naturalnego w miejscu zamieszkania. Pomiar dobrobytu subiektywnego powinien obejmować postrzeganą jakość życia, tzn. satysfakcję jaką czerpią ludzie z różnych jego aspektów oraz z życia jako całości, ale także elementy dotyczące samopoczucia psychicznego i odczuwanych stanów emocjonalnych.</w:t>
      </w:r>
    </w:p>
    <w:p w:rsidR="004358A4" w:rsidRPr="0064087E" w:rsidRDefault="004358A4" w:rsidP="00C500A0">
      <w:pPr>
        <w:spacing w:after="120" w:line="276" w:lineRule="auto"/>
        <w:rPr>
          <w:rFonts w:ascii="Arial" w:hAnsi="Arial" w:cs="Arial"/>
        </w:rPr>
      </w:pPr>
      <w:r w:rsidRPr="0064087E">
        <w:rPr>
          <w:rFonts w:ascii="Arial" w:hAnsi="Arial" w:cs="Arial"/>
        </w:rPr>
        <w:t xml:space="preserve">Należy tu także wspomnieć o kilku istotnych aspektach związanych z analizą jakości życia. Jej ocena wymaga wielu wskaźników charakteryzujących określone obszary ludzkiego życia, aczkolwiek bardzo użytecznym jest stosowanie pojedynczej miary podsumowującej. </w:t>
      </w:r>
      <w:r w:rsidRPr="0064087E">
        <w:rPr>
          <w:rFonts w:ascii="Arial" w:hAnsi="Arial" w:cs="Arial"/>
        </w:rPr>
        <w:br/>
        <w:t>W zależności od przyjętego podejścia i zadanych pytań, możliwych jest kilka miar podsumowujących jakość życia. Niektóre z nich, takie jak pomiary przeciętnych poziomów satysfakcji życiowej dla całego kraju, bądź też wskaźniki zbiorcze wskazujące obiektywną średnią z poszczególnych obszarów np. HDI. Z kolei oceniając poziom warunków materialnych, należy patrzeć na poziom dochodów oraz konsumpcji, a nie produkcji wyrażonej np. w postaci PKB. Taka analiza nie powinna mierzyć jedynie przeciętnego poziomu dobrobytu określonej społeczności oraz sposobu w jaki kształtuje się on na przestrzeni czasu, ale powinna także opisywać różnorodność ludzkich doświadczeń, a także punkty wspólne łączące poszczególne aspekty ludzkiego życia.</w:t>
      </w:r>
    </w:p>
    <w:p w:rsidR="004358A4" w:rsidRPr="0064087E" w:rsidRDefault="004358A4" w:rsidP="00C500A0">
      <w:pPr>
        <w:spacing w:after="120" w:line="276" w:lineRule="auto"/>
      </w:pPr>
      <w:r w:rsidRPr="0064087E">
        <w:rPr>
          <w:rFonts w:ascii="Arial" w:hAnsi="Arial" w:cs="Arial"/>
        </w:rPr>
        <w:t xml:space="preserve">Poprawa jakości życia oraz ograniczenie nadmiernych różnic w sytuacji materialnej </w:t>
      </w:r>
      <w:r w:rsidRPr="0064087E">
        <w:rPr>
          <w:rFonts w:ascii="Arial" w:hAnsi="Arial" w:cs="Arial"/>
        </w:rPr>
        <w:br/>
        <w:t>i społecznej różnych grup ludności stanowi podstawowy cel współczesnych koncepcji rozwoju społeczno-ekonomicznego. Wyrównywanie dysproporcji w szeroko rozumianym poziomie życia i eliminowanie zjawisk związanych z wykluczeniem społecznym stanowi także priorytet polityki społecznej w Unii Europejskiej i krajach członkowskich.</w:t>
      </w:r>
    </w:p>
    <w:p w:rsidR="0026503B" w:rsidRPr="0064087E" w:rsidRDefault="0026503B" w:rsidP="00C500A0">
      <w:pPr>
        <w:pStyle w:val="Nagwek2"/>
        <w:numPr>
          <w:ilvl w:val="1"/>
          <w:numId w:val="1"/>
        </w:numPr>
        <w:ind w:left="357" w:hanging="357"/>
        <w:rPr>
          <w:b/>
          <w:color w:val="auto"/>
        </w:rPr>
      </w:pPr>
      <w:bookmarkStart w:id="61" w:name="_Toc160793879"/>
      <w:r w:rsidRPr="0064087E">
        <w:rPr>
          <w:b/>
          <w:color w:val="auto"/>
        </w:rPr>
        <w:t>Obiektywne warunki jakości życia mieszkańców regionu</w:t>
      </w:r>
      <w:bookmarkEnd w:id="61"/>
    </w:p>
    <w:p w:rsidR="0026503B" w:rsidRPr="0064087E" w:rsidRDefault="0026503B" w:rsidP="00C500A0">
      <w:pPr>
        <w:spacing w:after="120" w:line="276" w:lineRule="auto"/>
        <w:rPr>
          <w:rFonts w:ascii="Arial" w:hAnsi="Arial" w:cs="Arial"/>
          <w:b/>
        </w:rPr>
      </w:pPr>
      <w:r w:rsidRPr="0064087E">
        <w:rPr>
          <w:rFonts w:ascii="Arial" w:hAnsi="Arial" w:cs="Arial"/>
          <w:b/>
        </w:rPr>
        <w:t>Sytuacja materialna mieszkańców</w:t>
      </w:r>
    </w:p>
    <w:p w:rsidR="0026503B" w:rsidRPr="0064087E" w:rsidRDefault="0026503B" w:rsidP="00C500A0">
      <w:pPr>
        <w:spacing w:after="120" w:line="276" w:lineRule="auto"/>
        <w:rPr>
          <w:rFonts w:ascii="Arial" w:hAnsi="Arial" w:cs="Arial"/>
        </w:rPr>
      </w:pPr>
      <w:r w:rsidRPr="0064087E">
        <w:rPr>
          <w:rFonts w:ascii="Arial" w:hAnsi="Arial" w:cs="Arial"/>
        </w:rPr>
        <w:t xml:space="preserve">Ubóstwo jako zjawisko związane z materialnym aspektem życia (sytuacja materialna osób </w:t>
      </w:r>
      <w:r w:rsidRPr="0064087E">
        <w:rPr>
          <w:rFonts w:ascii="Arial" w:hAnsi="Arial" w:cs="Arial"/>
        </w:rPr>
        <w:br/>
        <w:t>i gospodarstw domowych), dotyczy przede wszystkim cech badanych na poziomie gospodarstwa domowego. Obraz sytuacji materialnej gospodarstw domowych przedstawiono uwzględniając wskaźniki: przeciętny roczny ekwiwalentny dochód do dyspozycji oraz wskaźnik zagrożenia ubóstwem relatywnym.</w:t>
      </w:r>
    </w:p>
    <w:p w:rsidR="0026503B" w:rsidRPr="00D62638" w:rsidRDefault="0026503B" w:rsidP="00C500A0">
      <w:pPr>
        <w:spacing w:after="120" w:line="276" w:lineRule="auto"/>
        <w:rPr>
          <w:rFonts w:ascii="Arial" w:hAnsi="Arial" w:cs="Arial"/>
        </w:rPr>
      </w:pPr>
      <w:r w:rsidRPr="00D62638">
        <w:rPr>
          <w:rFonts w:ascii="Arial" w:hAnsi="Arial" w:cs="Arial"/>
        </w:rPr>
        <w:lastRenderedPageBreak/>
        <w:t>Przeciętny ekwiwalentny dochód do dyspozycji dla kraju w badaniu z roku 2022</w:t>
      </w:r>
      <w:r w:rsidRPr="00D62638">
        <w:rPr>
          <w:rStyle w:val="Odwoanieprzypisudolnego"/>
          <w:rFonts w:ascii="Arial" w:hAnsi="Arial" w:cs="Arial"/>
        </w:rPr>
        <w:footnoteReference w:id="27"/>
      </w:r>
      <w:r w:rsidRPr="00D62638">
        <w:rPr>
          <w:rFonts w:ascii="Arial" w:hAnsi="Arial" w:cs="Arial"/>
        </w:rPr>
        <w:t xml:space="preserve"> wyniósł </w:t>
      </w:r>
      <w:r w:rsidRPr="00D62638">
        <w:rPr>
          <w:rFonts w:ascii="Arial" w:hAnsi="Arial" w:cs="Arial"/>
        </w:rPr>
        <w:br/>
        <w:t xml:space="preserve">45,3 tys. zł. Dochodem poniżej tej średniej dysponowali mieszkańcy 12 regionów Polski, </w:t>
      </w:r>
      <w:r w:rsidR="00C500A0">
        <w:rPr>
          <w:rFonts w:ascii="Arial" w:hAnsi="Arial" w:cs="Arial"/>
        </w:rPr>
        <w:br/>
      </w:r>
      <w:r w:rsidRPr="00D62638">
        <w:rPr>
          <w:rFonts w:ascii="Arial" w:hAnsi="Arial" w:cs="Arial"/>
        </w:rPr>
        <w:t xml:space="preserve">w tym najniższy 37,2 tys. zł wystąpił w </w:t>
      </w:r>
      <w:r w:rsidR="00F07D08" w:rsidRPr="0064087E">
        <w:rPr>
          <w:rFonts w:ascii="Arial" w:hAnsi="Arial" w:cs="Arial"/>
        </w:rPr>
        <w:t>województwie</w:t>
      </w:r>
      <w:r w:rsidRPr="00D62638">
        <w:rPr>
          <w:rFonts w:ascii="Arial" w:hAnsi="Arial" w:cs="Arial"/>
        </w:rPr>
        <w:t xml:space="preserve"> warmińsko-mazurskim. Obok dwóch wymienionych regionów, pozostałe to (w porządku rosnącym): lubelski (38,1 tys. zł), podlaski (38,8 tys. zł), świętokrzyski i podkarpacki (40,2 tys. zł), mazowiecki regionalny (40,7 tys. zł), kujawsko-pomorski (42,5 tys. zł), wielkopolski (42,8 tys. zł), opolski (43,8 tys. zł), łódzki (44,3 tys. zł), pomorski (44,6 tys. zł), lubuski (45,2 tys. zł).</w:t>
      </w:r>
    </w:p>
    <w:p w:rsidR="0026503B" w:rsidRPr="00D62638" w:rsidRDefault="0026503B" w:rsidP="00C500A0">
      <w:pPr>
        <w:spacing w:after="120" w:line="276" w:lineRule="auto"/>
        <w:rPr>
          <w:rFonts w:ascii="Arial" w:hAnsi="Arial" w:cs="Arial"/>
        </w:rPr>
      </w:pPr>
      <w:r w:rsidRPr="00D62638">
        <w:rPr>
          <w:rFonts w:ascii="Arial" w:hAnsi="Arial" w:cs="Arial"/>
        </w:rPr>
        <w:t>Dochodem powyżej średniej charakteryzowało się 5 regionów, w tym najwyższy roczny przeciętny dochód ekwiwalentny wystąpił w regionie warszawskim stołecznym (60,5 tys. zł). Druga część województwa mazowieckiego, tj. region mazowiecki regionalny uzyskał średni dochód niższy o niemal 20 tys. zł.</w:t>
      </w:r>
    </w:p>
    <w:p w:rsidR="0026503B" w:rsidRPr="0064087E" w:rsidRDefault="0026503B" w:rsidP="00C500A0">
      <w:pPr>
        <w:widowControl/>
        <w:autoSpaceDE/>
        <w:autoSpaceDN/>
        <w:spacing w:after="160" w:line="259" w:lineRule="auto"/>
        <w:rPr>
          <w:rFonts w:ascii="Arial" w:hAnsi="Arial" w:cs="Arial"/>
        </w:rPr>
      </w:pPr>
      <w:r w:rsidRPr="00D62638">
        <w:rPr>
          <w:rFonts w:ascii="Arial" w:hAnsi="Arial" w:cs="Arial"/>
        </w:rPr>
        <w:t xml:space="preserve">Pozostałe regiony, których mieszkańcy charakteryzowali się średnim dochodem powyżej średniej krajowej, to: zachodniopomorski (46,4 tys. zł), małopolski (46,6 tys. zł), śląski </w:t>
      </w:r>
      <w:r w:rsidR="00204F96">
        <w:rPr>
          <w:rFonts w:ascii="Arial" w:hAnsi="Arial" w:cs="Arial"/>
        </w:rPr>
        <w:br/>
      </w:r>
      <w:r w:rsidRPr="00D62638">
        <w:rPr>
          <w:rFonts w:ascii="Arial" w:hAnsi="Arial" w:cs="Arial"/>
        </w:rPr>
        <w:t>(47,2 tys. zł) i dolnośląski (50,2 tys. zł).</w:t>
      </w:r>
    </w:p>
    <w:p w:rsidR="00903B16" w:rsidRPr="00D62638" w:rsidRDefault="00903B16" w:rsidP="00C500A0">
      <w:pPr>
        <w:pStyle w:val="Legenda"/>
        <w:keepNext/>
        <w:spacing w:after="120" w:line="276" w:lineRule="auto"/>
        <w:rPr>
          <w:rFonts w:ascii="Arial" w:hAnsi="Arial" w:cs="Arial"/>
          <w:i w:val="0"/>
          <w:color w:val="auto"/>
          <w:sz w:val="22"/>
          <w:szCs w:val="22"/>
        </w:rPr>
      </w:pPr>
      <w:bookmarkStart w:id="62" w:name="_Toc161123005"/>
      <w:r w:rsidRPr="00D62638">
        <w:rPr>
          <w:rFonts w:ascii="Arial" w:hAnsi="Arial" w:cs="Arial"/>
          <w:b/>
          <w:i w:val="0"/>
          <w:color w:val="auto"/>
          <w:sz w:val="22"/>
          <w:szCs w:val="22"/>
        </w:rPr>
        <w:t xml:space="preserve">Rysunek </w:t>
      </w:r>
      <w:r w:rsidRPr="00D62638">
        <w:rPr>
          <w:rFonts w:ascii="Arial" w:hAnsi="Arial" w:cs="Arial"/>
          <w:b/>
          <w:i w:val="0"/>
          <w:color w:val="auto"/>
          <w:sz w:val="22"/>
          <w:szCs w:val="22"/>
        </w:rPr>
        <w:fldChar w:fldCharType="begin"/>
      </w:r>
      <w:r w:rsidRPr="00D62638">
        <w:rPr>
          <w:rFonts w:ascii="Arial" w:hAnsi="Arial" w:cs="Arial"/>
          <w:b/>
          <w:i w:val="0"/>
          <w:color w:val="auto"/>
          <w:sz w:val="22"/>
          <w:szCs w:val="22"/>
        </w:rPr>
        <w:instrText xml:space="preserve"> SEQ Rysunek \* ARABIC </w:instrText>
      </w:r>
      <w:r w:rsidRPr="00D62638">
        <w:rPr>
          <w:rFonts w:ascii="Arial" w:hAnsi="Arial" w:cs="Arial"/>
          <w:b/>
          <w:i w:val="0"/>
          <w:color w:val="auto"/>
          <w:sz w:val="22"/>
          <w:szCs w:val="22"/>
        </w:rPr>
        <w:fldChar w:fldCharType="separate"/>
      </w:r>
      <w:r w:rsidR="00884DAD">
        <w:rPr>
          <w:rFonts w:ascii="Arial" w:hAnsi="Arial" w:cs="Arial"/>
          <w:b/>
          <w:i w:val="0"/>
          <w:noProof/>
          <w:color w:val="auto"/>
          <w:sz w:val="22"/>
          <w:szCs w:val="22"/>
        </w:rPr>
        <w:t>5</w:t>
      </w:r>
      <w:r w:rsidRPr="00D62638">
        <w:rPr>
          <w:rFonts w:ascii="Arial" w:hAnsi="Arial" w:cs="Arial"/>
          <w:b/>
          <w:i w:val="0"/>
          <w:color w:val="auto"/>
          <w:sz w:val="22"/>
          <w:szCs w:val="22"/>
        </w:rPr>
        <w:fldChar w:fldCharType="end"/>
      </w:r>
      <w:r w:rsidR="00DA1871">
        <w:rPr>
          <w:rFonts w:ascii="Arial" w:hAnsi="Arial" w:cs="Arial"/>
          <w:b/>
          <w:i w:val="0"/>
          <w:color w:val="auto"/>
          <w:sz w:val="22"/>
          <w:szCs w:val="22"/>
        </w:rPr>
        <w:t>.</w:t>
      </w:r>
      <w:r w:rsidRPr="00D62638">
        <w:rPr>
          <w:rFonts w:ascii="Arial" w:hAnsi="Arial" w:cs="Arial"/>
          <w:i w:val="0"/>
          <w:color w:val="auto"/>
          <w:sz w:val="22"/>
          <w:szCs w:val="22"/>
        </w:rPr>
        <w:t xml:space="preserve"> Przeciętny roczny ekwiwalentny dochód do dyspozycji według NUTS 2 w 2022 roku</w:t>
      </w:r>
      <w:bookmarkEnd w:id="62"/>
    </w:p>
    <w:p w:rsidR="0026503B" w:rsidRPr="0064087E" w:rsidRDefault="0026503B" w:rsidP="0026503B">
      <w:pPr>
        <w:spacing w:after="120" w:line="276" w:lineRule="auto"/>
        <w:jc w:val="both"/>
        <w:rPr>
          <w:rFonts w:ascii="Arial" w:hAnsi="Arial" w:cs="Arial"/>
        </w:rPr>
      </w:pPr>
      <w:r w:rsidRPr="0064087E">
        <w:rPr>
          <w:rFonts w:ascii="Arial" w:hAnsi="Arial" w:cs="Arial"/>
          <w:noProof/>
          <w:lang w:eastAsia="pl-PL"/>
        </w:rPr>
        <w:drawing>
          <wp:inline distT="0" distB="0" distL="0" distR="0" wp14:anchorId="46DE6A7A" wp14:editId="5DA7B1A5">
            <wp:extent cx="5011420" cy="2597150"/>
            <wp:effectExtent l="0" t="0" r="0" b="0"/>
            <wp:docPr id="318246794" name="Obraz 1" descr="Mapa polski przedstawiająca poszczególne województwa: zachodnio-pomorskie 46001 – 50000, pomorskie 42001 – 46000, warmińsko-mazurskie ≤ 38000, podlaskie 38001 – 42000, lubuskie 42001 – 46000, wielkopolskie 42001 – 46000, kujawsko-pomorskie 42001 – 46000, łódzkie 42001 – 46000, mazowieckie regionalne 38001 – 42000, Warszawski Stołeczny ≥ 50001, lubelskie 38001 – 42000, dolnośląskie ≥ 50001, opolskie 42001 – 46000, śląskie 46001 – 50000, małopolskie 46001 – 50000, świętokrzyskie 38001 – 42000, podkarpackie 38001 – 42000, Polska 4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11420" cy="2597150"/>
                    </a:xfrm>
                    <a:prstGeom prst="rect">
                      <a:avLst/>
                    </a:prstGeom>
                    <a:noFill/>
                  </pic:spPr>
                </pic:pic>
              </a:graphicData>
            </a:graphic>
          </wp:inline>
        </w:drawing>
      </w:r>
    </w:p>
    <w:p w:rsidR="0026503B" w:rsidRPr="00D62638" w:rsidRDefault="0026503B" w:rsidP="0026503B">
      <w:pPr>
        <w:spacing w:after="120" w:line="276" w:lineRule="auto"/>
        <w:jc w:val="center"/>
        <w:rPr>
          <w:rFonts w:ascii="Arial" w:hAnsi="Arial" w:cs="Arial"/>
        </w:rPr>
      </w:pPr>
      <w:r w:rsidRPr="00D62638">
        <w:rPr>
          <w:rFonts w:ascii="Arial" w:hAnsi="Arial" w:cs="Arial"/>
        </w:rPr>
        <w:t>Źródło: Dochody i warunki życia ludności Polski – raport z badania EU-SILC 2022.</w:t>
      </w:r>
    </w:p>
    <w:p w:rsidR="0026503B" w:rsidRPr="00D62638" w:rsidRDefault="0026503B" w:rsidP="00C500A0">
      <w:pPr>
        <w:spacing w:after="120" w:line="276" w:lineRule="auto"/>
        <w:rPr>
          <w:rFonts w:ascii="Arial" w:hAnsi="Arial" w:cs="Arial"/>
        </w:rPr>
      </w:pPr>
      <w:r w:rsidRPr="00D62638">
        <w:rPr>
          <w:rFonts w:ascii="Arial" w:hAnsi="Arial" w:cs="Arial"/>
        </w:rPr>
        <w:t xml:space="preserve">W ujęciu według wskaźnika dochodu do dyspozycji (iloraz wartości analizowanej do średniej dla Polski) rozpiętość przeciętnych dochodów w regionach wyniosła 52,0 </w:t>
      </w:r>
      <w:proofErr w:type="spellStart"/>
      <w:r w:rsidRPr="00D62638">
        <w:rPr>
          <w:rFonts w:ascii="Arial" w:hAnsi="Arial" w:cs="Arial"/>
        </w:rPr>
        <w:t>p.proc</w:t>
      </w:r>
      <w:proofErr w:type="spellEnd"/>
      <w:r w:rsidRPr="00D62638">
        <w:rPr>
          <w:rFonts w:ascii="Arial" w:hAnsi="Arial" w:cs="Arial"/>
        </w:rPr>
        <w:t>. Najwyższy dochód w regionie warszawskim stołecznym wyniósł 134,0% średniej krajowej, a najniższy w warmińsko-mazurskim – 82,0%.</w:t>
      </w:r>
    </w:p>
    <w:p w:rsidR="00BF46C3" w:rsidRPr="00D62638" w:rsidRDefault="00BF46C3" w:rsidP="00C500A0">
      <w:pPr>
        <w:pStyle w:val="Legenda"/>
        <w:keepNext/>
        <w:rPr>
          <w:rFonts w:ascii="Arial" w:hAnsi="Arial" w:cs="Arial"/>
          <w:i w:val="0"/>
          <w:color w:val="auto"/>
          <w:sz w:val="22"/>
          <w:szCs w:val="22"/>
        </w:rPr>
      </w:pPr>
      <w:bookmarkStart w:id="63" w:name="_Toc160793544"/>
      <w:r w:rsidRPr="00D62638">
        <w:rPr>
          <w:rFonts w:ascii="Arial" w:hAnsi="Arial" w:cs="Arial"/>
          <w:b/>
          <w:i w:val="0"/>
          <w:color w:val="auto"/>
          <w:sz w:val="22"/>
          <w:szCs w:val="22"/>
        </w:rPr>
        <w:lastRenderedPageBreak/>
        <w:t xml:space="preserve">Wykres </w:t>
      </w:r>
      <w:r w:rsidR="005922CE">
        <w:rPr>
          <w:rFonts w:ascii="Arial" w:hAnsi="Arial" w:cs="Arial"/>
          <w:b/>
          <w:i w:val="0"/>
          <w:color w:val="auto"/>
          <w:sz w:val="22"/>
          <w:szCs w:val="22"/>
        </w:rPr>
        <w:fldChar w:fldCharType="begin"/>
      </w:r>
      <w:r w:rsidR="005922CE">
        <w:rPr>
          <w:rFonts w:ascii="Arial" w:hAnsi="Arial" w:cs="Arial"/>
          <w:b/>
          <w:i w:val="0"/>
          <w:color w:val="auto"/>
          <w:sz w:val="22"/>
          <w:szCs w:val="22"/>
        </w:rPr>
        <w:instrText xml:space="preserve"> SEQ Wykres \* ARABIC </w:instrText>
      </w:r>
      <w:r w:rsidR="005922CE">
        <w:rPr>
          <w:rFonts w:ascii="Arial" w:hAnsi="Arial" w:cs="Arial"/>
          <w:b/>
          <w:i w:val="0"/>
          <w:color w:val="auto"/>
          <w:sz w:val="22"/>
          <w:szCs w:val="22"/>
        </w:rPr>
        <w:fldChar w:fldCharType="separate"/>
      </w:r>
      <w:r w:rsidR="00884DAD">
        <w:rPr>
          <w:rFonts w:ascii="Arial" w:hAnsi="Arial" w:cs="Arial"/>
          <w:b/>
          <w:i w:val="0"/>
          <w:noProof/>
          <w:color w:val="auto"/>
          <w:sz w:val="22"/>
          <w:szCs w:val="22"/>
        </w:rPr>
        <w:t>38</w:t>
      </w:r>
      <w:r w:rsidR="005922CE">
        <w:rPr>
          <w:rFonts w:ascii="Arial" w:hAnsi="Arial" w:cs="Arial"/>
          <w:b/>
          <w:i w:val="0"/>
          <w:color w:val="auto"/>
          <w:sz w:val="22"/>
          <w:szCs w:val="22"/>
        </w:rPr>
        <w:fldChar w:fldCharType="end"/>
      </w:r>
      <w:r w:rsidR="00DA1871">
        <w:rPr>
          <w:rFonts w:ascii="Arial" w:hAnsi="Arial" w:cs="Arial"/>
          <w:b/>
          <w:i w:val="0"/>
          <w:color w:val="auto"/>
          <w:sz w:val="22"/>
          <w:szCs w:val="22"/>
        </w:rPr>
        <w:t>.</w:t>
      </w:r>
      <w:r w:rsidRPr="00D62638">
        <w:rPr>
          <w:rFonts w:ascii="Arial" w:hAnsi="Arial" w:cs="Arial"/>
          <w:i w:val="0"/>
          <w:color w:val="auto"/>
          <w:sz w:val="22"/>
          <w:szCs w:val="22"/>
        </w:rPr>
        <w:t xml:space="preserve"> Wskaźnik dochodu do dyspozycji według NUTS 2 dla 2022 roku</w:t>
      </w:r>
      <w:bookmarkEnd w:id="63"/>
    </w:p>
    <w:p w:rsidR="0026503B" w:rsidRPr="0064087E" w:rsidRDefault="0026503B" w:rsidP="0026503B">
      <w:pPr>
        <w:spacing w:after="120" w:line="276" w:lineRule="auto"/>
        <w:jc w:val="center"/>
        <w:rPr>
          <w:rFonts w:ascii="Arial" w:hAnsi="Arial" w:cs="Arial"/>
        </w:rPr>
      </w:pPr>
      <w:r w:rsidRPr="0064087E">
        <w:rPr>
          <w:noProof/>
          <w:lang w:eastAsia="pl-PL"/>
        </w:rPr>
        <w:drawing>
          <wp:inline distT="0" distB="0" distL="0" distR="0" wp14:anchorId="0556F34B" wp14:editId="73C02A62">
            <wp:extent cx="5000625" cy="2895600"/>
            <wp:effectExtent l="0" t="0" r="0" b="0"/>
            <wp:docPr id="1213579141" name="Wykres 1213579141" descr="Wykres słupkowy pionowy w tym dane „Wskaźnik dochodu do dyspozycji według NUTS 2 dla 2022 roku”: Warmińsko-mazurski 82, Lubelski 84, Mazowiecki Regionalny 90, Podlaski 86, Podkarpacki 89, Świętokrzyski 89,Wielkopolski 94, Kujawsko-pomorski 94, Lubuski 100, Łódzki 98, Małopolski 103, Pomorski 99, Opolski 97, Zachodniopomorski 102, Śląski 104, Dolnośląski 111,Warszawski Stołeczny 134. "/>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6503B" w:rsidRPr="0064087E" w:rsidRDefault="0026503B" w:rsidP="007A1D01">
      <w:pPr>
        <w:spacing w:after="120" w:line="276" w:lineRule="auto"/>
        <w:jc w:val="center"/>
        <w:rPr>
          <w:rFonts w:ascii="Arial" w:hAnsi="Arial" w:cs="Arial"/>
        </w:rPr>
      </w:pPr>
      <w:r w:rsidRPr="00D62638">
        <w:rPr>
          <w:rFonts w:ascii="Arial" w:hAnsi="Arial" w:cs="Arial"/>
        </w:rPr>
        <w:t>Źródło: Dochody i warunki życia ludności Polski – raport z badania EU-SILC 2022.</w:t>
      </w:r>
    </w:p>
    <w:p w:rsidR="0026503B" w:rsidRPr="0064087E" w:rsidRDefault="0026503B" w:rsidP="00C500A0">
      <w:pPr>
        <w:spacing w:after="120" w:line="276" w:lineRule="auto"/>
        <w:rPr>
          <w:rFonts w:ascii="Arial" w:hAnsi="Arial" w:cs="Arial"/>
        </w:rPr>
      </w:pPr>
      <w:r w:rsidRPr="00D62638">
        <w:rPr>
          <w:rFonts w:ascii="Arial" w:hAnsi="Arial" w:cs="Arial"/>
        </w:rPr>
        <w:t xml:space="preserve">Regiony w Tabeli 1 uszeregowane zostały według wartości współczynnika </w:t>
      </w:r>
      <w:proofErr w:type="spellStart"/>
      <w:r w:rsidRPr="00D62638">
        <w:rPr>
          <w:rFonts w:ascii="Arial" w:hAnsi="Arial" w:cs="Arial"/>
        </w:rPr>
        <w:t>Giniego</w:t>
      </w:r>
      <w:proofErr w:type="spellEnd"/>
      <w:r w:rsidRPr="00D62638">
        <w:rPr>
          <w:rFonts w:ascii="Arial" w:hAnsi="Arial" w:cs="Arial"/>
        </w:rPr>
        <w:t xml:space="preserve">. Najmniejszym zróżnicowaniem przeciętnego dochodu wyrażonym tym miernikiem charakteryzował się region opolski (21,5). Również współczynnik zróżnicowania </w:t>
      </w:r>
      <w:proofErr w:type="spellStart"/>
      <w:r w:rsidRPr="00D62638">
        <w:rPr>
          <w:rFonts w:ascii="Arial" w:hAnsi="Arial" w:cs="Arial"/>
        </w:rPr>
        <w:t>kwintylowego</w:t>
      </w:r>
      <w:proofErr w:type="spellEnd"/>
      <w:r w:rsidRPr="00D62638">
        <w:rPr>
          <w:rFonts w:ascii="Arial" w:hAnsi="Arial" w:cs="Arial"/>
        </w:rPr>
        <w:t xml:space="preserve"> w tym regionie uzyskał najniższą wartość (3,2). Po przeciwległej stronie znalazł się region warszawski stołeczny, który nie tylko charakteryzował się zdecydowanie najwyższym przeciętnym dochodem do dyspozycji, ale również mocnym rozwarstwieniem dochodów. Współczynnik </w:t>
      </w:r>
      <w:proofErr w:type="spellStart"/>
      <w:r w:rsidRPr="00D62638">
        <w:rPr>
          <w:rFonts w:ascii="Arial" w:hAnsi="Arial" w:cs="Arial"/>
        </w:rPr>
        <w:t>Giniego</w:t>
      </w:r>
      <w:proofErr w:type="spellEnd"/>
      <w:r w:rsidRPr="00D62638">
        <w:rPr>
          <w:rFonts w:ascii="Arial" w:hAnsi="Arial" w:cs="Arial"/>
        </w:rPr>
        <w:t xml:space="preserve"> dla tego regionu wyniósł 27,5. Region ten charakteryzował się jednocześnie najwyższym spadkiem wartości tego współczynnika od 2019 r. (o 7,0).</w:t>
      </w:r>
    </w:p>
    <w:p w:rsidR="0026503B" w:rsidRPr="0064087E" w:rsidRDefault="0026503B" w:rsidP="00C500A0">
      <w:pPr>
        <w:pStyle w:val="Legenda"/>
        <w:keepNext/>
        <w:spacing w:after="120" w:line="276" w:lineRule="auto"/>
        <w:rPr>
          <w:rFonts w:ascii="Arial" w:hAnsi="Arial" w:cs="Arial"/>
          <w:i w:val="0"/>
          <w:color w:val="auto"/>
          <w:sz w:val="22"/>
          <w:szCs w:val="22"/>
        </w:rPr>
      </w:pPr>
      <w:bookmarkStart w:id="64" w:name="_Toc157073901"/>
      <w:r w:rsidRPr="00D62638">
        <w:rPr>
          <w:rFonts w:ascii="Arial" w:hAnsi="Arial" w:cs="Arial"/>
          <w:b/>
          <w:i w:val="0"/>
          <w:color w:val="auto"/>
          <w:sz w:val="22"/>
          <w:szCs w:val="22"/>
        </w:rPr>
        <w:t xml:space="preserve">Tabela </w:t>
      </w:r>
      <w:r w:rsidRPr="00D62638">
        <w:rPr>
          <w:rFonts w:ascii="Arial" w:hAnsi="Arial" w:cs="Arial"/>
          <w:b/>
          <w:i w:val="0"/>
          <w:color w:val="auto"/>
          <w:sz w:val="22"/>
          <w:szCs w:val="22"/>
        </w:rPr>
        <w:fldChar w:fldCharType="begin"/>
      </w:r>
      <w:r w:rsidRPr="00D62638">
        <w:rPr>
          <w:rFonts w:ascii="Arial" w:hAnsi="Arial" w:cs="Arial"/>
          <w:b/>
          <w:i w:val="0"/>
          <w:color w:val="auto"/>
          <w:sz w:val="22"/>
          <w:szCs w:val="22"/>
        </w:rPr>
        <w:instrText xml:space="preserve"> SEQ Tabela \* ARABIC </w:instrText>
      </w:r>
      <w:r w:rsidRPr="00D62638">
        <w:rPr>
          <w:rFonts w:ascii="Arial" w:hAnsi="Arial" w:cs="Arial"/>
          <w:b/>
          <w:i w:val="0"/>
          <w:color w:val="auto"/>
          <w:sz w:val="22"/>
          <w:szCs w:val="22"/>
        </w:rPr>
        <w:fldChar w:fldCharType="separate"/>
      </w:r>
      <w:r w:rsidR="00884DAD">
        <w:rPr>
          <w:rFonts w:ascii="Arial" w:hAnsi="Arial" w:cs="Arial"/>
          <w:b/>
          <w:i w:val="0"/>
          <w:noProof/>
          <w:color w:val="auto"/>
          <w:sz w:val="22"/>
          <w:szCs w:val="22"/>
        </w:rPr>
        <w:t>1</w:t>
      </w:r>
      <w:r w:rsidRPr="00D62638">
        <w:rPr>
          <w:rFonts w:ascii="Arial" w:hAnsi="Arial" w:cs="Arial"/>
          <w:b/>
          <w:i w:val="0"/>
          <w:color w:val="auto"/>
          <w:sz w:val="22"/>
          <w:szCs w:val="22"/>
        </w:rPr>
        <w:fldChar w:fldCharType="end"/>
      </w:r>
      <w:r w:rsidRPr="00D62638">
        <w:rPr>
          <w:rFonts w:ascii="Arial" w:hAnsi="Arial" w:cs="Arial"/>
          <w:b/>
          <w:i w:val="0"/>
          <w:color w:val="auto"/>
          <w:sz w:val="22"/>
          <w:szCs w:val="22"/>
        </w:rPr>
        <w:t>.</w:t>
      </w:r>
      <w:r w:rsidRPr="00D62638">
        <w:rPr>
          <w:rFonts w:ascii="Arial" w:hAnsi="Arial" w:cs="Arial"/>
          <w:i w:val="0"/>
          <w:color w:val="auto"/>
          <w:sz w:val="22"/>
          <w:szCs w:val="22"/>
        </w:rPr>
        <w:t xml:space="preserve"> Wybrane miary zróżnicowania przeciętnego dochodu do dyspozycji według NUTS 2 w 2022 roku</w:t>
      </w:r>
      <w:bookmarkEnd w:id="64"/>
    </w:p>
    <w:tbl>
      <w:tblPr>
        <w:tblStyle w:val="Tabela-Siatka"/>
        <w:tblW w:w="9070" w:type="dxa"/>
        <w:tblLayout w:type="fixed"/>
        <w:tblLook w:val="04A0" w:firstRow="1" w:lastRow="0" w:firstColumn="1" w:lastColumn="0" w:noHBand="0" w:noVBand="1"/>
        <w:tblCaption w:val="Tabela 1. Wybrane miary zróżnicowania przeciętnego dochodu do dyspozycji według NUTS 2 w 2022 roku"/>
        <w:tblDescription w:val="Tabela zawiera Miary zróżnicowania dochodów/ regiony NUTS w tym województwa: opolski, podkarpacki, śląski, dolnośląski, mazowiecki regionalny, świętokrzyski, zachodniopomorski, warmińsko-mazurski, lubuski, podlaski, pomorski, lubelski, wielkopolski, Polska, łódzki, kujawsko-pomorski, małopolski, warszawski stołeczny&#10;"/>
      </w:tblPr>
      <w:tblGrid>
        <w:gridCol w:w="988"/>
        <w:gridCol w:w="449"/>
        <w:gridCol w:w="449"/>
        <w:gridCol w:w="449"/>
        <w:gridCol w:w="449"/>
        <w:gridCol w:w="449"/>
        <w:gridCol w:w="449"/>
        <w:gridCol w:w="449"/>
        <w:gridCol w:w="449"/>
        <w:gridCol w:w="449"/>
        <w:gridCol w:w="449"/>
        <w:gridCol w:w="449"/>
        <w:gridCol w:w="449"/>
        <w:gridCol w:w="449"/>
        <w:gridCol w:w="449"/>
        <w:gridCol w:w="449"/>
        <w:gridCol w:w="449"/>
        <w:gridCol w:w="470"/>
        <w:gridCol w:w="428"/>
      </w:tblGrid>
      <w:tr w:rsidR="0064087E" w:rsidRPr="0064087E" w:rsidTr="00EC1DB6">
        <w:trPr>
          <w:cantSplit/>
          <w:trHeight w:val="2320"/>
          <w:tblHeader/>
        </w:trPr>
        <w:tc>
          <w:tcPr>
            <w:tcW w:w="988" w:type="dxa"/>
          </w:tcPr>
          <w:p w:rsidR="0026503B" w:rsidRPr="00D62638" w:rsidRDefault="0026503B" w:rsidP="005F52FD">
            <w:pPr>
              <w:spacing w:after="120" w:line="276" w:lineRule="auto"/>
              <w:rPr>
                <w:rFonts w:ascii="Arial" w:hAnsi="Arial" w:cs="Arial"/>
                <w:b/>
                <w:sz w:val="20"/>
                <w:szCs w:val="20"/>
              </w:rPr>
            </w:pPr>
            <w:r w:rsidRPr="00D62638">
              <w:rPr>
                <w:rFonts w:ascii="Arial" w:hAnsi="Arial" w:cs="Arial"/>
                <w:sz w:val="20"/>
                <w:szCs w:val="20"/>
              </w:rPr>
              <w:t xml:space="preserve">Miary zróżnicowania dochodów/ </w:t>
            </w:r>
            <w:r w:rsidRPr="00D62638">
              <w:rPr>
                <w:rFonts w:ascii="Arial" w:hAnsi="Arial" w:cs="Arial"/>
                <w:sz w:val="20"/>
                <w:szCs w:val="20"/>
              </w:rPr>
              <w:br/>
              <w:t>regiony NUTS</w:t>
            </w:r>
          </w:p>
        </w:tc>
        <w:tc>
          <w:tcPr>
            <w:tcW w:w="449" w:type="dxa"/>
            <w:textDirection w:val="btLr"/>
          </w:tcPr>
          <w:p w:rsidR="0026503B" w:rsidRPr="00D62638" w:rsidRDefault="0026503B" w:rsidP="005F52FD">
            <w:pPr>
              <w:spacing w:after="120" w:line="276" w:lineRule="auto"/>
              <w:ind w:left="113" w:right="113"/>
              <w:rPr>
                <w:rFonts w:ascii="Arial" w:hAnsi="Arial" w:cs="Arial"/>
                <w:sz w:val="20"/>
                <w:szCs w:val="20"/>
              </w:rPr>
            </w:pPr>
            <w:r w:rsidRPr="00D62638">
              <w:rPr>
                <w:rFonts w:ascii="Arial" w:hAnsi="Arial" w:cs="Arial"/>
                <w:sz w:val="20"/>
                <w:szCs w:val="20"/>
              </w:rPr>
              <w:t>opolski</w:t>
            </w:r>
          </w:p>
        </w:tc>
        <w:tc>
          <w:tcPr>
            <w:tcW w:w="449" w:type="dxa"/>
            <w:textDirection w:val="btLr"/>
          </w:tcPr>
          <w:p w:rsidR="0026503B" w:rsidRPr="00D62638" w:rsidRDefault="0026503B" w:rsidP="005F52FD">
            <w:pPr>
              <w:spacing w:after="120" w:line="276" w:lineRule="auto"/>
              <w:ind w:left="113" w:right="113"/>
              <w:rPr>
                <w:rFonts w:ascii="Arial" w:hAnsi="Arial" w:cs="Arial"/>
                <w:sz w:val="20"/>
                <w:szCs w:val="20"/>
              </w:rPr>
            </w:pPr>
            <w:r w:rsidRPr="00D62638">
              <w:rPr>
                <w:rFonts w:ascii="Arial" w:hAnsi="Arial" w:cs="Arial"/>
                <w:sz w:val="20"/>
                <w:szCs w:val="20"/>
              </w:rPr>
              <w:t>podkarpacki</w:t>
            </w:r>
          </w:p>
        </w:tc>
        <w:tc>
          <w:tcPr>
            <w:tcW w:w="449" w:type="dxa"/>
            <w:textDirection w:val="btLr"/>
          </w:tcPr>
          <w:p w:rsidR="0026503B" w:rsidRPr="00D62638" w:rsidRDefault="0026503B" w:rsidP="005F52FD">
            <w:pPr>
              <w:spacing w:after="120" w:line="276" w:lineRule="auto"/>
              <w:ind w:left="113" w:right="113"/>
              <w:rPr>
                <w:rFonts w:ascii="Arial" w:hAnsi="Arial" w:cs="Arial"/>
                <w:sz w:val="20"/>
                <w:szCs w:val="20"/>
              </w:rPr>
            </w:pPr>
            <w:r w:rsidRPr="00D62638">
              <w:rPr>
                <w:rFonts w:ascii="Arial" w:hAnsi="Arial" w:cs="Arial"/>
                <w:sz w:val="20"/>
                <w:szCs w:val="20"/>
              </w:rPr>
              <w:t>śląski</w:t>
            </w:r>
          </w:p>
        </w:tc>
        <w:tc>
          <w:tcPr>
            <w:tcW w:w="449" w:type="dxa"/>
            <w:textDirection w:val="btLr"/>
          </w:tcPr>
          <w:p w:rsidR="0026503B" w:rsidRPr="00D62638" w:rsidRDefault="0026503B" w:rsidP="005F52FD">
            <w:pPr>
              <w:spacing w:after="120" w:line="276" w:lineRule="auto"/>
              <w:ind w:left="113" w:right="113"/>
              <w:rPr>
                <w:rFonts w:ascii="Arial" w:hAnsi="Arial" w:cs="Arial"/>
                <w:sz w:val="20"/>
                <w:szCs w:val="20"/>
              </w:rPr>
            </w:pPr>
            <w:r w:rsidRPr="00D62638">
              <w:rPr>
                <w:rFonts w:ascii="Arial" w:hAnsi="Arial" w:cs="Arial"/>
                <w:sz w:val="20"/>
                <w:szCs w:val="20"/>
              </w:rPr>
              <w:t>dolnośląski</w:t>
            </w:r>
          </w:p>
        </w:tc>
        <w:tc>
          <w:tcPr>
            <w:tcW w:w="449" w:type="dxa"/>
            <w:textDirection w:val="btLr"/>
          </w:tcPr>
          <w:p w:rsidR="0026503B" w:rsidRPr="00D62638" w:rsidRDefault="0026503B" w:rsidP="005F52FD">
            <w:pPr>
              <w:spacing w:after="120" w:line="276" w:lineRule="auto"/>
              <w:ind w:left="113" w:right="113"/>
              <w:rPr>
                <w:rFonts w:ascii="Arial" w:hAnsi="Arial" w:cs="Arial"/>
                <w:sz w:val="20"/>
                <w:szCs w:val="20"/>
              </w:rPr>
            </w:pPr>
            <w:r w:rsidRPr="00D62638">
              <w:rPr>
                <w:rFonts w:ascii="Arial" w:hAnsi="Arial" w:cs="Arial"/>
                <w:sz w:val="20"/>
                <w:szCs w:val="20"/>
              </w:rPr>
              <w:t>mazowiecki regionalny</w:t>
            </w:r>
          </w:p>
        </w:tc>
        <w:tc>
          <w:tcPr>
            <w:tcW w:w="449" w:type="dxa"/>
            <w:textDirection w:val="btLr"/>
          </w:tcPr>
          <w:p w:rsidR="0026503B" w:rsidRPr="00D62638" w:rsidRDefault="0026503B" w:rsidP="005F52FD">
            <w:pPr>
              <w:spacing w:after="120" w:line="276" w:lineRule="auto"/>
              <w:ind w:left="113" w:right="113"/>
              <w:rPr>
                <w:rFonts w:ascii="Arial" w:hAnsi="Arial" w:cs="Arial"/>
                <w:sz w:val="20"/>
                <w:szCs w:val="20"/>
              </w:rPr>
            </w:pPr>
            <w:r w:rsidRPr="00D62638">
              <w:rPr>
                <w:rFonts w:ascii="Arial" w:hAnsi="Arial" w:cs="Arial"/>
                <w:sz w:val="20"/>
                <w:szCs w:val="20"/>
              </w:rPr>
              <w:t>świętokrzyski</w:t>
            </w:r>
          </w:p>
        </w:tc>
        <w:tc>
          <w:tcPr>
            <w:tcW w:w="449" w:type="dxa"/>
            <w:textDirection w:val="btLr"/>
          </w:tcPr>
          <w:p w:rsidR="0026503B" w:rsidRPr="00D62638" w:rsidRDefault="0026503B" w:rsidP="005F52FD">
            <w:pPr>
              <w:spacing w:after="120" w:line="276" w:lineRule="auto"/>
              <w:ind w:left="113" w:right="113"/>
              <w:rPr>
                <w:rFonts w:ascii="Arial" w:hAnsi="Arial" w:cs="Arial"/>
                <w:sz w:val="20"/>
                <w:szCs w:val="20"/>
              </w:rPr>
            </w:pPr>
            <w:r w:rsidRPr="00D62638">
              <w:rPr>
                <w:rFonts w:ascii="Arial" w:hAnsi="Arial" w:cs="Arial"/>
                <w:sz w:val="20"/>
                <w:szCs w:val="20"/>
              </w:rPr>
              <w:t>zachodniopomorski</w:t>
            </w:r>
          </w:p>
        </w:tc>
        <w:tc>
          <w:tcPr>
            <w:tcW w:w="449" w:type="dxa"/>
            <w:textDirection w:val="btLr"/>
          </w:tcPr>
          <w:p w:rsidR="0026503B" w:rsidRPr="00D62638" w:rsidRDefault="0026503B" w:rsidP="005F52FD">
            <w:pPr>
              <w:spacing w:after="120" w:line="276" w:lineRule="auto"/>
              <w:ind w:left="113" w:right="113"/>
              <w:rPr>
                <w:rFonts w:ascii="Arial" w:hAnsi="Arial" w:cs="Arial"/>
                <w:sz w:val="20"/>
                <w:szCs w:val="20"/>
              </w:rPr>
            </w:pPr>
            <w:r w:rsidRPr="00D62638">
              <w:rPr>
                <w:rFonts w:ascii="Arial" w:hAnsi="Arial" w:cs="Arial"/>
                <w:sz w:val="20"/>
                <w:szCs w:val="20"/>
              </w:rPr>
              <w:t>warmińsko-mazurski</w:t>
            </w:r>
          </w:p>
        </w:tc>
        <w:tc>
          <w:tcPr>
            <w:tcW w:w="449" w:type="dxa"/>
            <w:textDirection w:val="btLr"/>
          </w:tcPr>
          <w:p w:rsidR="0026503B" w:rsidRPr="00D62638" w:rsidRDefault="0026503B" w:rsidP="005F52FD">
            <w:pPr>
              <w:spacing w:after="120" w:line="276" w:lineRule="auto"/>
              <w:ind w:left="113" w:right="113"/>
              <w:rPr>
                <w:rFonts w:ascii="Arial" w:hAnsi="Arial" w:cs="Arial"/>
                <w:sz w:val="20"/>
                <w:szCs w:val="20"/>
              </w:rPr>
            </w:pPr>
            <w:r w:rsidRPr="00D62638">
              <w:rPr>
                <w:rFonts w:ascii="Arial" w:hAnsi="Arial" w:cs="Arial"/>
                <w:sz w:val="20"/>
                <w:szCs w:val="20"/>
              </w:rPr>
              <w:t>lubuski</w:t>
            </w:r>
          </w:p>
        </w:tc>
        <w:tc>
          <w:tcPr>
            <w:tcW w:w="449" w:type="dxa"/>
            <w:textDirection w:val="btLr"/>
          </w:tcPr>
          <w:p w:rsidR="0026503B" w:rsidRPr="00D62638" w:rsidRDefault="0026503B" w:rsidP="005F52FD">
            <w:pPr>
              <w:spacing w:after="120" w:line="276" w:lineRule="auto"/>
              <w:ind w:left="113" w:right="113"/>
              <w:rPr>
                <w:rFonts w:ascii="Arial" w:hAnsi="Arial" w:cs="Arial"/>
                <w:sz w:val="20"/>
                <w:szCs w:val="20"/>
              </w:rPr>
            </w:pPr>
            <w:r w:rsidRPr="00D62638">
              <w:rPr>
                <w:rFonts w:ascii="Arial" w:hAnsi="Arial" w:cs="Arial"/>
                <w:sz w:val="20"/>
                <w:szCs w:val="20"/>
              </w:rPr>
              <w:t>podlaski</w:t>
            </w:r>
          </w:p>
        </w:tc>
        <w:tc>
          <w:tcPr>
            <w:tcW w:w="449" w:type="dxa"/>
            <w:textDirection w:val="btLr"/>
          </w:tcPr>
          <w:p w:rsidR="0026503B" w:rsidRPr="00D62638" w:rsidRDefault="0026503B" w:rsidP="005F52FD">
            <w:pPr>
              <w:spacing w:after="120" w:line="276" w:lineRule="auto"/>
              <w:ind w:left="113" w:right="113"/>
              <w:rPr>
                <w:rFonts w:ascii="Arial" w:hAnsi="Arial" w:cs="Arial"/>
                <w:sz w:val="20"/>
                <w:szCs w:val="20"/>
              </w:rPr>
            </w:pPr>
            <w:r w:rsidRPr="00D62638">
              <w:rPr>
                <w:rFonts w:ascii="Arial" w:hAnsi="Arial" w:cs="Arial"/>
                <w:sz w:val="20"/>
                <w:szCs w:val="20"/>
              </w:rPr>
              <w:t>pomorski</w:t>
            </w:r>
          </w:p>
        </w:tc>
        <w:tc>
          <w:tcPr>
            <w:tcW w:w="449" w:type="dxa"/>
            <w:textDirection w:val="btLr"/>
          </w:tcPr>
          <w:p w:rsidR="0026503B" w:rsidRPr="00D62638" w:rsidRDefault="0026503B" w:rsidP="005F52FD">
            <w:pPr>
              <w:spacing w:after="120" w:line="276" w:lineRule="auto"/>
              <w:ind w:left="113" w:right="113"/>
              <w:rPr>
                <w:rFonts w:ascii="Arial" w:hAnsi="Arial" w:cs="Arial"/>
                <w:sz w:val="20"/>
                <w:szCs w:val="20"/>
              </w:rPr>
            </w:pPr>
            <w:r w:rsidRPr="00D62638">
              <w:rPr>
                <w:rFonts w:ascii="Arial" w:hAnsi="Arial" w:cs="Arial"/>
                <w:sz w:val="20"/>
                <w:szCs w:val="20"/>
              </w:rPr>
              <w:t>lubelski</w:t>
            </w:r>
          </w:p>
        </w:tc>
        <w:tc>
          <w:tcPr>
            <w:tcW w:w="449" w:type="dxa"/>
            <w:textDirection w:val="btLr"/>
          </w:tcPr>
          <w:p w:rsidR="0026503B" w:rsidRPr="00D62638" w:rsidRDefault="0026503B" w:rsidP="005F52FD">
            <w:pPr>
              <w:spacing w:after="120" w:line="276" w:lineRule="auto"/>
              <w:ind w:left="113" w:right="113"/>
              <w:rPr>
                <w:rFonts w:ascii="Arial" w:hAnsi="Arial" w:cs="Arial"/>
                <w:sz w:val="20"/>
                <w:szCs w:val="20"/>
              </w:rPr>
            </w:pPr>
            <w:r w:rsidRPr="00D62638">
              <w:rPr>
                <w:rFonts w:ascii="Arial" w:hAnsi="Arial" w:cs="Arial"/>
                <w:sz w:val="20"/>
                <w:szCs w:val="20"/>
              </w:rPr>
              <w:t>wielkopolski</w:t>
            </w:r>
          </w:p>
        </w:tc>
        <w:tc>
          <w:tcPr>
            <w:tcW w:w="449" w:type="dxa"/>
            <w:textDirection w:val="btLr"/>
          </w:tcPr>
          <w:p w:rsidR="0026503B" w:rsidRPr="00D62638" w:rsidRDefault="0026503B" w:rsidP="005F52FD">
            <w:pPr>
              <w:spacing w:after="120" w:line="276" w:lineRule="auto"/>
              <w:ind w:left="113" w:right="113"/>
              <w:rPr>
                <w:rFonts w:ascii="Arial" w:hAnsi="Arial" w:cs="Arial"/>
                <w:sz w:val="20"/>
                <w:szCs w:val="20"/>
              </w:rPr>
            </w:pPr>
            <w:r w:rsidRPr="00D62638">
              <w:rPr>
                <w:rFonts w:ascii="Arial" w:hAnsi="Arial" w:cs="Arial"/>
                <w:sz w:val="20"/>
                <w:szCs w:val="20"/>
              </w:rPr>
              <w:t>Polska</w:t>
            </w:r>
          </w:p>
        </w:tc>
        <w:tc>
          <w:tcPr>
            <w:tcW w:w="449" w:type="dxa"/>
            <w:textDirection w:val="btLr"/>
          </w:tcPr>
          <w:p w:rsidR="0026503B" w:rsidRPr="00D62638" w:rsidRDefault="0026503B" w:rsidP="005F52FD">
            <w:pPr>
              <w:spacing w:after="120" w:line="276" w:lineRule="auto"/>
              <w:ind w:left="113" w:right="113"/>
              <w:rPr>
                <w:rFonts w:ascii="Arial" w:hAnsi="Arial" w:cs="Arial"/>
                <w:sz w:val="20"/>
                <w:szCs w:val="20"/>
              </w:rPr>
            </w:pPr>
            <w:r w:rsidRPr="00D62638">
              <w:rPr>
                <w:rFonts w:ascii="Arial" w:hAnsi="Arial" w:cs="Arial"/>
                <w:sz w:val="20"/>
                <w:szCs w:val="20"/>
              </w:rPr>
              <w:t>łódzki</w:t>
            </w:r>
          </w:p>
        </w:tc>
        <w:tc>
          <w:tcPr>
            <w:tcW w:w="449" w:type="dxa"/>
            <w:textDirection w:val="btLr"/>
          </w:tcPr>
          <w:p w:rsidR="0026503B" w:rsidRPr="00D62638" w:rsidRDefault="0026503B" w:rsidP="005F52FD">
            <w:pPr>
              <w:spacing w:after="120" w:line="276" w:lineRule="auto"/>
              <w:ind w:left="113" w:right="113"/>
              <w:rPr>
                <w:rFonts w:ascii="Arial" w:hAnsi="Arial" w:cs="Arial"/>
                <w:b/>
                <w:sz w:val="20"/>
                <w:szCs w:val="20"/>
              </w:rPr>
            </w:pPr>
            <w:r w:rsidRPr="00D62638">
              <w:rPr>
                <w:rFonts w:ascii="Arial" w:hAnsi="Arial" w:cs="Arial"/>
                <w:sz w:val="20"/>
                <w:szCs w:val="20"/>
              </w:rPr>
              <w:t>kujawsko-pomorski</w:t>
            </w:r>
          </w:p>
        </w:tc>
        <w:tc>
          <w:tcPr>
            <w:tcW w:w="470" w:type="dxa"/>
            <w:textDirection w:val="btLr"/>
          </w:tcPr>
          <w:p w:rsidR="0026503B" w:rsidRPr="00D62638" w:rsidRDefault="0026503B" w:rsidP="005F52FD">
            <w:pPr>
              <w:spacing w:after="120" w:line="276" w:lineRule="auto"/>
              <w:ind w:left="113" w:right="113"/>
              <w:rPr>
                <w:rFonts w:ascii="Arial" w:hAnsi="Arial" w:cs="Arial"/>
                <w:b/>
                <w:sz w:val="20"/>
                <w:szCs w:val="20"/>
              </w:rPr>
            </w:pPr>
            <w:r w:rsidRPr="00D62638">
              <w:rPr>
                <w:rFonts w:ascii="Arial" w:hAnsi="Arial" w:cs="Arial"/>
                <w:sz w:val="20"/>
                <w:szCs w:val="20"/>
              </w:rPr>
              <w:t>małopolski</w:t>
            </w:r>
          </w:p>
        </w:tc>
        <w:tc>
          <w:tcPr>
            <w:tcW w:w="428" w:type="dxa"/>
            <w:textDirection w:val="btLr"/>
          </w:tcPr>
          <w:p w:rsidR="0026503B" w:rsidRPr="00D62638" w:rsidRDefault="0026503B" w:rsidP="005F52FD">
            <w:pPr>
              <w:spacing w:after="120" w:line="276" w:lineRule="auto"/>
              <w:ind w:left="113" w:right="113"/>
              <w:rPr>
                <w:rFonts w:ascii="Arial" w:hAnsi="Arial" w:cs="Arial"/>
                <w:b/>
                <w:sz w:val="20"/>
                <w:szCs w:val="20"/>
              </w:rPr>
            </w:pPr>
            <w:r w:rsidRPr="00D62638">
              <w:rPr>
                <w:rFonts w:ascii="Arial" w:hAnsi="Arial" w:cs="Arial"/>
                <w:sz w:val="20"/>
                <w:szCs w:val="20"/>
              </w:rPr>
              <w:t>warszawski stołeczny</w:t>
            </w:r>
          </w:p>
        </w:tc>
      </w:tr>
      <w:tr w:rsidR="0064087E" w:rsidRPr="0064087E" w:rsidTr="00F90D1E">
        <w:trPr>
          <w:cantSplit/>
          <w:trHeight w:val="1330"/>
        </w:trPr>
        <w:tc>
          <w:tcPr>
            <w:tcW w:w="988" w:type="dxa"/>
            <w:textDirection w:val="btLr"/>
          </w:tcPr>
          <w:p w:rsidR="0026503B" w:rsidRPr="00D62638" w:rsidRDefault="0026503B" w:rsidP="005F52FD">
            <w:pPr>
              <w:spacing w:after="120" w:line="276" w:lineRule="auto"/>
              <w:ind w:left="113" w:right="113"/>
              <w:jc w:val="both"/>
              <w:rPr>
                <w:rFonts w:ascii="Arial" w:hAnsi="Arial" w:cs="Arial"/>
                <w:b/>
                <w:sz w:val="18"/>
                <w:szCs w:val="18"/>
              </w:rPr>
            </w:pPr>
            <w:r w:rsidRPr="00D62638">
              <w:rPr>
                <w:rFonts w:ascii="Arial" w:hAnsi="Arial" w:cs="Arial"/>
                <w:sz w:val="18"/>
                <w:szCs w:val="18"/>
              </w:rPr>
              <w:t xml:space="preserve">Współczynnik </w:t>
            </w:r>
            <w:proofErr w:type="spellStart"/>
            <w:r w:rsidRPr="00D62638">
              <w:rPr>
                <w:rFonts w:ascii="Arial" w:hAnsi="Arial" w:cs="Arial"/>
                <w:sz w:val="18"/>
                <w:szCs w:val="18"/>
              </w:rPr>
              <w:t>Giniego</w:t>
            </w:r>
            <w:proofErr w:type="spellEnd"/>
          </w:p>
        </w:tc>
        <w:tc>
          <w:tcPr>
            <w:tcW w:w="449" w:type="dxa"/>
            <w:textDirection w:val="btLr"/>
          </w:tcPr>
          <w:p w:rsidR="0026503B" w:rsidRPr="00D62638" w:rsidRDefault="0026503B" w:rsidP="005F52FD">
            <w:pPr>
              <w:spacing w:line="276" w:lineRule="auto"/>
              <w:ind w:left="113" w:right="113"/>
              <w:jc w:val="center"/>
              <w:rPr>
                <w:rFonts w:ascii="Arial" w:hAnsi="Arial" w:cs="Arial"/>
                <w:sz w:val="20"/>
                <w:szCs w:val="20"/>
              </w:rPr>
            </w:pPr>
            <w:r w:rsidRPr="00D62638">
              <w:rPr>
                <w:rFonts w:ascii="Arial" w:hAnsi="Arial" w:cs="Arial"/>
                <w:sz w:val="20"/>
                <w:szCs w:val="20"/>
              </w:rPr>
              <w:t>21,5</w:t>
            </w:r>
          </w:p>
        </w:tc>
        <w:tc>
          <w:tcPr>
            <w:tcW w:w="449" w:type="dxa"/>
            <w:textDirection w:val="btLr"/>
          </w:tcPr>
          <w:p w:rsidR="0026503B" w:rsidRPr="00D62638" w:rsidRDefault="0026503B" w:rsidP="005F52FD">
            <w:pPr>
              <w:spacing w:line="276" w:lineRule="auto"/>
              <w:ind w:left="113" w:right="113"/>
              <w:jc w:val="center"/>
              <w:rPr>
                <w:rFonts w:ascii="Arial" w:hAnsi="Arial" w:cs="Arial"/>
                <w:sz w:val="20"/>
                <w:szCs w:val="20"/>
              </w:rPr>
            </w:pPr>
            <w:r w:rsidRPr="00D62638">
              <w:rPr>
                <w:rFonts w:ascii="Arial" w:hAnsi="Arial" w:cs="Arial"/>
                <w:sz w:val="20"/>
                <w:szCs w:val="20"/>
              </w:rPr>
              <w:t>22,9</w:t>
            </w:r>
          </w:p>
        </w:tc>
        <w:tc>
          <w:tcPr>
            <w:tcW w:w="449" w:type="dxa"/>
            <w:textDirection w:val="btLr"/>
          </w:tcPr>
          <w:p w:rsidR="0026503B" w:rsidRPr="00D62638" w:rsidRDefault="0026503B" w:rsidP="005F52FD">
            <w:pPr>
              <w:spacing w:line="276" w:lineRule="auto"/>
              <w:ind w:left="113" w:right="113"/>
              <w:jc w:val="center"/>
              <w:rPr>
                <w:rFonts w:ascii="Arial" w:hAnsi="Arial" w:cs="Arial"/>
                <w:sz w:val="20"/>
                <w:szCs w:val="20"/>
              </w:rPr>
            </w:pPr>
            <w:r w:rsidRPr="00D62638">
              <w:rPr>
                <w:rFonts w:ascii="Arial" w:hAnsi="Arial" w:cs="Arial"/>
                <w:sz w:val="20"/>
                <w:szCs w:val="20"/>
              </w:rPr>
              <w:t>24,1</w:t>
            </w:r>
          </w:p>
        </w:tc>
        <w:tc>
          <w:tcPr>
            <w:tcW w:w="449" w:type="dxa"/>
            <w:textDirection w:val="btLr"/>
          </w:tcPr>
          <w:p w:rsidR="0026503B" w:rsidRPr="00D62638" w:rsidRDefault="0026503B" w:rsidP="005F52FD">
            <w:pPr>
              <w:spacing w:line="276" w:lineRule="auto"/>
              <w:ind w:left="113" w:right="113"/>
              <w:jc w:val="center"/>
              <w:rPr>
                <w:rFonts w:ascii="Arial" w:hAnsi="Arial" w:cs="Arial"/>
                <w:sz w:val="20"/>
                <w:szCs w:val="20"/>
              </w:rPr>
            </w:pPr>
            <w:r w:rsidRPr="00D62638">
              <w:rPr>
                <w:rFonts w:ascii="Arial" w:hAnsi="Arial" w:cs="Arial"/>
                <w:sz w:val="20"/>
                <w:szCs w:val="20"/>
              </w:rPr>
              <w:t>24,2</w:t>
            </w:r>
          </w:p>
        </w:tc>
        <w:tc>
          <w:tcPr>
            <w:tcW w:w="449" w:type="dxa"/>
            <w:textDirection w:val="btLr"/>
          </w:tcPr>
          <w:p w:rsidR="0026503B" w:rsidRPr="00D62638" w:rsidRDefault="0026503B" w:rsidP="005F52FD">
            <w:pPr>
              <w:spacing w:line="276" w:lineRule="auto"/>
              <w:ind w:left="113" w:right="113"/>
              <w:jc w:val="center"/>
              <w:rPr>
                <w:rFonts w:ascii="Arial" w:hAnsi="Arial" w:cs="Arial"/>
                <w:sz w:val="20"/>
                <w:szCs w:val="20"/>
              </w:rPr>
            </w:pPr>
            <w:r w:rsidRPr="00D62638">
              <w:rPr>
                <w:rFonts w:ascii="Arial" w:hAnsi="Arial" w:cs="Arial"/>
                <w:sz w:val="20"/>
                <w:szCs w:val="20"/>
              </w:rPr>
              <w:t>24,2</w:t>
            </w:r>
          </w:p>
        </w:tc>
        <w:tc>
          <w:tcPr>
            <w:tcW w:w="449" w:type="dxa"/>
            <w:textDirection w:val="btLr"/>
          </w:tcPr>
          <w:p w:rsidR="0026503B" w:rsidRPr="00D62638" w:rsidRDefault="0026503B" w:rsidP="005F52FD">
            <w:pPr>
              <w:spacing w:line="276" w:lineRule="auto"/>
              <w:ind w:left="113" w:right="113"/>
              <w:jc w:val="center"/>
              <w:rPr>
                <w:rFonts w:ascii="Arial" w:hAnsi="Arial" w:cs="Arial"/>
                <w:sz w:val="20"/>
                <w:szCs w:val="20"/>
              </w:rPr>
            </w:pPr>
            <w:r w:rsidRPr="00D62638">
              <w:rPr>
                <w:rFonts w:ascii="Arial" w:hAnsi="Arial" w:cs="Arial"/>
                <w:sz w:val="20"/>
                <w:szCs w:val="20"/>
              </w:rPr>
              <w:t>24,5</w:t>
            </w:r>
          </w:p>
        </w:tc>
        <w:tc>
          <w:tcPr>
            <w:tcW w:w="449" w:type="dxa"/>
            <w:textDirection w:val="btLr"/>
          </w:tcPr>
          <w:p w:rsidR="0026503B" w:rsidRPr="00D62638" w:rsidRDefault="0026503B" w:rsidP="005F52FD">
            <w:pPr>
              <w:spacing w:line="276" w:lineRule="auto"/>
              <w:ind w:left="113" w:right="113"/>
              <w:jc w:val="center"/>
              <w:rPr>
                <w:rFonts w:ascii="Arial" w:hAnsi="Arial" w:cs="Arial"/>
                <w:sz w:val="20"/>
                <w:szCs w:val="20"/>
              </w:rPr>
            </w:pPr>
            <w:r w:rsidRPr="00D62638">
              <w:rPr>
                <w:rFonts w:ascii="Arial" w:hAnsi="Arial" w:cs="Arial"/>
                <w:sz w:val="20"/>
                <w:szCs w:val="20"/>
              </w:rPr>
              <w:t>24,6</w:t>
            </w:r>
          </w:p>
        </w:tc>
        <w:tc>
          <w:tcPr>
            <w:tcW w:w="449" w:type="dxa"/>
            <w:textDirection w:val="btLr"/>
          </w:tcPr>
          <w:p w:rsidR="0026503B" w:rsidRPr="00D62638" w:rsidRDefault="0026503B" w:rsidP="005F52FD">
            <w:pPr>
              <w:spacing w:line="276" w:lineRule="auto"/>
              <w:ind w:left="113" w:right="113"/>
              <w:jc w:val="center"/>
              <w:rPr>
                <w:rFonts w:ascii="Arial" w:hAnsi="Arial" w:cs="Arial"/>
                <w:sz w:val="20"/>
                <w:szCs w:val="20"/>
              </w:rPr>
            </w:pPr>
            <w:r w:rsidRPr="00D62638">
              <w:rPr>
                <w:rFonts w:ascii="Arial" w:hAnsi="Arial" w:cs="Arial"/>
                <w:sz w:val="20"/>
                <w:szCs w:val="20"/>
              </w:rPr>
              <w:t>24,9</w:t>
            </w:r>
          </w:p>
        </w:tc>
        <w:tc>
          <w:tcPr>
            <w:tcW w:w="449" w:type="dxa"/>
            <w:textDirection w:val="btLr"/>
          </w:tcPr>
          <w:p w:rsidR="0026503B" w:rsidRPr="00D62638" w:rsidRDefault="0026503B" w:rsidP="005F52FD">
            <w:pPr>
              <w:spacing w:line="276" w:lineRule="auto"/>
              <w:ind w:left="113" w:right="113"/>
              <w:jc w:val="center"/>
              <w:rPr>
                <w:rFonts w:ascii="Arial" w:hAnsi="Arial" w:cs="Arial"/>
                <w:sz w:val="20"/>
                <w:szCs w:val="20"/>
              </w:rPr>
            </w:pPr>
            <w:r w:rsidRPr="00D62638">
              <w:rPr>
                <w:rFonts w:ascii="Arial" w:hAnsi="Arial" w:cs="Arial"/>
                <w:sz w:val="20"/>
                <w:szCs w:val="20"/>
              </w:rPr>
              <w:t>25,0</w:t>
            </w:r>
          </w:p>
        </w:tc>
        <w:tc>
          <w:tcPr>
            <w:tcW w:w="449" w:type="dxa"/>
            <w:textDirection w:val="btLr"/>
          </w:tcPr>
          <w:p w:rsidR="0026503B" w:rsidRPr="00D62638" w:rsidRDefault="0026503B" w:rsidP="005F52FD">
            <w:pPr>
              <w:spacing w:line="276" w:lineRule="auto"/>
              <w:ind w:left="113" w:right="113"/>
              <w:jc w:val="center"/>
              <w:rPr>
                <w:rFonts w:ascii="Arial" w:hAnsi="Arial" w:cs="Arial"/>
                <w:sz w:val="20"/>
                <w:szCs w:val="20"/>
              </w:rPr>
            </w:pPr>
            <w:r w:rsidRPr="00D62638">
              <w:rPr>
                <w:rFonts w:ascii="Arial" w:hAnsi="Arial" w:cs="Arial"/>
                <w:sz w:val="20"/>
                <w:szCs w:val="20"/>
              </w:rPr>
              <w:t>25,5</w:t>
            </w:r>
          </w:p>
        </w:tc>
        <w:tc>
          <w:tcPr>
            <w:tcW w:w="449" w:type="dxa"/>
            <w:textDirection w:val="btLr"/>
          </w:tcPr>
          <w:p w:rsidR="0026503B" w:rsidRPr="00D62638" w:rsidRDefault="0026503B" w:rsidP="005F52FD">
            <w:pPr>
              <w:spacing w:line="276" w:lineRule="auto"/>
              <w:ind w:left="113" w:right="113"/>
              <w:jc w:val="center"/>
              <w:rPr>
                <w:rFonts w:ascii="Arial" w:hAnsi="Arial" w:cs="Arial"/>
                <w:sz w:val="20"/>
                <w:szCs w:val="20"/>
              </w:rPr>
            </w:pPr>
            <w:r w:rsidRPr="00D62638">
              <w:rPr>
                <w:rFonts w:ascii="Arial" w:hAnsi="Arial" w:cs="Arial"/>
                <w:sz w:val="20"/>
                <w:szCs w:val="20"/>
              </w:rPr>
              <w:t>25,6</w:t>
            </w:r>
          </w:p>
        </w:tc>
        <w:tc>
          <w:tcPr>
            <w:tcW w:w="449" w:type="dxa"/>
            <w:textDirection w:val="btLr"/>
          </w:tcPr>
          <w:p w:rsidR="0026503B" w:rsidRPr="00D62638" w:rsidRDefault="0026503B" w:rsidP="005F52FD">
            <w:pPr>
              <w:spacing w:line="276" w:lineRule="auto"/>
              <w:ind w:left="113" w:right="113"/>
              <w:jc w:val="center"/>
              <w:rPr>
                <w:rFonts w:ascii="Arial" w:hAnsi="Arial" w:cs="Arial"/>
                <w:sz w:val="20"/>
                <w:szCs w:val="20"/>
              </w:rPr>
            </w:pPr>
            <w:r w:rsidRPr="00D62638">
              <w:rPr>
                <w:rFonts w:ascii="Arial" w:hAnsi="Arial" w:cs="Arial"/>
                <w:sz w:val="20"/>
                <w:szCs w:val="20"/>
              </w:rPr>
              <w:t>25,7</w:t>
            </w:r>
          </w:p>
        </w:tc>
        <w:tc>
          <w:tcPr>
            <w:tcW w:w="449" w:type="dxa"/>
            <w:textDirection w:val="btLr"/>
          </w:tcPr>
          <w:p w:rsidR="0026503B" w:rsidRPr="00D62638" w:rsidRDefault="0026503B" w:rsidP="005F52FD">
            <w:pPr>
              <w:spacing w:line="276" w:lineRule="auto"/>
              <w:ind w:left="113" w:right="113"/>
              <w:jc w:val="center"/>
              <w:rPr>
                <w:rFonts w:ascii="Arial" w:hAnsi="Arial" w:cs="Arial"/>
                <w:sz w:val="20"/>
                <w:szCs w:val="20"/>
              </w:rPr>
            </w:pPr>
            <w:r w:rsidRPr="00D62638">
              <w:rPr>
                <w:rFonts w:ascii="Arial" w:hAnsi="Arial" w:cs="Arial"/>
                <w:sz w:val="20"/>
                <w:szCs w:val="20"/>
              </w:rPr>
              <w:t>25,9</w:t>
            </w:r>
          </w:p>
        </w:tc>
        <w:tc>
          <w:tcPr>
            <w:tcW w:w="449" w:type="dxa"/>
            <w:textDirection w:val="btLr"/>
          </w:tcPr>
          <w:p w:rsidR="0026503B" w:rsidRPr="00D62638" w:rsidRDefault="0026503B" w:rsidP="005F52FD">
            <w:pPr>
              <w:spacing w:line="276" w:lineRule="auto"/>
              <w:ind w:left="113" w:right="113"/>
              <w:jc w:val="center"/>
              <w:rPr>
                <w:rFonts w:ascii="Arial" w:hAnsi="Arial" w:cs="Arial"/>
                <w:sz w:val="20"/>
                <w:szCs w:val="20"/>
              </w:rPr>
            </w:pPr>
            <w:r w:rsidRPr="00D62638">
              <w:rPr>
                <w:rFonts w:ascii="Arial" w:hAnsi="Arial" w:cs="Arial"/>
                <w:sz w:val="20"/>
                <w:szCs w:val="20"/>
              </w:rPr>
              <w:t>26,3</w:t>
            </w:r>
          </w:p>
        </w:tc>
        <w:tc>
          <w:tcPr>
            <w:tcW w:w="449" w:type="dxa"/>
            <w:textDirection w:val="btLr"/>
          </w:tcPr>
          <w:p w:rsidR="0026503B" w:rsidRPr="00D62638" w:rsidRDefault="0026503B" w:rsidP="005F52FD">
            <w:pPr>
              <w:spacing w:line="276" w:lineRule="auto"/>
              <w:ind w:left="113" w:right="113"/>
              <w:jc w:val="center"/>
              <w:rPr>
                <w:rFonts w:ascii="Arial" w:hAnsi="Arial" w:cs="Arial"/>
                <w:sz w:val="20"/>
                <w:szCs w:val="20"/>
              </w:rPr>
            </w:pPr>
            <w:r w:rsidRPr="00D62638">
              <w:rPr>
                <w:rFonts w:ascii="Arial" w:hAnsi="Arial" w:cs="Arial"/>
                <w:sz w:val="20"/>
                <w:szCs w:val="20"/>
              </w:rPr>
              <w:t>27,1</w:t>
            </w:r>
          </w:p>
        </w:tc>
        <w:tc>
          <w:tcPr>
            <w:tcW w:w="449" w:type="dxa"/>
            <w:textDirection w:val="btLr"/>
          </w:tcPr>
          <w:p w:rsidR="0026503B" w:rsidRPr="00D62638" w:rsidRDefault="0026503B" w:rsidP="005F52FD">
            <w:pPr>
              <w:spacing w:line="276" w:lineRule="auto"/>
              <w:ind w:left="113" w:right="113"/>
              <w:jc w:val="center"/>
              <w:rPr>
                <w:rFonts w:ascii="Arial" w:hAnsi="Arial" w:cs="Arial"/>
                <w:b/>
                <w:sz w:val="20"/>
                <w:szCs w:val="20"/>
              </w:rPr>
            </w:pPr>
            <w:r w:rsidRPr="00D62638">
              <w:rPr>
                <w:rFonts w:ascii="Arial" w:hAnsi="Arial" w:cs="Arial"/>
                <w:sz w:val="20"/>
                <w:szCs w:val="20"/>
              </w:rPr>
              <w:t>27,2</w:t>
            </w:r>
          </w:p>
        </w:tc>
        <w:tc>
          <w:tcPr>
            <w:tcW w:w="470" w:type="dxa"/>
            <w:textDirection w:val="btLr"/>
          </w:tcPr>
          <w:p w:rsidR="0026503B" w:rsidRPr="00D62638" w:rsidRDefault="0026503B" w:rsidP="005F52FD">
            <w:pPr>
              <w:spacing w:line="276" w:lineRule="auto"/>
              <w:ind w:left="113" w:right="113"/>
              <w:jc w:val="center"/>
              <w:rPr>
                <w:rFonts w:ascii="Arial" w:hAnsi="Arial" w:cs="Arial"/>
                <w:b/>
                <w:sz w:val="20"/>
                <w:szCs w:val="20"/>
              </w:rPr>
            </w:pPr>
            <w:r w:rsidRPr="00D62638">
              <w:rPr>
                <w:rFonts w:ascii="Arial" w:hAnsi="Arial" w:cs="Arial"/>
                <w:sz w:val="20"/>
                <w:szCs w:val="20"/>
              </w:rPr>
              <w:t>27,2</w:t>
            </w:r>
          </w:p>
        </w:tc>
        <w:tc>
          <w:tcPr>
            <w:tcW w:w="428" w:type="dxa"/>
            <w:textDirection w:val="btLr"/>
          </w:tcPr>
          <w:p w:rsidR="0026503B" w:rsidRPr="00D62638" w:rsidRDefault="0026503B" w:rsidP="005F52FD">
            <w:pPr>
              <w:spacing w:line="276" w:lineRule="auto"/>
              <w:ind w:left="113" w:right="113"/>
              <w:jc w:val="center"/>
              <w:rPr>
                <w:rFonts w:ascii="Arial" w:hAnsi="Arial" w:cs="Arial"/>
                <w:b/>
                <w:sz w:val="20"/>
                <w:szCs w:val="20"/>
              </w:rPr>
            </w:pPr>
            <w:r w:rsidRPr="00D62638">
              <w:rPr>
                <w:rFonts w:ascii="Arial" w:hAnsi="Arial" w:cs="Arial"/>
                <w:sz w:val="20"/>
                <w:szCs w:val="20"/>
              </w:rPr>
              <w:t>27,5</w:t>
            </w:r>
          </w:p>
        </w:tc>
      </w:tr>
      <w:tr w:rsidR="0064087E" w:rsidRPr="0064087E" w:rsidTr="00F90D1E">
        <w:trPr>
          <w:cantSplit/>
          <w:trHeight w:val="819"/>
        </w:trPr>
        <w:tc>
          <w:tcPr>
            <w:tcW w:w="988" w:type="dxa"/>
            <w:textDirection w:val="btLr"/>
          </w:tcPr>
          <w:p w:rsidR="0026503B" w:rsidRPr="00D62638" w:rsidRDefault="0026503B" w:rsidP="005F52FD">
            <w:pPr>
              <w:spacing w:after="120" w:line="276" w:lineRule="auto"/>
              <w:ind w:right="113"/>
              <w:jc w:val="both"/>
              <w:rPr>
                <w:rFonts w:ascii="Arial" w:hAnsi="Arial" w:cs="Arial"/>
                <w:b/>
                <w:sz w:val="18"/>
                <w:szCs w:val="18"/>
              </w:rPr>
            </w:pPr>
            <w:r w:rsidRPr="00D62638">
              <w:rPr>
                <w:rFonts w:ascii="Arial" w:hAnsi="Arial" w:cs="Arial"/>
                <w:sz w:val="18"/>
                <w:szCs w:val="18"/>
              </w:rPr>
              <w:t>S80/S20</w:t>
            </w:r>
          </w:p>
        </w:tc>
        <w:tc>
          <w:tcPr>
            <w:tcW w:w="449" w:type="dxa"/>
            <w:textDirection w:val="btLr"/>
          </w:tcPr>
          <w:p w:rsidR="0026503B" w:rsidRPr="00D62638" w:rsidRDefault="0026503B" w:rsidP="005F52FD">
            <w:pPr>
              <w:spacing w:line="276" w:lineRule="auto"/>
              <w:ind w:left="113" w:right="113"/>
              <w:jc w:val="center"/>
              <w:rPr>
                <w:rFonts w:ascii="Arial" w:hAnsi="Arial" w:cs="Arial"/>
                <w:sz w:val="20"/>
                <w:szCs w:val="20"/>
              </w:rPr>
            </w:pPr>
            <w:r w:rsidRPr="00D62638">
              <w:rPr>
                <w:rFonts w:ascii="Arial" w:hAnsi="Arial" w:cs="Arial"/>
                <w:sz w:val="20"/>
                <w:szCs w:val="20"/>
              </w:rPr>
              <w:t>3,2</w:t>
            </w:r>
          </w:p>
        </w:tc>
        <w:tc>
          <w:tcPr>
            <w:tcW w:w="449" w:type="dxa"/>
            <w:textDirection w:val="btLr"/>
          </w:tcPr>
          <w:p w:rsidR="0026503B" w:rsidRPr="00D62638" w:rsidRDefault="0026503B" w:rsidP="005F52FD">
            <w:pPr>
              <w:spacing w:line="276" w:lineRule="auto"/>
              <w:ind w:left="113" w:right="113"/>
              <w:jc w:val="center"/>
              <w:rPr>
                <w:rFonts w:ascii="Arial" w:hAnsi="Arial" w:cs="Arial"/>
                <w:sz w:val="20"/>
                <w:szCs w:val="20"/>
              </w:rPr>
            </w:pPr>
            <w:r w:rsidRPr="00D62638">
              <w:rPr>
                <w:rFonts w:ascii="Arial" w:hAnsi="Arial" w:cs="Arial"/>
                <w:sz w:val="20"/>
                <w:szCs w:val="20"/>
              </w:rPr>
              <w:t>3,3</w:t>
            </w:r>
          </w:p>
        </w:tc>
        <w:tc>
          <w:tcPr>
            <w:tcW w:w="449" w:type="dxa"/>
            <w:textDirection w:val="btLr"/>
          </w:tcPr>
          <w:p w:rsidR="0026503B" w:rsidRPr="00D62638" w:rsidRDefault="0026503B" w:rsidP="005F52FD">
            <w:pPr>
              <w:spacing w:line="276" w:lineRule="auto"/>
              <w:ind w:left="113" w:right="113"/>
              <w:jc w:val="center"/>
              <w:rPr>
                <w:rFonts w:ascii="Arial" w:hAnsi="Arial" w:cs="Arial"/>
                <w:sz w:val="20"/>
                <w:szCs w:val="20"/>
              </w:rPr>
            </w:pPr>
            <w:r w:rsidRPr="00D62638">
              <w:rPr>
                <w:rFonts w:ascii="Arial" w:hAnsi="Arial" w:cs="Arial"/>
                <w:sz w:val="20"/>
                <w:szCs w:val="20"/>
              </w:rPr>
              <w:t>3,4</w:t>
            </w:r>
          </w:p>
        </w:tc>
        <w:tc>
          <w:tcPr>
            <w:tcW w:w="449" w:type="dxa"/>
            <w:textDirection w:val="btLr"/>
          </w:tcPr>
          <w:p w:rsidR="0026503B" w:rsidRPr="00D62638" w:rsidRDefault="0026503B" w:rsidP="005F52FD">
            <w:pPr>
              <w:spacing w:line="276" w:lineRule="auto"/>
              <w:ind w:left="113" w:right="113"/>
              <w:jc w:val="center"/>
              <w:rPr>
                <w:rFonts w:ascii="Arial" w:hAnsi="Arial" w:cs="Arial"/>
                <w:sz w:val="20"/>
                <w:szCs w:val="20"/>
              </w:rPr>
            </w:pPr>
            <w:r w:rsidRPr="00D62638">
              <w:rPr>
                <w:rFonts w:ascii="Arial" w:hAnsi="Arial" w:cs="Arial"/>
                <w:sz w:val="20"/>
                <w:szCs w:val="20"/>
              </w:rPr>
              <w:t>3,5</w:t>
            </w:r>
          </w:p>
        </w:tc>
        <w:tc>
          <w:tcPr>
            <w:tcW w:w="449" w:type="dxa"/>
            <w:textDirection w:val="btLr"/>
          </w:tcPr>
          <w:p w:rsidR="0026503B" w:rsidRPr="00D62638" w:rsidRDefault="0026503B" w:rsidP="005F52FD">
            <w:pPr>
              <w:spacing w:line="276" w:lineRule="auto"/>
              <w:ind w:left="113" w:right="113"/>
              <w:jc w:val="center"/>
              <w:rPr>
                <w:rFonts w:ascii="Arial" w:hAnsi="Arial" w:cs="Arial"/>
                <w:sz w:val="20"/>
                <w:szCs w:val="20"/>
              </w:rPr>
            </w:pPr>
            <w:r w:rsidRPr="00D62638">
              <w:rPr>
                <w:rFonts w:ascii="Arial" w:hAnsi="Arial" w:cs="Arial"/>
                <w:sz w:val="20"/>
                <w:szCs w:val="20"/>
              </w:rPr>
              <w:t>3,6</w:t>
            </w:r>
          </w:p>
        </w:tc>
        <w:tc>
          <w:tcPr>
            <w:tcW w:w="449" w:type="dxa"/>
            <w:textDirection w:val="btLr"/>
          </w:tcPr>
          <w:p w:rsidR="0026503B" w:rsidRPr="00D62638" w:rsidRDefault="0026503B" w:rsidP="005F52FD">
            <w:pPr>
              <w:spacing w:line="276" w:lineRule="auto"/>
              <w:ind w:left="113" w:right="113"/>
              <w:jc w:val="center"/>
              <w:rPr>
                <w:rFonts w:ascii="Arial" w:hAnsi="Arial" w:cs="Arial"/>
                <w:sz w:val="20"/>
                <w:szCs w:val="20"/>
              </w:rPr>
            </w:pPr>
            <w:r w:rsidRPr="00D62638">
              <w:rPr>
                <w:rFonts w:ascii="Arial" w:hAnsi="Arial" w:cs="Arial"/>
                <w:sz w:val="20"/>
                <w:szCs w:val="20"/>
              </w:rPr>
              <w:t>3,4</w:t>
            </w:r>
          </w:p>
        </w:tc>
        <w:tc>
          <w:tcPr>
            <w:tcW w:w="449" w:type="dxa"/>
            <w:textDirection w:val="btLr"/>
          </w:tcPr>
          <w:p w:rsidR="0026503B" w:rsidRPr="00D62638" w:rsidRDefault="0026503B" w:rsidP="005F52FD">
            <w:pPr>
              <w:spacing w:line="276" w:lineRule="auto"/>
              <w:ind w:left="113" w:right="113"/>
              <w:jc w:val="center"/>
              <w:rPr>
                <w:rFonts w:ascii="Arial" w:hAnsi="Arial" w:cs="Arial"/>
                <w:sz w:val="20"/>
                <w:szCs w:val="20"/>
              </w:rPr>
            </w:pPr>
            <w:r w:rsidRPr="00D62638">
              <w:rPr>
                <w:rFonts w:ascii="Arial" w:hAnsi="Arial" w:cs="Arial"/>
                <w:sz w:val="20"/>
                <w:szCs w:val="20"/>
              </w:rPr>
              <w:t>3,6</w:t>
            </w:r>
          </w:p>
        </w:tc>
        <w:tc>
          <w:tcPr>
            <w:tcW w:w="449" w:type="dxa"/>
            <w:textDirection w:val="btLr"/>
          </w:tcPr>
          <w:p w:rsidR="0026503B" w:rsidRPr="00D62638" w:rsidRDefault="0026503B" w:rsidP="005F52FD">
            <w:pPr>
              <w:spacing w:line="276" w:lineRule="auto"/>
              <w:ind w:left="113" w:right="113"/>
              <w:jc w:val="center"/>
              <w:rPr>
                <w:rFonts w:ascii="Arial" w:hAnsi="Arial" w:cs="Arial"/>
                <w:sz w:val="20"/>
                <w:szCs w:val="20"/>
              </w:rPr>
            </w:pPr>
            <w:r w:rsidRPr="00D62638">
              <w:rPr>
                <w:rFonts w:ascii="Arial" w:hAnsi="Arial" w:cs="Arial"/>
                <w:sz w:val="20"/>
                <w:szCs w:val="20"/>
              </w:rPr>
              <w:t>3,9</w:t>
            </w:r>
          </w:p>
        </w:tc>
        <w:tc>
          <w:tcPr>
            <w:tcW w:w="449" w:type="dxa"/>
            <w:textDirection w:val="btLr"/>
          </w:tcPr>
          <w:p w:rsidR="0026503B" w:rsidRPr="00D62638" w:rsidRDefault="0026503B" w:rsidP="005F52FD">
            <w:pPr>
              <w:spacing w:line="276" w:lineRule="auto"/>
              <w:ind w:left="113" w:right="113"/>
              <w:jc w:val="center"/>
              <w:rPr>
                <w:rFonts w:ascii="Arial" w:hAnsi="Arial" w:cs="Arial"/>
                <w:sz w:val="20"/>
                <w:szCs w:val="20"/>
              </w:rPr>
            </w:pPr>
            <w:r w:rsidRPr="00D62638">
              <w:rPr>
                <w:rFonts w:ascii="Arial" w:hAnsi="Arial" w:cs="Arial"/>
                <w:sz w:val="20"/>
                <w:szCs w:val="20"/>
              </w:rPr>
              <w:t>3,7</w:t>
            </w:r>
          </w:p>
        </w:tc>
        <w:tc>
          <w:tcPr>
            <w:tcW w:w="449" w:type="dxa"/>
            <w:textDirection w:val="btLr"/>
          </w:tcPr>
          <w:p w:rsidR="0026503B" w:rsidRPr="00D62638" w:rsidRDefault="0026503B" w:rsidP="005F52FD">
            <w:pPr>
              <w:spacing w:line="276" w:lineRule="auto"/>
              <w:ind w:left="113" w:right="113"/>
              <w:jc w:val="center"/>
              <w:rPr>
                <w:rFonts w:ascii="Arial" w:hAnsi="Arial" w:cs="Arial"/>
                <w:sz w:val="20"/>
                <w:szCs w:val="20"/>
              </w:rPr>
            </w:pPr>
            <w:r w:rsidRPr="00D62638">
              <w:rPr>
                <w:rFonts w:ascii="Arial" w:hAnsi="Arial" w:cs="Arial"/>
                <w:sz w:val="20"/>
                <w:szCs w:val="20"/>
              </w:rPr>
              <w:t>3,9</w:t>
            </w:r>
          </w:p>
        </w:tc>
        <w:tc>
          <w:tcPr>
            <w:tcW w:w="449" w:type="dxa"/>
            <w:textDirection w:val="btLr"/>
          </w:tcPr>
          <w:p w:rsidR="0026503B" w:rsidRPr="00D62638" w:rsidRDefault="0026503B" w:rsidP="005F52FD">
            <w:pPr>
              <w:spacing w:line="276" w:lineRule="auto"/>
              <w:ind w:left="113" w:right="113"/>
              <w:jc w:val="center"/>
              <w:rPr>
                <w:rFonts w:ascii="Arial" w:hAnsi="Arial" w:cs="Arial"/>
                <w:sz w:val="20"/>
                <w:szCs w:val="20"/>
              </w:rPr>
            </w:pPr>
            <w:r w:rsidRPr="00D62638">
              <w:rPr>
                <w:rFonts w:ascii="Arial" w:hAnsi="Arial" w:cs="Arial"/>
                <w:sz w:val="20"/>
                <w:szCs w:val="20"/>
              </w:rPr>
              <w:t>3,8</w:t>
            </w:r>
          </w:p>
        </w:tc>
        <w:tc>
          <w:tcPr>
            <w:tcW w:w="449" w:type="dxa"/>
            <w:textDirection w:val="btLr"/>
          </w:tcPr>
          <w:p w:rsidR="0026503B" w:rsidRPr="00D62638" w:rsidRDefault="0026503B" w:rsidP="005F52FD">
            <w:pPr>
              <w:spacing w:line="276" w:lineRule="auto"/>
              <w:ind w:left="113" w:right="113"/>
              <w:jc w:val="center"/>
              <w:rPr>
                <w:rFonts w:ascii="Arial" w:hAnsi="Arial" w:cs="Arial"/>
                <w:sz w:val="20"/>
                <w:szCs w:val="20"/>
              </w:rPr>
            </w:pPr>
            <w:r w:rsidRPr="00D62638">
              <w:rPr>
                <w:rFonts w:ascii="Arial" w:hAnsi="Arial" w:cs="Arial"/>
                <w:sz w:val="20"/>
                <w:szCs w:val="20"/>
              </w:rPr>
              <w:t>3,9</w:t>
            </w:r>
          </w:p>
        </w:tc>
        <w:tc>
          <w:tcPr>
            <w:tcW w:w="449" w:type="dxa"/>
            <w:textDirection w:val="btLr"/>
          </w:tcPr>
          <w:p w:rsidR="0026503B" w:rsidRPr="00D62638" w:rsidRDefault="0026503B" w:rsidP="005F52FD">
            <w:pPr>
              <w:spacing w:line="276" w:lineRule="auto"/>
              <w:ind w:left="113" w:right="113"/>
              <w:jc w:val="center"/>
              <w:rPr>
                <w:rFonts w:ascii="Arial" w:hAnsi="Arial" w:cs="Arial"/>
                <w:sz w:val="20"/>
                <w:szCs w:val="20"/>
              </w:rPr>
            </w:pPr>
            <w:r w:rsidRPr="00D62638">
              <w:rPr>
                <w:rFonts w:ascii="Arial" w:hAnsi="Arial" w:cs="Arial"/>
                <w:sz w:val="20"/>
                <w:szCs w:val="20"/>
              </w:rPr>
              <w:t>3,8</w:t>
            </w:r>
          </w:p>
        </w:tc>
        <w:tc>
          <w:tcPr>
            <w:tcW w:w="449" w:type="dxa"/>
            <w:textDirection w:val="btLr"/>
          </w:tcPr>
          <w:p w:rsidR="0026503B" w:rsidRPr="00D62638" w:rsidRDefault="0026503B" w:rsidP="005F52FD">
            <w:pPr>
              <w:spacing w:line="276" w:lineRule="auto"/>
              <w:ind w:left="113" w:right="113"/>
              <w:jc w:val="center"/>
              <w:rPr>
                <w:rFonts w:ascii="Arial" w:hAnsi="Arial" w:cs="Arial"/>
                <w:sz w:val="20"/>
                <w:szCs w:val="20"/>
              </w:rPr>
            </w:pPr>
            <w:r w:rsidRPr="00D62638">
              <w:rPr>
                <w:rFonts w:ascii="Arial" w:hAnsi="Arial" w:cs="Arial"/>
                <w:sz w:val="20"/>
                <w:szCs w:val="20"/>
              </w:rPr>
              <w:t>3,9</w:t>
            </w:r>
          </w:p>
        </w:tc>
        <w:tc>
          <w:tcPr>
            <w:tcW w:w="449" w:type="dxa"/>
            <w:textDirection w:val="btLr"/>
          </w:tcPr>
          <w:p w:rsidR="0026503B" w:rsidRPr="00D62638" w:rsidRDefault="0026503B" w:rsidP="005F52FD">
            <w:pPr>
              <w:spacing w:line="276" w:lineRule="auto"/>
              <w:ind w:left="113" w:right="113"/>
              <w:jc w:val="center"/>
              <w:rPr>
                <w:rFonts w:ascii="Arial" w:hAnsi="Arial" w:cs="Arial"/>
                <w:sz w:val="20"/>
                <w:szCs w:val="20"/>
              </w:rPr>
            </w:pPr>
            <w:r w:rsidRPr="00D62638">
              <w:rPr>
                <w:rFonts w:ascii="Arial" w:hAnsi="Arial" w:cs="Arial"/>
                <w:sz w:val="20"/>
                <w:szCs w:val="20"/>
              </w:rPr>
              <w:t>4,0</w:t>
            </w:r>
          </w:p>
        </w:tc>
        <w:tc>
          <w:tcPr>
            <w:tcW w:w="449" w:type="dxa"/>
            <w:textDirection w:val="btLr"/>
          </w:tcPr>
          <w:p w:rsidR="0026503B" w:rsidRPr="00D62638" w:rsidRDefault="0026503B" w:rsidP="005F52FD">
            <w:pPr>
              <w:spacing w:line="276" w:lineRule="auto"/>
              <w:ind w:left="113" w:right="113"/>
              <w:jc w:val="center"/>
              <w:rPr>
                <w:rFonts w:ascii="Arial" w:hAnsi="Arial" w:cs="Arial"/>
                <w:b/>
                <w:sz w:val="20"/>
                <w:szCs w:val="20"/>
              </w:rPr>
            </w:pPr>
            <w:r w:rsidRPr="00D62638">
              <w:rPr>
                <w:rFonts w:ascii="Arial" w:hAnsi="Arial" w:cs="Arial"/>
                <w:sz w:val="20"/>
                <w:szCs w:val="20"/>
              </w:rPr>
              <w:t>4,0</w:t>
            </w:r>
          </w:p>
        </w:tc>
        <w:tc>
          <w:tcPr>
            <w:tcW w:w="470" w:type="dxa"/>
            <w:textDirection w:val="btLr"/>
          </w:tcPr>
          <w:p w:rsidR="0026503B" w:rsidRPr="00D62638" w:rsidRDefault="0026503B" w:rsidP="005F52FD">
            <w:pPr>
              <w:spacing w:line="276" w:lineRule="auto"/>
              <w:ind w:left="113" w:right="113"/>
              <w:jc w:val="center"/>
              <w:rPr>
                <w:rFonts w:ascii="Arial" w:hAnsi="Arial" w:cs="Arial"/>
                <w:b/>
                <w:sz w:val="20"/>
                <w:szCs w:val="20"/>
              </w:rPr>
            </w:pPr>
            <w:r w:rsidRPr="00D62638">
              <w:rPr>
                <w:rFonts w:ascii="Arial" w:hAnsi="Arial" w:cs="Arial"/>
                <w:sz w:val="20"/>
                <w:szCs w:val="20"/>
              </w:rPr>
              <w:t>4,1</w:t>
            </w:r>
          </w:p>
        </w:tc>
        <w:tc>
          <w:tcPr>
            <w:tcW w:w="428" w:type="dxa"/>
            <w:textDirection w:val="btLr"/>
          </w:tcPr>
          <w:p w:rsidR="0026503B" w:rsidRPr="00D62638" w:rsidRDefault="0026503B" w:rsidP="005F52FD">
            <w:pPr>
              <w:spacing w:line="276" w:lineRule="auto"/>
              <w:ind w:left="113" w:right="113"/>
              <w:jc w:val="center"/>
              <w:rPr>
                <w:rFonts w:ascii="Arial" w:hAnsi="Arial" w:cs="Arial"/>
                <w:b/>
                <w:sz w:val="20"/>
                <w:szCs w:val="20"/>
              </w:rPr>
            </w:pPr>
            <w:r w:rsidRPr="00D62638">
              <w:rPr>
                <w:rFonts w:ascii="Arial" w:hAnsi="Arial" w:cs="Arial"/>
                <w:sz w:val="20"/>
                <w:szCs w:val="20"/>
              </w:rPr>
              <w:t>4,1</w:t>
            </w:r>
          </w:p>
        </w:tc>
      </w:tr>
    </w:tbl>
    <w:p w:rsidR="0026503B" w:rsidRPr="00D62638" w:rsidRDefault="0026503B" w:rsidP="0026503B">
      <w:pPr>
        <w:spacing w:before="120" w:after="120" w:line="276" w:lineRule="auto"/>
        <w:jc w:val="center"/>
        <w:rPr>
          <w:rFonts w:ascii="Arial" w:hAnsi="Arial" w:cs="Arial"/>
        </w:rPr>
      </w:pPr>
      <w:r w:rsidRPr="00D62638">
        <w:rPr>
          <w:rFonts w:ascii="Arial" w:hAnsi="Arial" w:cs="Arial"/>
        </w:rPr>
        <w:t>Źródło: Dochody i warunki życia ludności Polski – raport z badania EU-SILC 2022.</w:t>
      </w:r>
    </w:p>
    <w:p w:rsidR="0026503B" w:rsidRPr="00D62638" w:rsidRDefault="0026503B" w:rsidP="00C500A0">
      <w:pPr>
        <w:spacing w:after="120" w:line="276" w:lineRule="auto"/>
        <w:rPr>
          <w:rFonts w:ascii="Arial" w:hAnsi="Arial" w:cs="Arial"/>
        </w:rPr>
      </w:pPr>
      <w:r w:rsidRPr="00D62638">
        <w:rPr>
          <w:rFonts w:ascii="Arial" w:hAnsi="Arial" w:cs="Arial"/>
        </w:rPr>
        <w:lastRenderedPageBreak/>
        <w:t>W 2022 roku 13,7% populacji ludności Polski uzyskało dochody poniżej progu ubóstwa relatywnego. Ze względu na zróżnicowanie przeciętnego dochodu do dyspozycji w różnych regionach kraju można przypuszczać, że zjawisko ubóstwa relatywnego, opartego na granicy ustalonej w oparciu o ten dochód, również będzie rozkładało się nierównomiernie.</w:t>
      </w:r>
    </w:p>
    <w:p w:rsidR="0026503B" w:rsidRPr="00D62638" w:rsidRDefault="0026503B" w:rsidP="00C500A0">
      <w:pPr>
        <w:spacing w:after="120" w:line="276" w:lineRule="auto"/>
        <w:rPr>
          <w:rFonts w:ascii="Arial" w:hAnsi="Arial" w:cs="Arial"/>
        </w:rPr>
      </w:pPr>
      <w:r w:rsidRPr="00D62638">
        <w:rPr>
          <w:rFonts w:ascii="Arial" w:hAnsi="Arial" w:cs="Arial"/>
        </w:rPr>
        <w:t>Odsetek osób najuboższych określonych miarą międzynarodową (wspólną dla krajów członkowskich UE), czyli stopą ubóstwa relatywnego odnosi się do osób, których przeciętny dochód do dyspozycji nie przekracza 60,0% krajowej mediany rocznych ekwiwalentnych dochodów do dyspozycji, obejmujący ogół transferów społecznych.</w:t>
      </w:r>
    </w:p>
    <w:p w:rsidR="0026503B" w:rsidRPr="0064087E" w:rsidRDefault="0026503B" w:rsidP="00C500A0">
      <w:pPr>
        <w:spacing w:after="120" w:line="276" w:lineRule="auto"/>
        <w:rPr>
          <w:rFonts w:ascii="Arial" w:hAnsi="Arial" w:cs="Arial"/>
        </w:rPr>
      </w:pPr>
      <w:r w:rsidRPr="00D62638">
        <w:rPr>
          <w:rFonts w:ascii="Arial" w:hAnsi="Arial" w:cs="Arial"/>
        </w:rPr>
        <w:t>W dziewięciu regionach odsetek osób zagrożonych ubóstwem relatywnym przekroczył średnią wartość dla kraju (w porządku rosnącym): łódzkim (14,1%), wielkopolskim (14,4%), świętokrzyskim (14,8%), mazowieckim regionalnym (16,4%), podkarpackim (17,4%), kujawsko-pomorskim (17,7%), warmińsko-mazurskim (20,6%), lubelskim (22,6%), podlaskim (23,4%). Warto zauważyć, że w 2022 roku w grupie tych województw znajdowały się wszystkie regiony Polski wschodniej.</w:t>
      </w:r>
    </w:p>
    <w:p w:rsidR="0026503B" w:rsidRPr="00D62638" w:rsidRDefault="0026503B" w:rsidP="00C500A0">
      <w:pPr>
        <w:spacing w:after="120" w:line="276" w:lineRule="auto"/>
        <w:rPr>
          <w:rFonts w:ascii="Arial" w:hAnsi="Arial" w:cs="Arial"/>
        </w:rPr>
      </w:pPr>
      <w:r w:rsidRPr="00D62638">
        <w:rPr>
          <w:rFonts w:ascii="Arial" w:hAnsi="Arial" w:cs="Arial"/>
        </w:rPr>
        <w:t xml:space="preserve">Szybki rozwój Warszawy i gmin przylegających bezpośrednio do niej spowodował ogromne rozwarstwienie między poziomem życia mieszkańców tej części </w:t>
      </w:r>
      <w:r w:rsidR="006719EF" w:rsidRPr="0064087E">
        <w:rPr>
          <w:rFonts w:ascii="Arial" w:hAnsi="Arial" w:cs="Arial"/>
        </w:rPr>
        <w:t>województwa</w:t>
      </w:r>
      <w:r w:rsidRPr="00D62638">
        <w:rPr>
          <w:rFonts w:ascii="Arial" w:hAnsi="Arial" w:cs="Arial"/>
        </w:rPr>
        <w:t xml:space="preserve"> mazowieckiego obejmującej Warszawę i jej bliskie otoczenie a pozostałą jego częścią.</w:t>
      </w:r>
    </w:p>
    <w:p w:rsidR="0026503B" w:rsidRPr="00D62638" w:rsidRDefault="0026503B" w:rsidP="00C500A0">
      <w:pPr>
        <w:spacing w:after="240" w:line="276" w:lineRule="auto"/>
        <w:rPr>
          <w:rFonts w:ascii="Arial" w:hAnsi="Arial" w:cs="Arial"/>
          <w:b/>
        </w:rPr>
      </w:pPr>
      <w:r w:rsidRPr="00D62638">
        <w:rPr>
          <w:rFonts w:ascii="Arial" w:hAnsi="Arial" w:cs="Arial"/>
        </w:rPr>
        <w:t xml:space="preserve">Świadczą o tym nie tylko mocno zróżnicowane poziomy przeciętnych dochodów do dyspozycji (warszawski stołeczny – 60,5 tys. zł; mazowiecki regionalny – 40,7 tys. zł), ale </w:t>
      </w:r>
      <w:r w:rsidR="00C500A0">
        <w:rPr>
          <w:rFonts w:ascii="Arial" w:hAnsi="Arial" w:cs="Arial"/>
        </w:rPr>
        <w:br/>
      </w:r>
      <w:r w:rsidRPr="00D62638">
        <w:rPr>
          <w:rFonts w:ascii="Arial" w:hAnsi="Arial" w:cs="Arial"/>
        </w:rPr>
        <w:t xml:space="preserve">i wskaźnik zagrożenia ubóstwem relatywnym. Różnica między wartościami wskaźnika dla obu regionów wyniosła niemal 10 </w:t>
      </w:r>
      <w:proofErr w:type="spellStart"/>
      <w:r w:rsidRPr="00D62638">
        <w:rPr>
          <w:rFonts w:ascii="Arial" w:hAnsi="Arial" w:cs="Arial"/>
        </w:rPr>
        <w:t>p.proc</w:t>
      </w:r>
      <w:proofErr w:type="spellEnd"/>
      <w:r w:rsidRPr="00D62638">
        <w:rPr>
          <w:rFonts w:ascii="Arial" w:hAnsi="Arial" w:cs="Arial"/>
        </w:rPr>
        <w:t>. (odpowiednio 6,7% i 16,4%).</w:t>
      </w:r>
    </w:p>
    <w:p w:rsidR="0026503B" w:rsidRPr="00D62638" w:rsidRDefault="0026503B" w:rsidP="00C500A0">
      <w:pPr>
        <w:pStyle w:val="Legenda"/>
        <w:keepNext/>
        <w:spacing w:after="120" w:line="276" w:lineRule="auto"/>
        <w:rPr>
          <w:rFonts w:ascii="Arial" w:hAnsi="Arial" w:cs="Arial"/>
          <w:i w:val="0"/>
          <w:color w:val="auto"/>
          <w:sz w:val="22"/>
          <w:szCs w:val="22"/>
        </w:rPr>
      </w:pPr>
      <w:bookmarkStart w:id="65" w:name="_Toc161123006"/>
      <w:r w:rsidRPr="00D62638">
        <w:rPr>
          <w:rFonts w:ascii="Arial" w:hAnsi="Arial" w:cs="Arial"/>
          <w:b/>
          <w:i w:val="0"/>
          <w:color w:val="auto"/>
          <w:sz w:val="22"/>
          <w:szCs w:val="22"/>
        </w:rPr>
        <w:t xml:space="preserve">Rysunek </w:t>
      </w:r>
      <w:r w:rsidRPr="00D62638">
        <w:rPr>
          <w:rFonts w:ascii="Arial" w:hAnsi="Arial" w:cs="Arial"/>
          <w:b/>
          <w:i w:val="0"/>
          <w:color w:val="auto"/>
          <w:sz w:val="22"/>
          <w:szCs w:val="22"/>
        </w:rPr>
        <w:fldChar w:fldCharType="begin"/>
      </w:r>
      <w:r w:rsidRPr="00D62638">
        <w:rPr>
          <w:rFonts w:ascii="Arial" w:hAnsi="Arial" w:cs="Arial"/>
          <w:b/>
          <w:i w:val="0"/>
          <w:color w:val="auto"/>
          <w:sz w:val="22"/>
          <w:szCs w:val="22"/>
        </w:rPr>
        <w:instrText xml:space="preserve"> SEQ Rysunek \* ARABIC </w:instrText>
      </w:r>
      <w:r w:rsidRPr="00D62638">
        <w:rPr>
          <w:rFonts w:ascii="Arial" w:hAnsi="Arial" w:cs="Arial"/>
          <w:b/>
          <w:i w:val="0"/>
          <w:color w:val="auto"/>
          <w:sz w:val="22"/>
          <w:szCs w:val="22"/>
        </w:rPr>
        <w:fldChar w:fldCharType="separate"/>
      </w:r>
      <w:r w:rsidR="00884DAD">
        <w:rPr>
          <w:rFonts w:ascii="Arial" w:hAnsi="Arial" w:cs="Arial"/>
          <w:b/>
          <w:i w:val="0"/>
          <w:noProof/>
          <w:color w:val="auto"/>
          <w:sz w:val="22"/>
          <w:szCs w:val="22"/>
        </w:rPr>
        <w:t>6</w:t>
      </w:r>
      <w:r w:rsidRPr="00D62638">
        <w:rPr>
          <w:rFonts w:ascii="Arial" w:hAnsi="Arial" w:cs="Arial"/>
          <w:b/>
          <w:i w:val="0"/>
          <w:color w:val="auto"/>
          <w:sz w:val="22"/>
          <w:szCs w:val="22"/>
        </w:rPr>
        <w:fldChar w:fldCharType="end"/>
      </w:r>
      <w:r w:rsidRPr="00D62638">
        <w:rPr>
          <w:rFonts w:ascii="Arial" w:hAnsi="Arial" w:cs="Arial"/>
          <w:b/>
          <w:i w:val="0"/>
          <w:color w:val="auto"/>
          <w:sz w:val="22"/>
          <w:szCs w:val="22"/>
        </w:rPr>
        <w:t>.</w:t>
      </w:r>
      <w:r w:rsidRPr="00D62638">
        <w:rPr>
          <w:rFonts w:ascii="Arial" w:hAnsi="Arial" w:cs="Arial"/>
          <w:i w:val="0"/>
          <w:color w:val="auto"/>
          <w:sz w:val="22"/>
          <w:szCs w:val="22"/>
        </w:rPr>
        <w:t xml:space="preserve"> Wskaźnik zagrożenia ubóstwem po uwzględnieniu w dochodach transferów społecznych według NUTS 2 w 2022 r.</w:t>
      </w:r>
      <w:bookmarkEnd w:id="65"/>
    </w:p>
    <w:p w:rsidR="0026503B" w:rsidRPr="0064087E" w:rsidRDefault="0026503B" w:rsidP="00383FC9">
      <w:pPr>
        <w:spacing w:after="120" w:line="276" w:lineRule="auto"/>
        <w:rPr>
          <w:rFonts w:ascii="Arial" w:hAnsi="Arial" w:cs="Arial"/>
          <w:b/>
          <w:noProof/>
          <w:lang w:eastAsia="pl-PL"/>
        </w:rPr>
      </w:pPr>
      <w:r w:rsidRPr="0064087E">
        <w:rPr>
          <w:noProof/>
          <w:lang w:eastAsia="pl-PL"/>
        </w:rPr>
        <w:drawing>
          <wp:inline distT="0" distB="0" distL="0" distR="0" wp14:anchorId="2E26DCE6" wp14:editId="23F54197">
            <wp:extent cx="5157423" cy="2745105"/>
            <wp:effectExtent l="0" t="0" r="5715" b="0"/>
            <wp:docPr id="117586264" name="Image 192" descr="Mapa polski przedstawiająca poszczególne województwa: zachodnio-pomorskie ≤ 13,9, pomorskie ≤ 13,9, warmińsko-mazurskie 18,0 – 21,9, podlaskie ≥ 22,0, lubuskie ≤ 13,9, wielkopolskie 14,0 – 17,9, kujawsko-pomorskie 14,0 – 17,9, łódzkie 14,0 – 17,9, mazowieckie regionalne 14,0 – 17,9, Warszawski Stołeczny ≤ 13,9, lubelskie ≥ 22,0, dolnośląskie ≤ 13,9, opolskie ≤ 13,9, śląskie ≤ 13,9, małopolskie ≤ 13,9, świętokrzyskie 14,0 – 17,9, podkarpackie 14,0 –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157423" cy="2745105"/>
                    </a:xfrm>
                    <a:prstGeom prst="rect">
                      <a:avLst/>
                    </a:prstGeom>
                  </pic:spPr>
                </pic:pic>
              </a:graphicData>
            </a:graphic>
          </wp:inline>
        </w:drawing>
      </w:r>
    </w:p>
    <w:p w:rsidR="0026503B" w:rsidRPr="00D62638" w:rsidRDefault="0026503B" w:rsidP="0026503B">
      <w:pPr>
        <w:spacing w:after="120" w:line="276" w:lineRule="auto"/>
        <w:jc w:val="center"/>
        <w:rPr>
          <w:rFonts w:ascii="Arial" w:hAnsi="Arial" w:cs="Arial"/>
        </w:rPr>
      </w:pPr>
      <w:r w:rsidRPr="00D62638">
        <w:rPr>
          <w:rFonts w:ascii="Arial" w:hAnsi="Arial" w:cs="Arial"/>
        </w:rPr>
        <w:t>Źródło: Dochody i warunki życia ludności Polski – raport z badania EU-SILC 2022.</w:t>
      </w:r>
    </w:p>
    <w:p w:rsidR="004D324B" w:rsidRDefault="0026503B" w:rsidP="009772B1">
      <w:pPr>
        <w:spacing w:after="120" w:line="276" w:lineRule="auto"/>
        <w:rPr>
          <w:rFonts w:ascii="Arial" w:hAnsi="Arial" w:cs="Arial"/>
        </w:rPr>
      </w:pPr>
      <w:r w:rsidRPr="00D62638">
        <w:rPr>
          <w:rFonts w:ascii="Arial" w:hAnsi="Arial" w:cs="Arial"/>
        </w:rPr>
        <w:t xml:space="preserve">Regionem z najwyższym odsetkiem osób relatywnie ubogich w 2022 roku był region podlaski (23,4%). Najniższą wartością wskaźnika zagrożenia ubóstwem relatywnym w 2021 roku charakteryzował się najzamożniejszy region, tj. warszawski stołeczny (6,7%) z przeciętnym dochodem do dyspozycji na poziomie 60,5 tys. zł. Region warszawski stołeczny osiągnął zróżnicowanie dochodów wyrażone współczynnikiem </w:t>
      </w:r>
      <w:proofErr w:type="spellStart"/>
      <w:r w:rsidRPr="00D62638">
        <w:rPr>
          <w:rFonts w:ascii="Arial" w:hAnsi="Arial" w:cs="Arial"/>
        </w:rPr>
        <w:t>Giniego</w:t>
      </w:r>
      <w:proofErr w:type="spellEnd"/>
      <w:r w:rsidRPr="00D62638">
        <w:rPr>
          <w:rFonts w:ascii="Arial" w:hAnsi="Arial" w:cs="Arial"/>
        </w:rPr>
        <w:t xml:space="preserve"> (27,5) i S80/S20 (4,1).</w:t>
      </w:r>
    </w:p>
    <w:p w:rsidR="0026503B" w:rsidRPr="0064087E" w:rsidRDefault="0026503B" w:rsidP="00C500A0">
      <w:pPr>
        <w:spacing w:after="120" w:line="276" w:lineRule="auto"/>
        <w:rPr>
          <w:rFonts w:ascii="Arial" w:hAnsi="Arial" w:cs="Arial"/>
          <w:b/>
        </w:rPr>
      </w:pPr>
      <w:r w:rsidRPr="0064087E">
        <w:rPr>
          <w:rFonts w:ascii="Arial" w:hAnsi="Arial" w:cs="Arial"/>
          <w:b/>
        </w:rPr>
        <w:lastRenderedPageBreak/>
        <w:t>Regionalny Wskaźnik Rozwoju Społecznego (RHDI)</w:t>
      </w:r>
    </w:p>
    <w:p w:rsidR="0026503B" w:rsidRPr="0064087E" w:rsidRDefault="0026503B" w:rsidP="00C500A0">
      <w:pPr>
        <w:spacing w:after="120" w:line="276" w:lineRule="auto"/>
        <w:rPr>
          <w:rFonts w:ascii="Arial" w:hAnsi="Arial" w:cs="Arial"/>
        </w:rPr>
      </w:pPr>
      <w:r w:rsidRPr="0064087E">
        <w:rPr>
          <w:rFonts w:ascii="Arial" w:hAnsi="Arial" w:cs="Arial"/>
        </w:rPr>
        <w:t xml:space="preserve">Syntetycznym wskaźnikiem za pomocą którego można mierzyć postęp w kierunku osiągnięcia wzrostu jakości życia jest z jednej strony wzrost produktu krajowego brutto (PKB) na mieszkańca, a z drugiej zwiększenie spójności społecznej oraz zmniejszenie nierównomierności rozwoju społecznego w ujęciu terytorialnym, czego odzwierciedleniem jest Regionalny Wskaźnik Rozwoju Społecznego (RHDI). Wskaźnik ten został opracowany </w:t>
      </w:r>
      <w:r w:rsidR="00C500A0">
        <w:rPr>
          <w:rFonts w:ascii="Arial" w:hAnsi="Arial" w:cs="Arial"/>
        </w:rPr>
        <w:br/>
      </w:r>
      <w:r w:rsidRPr="0064087E">
        <w:rPr>
          <w:rFonts w:ascii="Arial" w:hAnsi="Arial" w:cs="Arial"/>
        </w:rPr>
        <w:t xml:space="preserve">w celu mierzenia regionalnego poziomu rozwoju społecznego i opiera się na istniejącej </w:t>
      </w:r>
      <w:r w:rsidR="00C500A0">
        <w:rPr>
          <w:rFonts w:ascii="Arial" w:hAnsi="Arial" w:cs="Arial"/>
        </w:rPr>
        <w:br/>
      </w:r>
      <w:r w:rsidRPr="0064087E">
        <w:rPr>
          <w:rFonts w:ascii="Arial" w:hAnsi="Arial" w:cs="Arial"/>
        </w:rPr>
        <w:t>i uznanej międzynarodowo metodologii wskaźnika Human Development Index (HDI), która służy do badania rozwoju socjoekonomicznego na poziomie krajowym.</w:t>
      </w:r>
    </w:p>
    <w:p w:rsidR="0026503B" w:rsidRPr="0064087E" w:rsidRDefault="0026503B" w:rsidP="00C500A0">
      <w:pPr>
        <w:spacing w:after="120" w:line="276" w:lineRule="auto"/>
        <w:rPr>
          <w:rFonts w:ascii="Arial" w:hAnsi="Arial" w:cs="Arial"/>
        </w:rPr>
      </w:pPr>
      <w:r w:rsidRPr="0064087E">
        <w:rPr>
          <w:rFonts w:ascii="Arial" w:hAnsi="Arial" w:cs="Arial"/>
        </w:rPr>
        <w:t>Dla jak najlepszego uwzględnienia wielowymiarowego charakteru rozwoju, metodologia opracowanego wskaźnika obejmowała trzy komponenty:</w:t>
      </w:r>
    </w:p>
    <w:p w:rsidR="0026503B" w:rsidRPr="0064087E" w:rsidRDefault="0026503B" w:rsidP="00C500A0">
      <w:pPr>
        <w:pStyle w:val="Akapitzlist"/>
        <w:numPr>
          <w:ilvl w:val="0"/>
          <w:numId w:val="21"/>
        </w:numPr>
        <w:spacing w:after="120" w:line="276" w:lineRule="auto"/>
        <w:ind w:left="697" w:hanging="340"/>
        <w:rPr>
          <w:rFonts w:ascii="Arial" w:hAnsi="Arial" w:cs="Arial"/>
        </w:rPr>
      </w:pPr>
      <w:r w:rsidRPr="0064087E">
        <w:rPr>
          <w:rFonts w:ascii="Arial" w:hAnsi="Arial" w:cs="Arial"/>
        </w:rPr>
        <w:t>zdrowie, tj. przeciętne trwanie życia noworodka oraz współczynnik zgonów niemowląt,</w:t>
      </w:r>
    </w:p>
    <w:p w:rsidR="0026503B" w:rsidRPr="0064087E" w:rsidRDefault="0026503B" w:rsidP="00C500A0">
      <w:pPr>
        <w:pStyle w:val="Akapitzlist"/>
        <w:numPr>
          <w:ilvl w:val="0"/>
          <w:numId w:val="21"/>
        </w:numPr>
        <w:spacing w:after="120" w:line="276" w:lineRule="auto"/>
        <w:ind w:left="697" w:hanging="340"/>
        <w:rPr>
          <w:rFonts w:ascii="Arial" w:hAnsi="Arial" w:cs="Arial"/>
        </w:rPr>
      </w:pPr>
      <w:r w:rsidRPr="0064087E">
        <w:rPr>
          <w:rFonts w:ascii="Arial" w:hAnsi="Arial" w:cs="Arial"/>
        </w:rPr>
        <w:t>wiedza, wskaźnik NEET (odsetek osób w wieku 18-24 lata, które nie pracują oraz nie uczestniczą w dalszym kształceniu i szkoleniu) oraz wskaźnik wykształcenia wyższego (odsetek osób w wieku 25-64 lata z wykształceniem wyższym),</w:t>
      </w:r>
    </w:p>
    <w:p w:rsidR="0026503B" w:rsidRPr="0064087E" w:rsidRDefault="0026503B" w:rsidP="00C500A0">
      <w:pPr>
        <w:pStyle w:val="Akapitzlist"/>
        <w:numPr>
          <w:ilvl w:val="0"/>
          <w:numId w:val="21"/>
        </w:numPr>
        <w:spacing w:after="120" w:line="276" w:lineRule="auto"/>
        <w:ind w:left="697" w:hanging="340"/>
        <w:rPr>
          <w:rFonts w:ascii="Arial" w:hAnsi="Arial" w:cs="Arial"/>
        </w:rPr>
      </w:pPr>
      <w:r w:rsidRPr="0064087E">
        <w:rPr>
          <w:rFonts w:ascii="Arial" w:hAnsi="Arial" w:cs="Arial"/>
        </w:rPr>
        <w:t>zamożność, czyli dochód do dyspozycji netto w sektorze gospodarstw domowych oraz wskaźnik zatrudnienia (odsetek osób zatrudnionych w wieku 15-64 lata).</w:t>
      </w:r>
    </w:p>
    <w:p w:rsidR="00BF46C3" w:rsidRPr="0064087E" w:rsidRDefault="00BF46C3" w:rsidP="00C500A0">
      <w:pPr>
        <w:pStyle w:val="Legenda"/>
        <w:keepNext/>
        <w:rPr>
          <w:rFonts w:ascii="Arial" w:hAnsi="Arial" w:cs="Arial"/>
          <w:i w:val="0"/>
          <w:color w:val="auto"/>
          <w:sz w:val="22"/>
          <w:szCs w:val="22"/>
        </w:rPr>
      </w:pPr>
      <w:bookmarkStart w:id="66" w:name="_Toc161123007"/>
      <w:r w:rsidRPr="0064087E">
        <w:rPr>
          <w:rFonts w:ascii="Arial" w:hAnsi="Arial" w:cs="Arial"/>
          <w:b/>
          <w:i w:val="0"/>
          <w:color w:val="auto"/>
          <w:sz w:val="22"/>
          <w:szCs w:val="22"/>
        </w:rPr>
        <w:t xml:space="preserve">Rysunek </w:t>
      </w:r>
      <w:r w:rsidRPr="0064087E">
        <w:rPr>
          <w:rFonts w:ascii="Arial" w:hAnsi="Arial" w:cs="Arial"/>
          <w:b/>
          <w:i w:val="0"/>
          <w:color w:val="auto"/>
          <w:sz w:val="22"/>
          <w:szCs w:val="22"/>
        </w:rPr>
        <w:fldChar w:fldCharType="begin"/>
      </w:r>
      <w:r w:rsidRPr="0064087E">
        <w:rPr>
          <w:rFonts w:ascii="Arial" w:hAnsi="Arial" w:cs="Arial"/>
          <w:b/>
          <w:i w:val="0"/>
          <w:color w:val="auto"/>
          <w:sz w:val="22"/>
          <w:szCs w:val="22"/>
        </w:rPr>
        <w:instrText xml:space="preserve"> SEQ Rysunek \* ARABIC </w:instrText>
      </w:r>
      <w:r w:rsidRPr="0064087E">
        <w:rPr>
          <w:rFonts w:ascii="Arial" w:hAnsi="Arial" w:cs="Arial"/>
          <w:b/>
          <w:i w:val="0"/>
          <w:color w:val="auto"/>
          <w:sz w:val="22"/>
          <w:szCs w:val="22"/>
        </w:rPr>
        <w:fldChar w:fldCharType="separate"/>
      </w:r>
      <w:r w:rsidR="00884DAD">
        <w:rPr>
          <w:rFonts w:ascii="Arial" w:hAnsi="Arial" w:cs="Arial"/>
          <w:b/>
          <w:i w:val="0"/>
          <w:noProof/>
          <w:color w:val="auto"/>
          <w:sz w:val="22"/>
          <w:szCs w:val="22"/>
        </w:rPr>
        <w:t>7</w:t>
      </w:r>
      <w:r w:rsidRPr="0064087E">
        <w:rPr>
          <w:rFonts w:ascii="Arial" w:hAnsi="Arial" w:cs="Arial"/>
          <w:b/>
          <w:i w:val="0"/>
          <w:color w:val="auto"/>
          <w:sz w:val="22"/>
          <w:szCs w:val="22"/>
        </w:rPr>
        <w:fldChar w:fldCharType="end"/>
      </w:r>
      <w:r w:rsidR="00DA1871">
        <w:rPr>
          <w:rFonts w:ascii="Arial" w:hAnsi="Arial" w:cs="Arial"/>
          <w:b/>
          <w:i w:val="0"/>
          <w:color w:val="auto"/>
          <w:sz w:val="22"/>
          <w:szCs w:val="22"/>
        </w:rPr>
        <w:t>.</w:t>
      </w:r>
      <w:r w:rsidRPr="0064087E">
        <w:rPr>
          <w:rFonts w:ascii="Arial" w:hAnsi="Arial" w:cs="Arial"/>
          <w:i w:val="0"/>
          <w:color w:val="auto"/>
          <w:sz w:val="22"/>
          <w:szCs w:val="22"/>
        </w:rPr>
        <w:t xml:space="preserve"> Regionalny Wskaźnik Rozwoju Społecznego (RHDI) w 202</w:t>
      </w:r>
      <w:r w:rsidR="000877CE" w:rsidRPr="0064087E">
        <w:rPr>
          <w:rFonts w:ascii="Arial" w:hAnsi="Arial" w:cs="Arial"/>
          <w:i w:val="0"/>
          <w:color w:val="auto"/>
          <w:sz w:val="22"/>
          <w:szCs w:val="22"/>
        </w:rPr>
        <w:t>2</w:t>
      </w:r>
      <w:r w:rsidRPr="0064087E">
        <w:rPr>
          <w:rFonts w:ascii="Arial" w:hAnsi="Arial" w:cs="Arial"/>
          <w:i w:val="0"/>
          <w:color w:val="auto"/>
          <w:sz w:val="22"/>
          <w:szCs w:val="22"/>
        </w:rPr>
        <w:t xml:space="preserve"> r.</w:t>
      </w:r>
      <w:bookmarkEnd w:id="66"/>
    </w:p>
    <w:p w:rsidR="0026503B" w:rsidRPr="0064087E" w:rsidRDefault="000877CE" w:rsidP="0026503B">
      <w:pPr>
        <w:spacing w:after="120" w:line="276" w:lineRule="auto"/>
        <w:jc w:val="center"/>
        <w:rPr>
          <w:rFonts w:ascii="Arial" w:hAnsi="Arial" w:cs="Arial"/>
        </w:rPr>
      </w:pPr>
      <w:r w:rsidRPr="0064087E">
        <w:rPr>
          <w:rFonts w:ascii="Arial" w:hAnsi="Arial" w:cs="Arial"/>
          <w:noProof/>
          <w:lang w:eastAsia="pl-PL"/>
        </w:rPr>
        <w:drawing>
          <wp:inline distT="0" distB="0" distL="0" distR="0" wp14:anchorId="12E21620" wp14:editId="47CF5E5A">
            <wp:extent cx="5247861" cy="4700051"/>
            <wp:effectExtent l="0" t="0" r="0" b="5715"/>
            <wp:docPr id="32" name="Obraz 32" descr="Mapa polski przedstawiająca poszczególne województwa: zachodnio-pomorskie 0,351 – 0,500, pomorskie 0,180 – 0,350, warmińsko-mazurskie 0,180 – 0,350, podlaskie 0,351 – 0,500, lubuskie poniżej 0,180, wielkopolskie powyżej 0,500, kujawsko-pomorskie poniżej 0,180, łódzkie 0,351 – 0,500, mazowieckie regionalne 0,351 – 0,500, Warszawski Stołeczny powyżej 0,500, lubelskie 0,180 – 0,350, dolnośląskie 0,351 – 0,500, opolskie 0,351 – 0,500, śląskie 0,351 – 0,500, małopolskie powyżej 0,500, świętokrzyskie 0,180 – 0,350, podkarpackie poniżej 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skaźnik_Rozwoju_Społecznego_202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98400" cy="4745314"/>
                    </a:xfrm>
                    <a:prstGeom prst="rect">
                      <a:avLst/>
                    </a:prstGeom>
                  </pic:spPr>
                </pic:pic>
              </a:graphicData>
            </a:graphic>
          </wp:inline>
        </w:drawing>
      </w:r>
    </w:p>
    <w:p w:rsidR="0026503B" w:rsidRPr="0064087E" w:rsidRDefault="0026503B" w:rsidP="0026503B">
      <w:pPr>
        <w:spacing w:after="120" w:line="276" w:lineRule="auto"/>
        <w:jc w:val="center"/>
        <w:rPr>
          <w:rFonts w:ascii="Arial" w:hAnsi="Arial" w:cs="Arial"/>
        </w:rPr>
      </w:pPr>
      <w:r w:rsidRPr="0064087E">
        <w:rPr>
          <w:rFonts w:ascii="Arial" w:hAnsi="Arial" w:cs="Arial"/>
        </w:rPr>
        <w:t>Źródło: Opracowanie własne na podstawie danych GUS.</w:t>
      </w:r>
    </w:p>
    <w:p w:rsidR="0026503B" w:rsidRPr="0064087E" w:rsidRDefault="0026503B" w:rsidP="00C500A0">
      <w:pPr>
        <w:spacing w:after="120" w:line="276" w:lineRule="auto"/>
        <w:rPr>
          <w:rFonts w:ascii="Arial" w:hAnsi="Arial" w:cs="Arial"/>
        </w:rPr>
      </w:pPr>
      <w:r w:rsidRPr="0064087E">
        <w:rPr>
          <w:rFonts w:ascii="Arial" w:hAnsi="Arial" w:cs="Arial"/>
        </w:rPr>
        <w:lastRenderedPageBreak/>
        <w:t>Pod względem wysokości RHDI w roku 202</w:t>
      </w:r>
      <w:r w:rsidR="000877CE" w:rsidRPr="0064087E">
        <w:rPr>
          <w:rFonts w:ascii="Arial" w:hAnsi="Arial" w:cs="Arial"/>
        </w:rPr>
        <w:t>2</w:t>
      </w:r>
      <w:r w:rsidRPr="0064087E">
        <w:rPr>
          <w:rFonts w:ascii="Arial" w:hAnsi="Arial" w:cs="Arial"/>
        </w:rPr>
        <w:t xml:space="preserve"> województwo podkarpackie zajęło 16. miejsce </w:t>
      </w:r>
      <w:r w:rsidRPr="0064087E">
        <w:rPr>
          <w:rFonts w:ascii="Arial" w:hAnsi="Arial" w:cs="Arial"/>
        </w:rPr>
        <w:br/>
        <w:t xml:space="preserve">w kraju. W zakresie zdrowia obywateli województwo zajęło 3. lokatę, a z zakresu wiedzy </w:t>
      </w:r>
      <w:r w:rsidRPr="0064087E">
        <w:rPr>
          <w:rFonts w:ascii="Arial" w:hAnsi="Arial" w:cs="Arial"/>
        </w:rPr>
        <w:br/>
        <w:t xml:space="preserve">15. miejsce. Ostatnią lokatę w Polsce w porównaniu do innych regionów zajęło województwo </w:t>
      </w:r>
      <w:r w:rsidRPr="0064087E">
        <w:rPr>
          <w:rFonts w:ascii="Arial" w:hAnsi="Arial" w:cs="Arial"/>
        </w:rPr>
        <w:br/>
        <w:t>z zakresu zamożności.</w:t>
      </w:r>
    </w:p>
    <w:p w:rsidR="0026503B" w:rsidRPr="0064087E" w:rsidRDefault="0026503B" w:rsidP="00C500A0">
      <w:pPr>
        <w:pStyle w:val="Nagwek2"/>
        <w:numPr>
          <w:ilvl w:val="1"/>
          <w:numId w:val="1"/>
        </w:numPr>
        <w:ind w:left="357" w:hanging="357"/>
        <w:rPr>
          <w:b/>
          <w:color w:val="auto"/>
        </w:rPr>
      </w:pPr>
      <w:bookmarkStart w:id="67" w:name="_Toc160793880"/>
      <w:r w:rsidRPr="0064087E">
        <w:rPr>
          <w:b/>
          <w:color w:val="auto"/>
        </w:rPr>
        <w:t>Subiektywne postrzeganie jakości życia mieszkańców</w:t>
      </w:r>
      <w:bookmarkEnd w:id="67"/>
    </w:p>
    <w:p w:rsidR="0026503B" w:rsidRPr="0064087E" w:rsidRDefault="0026503B" w:rsidP="00C500A0">
      <w:pPr>
        <w:spacing w:after="120" w:line="276" w:lineRule="auto"/>
        <w:rPr>
          <w:rFonts w:ascii="Arial" w:hAnsi="Arial" w:cs="Arial"/>
        </w:rPr>
      </w:pPr>
      <w:r w:rsidRPr="0064087E">
        <w:rPr>
          <w:rFonts w:ascii="Arial" w:hAnsi="Arial" w:cs="Arial"/>
        </w:rPr>
        <w:t>Na terenie województwa podkarpackiego w 2021 r. 25,8% gospodarstw domowych oceniło swoją sytuacje materialną jako dobrą, 23,2% jako raczej dobrą, 47,3% jako przeciętną, 3,3% jako raczej złą oraz 0,4 % jako złą. W Polsce wskaźnik ten wynosił odpowiednio: 26,0%; 27,3%; 41,7%; 4,1% oraz 0,9%. W porównaniu z 2020 r. większy odsetek gospodarstw domowych w województwie podkarpackim ocenia swoją sytuację jako dobrą i raczej dobrą.</w:t>
      </w:r>
    </w:p>
    <w:p w:rsidR="0026503B" w:rsidRPr="0064087E" w:rsidRDefault="0026503B" w:rsidP="00C500A0">
      <w:pPr>
        <w:spacing w:after="120" w:line="276" w:lineRule="auto"/>
        <w:rPr>
          <w:rFonts w:ascii="Arial" w:hAnsi="Arial" w:cs="Arial"/>
          <w:b/>
        </w:rPr>
      </w:pPr>
      <w:r w:rsidRPr="0064087E">
        <w:rPr>
          <w:rFonts w:ascii="Arial" w:hAnsi="Arial" w:cs="Arial"/>
          <w:b/>
        </w:rPr>
        <w:t>Stan zdrowia mieszkańców</w:t>
      </w:r>
    </w:p>
    <w:p w:rsidR="0026503B" w:rsidRPr="00D62638" w:rsidRDefault="0026503B" w:rsidP="00C500A0">
      <w:pPr>
        <w:spacing w:after="120" w:line="276" w:lineRule="auto"/>
        <w:rPr>
          <w:rFonts w:ascii="Arial" w:hAnsi="Arial" w:cs="Arial"/>
        </w:rPr>
      </w:pPr>
      <w:r w:rsidRPr="00D62638">
        <w:rPr>
          <w:rFonts w:ascii="Arial" w:hAnsi="Arial" w:cs="Arial"/>
        </w:rPr>
        <w:t xml:space="preserve">Kolejnym ważnym aspektem wpływającym na jakość życia jest stan i ochrona zdrowia. Mieszkańcy województwa podkarpackiego żyją dłużej niż ludność w innych rejonach kraju. Przewiduje się, że przy niezmienionych warunkach wymierania populacji, urodzeni w 2021 r. chłopcy osiągną średnio wiek 72,7 lat (w Polsce – 71,8 lat), dziewczynki natomiast 80,6 lat </w:t>
      </w:r>
      <w:r w:rsidRPr="00D62638">
        <w:rPr>
          <w:rFonts w:ascii="Arial" w:hAnsi="Arial" w:cs="Arial"/>
        </w:rPr>
        <w:br/>
        <w:t xml:space="preserve">(w kraju – 79,7 lat). W porównaniu z 2010 r. ich życie skróciło się w przypadku mężczyzn </w:t>
      </w:r>
      <w:r w:rsidRPr="00D62638">
        <w:rPr>
          <w:rFonts w:ascii="Arial" w:hAnsi="Arial" w:cs="Arial"/>
        </w:rPr>
        <w:br/>
        <w:t xml:space="preserve">o 1,0 rok, zaś w przypadku kobiet o 1,2 roku, natomiast w odniesieniu do 2017 r. odpowiednio o 2,9 lat i 2,5 lat. Z kolei urodzeni w 2022 r. chłopcy osiągną średnio wiek 74,7 lat (w Polsce – 73,4 lat), dziewczynki natomiast 82,5 lat (w kraju – 81,1 lat). W porównaniu z 2017 r. ich życie skróciło się w przypadku mężczyzn o 0,9 lat, zaś w przypadku kobiet o 0,6 lat, natomiast </w:t>
      </w:r>
      <w:r w:rsidR="00903B16" w:rsidRPr="00D62638">
        <w:rPr>
          <w:rFonts w:ascii="Arial" w:hAnsi="Arial" w:cs="Arial"/>
        </w:rPr>
        <w:br/>
      </w:r>
      <w:r w:rsidRPr="00D62638">
        <w:rPr>
          <w:rFonts w:ascii="Arial" w:hAnsi="Arial" w:cs="Arial"/>
        </w:rPr>
        <w:t>w odniesieniu do 2013 r. zarówno u kobiet i mężczyzn o 0,1 lat.</w:t>
      </w:r>
    </w:p>
    <w:p w:rsidR="00BF46C3" w:rsidRPr="00D62638" w:rsidRDefault="00BF46C3" w:rsidP="00C500A0">
      <w:pPr>
        <w:pStyle w:val="Legenda"/>
        <w:keepNext/>
        <w:rPr>
          <w:rFonts w:ascii="Arial" w:hAnsi="Arial" w:cs="Arial"/>
          <w:i w:val="0"/>
          <w:color w:val="auto"/>
          <w:sz w:val="22"/>
          <w:szCs w:val="22"/>
        </w:rPr>
      </w:pPr>
      <w:bookmarkStart w:id="68" w:name="_Toc160793545"/>
      <w:r w:rsidRPr="00D62638">
        <w:rPr>
          <w:rFonts w:ascii="Arial" w:hAnsi="Arial" w:cs="Arial"/>
          <w:b/>
          <w:i w:val="0"/>
          <w:color w:val="auto"/>
          <w:sz w:val="22"/>
          <w:szCs w:val="22"/>
        </w:rPr>
        <w:t xml:space="preserve">Wykres </w:t>
      </w:r>
      <w:r w:rsidR="005922CE">
        <w:rPr>
          <w:rFonts w:ascii="Arial" w:hAnsi="Arial" w:cs="Arial"/>
          <w:b/>
          <w:i w:val="0"/>
          <w:color w:val="auto"/>
          <w:sz w:val="22"/>
          <w:szCs w:val="22"/>
        </w:rPr>
        <w:fldChar w:fldCharType="begin"/>
      </w:r>
      <w:r w:rsidR="005922CE">
        <w:rPr>
          <w:rFonts w:ascii="Arial" w:hAnsi="Arial" w:cs="Arial"/>
          <w:b/>
          <w:i w:val="0"/>
          <w:color w:val="auto"/>
          <w:sz w:val="22"/>
          <w:szCs w:val="22"/>
        </w:rPr>
        <w:instrText xml:space="preserve"> SEQ Wykres \* ARABIC </w:instrText>
      </w:r>
      <w:r w:rsidR="005922CE">
        <w:rPr>
          <w:rFonts w:ascii="Arial" w:hAnsi="Arial" w:cs="Arial"/>
          <w:b/>
          <w:i w:val="0"/>
          <w:color w:val="auto"/>
          <w:sz w:val="22"/>
          <w:szCs w:val="22"/>
        </w:rPr>
        <w:fldChar w:fldCharType="separate"/>
      </w:r>
      <w:r w:rsidR="00884DAD">
        <w:rPr>
          <w:rFonts w:ascii="Arial" w:hAnsi="Arial" w:cs="Arial"/>
          <w:b/>
          <w:i w:val="0"/>
          <w:noProof/>
          <w:color w:val="auto"/>
          <w:sz w:val="22"/>
          <w:szCs w:val="22"/>
        </w:rPr>
        <w:t>39</w:t>
      </w:r>
      <w:r w:rsidR="005922CE">
        <w:rPr>
          <w:rFonts w:ascii="Arial" w:hAnsi="Arial" w:cs="Arial"/>
          <w:b/>
          <w:i w:val="0"/>
          <w:color w:val="auto"/>
          <w:sz w:val="22"/>
          <w:szCs w:val="22"/>
        </w:rPr>
        <w:fldChar w:fldCharType="end"/>
      </w:r>
      <w:r w:rsidR="00DA1871">
        <w:rPr>
          <w:rFonts w:ascii="Arial" w:hAnsi="Arial" w:cs="Arial"/>
          <w:b/>
          <w:i w:val="0"/>
          <w:color w:val="auto"/>
          <w:sz w:val="22"/>
          <w:szCs w:val="22"/>
        </w:rPr>
        <w:t>.</w:t>
      </w:r>
      <w:r w:rsidRPr="00D62638">
        <w:rPr>
          <w:rFonts w:ascii="Arial" w:hAnsi="Arial" w:cs="Arial"/>
          <w:i w:val="0"/>
          <w:color w:val="auto"/>
          <w:sz w:val="22"/>
          <w:szCs w:val="22"/>
        </w:rPr>
        <w:t xml:space="preserve"> Przeciętne dalsze trwanie życia mężczyzn w latach 2013, 2017, 2021 i 2022</w:t>
      </w:r>
      <w:bookmarkEnd w:id="68"/>
    </w:p>
    <w:p w:rsidR="0026503B" w:rsidRPr="0064087E" w:rsidRDefault="0026503B" w:rsidP="00903B16">
      <w:pPr>
        <w:spacing w:after="120"/>
      </w:pPr>
      <w:r w:rsidRPr="0064087E">
        <w:rPr>
          <w:noProof/>
          <w:lang w:eastAsia="pl-PL"/>
        </w:rPr>
        <w:drawing>
          <wp:inline distT="0" distB="0" distL="0" distR="0" wp14:anchorId="30DEE1EE" wp14:editId="718E2DD1">
            <wp:extent cx="5667375" cy="2943225"/>
            <wp:effectExtent l="0" t="0" r="0" b="0"/>
            <wp:docPr id="1677733816" name="Wykres 1" descr="Wykres słupkowy pionowy w tym dane: Polska: 2013: 74,8, 2017: 75,4, 2021: 73,5, 2022: 74,9, Dolnośląskie: 2013: 74,8, 2017: 75,6, 2021: 72,7, 2022: 74,7, Kujawsko-Pomorskie: 2013: 74,1, 2017: 74,8, 2021: 72,7, 2022: 73,8, Łódzkie: 2013: 73,4, 2017: 74, 2021: 71,6, 2022: 73,8,    Małopolskie: 2013: 73,2, 2017: 74,2, 2021: 71,5, 2022: 73,7, Lubelskie: 2013: 73,5, 2017: 74,1, 2021: 72,4, 2022: 73,6, Lubuskie: 2013: 73,5, 2017: 74,1, 2021: 72,1, 2022: 73,6, Mazowieckie: 2013: 73,1, 2017: 74, 2021: 71,8, 2022: 73,4, Opolskie: 2013: 72,9, 2017: 74, 2021: 71,3, 2022: 73,3, Podlaskie: 2013: 72,7, 2017: 73,6, 2021: 71,3, 2022: 73,2,  Podkarpackie: 2013: 72,8, 2017: 73,8, 2021: 71,6, 2022: 72,9, Śląskie: 2013: 72,5, 2017: 73,5, 2021: 71,4, 2022: 72,9, Pomorskie: 2013: 72,7, 2017: 73,7, 2021: 71,5, 2022: 72,8, Świętokrzyskie: 2013: 72,4, 2017: 73,4, 2021: 71,3, 2022: 72,8, Warmińsko-Mazurskie: 2013: 72,2, 2017: 73,4, 2021: 70,5, 2022: 72,6, Wielkopolskie: 2013: 71,9, 2017: 73, 2021: 70,8, 2022: 72,5, Zachodniopomorskie: 2013: 70,7, 2017: 71,9, 2021: 70,6, 2022: 72,1.">
              <a:extLst xmlns:a="http://schemas.openxmlformats.org/drawingml/2006/main">
                <a:ext uri="{FF2B5EF4-FFF2-40B4-BE49-F238E27FC236}">
                  <a16:creationId xmlns:a16="http://schemas.microsoft.com/office/drawing/2014/main" id="{AB93185F-CCB3-F4BF-F03B-B723EBC62D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6503B" w:rsidRPr="0064087E" w:rsidRDefault="0026503B">
      <w:pPr>
        <w:spacing w:after="120" w:line="276" w:lineRule="auto"/>
        <w:jc w:val="center"/>
        <w:rPr>
          <w:rFonts w:ascii="Arial" w:hAnsi="Arial" w:cs="Arial"/>
        </w:rPr>
      </w:pPr>
      <w:r w:rsidRPr="0064087E">
        <w:rPr>
          <w:rFonts w:ascii="Arial" w:hAnsi="Arial" w:cs="Arial"/>
        </w:rPr>
        <w:t>Źródło: Opracowanie własne na podstawie danych GUS.</w:t>
      </w:r>
    </w:p>
    <w:p w:rsidR="00BF46C3" w:rsidRPr="004D324B" w:rsidRDefault="00BF46C3" w:rsidP="00C8075A">
      <w:pPr>
        <w:pStyle w:val="Legenda"/>
        <w:keepNext/>
        <w:spacing w:after="120" w:line="276" w:lineRule="auto"/>
        <w:rPr>
          <w:i w:val="0"/>
          <w:color w:val="auto"/>
        </w:rPr>
      </w:pPr>
      <w:bookmarkStart w:id="69" w:name="_Toc160793546"/>
      <w:r w:rsidRPr="00D62638">
        <w:rPr>
          <w:rFonts w:ascii="Arial" w:hAnsi="Arial" w:cs="Arial"/>
          <w:b/>
          <w:i w:val="0"/>
          <w:iCs w:val="0"/>
          <w:color w:val="auto"/>
          <w:sz w:val="22"/>
          <w:szCs w:val="22"/>
        </w:rPr>
        <w:lastRenderedPageBreak/>
        <w:t xml:space="preserve">Wykres </w:t>
      </w:r>
      <w:r w:rsidR="005922CE">
        <w:rPr>
          <w:rFonts w:ascii="Arial" w:hAnsi="Arial" w:cs="Arial"/>
          <w:b/>
          <w:i w:val="0"/>
          <w:iCs w:val="0"/>
          <w:color w:val="auto"/>
          <w:sz w:val="22"/>
          <w:szCs w:val="22"/>
        </w:rPr>
        <w:fldChar w:fldCharType="begin"/>
      </w:r>
      <w:r w:rsidR="005922CE">
        <w:rPr>
          <w:rFonts w:ascii="Arial" w:hAnsi="Arial" w:cs="Arial"/>
          <w:b/>
          <w:i w:val="0"/>
          <w:iCs w:val="0"/>
          <w:color w:val="auto"/>
          <w:sz w:val="22"/>
          <w:szCs w:val="22"/>
        </w:rPr>
        <w:instrText xml:space="preserve"> SEQ Wykres \* ARABIC </w:instrText>
      </w:r>
      <w:r w:rsidR="005922CE">
        <w:rPr>
          <w:rFonts w:ascii="Arial" w:hAnsi="Arial" w:cs="Arial"/>
          <w:b/>
          <w:i w:val="0"/>
          <w:iCs w:val="0"/>
          <w:color w:val="auto"/>
          <w:sz w:val="22"/>
          <w:szCs w:val="22"/>
        </w:rPr>
        <w:fldChar w:fldCharType="separate"/>
      </w:r>
      <w:r w:rsidR="00884DAD">
        <w:rPr>
          <w:rFonts w:ascii="Arial" w:hAnsi="Arial" w:cs="Arial"/>
          <w:b/>
          <w:i w:val="0"/>
          <w:iCs w:val="0"/>
          <w:noProof/>
          <w:color w:val="auto"/>
          <w:sz w:val="22"/>
          <w:szCs w:val="22"/>
        </w:rPr>
        <w:t>40</w:t>
      </w:r>
      <w:r w:rsidR="005922CE">
        <w:rPr>
          <w:rFonts w:ascii="Arial" w:hAnsi="Arial" w:cs="Arial"/>
          <w:b/>
          <w:i w:val="0"/>
          <w:iCs w:val="0"/>
          <w:color w:val="auto"/>
          <w:sz w:val="22"/>
          <w:szCs w:val="22"/>
        </w:rPr>
        <w:fldChar w:fldCharType="end"/>
      </w:r>
      <w:r w:rsidR="00DA1871">
        <w:rPr>
          <w:rFonts w:ascii="Arial" w:hAnsi="Arial" w:cs="Arial"/>
          <w:b/>
          <w:i w:val="0"/>
          <w:iCs w:val="0"/>
          <w:color w:val="auto"/>
          <w:sz w:val="22"/>
          <w:szCs w:val="22"/>
        </w:rPr>
        <w:t>.</w:t>
      </w:r>
      <w:r w:rsidRPr="00D62638">
        <w:rPr>
          <w:rFonts w:ascii="Arial" w:hAnsi="Arial" w:cs="Arial"/>
          <w:i w:val="0"/>
          <w:iCs w:val="0"/>
          <w:color w:val="auto"/>
          <w:sz w:val="22"/>
          <w:szCs w:val="22"/>
        </w:rPr>
        <w:t xml:space="preserve"> Przeciętne dalsze trwanie życia kobiet w latach 2013, 2017, 2021 i 2022</w:t>
      </w:r>
      <w:bookmarkEnd w:id="69"/>
    </w:p>
    <w:p w:rsidR="0026503B" w:rsidRPr="0064087E" w:rsidRDefault="0026503B">
      <w:pPr>
        <w:spacing w:after="120" w:line="276" w:lineRule="auto"/>
        <w:jc w:val="center"/>
        <w:rPr>
          <w:rFonts w:ascii="Arial" w:hAnsi="Arial" w:cs="Arial"/>
        </w:rPr>
      </w:pPr>
      <w:r w:rsidRPr="0064087E">
        <w:rPr>
          <w:noProof/>
          <w:lang w:eastAsia="pl-PL"/>
        </w:rPr>
        <w:drawing>
          <wp:inline distT="0" distB="0" distL="0" distR="0" wp14:anchorId="76809A44" wp14:editId="3EAB1FE9">
            <wp:extent cx="5610225" cy="2924175"/>
            <wp:effectExtent l="0" t="0" r="0" b="0"/>
            <wp:docPr id="1789786101" name="Wykres 1" descr="Wykres słupkowy pionowy w tym dane: Podlaskie: 2013: 72,3, 2017: 82,9, 2021: 80,5, 2022: 82,3, Podkarpackie: 2013: 82,4, 2017: 83,1, 2021: 80,6, 2022: 82,5, Małopolskie: 2013: 82, 2017: 82,6, 2021: 81, 2022: 82,2, Lubelskie: 2013: 81,6, 2017: 82,2, 2021: 79,5, 2022: 81,7, Mazowieckie: 2013: 81,6, 2017: 82,1, 2021: 80, 2022: 81,5, Świętokrzyskie: 2013: 81,5, 2017: 82,2, 2021: 80, 2022: 81,5, Opolskie: 2013: 80,9, 2017: 81,8, 2021: 80,4, 2022: 81,4, Polska: 2013: 81,1, 2017: 81,8, 2021: 79,7, 2022: 81,1, Wielkopolskie: 2013: 80,6, 2017: 81,8, 2021: 79,6, 2022: 81, Pomorskie: 2013: 81,2, 2017: 81,7, 2021: 80,1, 2022: 80,9, Dolnośląskie: 2013: 80,9, 2017: 81,1, 2021: 79,5, 2022: 80,7, Warmińsko-mazurskie: 2013: 80,8, 2017: 81,4, 2021: 79,4, 2022: 80,7, Zachodniopomorskie: 2013: 80,5, 2017: 81,4, 2021: 79,2, 2022: 80,7, Lubuskie: 2013: 80,1, 2017: 81,2, 2021: 79, 2022: 80,3, Kujawsko-pomorskie: 2013: 80,5, 2017: 81, 2021: 78,9, 2022: 80,2, Śląskie: 2013: 80,1, 2017: 80,8, 2021: 78,9, 2022: 80,2, Łódzkie: 2013: 80,1, 2017: 80,8, 2021: 79, 2022: 80.">
              <a:extLst xmlns:a="http://schemas.openxmlformats.org/drawingml/2006/main">
                <a:ext uri="{FF2B5EF4-FFF2-40B4-BE49-F238E27FC236}">
                  <a16:creationId xmlns:a16="http://schemas.microsoft.com/office/drawing/2014/main" id="{227C37B1-824B-D23E-C1DD-5A613029B7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D62638">
        <w:rPr>
          <w:rFonts w:ascii="Arial" w:hAnsi="Arial" w:cs="Arial"/>
        </w:rPr>
        <w:t>Źródło: Opracowanie własne na podstawie danych GUS.</w:t>
      </w:r>
    </w:p>
    <w:p w:rsidR="0026503B" w:rsidRPr="0064087E" w:rsidRDefault="0026503B" w:rsidP="00C8075A">
      <w:pPr>
        <w:spacing w:after="120" w:line="276" w:lineRule="auto"/>
        <w:rPr>
          <w:rFonts w:ascii="Arial" w:hAnsi="Arial" w:cs="Arial"/>
        </w:rPr>
      </w:pPr>
      <w:r w:rsidRPr="0064087E">
        <w:rPr>
          <w:rFonts w:ascii="Arial" w:hAnsi="Arial" w:cs="Arial"/>
        </w:rPr>
        <w:t xml:space="preserve">Podstawowym elementem systemu opieki zdrowotnej w Polsce jest kadra medyczna. </w:t>
      </w:r>
      <w:r w:rsidR="00C8075A">
        <w:rPr>
          <w:rFonts w:ascii="Arial" w:hAnsi="Arial" w:cs="Arial"/>
        </w:rPr>
        <w:br/>
      </w:r>
      <w:r w:rsidRPr="0064087E">
        <w:rPr>
          <w:rFonts w:ascii="Arial" w:hAnsi="Arial" w:cs="Arial"/>
        </w:rPr>
        <w:t>W 2021 r. prawo do wykonywania zawodu medycznego w województwie podkarpackim posiadało ponad 5,5 tys. lekarzy (o 0,25 tys. więcej niż w 2019 r.) oraz prawie 13,5 tys. pielęgniarek (o 0,14 tys. więcej niż w 2019 r.).</w:t>
      </w:r>
    </w:p>
    <w:p w:rsidR="0026503B" w:rsidRPr="0064087E" w:rsidRDefault="0026503B" w:rsidP="00C8075A">
      <w:pPr>
        <w:spacing w:after="120" w:line="276" w:lineRule="auto"/>
        <w:rPr>
          <w:rFonts w:ascii="Arial" w:hAnsi="Arial" w:cs="Arial"/>
        </w:rPr>
      </w:pPr>
      <w:r w:rsidRPr="0064087E">
        <w:rPr>
          <w:rFonts w:ascii="Arial" w:hAnsi="Arial" w:cs="Arial"/>
        </w:rPr>
        <w:t xml:space="preserve">Zapewnienie odpowiedniej dostępności do personelu medycznego jest jednym </w:t>
      </w:r>
      <w:r w:rsidR="00C8075A">
        <w:rPr>
          <w:rFonts w:ascii="Arial" w:hAnsi="Arial" w:cs="Arial"/>
        </w:rPr>
        <w:br/>
      </w:r>
      <w:r w:rsidRPr="0064087E">
        <w:rPr>
          <w:rFonts w:ascii="Arial" w:hAnsi="Arial" w:cs="Arial"/>
        </w:rPr>
        <w:t xml:space="preserve">z najważniejszych wyzwań współczesnej polityki zdrowotnej. Można ją przedstawić na przykład poprzez odniesienie liczby lekarzy, czy pielęgniarek pracujących bezpośrednio </w:t>
      </w:r>
      <w:r w:rsidRPr="0064087E">
        <w:rPr>
          <w:rFonts w:ascii="Arial" w:hAnsi="Arial" w:cs="Arial"/>
        </w:rPr>
        <w:br/>
        <w:t>z pacjentem w przeliczeniu na 10 tys. ludności.</w:t>
      </w:r>
    </w:p>
    <w:p w:rsidR="0026503B" w:rsidRPr="0064087E" w:rsidRDefault="0026503B" w:rsidP="00C8075A">
      <w:pPr>
        <w:spacing w:after="120" w:line="276" w:lineRule="auto"/>
        <w:rPr>
          <w:rFonts w:ascii="Arial" w:hAnsi="Arial" w:cs="Arial"/>
        </w:rPr>
      </w:pPr>
      <w:r w:rsidRPr="0064087E">
        <w:rPr>
          <w:rFonts w:ascii="Arial" w:hAnsi="Arial" w:cs="Arial"/>
        </w:rPr>
        <w:t xml:space="preserve">Pod tym względem województwo podkarpackie w 2021 r. zajęło 13. miejsce w kraju </w:t>
      </w:r>
      <w:r w:rsidRPr="0064087E">
        <w:rPr>
          <w:rFonts w:ascii="Arial" w:hAnsi="Arial" w:cs="Arial"/>
        </w:rPr>
        <w:br/>
        <w:t xml:space="preserve">(26,6 lekarzy na 10 tys. ludności, w Polsce – 34,3). W 2019 r. Podkarpackie znajdowało się również na 13. miejscu wśród województw, a na 10 tys. ludności przypadało 24,9 lekarzy </w:t>
      </w:r>
      <w:r w:rsidRPr="0064087E">
        <w:rPr>
          <w:rFonts w:ascii="Arial" w:hAnsi="Arial" w:cs="Arial"/>
        </w:rPr>
        <w:br/>
        <w:t>(w Polsce – 32,7).</w:t>
      </w:r>
    </w:p>
    <w:p w:rsidR="00BF46C3" w:rsidRPr="0064087E" w:rsidRDefault="00BF46C3" w:rsidP="007A1D01">
      <w:pPr>
        <w:pStyle w:val="Legenda"/>
        <w:keepNext/>
        <w:spacing w:after="120" w:line="276" w:lineRule="auto"/>
        <w:jc w:val="both"/>
        <w:rPr>
          <w:color w:val="auto"/>
        </w:rPr>
      </w:pPr>
      <w:bookmarkStart w:id="70" w:name="_Toc160793547"/>
      <w:r w:rsidRPr="0064087E">
        <w:rPr>
          <w:rFonts w:ascii="Arial" w:hAnsi="Arial" w:cs="Arial"/>
          <w:b/>
          <w:i w:val="0"/>
          <w:iCs w:val="0"/>
          <w:color w:val="auto"/>
          <w:sz w:val="22"/>
          <w:szCs w:val="22"/>
        </w:rPr>
        <w:lastRenderedPageBreak/>
        <w:t xml:space="preserve">Wykres </w:t>
      </w:r>
      <w:r w:rsidR="005922CE">
        <w:rPr>
          <w:rFonts w:ascii="Arial" w:hAnsi="Arial" w:cs="Arial"/>
          <w:b/>
          <w:i w:val="0"/>
          <w:iCs w:val="0"/>
          <w:color w:val="auto"/>
          <w:sz w:val="22"/>
          <w:szCs w:val="22"/>
        </w:rPr>
        <w:fldChar w:fldCharType="begin"/>
      </w:r>
      <w:r w:rsidR="005922CE">
        <w:rPr>
          <w:rFonts w:ascii="Arial" w:hAnsi="Arial" w:cs="Arial"/>
          <w:b/>
          <w:i w:val="0"/>
          <w:iCs w:val="0"/>
          <w:color w:val="auto"/>
          <w:sz w:val="22"/>
          <w:szCs w:val="22"/>
        </w:rPr>
        <w:instrText xml:space="preserve"> SEQ Wykres \* ARABIC </w:instrText>
      </w:r>
      <w:r w:rsidR="005922CE">
        <w:rPr>
          <w:rFonts w:ascii="Arial" w:hAnsi="Arial" w:cs="Arial"/>
          <w:b/>
          <w:i w:val="0"/>
          <w:iCs w:val="0"/>
          <w:color w:val="auto"/>
          <w:sz w:val="22"/>
          <w:szCs w:val="22"/>
        </w:rPr>
        <w:fldChar w:fldCharType="separate"/>
      </w:r>
      <w:r w:rsidR="00884DAD">
        <w:rPr>
          <w:rFonts w:ascii="Arial" w:hAnsi="Arial" w:cs="Arial"/>
          <w:b/>
          <w:i w:val="0"/>
          <w:iCs w:val="0"/>
          <w:noProof/>
          <w:color w:val="auto"/>
          <w:sz w:val="22"/>
          <w:szCs w:val="22"/>
        </w:rPr>
        <w:t>41</w:t>
      </w:r>
      <w:r w:rsidR="005922CE">
        <w:rPr>
          <w:rFonts w:ascii="Arial" w:hAnsi="Arial" w:cs="Arial"/>
          <w:b/>
          <w:i w:val="0"/>
          <w:iCs w:val="0"/>
          <w:color w:val="auto"/>
          <w:sz w:val="22"/>
          <w:szCs w:val="22"/>
        </w:rPr>
        <w:fldChar w:fldCharType="end"/>
      </w:r>
      <w:r w:rsidR="00DA1871">
        <w:rPr>
          <w:rFonts w:ascii="Arial" w:hAnsi="Arial" w:cs="Arial"/>
          <w:b/>
          <w:i w:val="0"/>
          <w:iCs w:val="0"/>
          <w:color w:val="auto"/>
          <w:sz w:val="22"/>
          <w:szCs w:val="22"/>
        </w:rPr>
        <w:t>.</w:t>
      </w:r>
      <w:r w:rsidRPr="0064087E">
        <w:rPr>
          <w:rFonts w:ascii="Arial" w:hAnsi="Arial" w:cs="Arial"/>
          <w:i w:val="0"/>
          <w:iCs w:val="0"/>
          <w:color w:val="auto"/>
          <w:sz w:val="22"/>
          <w:szCs w:val="22"/>
        </w:rPr>
        <w:t xml:space="preserve"> Lekarze pracujący z pacjentem na 10 tys. ludności w latach 2019 i 2021</w:t>
      </w:r>
      <w:bookmarkEnd w:id="70"/>
    </w:p>
    <w:p w:rsidR="0026503B" w:rsidRPr="0064087E" w:rsidRDefault="0026503B" w:rsidP="0026503B">
      <w:pPr>
        <w:spacing w:after="120" w:line="276" w:lineRule="auto"/>
        <w:jc w:val="center"/>
        <w:rPr>
          <w:rFonts w:ascii="Arial" w:hAnsi="Arial" w:cs="Arial"/>
        </w:rPr>
      </w:pPr>
      <w:r w:rsidRPr="0064087E">
        <w:rPr>
          <w:noProof/>
          <w:lang w:eastAsia="pl-PL"/>
        </w:rPr>
        <w:drawing>
          <wp:inline distT="0" distB="0" distL="0" distR="0" wp14:anchorId="45F3F533" wp14:editId="3B129146">
            <wp:extent cx="5334000" cy="2847975"/>
            <wp:effectExtent l="0" t="0" r="0" b="0"/>
            <wp:docPr id="1269224494" name="Wykres 1269224494" descr="Wykres słupkowy pionowy w tym dane: Mazowieckie: 2019: 42,1, 2021: 43,3, Łódzkie: 2019: 38,4, 2021: 40,5, Podlaskie: 2019: 35,5, 2021: 37,6, Lubelskie: 2019: 34,6, 2021: 36,5, Dolnośląskie: 2019: 34,5, 2021: 36,4, Śląskie: 2019: 33,7, 2021: 35,6, Małopolskie: 2019: 33,4, 2021: 34,4, Pomorskie: 2019: 32,5, 2021: 34,4, Polska: 2019: 32,7, 2021: 34,3, Zachodniopomorskie: 2019: 30,5, 2021: 32,2, Świętokrzyskie: 2019: 28,2, 2021: 30,1, Kujawsko-pomorskie: 2019: 28, 2021: 29,3, Wielkopolskie: 2019: 27,8, 2021: 28,8, Podkarpackie: 2019: 24,9, 2021: 26,6, Warmińsko-mazurskie: 2019: 23,8, 2021: 25,1, Opolskie: 2019: 23,5, 2021: 24,4, Lubuskie: 2019: 22,0, 2021: 23,3.  ">
              <a:extLst xmlns:a="http://schemas.openxmlformats.org/drawingml/2006/main">
                <a:ext uri="{FF2B5EF4-FFF2-40B4-BE49-F238E27FC236}">
                  <a16:creationId xmlns:a16="http://schemas.microsoft.com/office/drawing/2014/main" id="{531C285E-C49E-4BCD-A49A-C2A5A1BD19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26503B" w:rsidRPr="0064087E" w:rsidRDefault="0026503B" w:rsidP="0026503B">
      <w:pPr>
        <w:spacing w:after="120" w:line="276" w:lineRule="auto"/>
        <w:jc w:val="center"/>
        <w:rPr>
          <w:rFonts w:ascii="Arial" w:hAnsi="Arial" w:cs="Arial"/>
        </w:rPr>
      </w:pPr>
      <w:r w:rsidRPr="0064087E">
        <w:rPr>
          <w:rFonts w:ascii="Arial" w:hAnsi="Arial" w:cs="Arial"/>
        </w:rPr>
        <w:t>Źródło: Opracowanie własne na podstawie danych GUS.</w:t>
      </w:r>
    </w:p>
    <w:p w:rsidR="0026503B" w:rsidRPr="0064087E" w:rsidRDefault="0026503B" w:rsidP="00C8075A">
      <w:pPr>
        <w:spacing w:after="120" w:line="276" w:lineRule="auto"/>
        <w:rPr>
          <w:rFonts w:ascii="Arial" w:hAnsi="Arial" w:cs="Arial"/>
        </w:rPr>
      </w:pPr>
      <w:r w:rsidRPr="0064087E">
        <w:rPr>
          <w:rFonts w:ascii="Arial" w:hAnsi="Arial" w:cs="Arial"/>
        </w:rPr>
        <w:t xml:space="preserve">Zdecydowanie lepiej w województwie podkarpackim przedstawiała się sytuacja z liczbą pielęgniarek pracujących bezpośrednio z pacjentem, gdzie województwo zajęło w 2021 r. </w:t>
      </w:r>
      <w:r w:rsidRPr="0064087E">
        <w:rPr>
          <w:rFonts w:ascii="Arial" w:hAnsi="Arial" w:cs="Arial"/>
        </w:rPr>
        <w:br/>
        <w:t xml:space="preserve">3. miejsce w kraju a w 2019 r. 2. miejsce w kraju (odpowiednio 64,5 i 62,6 pielęgniarek na </w:t>
      </w:r>
      <w:r w:rsidRPr="0064087E">
        <w:rPr>
          <w:rFonts w:ascii="Arial" w:hAnsi="Arial" w:cs="Arial"/>
        </w:rPr>
        <w:br/>
        <w:t>10 tys. ludności, przy średniej dla kraju wynoszącej 56,6 oraz 55,8).</w:t>
      </w:r>
    </w:p>
    <w:p w:rsidR="00BF46C3" w:rsidRPr="0064087E" w:rsidRDefault="00BF46C3" w:rsidP="00C8075A">
      <w:pPr>
        <w:pStyle w:val="Legenda"/>
        <w:keepNext/>
        <w:rPr>
          <w:rFonts w:ascii="Arial" w:hAnsi="Arial" w:cs="Arial"/>
          <w:i w:val="0"/>
          <w:color w:val="auto"/>
          <w:sz w:val="22"/>
          <w:szCs w:val="22"/>
        </w:rPr>
      </w:pPr>
      <w:bookmarkStart w:id="71" w:name="_Toc160793548"/>
      <w:r w:rsidRPr="0064087E">
        <w:rPr>
          <w:rFonts w:ascii="Arial" w:hAnsi="Arial" w:cs="Arial"/>
          <w:b/>
          <w:i w:val="0"/>
          <w:color w:val="auto"/>
          <w:sz w:val="22"/>
          <w:szCs w:val="22"/>
        </w:rPr>
        <w:t xml:space="preserve">Wykres </w:t>
      </w:r>
      <w:r w:rsidR="005922CE">
        <w:rPr>
          <w:rFonts w:ascii="Arial" w:hAnsi="Arial" w:cs="Arial"/>
          <w:b/>
          <w:i w:val="0"/>
          <w:color w:val="auto"/>
          <w:sz w:val="22"/>
          <w:szCs w:val="22"/>
        </w:rPr>
        <w:fldChar w:fldCharType="begin"/>
      </w:r>
      <w:r w:rsidR="005922CE">
        <w:rPr>
          <w:rFonts w:ascii="Arial" w:hAnsi="Arial" w:cs="Arial"/>
          <w:b/>
          <w:i w:val="0"/>
          <w:color w:val="auto"/>
          <w:sz w:val="22"/>
          <w:szCs w:val="22"/>
        </w:rPr>
        <w:instrText xml:space="preserve"> SEQ Wykres \* ARABIC </w:instrText>
      </w:r>
      <w:r w:rsidR="005922CE">
        <w:rPr>
          <w:rFonts w:ascii="Arial" w:hAnsi="Arial" w:cs="Arial"/>
          <w:b/>
          <w:i w:val="0"/>
          <w:color w:val="auto"/>
          <w:sz w:val="22"/>
          <w:szCs w:val="22"/>
        </w:rPr>
        <w:fldChar w:fldCharType="separate"/>
      </w:r>
      <w:r w:rsidR="00884DAD">
        <w:rPr>
          <w:rFonts w:ascii="Arial" w:hAnsi="Arial" w:cs="Arial"/>
          <w:b/>
          <w:i w:val="0"/>
          <w:noProof/>
          <w:color w:val="auto"/>
          <w:sz w:val="22"/>
          <w:szCs w:val="22"/>
        </w:rPr>
        <w:t>42</w:t>
      </w:r>
      <w:r w:rsidR="005922CE">
        <w:rPr>
          <w:rFonts w:ascii="Arial" w:hAnsi="Arial" w:cs="Arial"/>
          <w:b/>
          <w:i w:val="0"/>
          <w:color w:val="auto"/>
          <w:sz w:val="22"/>
          <w:szCs w:val="22"/>
        </w:rPr>
        <w:fldChar w:fldCharType="end"/>
      </w:r>
      <w:r w:rsidR="00DA1871">
        <w:rPr>
          <w:rFonts w:ascii="Arial" w:hAnsi="Arial" w:cs="Arial"/>
          <w:b/>
          <w:i w:val="0"/>
          <w:color w:val="auto"/>
          <w:sz w:val="22"/>
          <w:szCs w:val="22"/>
        </w:rPr>
        <w:t>.</w:t>
      </w:r>
      <w:r w:rsidRPr="0064087E">
        <w:rPr>
          <w:rFonts w:ascii="Arial" w:hAnsi="Arial" w:cs="Arial"/>
          <w:i w:val="0"/>
          <w:color w:val="auto"/>
          <w:sz w:val="22"/>
          <w:szCs w:val="22"/>
        </w:rPr>
        <w:t xml:space="preserve"> Pielęgniarki pracujące z pacjentem na 10 tys. ludności w latach 2019 i 2021</w:t>
      </w:r>
      <w:bookmarkEnd w:id="71"/>
    </w:p>
    <w:p w:rsidR="0026503B" w:rsidRPr="0064087E" w:rsidRDefault="0026503B" w:rsidP="0026503B">
      <w:pPr>
        <w:spacing w:after="120" w:line="276" w:lineRule="auto"/>
        <w:jc w:val="center"/>
        <w:rPr>
          <w:rFonts w:ascii="Arial" w:hAnsi="Arial" w:cs="Arial"/>
        </w:rPr>
      </w:pPr>
      <w:r w:rsidRPr="0064087E">
        <w:rPr>
          <w:noProof/>
          <w:lang w:eastAsia="pl-PL"/>
        </w:rPr>
        <w:drawing>
          <wp:inline distT="0" distB="0" distL="0" distR="0" wp14:anchorId="525C0BE9" wp14:editId="3041CF8C">
            <wp:extent cx="4972050" cy="2733675"/>
            <wp:effectExtent l="0" t="0" r="0" b="0"/>
            <wp:docPr id="737615592" name="Wykres 737615592" descr="Wykres słupkowy pionowy w tym dane: Świętokrzyskie: 2019: 64,6, 2021: 68,3, Lubelskie: 2019: 61,4, 2021: 67,1, Podkarpackie: 2019: 62,6, 2021: 64,5, Mazowieckie: 2019: 59,3, 2021: 61,1, Śląskie: 2019: 60,4, 2021: 60,8, Podlaskie: 2019: 59,9, 2021: 60,8, Małopolskie: 2019: 56,4, 2021: 56,7, Polska: 2019: 55,8, 2021: 56,6, Dolnośląskie: 2019: 56,7, 2021: 56,3, Opolskie: 2019: 52,3, 2021: 54,9, Kujawsko-pomorskie: 2019: 52,9, 2021: 54,3, Łódzkie: 2019: 52,2, 2021: 53,7, Warmińsko-mazurskie: 2019: 52,9, 2021: 52,1, Wielkopolskie: 2019: 49,2, 2021: 48, Zachodniopomorskie: 2019: 48,1, 2021: 48,0, Lubuskie: 2019: 49,5, 2021: 46,4, Pomorskie: 2019: 46,3, 2021: 45,6.  ">
              <a:extLst xmlns:a="http://schemas.openxmlformats.org/drawingml/2006/main">
                <a:ext uri="{FF2B5EF4-FFF2-40B4-BE49-F238E27FC236}">
                  <a16:creationId xmlns:a16="http://schemas.microsoft.com/office/drawing/2014/main" id="{37CA9BF6-22C9-43C5-BEC1-7336B2183A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6503B" w:rsidRPr="0064087E" w:rsidRDefault="0026503B" w:rsidP="0026503B">
      <w:pPr>
        <w:spacing w:after="120" w:line="276" w:lineRule="auto"/>
        <w:jc w:val="center"/>
        <w:rPr>
          <w:rFonts w:ascii="Arial" w:hAnsi="Arial" w:cs="Arial"/>
        </w:rPr>
      </w:pPr>
      <w:r w:rsidRPr="0064087E">
        <w:rPr>
          <w:rFonts w:ascii="Arial" w:hAnsi="Arial" w:cs="Arial"/>
        </w:rPr>
        <w:t>Źródło: Opracowanie własne na podstawie danych GUS.</w:t>
      </w:r>
    </w:p>
    <w:p w:rsidR="0026503B" w:rsidRPr="0064087E" w:rsidRDefault="0026503B" w:rsidP="00C8075A">
      <w:pPr>
        <w:spacing w:after="120" w:line="276" w:lineRule="auto"/>
      </w:pPr>
      <w:r w:rsidRPr="0064087E">
        <w:rPr>
          <w:rFonts w:ascii="Arial" w:hAnsi="Arial" w:cs="Arial"/>
        </w:rPr>
        <w:t xml:space="preserve">W 2021 r. na terenie województwa podkarpackiego funkcjonowały 43 szpitale ogólne, a ich udział w kraju wynosił 4,8%. Do dyspozycji chorych pozostawało ponad 9 tys. łóżek (5,4% udziału w kraju). W porównaniu z 2017 r. ich liczba zmniejszyła się o 11,3%. Liczba leczonych pacjentów (łącznie z ruchem międzyoddziałowym) wyniosła prawie 390 tys. osób </w:t>
      </w:r>
      <w:r w:rsidR="00903B16" w:rsidRPr="0064087E">
        <w:rPr>
          <w:rFonts w:ascii="Arial" w:hAnsi="Arial" w:cs="Arial"/>
        </w:rPr>
        <w:br/>
      </w:r>
      <w:r w:rsidRPr="0064087E">
        <w:rPr>
          <w:rFonts w:ascii="Arial" w:hAnsi="Arial" w:cs="Arial"/>
        </w:rPr>
        <w:t xml:space="preserve">i w odniesieniu do 2017 r. spadła o 94,3 tys. osób. Leczeni w regionie stanowili 5,6% ogółu leczonych w Polsce. Liczba łóżek w przeliczeniu na 10 tys. ludności zmniejszyła się </w:t>
      </w:r>
      <w:r w:rsidR="00903B16" w:rsidRPr="0064087E">
        <w:rPr>
          <w:rFonts w:ascii="Arial" w:hAnsi="Arial" w:cs="Arial"/>
        </w:rPr>
        <w:br/>
      </w:r>
      <w:r w:rsidRPr="0064087E">
        <w:rPr>
          <w:rFonts w:ascii="Arial" w:hAnsi="Arial" w:cs="Arial"/>
        </w:rPr>
        <w:lastRenderedPageBreak/>
        <w:t xml:space="preserve">w porównaniu z 2017 r. W 2021 r. wyniosła 43,5, co dało 10. lokatę w kraju (w 2017 r. 48,0 – 8. lokata). </w:t>
      </w:r>
      <w:r w:rsidRPr="00D62638">
        <w:rPr>
          <w:rFonts w:ascii="Arial" w:hAnsi="Arial" w:cs="Arial"/>
        </w:rPr>
        <w:t xml:space="preserve">W 2022 r. na terenie województwa podkarpackiego funkcjonowało 40 szpitali ogólnych. Do dyspozycji chorych pozostawało ponad 8,7 tys. łóżek, zatem ich liczba </w:t>
      </w:r>
      <w:r w:rsidR="00C8075A">
        <w:rPr>
          <w:rFonts w:ascii="Arial" w:hAnsi="Arial" w:cs="Arial"/>
        </w:rPr>
        <w:br/>
      </w:r>
      <w:r w:rsidRPr="00D62638">
        <w:rPr>
          <w:rFonts w:ascii="Arial" w:hAnsi="Arial" w:cs="Arial"/>
        </w:rPr>
        <w:t>w porównaniu do 2021 r. zmniejszyła się o około 0,3 tys.</w:t>
      </w:r>
    </w:p>
    <w:p w:rsidR="00BF46C3" w:rsidRPr="00D62638" w:rsidRDefault="00BF46C3" w:rsidP="00C8075A">
      <w:pPr>
        <w:pStyle w:val="Legenda"/>
        <w:keepNext/>
        <w:rPr>
          <w:rFonts w:ascii="Arial" w:hAnsi="Arial" w:cs="Arial"/>
          <w:i w:val="0"/>
          <w:color w:val="auto"/>
          <w:sz w:val="22"/>
          <w:szCs w:val="22"/>
        </w:rPr>
      </w:pPr>
      <w:bookmarkStart w:id="72" w:name="_Toc160793549"/>
      <w:r w:rsidRPr="00D62638">
        <w:rPr>
          <w:rFonts w:ascii="Arial" w:hAnsi="Arial" w:cs="Arial"/>
          <w:b/>
          <w:i w:val="0"/>
          <w:color w:val="auto"/>
          <w:sz w:val="22"/>
          <w:szCs w:val="22"/>
        </w:rPr>
        <w:t xml:space="preserve">Wykres </w:t>
      </w:r>
      <w:r w:rsidR="005922CE">
        <w:rPr>
          <w:rFonts w:ascii="Arial" w:hAnsi="Arial" w:cs="Arial"/>
          <w:b/>
          <w:i w:val="0"/>
          <w:color w:val="auto"/>
          <w:sz w:val="22"/>
          <w:szCs w:val="22"/>
        </w:rPr>
        <w:fldChar w:fldCharType="begin"/>
      </w:r>
      <w:r w:rsidR="005922CE">
        <w:rPr>
          <w:rFonts w:ascii="Arial" w:hAnsi="Arial" w:cs="Arial"/>
          <w:b/>
          <w:i w:val="0"/>
          <w:color w:val="auto"/>
          <w:sz w:val="22"/>
          <w:szCs w:val="22"/>
        </w:rPr>
        <w:instrText xml:space="preserve"> SEQ Wykres \* ARABIC </w:instrText>
      </w:r>
      <w:r w:rsidR="005922CE">
        <w:rPr>
          <w:rFonts w:ascii="Arial" w:hAnsi="Arial" w:cs="Arial"/>
          <w:b/>
          <w:i w:val="0"/>
          <w:color w:val="auto"/>
          <w:sz w:val="22"/>
          <w:szCs w:val="22"/>
        </w:rPr>
        <w:fldChar w:fldCharType="separate"/>
      </w:r>
      <w:r w:rsidR="00884DAD">
        <w:rPr>
          <w:rFonts w:ascii="Arial" w:hAnsi="Arial" w:cs="Arial"/>
          <w:b/>
          <w:i w:val="0"/>
          <w:noProof/>
          <w:color w:val="auto"/>
          <w:sz w:val="22"/>
          <w:szCs w:val="22"/>
        </w:rPr>
        <w:t>43</w:t>
      </w:r>
      <w:r w:rsidR="005922CE">
        <w:rPr>
          <w:rFonts w:ascii="Arial" w:hAnsi="Arial" w:cs="Arial"/>
          <w:b/>
          <w:i w:val="0"/>
          <w:color w:val="auto"/>
          <w:sz w:val="22"/>
          <w:szCs w:val="22"/>
        </w:rPr>
        <w:fldChar w:fldCharType="end"/>
      </w:r>
      <w:r w:rsidR="00DA1871">
        <w:rPr>
          <w:rFonts w:ascii="Arial" w:hAnsi="Arial" w:cs="Arial"/>
          <w:b/>
          <w:i w:val="0"/>
          <w:color w:val="auto"/>
          <w:sz w:val="22"/>
          <w:szCs w:val="22"/>
        </w:rPr>
        <w:t>.</w:t>
      </w:r>
      <w:r w:rsidRPr="00D62638">
        <w:rPr>
          <w:rFonts w:ascii="Arial" w:hAnsi="Arial" w:cs="Arial"/>
          <w:i w:val="0"/>
          <w:color w:val="auto"/>
          <w:sz w:val="22"/>
          <w:szCs w:val="22"/>
        </w:rPr>
        <w:t xml:space="preserve"> Łóżka w szpitalach ogólnych na 10 tys. ludności w latach 2017,2019,2021 i 2022</w:t>
      </w:r>
      <w:bookmarkEnd w:id="72"/>
    </w:p>
    <w:p w:rsidR="0026503B" w:rsidRPr="0064087E" w:rsidRDefault="0026503B" w:rsidP="0026503B">
      <w:pPr>
        <w:spacing w:after="120" w:line="276" w:lineRule="auto"/>
        <w:jc w:val="center"/>
        <w:rPr>
          <w:rFonts w:ascii="Arial" w:hAnsi="Arial" w:cs="Arial"/>
        </w:rPr>
      </w:pPr>
      <w:r w:rsidRPr="0064087E">
        <w:rPr>
          <w:noProof/>
          <w:lang w:eastAsia="pl-PL"/>
        </w:rPr>
        <w:drawing>
          <wp:inline distT="0" distB="0" distL="0" distR="0" wp14:anchorId="67C408E5" wp14:editId="66962DA1">
            <wp:extent cx="5470498" cy="2981739"/>
            <wp:effectExtent l="0" t="0" r="0" b="0"/>
            <wp:docPr id="265236947" name="Wykres 1" descr="Wykres słupkowy pionowy w tym dane: Lubelskie: 2017: 52,63, 2019: 47,36, 2021: 51,86, 2022: 51,40, Śląskie: 2017: 55,17, 2019: 51,55, 2021: 50,81, 2022: 49,81, Łódzkie: 2017: 51,59, 2019: 46,91, 2021: 48,50, 2022: 46,92, Podlaskie: 2017: 50,35, 2019: 43,16, 2021: 48,42, 2022: 46,29, Warmińsko-mazurskie: 2017: 46,79, 2019: 43,87, 2021: 46,74, 2022: 46,37, Świętokrzyskie: 2017: 49,09, 2019: 43,34, 2021: 46,34, 2022: 44,15, Dolnośląskie: 2017: 50,43, 2019: 45,35, 2021: 46,26, 2022: 46,26, Opolskie: 2017: 46,15, 2019: 39,07, 2021: 46,13, 2022: 44,80, Mazowieckie: 2017: 48,38, 2019: 39,07, 2021: 45,48, 2022: 43,03, Polska: 2017: 48,20, 2019: 43,46, 2021: 44,44, 2022: 43,47, Podkarpackie: 2017: 48,00, 2019: 43,95, 2021: 43,47, 2022: 41,85, Zachodniopomorskie: 2017: 46,29, 2019: 40,54, 2021: 42,74, 2022: 41,50, Kujawsko-pomorskie: 2017: 47,02, 2019: 42,79, 2021: 42,72, 2022: 41,85, Lubuskie: 2017: 43,28, 2019: 39,32, 2021: 41,09, 2022: 39,42, Małopolskie: 2017: 44,19, 2019: 40,31, 2021: 40,28, 2022: 39,63, Wielkopolskie: 2017: 44,71, 2019: 37,42, 2021: 37,63, 2022: 39,01, Pomorskie: 2017: 39,82, 2019: 35,98, 2021: 33,54, 2022:  33,16.">
              <a:extLst xmlns:a="http://schemas.openxmlformats.org/drawingml/2006/main">
                <a:ext uri="{FF2B5EF4-FFF2-40B4-BE49-F238E27FC236}">
                  <a16:creationId xmlns:a16="http://schemas.microsoft.com/office/drawing/2014/main" id="{957EA9A2-FD32-4D11-BDF3-F5450EC718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6503B" w:rsidRPr="00D62638" w:rsidRDefault="0026503B" w:rsidP="0026503B">
      <w:pPr>
        <w:spacing w:after="120" w:line="276" w:lineRule="auto"/>
        <w:jc w:val="center"/>
        <w:rPr>
          <w:rFonts w:ascii="Arial" w:hAnsi="Arial" w:cs="Arial"/>
        </w:rPr>
      </w:pPr>
      <w:r w:rsidRPr="00D62638">
        <w:rPr>
          <w:rFonts w:ascii="Arial" w:hAnsi="Arial" w:cs="Arial"/>
        </w:rPr>
        <w:t>Źródło: Opracowanie własne na podstawie danych GUS.</w:t>
      </w:r>
    </w:p>
    <w:p w:rsidR="0026503B" w:rsidRPr="0064087E" w:rsidRDefault="0026503B" w:rsidP="00C8075A">
      <w:pPr>
        <w:spacing w:after="120" w:line="276" w:lineRule="auto"/>
        <w:rPr>
          <w:rFonts w:ascii="Arial" w:hAnsi="Arial" w:cs="Arial"/>
        </w:rPr>
      </w:pPr>
      <w:r w:rsidRPr="00D62638">
        <w:rPr>
          <w:rFonts w:ascii="Arial" w:hAnsi="Arial" w:cs="Arial"/>
        </w:rPr>
        <w:t>Ponadto w ramach ambulatoryjnej opieki zdrowotnej funkcjonowało w 2021 r. 1286 przychodni (w 2019 r.– 1251, a w 2017 r. – 1242) oraz 398 praktyk lekarski</w:t>
      </w:r>
      <w:r w:rsidR="00AC1C14" w:rsidRPr="0064087E">
        <w:rPr>
          <w:rFonts w:ascii="Arial" w:hAnsi="Arial" w:cs="Arial"/>
        </w:rPr>
        <w:t>ch</w:t>
      </w:r>
      <w:r w:rsidRPr="00D62638">
        <w:rPr>
          <w:rFonts w:ascii="Arial" w:hAnsi="Arial" w:cs="Arial"/>
        </w:rPr>
        <w:t xml:space="preserve"> (w 2019 r. – 474, a w 2017 r. – 497). Końcem 2022 r. w województwie podkarpackim działały 1632 podmioty ambulatoryjnej opieki zdrowotnej: 1254 przychodnie</w:t>
      </w:r>
      <w:r w:rsidR="00AC1C14" w:rsidRPr="0064087E">
        <w:rPr>
          <w:rFonts w:ascii="Arial" w:hAnsi="Arial" w:cs="Arial"/>
        </w:rPr>
        <w:t>, 68 praktyk lekarskich oraz 310 praktyk stomatologicznych</w:t>
      </w:r>
      <w:r w:rsidRPr="00D62638">
        <w:rPr>
          <w:rFonts w:ascii="Arial" w:hAnsi="Arial" w:cs="Arial"/>
        </w:rPr>
        <w:t xml:space="preserve">. </w:t>
      </w:r>
      <w:r w:rsidR="00AC1C14" w:rsidRPr="0064087E">
        <w:rPr>
          <w:rFonts w:ascii="Arial" w:hAnsi="Arial" w:cs="Arial"/>
        </w:rPr>
        <w:t xml:space="preserve">W porównaniu z poprzednim rokiem przychodni było o 2,5% mniej. Liczba praktyk lekarskich wzrosła o 1,5%, natomiast praktyk stomatologicznych zmniejszyła się o 6,3%. </w:t>
      </w:r>
      <w:r w:rsidRPr="00D62638">
        <w:rPr>
          <w:rFonts w:ascii="Arial" w:hAnsi="Arial" w:cs="Arial"/>
        </w:rPr>
        <w:t xml:space="preserve">W 2021 r. w ramach ambulatoryjnej opieki zdrowotnej udzielono </w:t>
      </w:r>
      <w:r w:rsidR="00C8075A">
        <w:rPr>
          <w:rFonts w:ascii="Arial" w:hAnsi="Arial" w:cs="Arial"/>
        </w:rPr>
        <w:br/>
      </w:r>
      <w:r w:rsidRPr="00D62638">
        <w:rPr>
          <w:rFonts w:ascii="Arial" w:hAnsi="Arial" w:cs="Arial"/>
        </w:rPr>
        <w:t xml:space="preserve">w województwie podkarpackim 13 977,0 tys. porad lekarskich (4,9% ogółu porad w kraju), </w:t>
      </w:r>
      <w:r w:rsidR="00C8075A">
        <w:rPr>
          <w:rFonts w:ascii="Arial" w:hAnsi="Arial" w:cs="Arial"/>
        </w:rPr>
        <w:br/>
      </w:r>
      <w:r w:rsidRPr="00D62638">
        <w:rPr>
          <w:rFonts w:ascii="Arial" w:hAnsi="Arial" w:cs="Arial"/>
        </w:rPr>
        <w:t>a w porównaniu z 2017 r. ich liczba wzrosła o 414,6 tys. W 2022 r. udzielono 14 332 432 tys. porad lekarskich, co w odniesieniu do 2021 r. wynosi więcej o 355,4 tys.</w:t>
      </w:r>
    </w:p>
    <w:p w:rsidR="0026503B" w:rsidRPr="0064087E" w:rsidRDefault="0026503B" w:rsidP="00C8075A">
      <w:pPr>
        <w:spacing w:after="120" w:line="276" w:lineRule="auto"/>
        <w:rPr>
          <w:rFonts w:ascii="Arial" w:hAnsi="Arial" w:cs="Arial"/>
        </w:rPr>
      </w:pPr>
      <w:r w:rsidRPr="0064087E">
        <w:rPr>
          <w:rFonts w:ascii="Arial" w:hAnsi="Arial" w:cs="Arial"/>
        </w:rPr>
        <w:t xml:space="preserve">Inną formą opieki stacjonarnej, a zarazem uzupełnieniem podstawowego systemu opieki zdrowotnej jest lecznictwo uzdrowiskowe. Wody mineralne, torfy lecznicze oraz specyficzne cechy mikroklimatu stały się podstawą do prowadzenia lecznictwa uzdrowiskowego </w:t>
      </w:r>
      <w:r w:rsidRPr="0064087E">
        <w:rPr>
          <w:rFonts w:ascii="Arial" w:hAnsi="Arial" w:cs="Arial"/>
        </w:rPr>
        <w:br/>
        <w:t>w 4 kurortach tj. Iwoniczu-Zdroju, Rymanowie-Zdroju, Polańczyku i Horyńcu-Zdroju. Status obszaru ochrony uzdrowiskowej posiada ponadto miejscowość Latoszyn-Zdrój.</w:t>
      </w:r>
    </w:p>
    <w:p w:rsidR="0026503B" w:rsidRPr="0064087E" w:rsidRDefault="0026503B" w:rsidP="00C8075A">
      <w:pPr>
        <w:spacing w:after="120" w:line="276" w:lineRule="auto"/>
        <w:rPr>
          <w:rFonts w:ascii="Arial" w:hAnsi="Arial" w:cs="Arial"/>
        </w:rPr>
      </w:pPr>
      <w:r w:rsidRPr="0064087E">
        <w:rPr>
          <w:rFonts w:ascii="Arial" w:hAnsi="Arial" w:cs="Arial"/>
        </w:rPr>
        <w:t>W 2021 r., podobnie jak w latach poprzednich, na terenie województwa podkarpackiego usługi lecznictwa uzdrowiskowego świadczyło 23 sanatoria uzdrowiskowe (w tym 1 dla dzieci), 3 szpitale uzdrowiskowe, 3 zakłady przyrodolecznicze i 1 stacjonarny zakład rehabilitacji leczniczej. Łącznie dysponowały one prawie 4,3 tys. łóżek. Z usług placówek lecznictwa uzdrowiskowego skorzystało w 2021 r. ponad 41 tys. osób (6. lokata w kraju), co stanowiło 7,7% ogółu kuracjuszy w kraju.</w:t>
      </w:r>
    </w:p>
    <w:p w:rsidR="0026503B" w:rsidRPr="0064087E" w:rsidRDefault="0026503B" w:rsidP="00C8075A">
      <w:pPr>
        <w:pStyle w:val="Nagwek2"/>
        <w:numPr>
          <w:ilvl w:val="1"/>
          <w:numId w:val="1"/>
        </w:numPr>
        <w:ind w:left="357" w:hanging="357"/>
        <w:rPr>
          <w:b/>
          <w:color w:val="auto"/>
        </w:rPr>
      </w:pPr>
      <w:bookmarkStart w:id="73" w:name="_Toc160793881"/>
      <w:r w:rsidRPr="0064087E">
        <w:rPr>
          <w:b/>
          <w:color w:val="auto"/>
        </w:rPr>
        <w:lastRenderedPageBreak/>
        <w:t>Zasoby endogeniczne województwa podkarpackiego</w:t>
      </w:r>
      <w:bookmarkEnd w:id="73"/>
    </w:p>
    <w:p w:rsidR="0026503B" w:rsidRPr="0064087E" w:rsidRDefault="0026503B" w:rsidP="00C8075A">
      <w:pPr>
        <w:spacing w:after="120" w:line="276" w:lineRule="auto"/>
        <w:rPr>
          <w:rFonts w:ascii="Arial" w:hAnsi="Arial" w:cs="Arial"/>
          <w:b/>
        </w:rPr>
      </w:pPr>
      <w:r w:rsidRPr="0064087E">
        <w:rPr>
          <w:rFonts w:ascii="Arial" w:hAnsi="Arial" w:cs="Arial"/>
          <w:b/>
        </w:rPr>
        <w:t>Wysoka jakość produkowanej żywności</w:t>
      </w:r>
    </w:p>
    <w:p w:rsidR="0026503B" w:rsidRPr="0064087E" w:rsidRDefault="0026503B" w:rsidP="00C8075A">
      <w:pPr>
        <w:spacing w:after="120" w:line="276" w:lineRule="auto"/>
        <w:rPr>
          <w:rFonts w:ascii="Arial" w:hAnsi="Arial" w:cs="Arial"/>
        </w:rPr>
      </w:pPr>
      <w:r w:rsidRPr="0064087E">
        <w:rPr>
          <w:rFonts w:ascii="Arial" w:hAnsi="Arial" w:cs="Arial"/>
        </w:rPr>
        <w:t>Województwo podkarpackie znajduje się na drugim miejscu w kraju na liście produktów tradycyjnych, prowadzonej przez Ministerstwo Rolnictwa i Rozwoju Wsi. Producenci żywności z regionu według stanu na 1 września 2023 r. zarejestrowali 253 produkt</w:t>
      </w:r>
      <w:r w:rsidR="002718E3" w:rsidRPr="0064087E">
        <w:rPr>
          <w:rFonts w:ascii="Arial" w:hAnsi="Arial" w:cs="Arial"/>
        </w:rPr>
        <w:t>y</w:t>
      </w:r>
      <w:r w:rsidRPr="0064087E">
        <w:rPr>
          <w:rFonts w:ascii="Arial" w:hAnsi="Arial" w:cs="Arial"/>
        </w:rPr>
        <w:t xml:space="preserve"> </w:t>
      </w:r>
      <w:r w:rsidR="0096664E">
        <w:rPr>
          <w:rFonts w:ascii="Arial" w:hAnsi="Arial" w:cs="Arial"/>
        </w:rPr>
        <w:br/>
      </w:r>
      <w:r w:rsidRPr="0064087E">
        <w:rPr>
          <w:rFonts w:ascii="Arial" w:hAnsi="Arial" w:cs="Arial"/>
        </w:rPr>
        <w:t xml:space="preserve">(o 6 więcej niż w 2020 r.), tj. 12,1% wszystkich produktów tradycyjnych zarejestrowanych </w:t>
      </w:r>
      <w:r w:rsidR="0096664E">
        <w:rPr>
          <w:rFonts w:ascii="Arial" w:hAnsi="Arial" w:cs="Arial"/>
        </w:rPr>
        <w:br/>
      </w:r>
      <w:r w:rsidRPr="0064087E">
        <w:rPr>
          <w:rFonts w:ascii="Arial" w:hAnsi="Arial" w:cs="Arial"/>
        </w:rPr>
        <w:t xml:space="preserve">w kraju. Spośród produktów tradycyjnych w województwie podkarpackim największą grupę stanowiły produkty mięsne – 81 (32,0%), wyroby piekarnicze i cukiernicze – 51 (20,2%), gotowe dania i potrawy – 49 (19,4%), a także sery i produkty mleczne – 25 (9,9%). Ponadto wymienić można jeszcze produkty należące do grup: napoje – 18, warzywa i owoce – 14, oleje i tłuszcze – 4, miody – 6, produkty rybołówstwa – 3, a także 2 inne produkty (Galicyjski ocet jabłkowy oraz </w:t>
      </w:r>
      <w:proofErr w:type="spellStart"/>
      <w:r w:rsidRPr="0064087E">
        <w:rPr>
          <w:rFonts w:ascii="Arial" w:hAnsi="Arial" w:cs="Arial"/>
        </w:rPr>
        <w:t>Sonińskie</w:t>
      </w:r>
      <w:proofErr w:type="spellEnd"/>
      <w:r w:rsidRPr="0064087E">
        <w:rPr>
          <w:rFonts w:ascii="Arial" w:hAnsi="Arial" w:cs="Arial"/>
        </w:rPr>
        <w:t xml:space="preserve"> powidła z węgierek).</w:t>
      </w:r>
    </w:p>
    <w:p w:rsidR="00591DD4" w:rsidRPr="0064087E" w:rsidRDefault="00591DD4" w:rsidP="00C8075A">
      <w:pPr>
        <w:pStyle w:val="Legenda"/>
        <w:keepNext/>
        <w:spacing w:after="120" w:line="276" w:lineRule="auto"/>
        <w:rPr>
          <w:rFonts w:ascii="Arial" w:hAnsi="Arial" w:cs="Arial"/>
          <w:i w:val="0"/>
          <w:color w:val="auto"/>
          <w:sz w:val="22"/>
          <w:szCs w:val="22"/>
        </w:rPr>
      </w:pPr>
      <w:bookmarkStart w:id="74" w:name="_Toc161123008"/>
      <w:r w:rsidRPr="0064087E">
        <w:rPr>
          <w:rFonts w:ascii="Arial" w:hAnsi="Arial" w:cs="Arial"/>
          <w:b/>
          <w:i w:val="0"/>
          <w:color w:val="auto"/>
          <w:sz w:val="22"/>
          <w:szCs w:val="22"/>
        </w:rPr>
        <w:t xml:space="preserve">Rysunek </w:t>
      </w:r>
      <w:r w:rsidRPr="0064087E">
        <w:rPr>
          <w:rFonts w:ascii="Arial" w:hAnsi="Arial" w:cs="Arial"/>
          <w:b/>
          <w:i w:val="0"/>
          <w:color w:val="auto"/>
          <w:sz w:val="22"/>
          <w:szCs w:val="22"/>
        </w:rPr>
        <w:fldChar w:fldCharType="begin"/>
      </w:r>
      <w:r w:rsidRPr="0064087E">
        <w:rPr>
          <w:rFonts w:ascii="Arial" w:hAnsi="Arial" w:cs="Arial"/>
          <w:b/>
          <w:i w:val="0"/>
          <w:color w:val="auto"/>
          <w:sz w:val="22"/>
          <w:szCs w:val="22"/>
        </w:rPr>
        <w:instrText xml:space="preserve"> SEQ Rysunek \* ARABIC </w:instrText>
      </w:r>
      <w:r w:rsidRPr="0064087E">
        <w:rPr>
          <w:rFonts w:ascii="Arial" w:hAnsi="Arial" w:cs="Arial"/>
          <w:b/>
          <w:i w:val="0"/>
          <w:color w:val="auto"/>
          <w:sz w:val="22"/>
          <w:szCs w:val="22"/>
        </w:rPr>
        <w:fldChar w:fldCharType="separate"/>
      </w:r>
      <w:r w:rsidR="00884DAD">
        <w:rPr>
          <w:rFonts w:ascii="Arial" w:hAnsi="Arial" w:cs="Arial"/>
          <w:b/>
          <w:i w:val="0"/>
          <w:noProof/>
          <w:color w:val="auto"/>
          <w:sz w:val="22"/>
          <w:szCs w:val="22"/>
        </w:rPr>
        <w:t>8</w:t>
      </w:r>
      <w:r w:rsidRPr="0064087E">
        <w:rPr>
          <w:rFonts w:ascii="Arial" w:hAnsi="Arial" w:cs="Arial"/>
          <w:b/>
          <w:i w:val="0"/>
          <w:color w:val="auto"/>
          <w:sz w:val="22"/>
          <w:szCs w:val="22"/>
        </w:rPr>
        <w:fldChar w:fldCharType="end"/>
      </w:r>
      <w:r w:rsidR="00DA1871">
        <w:rPr>
          <w:rFonts w:ascii="Arial" w:hAnsi="Arial" w:cs="Arial"/>
          <w:b/>
          <w:i w:val="0"/>
          <w:color w:val="auto"/>
          <w:sz w:val="22"/>
          <w:szCs w:val="22"/>
        </w:rPr>
        <w:t>.</w:t>
      </w:r>
      <w:r w:rsidRPr="0064087E">
        <w:rPr>
          <w:rFonts w:ascii="Arial" w:hAnsi="Arial" w:cs="Arial"/>
          <w:i w:val="0"/>
          <w:color w:val="auto"/>
          <w:sz w:val="22"/>
          <w:szCs w:val="22"/>
        </w:rPr>
        <w:t xml:space="preserve"> Produkty tradycyjne – stan na 1 września 2023 r.</w:t>
      </w:r>
      <w:bookmarkEnd w:id="74"/>
    </w:p>
    <w:p w:rsidR="0026503B" w:rsidRPr="0064087E" w:rsidRDefault="0026503B" w:rsidP="0026503B">
      <w:pPr>
        <w:spacing w:after="120" w:line="276" w:lineRule="auto"/>
        <w:jc w:val="center"/>
        <w:rPr>
          <w:rFonts w:ascii="Arial" w:hAnsi="Arial" w:cs="Arial"/>
        </w:rPr>
      </w:pPr>
      <w:r w:rsidRPr="0064087E">
        <w:rPr>
          <w:noProof/>
          <w:lang w:eastAsia="pl-PL"/>
        </w:rPr>
        <w:drawing>
          <wp:inline distT="0" distB="0" distL="0" distR="0" wp14:anchorId="2A615DAB" wp14:editId="4513A231">
            <wp:extent cx="3811330" cy="3543300"/>
            <wp:effectExtent l="0" t="0" r="0" b="0"/>
            <wp:docPr id="280314058" name="Obraz 280314058" descr="Mapa polski przedstawiająca poszczególne województwa: zachodnio-pomorskie 57, pomorskie 186, warmińsko-mazurskie 48, podlaskie 86, lubuskie 84, wielkopolskie 97, kujawsko-pomorskie 101, łódzkie 154, mazowieckie 167, lubelskie 259, dolnośląskie 52, opolskie 78, śląskie 78, małopolskie 232, świętokrzyskie 68, podkarpacki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rodukty tradycyjne_2023.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817074" cy="3548640"/>
                    </a:xfrm>
                    <a:prstGeom prst="rect">
                      <a:avLst/>
                    </a:prstGeom>
                  </pic:spPr>
                </pic:pic>
              </a:graphicData>
            </a:graphic>
          </wp:inline>
        </w:drawing>
      </w:r>
    </w:p>
    <w:p w:rsidR="0026503B" w:rsidRPr="0064087E" w:rsidRDefault="0026503B" w:rsidP="0096664E">
      <w:pPr>
        <w:spacing w:after="120" w:line="276" w:lineRule="auto"/>
        <w:rPr>
          <w:rFonts w:ascii="Arial" w:hAnsi="Arial" w:cs="Arial"/>
        </w:rPr>
      </w:pPr>
      <w:r w:rsidRPr="0064087E">
        <w:rPr>
          <w:rFonts w:ascii="Arial" w:hAnsi="Arial" w:cs="Arial"/>
        </w:rPr>
        <w:t xml:space="preserve">Źródło: Opracowanie własne na podstawie </w:t>
      </w:r>
      <w:hyperlink r:id="rId62" w:tooltip="Przenosi na stronę Ministerstwa" w:history="1">
        <w:r w:rsidRPr="0064087E">
          <w:rPr>
            <w:rStyle w:val="Hipercze"/>
            <w:rFonts w:ascii="Arial" w:hAnsi="Arial" w:cs="Arial"/>
            <w:color w:val="auto"/>
          </w:rPr>
          <w:t>https://www.gov.pl/web/rolnictwo/produkty-regionalne-i-tradycyjne</w:t>
        </w:r>
      </w:hyperlink>
      <w:r w:rsidRPr="0064087E">
        <w:rPr>
          <w:rStyle w:val="Hipercze"/>
          <w:rFonts w:ascii="Arial" w:hAnsi="Arial" w:cs="Arial"/>
          <w:color w:val="auto"/>
        </w:rPr>
        <w:t>.</w:t>
      </w:r>
    </w:p>
    <w:p w:rsidR="0026503B" w:rsidRPr="0064087E" w:rsidRDefault="0026503B" w:rsidP="0096664E">
      <w:pPr>
        <w:spacing w:after="120" w:line="276" w:lineRule="auto"/>
        <w:rPr>
          <w:rFonts w:ascii="Arial" w:hAnsi="Arial" w:cs="Arial"/>
          <w:b/>
        </w:rPr>
      </w:pPr>
      <w:r w:rsidRPr="0064087E">
        <w:rPr>
          <w:rFonts w:ascii="Arial" w:hAnsi="Arial" w:cs="Arial"/>
          <w:b/>
        </w:rPr>
        <w:t>Jakość środowiska naturalnego</w:t>
      </w:r>
    </w:p>
    <w:p w:rsidR="0026503B" w:rsidRPr="0064087E" w:rsidRDefault="0026503B" w:rsidP="0096664E">
      <w:pPr>
        <w:spacing w:after="120" w:line="276" w:lineRule="auto"/>
        <w:rPr>
          <w:rFonts w:ascii="Arial" w:hAnsi="Arial" w:cs="Arial"/>
        </w:rPr>
      </w:pPr>
      <w:r w:rsidRPr="0064087E">
        <w:rPr>
          <w:rFonts w:ascii="Arial" w:hAnsi="Arial" w:cs="Arial"/>
        </w:rPr>
        <w:t>Region należy do najczystszych ekologicznie regionów Polski. Cechą charakterystyczną województwa podkarpackiego są rozległe kompleksy leśne i znaczna powierzchnia obszarów przyrodniczych prawnie chronionych. W 2021 r. lasy zajmowały powierzchnię 682,7 tys. ha (o 139 ha więcej niż w 2017 r.), a wskaźnik lesistości był wyraźnie wyższy od krajowego i w województwie podkarpackim wyniósł 38,3% (w 2017 r. również 38,3%), podczas gdy przeciętnie w kraju 29,6% (29,6% w 2017 r.). Województwo podkarpackie, podobnie jak w 2017 r., zajmowało 2. miejsce w kraju za województwem lubuskim – 49,3%).</w:t>
      </w:r>
    </w:p>
    <w:p w:rsidR="0026503B" w:rsidRPr="0064087E" w:rsidRDefault="0026503B" w:rsidP="0096664E">
      <w:pPr>
        <w:spacing w:after="120" w:line="276" w:lineRule="auto"/>
        <w:rPr>
          <w:rFonts w:ascii="Arial" w:hAnsi="Arial" w:cs="Arial"/>
        </w:rPr>
      </w:pPr>
      <w:r w:rsidRPr="0064087E">
        <w:rPr>
          <w:rFonts w:ascii="Arial" w:hAnsi="Arial" w:cs="Arial"/>
        </w:rPr>
        <w:t xml:space="preserve">Powierzchnia obszarów o szczególnych walorach przyrodniczych prawnie chronionych pozostała na tym samym poziomie co w 2017 r. Zarówno w 2017 r. jak i 2021 r. obszary te </w:t>
      </w:r>
      <w:r w:rsidRPr="0064087E">
        <w:rPr>
          <w:rFonts w:ascii="Arial" w:hAnsi="Arial" w:cs="Arial"/>
        </w:rPr>
        <w:lastRenderedPageBreak/>
        <w:t>zajmowały 801,2 tys. ha, co stanowiło 44,9% powierzchni województwa (4. miejsce w kraju). Na 1 mieszkańca przypadało 3841 m</w:t>
      </w:r>
      <w:r w:rsidRPr="0064087E">
        <w:rPr>
          <w:rFonts w:ascii="Arial" w:hAnsi="Arial" w:cs="Arial"/>
          <w:vertAlign w:val="superscript"/>
        </w:rPr>
        <w:t>2</w:t>
      </w:r>
      <w:r w:rsidRPr="0064087E">
        <w:rPr>
          <w:rFonts w:ascii="Arial" w:hAnsi="Arial" w:cs="Arial"/>
        </w:rPr>
        <w:t xml:space="preserve"> powierzchni obszarów prawnie chronionych (w kraju – 2667 m</w:t>
      </w:r>
      <w:r w:rsidRPr="0064087E">
        <w:rPr>
          <w:rFonts w:ascii="Arial" w:hAnsi="Arial" w:cs="Arial"/>
          <w:vertAlign w:val="superscript"/>
        </w:rPr>
        <w:t>2</w:t>
      </w:r>
      <w:r w:rsidRPr="0064087E">
        <w:rPr>
          <w:rFonts w:ascii="Arial" w:hAnsi="Arial" w:cs="Arial"/>
        </w:rPr>
        <w:t>), co uplasowało województwo na 5. miejscu w kraju.</w:t>
      </w:r>
    </w:p>
    <w:p w:rsidR="00591DD4" w:rsidRPr="0064087E" w:rsidRDefault="00591DD4" w:rsidP="0096664E">
      <w:pPr>
        <w:pStyle w:val="Legenda"/>
        <w:keepNext/>
        <w:rPr>
          <w:rFonts w:ascii="Arial" w:hAnsi="Arial" w:cs="Arial"/>
          <w:i w:val="0"/>
          <w:color w:val="auto"/>
          <w:sz w:val="22"/>
          <w:szCs w:val="22"/>
        </w:rPr>
      </w:pPr>
      <w:bookmarkStart w:id="75" w:name="_Toc161123009"/>
      <w:r w:rsidRPr="0064087E">
        <w:rPr>
          <w:rFonts w:ascii="Arial" w:hAnsi="Arial" w:cs="Arial"/>
          <w:b/>
          <w:i w:val="0"/>
          <w:color w:val="auto"/>
          <w:sz w:val="22"/>
          <w:szCs w:val="22"/>
        </w:rPr>
        <w:t xml:space="preserve">Rysunek </w:t>
      </w:r>
      <w:r w:rsidRPr="0064087E">
        <w:rPr>
          <w:rFonts w:ascii="Arial" w:hAnsi="Arial" w:cs="Arial"/>
          <w:b/>
          <w:i w:val="0"/>
          <w:color w:val="auto"/>
          <w:sz w:val="22"/>
          <w:szCs w:val="22"/>
        </w:rPr>
        <w:fldChar w:fldCharType="begin"/>
      </w:r>
      <w:r w:rsidRPr="0064087E">
        <w:rPr>
          <w:rFonts w:ascii="Arial" w:hAnsi="Arial" w:cs="Arial"/>
          <w:b/>
          <w:i w:val="0"/>
          <w:color w:val="auto"/>
          <w:sz w:val="22"/>
          <w:szCs w:val="22"/>
        </w:rPr>
        <w:instrText xml:space="preserve"> SEQ Rysunek \* ARABIC </w:instrText>
      </w:r>
      <w:r w:rsidRPr="0064087E">
        <w:rPr>
          <w:rFonts w:ascii="Arial" w:hAnsi="Arial" w:cs="Arial"/>
          <w:b/>
          <w:i w:val="0"/>
          <w:color w:val="auto"/>
          <w:sz w:val="22"/>
          <w:szCs w:val="22"/>
        </w:rPr>
        <w:fldChar w:fldCharType="separate"/>
      </w:r>
      <w:r w:rsidR="00884DAD">
        <w:rPr>
          <w:rFonts w:ascii="Arial" w:hAnsi="Arial" w:cs="Arial"/>
          <w:b/>
          <w:i w:val="0"/>
          <w:noProof/>
          <w:color w:val="auto"/>
          <w:sz w:val="22"/>
          <w:szCs w:val="22"/>
        </w:rPr>
        <w:t>9</w:t>
      </w:r>
      <w:r w:rsidRPr="0064087E">
        <w:rPr>
          <w:rFonts w:ascii="Arial" w:hAnsi="Arial" w:cs="Arial"/>
          <w:b/>
          <w:i w:val="0"/>
          <w:color w:val="auto"/>
          <w:sz w:val="22"/>
          <w:szCs w:val="22"/>
        </w:rPr>
        <w:fldChar w:fldCharType="end"/>
      </w:r>
      <w:r w:rsidR="00DA1871">
        <w:rPr>
          <w:rFonts w:ascii="Arial" w:hAnsi="Arial" w:cs="Arial"/>
          <w:b/>
          <w:i w:val="0"/>
          <w:color w:val="auto"/>
          <w:sz w:val="22"/>
          <w:szCs w:val="22"/>
        </w:rPr>
        <w:t>.</w:t>
      </w:r>
      <w:r w:rsidRPr="0064087E">
        <w:rPr>
          <w:rFonts w:ascii="Arial" w:hAnsi="Arial" w:cs="Arial"/>
          <w:i w:val="0"/>
          <w:color w:val="auto"/>
          <w:sz w:val="22"/>
          <w:szCs w:val="22"/>
        </w:rPr>
        <w:t xml:space="preserve"> Lesistość w 2021 r.</w:t>
      </w:r>
      <w:bookmarkEnd w:id="75"/>
    </w:p>
    <w:p w:rsidR="0026503B" w:rsidRPr="0064087E" w:rsidRDefault="0026503B" w:rsidP="0026503B">
      <w:pPr>
        <w:spacing w:after="120" w:line="276" w:lineRule="auto"/>
        <w:jc w:val="center"/>
        <w:rPr>
          <w:rFonts w:ascii="Arial" w:hAnsi="Arial" w:cs="Arial"/>
        </w:rPr>
      </w:pPr>
      <w:r w:rsidRPr="0064087E">
        <w:rPr>
          <w:rFonts w:ascii="Arial" w:hAnsi="Arial" w:cs="Arial"/>
          <w:noProof/>
          <w:lang w:eastAsia="pl-PL"/>
        </w:rPr>
        <w:drawing>
          <wp:inline distT="0" distB="0" distL="0" distR="0" wp14:anchorId="386512BD" wp14:editId="188CB84D">
            <wp:extent cx="5229225" cy="4683361"/>
            <wp:effectExtent l="0" t="0" r="0" b="3175"/>
            <wp:docPr id="507013134" name="Obraz 507013134" descr="Mapa polski przedstawiająca poszczególne województwa: zachodnio-pomorskie 35,1 – 40,0, pomorskie 35,1 – 40,0, warmińsko-mazurskie 30,1 – 35,0, podlaskie 30,1 – 35,0, lubuskie powyżej 40,0, wielkopolskie 25,0 – 30,0, kujawsko-pomorskie poniżej 25,0, łódzkie poniżej 25,0, mazowieckie poniżej 25,0, lubelskie poniżej 25,0, dolnośląskie 25,0 – 30,0, opolskie 25,0 – 30,0, śląskie 30,1 – 35,0, małopolskie 25,0 – 30,0, świętokrzyskie 25,0 – 30,0, podkarpackie 35,1 – 4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esisość_202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254523" cy="4706018"/>
                    </a:xfrm>
                    <a:prstGeom prst="rect">
                      <a:avLst/>
                    </a:prstGeom>
                  </pic:spPr>
                </pic:pic>
              </a:graphicData>
            </a:graphic>
          </wp:inline>
        </w:drawing>
      </w:r>
    </w:p>
    <w:p w:rsidR="0026503B" w:rsidRPr="0064087E" w:rsidRDefault="0026503B" w:rsidP="0026503B">
      <w:pPr>
        <w:spacing w:after="120" w:line="276" w:lineRule="auto"/>
        <w:jc w:val="center"/>
        <w:rPr>
          <w:rFonts w:ascii="Arial" w:hAnsi="Arial" w:cs="Arial"/>
        </w:rPr>
      </w:pPr>
      <w:r w:rsidRPr="0064087E">
        <w:rPr>
          <w:rFonts w:ascii="Arial" w:hAnsi="Arial" w:cs="Arial"/>
        </w:rPr>
        <w:t>Źródło: Opracowanie własne na podstawie danych GUS.</w:t>
      </w:r>
    </w:p>
    <w:p w:rsidR="0026503B" w:rsidRPr="0064087E" w:rsidRDefault="0026503B" w:rsidP="0096664E">
      <w:pPr>
        <w:spacing w:after="120" w:line="276" w:lineRule="auto"/>
        <w:rPr>
          <w:rFonts w:ascii="Arial" w:hAnsi="Arial" w:cs="Arial"/>
        </w:rPr>
      </w:pPr>
      <w:r w:rsidRPr="0064087E">
        <w:rPr>
          <w:rFonts w:ascii="Arial" w:hAnsi="Arial" w:cs="Arial"/>
        </w:rPr>
        <w:t xml:space="preserve">Obszary prawnie chronione to m.in.: Bieszczadzki Park Narodowy (o powierzchni </w:t>
      </w:r>
      <w:r w:rsidRPr="0064087E">
        <w:rPr>
          <w:rFonts w:ascii="Arial" w:hAnsi="Arial" w:cs="Arial"/>
        </w:rPr>
        <w:br/>
        <w:t xml:space="preserve">29,2 tys. ha), Magurski Park Narodowy (o powierzchni w granicach województwa 17,5 tys. ha), 7 parków krajobrazowych (o powierzchni 275,6 tys. ha), 13 obszarów chronionego krajobrazu </w:t>
      </w:r>
      <w:r w:rsidRPr="0064087E">
        <w:rPr>
          <w:rFonts w:ascii="Arial" w:hAnsi="Arial" w:cs="Arial"/>
        </w:rPr>
        <w:br/>
        <w:t xml:space="preserve">(o powierzchni 465,3 tys. ha). W 1992 r. utworzono Międzynarodowy Rezerwat Biosfery „Karpaty Wschodnie”, do którego w polskiej części (108724 ha) wchodzi Bieszczadzki Park Narodowy, Park Krajobrazowy Doliny Sanu i </w:t>
      </w:r>
      <w:proofErr w:type="spellStart"/>
      <w:r w:rsidRPr="0064087E">
        <w:rPr>
          <w:rFonts w:ascii="Arial" w:hAnsi="Arial" w:cs="Arial"/>
        </w:rPr>
        <w:t>Ciśniańsko-Wetliński</w:t>
      </w:r>
      <w:proofErr w:type="spellEnd"/>
      <w:r w:rsidRPr="0064087E">
        <w:rPr>
          <w:rFonts w:ascii="Arial" w:hAnsi="Arial" w:cs="Arial"/>
        </w:rPr>
        <w:t xml:space="preserve"> Park Krajobrazowy.</w:t>
      </w:r>
    </w:p>
    <w:p w:rsidR="0026503B" w:rsidRPr="0064087E" w:rsidRDefault="0026503B" w:rsidP="0096664E">
      <w:pPr>
        <w:spacing w:after="120" w:line="276" w:lineRule="auto"/>
        <w:rPr>
          <w:rFonts w:ascii="Arial" w:hAnsi="Arial" w:cs="Arial"/>
        </w:rPr>
      </w:pPr>
      <w:r w:rsidRPr="0064087E">
        <w:rPr>
          <w:rFonts w:ascii="Arial" w:hAnsi="Arial" w:cs="Arial"/>
        </w:rPr>
        <w:t>Na terenie województwa znajdowało się także 97 rezerwatów przyrody charakteryzujących się dużą różnorodnością biologiczną. W 2021 r. zajmowały one łącznie 11,3 tys. ha (w tym lasy – 86,1%), co stanowiło 0,6% powierzchni województwa. Średnia powierzchnia rezerwatu przyrody wynosiła 116,7 ha (w kraju – 113,5 ha). W 2021 r. występował</w:t>
      </w:r>
      <w:r w:rsidR="008B4452" w:rsidRPr="0064087E">
        <w:rPr>
          <w:rFonts w:ascii="Arial" w:hAnsi="Arial" w:cs="Arial"/>
        </w:rPr>
        <w:t>y</w:t>
      </w:r>
      <w:r w:rsidRPr="0064087E">
        <w:rPr>
          <w:rFonts w:ascii="Arial" w:hAnsi="Arial" w:cs="Arial"/>
        </w:rPr>
        <w:t xml:space="preserve"> 42 </w:t>
      </w:r>
      <w:r w:rsidR="008B4452" w:rsidRPr="0064087E">
        <w:rPr>
          <w:rFonts w:ascii="Arial" w:hAnsi="Arial" w:cs="Arial"/>
        </w:rPr>
        <w:t>rezerwaty leśne</w:t>
      </w:r>
      <w:r w:rsidRPr="0064087E">
        <w:rPr>
          <w:rFonts w:ascii="Arial" w:hAnsi="Arial" w:cs="Arial"/>
        </w:rPr>
        <w:t xml:space="preserve">, 24 </w:t>
      </w:r>
      <w:r w:rsidR="008B4452" w:rsidRPr="0064087E">
        <w:rPr>
          <w:rFonts w:ascii="Arial" w:hAnsi="Arial" w:cs="Arial"/>
        </w:rPr>
        <w:t>florystyczne</w:t>
      </w:r>
      <w:r w:rsidRPr="0064087E">
        <w:rPr>
          <w:rFonts w:ascii="Arial" w:hAnsi="Arial" w:cs="Arial"/>
        </w:rPr>
        <w:t xml:space="preserve">, 11 </w:t>
      </w:r>
      <w:r w:rsidR="008B4452" w:rsidRPr="0064087E">
        <w:rPr>
          <w:rFonts w:ascii="Arial" w:hAnsi="Arial" w:cs="Arial"/>
        </w:rPr>
        <w:t>krajobrazowe</w:t>
      </w:r>
      <w:r w:rsidRPr="0064087E">
        <w:rPr>
          <w:rFonts w:ascii="Arial" w:hAnsi="Arial" w:cs="Arial"/>
        </w:rPr>
        <w:t>, 8 przyrody nieożywionej, 7 torfowiskowych, 4 faunistyczne oraz 1 wodny.</w:t>
      </w:r>
    </w:p>
    <w:p w:rsidR="0026503B" w:rsidRPr="0064087E" w:rsidRDefault="0026503B" w:rsidP="0096664E">
      <w:pPr>
        <w:spacing w:after="120" w:line="276" w:lineRule="auto"/>
        <w:rPr>
          <w:rFonts w:ascii="Arial" w:hAnsi="Arial" w:cs="Arial"/>
        </w:rPr>
      </w:pPr>
      <w:r w:rsidRPr="0064087E">
        <w:rPr>
          <w:rFonts w:ascii="Arial" w:hAnsi="Arial" w:cs="Arial"/>
        </w:rPr>
        <w:t xml:space="preserve">Pozostałe osobliwości przyrodnicze chronione były w innych formach. Na terenie województwa zarejestrowanych było także 2105 pomników przyrody, w których dominowały </w:t>
      </w:r>
      <w:r w:rsidRPr="0064087E">
        <w:rPr>
          <w:rFonts w:ascii="Arial" w:hAnsi="Arial" w:cs="Arial"/>
        </w:rPr>
        <w:lastRenderedPageBreak/>
        <w:t xml:space="preserve">obiekty chroniące przyrodę żywą (pojedyncze drzewa – 83,4%), a także 488 użytków ekologicznych o łącznej powierzchni 2,2 tys. ha. Ponadto na terenie województwa znajduje się 28 stanowisk dokumentacyjnych oraz 10 zespołów przyrodniczo-krajobrazowych, które </w:t>
      </w:r>
      <w:r w:rsidR="0096664E">
        <w:rPr>
          <w:rFonts w:ascii="Arial" w:hAnsi="Arial" w:cs="Arial"/>
        </w:rPr>
        <w:br/>
      </w:r>
      <w:r w:rsidRPr="0064087E">
        <w:rPr>
          <w:rFonts w:ascii="Arial" w:hAnsi="Arial" w:cs="Arial"/>
        </w:rPr>
        <w:t>w 2021 r. zajmowały łącznie 350,9 ha.</w:t>
      </w:r>
    </w:p>
    <w:p w:rsidR="0026503B" w:rsidRPr="0064087E" w:rsidRDefault="0026503B" w:rsidP="0096664E">
      <w:pPr>
        <w:spacing w:after="120" w:line="276" w:lineRule="auto"/>
        <w:rPr>
          <w:rFonts w:ascii="Arial" w:hAnsi="Arial" w:cs="Arial"/>
        </w:rPr>
      </w:pPr>
      <w:r w:rsidRPr="0064087E">
        <w:rPr>
          <w:rFonts w:ascii="Arial" w:hAnsi="Arial" w:cs="Arial"/>
        </w:rPr>
        <w:t xml:space="preserve">Różnorodność biologiczna na obszarze województwa podkarpackiego włączona jest </w:t>
      </w:r>
      <w:r w:rsidRPr="0064087E">
        <w:rPr>
          <w:rFonts w:ascii="Arial" w:hAnsi="Arial" w:cs="Arial"/>
        </w:rPr>
        <w:br/>
        <w:t>w ochronę europejskiej sieci ekologicznej Natura 2000. Według danych Generalnej Dyrekcji Ochrony Środowiska zakres terenów objętych programem specjalnej ochrony ptaków wynosił w 2022 r. 508,0 tys. ha, czyli 28,5% powierzchni województwa (3. miejsce w kraju). Specjalne obszary ochrony siedlisk w województwie podkarpackim zajmują 351,5 tys. ha, co stanowi 19,7% ogólnej powierzchni województwa, a większy zakres ochrony pod tym względem jest jedynie w województwie podlaskim (26,9%).</w:t>
      </w:r>
    </w:p>
    <w:p w:rsidR="0026503B" w:rsidRPr="0064087E" w:rsidRDefault="0026503B" w:rsidP="0096664E">
      <w:pPr>
        <w:spacing w:after="120" w:line="276" w:lineRule="auto"/>
        <w:rPr>
          <w:rFonts w:ascii="Arial" w:hAnsi="Arial" w:cs="Arial"/>
        </w:rPr>
      </w:pPr>
      <w:r w:rsidRPr="0064087E">
        <w:rPr>
          <w:rFonts w:ascii="Arial" w:hAnsi="Arial" w:cs="Arial"/>
        </w:rPr>
        <w:t>Ochronie środowiska przyrodniczego i jego składników, w tym różnorodności biologicznej (oprócz form ochrony przyrody) służą tereny zieleni. Mają one pozytywny wpływ na warunki ekologiczne i pełnią funkcję estetyczną. Ich celem jest ponadto kształtowanie zdrowego otoczenia oraz poprawa warunków bytowych ludności. W 2021 r. łączna powierzchnia ogólnodostępnych parków i zieleńców oraz terenów zieleni osiedlowej miejskiej i wiejskiej wyniosła 3427,7 ha, i była większa o 4,0 ha niż przed rokiem, i o 34,3 ha większa niż w 2019 r. tj. o 1.0%.</w:t>
      </w:r>
    </w:p>
    <w:p w:rsidR="0026503B" w:rsidRPr="0064087E" w:rsidRDefault="0026503B" w:rsidP="0096664E">
      <w:pPr>
        <w:spacing w:after="120" w:line="276" w:lineRule="auto"/>
        <w:rPr>
          <w:rFonts w:ascii="Arial" w:hAnsi="Arial" w:cs="Arial"/>
          <w:b/>
        </w:rPr>
      </w:pPr>
      <w:r w:rsidRPr="0064087E">
        <w:rPr>
          <w:rFonts w:ascii="Arial" w:hAnsi="Arial" w:cs="Arial"/>
          <w:b/>
        </w:rPr>
        <w:t>Jakość oferty kulturalnej</w:t>
      </w:r>
    </w:p>
    <w:p w:rsidR="004D324B" w:rsidRDefault="0026503B" w:rsidP="0096664E">
      <w:pPr>
        <w:spacing w:after="120" w:line="276" w:lineRule="auto"/>
        <w:rPr>
          <w:rFonts w:ascii="Arial" w:hAnsi="Arial" w:cs="Arial"/>
        </w:rPr>
      </w:pPr>
      <w:r w:rsidRPr="0064087E">
        <w:rPr>
          <w:rFonts w:ascii="Arial" w:hAnsi="Arial" w:cs="Arial"/>
        </w:rPr>
        <w:t xml:space="preserve">W 2021 r. na terenie województwa działało 60 muzeów i oddziałów muzealnych (7. lokata </w:t>
      </w:r>
      <w:r w:rsidRPr="0064087E">
        <w:rPr>
          <w:rFonts w:ascii="Arial" w:hAnsi="Arial" w:cs="Arial"/>
        </w:rPr>
        <w:br/>
        <w:t xml:space="preserve">w kraju). W porównaniu z 2017 r. jak i 2019 r. przybyły 3 placówki. Wśród muzeów </w:t>
      </w:r>
      <w:r w:rsidR="0096664E">
        <w:rPr>
          <w:rFonts w:ascii="Arial" w:hAnsi="Arial" w:cs="Arial"/>
        </w:rPr>
        <w:br/>
      </w:r>
      <w:r w:rsidRPr="0064087E">
        <w:rPr>
          <w:rFonts w:ascii="Arial" w:hAnsi="Arial" w:cs="Arial"/>
        </w:rPr>
        <w:t xml:space="preserve">i oddziałów muzealnych najliczniejszą grupę stanowiły muzea: historyczne – 25 placówek, etnograficzne i antropologiczne – 8 placówek, interdyscyplinarne i sztuki – po 6 placówek. </w:t>
      </w:r>
      <w:r w:rsidR="0096664E">
        <w:rPr>
          <w:rFonts w:ascii="Arial" w:hAnsi="Arial" w:cs="Arial"/>
        </w:rPr>
        <w:br/>
      </w:r>
      <w:r w:rsidRPr="00D62638">
        <w:rPr>
          <w:rFonts w:ascii="Arial" w:hAnsi="Arial" w:cs="Arial"/>
        </w:rPr>
        <w:t xml:space="preserve">W 2022 r. na terenie województwa podkarpackiego działalność wystawienniczą prowadziło 60 muzeów, w tym 12 oddziałów muzealnych. Wśród ogółu muzeów i oddziałów muzealnych najliczniejszą grupę stanowiły muzea historyczne – 35 placówek, a następnie etnograficzne </w:t>
      </w:r>
      <w:r w:rsidR="00D725A8" w:rsidRPr="00D62638">
        <w:rPr>
          <w:rFonts w:ascii="Arial" w:hAnsi="Arial" w:cs="Arial"/>
        </w:rPr>
        <w:br/>
      </w:r>
      <w:r w:rsidRPr="00D62638">
        <w:rPr>
          <w:rFonts w:ascii="Arial" w:hAnsi="Arial" w:cs="Arial"/>
        </w:rPr>
        <w:t>i antropologiczne – 7, interdyscyplinarne – 6 i sztuki – 5</w:t>
      </w:r>
      <w:r w:rsidRPr="0064087E">
        <w:rPr>
          <w:rFonts w:ascii="Arial" w:hAnsi="Arial" w:cs="Arial"/>
        </w:rPr>
        <w:t xml:space="preserve">. Do muzeów posiadających zbiory </w:t>
      </w:r>
      <w:r w:rsidR="00D725A8" w:rsidRPr="0064087E">
        <w:rPr>
          <w:rFonts w:ascii="Arial" w:hAnsi="Arial" w:cs="Arial"/>
        </w:rPr>
        <w:br/>
      </w:r>
      <w:r w:rsidRPr="0064087E">
        <w:rPr>
          <w:rFonts w:ascii="Arial" w:hAnsi="Arial" w:cs="Arial"/>
        </w:rPr>
        <w:t xml:space="preserve">o znacznej atrakcyjności turystycznej można zaliczyć m.in. Muzeum – Zamek w Łańcucie, Muzeum Marii Konopnickiej w Żarnowcu, Muzeum Lalek w Pilźnie, Muzeum Historyczne </w:t>
      </w:r>
      <w:r w:rsidR="00D725A8" w:rsidRPr="0064087E">
        <w:rPr>
          <w:rFonts w:ascii="Arial" w:hAnsi="Arial" w:cs="Arial"/>
        </w:rPr>
        <w:br/>
      </w:r>
      <w:r w:rsidRPr="0064087E">
        <w:rPr>
          <w:rFonts w:ascii="Arial" w:hAnsi="Arial" w:cs="Arial"/>
        </w:rPr>
        <w:t xml:space="preserve">w Sanoku oraz Muzeum Podkarpackie w Krośnie, gdzie znajduje się najliczniejsza </w:t>
      </w:r>
      <w:r w:rsidR="00D725A8" w:rsidRPr="0064087E">
        <w:rPr>
          <w:rFonts w:ascii="Arial" w:hAnsi="Arial" w:cs="Arial"/>
        </w:rPr>
        <w:br/>
      </w:r>
      <w:r w:rsidRPr="0064087E">
        <w:rPr>
          <w:rFonts w:ascii="Arial" w:hAnsi="Arial" w:cs="Arial"/>
        </w:rPr>
        <w:t xml:space="preserve">i najefektowniejsza kolekcja lamp naftowych w Europie. Kulturę materialną, zwyczaje </w:t>
      </w:r>
      <w:r w:rsidR="0096664E">
        <w:rPr>
          <w:rFonts w:ascii="Arial" w:hAnsi="Arial" w:cs="Arial"/>
        </w:rPr>
        <w:br/>
      </w:r>
      <w:r w:rsidRPr="0064087E">
        <w:rPr>
          <w:rFonts w:ascii="Arial" w:hAnsi="Arial" w:cs="Arial"/>
        </w:rPr>
        <w:t xml:space="preserve">i obrzędy wielu grup etnicznych i etnograficznych zamieszkujących w przeszłości na obszarze województwa, m.in. Łemków, Bojków, </w:t>
      </w:r>
      <w:proofErr w:type="spellStart"/>
      <w:r w:rsidRPr="0064087E">
        <w:rPr>
          <w:rFonts w:ascii="Arial" w:hAnsi="Arial" w:cs="Arial"/>
        </w:rPr>
        <w:t>Dolinian</w:t>
      </w:r>
      <w:proofErr w:type="spellEnd"/>
      <w:r w:rsidRPr="0064087E">
        <w:rPr>
          <w:rFonts w:ascii="Arial" w:hAnsi="Arial" w:cs="Arial"/>
        </w:rPr>
        <w:t xml:space="preserve">, Rzeszowiaków, Lasowiaków, Pogórzan można dziś poznać, odwiedzając podkarpackie muzea etnograficzne i skanseny: Muzeum Budownictwa Ludowego – Skansen w Sanoku oraz Muzeum Kultury Ludowej – Park Etnograficzny w Kolbuszowej. W 2021 r. muzea i wystawy muzealne zwiedziło blisko 700 tys. osób (8. lokata), w tym odsetek młodzieży szkolnej wyniósł ok. 14,5%. </w:t>
      </w:r>
      <w:r w:rsidR="0096664E">
        <w:rPr>
          <w:rFonts w:ascii="Arial" w:hAnsi="Arial" w:cs="Arial"/>
        </w:rPr>
        <w:br/>
      </w:r>
      <w:r w:rsidRPr="0064087E">
        <w:rPr>
          <w:rFonts w:ascii="Arial" w:hAnsi="Arial" w:cs="Arial"/>
        </w:rPr>
        <w:t xml:space="preserve">W odniesieniu do 2017 r. liczba zwiedzających zmniejszyła się o 46,1% i o 32,1% </w:t>
      </w:r>
      <w:r w:rsidR="0096664E">
        <w:rPr>
          <w:rFonts w:ascii="Arial" w:hAnsi="Arial" w:cs="Arial"/>
        </w:rPr>
        <w:br/>
      </w:r>
      <w:r w:rsidRPr="0064087E">
        <w:rPr>
          <w:rFonts w:ascii="Arial" w:hAnsi="Arial" w:cs="Arial"/>
        </w:rPr>
        <w:t xml:space="preserve">w porównaniu z 2019 r. Liczba osób zwiedzających muzea i oddziały muzealne </w:t>
      </w:r>
      <w:r w:rsidR="0096664E">
        <w:rPr>
          <w:rFonts w:ascii="Arial" w:hAnsi="Arial" w:cs="Arial"/>
        </w:rPr>
        <w:br/>
      </w:r>
      <w:r w:rsidRPr="0064087E">
        <w:rPr>
          <w:rFonts w:ascii="Arial" w:hAnsi="Arial" w:cs="Arial"/>
        </w:rPr>
        <w:t xml:space="preserve">w przeliczeniu na 10 tys. mieszkańców wyniosła w 2021 r. 3342 osoby – 8. lokata w kraju, </w:t>
      </w:r>
      <w:r w:rsidR="0096664E">
        <w:rPr>
          <w:rFonts w:ascii="Arial" w:hAnsi="Arial" w:cs="Arial"/>
        </w:rPr>
        <w:br/>
      </w:r>
      <w:r w:rsidRPr="00D62638">
        <w:rPr>
          <w:rFonts w:ascii="Arial" w:hAnsi="Arial" w:cs="Arial"/>
        </w:rPr>
        <w:t>w 2022 r. 4292 osoby</w:t>
      </w:r>
      <w:r w:rsidR="00677FA8" w:rsidRPr="00D62638">
        <w:rPr>
          <w:rFonts w:ascii="Arial" w:hAnsi="Arial" w:cs="Arial"/>
        </w:rPr>
        <w:t xml:space="preserve"> </w:t>
      </w:r>
      <w:r w:rsidR="00677FA8" w:rsidRPr="0064087E">
        <w:rPr>
          <w:rFonts w:ascii="Arial" w:hAnsi="Arial" w:cs="Arial"/>
        </w:rPr>
        <w:t>–</w:t>
      </w:r>
      <w:r w:rsidR="00677FA8" w:rsidRPr="00D62638">
        <w:rPr>
          <w:rFonts w:ascii="Arial" w:hAnsi="Arial" w:cs="Arial"/>
        </w:rPr>
        <w:t xml:space="preserve"> </w:t>
      </w:r>
      <w:r w:rsidR="00677FA8" w:rsidRPr="0064087E">
        <w:rPr>
          <w:rFonts w:ascii="Arial" w:hAnsi="Arial" w:cs="Arial"/>
        </w:rPr>
        <w:t>również 8. lokata</w:t>
      </w:r>
      <w:r w:rsidR="00677FA8" w:rsidRPr="00D62638">
        <w:rPr>
          <w:rFonts w:ascii="Arial" w:hAnsi="Arial" w:cs="Arial"/>
        </w:rPr>
        <w:t xml:space="preserve"> </w:t>
      </w:r>
      <w:r w:rsidRPr="0064087E">
        <w:rPr>
          <w:rFonts w:ascii="Arial" w:hAnsi="Arial" w:cs="Arial"/>
        </w:rPr>
        <w:t>(w 2017 r. 6096 osób – 6. miejsce).</w:t>
      </w:r>
    </w:p>
    <w:p w:rsidR="004D324B" w:rsidRDefault="004D324B">
      <w:pPr>
        <w:widowControl/>
        <w:autoSpaceDE/>
        <w:autoSpaceDN/>
        <w:spacing w:after="160" w:line="259" w:lineRule="auto"/>
        <w:rPr>
          <w:rFonts w:ascii="Arial" w:hAnsi="Arial" w:cs="Arial"/>
        </w:rPr>
      </w:pPr>
      <w:r>
        <w:rPr>
          <w:rFonts w:ascii="Arial" w:hAnsi="Arial" w:cs="Arial"/>
        </w:rPr>
        <w:br w:type="page"/>
      </w:r>
    </w:p>
    <w:p w:rsidR="005922CE" w:rsidRPr="005922CE" w:rsidRDefault="005922CE" w:rsidP="0096664E">
      <w:pPr>
        <w:pStyle w:val="Legenda"/>
        <w:keepNext/>
        <w:spacing w:line="276" w:lineRule="auto"/>
        <w:rPr>
          <w:rFonts w:ascii="Arial" w:hAnsi="Arial" w:cs="Arial"/>
          <w:i w:val="0"/>
          <w:color w:val="auto"/>
          <w:sz w:val="22"/>
        </w:rPr>
      </w:pPr>
      <w:bookmarkStart w:id="76" w:name="_Toc160793550"/>
      <w:r w:rsidRPr="005922CE">
        <w:rPr>
          <w:rFonts w:ascii="Arial" w:hAnsi="Arial" w:cs="Arial"/>
          <w:b/>
          <w:i w:val="0"/>
          <w:color w:val="auto"/>
          <w:sz w:val="22"/>
        </w:rPr>
        <w:lastRenderedPageBreak/>
        <w:t xml:space="preserve">Wykres </w:t>
      </w:r>
      <w:r w:rsidRPr="005922CE">
        <w:rPr>
          <w:rFonts w:ascii="Arial" w:hAnsi="Arial" w:cs="Arial"/>
          <w:b/>
          <w:i w:val="0"/>
          <w:color w:val="auto"/>
          <w:sz w:val="22"/>
        </w:rPr>
        <w:fldChar w:fldCharType="begin"/>
      </w:r>
      <w:r w:rsidRPr="005922CE">
        <w:rPr>
          <w:rFonts w:ascii="Arial" w:hAnsi="Arial" w:cs="Arial"/>
          <w:b/>
          <w:i w:val="0"/>
          <w:color w:val="auto"/>
          <w:sz w:val="22"/>
        </w:rPr>
        <w:instrText xml:space="preserve"> SEQ Wykres \* ARABIC </w:instrText>
      </w:r>
      <w:r w:rsidRPr="005922CE">
        <w:rPr>
          <w:rFonts w:ascii="Arial" w:hAnsi="Arial" w:cs="Arial"/>
          <w:b/>
          <w:i w:val="0"/>
          <w:color w:val="auto"/>
          <w:sz w:val="22"/>
        </w:rPr>
        <w:fldChar w:fldCharType="separate"/>
      </w:r>
      <w:r w:rsidR="00884DAD">
        <w:rPr>
          <w:rFonts w:ascii="Arial" w:hAnsi="Arial" w:cs="Arial"/>
          <w:b/>
          <w:i w:val="0"/>
          <w:noProof/>
          <w:color w:val="auto"/>
          <w:sz w:val="22"/>
        </w:rPr>
        <w:t>44</w:t>
      </w:r>
      <w:r w:rsidRPr="005922CE">
        <w:rPr>
          <w:rFonts w:ascii="Arial" w:hAnsi="Arial" w:cs="Arial"/>
          <w:b/>
          <w:i w:val="0"/>
          <w:color w:val="auto"/>
          <w:sz w:val="22"/>
        </w:rPr>
        <w:fldChar w:fldCharType="end"/>
      </w:r>
      <w:r w:rsidR="00DA1871">
        <w:rPr>
          <w:rFonts w:ascii="Arial" w:hAnsi="Arial" w:cs="Arial"/>
          <w:b/>
          <w:i w:val="0"/>
          <w:color w:val="auto"/>
          <w:sz w:val="22"/>
        </w:rPr>
        <w:t>.</w:t>
      </w:r>
      <w:r w:rsidRPr="005922CE">
        <w:rPr>
          <w:rFonts w:ascii="Arial" w:hAnsi="Arial" w:cs="Arial"/>
          <w:i w:val="0"/>
          <w:color w:val="auto"/>
          <w:sz w:val="22"/>
        </w:rPr>
        <w:t xml:space="preserve"> Zwiedzający muzea i oddziały na 10 tys. mieszkańców w latach 2017, 2019, 2021 i 2022.</w:t>
      </w:r>
      <w:bookmarkEnd w:id="76"/>
    </w:p>
    <w:p w:rsidR="0026503B" w:rsidRPr="0064087E" w:rsidRDefault="0026503B" w:rsidP="00550156">
      <w:pPr>
        <w:spacing w:after="120" w:line="276" w:lineRule="auto"/>
        <w:jc w:val="center"/>
      </w:pPr>
      <w:r w:rsidRPr="0064087E">
        <w:rPr>
          <w:noProof/>
          <w:lang w:eastAsia="pl-PL"/>
        </w:rPr>
        <w:drawing>
          <wp:inline distT="0" distB="0" distL="0" distR="0" wp14:anchorId="154FBDF7" wp14:editId="2F37721E">
            <wp:extent cx="4714875" cy="2727297"/>
            <wp:effectExtent l="0" t="0" r="0" b="0"/>
            <wp:docPr id="490157873" name="Wykres 1" descr="Wykres słupkowy pionowy w tym dane: Mazowieckie: 2017: 20355, 2019: 24242,7, 2021: 18296,4, 2022: 24294,00, Małopolskie: 2017: 31 478,9, 2019: 32679,1, 2021: 15328,5, 2022: 25501,50, Pomorskie: 2017: 14259,5, 2019: 16085,0, 2021: 9506,5, 2022: 13936,5, Polska: 2017: 9760,7, 2019: 10476,9, 2021: 6647,0, 2022: 9703,40, Kujawsko-pomorskie: 2017: 5712,8, 2019: 6120,1, 2021: 4324,3, 2022: 6303,80, Lubelskie: 2017: 6442,2, 2019: 5766,1, 2021: 4189,1, 2022: 6433,00, Warmińsko-mazurskie: 2017: 4663,8, 2019: 5053,5, 2021: 3989,2, 2022: 3864,10, Dolnośląskie: 2017: 6815,4, 2019: 6858,2, 2021: 3737,7, 2022: 6475,30, Podkarpackie: 2017: 6096,4, 2019: 4839,5, 2021: 3342,6, 2022: 4292,50, Świętokrzyskie: 2017: 5177,7, 2019: 5186,1, 2021: 2912,3, 2022: 4593,00, Podlaskie: 2017: 3535,2, 2019: 4052,8, 2021: 2734,5, 2022: 3087,80, Łódzkie: 2017: 3987,5, 2019: 4124,9, 2021: 2722,4, 2022: 4609,20, Zachodniopomorskie: 2017: 3661,8, 2019: 3144,1, 2021: 2497,4, 2022: 3165,50, Lubuskie: 2017: 2490,0, 2019: 2466,7, 2021: 2025,5, 2022: 2327,80,  Wielkopolskie: 2017: 3418,8, 2019: 3460,4, 2021: 1978,5, 2022: 2859,30, Śląskie: 2017: 3556,8, 2019: 3347,3, 2021: 1888,7, 2022: 3257,70, Opolskie: 2017: 3581,8, 2019: 3479,6, 2021: 1499,8, 2022:  2631,50.     ">
              <a:extLst xmlns:a="http://schemas.openxmlformats.org/drawingml/2006/main">
                <a:ext uri="{FF2B5EF4-FFF2-40B4-BE49-F238E27FC236}">
                  <a16:creationId xmlns:a16="http://schemas.microsoft.com/office/drawing/2014/main" id="{496165F2-F675-8837-DBD2-E518B4E9B6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6503B" w:rsidRPr="00D62638" w:rsidRDefault="0026503B" w:rsidP="0026503B">
      <w:pPr>
        <w:spacing w:after="120" w:line="276" w:lineRule="auto"/>
        <w:jc w:val="center"/>
        <w:rPr>
          <w:rFonts w:ascii="Arial" w:hAnsi="Arial" w:cs="Arial"/>
        </w:rPr>
      </w:pPr>
      <w:r w:rsidRPr="00D62638">
        <w:rPr>
          <w:rFonts w:ascii="Arial" w:hAnsi="Arial" w:cs="Arial"/>
        </w:rPr>
        <w:t>Źródło: Opracowanie własne na podstawie danych GUS.</w:t>
      </w:r>
    </w:p>
    <w:p w:rsidR="002A3BF7" w:rsidRPr="0064087E" w:rsidRDefault="002A3BF7" w:rsidP="0096664E">
      <w:pPr>
        <w:spacing w:after="120" w:line="276" w:lineRule="auto"/>
        <w:rPr>
          <w:rFonts w:ascii="Arial" w:hAnsi="Arial" w:cs="Arial"/>
        </w:rPr>
      </w:pPr>
      <w:r w:rsidRPr="00D62638">
        <w:rPr>
          <w:rFonts w:ascii="Arial" w:hAnsi="Arial" w:cs="Arial"/>
        </w:rPr>
        <w:t>Okazją do nieodpłatnego poznawania polskiego dziedzictwa narodowego jest „Noc Muzeów” – z tej formy zwiedzania w 2022 r. na Podkarpaciu skorzystało 39,1 tys. osób. Zwiedzający muzea w ramach tej corocznej akcji stanowili 6,3% zwiedzających w Polsce, co uplasowało województwo podkarpackie na 6. miejscu wśród województw.</w:t>
      </w:r>
    </w:p>
    <w:p w:rsidR="0026503B" w:rsidRPr="0064087E" w:rsidRDefault="0026503B" w:rsidP="0096664E">
      <w:pPr>
        <w:spacing w:after="120" w:line="276" w:lineRule="auto"/>
        <w:rPr>
          <w:rFonts w:ascii="Arial" w:hAnsi="Arial" w:cs="Arial"/>
        </w:rPr>
      </w:pPr>
      <w:r w:rsidRPr="0064087E">
        <w:rPr>
          <w:rFonts w:ascii="Arial" w:hAnsi="Arial" w:cs="Arial"/>
        </w:rPr>
        <w:t xml:space="preserve">W województwie podkarpackim od wielu lat organizowane są liczne imprezy kulturalne przyciągające turystów z kraju i z zagranicy. Najbardziej znane są: Muzyczny Festiwal </w:t>
      </w:r>
      <w:r w:rsidRPr="0064087E">
        <w:rPr>
          <w:rFonts w:ascii="Arial" w:hAnsi="Arial" w:cs="Arial"/>
        </w:rPr>
        <w:br/>
        <w:t>w Łańcucie, Światowy Festiwal Polonijnych Zespołów Folklorystycznych w Rzeszowie, Międzynarodowy Festiwal Muzyki Organowej i Kameralnej w Bazylice Leżajskiej oraz Festiwal Kultur Pogranicza – Karpackie Klimaty, Europejski Stadion Kultury</w:t>
      </w:r>
      <w:r w:rsidR="002A3BF7" w:rsidRPr="0064087E">
        <w:rPr>
          <w:rFonts w:ascii="Arial" w:hAnsi="Arial" w:cs="Arial"/>
        </w:rPr>
        <w:t xml:space="preserve">, </w:t>
      </w:r>
      <w:proofErr w:type="spellStart"/>
      <w:r w:rsidRPr="0064087E">
        <w:rPr>
          <w:rFonts w:ascii="Arial" w:hAnsi="Arial" w:cs="Arial"/>
        </w:rPr>
        <w:t>Carpathia</w:t>
      </w:r>
      <w:proofErr w:type="spellEnd"/>
      <w:r w:rsidRPr="0064087E">
        <w:rPr>
          <w:rFonts w:ascii="Arial" w:hAnsi="Arial" w:cs="Arial"/>
        </w:rPr>
        <w:t xml:space="preserve"> </w:t>
      </w:r>
      <w:proofErr w:type="spellStart"/>
      <w:r w:rsidRPr="0064087E">
        <w:rPr>
          <w:rFonts w:ascii="Arial" w:hAnsi="Arial" w:cs="Arial"/>
        </w:rPr>
        <w:t>Festival</w:t>
      </w:r>
      <w:proofErr w:type="spellEnd"/>
      <w:r w:rsidR="002A3BF7" w:rsidRPr="0064087E">
        <w:rPr>
          <w:rFonts w:ascii="Arial" w:hAnsi="Arial" w:cs="Arial"/>
        </w:rPr>
        <w:t xml:space="preserve">, Festiwal Kultury </w:t>
      </w:r>
      <w:proofErr w:type="spellStart"/>
      <w:r w:rsidR="002A3BF7" w:rsidRPr="0064087E">
        <w:rPr>
          <w:rFonts w:ascii="Arial" w:hAnsi="Arial" w:cs="Arial"/>
        </w:rPr>
        <w:t>Lasowiackiej</w:t>
      </w:r>
      <w:proofErr w:type="spellEnd"/>
      <w:r w:rsidR="002A3BF7" w:rsidRPr="0064087E">
        <w:rPr>
          <w:rFonts w:ascii="Arial" w:hAnsi="Arial" w:cs="Arial"/>
        </w:rPr>
        <w:t xml:space="preserve"> </w:t>
      </w:r>
      <w:proofErr w:type="spellStart"/>
      <w:r w:rsidR="002A3BF7" w:rsidRPr="0064087E">
        <w:rPr>
          <w:rFonts w:ascii="Arial" w:hAnsi="Arial" w:cs="Arial"/>
        </w:rPr>
        <w:t>EtnoLas</w:t>
      </w:r>
      <w:proofErr w:type="spellEnd"/>
      <w:r w:rsidR="002A3BF7" w:rsidRPr="0064087E">
        <w:rPr>
          <w:rFonts w:ascii="Arial" w:hAnsi="Arial" w:cs="Arial"/>
        </w:rPr>
        <w:t>.</w:t>
      </w:r>
    </w:p>
    <w:p w:rsidR="0026503B" w:rsidRPr="0064087E" w:rsidRDefault="0026503B" w:rsidP="0096664E">
      <w:pPr>
        <w:spacing w:after="120" w:line="276" w:lineRule="auto"/>
        <w:rPr>
          <w:rFonts w:ascii="Arial" w:hAnsi="Arial" w:cs="Arial"/>
        </w:rPr>
      </w:pPr>
      <w:r w:rsidRPr="0064087E">
        <w:rPr>
          <w:rFonts w:ascii="Arial" w:hAnsi="Arial" w:cs="Arial"/>
        </w:rPr>
        <w:t xml:space="preserve">Galerie sztuki działające w województwie podkarpackim zorganizowały w 2021 r. 112 wystaw (w tym 13 z zagranicy). Na zbiory własne składało się 302,7 tys. eksponatów (wzrost o 0,8% w stosunku do roku poprzedniego), wśród których dominowały dzieła z dziedziny „nowe media” (nietradycyjne eksponaty, formy i techniki, np. animację komputerową, aranżację przestrzeni, design) – 75,6% oraz fotografii – 23,2% ogółu eksponatów. </w:t>
      </w:r>
      <w:r w:rsidRPr="00D62638">
        <w:rPr>
          <w:rFonts w:ascii="Arial" w:hAnsi="Arial" w:cs="Arial"/>
        </w:rPr>
        <w:t>W 2022 r. na Podkarpaciu galerie i salony sztuki (jedna mniej niż w roku poprzednim) zorganizowały 107 wystaw (w tym 14 z zagranicy). Na zbiory własne składało się 318,9 tys. eksponatów (wzrost o 5,3% w stosunku do roku poprzedniego).</w:t>
      </w:r>
    </w:p>
    <w:p w:rsidR="0026503B" w:rsidRPr="0064087E" w:rsidRDefault="0026503B" w:rsidP="0096664E">
      <w:pPr>
        <w:spacing w:after="120" w:line="276" w:lineRule="auto"/>
        <w:rPr>
          <w:rFonts w:ascii="Arial" w:hAnsi="Arial" w:cs="Arial"/>
        </w:rPr>
      </w:pPr>
      <w:r w:rsidRPr="0064087E">
        <w:rPr>
          <w:rFonts w:ascii="Arial" w:hAnsi="Arial" w:cs="Arial"/>
        </w:rPr>
        <w:t>Badane w województwie podkarpackim 2 teatry (dramatyczny i lalkowy) oraz jedna filharmonia zorganizowały łącznie w 2021 r. 1013 przedstawie</w:t>
      </w:r>
      <w:r w:rsidR="00677FA8" w:rsidRPr="0064087E">
        <w:rPr>
          <w:rFonts w:ascii="Arial" w:hAnsi="Arial" w:cs="Arial"/>
        </w:rPr>
        <w:t>ń</w:t>
      </w:r>
      <w:r w:rsidRPr="0064087E">
        <w:rPr>
          <w:rFonts w:ascii="Arial" w:hAnsi="Arial" w:cs="Arial"/>
        </w:rPr>
        <w:t xml:space="preserve"> i koncert</w:t>
      </w:r>
      <w:r w:rsidR="00677FA8" w:rsidRPr="0064087E">
        <w:rPr>
          <w:rFonts w:ascii="Arial" w:hAnsi="Arial" w:cs="Arial"/>
        </w:rPr>
        <w:t>ów</w:t>
      </w:r>
      <w:r w:rsidRPr="0064087E">
        <w:rPr>
          <w:rFonts w:ascii="Arial" w:hAnsi="Arial" w:cs="Arial"/>
        </w:rPr>
        <w:t xml:space="preserve">, w których uczestniczyło 81,7 tys. widzów i słuchaczy. W porównaniu z 2017 r. liczba przedstawień </w:t>
      </w:r>
      <w:r w:rsidR="0096664E">
        <w:rPr>
          <w:rFonts w:ascii="Arial" w:hAnsi="Arial" w:cs="Arial"/>
        </w:rPr>
        <w:br/>
      </w:r>
      <w:r w:rsidRPr="0064087E">
        <w:rPr>
          <w:rFonts w:ascii="Arial" w:hAnsi="Arial" w:cs="Arial"/>
        </w:rPr>
        <w:t xml:space="preserve">i koncertów tych instytucji była znacznie mniejsza (spadła o 42,0%), spadła także o 60% liczba widzów i słuchaczy. </w:t>
      </w:r>
      <w:r w:rsidRPr="00D62638">
        <w:rPr>
          <w:rFonts w:ascii="Arial" w:hAnsi="Arial" w:cs="Arial"/>
        </w:rPr>
        <w:t xml:space="preserve">Z kolei w 2022 r. liczba przedstawień i koncertów zwiększyła się </w:t>
      </w:r>
      <w:r w:rsidR="0096664E">
        <w:rPr>
          <w:rFonts w:ascii="Arial" w:hAnsi="Arial" w:cs="Arial"/>
        </w:rPr>
        <w:br/>
      </w:r>
      <w:r w:rsidRPr="00D62638">
        <w:rPr>
          <w:rFonts w:ascii="Arial" w:hAnsi="Arial" w:cs="Arial"/>
        </w:rPr>
        <w:t>o 466 (o 46,0%), a liczba widzów i słuchaczy zwiększyła się o 89,6 tys. (ponad 2-krotnie).</w:t>
      </w:r>
    </w:p>
    <w:p w:rsidR="0026503B" w:rsidRPr="0064087E" w:rsidRDefault="0026503B" w:rsidP="0096664E">
      <w:pPr>
        <w:spacing w:after="120" w:line="276" w:lineRule="auto"/>
        <w:rPr>
          <w:rFonts w:ascii="Arial" w:hAnsi="Arial" w:cs="Arial"/>
        </w:rPr>
      </w:pPr>
      <w:r w:rsidRPr="0064087E">
        <w:rPr>
          <w:rFonts w:ascii="Arial" w:hAnsi="Arial" w:cs="Arial"/>
        </w:rPr>
        <w:t xml:space="preserve">W województwie podkarpackim na koniec 2021 r. funkcjonowało 29 kin stałych, które łącznie posiadały 14,6 tys. miejsc na widowni (o 2,1% mniej niż w 2017 r.). W podkarpackich kinach odbyło się łącznie 57,2 tys. seansów filmowych (o 22,0% mniej niż w 2017 r.), w tym 12,7 </w:t>
      </w:r>
      <w:r w:rsidRPr="0064087E">
        <w:rPr>
          <w:rFonts w:ascii="Arial" w:hAnsi="Arial" w:cs="Arial"/>
        </w:rPr>
        <w:lastRenderedPageBreak/>
        <w:t xml:space="preserve">tys. seansów filmów polskich (o 13,2% mniej niż w 2017 r.). Na wszystkich seansach było ponad 1,1 mln widzów (o prawie 42,0% mniej niż w 2017 r.), w tym na polskich filmach – prawie 280 tys. widzów (ponad 2-krotnie niż w 2017 r.). Liczba widzów w kinach stałych </w:t>
      </w:r>
      <w:r w:rsidR="0096664E">
        <w:rPr>
          <w:rFonts w:ascii="Arial" w:hAnsi="Arial" w:cs="Arial"/>
        </w:rPr>
        <w:br/>
      </w:r>
      <w:r w:rsidRPr="0064087E">
        <w:rPr>
          <w:rFonts w:ascii="Arial" w:hAnsi="Arial" w:cs="Arial"/>
        </w:rPr>
        <w:t xml:space="preserve">w przeliczeniu na 1000 ludności wynosiła w 2021 r. 562 osoby (12. lokata), podczas gdy </w:t>
      </w:r>
      <w:r w:rsidR="0096664E">
        <w:rPr>
          <w:rFonts w:ascii="Arial" w:hAnsi="Arial" w:cs="Arial"/>
        </w:rPr>
        <w:br/>
      </w:r>
      <w:r w:rsidRPr="0064087E">
        <w:rPr>
          <w:rFonts w:ascii="Arial" w:hAnsi="Arial" w:cs="Arial"/>
        </w:rPr>
        <w:t xml:space="preserve">w 2017 r. wskaźnik ten wynosił 945 (14. lokata w kraju). </w:t>
      </w:r>
      <w:r w:rsidRPr="00D62638">
        <w:rPr>
          <w:rFonts w:ascii="Arial" w:hAnsi="Arial" w:cs="Arial"/>
        </w:rPr>
        <w:t xml:space="preserve">W 2022 r. w podkarpackich kinach odbyło się łącznie 84,9 tys. seansów filmowych (o 48,6% więcej niż w poprzednim roku), </w:t>
      </w:r>
      <w:r w:rsidR="0096664E">
        <w:rPr>
          <w:rFonts w:ascii="Arial" w:hAnsi="Arial" w:cs="Arial"/>
        </w:rPr>
        <w:br/>
      </w:r>
      <w:r w:rsidRPr="00D62638">
        <w:rPr>
          <w:rFonts w:ascii="Arial" w:hAnsi="Arial" w:cs="Arial"/>
        </w:rPr>
        <w:t xml:space="preserve">w tym 20,8 tys. seansów filmów polskich. Na wszystkich seansach było 1,7 mln widzów </w:t>
      </w:r>
      <w:r w:rsidR="0096664E">
        <w:rPr>
          <w:rFonts w:ascii="Arial" w:hAnsi="Arial" w:cs="Arial"/>
        </w:rPr>
        <w:br/>
      </w:r>
      <w:r w:rsidRPr="00D62638">
        <w:rPr>
          <w:rFonts w:ascii="Arial" w:hAnsi="Arial" w:cs="Arial"/>
        </w:rPr>
        <w:t>(o 46,4% więcej niż w 2021 r.), w tym na polskich filmach – 426,5 tys. widzów (o 52,8% więcej niż w roku poprzednim).</w:t>
      </w:r>
    </w:p>
    <w:p w:rsidR="0026503B" w:rsidRPr="0064087E" w:rsidRDefault="0026503B" w:rsidP="0096664E">
      <w:pPr>
        <w:spacing w:after="120" w:line="276" w:lineRule="auto"/>
        <w:rPr>
          <w:rFonts w:ascii="Arial" w:hAnsi="Arial" w:cs="Arial"/>
          <w:b/>
        </w:rPr>
      </w:pPr>
      <w:r w:rsidRPr="0064087E">
        <w:rPr>
          <w:rFonts w:ascii="Arial" w:hAnsi="Arial" w:cs="Arial"/>
          <w:b/>
        </w:rPr>
        <w:t>Jakość infrastruktury transportowej</w:t>
      </w:r>
    </w:p>
    <w:p w:rsidR="0026503B" w:rsidRPr="0064087E" w:rsidRDefault="0026503B" w:rsidP="0096664E">
      <w:pPr>
        <w:spacing w:after="60" w:line="264" w:lineRule="auto"/>
        <w:rPr>
          <w:rFonts w:ascii="Arial" w:hAnsi="Arial" w:cs="Arial"/>
        </w:rPr>
      </w:pPr>
      <w:r w:rsidRPr="0064087E">
        <w:rPr>
          <w:rFonts w:ascii="Arial" w:hAnsi="Arial" w:cs="Arial"/>
        </w:rPr>
        <w:t>Województwo podkarpackie położone jest na skrzyżowaniu ważnych szlaków komunikacyjnych. Na jego obszarze przecinają się korytarze transportowe o zasięgu krajowym i transeuropejskim</w:t>
      </w:r>
      <w:r w:rsidR="00BC0115" w:rsidRPr="0064087E">
        <w:rPr>
          <w:rFonts w:ascii="Arial" w:hAnsi="Arial" w:cs="Arial"/>
        </w:rPr>
        <w:t xml:space="preserve"> (drogowe i kolejowe)</w:t>
      </w:r>
      <w:r w:rsidR="00986C7B" w:rsidRPr="0064087E">
        <w:rPr>
          <w:rFonts w:ascii="Arial" w:hAnsi="Arial" w:cs="Arial"/>
        </w:rPr>
        <w:t>.</w:t>
      </w:r>
      <w:r w:rsidRPr="0064087E">
        <w:rPr>
          <w:rFonts w:ascii="Arial" w:hAnsi="Arial" w:cs="Arial"/>
        </w:rPr>
        <w:t xml:space="preserve"> Podstawową sieć drogową województwa tworzą drogi krajowe i wojewódzkie, uzupełnione drogami powiatowymi i gminnymi. Przez województwo podkarpackie przebiega również autostrada A4, łącząca granicę kraju </w:t>
      </w:r>
      <w:r w:rsidR="0096664E">
        <w:rPr>
          <w:rFonts w:ascii="Arial" w:hAnsi="Arial" w:cs="Arial"/>
        </w:rPr>
        <w:br/>
      </w:r>
      <w:r w:rsidRPr="0064087E">
        <w:rPr>
          <w:rFonts w:ascii="Arial" w:hAnsi="Arial" w:cs="Arial"/>
        </w:rPr>
        <w:t>z Niemcami (w</w:t>
      </w:r>
      <w:r w:rsidR="00AA6D98">
        <w:rPr>
          <w:rFonts w:ascii="Arial" w:hAnsi="Arial" w:cs="Arial"/>
        </w:rPr>
        <w:t> </w:t>
      </w:r>
      <w:r w:rsidRPr="0064087E">
        <w:rPr>
          <w:rFonts w:ascii="Arial" w:hAnsi="Arial" w:cs="Arial"/>
        </w:rPr>
        <w:t>Jędrzychowicach) i z Ukrainą (w Korczowej).</w:t>
      </w:r>
    </w:p>
    <w:p w:rsidR="0026503B" w:rsidRPr="0064087E" w:rsidRDefault="0026503B" w:rsidP="0096664E">
      <w:pPr>
        <w:spacing w:after="60" w:line="264" w:lineRule="auto"/>
        <w:rPr>
          <w:rFonts w:ascii="Arial" w:hAnsi="Arial" w:cs="Arial"/>
        </w:rPr>
      </w:pPr>
      <w:r w:rsidRPr="0064087E">
        <w:rPr>
          <w:rFonts w:ascii="Arial" w:hAnsi="Arial" w:cs="Arial"/>
        </w:rPr>
        <w:t xml:space="preserve">W województwie podkarpackim pierwsze odcinki dróg najwyższego rzędu, tj. dróg ekspresowych i autostrad oddano do użytkowania w 2012 r., a ich łączna długość wynosiła </w:t>
      </w:r>
      <w:r w:rsidRPr="0064087E">
        <w:rPr>
          <w:rFonts w:ascii="Arial" w:hAnsi="Arial" w:cs="Arial"/>
        </w:rPr>
        <w:br/>
        <w:t>13 km. W kolejnych latach nastąpił bardzo intensywny rozwój tego typu dróg. W 2017 r. przez region przebiegało ich 183,0 km, a w 2021 r. już 226,2 km.</w:t>
      </w:r>
    </w:p>
    <w:p w:rsidR="00D725A8" w:rsidRPr="0064087E" w:rsidRDefault="0026503B" w:rsidP="0096664E">
      <w:pPr>
        <w:spacing w:after="60" w:line="264" w:lineRule="auto"/>
        <w:rPr>
          <w:rFonts w:ascii="Arial" w:hAnsi="Arial" w:cs="Arial"/>
        </w:rPr>
      </w:pPr>
      <w:r w:rsidRPr="0064087E">
        <w:rPr>
          <w:rFonts w:ascii="Arial" w:hAnsi="Arial" w:cs="Arial"/>
        </w:rPr>
        <w:t>Długość autostrad w 2021 r. wynosiła 152,5 km (w 2017 r. również 152,5 km), a długość dróg ekspresowych przebiegających przez województwo 73,7 km (w 2017 r. 30,0 km). Oznacza to, że ich długość w przeliczeniu na 1000 km</w:t>
      </w:r>
      <w:r w:rsidRPr="0064087E">
        <w:rPr>
          <w:rFonts w:ascii="Arial" w:hAnsi="Arial" w:cs="Arial"/>
          <w:vertAlign w:val="superscript"/>
        </w:rPr>
        <w:t>2</w:t>
      </w:r>
      <w:r w:rsidRPr="0064087E">
        <w:rPr>
          <w:rFonts w:ascii="Arial" w:hAnsi="Arial" w:cs="Arial"/>
        </w:rPr>
        <w:t xml:space="preserve"> powierzchni województwa wyniosła 12,7 km (w kraju – 14,6 km), natomiast w przeliczeniu na 10 tys. ludności – 1,1 km (w kraju – 1,2 km). </w:t>
      </w:r>
      <w:r w:rsidRPr="00D62638">
        <w:rPr>
          <w:rFonts w:ascii="Arial" w:hAnsi="Arial" w:cs="Arial"/>
        </w:rPr>
        <w:t>Długość autostrad w 2022 r. również wynosiła 152,5 km, a długość dróg ekspresowych przebiegających przez województwo 81,9 km. Ich długość w przeliczeniu na 1000 km</w:t>
      </w:r>
      <w:r w:rsidRPr="00D62638">
        <w:rPr>
          <w:rFonts w:ascii="Arial" w:hAnsi="Arial" w:cs="Arial"/>
          <w:vertAlign w:val="superscript"/>
        </w:rPr>
        <w:t>2</w:t>
      </w:r>
      <w:r w:rsidRPr="00D62638">
        <w:rPr>
          <w:rFonts w:ascii="Arial" w:hAnsi="Arial" w:cs="Arial"/>
        </w:rPr>
        <w:t xml:space="preserve"> powierzchni województwa wyniosła 13,14 km, natomiast w przeliczeniu na 10 tys. ludności – 1,13 km</w:t>
      </w:r>
      <w:r w:rsidRPr="0064087E">
        <w:rPr>
          <w:rFonts w:ascii="Arial" w:hAnsi="Arial" w:cs="Arial"/>
        </w:rPr>
        <w:t>.</w:t>
      </w:r>
    </w:p>
    <w:p w:rsidR="005922CE" w:rsidRPr="005922CE" w:rsidRDefault="005922CE" w:rsidP="0096664E">
      <w:pPr>
        <w:pStyle w:val="Legenda"/>
        <w:keepNext/>
        <w:spacing w:after="120" w:line="276" w:lineRule="auto"/>
        <w:rPr>
          <w:rFonts w:ascii="Arial" w:hAnsi="Arial" w:cs="Arial"/>
          <w:i w:val="0"/>
          <w:color w:val="auto"/>
          <w:sz w:val="22"/>
        </w:rPr>
      </w:pPr>
      <w:bookmarkStart w:id="77" w:name="_Toc160793551"/>
      <w:r w:rsidRPr="005922CE">
        <w:rPr>
          <w:rFonts w:ascii="Arial" w:hAnsi="Arial" w:cs="Arial"/>
          <w:b/>
          <w:i w:val="0"/>
          <w:color w:val="auto"/>
          <w:sz w:val="22"/>
        </w:rPr>
        <w:t xml:space="preserve">Wykres </w:t>
      </w:r>
      <w:r w:rsidRPr="005922CE">
        <w:rPr>
          <w:rFonts w:ascii="Arial" w:hAnsi="Arial" w:cs="Arial"/>
          <w:b/>
          <w:i w:val="0"/>
          <w:color w:val="auto"/>
          <w:sz w:val="22"/>
        </w:rPr>
        <w:fldChar w:fldCharType="begin"/>
      </w:r>
      <w:r w:rsidRPr="005922CE">
        <w:rPr>
          <w:rFonts w:ascii="Arial" w:hAnsi="Arial" w:cs="Arial"/>
          <w:b/>
          <w:i w:val="0"/>
          <w:color w:val="auto"/>
          <w:sz w:val="22"/>
        </w:rPr>
        <w:instrText xml:space="preserve"> SEQ Wykres \* ARABIC </w:instrText>
      </w:r>
      <w:r w:rsidRPr="005922CE">
        <w:rPr>
          <w:rFonts w:ascii="Arial" w:hAnsi="Arial" w:cs="Arial"/>
          <w:b/>
          <w:i w:val="0"/>
          <w:color w:val="auto"/>
          <w:sz w:val="22"/>
        </w:rPr>
        <w:fldChar w:fldCharType="separate"/>
      </w:r>
      <w:r w:rsidR="00884DAD">
        <w:rPr>
          <w:rFonts w:ascii="Arial" w:hAnsi="Arial" w:cs="Arial"/>
          <w:b/>
          <w:i w:val="0"/>
          <w:noProof/>
          <w:color w:val="auto"/>
          <w:sz w:val="22"/>
        </w:rPr>
        <w:t>45</w:t>
      </w:r>
      <w:r w:rsidRPr="005922CE">
        <w:rPr>
          <w:rFonts w:ascii="Arial" w:hAnsi="Arial" w:cs="Arial"/>
          <w:b/>
          <w:i w:val="0"/>
          <w:color w:val="auto"/>
          <w:sz w:val="22"/>
        </w:rPr>
        <w:fldChar w:fldCharType="end"/>
      </w:r>
      <w:r w:rsidR="00DA1871">
        <w:rPr>
          <w:rFonts w:ascii="Arial" w:hAnsi="Arial" w:cs="Arial"/>
          <w:b/>
          <w:i w:val="0"/>
          <w:color w:val="auto"/>
          <w:sz w:val="22"/>
        </w:rPr>
        <w:t>.</w:t>
      </w:r>
      <w:r w:rsidRPr="005922CE">
        <w:rPr>
          <w:rFonts w:ascii="Arial" w:hAnsi="Arial" w:cs="Arial"/>
          <w:i w:val="0"/>
          <w:color w:val="auto"/>
          <w:sz w:val="22"/>
        </w:rPr>
        <w:t xml:space="preserve"> Odsetek długości dróg publicznych o nawierzchni twardej ulepszonej w latach 2017, 2019, 2021, 2022.</w:t>
      </w:r>
      <w:bookmarkEnd w:id="77"/>
    </w:p>
    <w:p w:rsidR="0026503B" w:rsidRPr="0064087E" w:rsidRDefault="0026503B" w:rsidP="00550156">
      <w:pPr>
        <w:spacing w:after="120" w:line="276" w:lineRule="auto"/>
        <w:jc w:val="center"/>
      </w:pPr>
      <w:r w:rsidRPr="0064087E">
        <w:rPr>
          <w:noProof/>
          <w:lang w:eastAsia="pl-PL"/>
        </w:rPr>
        <w:drawing>
          <wp:inline distT="0" distB="0" distL="0" distR="0" wp14:anchorId="7D21A403" wp14:editId="0E9E135C">
            <wp:extent cx="5168265" cy="2854325"/>
            <wp:effectExtent l="0" t="0" r="0" b="3175"/>
            <wp:docPr id="1966465031" name="Wykres 1" descr="Odsetek długości dróg publicznych o nawierzchni twardej ulepszonej w latach 2017, 2019, 2021, 2022.">
              <a:extLst xmlns:a="http://schemas.openxmlformats.org/drawingml/2006/main">
                <a:ext uri="{FF2B5EF4-FFF2-40B4-BE49-F238E27FC236}">
                  <a16:creationId xmlns:a16="http://schemas.microsoft.com/office/drawing/2014/main" id="{225F2DDB-2260-110E-B5DB-BC5B9A7D36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6503B" w:rsidRPr="00D62638" w:rsidRDefault="0026503B" w:rsidP="0026503B">
      <w:pPr>
        <w:spacing w:after="120" w:line="276" w:lineRule="auto"/>
        <w:jc w:val="center"/>
        <w:rPr>
          <w:rFonts w:ascii="Arial" w:hAnsi="Arial" w:cs="Arial"/>
        </w:rPr>
      </w:pPr>
      <w:r w:rsidRPr="00D62638">
        <w:rPr>
          <w:rFonts w:ascii="Arial" w:hAnsi="Arial" w:cs="Arial"/>
        </w:rPr>
        <w:t>Źródło: Opracowanie własne na podstawie danych GUS.</w:t>
      </w:r>
    </w:p>
    <w:p w:rsidR="0026503B" w:rsidRPr="0064087E" w:rsidRDefault="0026503B" w:rsidP="0096664E">
      <w:pPr>
        <w:spacing w:after="120" w:line="276" w:lineRule="auto"/>
        <w:rPr>
          <w:rFonts w:ascii="Arial" w:hAnsi="Arial" w:cs="Arial"/>
        </w:rPr>
      </w:pPr>
      <w:r w:rsidRPr="00D62638">
        <w:rPr>
          <w:rFonts w:ascii="Arial" w:hAnsi="Arial" w:cs="Arial"/>
        </w:rPr>
        <w:lastRenderedPageBreak/>
        <w:t xml:space="preserve">Ogólna długość dróg publicznych w 2021 i 2022 r. wyniosła w województwie podkarpackim ponad 21,7 tys. km, z czego 77,5% stanowiły drogi o nawierzchni twardej ulepszonej. </w:t>
      </w:r>
      <w:r w:rsidR="00550156" w:rsidRPr="00D62638">
        <w:rPr>
          <w:rFonts w:ascii="Arial" w:hAnsi="Arial" w:cs="Arial"/>
        </w:rPr>
        <w:br/>
      </w:r>
      <w:r w:rsidRPr="0064087E">
        <w:rPr>
          <w:rFonts w:ascii="Arial" w:hAnsi="Arial" w:cs="Arial"/>
        </w:rPr>
        <w:t>W porównaniu z 2017 r. ogólna długość dróg publicznych wzrosła o 3,6% (w kraju przyrost wyniósł 1,8%).</w:t>
      </w:r>
    </w:p>
    <w:p w:rsidR="0026503B" w:rsidRPr="0064087E" w:rsidRDefault="0026503B" w:rsidP="0096664E">
      <w:pPr>
        <w:spacing w:after="120" w:line="276" w:lineRule="auto"/>
        <w:rPr>
          <w:rFonts w:ascii="Arial" w:hAnsi="Arial" w:cs="Arial"/>
        </w:rPr>
      </w:pPr>
      <w:r w:rsidRPr="0064087E">
        <w:rPr>
          <w:rFonts w:ascii="Arial" w:hAnsi="Arial" w:cs="Arial"/>
        </w:rPr>
        <w:t>Gęstość dróg o nawierzchni twardej w końcu 2021 r. wyniosła w regionie 99,7 km na 100 km</w:t>
      </w:r>
      <w:r w:rsidRPr="0064087E">
        <w:rPr>
          <w:rFonts w:ascii="Arial" w:hAnsi="Arial" w:cs="Arial"/>
          <w:vertAlign w:val="superscript"/>
        </w:rPr>
        <w:t>2</w:t>
      </w:r>
      <w:r w:rsidRPr="0064087E">
        <w:rPr>
          <w:rFonts w:ascii="Arial" w:hAnsi="Arial" w:cs="Arial"/>
        </w:rPr>
        <w:t xml:space="preserve"> (w kraju 100,9 km). W 2017 r. wartość tego wskaźnika wynosiła 94,2 km na 100 km</w:t>
      </w:r>
      <w:r w:rsidRPr="0064087E">
        <w:rPr>
          <w:rFonts w:ascii="Arial" w:hAnsi="Arial" w:cs="Arial"/>
          <w:vertAlign w:val="superscript"/>
        </w:rPr>
        <w:t>2</w:t>
      </w:r>
      <w:r w:rsidRPr="0064087E">
        <w:rPr>
          <w:rFonts w:ascii="Arial" w:hAnsi="Arial" w:cs="Arial"/>
        </w:rPr>
        <w:t xml:space="preserve"> </w:t>
      </w:r>
      <w:r w:rsidRPr="0064087E">
        <w:rPr>
          <w:rFonts w:ascii="Arial" w:hAnsi="Arial" w:cs="Arial"/>
        </w:rPr>
        <w:br/>
        <w:t>w województwie podkarpackim i 95,8 km na 100 km</w:t>
      </w:r>
      <w:r w:rsidRPr="0064087E">
        <w:rPr>
          <w:rFonts w:ascii="Arial" w:hAnsi="Arial" w:cs="Arial"/>
          <w:vertAlign w:val="superscript"/>
        </w:rPr>
        <w:t>2</w:t>
      </w:r>
      <w:r w:rsidRPr="0064087E">
        <w:rPr>
          <w:rFonts w:ascii="Arial" w:hAnsi="Arial" w:cs="Arial"/>
        </w:rPr>
        <w:t xml:space="preserve"> w kraju. Pod względem nasycenia dróg o nawierzchni twardej województwo podkarpackie, podobnie jak w 2017 r. znajdowało się na 9. miejscu w kraju. </w:t>
      </w:r>
      <w:r w:rsidRPr="00D62638">
        <w:rPr>
          <w:rFonts w:ascii="Arial" w:hAnsi="Arial" w:cs="Arial"/>
        </w:rPr>
        <w:t>W 2022 r. gęstość dróg o twardej nawierzchni w województwie wyniosła 95,8 km na 100 km</w:t>
      </w:r>
      <w:r w:rsidRPr="00D62638">
        <w:rPr>
          <w:rFonts w:ascii="Arial" w:hAnsi="Arial" w:cs="Arial"/>
          <w:vertAlign w:val="superscript"/>
        </w:rPr>
        <w:t>2</w:t>
      </w:r>
      <w:r w:rsidRPr="00D62638">
        <w:rPr>
          <w:rFonts w:ascii="Arial" w:hAnsi="Arial" w:cs="Arial"/>
        </w:rPr>
        <w:t>.</w:t>
      </w:r>
    </w:p>
    <w:p w:rsidR="005922CE" w:rsidRPr="005922CE" w:rsidRDefault="005922CE" w:rsidP="0096664E">
      <w:pPr>
        <w:pStyle w:val="Legenda"/>
        <w:keepNext/>
        <w:rPr>
          <w:rFonts w:ascii="Arial" w:hAnsi="Arial" w:cs="Arial"/>
          <w:i w:val="0"/>
          <w:color w:val="auto"/>
          <w:sz w:val="22"/>
        </w:rPr>
      </w:pPr>
      <w:bookmarkStart w:id="78" w:name="_Toc160793552"/>
      <w:r w:rsidRPr="005922CE">
        <w:rPr>
          <w:rFonts w:ascii="Arial" w:hAnsi="Arial" w:cs="Arial"/>
          <w:b/>
          <w:i w:val="0"/>
          <w:color w:val="auto"/>
          <w:sz w:val="22"/>
        </w:rPr>
        <w:t xml:space="preserve">Wykres </w:t>
      </w:r>
      <w:r w:rsidRPr="005922CE">
        <w:rPr>
          <w:rFonts w:ascii="Arial" w:hAnsi="Arial" w:cs="Arial"/>
          <w:b/>
          <w:i w:val="0"/>
          <w:color w:val="auto"/>
          <w:sz w:val="22"/>
        </w:rPr>
        <w:fldChar w:fldCharType="begin"/>
      </w:r>
      <w:r w:rsidRPr="005922CE">
        <w:rPr>
          <w:rFonts w:ascii="Arial" w:hAnsi="Arial" w:cs="Arial"/>
          <w:b/>
          <w:i w:val="0"/>
          <w:color w:val="auto"/>
          <w:sz w:val="22"/>
        </w:rPr>
        <w:instrText xml:space="preserve"> SEQ Wykres \* ARABIC </w:instrText>
      </w:r>
      <w:r w:rsidRPr="005922CE">
        <w:rPr>
          <w:rFonts w:ascii="Arial" w:hAnsi="Arial" w:cs="Arial"/>
          <w:b/>
          <w:i w:val="0"/>
          <w:color w:val="auto"/>
          <w:sz w:val="22"/>
        </w:rPr>
        <w:fldChar w:fldCharType="separate"/>
      </w:r>
      <w:r w:rsidR="00884DAD">
        <w:rPr>
          <w:rFonts w:ascii="Arial" w:hAnsi="Arial" w:cs="Arial"/>
          <w:b/>
          <w:i w:val="0"/>
          <w:noProof/>
          <w:color w:val="auto"/>
          <w:sz w:val="22"/>
        </w:rPr>
        <w:t>46</w:t>
      </w:r>
      <w:r w:rsidRPr="005922CE">
        <w:rPr>
          <w:rFonts w:ascii="Arial" w:hAnsi="Arial" w:cs="Arial"/>
          <w:b/>
          <w:i w:val="0"/>
          <w:color w:val="auto"/>
          <w:sz w:val="22"/>
        </w:rPr>
        <w:fldChar w:fldCharType="end"/>
      </w:r>
      <w:r w:rsidR="00DA1871">
        <w:rPr>
          <w:rFonts w:ascii="Arial" w:hAnsi="Arial" w:cs="Arial"/>
          <w:b/>
          <w:i w:val="0"/>
          <w:color w:val="auto"/>
          <w:sz w:val="22"/>
        </w:rPr>
        <w:t>.</w:t>
      </w:r>
      <w:r w:rsidRPr="005922CE">
        <w:rPr>
          <w:rFonts w:ascii="Arial" w:hAnsi="Arial" w:cs="Arial"/>
          <w:i w:val="0"/>
          <w:color w:val="auto"/>
          <w:sz w:val="22"/>
        </w:rPr>
        <w:t xml:space="preserve"> Drogi o twardej nawierzchni na 100 km2 w latach 2017, 2019, 2021, 2022.</w:t>
      </w:r>
      <w:bookmarkEnd w:id="78"/>
    </w:p>
    <w:p w:rsidR="0026503B" w:rsidRPr="0064087E" w:rsidRDefault="0026503B" w:rsidP="00550156">
      <w:pPr>
        <w:spacing w:after="120" w:line="276" w:lineRule="auto"/>
        <w:jc w:val="center"/>
      </w:pPr>
      <w:r w:rsidRPr="0064087E">
        <w:rPr>
          <w:noProof/>
          <w:lang w:eastAsia="pl-PL"/>
        </w:rPr>
        <w:drawing>
          <wp:inline distT="0" distB="0" distL="0" distR="0" wp14:anchorId="61596518" wp14:editId="3D883E28">
            <wp:extent cx="4579620" cy="2867025"/>
            <wp:effectExtent l="0" t="0" r="0" b="0"/>
            <wp:docPr id="1451739217" name="Wykres 1" descr="Wykres słupkowy pionowy w tym dane: Śląskie: 2017: 176,8, 2019: 178,7, 2021: 178,1, 2022: 177,6, Małopolskie: 2017: 170,6, 2019: 172,8, 2021: 174,4, 2022: 146, Świętokrzyskie: 2017: 123,4, 2019: 125,9, 2021: 126,2, 2022: 126,5, Łódzkie: 2017: 113,7, 2019: 115,3, 2021: 117,8, 2022: 118,3, Mazowieckie: 2017: 106,8, 2019: 110,3, 2021: 114,1, 2022: 115,6, Kujawsko-pomorskie: 2017: 102,1, 2019: 106,8, 2021: 107,8, 2022: 111,4, Dolnośląskie: 2017: 98,5, 2019: 103,0, 2021: 107,4, 2022: 107,9, Wielkopolskie: 2017: 98,8, 2019: 101,33, 2021: 104,7, 2022: 105,4, Polska: 2017: 95,8, 2019: 98,2, 2021: 100,9, 2022: 101,5, Podkarpackie: 2017: 94,2, 2019: 97,0, 2021: 99,7, 2022: 100,6, Lubelskie: 2017: 88,7, 2019: 91,0, 2021: 96,8, 2022: 95,3, Opolskie: 2017: 90,3, 2019: 89,9, 2021: 92,9, 2022: 92,4, Pomorskie: 2017: 75,9, 2019: 79,4, 2021: 83,1, 2022: 83,5, Podlaskie: 2017: 66,2, 2019: 68,0, 2021: 71,8, 2022: 72,8, Lubuskie: 2017: 63,3, 2019: 64,4, 2021: 64,5, 2022: 64,2,  Zachodniopomorskie: 2017: 61,2, 2019: 60,9, 2021: 62,2, 2022: 62,3, Warmińsko-mazurskie: 2017: 56,4, 2019: 57,9, 2021: 59,4, 2022: 60,4.">
              <a:extLst xmlns:a="http://schemas.openxmlformats.org/drawingml/2006/main">
                <a:ext uri="{FF2B5EF4-FFF2-40B4-BE49-F238E27FC236}">
                  <a16:creationId xmlns:a16="http://schemas.microsoft.com/office/drawing/2014/main" id="{FF6BC25A-8234-5CCA-EFC3-D14B071470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26503B" w:rsidRPr="0064087E" w:rsidRDefault="0026503B" w:rsidP="0026503B">
      <w:pPr>
        <w:spacing w:after="120" w:line="276" w:lineRule="auto"/>
        <w:jc w:val="center"/>
        <w:rPr>
          <w:rFonts w:ascii="Arial" w:hAnsi="Arial" w:cs="Arial"/>
        </w:rPr>
      </w:pPr>
      <w:r w:rsidRPr="00D62638">
        <w:rPr>
          <w:rFonts w:ascii="Arial" w:hAnsi="Arial" w:cs="Arial"/>
        </w:rPr>
        <w:t>Źródło: Opracowanie własne na podstawie danych GUS.</w:t>
      </w:r>
    </w:p>
    <w:p w:rsidR="0026503B" w:rsidRPr="0064087E" w:rsidRDefault="0026503B" w:rsidP="009851DE">
      <w:pPr>
        <w:spacing w:after="120" w:line="276" w:lineRule="auto"/>
        <w:rPr>
          <w:rFonts w:ascii="Arial" w:hAnsi="Arial" w:cs="Arial"/>
        </w:rPr>
      </w:pPr>
      <w:r w:rsidRPr="0064087E">
        <w:rPr>
          <w:rFonts w:ascii="Arial" w:hAnsi="Arial" w:cs="Arial"/>
        </w:rPr>
        <w:t xml:space="preserve">Długość dróg krajowych o nawierzchni twardej w regionie w 2021 r. wynosiła 931,3 km. </w:t>
      </w:r>
      <w:r w:rsidRPr="0064087E">
        <w:rPr>
          <w:rFonts w:ascii="Arial" w:hAnsi="Arial" w:cs="Arial"/>
        </w:rPr>
        <w:br/>
        <w:t>W porównaniu z 2017 r. ich długość wzrosła o 4,7 km. Gęstość dróg krajowych o nawierzchni twardej w końcu 2021 r. wyniosła w Podkarpackim niewiele ponad 5,2 km na 100 km</w:t>
      </w:r>
      <w:r w:rsidRPr="0064087E">
        <w:rPr>
          <w:rFonts w:ascii="Arial" w:hAnsi="Arial" w:cs="Arial"/>
          <w:vertAlign w:val="superscript"/>
        </w:rPr>
        <w:t>2</w:t>
      </w:r>
      <w:r w:rsidRPr="0064087E">
        <w:rPr>
          <w:rFonts w:ascii="Arial" w:hAnsi="Arial" w:cs="Arial"/>
        </w:rPr>
        <w:t xml:space="preserve"> – 12. lokata (w kraju 6,2 km). W 2017 r. wartość tego wskaźnika wynosiła prawie 5,2 km na 100 km</w:t>
      </w:r>
      <w:r w:rsidRPr="0064087E">
        <w:rPr>
          <w:rFonts w:ascii="Arial" w:hAnsi="Arial" w:cs="Arial"/>
          <w:vertAlign w:val="superscript"/>
        </w:rPr>
        <w:t>2</w:t>
      </w:r>
      <w:r w:rsidRPr="0064087E">
        <w:rPr>
          <w:rFonts w:ascii="Arial" w:hAnsi="Arial" w:cs="Arial"/>
        </w:rPr>
        <w:t xml:space="preserve"> w województwie podkarpackim i 6,2 km na 100 km</w:t>
      </w:r>
      <w:r w:rsidRPr="0064087E">
        <w:rPr>
          <w:rFonts w:ascii="Arial" w:hAnsi="Arial" w:cs="Arial"/>
          <w:vertAlign w:val="superscript"/>
        </w:rPr>
        <w:t>2</w:t>
      </w:r>
      <w:r w:rsidRPr="0064087E">
        <w:rPr>
          <w:rFonts w:ascii="Arial" w:hAnsi="Arial" w:cs="Arial"/>
        </w:rPr>
        <w:t xml:space="preserve"> w kraju.</w:t>
      </w:r>
    </w:p>
    <w:p w:rsidR="0026503B" w:rsidRPr="0064087E" w:rsidRDefault="0026503B" w:rsidP="009851DE">
      <w:pPr>
        <w:spacing w:after="120" w:line="276" w:lineRule="auto"/>
        <w:rPr>
          <w:rFonts w:ascii="Arial" w:hAnsi="Arial" w:cs="Arial"/>
        </w:rPr>
      </w:pPr>
      <w:r w:rsidRPr="0064087E">
        <w:rPr>
          <w:rFonts w:ascii="Arial" w:hAnsi="Arial" w:cs="Arial"/>
        </w:rPr>
        <w:t xml:space="preserve">W 2021 r. przez województwo podkarpackie przebiegało 1780,2 km dróg wojewódzkich </w:t>
      </w:r>
      <w:r w:rsidRPr="0064087E">
        <w:rPr>
          <w:rFonts w:ascii="Arial" w:hAnsi="Arial" w:cs="Arial"/>
        </w:rPr>
        <w:br/>
        <w:t xml:space="preserve">o nawierzchni twardej. W porównaniu z 2017 r. ich długość wzrosła o 71,9 km. </w:t>
      </w:r>
      <w:r w:rsidR="00550156" w:rsidRPr="0064087E">
        <w:rPr>
          <w:rFonts w:ascii="Arial" w:hAnsi="Arial" w:cs="Arial"/>
        </w:rPr>
        <w:br/>
      </w:r>
      <w:r w:rsidRPr="0064087E">
        <w:rPr>
          <w:rFonts w:ascii="Arial" w:hAnsi="Arial" w:cs="Arial"/>
        </w:rPr>
        <w:t>W województwie na 100 km</w:t>
      </w:r>
      <w:r w:rsidRPr="0064087E">
        <w:rPr>
          <w:rFonts w:ascii="Arial" w:hAnsi="Arial" w:cs="Arial"/>
          <w:vertAlign w:val="superscript"/>
        </w:rPr>
        <w:t>2</w:t>
      </w:r>
      <w:r w:rsidRPr="0064087E">
        <w:rPr>
          <w:rFonts w:ascii="Arial" w:hAnsi="Arial" w:cs="Arial"/>
        </w:rPr>
        <w:t xml:space="preserve"> powierzchni tego typu dróg było 10,0 km – 7. lokata (w kraju </w:t>
      </w:r>
      <w:r w:rsidRPr="0064087E">
        <w:rPr>
          <w:rFonts w:ascii="Arial" w:hAnsi="Arial" w:cs="Arial"/>
        </w:rPr>
        <w:br/>
        <w:t xml:space="preserve">9,4 km), co plasowało województwo podkarpackie na 5. miejscu w kraju (razem </w:t>
      </w:r>
      <w:r w:rsidRPr="0064087E">
        <w:rPr>
          <w:rFonts w:ascii="Arial" w:hAnsi="Arial" w:cs="Arial"/>
        </w:rPr>
        <w:br/>
        <w:t xml:space="preserve">z województwami pomorskim i kujawsko-pomorskim). W 2017 r. wskaźnik ten wynosił odpowiednio 9,6 km i 9,3 km. </w:t>
      </w:r>
      <w:r w:rsidRPr="00D62638">
        <w:rPr>
          <w:rFonts w:ascii="Arial" w:hAnsi="Arial" w:cs="Arial"/>
        </w:rPr>
        <w:t xml:space="preserve">W 2022 r. liczba dróg wojewódzkich o nawierzchni twardej </w:t>
      </w:r>
      <w:r w:rsidR="009851DE">
        <w:rPr>
          <w:rFonts w:ascii="Arial" w:hAnsi="Arial" w:cs="Arial"/>
        </w:rPr>
        <w:br/>
      </w:r>
      <w:r w:rsidRPr="00D62638">
        <w:rPr>
          <w:rFonts w:ascii="Arial" w:hAnsi="Arial" w:cs="Arial"/>
        </w:rPr>
        <w:t>w regionie wzrosła do 1784,7 km.</w:t>
      </w:r>
    </w:p>
    <w:p w:rsidR="0026503B" w:rsidRPr="0064087E" w:rsidRDefault="0026503B" w:rsidP="009851DE">
      <w:pPr>
        <w:spacing w:after="120" w:line="276" w:lineRule="auto"/>
        <w:rPr>
          <w:rFonts w:ascii="Arial" w:hAnsi="Arial" w:cs="Arial"/>
        </w:rPr>
      </w:pPr>
      <w:r w:rsidRPr="0064087E">
        <w:rPr>
          <w:rFonts w:ascii="Arial" w:hAnsi="Arial" w:cs="Arial"/>
        </w:rPr>
        <w:t xml:space="preserve">W sieci dróg lokalnych o nawierzchni twardej, na terenie województwa podkarpackiego, </w:t>
      </w:r>
      <w:r w:rsidRPr="0064087E">
        <w:rPr>
          <w:rFonts w:ascii="Arial" w:hAnsi="Arial" w:cs="Arial"/>
        </w:rPr>
        <w:br/>
        <w:t xml:space="preserve">w 2021 r. znajdowało się 6536,2 km dróg powiatowych oraz 8540,7 km dróg gminnych. </w:t>
      </w:r>
      <w:r w:rsidR="00550156" w:rsidRPr="0064087E">
        <w:rPr>
          <w:rFonts w:ascii="Arial" w:hAnsi="Arial" w:cs="Arial"/>
        </w:rPr>
        <w:br/>
      </w:r>
      <w:r w:rsidRPr="00D62638">
        <w:rPr>
          <w:rFonts w:ascii="Arial" w:hAnsi="Arial" w:cs="Arial"/>
        </w:rPr>
        <w:t xml:space="preserve">W 2022 r. liczba dróg powiatowych w regionie wzrosła do 6543,2 km, zaś dróg gminnych do 8700,9 km. </w:t>
      </w:r>
      <w:r w:rsidRPr="0064087E">
        <w:rPr>
          <w:rFonts w:ascii="Arial" w:hAnsi="Arial" w:cs="Arial"/>
        </w:rPr>
        <w:t>Łączna gęstość dróg powiatowych oraz gminnych w 2021 r. w regionie wynosiła 84,5 km na 100 km</w:t>
      </w:r>
      <w:r w:rsidRPr="0064087E">
        <w:rPr>
          <w:rFonts w:ascii="Arial" w:hAnsi="Arial" w:cs="Arial"/>
          <w:vertAlign w:val="superscript"/>
        </w:rPr>
        <w:t>2</w:t>
      </w:r>
      <w:r w:rsidRPr="0064087E">
        <w:rPr>
          <w:rFonts w:ascii="Arial" w:hAnsi="Arial" w:cs="Arial"/>
        </w:rPr>
        <w:t xml:space="preserve"> – 9. lokata (w Polsce 85,3 km). Omawiany wskaźnik w 2017 r. wynosił </w:t>
      </w:r>
      <w:r w:rsidRPr="0064087E">
        <w:rPr>
          <w:rFonts w:ascii="Arial" w:hAnsi="Arial" w:cs="Arial"/>
        </w:rPr>
        <w:lastRenderedPageBreak/>
        <w:t>dla województwa 79,4, a dla kraju 80,3 km na 100 km</w:t>
      </w:r>
      <w:r w:rsidRPr="0064087E">
        <w:rPr>
          <w:rFonts w:ascii="Arial" w:hAnsi="Arial" w:cs="Arial"/>
          <w:vertAlign w:val="superscript"/>
        </w:rPr>
        <w:t>2</w:t>
      </w:r>
      <w:r w:rsidRPr="0064087E">
        <w:rPr>
          <w:rFonts w:ascii="Arial" w:hAnsi="Arial" w:cs="Arial"/>
        </w:rPr>
        <w:t>.</w:t>
      </w:r>
    </w:p>
    <w:p w:rsidR="0026503B" w:rsidRPr="0064087E" w:rsidRDefault="0026503B" w:rsidP="009851DE">
      <w:pPr>
        <w:spacing w:after="120" w:line="276" w:lineRule="auto"/>
        <w:rPr>
          <w:rFonts w:ascii="Arial" w:hAnsi="Arial" w:cs="Arial"/>
        </w:rPr>
      </w:pPr>
      <w:r w:rsidRPr="0064087E">
        <w:rPr>
          <w:rFonts w:ascii="Arial" w:hAnsi="Arial" w:cs="Arial"/>
        </w:rPr>
        <w:t xml:space="preserve">Uzupełnieniem dróg o nawierzchni twardej są drogi o nawierzchni gruntowej. </w:t>
      </w:r>
      <w:r w:rsidRPr="00D62638">
        <w:rPr>
          <w:rFonts w:ascii="Arial" w:hAnsi="Arial" w:cs="Arial"/>
        </w:rPr>
        <w:t xml:space="preserve">W przypadku dróg gminnych w województwie podkarpackim w 2021 r. ich długość wynosiła 3743,9 km, </w:t>
      </w:r>
      <w:r w:rsidR="00550156" w:rsidRPr="0064087E">
        <w:rPr>
          <w:rFonts w:ascii="Arial" w:hAnsi="Arial" w:cs="Arial"/>
        </w:rPr>
        <w:br/>
      </w:r>
      <w:r w:rsidRPr="00D62638">
        <w:rPr>
          <w:rFonts w:ascii="Arial" w:hAnsi="Arial" w:cs="Arial"/>
        </w:rPr>
        <w:t xml:space="preserve">w 2022 r. 3634,7 km </w:t>
      </w:r>
      <w:r w:rsidRPr="0064087E">
        <w:rPr>
          <w:rFonts w:ascii="Arial" w:hAnsi="Arial" w:cs="Arial"/>
        </w:rPr>
        <w:t xml:space="preserve">(w 2017 r. 3908,9 km), a wśród dróg powiatowych długość dróg </w:t>
      </w:r>
      <w:r w:rsidR="00550156" w:rsidRPr="0064087E">
        <w:rPr>
          <w:rFonts w:ascii="Arial" w:hAnsi="Arial" w:cs="Arial"/>
        </w:rPr>
        <w:br/>
      </w:r>
      <w:r w:rsidRPr="0064087E">
        <w:rPr>
          <w:rFonts w:ascii="Arial" w:hAnsi="Arial" w:cs="Arial"/>
        </w:rPr>
        <w:t>o nawierzchni gruntowej wynosiła w 2021 r. 200,4 km (w 2017 r. 254,9 km).</w:t>
      </w:r>
    </w:p>
    <w:p w:rsidR="0026503B" w:rsidRPr="0064087E" w:rsidRDefault="0026503B" w:rsidP="009851DE">
      <w:pPr>
        <w:spacing w:after="120" w:line="276" w:lineRule="auto"/>
        <w:rPr>
          <w:rFonts w:ascii="Arial" w:hAnsi="Arial" w:cs="Arial"/>
        </w:rPr>
      </w:pPr>
      <w:r w:rsidRPr="0064087E">
        <w:rPr>
          <w:rFonts w:ascii="Arial" w:hAnsi="Arial" w:cs="Arial"/>
        </w:rPr>
        <w:t xml:space="preserve">Duże znaczenie w infrastrukturze komunikacyjnej województwa odgrywa również Port Lotniczy Rzeszów-Jasionka, położony ok. 14 km od centrum Rzeszowa. Jest on najdalej wysuniętym na południowy wschód lotniskiem komunikacyjnym Polski. Ruch pasażerów </w:t>
      </w:r>
      <w:r w:rsidRPr="0064087E">
        <w:rPr>
          <w:rFonts w:ascii="Arial" w:hAnsi="Arial" w:cs="Arial"/>
        </w:rPr>
        <w:br/>
        <w:t xml:space="preserve">w porcie lotniczym systematycznie wzrastał w latach 2017-2019, po czym w 2020 r. nastąpił znaczny spadek liczby pasażerów zarówno przybyłych jak i odprawionych. Liczba pasażerów przybyłych w 2021 r. wyniosła 129,1 tys. osób i była o 66,5% mniejsza niż w 2019 r. </w:t>
      </w:r>
      <w:r w:rsidR="009851DE">
        <w:rPr>
          <w:rFonts w:ascii="Arial" w:hAnsi="Arial" w:cs="Arial"/>
        </w:rPr>
        <w:br/>
      </w:r>
      <w:r w:rsidRPr="0064087E">
        <w:rPr>
          <w:rFonts w:ascii="Arial" w:hAnsi="Arial" w:cs="Arial"/>
        </w:rPr>
        <w:t xml:space="preserve">i o 62,8% mniejsza niż w 2017 r. </w:t>
      </w:r>
      <w:r w:rsidRPr="00D62638">
        <w:rPr>
          <w:rFonts w:ascii="Arial" w:hAnsi="Arial" w:cs="Arial"/>
        </w:rPr>
        <w:t xml:space="preserve">W 2022 r. nastąpił wzrost przyjazdu pasażerów, ich liczba wyniosła o 203,6 tys. osób więcej (332,7 </w:t>
      </w:r>
      <w:proofErr w:type="spellStart"/>
      <w:r w:rsidRPr="00D62638">
        <w:rPr>
          <w:rFonts w:ascii="Arial" w:hAnsi="Arial" w:cs="Arial"/>
        </w:rPr>
        <w:t>tys</w:t>
      </w:r>
      <w:proofErr w:type="spellEnd"/>
      <w:r w:rsidRPr="00D62638">
        <w:rPr>
          <w:rFonts w:ascii="Arial" w:hAnsi="Arial" w:cs="Arial"/>
        </w:rPr>
        <w:t>).</w:t>
      </w:r>
      <w:r w:rsidRPr="0064087E">
        <w:rPr>
          <w:rFonts w:ascii="Arial" w:hAnsi="Arial" w:cs="Arial"/>
        </w:rPr>
        <w:t xml:space="preserve"> Liczba pasażerów odprawionych utrzymuje się na bardzo zbliżonym poziomie w odniesieniu do liczby pasażerów przybyłych. </w:t>
      </w:r>
      <w:r w:rsidRPr="00D62638">
        <w:rPr>
          <w:rFonts w:ascii="Arial" w:hAnsi="Arial" w:cs="Arial"/>
        </w:rPr>
        <w:t xml:space="preserve">W 2021 r. </w:t>
      </w:r>
      <w:r w:rsidR="009851DE">
        <w:rPr>
          <w:rFonts w:ascii="Arial" w:hAnsi="Arial" w:cs="Arial"/>
        </w:rPr>
        <w:br/>
      </w:r>
      <w:r w:rsidRPr="00D62638">
        <w:rPr>
          <w:rFonts w:ascii="Arial" w:hAnsi="Arial" w:cs="Arial"/>
        </w:rPr>
        <w:t xml:space="preserve">z portu lotniczego odprawiono 125,5 tys. osób, a w 2022 r. – 350 tys. osób. </w:t>
      </w:r>
      <w:r w:rsidRPr="0064087E">
        <w:rPr>
          <w:rFonts w:ascii="Arial" w:hAnsi="Arial" w:cs="Arial"/>
        </w:rPr>
        <w:t>Na ruch pasażerów znaczący wpływa miała trwająca pandemia COVID-19</w:t>
      </w:r>
      <w:r w:rsidRPr="0064087E">
        <w:rPr>
          <w:rStyle w:val="Odwoanieprzypisudolnego"/>
          <w:rFonts w:ascii="Arial" w:hAnsi="Arial" w:cs="Arial"/>
        </w:rPr>
        <w:footnoteReference w:id="28"/>
      </w:r>
      <w:r w:rsidRPr="0064087E">
        <w:rPr>
          <w:rFonts w:ascii="Arial" w:hAnsi="Arial" w:cs="Arial"/>
        </w:rPr>
        <w:t>.</w:t>
      </w:r>
    </w:p>
    <w:p w:rsidR="0026503B" w:rsidRPr="0064087E" w:rsidRDefault="0026503B" w:rsidP="009851DE">
      <w:pPr>
        <w:spacing w:after="120" w:line="276" w:lineRule="auto"/>
        <w:rPr>
          <w:rFonts w:ascii="Arial" w:hAnsi="Arial" w:cs="Arial"/>
          <w:b/>
        </w:rPr>
      </w:pPr>
      <w:r w:rsidRPr="0064087E">
        <w:rPr>
          <w:rFonts w:ascii="Arial" w:hAnsi="Arial" w:cs="Arial"/>
          <w:b/>
        </w:rPr>
        <w:t>Wykorzystanie odnawialnych źródeł energii</w:t>
      </w:r>
    </w:p>
    <w:p w:rsidR="001728FB" w:rsidRDefault="0026503B" w:rsidP="009851DE">
      <w:pPr>
        <w:spacing w:after="120" w:line="276" w:lineRule="auto"/>
        <w:rPr>
          <w:rFonts w:ascii="Arial" w:hAnsi="Arial" w:cs="Arial"/>
        </w:rPr>
      </w:pPr>
      <w:r w:rsidRPr="0064087E">
        <w:rPr>
          <w:rFonts w:ascii="Arial" w:hAnsi="Arial" w:cs="Arial"/>
        </w:rPr>
        <w:t xml:space="preserve">Mając na uwadze czyste środowisko i stopniowe wyczerpywanie się tradycyjnych źródeł energii coraz większą uwagę przywiązuje się do odnawialnych źródeł energii takich jak woda, promieniowanie słoneczne, wiatr, biomasa czy energia geotermalna. Udział energii odnawialnej w produkcji energii elektrycznej ogółem w województwie podkarpackim w 2021 r. wyniósł 18,2% i był niższy niż w 2017 r. (25,7%). W kraju wskaźnik ten wynosił odpowiednio 17,0% i 14,2%. Pod względem udziału energii odnawialnej w produkcji energii elektrycznej Podkarpackie znajduje się na 10. miejscu wśród województw. </w:t>
      </w:r>
      <w:r w:rsidRPr="00D62638">
        <w:rPr>
          <w:rFonts w:ascii="Arial" w:hAnsi="Arial" w:cs="Arial"/>
        </w:rPr>
        <w:t xml:space="preserve">W 2022 r. udział energii odnawialnej w produkcji energii elektrycznej ogółem w regionie wzrósł niemal </w:t>
      </w:r>
      <w:r w:rsidR="009851DE">
        <w:rPr>
          <w:rFonts w:ascii="Arial" w:hAnsi="Arial" w:cs="Arial"/>
        </w:rPr>
        <w:br/>
      </w:r>
      <w:r w:rsidRPr="00D62638">
        <w:rPr>
          <w:rFonts w:ascii="Arial" w:hAnsi="Arial" w:cs="Arial"/>
        </w:rPr>
        <w:t>3-krotnie w porównaniu do 2021 r. i wyniósł 49,5%, a w kraju 21%.</w:t>
      </w:r>
    </w:p>
    <w:p w:rsidR="001728FB" w:rsidRDefault="001728FB" w:rsidP="009851DE">
      <w:pPr>
        <w:widowControl/>
        <w:autoSpaceDE/>
        <w:autoSpaceDN/>
        <w:spacing w:after="160" w:line="259" w:lineRule="auto"/>
        <w:rPr>
          <w:rFonts w:ascii="Arial" w:hAnsi="Arial" w:cs="Arial"/>
        </w:rPr>
      </w:pPr>
      <w:r>
        <w:rPr>
          <w:rFonts w:ascii="Arial" w:hAnsi="Arial" w:cs="Arial"/>
        </w:rPr>
        <w:br w:type="page"/>
      </w:r>
    </w:p>
    <w:p w:rsidR="005922CE" w:rsidRPr="005922CE" w:rsidRDefault="005922CE" w:rsidP="009851DE">
      <w:pPr>
        <w:pStyle w:val="Legenda"/>
        <w:keepNext/>
        <w:spacing w:after="120" w:line="276" w:lineRule="auto"/>
        <w:rPr>
          <w:rFonts w:ascii="Arial" w:hAnsi="Arial" w:cs="Arial"/>
          <w:i w:val="0"/>
          <w:color w:val="auto"/>
          <w:sz w:val="22"/>
        </w:rPr>
      </w:pPr>
      <w:bookmarkStart w:id="79" w:name="_Toc160793553"/>
      <w:r w:rsidRPr="005922CE">
        <w:rPr>
          <w:rFonts w:ascii="Arial" w:hAnsi="Arial" w:cs="Arial"/>
          <w:b/>
          <w:i w:val="0"/>
          <w:color w:val="auto"/>
          <w:sz w:val="22"/>
        </w:rPr>
        <w:lastRenderedPageBreak/>
        <w:t xml:space="preserve">Wykres </w:t>
      </w:r>
      <w:r w:rsidRPr="005922CE">
        <w:rPr>
          <w:rFonts w:ascii="Arial" w:hAnsi="Arial" w:cs="Arial"/>
          <w:b/>
          <w:i w:val="0"/>
          <w:color w:val="auto"/>
          <w:sz w:val="22"/>
        </w:rPr>
        <w:fldChar w:fldCharType="begin"/>
      </w:r>
      <w:r w:rsidRPr="005922CE">
        <w:rPr>
          <w:rFonts w:ascii="Arial" w:hAnsi="Arial" w:cs="Arial"/>
          <w:b/>
          <w:i w:val="0"/>
          <w:color w:val="auto"/>
          <w:sz w:val="22"/>
        </w:rPr>
        <w:instrText xml:space="preserve"> SEQ Wykres \* ARABIC </w:instrText>
      </w:r>
      <w:r w:rsidRPr="005922CE">
        <w:rPr>
          <w:rFonts w:ascii="Arial" w:hAnsi="Arial" w:cs="Arial"/>
          <w:b/>
          <w:i w:val="0"/>
          <w:color w:val="auto"/>
          <w:sz w:val="22"/>
        </w:rPr>
        <w:fldChar w:fldCharType="separate"/>
      </w:r>
      <w:r w:rsidR="00884DAD">
        <w:rPr>
          <w:rFonts w:ascii="Arial" w:hAnsi="Arial" w:cs="Arial"/>
          <w:b/>
          <w:i w:val="0"/>
          <w:noProof/>
          <w:color w:val="auto"/>
          <w:sz w:val="22"/>
        </w:rPr>
        <w:t>47</w:t>
      </w:r>
      <w:r w:rsidRPr="005922CE">
        <w:rPr>
          <w:rFonts w:ascii="Arial" w:hAnsi="Arial" w:cs="Arial"/>
          <w:b/>
          <w:i w:val="0"/>
          <w:color w:val="auto"/>
          <w:sz w:val="22"/>
        </w:rPr>
        <w:fldChar w:fldCharType="end"/>
      </w:r>
      <w:r w:rsidR="00DA1871">
        <w:rPr>
          <w:rFonts w:ascii="Arial" w:hAnsi="Arial" w:cs="Arial"/>
          <w:b/>
          <w:i w:val="0"/>
          <w:color w:val="auto"/>
          <w:sz w:val="22"/>
        </w:rPr>
        <w:t>.</w:t>
      </w:r>
      <w:r w:rsidRPr="005922CE">
        <w:rPr>
          <w:rFonts w:ascii="Arial" w:hAnsi="Arial" w:cs="Arial"/>
          <w:i w:val="0"/>
          <w:color w:val="auto"/>
          <w:sz w:val="22"/>
        </w:rPr>
        <w:t xml:space="preserve"> Udział energii odnawialnej w produkcji energii elektrycznej ogółem w latach 2017, 2019, 2021, 2022.</w:t>
      </w:r>
      <w:bookmarkEnd w:id="79"/>
    </w:p>
    <w:p w:rsidR="0026503B" w:rsidRPr="0064087E" w:rsidRDefault="0026503B" w:rsidP="0026503B">
      <w:pPr>
        <w:spacing w:after="120" w:line="276" w:lineRule="auto"/>
        <w:jc w:val="center"/>
        <w:rPr>
          <w:rFonts w:ascii="Arial" w:hAnsi="Arial" w:cs="Arial"/>
        </w:rPr>
      </w:pPr>
      <w:r w:rsidRPr="0064087E">
        <w:rPr>
          <w:noProof/>
          <w:lang w:eastAsia="pl-PL"/>
        </w:rPr>
        <w:drawing>
          <wp:inline distT="0" distB="0" distL="0" distR="0" wp14:anchorId="2EC568B6" wp14:editId="664EE256">
            <wp:extent cx="4572000" cy="2743200"/>
            <wp:effectExtent l="0" t="0" r="2540" b="0"/>
            <wp:docPr id="933325480" name="Wykres 933325480" descr="Wykres słupkowy pionowy w tym dane: Warmińsko-mazurskie: 2017: 87,2, 2019: 85,7, 2021: 90,7, 2022: 95,6,  Podlaskie: 2017: 54,7, 2019: 75,2, 2021: 73,9, 2022: 80,3, Pomorskie: 2017: 53,1, 2019: 51,9, 2021: 60,0, 2022: 63,9, Zachodniopomorskie: 2017: 47,8, 2019: 55,6, 2021: 58,0, 2022: 62,6, Kujawsko-Pomorskie: 2017: 51,4, 2019: 45,5, 2021: 46,6, 2022: 54,6, Wielkopolskie: 2017: 14,7, 2019: 25,3, 2021: 34,2, 2022: 52,2, Lubelskie: 2017: 23,5, 2019: 23,2, 2021: 30,4, 2022: 51,6, Świętokrzyskie: 2017: 20,4, 2019: 21,1, 2021: 25,8, 2022: 20,8, Lubuskie: 2017: 21,0, 2019: 21,6, 2021: 25,6, 2022: 35,7, Podkarpackie: 2017: 25,7, 2019: 24,0, 2021: 18,2, 2022: 49,5, Polska: 2017: 14,2, 2019: 15,5, 2021: 17,0, 2022: 21,0, Małopolska: 2017: 8,4, 2019: 10,6, 2021: 14,7, 2022: 20,6, Dolnośląskie: 2017: 7,9, 2019: 9,0, 2021: 8,7, 2022: 10,3, Śląskie: 2017: 3,2, 2019: 4,4, 2021: 6,7, 2022: 9,5, Mazowieckie: 2017: 6,6, 2019: 5,4, 2021: 6,1, 2022: 7,3, Łódzkie: 2017: 4,3, 2019: 5,4, 2021: 5,5, 2022: 6,3, Opolskie: 2017: 5,5, 2019: 4,0, 2021: 3,9, 2022: 5,6.  "/>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4358A4" w:rsidRPr="0064087E" w:rsidRDefault="0026503B" w:rsidP="007A1D01">
      <w:pPr>
        <w:spacing w:after="120" w:line="276" w:lineRule="auto"/>
        <w:jc w:val="center"/>
      </w:pPr>
      <w:r w:rsidRPr="00D62638">
        <w:rPr>
          <w:rFonts w:ascii="Arial" w:hAnsi="Arial" w:cs="Arial"/>
        </w:rPr>
        <w:t>Źródło: Opracowanie własne na podstawie danych GUS.</w:t>
      </w:r>
    </w:p>
    <w:p w:rsidR="00AA3BB5" w:rsidRPr="0064087E" w:rsidRDefault="00AA3BB5" w:rsidP="009851DE">
      <w:pPr>
        <w:pStyle w:val="Nagwek2"/>
        <w:numPr>
          <w:ilvl w:val="1"/>
          <w:numId w:val="1"/>
        </w:numPr>
        <w:ind w:left="357" w:hanging="357"/>
        <w:rPr>
          <w:b/>
          <w:color w:val="auto"/>
        </w:rPr>
      </w:pPr>
      <w:bookmarkStart w:id="80" w:name="_Toc160793882"/>
      <w:r w:rsidRPr="0064087E">
        <w:rPr>
          <w:b/>
          <w:color w:val="auto"/>
        </w:rPr>
        <w:t>Jakość życia w województwie podkarpackim – przesłanki wyboru specjalizacji regionalnej</w:t>
      </w:r>
      <w:bookmarkEnd w:id="80"/>
    </w:p>
    <w:p w:rsidR="00CF710E" w:rsidRPr="0064087E" w:rsidRDefault="00332EAF" w:rsidP="009851DE">
      <w:pPr>
        <w:spacing w:after="120" w:line="276" w:lineRule="auto"/>
        <w:rPr>
          <w:rFonts w:ascii="Arial" w:hAnsi="Arial" w:cs="Arial"/>
        </w:rPr>
      </w:pPr>
      <w:r w:rsidRPr="00D62638">
        <w:rPr>
          <w:rFonts w:ascii="Arial" w:hAnsi="Arial" w:cs="Arial"/>
        </w:rPr>
        <w:t xml:space="preserve">Inteligentna specjalizacja jakość życia ma najbardziej obszerny a zarazem najmniej doprecyzowany zakres spośród wszystkich inteligentnych specjalizacji regionu. Była to jedna z przyczyn trudności w dopasowywaniu instrumentów wsparcia dla tej specjalizacji. Pomiędzy jej obszarami brakowało naturalnych powiązań, które umożliwiłyby zacieśnianie współpracy między podmiotami reprezentującymi różne branże. Swoją konstrukcją </w:t>
      </w:r>
      <w:r w:rsidR="009851DE">
        <w:rPr>
          <w:rFonts w:ascii="Arial" w:hAnsi="Arial" w:cs="Arial"/>
        </w:rPr>
        <w:br/>
      </w:r>
      <w:r w:rsidRPr="00D62638">
        <w:rPr>
          <w:rFonts w:ascii="Arial" w:hAnsi="Arial" w:cs="Arial"/>
        </w:rPr>
        <w:t>i zakresem różni się od pozostałych regionalnych specjalizacji regionu.</w:t>
      </w:r>
      <w:r w:rsidR="00391575" w:rsidRPr="0064087E">
        <w:rPr>
          <w:rFonts w:ascii="Arial" w:hAnsi="Arial" w:cs="Arial"/>
        </w:rPr>
        <w:t xml:space="preserve"> Nie obejmuje ona jednej, zwartej gałęzi gospodarki, a kilka obszarów mocniej lub luźniej ze sobą powiązanych. </w:t>
      </w:r>
      <w:r w:rsidRPr="00D62638">
        <w:rPr>
          <w:rFonts w:ascii="Arial" w:hAnsi="Arial" w:cs="Arial"/>
        </w:rPr>
        <w:t xml:space="preserve">Jakość życia jest traktowana jako zbiór rozwiązań mających służyć zrównoważonemu </w:t>
      </w:r>
      <w:r w:rsidR="009851DE">
        <w:rPr>
          <w:rFonts w:ascii="Arial" w:hAnsi="Arial" w:cs="Arial"/>
        </w:rPr>
        <w:br/>
      </w:r>
      <w:r w:rsidRPr="00D62638">
        <w:rPr>
          <w:rFonts w:ascii="Arial" w:hAnsi="Arial" w:cs="Arial"/>
        </w:rPr>
        <w:t>i inteligentnemu rozwojowi całego regionu.</w:t>
      </w:r>
      <w:r w:rsidRPr="0064087E">
        <w:rPr>
          <w:rFonts w:ascii="Arial" w:hAnsi="Arial" w:cs="Arial"/>
        </w:rPr>
        <w:t xml:space="preserve"> </w:t>
      </w:r>
      <w:r w:rsidR="000A01C7" w:rsidRPr="0064087E">
        <w:rPr>
          <w:rFonts w:ascii="Arial" w:hAnsi="Arial" w:cs="Arial"/>
        </w:rPr>
        <w:t>Zauważyć przy tym należy, że żaden z tych obszarów nie rozwinął się na tyle, by stać się samodzielną inteligentną specjalizacją. Dlatego też R</w:t>
      </w:r>
      <w:r w:rsidR="00984F90" w:rsidRPr="0064087E">
        <w:rPr>
          <w:rFonts w:ascii="Arial" w:hAnsi="Arial" w:cs="Arial"/>
        </w:rPr>
        <w:t xml:space="preserve">egionalna </w:t>
      </w:r>
      <w:r w:rsidR="000A01C7" w:rsidRPr="0064087E">
        <w:rPr>
          <w:rFonts w:ascii="Arial" w:hAnsi="Arial" w:cs="Arial"/>
        </w:rPr>
        <w:t>S</w:t>
      </w:r>
      <w:r w:rsidR="00984F90" w:rsidRPr="0064087E">
        <w:rPr>
          <w:rFonts w:ascii="Arial" w:hAnsi="Arial" w:cs="Arial"/>
        </w:rPr>
        <w:t xml:space="preserve">trategia </w:t>
      </w:r>
      <w:r w:rsidR="000A01C7" w:rsidRPr="0064087E">
        <w:rPr>
          <w:rFonts w:ascii="Arial" w:hAnsi="Arial" w:cs="Arial"/>
        </w:rPr>
        <w:t>I</w:t>
      </w:r>
      <w:r w:rsidR="00984F90" w:rsidRPr="0064087E">
        <w:rPr>
          <w:rFonts w:ascii="Arial" w:hAnsi="Arial" w:cs="Arial"/>
        </w:rPr>
        <w:t>nnowacji</w:t>
      </w:r>
      <w:r w:rsidR="000A01C7" w:rsidRPr="0064087E">
        <w:rPr>
          <w:rFonts w:ascii="Arial" w:hAnsi="Arial" w:cs="Arial"/>
        </w:rPr>
        <w:t xml:space="preserve"> W</w:t>
      </w:r>
      <w:r w:rsidR="00984F90" w:rsidRPr="0064087E">
        <w:rPr>
          <w:rFonts w:ascii="Arial" w:hAnsi="Arial" w:cs="Arial"/>
        </w:rPr>
        <w:t xml:space="preserve">ojewództwa </w:t>
      </w:r>
      <w:r w:rsidR="000A01C7" w:rsidRPr="0064087E">
        <w:rPr>
          <w:rFonts w:ascii="Arial" w:hAnsi="Arial" w:cs="Arial"/>
        </w:rPr>
        <w:t>P</w:t>
      </w:r>
      <w:r w:rsidR="00984F90" w:rsidRPr="0064087E">
        <w:rPr>
          <w:rFonts w:ascii="Arial" w:hAnsi="Arial" w:cs="Arial"/>
        </w:rPr>
        <w:t>odkarpackiego na lata 2021-2030</w:t>
      </w:r>
      <w:r w:rsidR="000D6DFE" w:rsidRPr="0064087E">
        <w:rPr>
          <w:rFonts w:ascii="Arial" w:hAnsi="Arial" w:cs="Arial"/>
        </w:rPr>
        <w:t xml:space="preserve"> (RSI WP)</w:t>
      </w:r>
      <w:r w:rsidR="000A01C7" w:rsidRPr="0064087E">
        <w:rPr>
          <w:rFonts w:ascii="Arial" w:hAnsi="Arial" w:cs="Arial"/>
        </w:rPr>
        <w:t xml:space="preserve"> utrzyma</w:t>
      </w:r>
      <w:r w:rsidR="00CF710E" w:rsidRPr="0064087E">
        <w:rPr>
          <w:rFonts w:ascii="Arial" w:hAnsi="Arial" w:cs="Arial"/>
        </w:rPr>
        <w:t>ła</w:t>
      </w:r>
      <w:r w:rsidR="000A01C7" w:rsidRPr="0064087E">
        <w:rPr>
          <w:rFonts w:ascii="Arial" w:hAnsi="Arial" w:cs="Arial"/>
        </w:rPr>
        <w:t xml:space="preserve"> IS Jakość życia, jednak w nieco zmienionej formule. Jej rozwój zostanie oparty na czterech powiązanych ze sobą filarach (podspecjalizacjach), tj.:</w:t>
      </w:r>
    </w:p>
    <w:p w:rsidR="00CF710E" w:rsidRPr="0064087E" w:rsidRDefault="000A01C7" w:rsidP="009851DE">
      <w:pPr>
        <w:pStyle w:val="Akapitzlist"/>
        <w:numPr>
          <w:ilvl w:val="0"/>
          <w:numId w:val="31"/>
        </w:numPr>
        <w:spacing w:after="120" w:line="276" w:lineRule="auto"/>
        <w:rPr>
          <w:rFonts w:ascii="Arial" w:hAnsi="Arial" w:cs="Arial"/>
        </w:rPr>
      </w:pPr>
      <w:r w:rsidRPr="0064087E">
        <w:rPr>
          <w:rFonts w:ascii="Arial" w:hAnsi="Arial" w:cs="Arial"/>
        </w:rPr>
        <w:t>Turystyka zrównoważona;</w:t>
      </w:r>
    </w:p>
    <w:p w:rsidR="00CF710E" w:rsidRPr="0064087E" w:rsidRDefault="000A01C7" w:rsidP="009851DE">
      <w:pPr>
        <w:pStyle w:val="Akapitzlist"/>
        <w:numPr>
          <w:ilvl w:val="0"/>
          <w:numId w:val="31"/>
        </w:numPr>
        <w:spacing w:after="120" w:line="276" w:lineRule="auto"/>
        <w:rPr>
          <w:rFonts w:ascii="Arial" w:hAnsi="Arial" w:cs="Arial"/>
        </w:rPr>
      </w:pPr>
      <w:r w:rsidRPr="0064087E">
        <w:rPr>
          <w:rFonts w:ascii="Arial" w:hAnsi="Arial" w:cs="Arial"/>
        </w:rPr>
        <w:t>Żywność wysokiej jakości;</w:t>
      </w:r>
    </w:p>
    <w:p w:rsidR="00CF710E" w:rsidRPr="0064087E" w:rsidRDefault="000A01C7" w:rsidP="009851DE">
      <w:pPr>
        <w:pStyle w:val="Akapitzlist"/>
        <w:numPr>
          <w:ilvl w:val="0"/>
          <w:numId w:val="31"/>
        </w:numPr>
        <w:spacing w:after="120" w:line="276" w:lineRule="auto"/>
        <w:rPr>
          <w:rFonts w:ascii="Arial" w:hAnsi="Arial" w:cs="Arial"/>
        </w:rPr>
      </w:pPr>
      <w:r w:rsidRPr="0064087E">
        <w:rPr>
          <w:rFonts w:ascii="Arial" w:hAnsi="Arial" w:cs="Arial"/>
        </w:rPr>
        <w:t>Usługi i produkty medyczne oraz wzmacniające kondycję;</w:t>
      </w:r>
    </w:p>
    <w:p w:rsidR="00391575" w:rsidRPr="0064087E" w:rsidRDefault="000A01C7" w:rsidP="009851DE">
      <w:pPr>
        <w:pStyle w:val="Akapitzlist"/>
        <w:numPr>
          <w:ilvl w:val="0"/>
          <w:numId w:val="31"/>
        </w:numPr>
        <w:spacing w:after="120" w:line="276" w:lineRule="auto"/>
        <w:rPr>
          <w:rFonts w:ascii="Arial" w:hAnsi="Arial" w:cs="Arial"/>
        </w:rPr>
      </w:pPr>
      <w:r w:rsidRPr="0064087E">
        <w:rPr>
          <w:rFonts w:ascii="Arial" w:hAnsi="Arial" w:cs="Arial"/>
        </w:rPr>
        <w:t>Energia przyjazna środowisku</w:t>
      </w:r>
      <w:r w:rsidR="00391575" w:rsidRPr="0064087E">
        <w:rPr>
          <w:rStyle w:val="Odwoanieprzypisudolnego"/>
          <w:rFonts w:ascii="Arial" w:hAnsi="Arial" w:cs="Arial"/>
        </w:rPr>
        <w:footnoteReference w:id="29"/>
      </w:r>
      <w:r w:rsidRPr="0064087E">
        <w:rPr>
          <w:rFonts w:ascii="Arial" w:hAnsi="Arial" w:cs="Arial"/>
        </w:rPr>
        <w:t>.</w:t>
      </w:r>
    </w:p>
    <w:p w:rsidR="00526ADE" w:rsidRPr="0064087E" w:rsidRDefault="00526ADE" w:rsidP="009851DE">
      <w:pPr>
        <w:spacing w:before="60" w:after="60" w:line="276" w:lineRule="auto"/>
        <w:rPr>
          <w:rFonts w:ascii="Arial" w:hAnsi="Arial" w:cs="Arial"/>
        </w:rPr>
      </w:pPr>
      <w:r w:rsidRPr="0064087E">
        <w:rPr>
          <w:rFonts w:ascii="Arial" w:hAnsi="Arial" w:cs="Arial"/>
        </w:rPr>
        <w:t>Województwo podkarpackie posiada potencjał przyrodniczy, kulturowy i społeczny do rozwoju IS Jakość życia. Warunki naturalne sprzyjają rozwojowi infrastruktury związanej z</w:t>
      </w:r>
      <w:r w:rsidR="008F78C6" w:rsidRPr="0064087E">
        <w:rPr>
          <w:rFonts w:ascii="Arial" w:hAnsi="Arial" w:cs="Arial"/>
        </w:rPr>
        <w:t> </w:t>
      </w:r>
      <w:r w:rsidRPr="0064087E">
        <w:rPr>
          <w:rFonts w:ascii="Arial" w:hAnsi="Arial" w:cs="Arial"/>
        </w:rPr>
        <w:t>odnawialnymi źródłami energii. Niski poziom zanieczyszczeń oraz walory krajobrazowe i</w:t>
      </w:r>
      <w:r w:rsidR="008F78C6" w:rsidRPr="0064087E">
        <w:rPr>
          <w:rFonts w:ascii="Arial" w:hAnsi="Arial" w:cs="Arial"/>
        </w:rPr>
        <w:t> </w:t>
      </w:r>
      <w:r w:rsidRPr="0064087E">
        <w:rPr>
          <w:rFonts w:ascii="Arial" w:hAnsi="Arial" w:cs="Arial"/>
        </w:rPr>
        <w:t xml:space="preserve">potencjał uzdrowiskowy umożliwiają rozwój różnych form turystyki, ale również gałęzi gospodarki związanych ze zdrowiem i zdrową żywnością (w tym zielarstwa i pszczelarstwa). Województwo wyróżniają także długie tradycje w zakresie produkcji żywności, dzięki czemu </w:t>
      </w:r>
      <w:r w:rsidRPr="0064087E">
        <w:rPr>
          <w:rFonts w:ascii="Arial" w:hAnsi="Arial" w:cs="Arial"/>
        </w:rPr>
        <w:lastRenderedPageBreak/>
        <w:t>ponad 2</w:t>
      </w:r>
      <w:r w:rsidR="00CC4043" w:rsidRPr="0064087E">
        <w:rPr>
          <w:rFonts w:ascii="Arial" w:hAnsi="Arial" w:cs="Arial"/>
        </w:rPr>
        <w:t>5</w:t>
      </w:r>
      <w:r w:rsidRPr="0064087E">
        <w:rPr>
          <w:rFonts w:ascii="Arial" w:hAnsi="Arial" w:cs="Arial"/>
        </w:rPr>
        <w:t>0 podkarpackich produktów wpisanych jest na Listę Produktów Tradycyjnych.</w:t>
      </w:r>
    </w:p>
    <w:p w:rsidR="00CC7780" w:rsidRPr="0064087E" w:rsidRDefault="00CC7780" w:rsidP="009851DE">
      <w:pPr>
        <w:spacing w:before="60" w:after="60" w:line="276" w:lineRule="auto"/>
        <w:rPr>
          <w:rFonts w:ascii="Arial" w:hAnsi="Arial" w:cs="Arial"/>
        </w:rPr>
      </w:pPr>
      <w:r w:rsidRPr="0064087E">
        <w:rPr>
          <w:rFonts w:ascii="Arial" w:hAnsi="Arial" w:cs="Arial"/>
        </w:rPr>
        <w:t>Każdy z obszarów specjalizacji pozostaje w dynamicznym związku z pozostałymi. Pierwsze trzy obszary związane są z zachowaniem dobrej kondycji fizycznej i umysłowej oraz zdrowia, natomiast rozwój ostatniego obszaru pozwoli na utrzymanie wysokiej jakości środowiska przyrodniczego, co również będzie sprzyjać zachowaniu zdrowia mieszkańców województwa, a także pozwoli podtrzymać atrakcyjność turystyczną regionu. Jednocześnie specjalizacja wpisuje się w założenia gospodarki obiegu zamkniętego, ukierunkowanej m.in. na ochronę środowiska naturalnego, jak również w politykę UE dotyczącą Zielonego Ładu</w:t>
      </w:r>
      <w:r w:rsidR="00DD4F85" w:rsidRPr="0064087E">
        <w:rPr>
          <w:rStyle w:val="Odwoanieprzypisudolnego"/>
          <w:rFonts w:ascii="Arial" w:hAnsi="Arial" w:cs="Arial"/>
        </w:rPr>
        <w:footnoteReference w:id="30"/>
      </w:r>
      <w:r w:rsidRPr="0064087E">
        <w:rPr>
          <w:rFonts w:ascii="Arial" w:hAnsi="Arial" w:cs="Arial"/>
        </w:rPr>
        <w:t>.</w:t>
      </w:r>
    </w:p>
    <w:p w:rsidR="00CC7780" w:rsidRPr="0064087E" w:rsidRDefault="00CC7780" w:rsidP="009851DE">
      <w:pPr>
        <w:spacing w:before="60" w:after="60" w:line="276" w:lineRule="auto"/>
        <w:rPr>
          <w:rFonts w:ascii="Arial" w:hAnsi="Arial" w:cs="Arial"/>
        </w:rPr>
      </w:pPr>
      <w:r w:rsidRPr="0064087E">
        <w:rPr>
          <w:rFonts w:ascii="Arial" w:hAnsi="Arial" w:cs="Arial"/>
        </w:rPr>
        <w:t xml:space="preserve">Turystyka zrównoważona w swojej działalności wykorzystuje produkty wytwarzane przez podmioty podspecjalizacji żywności wysokiej jakości. W regionie z powodzeniem funkcjonują turystyczne szlaki kulinarne. Turystyka zdrowotna, stanowiąca jedną z gałęzi turystyki zrównoważonej, dodatkowo ściśle powiązana jest z obszarem usług i produktów medycznych oraz wzmacniających kondycję. Dzięki temu wzrasta również innowacyjność </w:t>
      </w:r>
      <w:r w:rsidR="00550156" w:rsidRPr="0064087E">
        <w:rPr>
          <w:rFonts w:ascii="Arial" w:hAnsi="Arial" w:cs="Arial"/>
        </w:rPr>
        <w:br/>
      </w:r>
      <w:r w:rsidRPr="0064087E">
        <w:rPr>
          <w:rFonts w:ascii="Arial" w:hAnsi="Arial" w:cs="Arial"/>
        </w:rPr>
        <w:t>i konkurencyjności turystyki będącej jedną z bardziej „tradycyjnych” gałęzi gospodarki</w:t>
      </w:r>
      <w:r w:rsidR="00DD4F85" w:rsidRPr="0064087E">
        <w:rPr>
          <w:rStyle w:val="Odwoanieprzypisudolnego"/>
          <w:rFonts w:ascii="Arial" w:hAnsi="Arial" w:cs="Arial"/>
        </w:rPr>
        <w:footnoteReference w:id="31"/>
      </w:r>
      <w:r w:rsidRPr="0064087E">
        <w:rPr>
          <w:rFonts w:ascii="Arial" w:hAnsi="Arial" w:cs="Arial"/>
        </w:rPr>
        <w:t>.</w:t>
      </w:r>
    </w:p>
    <w:p w:rsidR="00DD4F85" w:rsidRPr="0064087E" w:rsidRDefault="00DD4F85" w:rsidP="009851DE">
      <w:pPr>
        <w:pStyle w:val="Pa3"/>
        <w:spacing w:before="60" w:after="60" w:line="276" w:lineRule="auto"/>
        <w:rPr>
          <w:rFonts w:ascii="Arial" w:hAnsi="Arial" w:cs="Arial"/>
          <w:sz w:val="22"/>
          <w:szCs w:val="22"/>
        </w:rPr>
      </w:pPr>
      <w:r w:rsidRPr="0064087E">
        <w:rPr>
          <w:rFonts w:ascii="Arial" w:hAnsi="Arial" w:cs="Arial"/>
          <w:sz w:val="22"/>
          <w:szCs w:val="22"/>
        </w:rPr>
        <w:t xml:space="preserve">Sektor usług i produktów medycznych oraz wzmacniających kondycję dzięki turystyce zdrowotnej ma zapewniony dodatkowy rynek zbytu dla swojej działalności, a korzystając </w:t>
      </w:r>
      <w:r w:rsidRPr="0064087E">
        <w:rPr>
          <w:rFonts w:ascii="Arial" w:hAnsi="Arial" w:cs="Arial"/>
        </w:rPr>
        <w:br/>
      </w:r>
      <w:r w:rsidRPr="0064087E">
        <w:rPr>
          <w:rFonts w:ascii="Arial" w:hAnsi="Arial" w:cs="Arial"/>
          <w:sz w:val="22"/>
          <w:szCs w:val="22"/>
        </w:rPr>
        <w:t>z osiągnięć sektora żywności wysokiej jakości wspomaga procesy leczenia i regeneracji organizmu. Oczywiste zależno</w:t>
      </w:r>
      <w:r w:rsidRPr="0064087E">
        <w:rPr>
          <w:rFonts w:ascii="Arial" w:hAnsi="Arial" w:cs="Arial"/>
          <w:sz w:val="22"/>
          <w:szCs w:val="22"/>
        </w:rPr>
        <w:softHyphen/>
        <w:t>ści występują pomiędzy zachowaniem właściwej diety a stanem zdrowia. Funkcjonujące powiązania pomiędzy tymi trzema obszarami dotyczą zarówno rynków zbytu dla produktów i usług, jak i wy</w:t>
      </w:r>
      <w:r w:rsidRPr="0064087E">
        <w:rPr>
          <w:rFonts w:ascii="Arial" w:hAnsi="Arial" w:cs="Arial"/>
          <w:sz w:val="22"/>
          <w:szCs w:val="22"/>
        </w:rPr>
        <w:softHyphen/>
        <w:t>korzystywania podobnych zasobów naukowych oraz procesów innowacyjnych. Równie istotne są</w:t>
      </w:r>
      <w:r w:rsidRPr="0064087E">
        <w:rPr>
          <w:rFonts w:ascii="Arial" w:hAnsi="Arial" w:cs="Arial"/>
        </w:rPr>
        <w:t xml:space="preserve"> </w:t>
      </w:r>
      <w:r w:rsidRPr="0064087E">
        <w:rPr>
          <w:rFonts w:ascii="Arial" w:hAnsi="Arial" w:cs="Arial"/>
          <w:sz w:val="22"/>
          <w:szCs w:val="22"/>
        </w:rPr>
        <w:t xml:space="preserve">zależności pomiędzy zrównoważonym żywieniem i oszczędzaniem żywności a ochroną środowiska </w:t>
      </w:r>
      <w:r w:rsidR="009851DE">
        <w:rPr>
          <w:rFonts w:ascii="Arial" w:hAnsi="Arial" w:cs="Arial"/>
          <w:sz w:val="22"/>
          <w:szCs w:val="22"/>
        </w:rPr>
        <w:br/>
      </w:r>
      <w:r w:rsidRPr="0064087E">
        <w:rPr>
          <w:rFonts w:ascii="Arial" w:hAnsi="Arial" w:cs="Arial"/>
          <w:sz w:val="22"/>
          <w:szCs w:val="22"/>
        </w:rPr>
        <w:t>i przeciwdziałaniem zmianom klimatu</w:t>
      </w:r>
      <w:r w:rsidRPr="0064087E">
        <w:rPr>
          <w:rStyle w:val="Odwoanieprzypisudolnego"/>
          <w:rFonts w:ascii="Arial" w:hAnsi="Arial" w:cs="Arial"/>
          <w:sz w:val="22"/>
          <w:szCs w:val="22"/>
        </w:rPr>
        <w:footnoteReference w:id="32"/>
      </w:r>
      <w:r w:rsidRPr="0064087E">
        <w:rPr>
          <w:rFonts w:ascii="Arial" w:hAnsi="Arial" w:cs="Arial"/>
          <w:sz w:val="22"/>
          <w:szCs w:val="22"/>
        </w:rPr>
        <w:t>.</w:t>
      </w:r>
    </w:p>
    <w:p w:rsidR="00DD4F85" w:rsidRPr="0064087E" w:rsidRDefault="00DD4F85" w:rsidP="009851DE">
      <w:pPr>
        <w:pStyle w:val="Pa3"/>
        <w:spacing w:before="60" w:after="60" w:line="276" w:lineRule="auto"/>
        <w:rPr>
          <w:rFonts w:ascii="Arial" w:hAnsi="Arial" w:cs="Arial"/>
          <w:sz w:val="22"/>
          <w:szCs w:val="22"/>
        </w:rPr>
      </w:pPr>
      <w:r w:rsidRPr="0064087E">
        <w:rPr>
          <w:rFonts w:ascii="Arial" w:hAnsi="Arial" w:cs="Arial"/>
          <w:sz w:val="22"/>
          <w:szCs w:val="22"/>
        </w:rPr>
        <w:t>Obszar energia przyjazna środowisku również wykazuje powiązania z pozostałymi podspecjalizacja</w:t>
      </w:r>
      <w:r w:rsidRPr="0064087E">
        <w:rPr>
          <w:rFonts w:ascii="Arial" w:hAnsi="Arial" w:cs="Arial"/>
          <w:sz w:val="22"/>
          <w:szCs w:val="22"/>
        </w:rPr>
        <w:softHyphen/>
        <w:t xml:space="preserve">mi. Umożliwiając zachowanie wysokiej jakości środowiska przyrodniczego, wspomaga wizerunek województwa podkarpackiego jako regionu czystego, ekologicznego </w:t>
      </w:r>
      <w:r w:rsidRPr="0064087E">
        <w:rPr>
          <w:rFonts w:ascii="Arial" w:hAnsi="Arial" w:cs="Arial"/>
          <w:sz w:val="22"/>
          <w:szCs w:val="22"/>
        </w:rPr>
        <w:br/>
        <w:t>i atrakcyjnego dla turystów. Wzmacnia tym samym rozwój pozostałych podspecjalizacji. Należy także zauważyć, że podmioty tworzące obszar energii przyjaznej środowisku prowadzą działalność badawczo-rozwojową, w ra</w:t>
      </w:r>
      <w:r w:rsidRPr="0064087E">
        <w:rPr>
          <w:rFonts w:ascii="Arial" w:hAnsi="Arial" w:cs="Arial"/>
          <w:sz w:val="22"/>
          <w:szCs w:val="22"/>
        </w:rPr>
        <w:softHyphen/>
        <w:t>mach której powstają czasami produkty na potrzeby innych specjalizacji, jak bezinwazyjne urządze</w:t>
      </w:r>
      <w:r w:rsidRPr="0064087E">
        <w:rPr>
          <w:rFonts w:ascii="Arial" w:hAnsi="Arial" w:cs="Arial"/>
          <w:sz w:val="22"/>
          <w:szCs w:val="22"/>
        </w:rPr>
        <w:softHyphen/>
        <w:t>nie do diagnostyki zakażenia COVID-19. W ramach obszaru wykorzystywane są niekiedy produkty uboczne innych podspecjalizacji do tworzenia technologii OZE, np. rozkładające się odpadki orga</w:t>
      </w:r>
      <w:r w:rsidRPr="0064087E">
        <w:rPr>
          <w:rFonts w:ascii="Arial" w:hAnsi="Arial" w:cs="Arial"/>
          <w:sz w:val="22"/>
          <w:szCs w:val="22"/>
        </w:rPr>
        <w:softHyphen/>
        <w:t xml:space="preserve">niczne </w:t>
      </w:r>
      <w:r w:rsidR="009851DE">
        <w:rPr>
          <w:rFonts w:ascii="Arial" w:hAnsi="Arial" w:cs="Arial"/>
          <w:sz w:val="22"/>
          <w:szCs w:val="22"/>
        </w:rPr>
        <w:br/>
      </w:r>
      <w:r w:rsidRPr="0064087E">
        <w:rPr>
          <w:rFonts w:ascii="Arial" w:hAnsi="Arial" w:cs="Arial"/>
          <w:sz w:val="22"/>
          <w:szCs w:val="22"/>
        </w:rPr>
        <w:t>w biogazowniach</w:t>
      </w:r>
      <w:r w:rsidRPr="0064087E">
        <w:rPr>
          <w:rStyle w:val="Odwoanieprzypisudolnego"/>
          <w:rFonts w:ascii="Arial" w:hAnsi="Arial" w:cs="Arial"/>
          <w:sz w:val="22"/>
          <w:szCs w:val="22"/>
        </w:rPr>
        <w:footnoteReference w:id="33"/>
      </w:r>
      <w:r w:rsidRPr="0064087E">
        <w:rPr>
          <w:rFonts w:ascii="Arial" w:hAnsi="Arial" w:cs="Arial"/>
          <w:sz w:val="22"/>
          <w:szCs w:val="22"/>
        </w:rPr>
        <w:t>.</w:t>
      </w:r>
    </w:p>
    <w:p w:rsidR="00CC7780" w:rsidRPr="0064087E" w:rsidRDefault="00DD4F85" w:rsidP="009851DE">
      <w:pPr>
        <w:pStyle w:val="Pa3"/>
        <w:spacing w:before="60" w:after="60" w:line="276" w:lineRule="auto"/>
        <w:rPr>
          <w:rFonts w:ascii="Arial" w:hAnsi="Arial" w:cs="Arial"/>
          <w:sz w:val="22"/>
          <w:szCs w:val="22"/>
        </w:rPr>
      </w:pPr>
      <w:r w:rsidRPr="0064087E">
        <w:rPr>
          <w:rFonts w:ascii="Arial" w:hAnsi="Arial" w:cs="Arial"/>
          <w:sz w:val="22"/>
          <w:szCs w:val="22"/>
        </w:rPr>
        <w:t xml:space="preserve">Każdy z obszarów specjalizacji Jakość życia wykazuje się dynamiką wzrostu, a istniejące </w:t>
      </w:r>
      <w:r w:rsidRPr="0064087E">
        <w:rPr>
          <w:rFonts w:ascii="Arial" w:hAnsi="Arial" w:cs="Arial"/>
          <w:sz w:val="22"/>
          <w:szCs w:val="22"/>
        </w:rPr>
        <w:br/>
        <w:t>w regionie powiązania pomiędzy nimi umożliwiają wzajemne wspomaganie wzrostu ich konkurencyjności i innowacyjności.</w:t>
      </w:r>
    </w:p>
    <w:p w:rsidR="005622D7" w:rsidRPr="0064087E" w:rsidRDefault="005622D7" w:rsidP="009851DE">
      <w:pPr>
        <w:spacing w:after="120" w:line="276" w:lineRule="auto"/>
        <w:rPr>
          <w:rFonts w:ascii="Arial" w:hAnsi="Arial" w:cs="Arial"/>
        </w:rPr>
      </w:pPr>
      <w:r w:rsidRPr="0064087E">
        <w:rPr>
          <w:rFonts w:ascii="Arial" w:hAnsi="Arial" w:cs="Arial"/>
        </w:rPr>
        <w:t xml:space="preserve">W przeciwieństwie do pozostałych specjalizacji, skupionych głównie w największych miastach województwa, </w:t>
      </w:r>
      <w:r w:rsidR="00DD4F85" w:rsidRPr="0064087E">
        <w:rPr>
          <w:rFonts w:ascii="Arial" w:hAnsi="Arial" w:cs="Arial"/>
        </w:rPr>
        <w:t>Specjalizacja</w:t>
      </w:r>
      <w:r w:rsidRPr="0064087E">
        <w:rPr>
          <w:rFonts w:ascii="Arial" w:hAnsi="Arial" w:cs="Arial"/>
        </w:rPr>
        <w:t xml:space="preserve"> Jakość życia obejmuje teren całego </w:t>
      </w:r>
      <w:r w:rsidR="002A6C54" w:rsidRPr="0064087E">
        <w:rPr>
          <w:rFonts w:ascii="Arial" w:hAnsi="Arial" w:cs="Arial"/>
        </w:rPr>
        <w:t>regionu</w:t>
      </w:r>
      <w:r w:rsidRPr="0064087E">
        <w:rPr>
          <w:rFonts w:ascii="Arial" w:hAnsi="Arial" w:cs="Arial"/>
        </w:rPr>
        <w:t xml:space="preserve">, w tym małych miast i obszarów wiejskich, sprzyjając </w:t>
      </w:r>
      <w:r w:rsidR="003839C0" w:rsidRPr="0064087E">
        <w:rPr>
          <w:rFonts w:ascii="Arial" w:hAnsi="Arial" w:cs="Arial"/>
        </w:rPr>
        <w:t>tym samym włączeniu społecznemu</w:t>
      </w:r>
      <w:r w:rsidRPr="0064087E">
        <w:rPr>
          <w:rFonts w:ascii="Arial" w:hAnsi="Arial" w:cs="Arial"/>
        </w:rPr>
        <w:t>. Jest ona również odpowiedzią na unijny postulat dotyczący potrzeby wsparcia rozwoju gospodarki przyjaznej dla środowiska, efektywnie korzystającej z zasobów a jedno</w:t>
      </w:r>
      <w:r w:rsidR="003839C0" w:rsidRPr="0064087E">
        <w:rPr>
          <w:rFonts w:ascii="Arial" w:hAnsi="Arial" w:cs="Arial"/>
        </w:rPr>
        <w:t>cześnie bardziej konkurencyjnej</w:t>
      </w:r>
      <w:r w:rsidRPr="0064087E">
        <w:rPr>
          <w:rFonts w:ascii="Arial" w:hAnsi="Arial" w:cs="Arial"/>
        </w:rPr>
        <w:t>.</w:t>
      </w:r>
    </w:p>
    <w:p w:rsidR="005F6495" w:rsidRPr="0064087E" w:rsidRDefault="005622D7" w:rsidP="009851DE">
      <w:pPr>
        <w:spacing w:after="120" w:line="276" w:lineRule="auto"/>
        <w:rPr>
          <w:rFonts w:ascii="Arial" w:hAnsi="Arial" w:cs="Arial"/>
        </w:rPr>
      </w:pPr>
      <w:r w:rsidRPr="0064087E">
        <w:rPr>
          <w:rFonts w:ascii="Arial" w:hAnsi="Arial" w:cs="Arial"/>
        </w:rPr>
        <w:lastRenderedPageBreak/>
        <w:t xml:space="preserve">Obszar specjalizacji jakość życia cechuje duże rozdrobnienie podmiotów wykazujących przynależność do IS. Tym istotniejsze dla prawidłowego funkcjonowania i rozwoju IS jest współdziałanie pomiędzy </w:t>
      </w:r>
      <w:r w:rsidR="0077037D" w:rsidRPr="0064087E">
        <w:rPr>
          <w:rFonts w:ascii="Arial" w:hAnsi="Arial" w:cs="Arial"/>
        </w:rPr>
        <w:t>poszczególnymi</w:t>
      </w:r>
      <w:r w:rsidRPr="0064087E">
        <w:rPr>
          <w:rFonts w:ascii="Arial" w:hAnsi="Arial" w:cs="Arial"/>
        </w:rPr>
        <w:t xml:space="preserve"> podmiotami i znalezienie elementów wspólnych </w:t>
      </w:r>
      <w:r w:rsidR="00502B14" w:rsidRPr="0064087E">
        <w:rPr>
          <w:rFonts w:ascii="Arial" w:hAnsi="Arial" w:cs="Arial"/>
        </w:rPr>
        <w:br/>
      </w:r>
      <w:r w:rsidRPr="0064087E">
        <w:rPr>
          <w:rFonts w:ascii="Arial" w:hAnsi="Arial" w:cs="Arial"/>
        </w:rPr>
        <w:t xml:space="preserve">w różnych sektorach gospodarki składających się na jakość życia. Współpraca ta realizowana jest m.in. w formie klastrów działających na obszarze województwa podkarpackiego. Nadal jednak konieczne jest wzmacnianie i rozwijanie kooperacji pomiędzy poszczególnymi podmiotami, ale również pomiędzy klastrami reprezentującymi te same obszary </w:t>
      </w:r>
      <w:r w:rsidR="00A523A8" w:rsidRPr="0064087E">
        <w:rPr>
          <w:rFonts w:ascii="Arial" w:hAnsi="Arial" w:cs="Arial"/>
        </w:rPr>
        <w:t>j</w:t>
      </w:r>
      <w:r w:rsidRPr="0064087E">
        <w:rPr>
          <w:rFonts w:ascii="Arial" w:hAnsi="Arial" w:cs="Arial"/>
        </w:rPr>
        <w:t>akości życia, a także podejmowanie wspólnych działań przez podmioty wchodzące w skład różnych obszarów tej rozbudowanej inteligentnej specjalizacji.</w:t>
      </w:r>
      <w:r w:rsidR="00C31D68" w:rsidRPr="0064087E">
        <w:rPr>
          <w:rFonts w:ascii="Arial" w:hAnsi="Arial" w:cs="Arial"/>
        </w:rPr>
        <w:t xml:space="preserve"> </w:t>
      </w:r>
      <w:r w:rsidRPr="0064087E">
        <w:rPr>
          <w:rFonts w:ascii="Arial" w:hAnsi="Arial" w:cs="Arial"/>
        </w:rPr>
        <w:t>Specjalizacja jakość życia wymaga również rozwoju i wzmocnienia poziomu współpracy pomiędzy przedsiębiorstwami</w:t>
      </w:r>
      <w:r w:rsidR="00A523A8" w:rsidRPr="0064087E">
        <w:rPr>
          <w:rFonts w:ascii="Arial" w:hAnsi="Arial" w:cs="Arial"/>
        </w:rPr>
        <w:t>,</w:t>
      </w:r>
      <w:r w:rsidRPr="0064087E">
        <w:rPr>
          <w:rFonts w:ascii="Arial" w:hAnsi="Arial" w:cs="Arial"/>
        </w:rPr>
        <w:t xml:space="preserve"> a ośrodkami badawczo-rozwojowymi, zwłaszcza w obszarach IS związanych z usługami.</w:t>
      </w:r>
    </w:p>
    <w:p w:rsidR="00550156" w:rsidRPr="0064087E" w:rsidRDefault="00550156" w:rsidP="009851DE">
      <w:pPr>
        <w:pStyle w:val="Nagwek2"/>
        <w:numPr>
          <w:ilvl w:val="1"/>
          <w:numId w:val="1"/>
        </w:numPr>
        <w:ind w:left="357" w:hanging="357"/>
        <w:rPr>
          <w:b/>
          <w:color w:val="auto"/>
        </w:rPr>
      </w:pPr>
      <w:bookmarkStart w:id="81" w:name="_Toc160793883"/>
      <w:r w:rsidRPr="0064087E">
        <w:rPr>
          <w:b/>
          <w:color w:val="auto"/>
        </w:rPr>
        <w:t>Ekonomiczno-finansowe aspekty jakości życia w województwie podkarpackim</w:t>
      </w:r>
      <w:bookmarkEnd w:id="81"/>
    </w:p>
    <w:p w:rsidR="005F6495" w:rsidRPr="0064087E" w:rsidRDefault="005F6495" w:rsidP="009851DE">
      <w:pPr>
        <w:spacing w:after="120" w:line="276" w:lineRule="auto"/>
        <w:rPr>
          <w:rFonts w:ascii="Arial" w:hAnsi="Arial" w:cs="Arial"/>
          <w:b/>
        </w:rPr>
      </w:pPr>
      <w:r w:rsidRPr="0064087E">
        <w:rPr>
          <w:rFonts w:ascii="Arial" w:hAnsi="Arial" w:cs="Arial"/>
          <w:b/>
        </w:rPr>
        <w:t>Turystyka zrównoważona w województwie podkarpackim w latach 2017-202</w:t>
      </w:r>
      <w:r w:rsidR="00612A33">
        <w:rPr>
          <w:rFonts w:ascii="Arial" w:hAnsi="Arial" w:cs="Arial"/>
          <w:b/>
        </w:rPr>
        <w:t>2</w:t>
      </w:r>
    </w:p>
    <w:p w:rsidR="005F6495" w:rsidRPr="0064087E" w:rsidRDefault="005F6495" w:rsidP="009851DE">
      <w:pPr>
        <w:spacing w:after="120" w:line="276" w:lineRule="auto"/>
        <w:rPr>
          <w:rFonts w:ascii="Arial" w:hAnsi="Arial" w:cs="Arial"/>
        </w:rPr>
      </w:pPr>
      <w:r w:rsidRPr="0064087E">
        <w:rPr>
          <w:rFonts w:ascii="Arial" w:hAnsi="Arial" w:cs="Arial"/>
        </w:rPr>
        <w:t xml:space="preserve">Na potrzeby niniejszej analizy, pod pojęciem turystyki zrównoważonej należy rozumieć jednostki zaklasyfikowane do następujących </w:t>
      </w:r>
      <w:r w:rsidR="00927FD2" w:rsidRPr="0064087E">
        <w:rPr>
          <w:rFonts w:ascii="Arial" w:hAnsi="Arial" w:cs="Arial"/>
        </w:rPr>
        <w:t xml:space="preserve">działów i </w:t>
      </w:r>
      <w:r w:rsidR="002A3BF7" w:rsidRPr="0064087E">
        <w:rPr>
          <w:rFonts w:ascii="Arial" w:hAnsi="Arial" w:cs="Arial"/>
        </w:rPr>
        <w:t xml:space="preserve">klas </w:t>
      </w:r>
      <w:r w:rsidRPr="0064087E">
        <w:rPr>
          <w:rFonts w:ascii="Arial" w:hAnsi="Arial" w:cs="Arial"/>
        </w:rPr>
        <w:t>PKD tj.: 49.39, 55, 56, 77.21, 79, 86.10, 90.04, 91.02, 91.03, 91.04, 93.19, 93.2, 96.04.</w:t>
      </w:r>
    </w:p>
    <w:p w:rsidR="008307E4" w:rsidRPr="008307E4" w:rsidRDefault="008307E4" w:rsidP="009851DE">
      <w:pPr>
        <w:pStyle w:val="Legenda"/>
        <w:keepNext/>
        <w:rPr>
          <w:rFonts w:ascii="Arial" w:hAnsi="Arial" w:cs="Arial"/>
          <w:i w:val="0"/>
          <w:color w:val="auto"/>
          <w:sz w:val="22"/>
          <w:szCs w:val="22"/>
        </w:rPr>
      </w:pPr>
      <w:bookmarkStart w:id="82" w:name="_Toc161123010"/>
      <w:r w:rsidRPr="008307E4">
        <w:rPr>
          <w:rFonts w:ascii="Arial" w:hAnsi="Arial" w:cs="Arial"/>
          <w:b/>
          <w:i w:val="0"/>
          <w:color w:val="auto"/>
          <w:sz w:val="22"/>
          <w:szCs w:val="22"/>
        </w:rPr>
        <w:lastRenderedPageBreak/>
        <w:t xml:space="preserve">Rysunek </w:t>
      </w:r>
      <w:r w:rsidRPr="008307E4">
        <w:rPr>
          <w:rFonts w:ascii="Arial" w:hAnsi="Arial" w:cs="Arial"/>
          <w:b/>
          <w:i w:val="0"/>
          <w:color w:val="auto"/>
          <w:sz w:val="22"/>
          <w:szCs w:val="22"/>
        </w:rPr>
        <w:fldChar w:fldCharType="begin"/>
      </w:r>
      <w:r w:rsidRPr="008307E4">
        <w:rPr>
          <w:rFonts w:ascii="Arial" w:hAnsi="Arial" w:cs="Arial"/>
          <w:b/>
          <w:i w:val="0"/>
          <w:color w:val="auto"/>
          <w:sz w:val="22"/>
          <w:szCs w:val="22"/>
        </w:rPr>
        <w:instrText xml:space="preserve"> SEQ Rysunek \* ARABIC </w:instrText>
      </w:r>
      <w:r w:rsidRPr="008307E4">
        <w:rPr>
          <w:rFonts w:ascii="Arial" w:hAnsi="Arial" w:cs="Arial"/>
          <w:b/>
          <w:i w:val="0"/>
          <w:color w:val="auto"/>
          <w:sz w:val="22"/>
          <w:szCs w:val="22"/>
        </w:rPr>
        <w:fldChar w:fldCharType="separate"/>
      </w:r>
      <w:r w:rsidR="00884DAD">
        <w:rPr>
          <w:rFonts w:ascii="Arial" w:hAnsi="Arial" w:cs="Arial"/>
          <w:b/>
          <w:i w:val="0"/>
          <w:noProof/>
          <w:color w:val="auto"/>
          <w:sz w:val="22"/>
          <w:szCs w:val="22"/>
        </w:rPr>
        <w:t>10</w:t>
      </w:r>
      <w:r w:rsidRPr="008307E4">
        <w:rPr>
          <w:rFonts w:ascii="Arial" w:hAnsi="Arial" w:cs="Arial"/>
          <w:b/>
          <w:i w:val="0"/>
          <w:color w:val="auto"/>
          <w:sz w:val="22"/>
          <w:szCs w:val="22"/>
        </w:rPr>
        <w:fldChar w:fldCharType="end"/>
      </w:r>
      <w:r w:rsidRPr="008307E4">
        <w:rPr>
          <w:rFonts w:ascii="Arial" w:hAnsi="Arial" w:cs="Arial"/>
          <w:i w:val="0"/>
          <w:color w:val="auto"/>
          <w:sz w:val="22"/>
          <w:szCs w:val="22"/>
        </w:rPr>
        <w:t>. Rozmieszczenie turystycznych obiektów noclegowych w 2021 r.</w:t>
      </w:r>
      <w:bookmarkEnd w:id="82"/>
    </w:p>
    <w:p w:rsidR="005F6495" w:rsidRPr="0064087E" w:rsidRDefault="005F6495" w:rsidP="005F6495">
      <w:pPr>
        <w:spacing w:after="120" w:line="276" w:lineRule="auto"/>
        <w:jc w:val="center"/>
        <w:rPr>
          <w:rFonts w:ascii="Arial" w:hAnsi="Arial" w:cs="Arial"/>
        </w:rPr>
      </w:pPr>
      <w:r w:rsidRPr="0064087E">
        <w:rPr>
          <w:noProof/>
          <w:lang w:eastAsia="pl-PL"/>
        </w:rPr>
        <w:drawing>
          <wp:inline distT="0" distB="0" distL="0" distR="0" wp14:anchorId="7B4DDD5F" wp14:editId="7532876F">
            <wp:extent cx="4912360" cy="5233670"/>
            <wp:effectExtent l="0" t="0" r="0" b="0"/>
            <wp:docPr id="22" name="Obraz 22" descr="Mapa Województwa Podkarpackiego przedstawiająca wyodrębnione gminy w tym skupiska turystycznych obiektów noclegowych. Mapa wskazuje jako główne skupiska turystycznych obiektów noclegowych gminy: Lutowiska, Cisna, Czarna, Ustrzyki Dolne, Solina, Przemyśl, Rymanów oraz Rzesz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912360" cy="5233670"/>
                    </a:xfrm>
                    <a:prstGeom prst="rect">
                      <a:avLst/>
                    </a:prstGeom>
                    <a:noFill/>
                    <a:ln>
                      <a:noFill/>
                    </a:ln>
                  </pic:spPr>
                </pic:pic>
              </a:graphicData>
            </a:graphic>
          </wp:inline>
        </w:drawing>
      </w:r>
    </w:p>
    <w:p w:rsidR="005F6495" w:rsidRPr="0064087E" w:rsidRDefault="005F6495" w:rsidP="005F6495">
      <w:pPr>
        <w:spacing w:after="120" w:line="276" w:lineRule="auto"/>
        <w:jc w:val="center"/>
        <w:rPr>
          <w:rFonts w:ascii="Arial" w:hAnsi="Arial" w:cs="Arial"/>
        </w:rPr>
      </w:pPr>
      <w:r w:rsidRPr="0064087E">
        <w:rPr>
          <w:rFonts w:ascii="Arial" w:hAnsi="Arial" w:cs="Arial"/>
        </w:rPr>
        <w:t>Źródło: Opracowanie własne na podstawie danych GUS.</w:t>
      </w:r>
    </w:p>
    <w:p w:rsidR="006A7AA4" w:rsidRPr="0064087E" w:rsidRDefault="006A7AA4" w:rsidP="009851DE">
      <w:pPr>
        <w:spacing w:after="120" w:line="276" w:lineRule="auto"/>
        <w:rPr>
          <w:rFonts w:ascii="Arial" w:hAnsi="Arial" w:cs="Arial"/>
        </w:rPr>
      </w:pPr>
      <w:r w:rsidRPr="0064087E">
        <w:rPr>
          <w:rFonts w:ascii="Arial" w:hAnsi="Arial" w:cs="Arial"/>
        </w:rPr>
        <w:t xml:space="preserve">Walory przyrodnicze, infrastruktura turystyczna (baza noclegowa, obiekty kultury, szlaki turystyczne, baza gastronomiczna, punkty handlowe) oraz dostępność komunikacyjna tworzą potencjał turystyczny województwa podkarpackiego. Stopień atrakcyjności różnorodnych walorów przyrodniczych ma dla turystów charakter względny, </w:t>
      </w:r>
      <w:r w:rsidR="00A564A3">
        <w:rPr>
          <w:rFonts w:ascii="Arial" w:hAnsi="Arial" w:cs="Arial"/>
        </w:rPr>
        <w:br/>
      </w:r>
      <w:r w:rsidRPr="0064087E">
        <w:rPr>
          <w:rFonts w:ascii="Arial" w:hAnsi="Arial" w:cs="Arial"/>
        </w:rPr>
        <w:t>a o intensywności odwiedzania regionu przez turystę decyduje zarówno stopień przygotowania terenów do uprawiania turystyki i rekreacji, jak też obecność szczególnie cennych dóbr kultury i dziedzictwa narodowego. Potencjał turystyczny najczęściej mierzony jest poprzez liczbę turystycznych obiektów noclegowych, miejsc noclegowych oferowanych turystom, a jego wykorzystanie m.in. poprzez liczbę korzystających, liczbę udzielonych noclegów, średnią długość pobytu turystów w obiektach.</w:t>
      </w:r>
    </w:p>
    <w:p w:rsidR="006A7AA4" w:rsidRPr="0064087E" w:rsidRDefault="006A7AA4" w:rsidP="009851DE">
      <w:pPr>
        <w:spacing w:after="120" w:line="276" w:lineRule="auto"/>
        <w:rPr>
          <w:rFonts w:ascii="Arial" w:hAnsi="Arial" w:cs="Arial"/>
        </w:rPr>
      </w:pPr>
      <w:r w:rsidRPr="0064087E">
        <w:rPr>
          <w:rFonts w:ascii="Arial" w:hAnsi="Arial" w:cs="Arial"/>
        </w:rPr>
        <w:t>Turystyka, która jest istotną częścią inteligentnej specjalizacji Jakość życia, cechuje się znaczną podatnością na niekorzystne zjawiska w otoczeniu, czego dowodem była zapaść w branży w wyniku światowej pandemii. Sytuacja pandemiczna spowodowała zmiany strukturalne w branży, wpłynęła na zmianę kierunków turystycznych, rewizję polityki turystycznej poprzez wzrost zainteresowania lokalnymi atrakcjami turystycznymi, również ze względu na zubożenie konsumentów.</w:t>
      </w:r>
    </w:p>
    <w:p w:rsidR="006A7AA4" w:rsidRPr="0064087E" w:rsidRDefault="006A7AA4" w:rsidP="009851DE">
      <w:pPr>
        <w:spacing w:after="120" w:line="276" w:lineRule="auto"/>
        <w:rPr>
          <w:rFonts w:ascii="Arial" w:hAnsi="Arial" w:cs="Arial"/>
        </w:rPr>
      </w:pPr>
      <w:r w:rsidRPr="0064087E">
        <w:rPr>
          <w:rFonts w:ascii="Arial" w:hAnsi="Arial" w:cs="Arial"/>
        </w:rPr>
        <w:lastRenderedPageBreak/>
        <w:t xml:space="preserve">Ruch turystyczny wymaga odpowiedniej ilości i jakości infrastruktury oraz usług oferowanych odwiedzającym. W województwie podkarpackim w 2021 r. prowadziło działalność </w:t>
      </w:r>
      <w:r w:rsidRPr="0064087E">
        <w:rPr>
          <w:rFonts w:ascii="Arial" w:hAnsi="Arial" w:cs="Arial"/>
        </w:rPr>
        <w:br/>
        <w:t xml:space="preserve">601 turystycznych obiektów noclegowych posiadających 10 i więcej miejsc noclegowych </w:t>
      </w:r>
      <w:r w:rsidRPr="0064087E">
        <w:rPr>
          <w:rFonts w:ascii="Arial" w:hAnsi="Arial" w:cs="Arial"/>
        </w:rPr>
        <w:br/>
        <w:t xml:space="preserve">(o 19 więcej niż w 2017 r.), stanowiły one 6,0% wszystkich obiektów w Polsce (6. miejsce </w:t>
      </w:r>
      <w:r w:rsidRPr="0064087E">
        <w:rPr>
          <w:rFonts w:ascii="Arial" w:hAnsi="Arial" w:cs="Arial"/>
        </w:rPr>
        <w:br/>
        <w:t xml:space="preserve">w kraju). Do podstawowych turystycznych obiektów noclegowych należą obiekty hotelowe. </w:t>
      </w:r>
      <w:r w:rsidRPr="0064087E">
        <w:rPr>
          <w:rFonts w:ascii="Arial" w:hAnsi="Arial" w:cs="Arial"/>
        </w:rPr>
        <w:br/>
        <w:t xml:space="preserve">W regionie funkcjonowało 221 obiektów hotelowych (ich liczba w porównaniu z 2017 r. spadła o 6 obiektów), w tym: 138 hoteli (o 10 mniej niż w 2017 r.), 6 moteli (ich liczba pozostała bez zmian) i 16 pensjonatów (ich liczba pozostała bez zmian). Stanowiły one </w:t>
      </w:r>
      <w:r w:rsidR="00C936E7">
        <w:rPr>
          <w:rFonts w:ascii="Arial" w:hAnsi="Arial" w:cs="Arial"/>
        </w:rPr>
        <w:br/>
      </w:r>
      <w:r w:rsidRPr="0064087E">
        <w:rPr>
          <w:rFonts w:ascii="Arial" w:hAnsi="Arial" w:cs="Arial"/>
        </w:rPr>
        <w:t xml:space="preserve">w 2021 r. 5,6% wszystkich obiektów hotelowych w Polsce (także 5,6% w 2017 r.). </w:t>
      </w:r>
      <w:r w:rsidR="005D41BE">
        <w:rPr>
          <w:rFonts w:ascii="Arial" w:hAnsi="Arial" w:cs="Arial"/>
        </w:rPr>
        <w:t>W 2022 r. w województwie podkarpackim działalność prowadziło 605 turystycznych obiektów noclegowych</w:t>
      </w:r>
      <w:r w:rsidR="00DD2518">
        <w:rPr>
          <w:rFonts w:ascii="Arial" w:hAnsi="Arial" w:cs="Arial"/>
        </w:rPr>
        <w:t xml:space="preserve"> (5. miejsce w kraju)</w:t>
      </w:r>
      <w:r w:rsidR="000A67EE">
        <w:rPr>
          <w:rFonts w:ascii="Arial" w:hAnsi="Arial" w:cs="Arial"/>
        </w:rPr>
        <w:t>,  z czego 219 były to obiekty hotelowe.</w:t>
      </w:r>
    </w:p>
    <w:p w:rsidR="006A7AA4" w:rsidRPr="0064087E" w:rsidRDefault="006A7AA4" w:rsidP="009851DE">
      <w:pPr>
        <w:spacing w:after="120" w:line="276" w:lineRule="auto"/>
        <w:rPr>
          <w:rFonts w:ascii="Arial" w:hAnsi="Arial" w:cs="Arial"/>
        </w:rPr>
      </w:pPr>
      <w:r w:rsidRPr="0064087E">
        <w:rPr>
          <w:rFonts w:ascii="Arial" w:hAnsi="Arial" w:cs="Arial"/>
        </w:rPr>
        <w:t xml:space="preserve">W 2021 r. najliczniejszą grupę wśród hoteli w województwie podkarpackim stanowiły hotele trzygwiazdkowe – 70 obiektów (69 w 2017 r.) i dwugwiazdkowe – 34 obiekty (45 w 2017 r.). </w:t>
      </w:r>
      <w:r w:rsidRPr="0064087E">
        <w:rPr>
          <w:rFonts w:ascii="Arial" w:hAnsi="Arial" w:cs="Arial"/>
        </w:rPr>
        <w:br/>
        <w:t xml:space="preserve">W 2021 r. swoją działalność prowadziło również 16 hoteli czterogwiazdkowych (o 1 więcej </w:t>
      </w:r>
      <w:r w:rsidRPr="0064087E">
        <w:rPr>
          <w:rFonts w:ascii="Arial" w:hAnsi="Arial" w:cs="Arial"/>
        </w:rPr>
        <w:br/>
        <w:t>w porównaniu z 2017 r.), jeden pięciogwiazdkowy i 11 jednogwiazdkowych. W trakcie kategoryzacji było 6 hoteli. Bazę turystycznych obiektów noclegowych uzupełniają obiekty zakwaterowania indywidualnego, tj. pokoje gościnne, kwatery agroturystyczne, a także szkolne schroniska młodzieżowe, zespoły domków turystycznych i domy wycieczkowe.</w:t>
      </w:r>
    </w:p>
    <w:p w:rsidR="008307E4" w:rsidRPr="008307E4" w:rsidRDefault="008307E4" w:rsidP="009851DE">
      <w:pPr>
        <w:pStyle w:val="Legenda"/>
        <w:keepNext/>
        <w:rPr>
          <w:rFonts w:ascii="Arial" w:hAnsi="Arial" w:cs="Arial"/>
          <w:i w:val="0"/>
          <w:sz w:val="22"/>
          <w:szCs w:val="22"/>
        </w:rPr>
      </w:pPr>
      <w:bookmarkStart w:id="83" w:name="_Toc161123011"/>
      <w:r w:rsidRPr="008307E4">
        <w:rPr>
          <w:rFonts w:ascii="Arial" w:hAnsi="Arial" w:cs="Arial"/>
          <w:b/>
          <w:i w:val="0"/>
          <w:color w:val="auto"/>
          <w:sz w:val="22"/>
          <w:szCs w:val="22"/>
        </w:rPr>
        <w:t xml:space="preserve">Rysunek </w:t>
      </w:r>
      <w:r w:rsidRPr="008307E4">
        <w:rPr>
          <w:rFonts w:ascii="Arial" w:hAnsi="Arial" w:cs="Arial"/>
          <w:b/>
          <w:i w:val="0"/>
          <w:color w:val="auto"/>
          <w:sz w:val="22"/>
          <w:szCs w:val="22"/>
        </w:rPr>
        <w:fldChar w:fldCharType="begin"/>
      </w:r>
      <w:r w:rsidRPr="008307E4">
        <w:rPr>
          <w:rFonts w:ascii="Arial" w:hAnsi="Arial" w:cs="Arial"/>
          <w:b/>
          <w:i w:val="0"/>
          <w:color w:val="auto"/>
          <w:sz w:val="22"/>
          <w:szCs w:val="22"/>
        </w:rPr>
        <w:instrText xml:space="preserve"> SEQ Rysunek \* ARABIC </w:instrText>
      </w:r>
      <w:r w:rsidRPr="008307E4">
        <w:rPr>
          <w:rFonts w:ascii="Arial" w:hAnsi="Arial" w:cs="Arial"/>
          <w:b/>
          <w:i w:val="0"/>
          <w:color w:val="auto"/>
          <w:sz w:val="22"/>
          <w:szCs w:val="22"/>
        </w:rPr>
        <w:fldChar w:fldCharType="separate"/>
      </w:r>
      <w:r w:rsidR="00884DAD">
        <w:rPr>
          <w:rFonts w:ascii="Arial" w:hAnsi="Arial" w:cs="Arial"/>
          <w:b/>
          <w:i w:val="0"/>
          <w:noProof/>
          <w:color w:val="auto"/>
          <w:sz w:val="22"/>
          <w:szCs w:val="22"/>
        </w:rPr>
        <w:t>11</w:t>
      </w:r>
      <w:r w:rsidRPr="008307E4">
        <w:rPr>
          <w:rFonts w:ascii="Arial" w:hAnsi="Arial" w:cs="Arial"/>
          <w:b/>
          <w:i w:val="0"/>
          <w:color w:val="auto"/>
          <w:sz w:val="22"/>
          <w:szCs w:val="22"/>
        </w:rPr>
        <w:fldChar w:fldCharType="end"/>
      </w:r>
      <w:r>
        <w:rPr>
          <w:rFonts w:ascii="Arial" w:hAnsi="Arial" w:cs="Arial"/>
          <w:b/>
          <w:i w:val="0"/>
          <w:color w:val="auto"/>
          <w:sz w:val="22"/>
          <w:szCs w:val="22"/>
        </w:rPr>
        <w:t>.</w:t>
      </w:r>
      <w:r w:rsidRPr="008307E4">
        <w:rPr>
          <w:rFonts w:ascii="Arial" w:hAnsi="Arial" w:cs="Arial"/>
          <w:i w:val="0"/>
          <w:color w:val="auto"/>
          <w:sz w:val="22"/>
          <w:szCs w:val="22"/>
        </w:rPr>
        <w:t xml:space="preserve"> Turystyczne obiekty noclegowe w 2021 r. </w:t>
      </w:r>
      <w:r w:rsidR="00FB62CE">
        <w:rPr>
          <w:rFonts w:ascii="Arial" w:hAnsi="Arial" w:cs="Arial"/>
          <w:i w:val="0"/>
          <w:color w:val="auto"/>
          <w:sz w:val="22"/>
          <w:szCs w:val="22"/>
        </w:rPr>
        <w:t xml:space="preserve">i 2022 r. </w:t>
      </w:r>
      <w:r w:rsidRPr="008307E4">
        <w:rPr>
          <w:rFonts w:ascii="Arial" w:hAnsi="Arial" w:cs="Arial"/>
          <w:i w:val="0"/>
          <w:color w:val="auto"/>
          <w:sz w:val="22"/>
          <w:szCs w:val="22"/>
        </w:rPr>
        <w:t>– stan w dniu 31 lipca</w:t>
      </w:r>
      <w:bookmarkEnd w:id="83"/>
    </w:p>
    <w:p w:rsidR="008D3A93" w:rsidRPr="0064087E" w:rsidRDefault="008D3A93" w:rsidP="008D3A93">
      <w:pPr>
        <w:spacing w:after="120" w:line="276" w:lineRule="auto"/>
        <w:jc w:val="center"/>
        <w:rPr>
          <w:rFonts w:ascii="Arial" w:hAnsi="Arial" w:cs="Arial"/>
        </w:rPr>
      </w:pPr>
      <w:r>
        <w:rPr>
          <w:rFonts w:ascii="Arial" w:hAnsi="Arial" w:cs="Arial"/>
          <w:noProof/>
        </w:rPr>
        <w:drawing>
          <wp:inline distT="0" distB="0" distL="0" distR="0">
            <wp:extent cx="5760720" cy="2571115"/>
            <wp:effectExtent l="0" t="0" r="0" b="635"/>
            <wp:docPr id="24" name="Obraz 24" descr="Rysunek 11. Turystyczne obiekty noclegowe w 2021 r. i 2022 r. – stan w dniu 31 li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urystyczne obiekty hotelowe 2021-22.png"/>
                    <pic:cNvPicPr/>
                  </pic:nvPicPr>
                  <pic:blipFill>
                    <a:blip r:embed="rId69">
                      <a:extLst>
                        <a:ext uri="{28A0092B-C50C-407E-A947-70E740481C1C}">
                          <a14:useLocalDpi xmlns:a14="http://schemas.microsoft.com/office/drawing/2010/main" val="0"/>
                        </a:ext>
                      </a:extLst>
                    </a:blip>
                    <a:stretch>
                      <a:fillRect/>
                    </a:stretch>
                  </pic:blipFill>
                  <pic:spPr>
                    <a:xfrm>
                      <a:off x="0" y="0"/>
                      <a:ext cx="5760720" cy="2571115"/>
                    </a:xfrm>
                    <a:prstGeom prst="rect">
                      <a:avLst/>
                    </a:prstGeom>
                  </pic:spPr>
                </pic:pic>
              </a:graphicData>
            </a:graphic>
          </wp:inline>
        </w:drawing>
      </w:r>
    </w:p>
    <w:p w:rsidR="006A7AA4" w:rsidRPr="0064087E" w:rsidRDefault="006A7AA4" w:rsidP="006A7AA4">
      <w:pPr>
        <w:spacing w:after="120" w:line="276" w:lineRule="auto"/>
        <w:jc w:val="center"/>
        <w:rPr>
          <w:rFonts w:ascii="Arial" w:hAnsi="Arial" w:cs="Arial"/>
        </w:rPr>
      </w:pPr>
      <w:r w:rsidRPr="0064087E">
        <w:rPr>
          <w:rFonts w:ascii="Arial" w:hAnsi="Arial" w:cs="Arial"/>
        </w:rPr>
        <w:t>Źródło: Opracowanie własne na podstawie danych GUS.</w:t>
      </w:r>
    </w:p>
    <w:p w:rsidR="006A7AA4" w:rsidRPr="0064087E" w:rsidRDefault="006A7AA4" w:rsidP="0036761C">
      <w:pPr>
        <w:spacing w:after="120" w:line="276" w:lineRule="auto"/>
        <w:rPr>
          <w:rFonts w:ascii="Arial" w:hAnsi="Arial" w:cs="Arial"/>
        </w:rPr>
      </w:pPr>
      <w:r w:rsidRPr="0064087E">
        <w:rPr>
          <w:rFonts w:ascii="Arial" w:hAnsi="Arial" w:cs="Arial"/>
        </w:rPr>
        <w:t>W 2021 r. turystyczne obiekty noclegowe znajdujące się na terenie województwa podkarpackiego dysponowały łącznie 33,2 tys. miejsc noclegowych, stanowiąc 4,2% takich miejsc w kraju (9. lokata). W porównaniu z 2017 r. liczba miejsc noclegowych wzrosła o 187, a w odniesieniu do 2019 r. spadła o 2,5 tys. miejsc noclegowych.</w:t>
      </w:r>
      <w:r w:rsidR="0074626F">
        <w:rPr>
          <w:rFonts w:ascii="Arial" w:hAnsi="Arial" w:cs="Arial"/>
        </w:rPr>
        <w:t xml:space="preserve"> W 2022 r. liczba miejsc noclegowych, którymi dysponowały turystyczne obiekty noclegowe znajdujące się na terenie województwa podkarpackiego wynosiła 32,9 tys.</w:t>
      </w:r>
      <w:r w:rsidR="00CC2118">
        <w:rPr>
          <w:rFonts w:ascii="Arial" w:hAnsi="Arial" w:cs="Arial"/>
        </w:rPr>
        <w:t xml:space="preserve"> (9.lokata).</w:t>
      </w:r>
    </w:p>
    <w:p w:rsidR="0036761C" w:rsidRDefault="006A7AA4" w:rsidP="0036761C">
      <w:pPr>
        <w:spacing w:after="120" w:line="276" w:lineRule="auto"/>
        <w:rPr>
          <w:rFonts w:ascii="Arial" w:hAnsi="Arial" w:cs="Arial"/>
        </w:rPr>
      </w:pPr>
      <w:r w:rsidRPr="0064087E">
        <w:rPr>
          <w:rFonts w:ascii="Arial" w:hAnsi="Arial" w:cs="Arial"/>
        </w:rPr>
        <w:t>Pod względem liczby miejsc noclegowych w województwie podkarpackim w 2021 r. zdecydowanie dominowały hotele – 29,7% oraz zakłady uzdrowiskowe – 10,0% (w 2017 r. odpowiednio: 31,0% oraz 9,1%).</w:t>
      </w:r>
    </w:p>
    <w:p w:rsidR="006A7AA4" w:rsidRPr="0064087E" w:rsidRDefault="0036761C" w:rsidP="0036761C">
      <w:pPr>
        <w:widowControl/>
        <w:autoSpaceDE/>
        <w:autoSpaceDN/>
        <w:spacing w:after="160" w:line="259" w:lineRule="auto"/>
        <w:rPr>
          <w:rFonts w:ascii="Arial" w:hAnsi="Arial" w:cs="Arial"/>
        </w:rPr>
      </w:pPr>
      <w:r>
        <w:rPr>
          <w:rFonts w:ascii="Arial" w:hAnsi="Arial" w:cs="Arial"/>
        </w:rPr>
        <w:br w:type="page"/>
      </w:r>
    </w:p>
    <w:p w:rsidR="006A7AA4" w:rsidRPr="008D3A93" w:rsidRDefault="008307E4" w:rsidP="0036761C">
      <w:pPr>
        <w:pStyle w:val="Legenda"/>
        <w:keepNext/>
        <w:spacing w:line="276" w:lineRule="auto"/>
        <w:rPr>
          <w:rFonts w:ascii="Arial" w:hAnsi="Arial" w:cs="Arial"/>
          <w:sz w:val="22"/>
          <w:szCs w:val="22"/>
        </w:rPr>
      </w:pPr>
      <w:bookmarkStart w:id="84" w:name="_Toc161123012"/>
      <w:r w:rsidRPr="00884DAD">
        <w:rPr>
          <w:rFonts w:ascii="Arial" w:hAnsi="Arial" w:cs="Arial"/>
          <w:b/>
          <w:i w:val="0"/>
          <w:color w:val="000000" w:themeColor="text1"/>
          <w:sz w:val="22"/>
          <w:szCs w:val="22"/>
        </w:rPr>
        <w:lastRenderedPageBreak/>
        <w:t xml:space="preserve">Rysunek </w:t>
      </w:r>
      <w:r w:rsidRPr="00884DAD">
        <w:rPr>
          <w:rFonts w:ascii="Arial" w:hAnsi="Arial" w:cs="Arial"/>
          <w:b/>
          <w:i w:val="0"/>
          <w:color w:val="000000" w:themeColor="text1"/>
          <w:sz w:val="22"/>
          <w:szCs w:val="22"/>
        </w:rPr>
        <w:fldChar w:fldCharType="begin"/>
      </w:r>
      <w:r w:rsidRPr="00884DAD">
        <w:rPr>
          <w:rFonts w:ascii="Arial" w:hAnsi="Arial" w:cs="Arial"/>
          <w:b/>
          <w:i w:val="0"/>
          <w:color w:val="000000" w:themeColor="text1"/>
          <w:sz w:val="22"/>
          <w:szCs w:val="22"/>
        </w:rPr>
        <w:instrText xml:space="preserve"> SEQ Rysunek \* ARABIC </w:instrText>
      </w:r>
      <w:r w:rsidRPr="00884DAD">
        <w:rPr>
          <w:rFonts w:ascii="Arial" w:hAnsi="Arial" w:cs="Arial"/>
          <w:b/>
          <w:i w:val="0"/>
          <w:color w:val="000000" w:themeColor="text1"/>
          <w:sz w:val="22"/>
          <w:szCs w:val="22"/>
        </w:rPr>
        <w:fldChar w:fldCharType="separate"/>
      </w:r>
      <w:r w:rsidR="00884DAD">
        <w:rPr>
          <w:rFonts w:ascii="Arial" w:hAnsi="Arial" w:cs="Arial"/>
          <w:b/>
          <w:i w:val="0"/>
          <w:noProof/>
          <w:color w:val="000000" w:themeColor="text1"/>
          <w:sz w:val="22"/>
          <w:szCs w:val="22"/>
        </w:rPr>
        <w:t>12</w:t>
      </w:r>
      <w:r w:rsidRPr="00884DAD">
        <w:rPr>
          <w:rFonts w:ascii="Arial" w:hAnsi="Arial" w:cs="Arial"/>
          <w:b/>
          <w:i w:val="0"/>
          <w:color w:val="000000" w:themeColor="text1"/>
          <w:sz w:val="22"/>
          <w:szCs w:val="22"/>
        </w:rPr>
        <w:fldChar w:fldCharType="end"/>
      </w:r>
      <w:r w:rsidRPr="00884DAD">
        <w:rPr>
          <w:rFonts w:ascii="Arial" w:hAnsi="Arial" w:cs="Arial"/>
          <w:i w:val="0"/>
          <w:color w:val="000000" w:themeColor="text1"/>
          <w:sz w:val="22"/>
          <w:szCs w:val="22"/>
        </w:rPr>
        <w:t xml:space="preserve">. </w:t>
      </w:r>
      <w:r w:rsidRPr="008307E4">
        <w:rPr>
          <w:rFonts w:ascii="Arial" w:hAnsi="Arial" w:cs="Arial"/>
          <w:i w:val="0"/>
          <w:color w:val="auto"/>
          <w:sz w:val="22"/>
          <w:szCs w:val="22"/>
        </w:rPr>
        <w:t>Miejsca noclegowe w turystycznych obiektach noclegowych w 2021 r.</w:t>
      </w:r>
      <w:r w:rsidR="00FB62CE">
        <w:rPr>
          <w:rFonts w:ascii="Arial" w:hAnsi="Arial" w:cs="Arial"/>
          <w:i w:val="0"/>
          <w:color w:val="auto"/>
          <w:sz w:val="22"/>
          <w:szCs w:val="22"/>
        </w:rPr>
        <w:t xml:space="preserve"> i 2022</w:t>
      </w:r>
      <w:r w:rsidR="001F6BD4">
        <w:rPr>
          <w:rFonts w:ascii="Arial" w:hAnsi="Arial" w:cs="Arial"/>
          <w:i w:val="0"/>
          <w:color w:val="auto"/>
          <w:sz w:val="22"/>
          <w:szCs w:val="22"/>
        </w:rPr>
        <w:t> </w:t>
      </w:r>
      <w:r w:rsidR="00FB62CE">
        <w:rPr>
          <w:rFonts w:ascii="Arial" w:hAnsi="Arial" w:cs="Arial"/>
          <w:i w:val="0"/>
          <w:color w:val="auto"/>
          <w:sz w:val="22"/>
          <w:szCs w:val="22"/>
        </w:rPr>
        <w:t>r.</w:t>
      </w:r>
      <w:r w:rsidRPr="008307E4">
        <w:rPr>
          <w:rFonts w:ascii="Arial" w:hAnsi="Arial" w:cs="Arial"/>
          <w:i w:val="0"/>
          <w:color w:val="auto"/>
          <w:sz w:val="22"/>
          <w:szCs w:val="22"/>
        </w:rPr>
        <w:t xml:space="preserve"> – stan w dniu 31</w:t>
      </w:r>
      <w:r w:rsidRPr="008307E4">
        <w:rPr>
          <w:rFonts w:ascii="Arial" w:hAnsi="Arial" w:cs="Arial"/>
          <w:color w:val="auto"/>
          <w:sz w:val="22"/>
          <w:szCs w:val="22"/>
        </w:rPr>
        <w:t xml:space="preserve"> </w:t>
      </w:r>
      <w:r w:rsidRPr="008307E4">
        <w:rPr>
          <w:rFonts w:ascii="Arial" w:hAnsi="Arial" w:cs="Arial"/>
          <w:i w:val="0"/>
          <w:color w:val="auto"/>
          <w:sz w:val="22"/>
          <w:szCs w:val="22"/>
        </w:rPr>
        <w:t>lipca.</w:t>
      </w:r>
      <w:bookmarkEnd w:id="84"/>
    </w:p>
    <w:p w:rsidR="00C016C5" w:rsidRPr="0064087E" w:rsidRDefault="00CE3583" w:rsidP="006A7AA4">
      <w:pPr>
        <w:spacing w:after="120" w:line="276" w:lineRule="auto"/>
        <w:jc w:val="center"/>
        <w:rPr>
          <w:rFonts w:ascii="Arial" w:hAnsi="Arial" w:cs="Arial"/>
        </w:rPr>
      </w:pPr>
      <w:r>
        <w:rPr>
          <w:rFonts w:ascii="Arial" w:hAnsi="Arial" w:cs="Arial"/>
          <w:noProof/>
        </w:rPr>
        <w:drawing>
          <wp:inline distT="0" distB="0" distL="0" distR="0">
            <wp:extent cx="5760720" cy="2620010"/>
            <wp:effectExtent l="0" t="0" r="0" b="8890"/>
            <wp:docPr id="25" name="Obraz 25" descr="Rysunek 12. Miejsca noclegowe w turystycznych obiektach noclegowych w 2021 r. i 2022 r. – stan w dniu 31 li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iejsca noclegowe 2021-22.png"/>
                    <pic:cNvPicPr/>
                  </pic:nvPicPr>
                  <pic:blipFill>
                    <a:blip r:embed="rId70">
                      <a:extLst>
                        <a:ext uri="{28A0092B-C50C-407E-A947-70E740481C1C}">
                          <a14:useLocalDpi xmlns:a14="http://schemas.microsoft.com/office/drawing/2010/main" val="0"/>
                        </a:ext>
                      </a:extLst>
                    </a:blip>
                    <a:stretch>
                      <a:fillRect/>
                    </a:stretch>
                  </pic:blipFill>
                  <pic:spPr>
                    <a:xfrm>
                      <a:off x="0" y="0"/>
                      <a:ext cx="5760720" cy="2620010"/>
                    </a:xfrm>
                    <a:prstGeom prst="rect">
                      <a:avLst/>
                    </a:prstGeom>
                  </pic:spPr>
                </pic:pic>
              </a:graphicData>
            </a:graphic>
          </wp:inline>
        </w:drawing>
      </w:r>
    </w:p>
    <w:p w:rsidR="006A7AA4" w:rsidRPr="0064087E" w:rsidRDefault="006A7AA4" w:rsidP="006A7AA4">
      <w:pPr>
        <w:spacing w:after="120" w:line="276" w:lineRule="auto"/>
        <w:jc w:val="center"/>
        <w:rPr>
          <w:rFonts w:ascii="Arial" w:hAnsi="Arial" w:cs="Arial"/>
        </w:rPr>
      </w:pPr>
      <w:r w:rsidRPr="0064087E">
        <w:rPr>
          <w:rFonts w:ascii="Arial" w:hAnsi="Arial" w:cs="Arial"/>
        </w:rPr>
        <w:t>Źródło: Opracowanie własne na podstawie danych GUS.</w:t>
      </w:r>
    </w:p>
    <w:p w:rsidR="008307E4" w:rsidRPr="008307E4" w:rsidRDefault="008307E4" w:rsidP="0036761C">
      <w:pPr>
        <w:pStyle w:val="Legenda"/>
        <w:keepNext/>
        <w:rPr>
          <w:rFonts w:ascii="Arial" w:hAnsi="Arial" w:cs="Arial"/>
          <w:i w:val="0"/>
          <w:color w:val="auto"/>
          <w:sz w:val="22"/>
          <w:szCs w:val="22"/>
        </w:rPr>
      </w:pPr>
      <w:bookmarkStart w:id="85" w:name="_Toc161123013"/>
      <w:r w:rsidRPr="008307E4">
        <w:rPr>
          <w:rFonts w:ascii="Arial" w:hAnsi="Arial" w:cs="Arial"/>
          <w:b/>
          <w:i w:val="0"/>
          <w:color w:val="auto"/>
          <w:sz w:val="22"/>
          <w:szCs w:val="22"/>
        </w:rPr>
        <w:t xml:space="preserve">Rysunek </w:t>
      </w:r>
      <w:r w:rsidRPr="008307E4">
        <w:rPr>
          <w:rFonts w:ascii="Arial" w:hAnsi="Arial" w:cs="Arial"/>
          <w:b/>
          <w:i w:val="0"/>
          <w:color w:val="auto"/>
          <w:sz w:val="22"/>
          <w:szCs w:val="22"/>
        </w:rPr>
        <w:fldChar w:fldCharType="begin"/>
      </w:r>
      <w:r w:rsidRPr="008307E4">
        <w:rPr>
          <w:rFonts w:ascii="Arial" w:hAnsi="Arial" w:cs="Arial"/>
          <w:b/>
          <w:i w:val="0"/>
          <w:color w:val="auto"/>
          <w:sz w:val="22"/>
          <w:szCs w:val="22"/>
        </w:rPr>
        <w:instrText xml:space="preserve"> SEQ Rysunek \* ARABIC </w:instrText>
      </w:r>
      <w:r w:rsidRPr="008307E4">
        <w:rPr>
          <w:rFonts w:ascii="Arial" w:hAnsi="Arial" w:cs="Arial"/>
          <w:b/>
          <w:i w:val="0"/>
          <w:color w:val="auto"/>
          <w:sz w:val="22"/>
          <w:szCs w:val="22"/>
        </w:rPr>
        <w:fldChar w:fldCharType="separate"/>
      </w:r>
      <w:r w:rsidR="00884DAD">
        <w:rPr>
          <w:rFonts w:ascii="Arial" w:hAnsi="Arial" w:cs="Arial"/>
          <w:b/>
          <w:i w:val="0"/>
          <w:noProof/>
          <w:color w:val="auto"/>
          <w:sz w:val="22"/>
          <w:szCs w:val="22"/>
        </w:rPr>
        <w:t>13</w:t>
      </w:r>
      <w:r w:rsidRPr="008307E4">
        <w:rPr>
          <w:rFonts w:ascii="Arial" w:hAnsi="Arial" w:cs="Arial"/>
          <w:b/>
          <w:i w:val="0"/>
          <w:color w:val="auto"/>
          <w:sz w:val="22"/>
          <w:szCs w:val="22"/>
        </w:rPr>
        <w:fldChar w:fldCharType="end"/>
      </w:r>
      <w:r w:rsidRPr="008307E4">
        <w:rPr>
          <w:rFonts w:ascii="Arial" w:hAnsi="Arial" w:cs="Arial"/>
          <w:b/>
          <w:i w:val="0"/>
          <w:color w:val="auto"/>
          <w:sz w:val="22"/>
          <w:szCs w:val="22"/>
        </w:rPr>
        <w:t>.</w:t>
      </w:r>
      <w:r w:rsidRPr="008307E4">
        <w:rPr>
          <w:rFonts w:ascii="Arial" w:hAnsi="Arial" w:cs="Arial"/>
          <w:i w:val="0"/>
          <w:color w:val="auto"/>
          <w:sz w:val="22"/>
          <w:szCs w:val="22"/>
        </w:rPr>
        <w:t xml:space="preserve"> Turyści korzystający z turystycznych obiektów noclegowych w 2021 r.</w:t>
      </w:r>
      <w:r w:rsidR="001F6BD4">
        <w:rPr>
          <w:rFonts w:ascii="Arial" w:hAnsi="Arial" w:cs="Arial"/>
          <w:i w:val="0"/>
          <w:color w:val="auto"/>
          <w:sz w:val="22"/>
          <w:szCs w:val="22"/>
        </w:rPr>
        <w:t xml:space="preserve"> i 2022 r.</w:t>
      </w:r>
      <w:bookmarkEnd w:id="85"/>
    </w:p>
    <w:p w:rsidR="00C016C5" w:rsidRPr="0064087E" w:rsidRDefault="00CE3583" w:rsidP="006A7AA4">
      <w:pPr>
        <w:spacing w:after="120" w:line="276" w:lineRule="auto"/>
        <w:jc w:val="both"/>
        <w:rPr>
          <w:rFonts w:ascii="Arial" w:hAnsi="Arial" w:cs="Arial"/>
        </w:rPr>
      </w:pPr>
      <w:r>
        <w:rPr>
          <w:rFonts w:ascii="Arial" w:hAnsi="Arial" w:cs="Arial"/>
          <w:noProof/>
        </w:rPr>
        <w:drawing>
          <wp:inline distT="0" distB="0" distL="0" distR="0">
            <wp:extent cx="5760720" cy="2433320"/>
            <wp:effectExtent l="0" t="0" r="0" b="5080"/>
            <wp:docPr id="26" name="Obraz 26" descr="Rysunek 13. Turyści korzystający z turystycznych obiektów noclegowych w 2021 r. i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urystyczne obiekty 2021-22.png"/>
                    <pic:cNvPicPr/>
                  </pic:nvPicPr>
                  <pic:blipFill>
                    <a:blip r:embed="rId71">
                      <a:extLst>
                        <a:ext uri="{28A0092B-C50C-407E-A947-70E740481C1C}">
                          <a14:useLocalDpi xmlns:a14="http://schemas.microsoft.com/office/drawing/2010/main" val="0"/>
                        </a:ext>
                      </a:extLst>
                    </a:blip>
                    <a:stretch>
                      <a:fillRect/>
                    </a:stretch>
                  </pic:blipFill>
                  <pic:spPr>
                    <a:xfrm>
                      <a:off x="0" y="0"/>
                      <a:ext cx="5760720" cy="2433320"/>
                    </a:xfrm>
                    <a:prstGeom prst="rect">
                      <a:avLst/>
                    </a:prstGeom>
                  </pic:spPr>
                </pic:pic>
              </a:graphicData>
            </a:graphic>
          </wp:inline>
        </w:drawing>
      </w:r>
    </w:p>
    <w:p w:rsidR="006A7AA4" w:rsidRPr="0064087E" w:rsidRDefault="006A7AA4" w:rsidP="006A7AA4">
      <w:pPr>
        <w:spacing w:after="120" w:line="276" w:lineRule="auto"/>
        <w:jc w:val="center"/>
        <w:rPr>
          <w:rFonts w:ascii="Arial" w:hAnsi="Arial" w:cs="Arial"/>
        </w:rPr>
      </w:pPr>
      <w:r w:rsidRPr="0064087E">
        <w:rPr>
          <w:rFonts w:ascii="Arial" w:hAnsi="Arial" w:cs="Arial"/>
        </w:rPr>
        <w:t>Źródło: Opracowanie własne na podstawie danych GUS.</w:t>
      </w:r>
    </w:p>
    <w:p w:rsidR="006A7AA4" w:rsidRPr="0064087E" w:rsidRDefault="006A7AA4" w:rsidP="0036761C">
      <w:pPr>
        <w:spacing w:after="120" w:line="276" w:lineRule="auto"/>
        <w:rPr>
          <w:rFonts w:ascii="Arial" w:hAnsi="Arial" w:cs="Arial"/>
        </w:rPr>
      </w:pPr>
      <w:r w:rsidRPr="0064087E">
        <w:rPr>
          <w:rFonts w:ascii="Arial" w:hAnsi="Arial" w:cs="Arial"/>
        </w:rPr>
        <w:t xml:space="preserve">Miarą ruchu turystycznego jest korzystanie z turystycznych obiektów noclegowych, z których w 2021 r. w województwie podkarpackim skorzystało 803,9 tys. turystów (10. miejsce </w:t>
      </w:r>
      <w:r w:rsidR="0036761C">
        <w:rPr>
          <w:rFonts w:ascii="Arial" w:hAnsi="Arial" w:cs="Arial"/>
        </w:rPr>
        <w:br/>
      </w:r>
      <w:r w:rsidRPr="0064087E">
        <w:rPr>
          <w:rFonts w:ascii="Arial" w:hAnsi="Arial" w:cs="Arial"/>
        </w:rPr>
        <w:t>w kraju). W porównaniu z 2017 r. ich liczba zmniejszyła się o 422,1 tys., a w odniesieniu do 2019 r. o 493,1 tys.</w:t>
      </w:r>
      <w:r w:rsidR="0074626F">
        <w:rPr>
          <w:rFonts w:ascii="Arial" w:hAnsi="Arial" w:cs="Arial"/>
        </w:rPr>
        <w:t xml:space="preserve"> W 2022 r. z turystycznych obiektów noclegowych w województwie podkarpackim skorzystało 1 209,4 tys. turystów (10. miejsce w kraju).</w:t>
      </w:r>
    </w:p>
    <w:p w:rsidR="005922CE" w:rsidRPr="005922CE" w:rsidRDefault="005922CE" w:rsidP="0036761C">
      <w:pPr>
        <w:pStyle w:val="Legenda"/>
        <w:keepNext/>
        <w:rPr>
          <w:rFonts w:ascii="Arial" w:hAnsi="Arial" w:cs="Arial"/>
          <w:i w:val="0"/>
          <w:color w:val="auto"/>
          <w:sz w:val="22"/>
        </w:rPr>
      </w:pPr>
      <w:bookmarkStart w:id="86" w:name="_Toc160793554"/>
      <w:r w:rsidRPr="005922CE">
        <w:rPr>
          <w:rFonts w:ascii="Arial" w:hAnsi="Arial" w:cs="Arial"/>
          <w:b/>
          <w:i w:val="0"/>
          <w:color w:val="auto"/>
          <w:sz w:val="22"/>
        </w:rPr>
        <w:lastRenderedPageBreak/>
        <w:t xml:space="preserve">Wykres </w:t>
      </w:r>
      <w:r w:rsidRPr="005922CE">
        <w:rPr>
          <w:rFonts w:ascii="Arial" w:hAnsi="Arial" w:cs="Arial"/>
          <w:b/>
          <w:i w:val="0"/>
          <w:color w:val="auto"/>
          <w:sz w:val="22"/>
        </w:rPr>
        <w:fldChar w:fldCharType="begin"/>
      </w:r>
      <w:r w:rsidRPr="005922CE">
        <w:rPr>
          <w:rFonts w:ascii="Arial" w:hAnsi="Arial" w:cs="Arial"/>
          <w:b/>
          <w:i w:val="0"/>
          <w:color w:val="auto"/>
          <w:sz w:val="22"/>
        </w:rPr>
        <w:instrText xml:space="preserve"> SEQ Wykres \* ARABIC </w:instrText>
      </w:r>
      <w:r w:rsidRPr="005922CE">
        <w:rPr>
          <w:rFonts w:ascii="Arial" w:hAnsi="Arial" w:cs="Arial"/>
          <w:b/>
          <w:i w:val="0"/>
          <w:color w:val="auto"/>
          <w:sz w:val="22"/>
        </w:rPr>
        <w:fldChar w:fldCharType="separate"/>
      </w:r>
      <w:r w:rsidR="00884DAD">
        <w:rPr>
          <w:rFonts w:ascii="Arial" w:hAnsi="Arial" w:cs="Arial"/>
          <w:b/>
          <w:i w:val="0"/>
          <w:noProof/>
          <w:color w:val="auto"/>
          <w:sz w:val="22"/>
        </w:rPr>
        <w:t>48</w:t>
      </w:r>
      <w:r w:rsidRPr="005922CE">
        <w:rPr>
          <w:rFonts w:ascii="Arial" w:hAnsi="Arial" w:cs="Arial"/>
          <w:b/>
          <w:i w:val="0"/>
          <w:color w:val="auto"/>
          <w:sz w:val="22"/>
        </w:rPr>
        <w:fldChar w:fldCharType="end"/>
      </w:r>
      <w:r w:rsidR="00DA1871">
        <w:rPr>
          <w:rFonts w:ascii="Arial" w:hAnsi="Arial" w:cs="Arial"/>
          <w:b/>
          <w:i w:val="0"/>
          <w:color w:val="auto"/>
          <w:sz w:val="22"/>
        </w:rPr>
        <w:t>.</w:t>
      </w:r>
      <w:r w:rsidRPr="005922CE">
        <w:rPr>
          <w:rFonts w:ascii="Arial" w:hAnsi="Arial" w:cs="Arial"/>
          <w:i w:val="0"/>
          <w:color w:val="auto"/>
          <w:sz w:val="22"/>
        </w:rPr>
        <w:t xml:space="preserve"> Korzystający z turystycznych obiektów noclegowych w 2022 r.</w:t>
      </w:r>
      <w:bookmarkEnd w:id="86"/>
    </w:p>
    <w:p w:rsidR="006A7AA4" w:rsidRPr="0064087E" w:rsidRDefault="006A7AA4" w:rsidP="006A7AA4">
      <w:pPr>
        <w:spacing w:after="120" w:line="276" w:lineRule="auto"/>
        <w:jc w:val="center"/>
        <w:rPr>
          <w:rFonts w:ascii="Arial" w:hAnsi="Arial" w:cs="Arial"/>
        </w:rPr>
      </w:pPr>
      <w:r w:rsidRPr="0064087E">
        <w:rPr>
          <w:noProof/>
          <w:lang w:eastAsia="pl-PL"/>
        </w:rPr>
        <w:drawing>
          <wp:inline distT="0" distB="0" distL="0" distR="0" wp14:anchorId="084CBA72" wp14:editId="02995606">
            <wp:extent cx="4572000" cy="2733675"/>
            <wp:effectExtent l="0" t="0" r="0" b="0"/>
            <wp:docPr id="8" name="Wykres 1" descr="Wykres słupkowy pionowy w tym dane: Ogółem: Mazowieckie: 5893738, Małopolskie: 5196105, Dolnośląskie: 3732773, Pomorskie: 3289820, Zachodniopomorskie: 3258357, Śląskie: 2665400, Wielkopolskie: 1898586, Kujawsko-Pomorskie: 1370209, Łódzkie: 1212965, Podkarpackie: 1209430, Warmińsko-Mazurskie: 1204600, Lubelskie: 1158669, Lubuskie: 635432, Świętokrzyskie: 617200, Podlaskie: 568939, Opolskie: 336781, W tym turyści zagraniczni: Mazowieckie: 1461969, Małopolskie: 178390, Dolnośląskie: 728102, Pomorskie: 534049, Zachodniopomorskie: 424329, Śląskie: 364825, Wielkopolskie: 229574, Kujawsko-Pomorskie: 208509, Łódzkie: 160785, Podkarpackie: 125426, Warmińsko-Mazurskie: 124797, Lubelskie: 111609, Lubuskie: 76288, Świętokrzyskie: 60688, Podlaskie: 32169, Opolskie: 25102.">
              <a:extLst xmlns:a="http://schemas.openxmlformats.org/drawingml/2006/main">
                <a:ext uri="{FF2B5EF4-FFF2-40B4-BE49-F238E27FC236}">
                  <a16:creationId xmlns:a16="http://schemas.microsoft.com/office/drawing/2014/main" id="{649456F4-360E-2B14-68B4-751B98C00B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A7AA4" w:rsidRPr="00D62638" w:rsidRDefault="006A7AA4" w:rsidP="006A7AA4">
      <w:pPr>
        <w:spacing w:after="120" w:line="276" w:lineRule="auto"/>
        <w:jc w:val="center"/>
        <w:rPr>
          <w:rFonts w:ascii="Arial" w:hAnsi="Arial" w:cs="Arial"/>
        </w:rPr>
      </w:pPr>
      <w:r w:rsidRPr="00D62638">
        <w:rPr>
          <w:rFonts w:ascii="Arial" w:hAnsi="Arial" w:cs="Arial"/>
        </w:rPr>
        <w:t>Źródło: Opracowanie własne na podstawie danych GUS.</w:t>
      </w:r>
    </w:p>
    <w:p w:rsidR="006A7AA4" w:rsidRPr="00D62638" w:rsidRDefault="006A7AA4" w:rsidP="0036761C">
      <w:pPr>
        <w:spacing w:after="120" w:line="276" w:lineRule="auto"/>
        <w:rPr>
          <w:rFonts w:ascii="Arial" w:hAnsi="Arial" w:cs="Arial"/>
        </w:rPr>
      </w:pPr>
      <w:r w:rsidRPr="0064087E">
        <w:rPr>
          <w:rFonts w:ascii="Arial" w:hAnsi="Arial" w:cs="Arial"/>
        </w:rPr>
        <w:t xml:space="preserve">Spośród turystów korzystających w 2021 r. z turystycznych obiektów noclegowych </w:t>
      </w:r>
      <w:r w:rsidRPr="0064087E">
        <w:rPr>
          <w:rFonts w:ascii="Arial" w:hAnsi="Arial" w:cs="Arial"/>
        </w:rPr>
        <w:br/>
        <w:t xml:space="preserve">w województwie podkarpackim – 5,5% (44,0 tys. osób) stanowili turyści zagraniczni, których liczba w porównaniu z 2017 r. zmniejszyła się o 118,6 tys. Najliczniejszą grupę stanowili goście z Ukrainy – 16,0 tys. osób (51,8%), jednak w porównaniu z 2020 r. było ich mniej </w:t>
      </w:r>
      <w:r w:rsidR="0036761C">
        <w:rPr>
          <w:rFonts w:ascii="Arial" w:hAnsi="Arial" w:cs="Arial"/>
        </w:rPr>
        <w:br/>
      </w:r>
      <w:r w:rsidRPr="0064087E">
        <w:rPr>
          <w:rFonts w:ascii="Arial" w:hAnsi="Arial" w:cs="Arial"/>
        </w:rPr>
        <w:t xml:space="preserve">o 22,4%. W 2021 r. w grupie pozostałych turystów zagranicznych, najwięcej osób przybyło </w:t>
      </w:r>
      <w:r w:rsidR="0036761C">
        <w:rPr>
          <w:rFonts w:ascii="Arial" w:hAnsi="Arial" w:cs="Arial"/>
        </w:rPr>
        <w:br/>
      </w:r>
      <w:r w:rsidRPr="0064087E">
        <w:rPr>
          <w:rFonts w:ascii="Arial" w:hAnsi="Arial" w:cs="Arial"/>
        </w:rPr>
        <w:t xml:space="preserve">z Niemiec – 6,2 tys., a następnie ze Stanów Zjednoczonych – 2,2 tys. oraz Francji – 1,9 tys. Wśród turystów zagranicznych przybyłych do regionu 45,8% nocowało w obiektach zlokalizowanych w Rzeszowie. Zmniejszyła się także (o prawie milion) w porównaniu z 2017 r. liczba noclegów udzielonych w turystycznych obiektach noclegowych posiadających </w:t>
      </w:r>
      <w:r w:rsidR="0036761C">
        <w:rPr>
          <w:rFonts w:ascii="Arial" w:hAnsi="Arial" w:cs="Arial"/>
        </w:rPr>
        <w:br/>
      </w:r>
      <w:r w:rsidRPr="0064087E">
        <w:rPr>
          <w:rFonts w:ascii="Arial" w:hAnsi="Arial" w:cs="Arial"/>
        </w:rPr>
        <w:t xml:space="preserve">10 miejsc i więcej. Ich liczba na terenie województwa podkarpackiego w 2021 r. wyniosła ponad 2,4 miliona (10. miejsce w kraju). </w:t>
      </w:r>
      <w:r w:rsidRPr="00D62638">
        <w:rPr>
          <w:rFonts w:ascii="Arial" w:hAnsi="Arial" w:cs="Arial"/>
        </w:rPr>
        <w:t xml:space="preserve">W 2022 r. liczba turystów zagranicznych </w:t>
      </w:r>
      <w:r w:rsidR="0036761C">
        <w:rPr>
          <w:rFonts w:ascii="Arial" w:hAnsi="Arial" w:cs="Arial"/>
        </w:rPr>
        <w:br/>
      </w:r>
      <w:r w:rsidRPr="00D62638">
        <w:rPr>
          <w:rFonts w:ascii="Arial" w:hAnsi="Arial" w:cs="Arial"/>
        </w:rPr>
        <w:t xml:space="preserve">w porównaniu z 2017 r. zmniejszyła się o 118,6 tys. Największą grupę turystów również tworzyli obywatele Ukrainy – 84,8 tys. osób (40,7%), zatem w porównaniu z 2021 r. było ich ponad 5-krotnie więcej. Spośród pozostałych turystów zagranicznych, najwięcej osób przybyło ze Stanów Zjednoczonych - 40,6 tys. (z czego 30,1 tys. nocowało w obiektach </w:t>
      </w:r>
      <w:r w:rsidR="0036761C">
        <w:rPr>
          <w:rFonts w:ascii="Arial" w:hAnsi="Arial" w:cs="Arial"/>
        </w:rPr>
        <w:br/>
      </w:r>
      <w:r w:rsidRPr="00D62638">
        <w:rPr>
          <w:rFonts w:ascii="Arial" w:hAnsi="Arial" w:cs="Arial"/>
        </w:rPr>
        <w:t>w Rzeszowie), a następnie z Niemiec – 14,4 tys. oraz Wielkiej Brytanii – 13,1 tys. Spośród ogółu turystów zagranicznych przybyłych na Podkarpacie, ponad połowa (52,6%) nocował</w:t>
      </w:r>
      <w:r w:rsidRPr="0064087E">
        <w:rPr>
          <w:rFonts w:ascii="Arial" w:hAnsi="Arial" w:cs="Arial"/>
        </w:rPr>
        <w:t>a</w:t>
      </w:r>
      <w:r w:rsidRPr="00D62638">
        <w:rPr>
          <w:rFonts w:ascii="Arial" w:hAnsi="Arial" w:cs="Arial"/>
        </w:rPr>
        <w:t xml:space="preserve"> w obiektach zlokalizowanych w Rzeszowie. W 2022 r. w turystycznych obiektach noclegowych zlokalizowanych w województwie podkarpackim udzielono 3,4 mln noclegów, </w:t>
      </w:r>
      <w:r w:rsidR="0036761C">
        <w:rPr>
          <w:rFonts w:ascii="Arial" w:hAnsi="Arial" w:cs="Arial"/>
        </w:rPr>
        <w:br/>
      </w:r>
      <w:r w:rsidRPr="00D62638">
        <w:rPr>
          <w:rFonts w:ascii="Arial" w:hAnsi="Arial" w:cs="Arial"/>
        </w:rPr>
        <w:t xml:space="preserve">tj. o 41,7% więcej niż w poprzednim roku. Ponad 1/3 noclegów została udzielona w hotelach – 1,4 mln. Turystom zagranicznym udzielono 412,0 tys. noclegów, tj. 3,5-krotnie więcej </w:t>
      </w:r>
      <w:r w:rsidR="0036761C">
        <w:rPr>
          <w:rFonts w:ascii="Arial" w:hAnsi="Arial" w:cs="Arial"/>
        </w:rPr>
        <w:br/>
      </w:r>
      <w:r w:rsidRPr="00D62638">
        <w:rPr>
          <w:rFonts w:ascii="Arial" w:hAnsi="Arial" w:cs="Arial"/>
        </w:rPr>
        <w:t>w porównaniu z poprzednim rokiem.</w:t>
      </w:r>
    </w:p>
    <w:p w:rsidR="005922CE" w:rsidRPr="005922CE" w:rsidRDefault="005922CE" w:rsidP="0036761C">
      <w:pPr>
        <w:pStyle w:val="Legenda"/>
        <w:keepNext/>
        <w:rPr>
          <w:rFonts w:ascii="Arial" w:hAnsi="Arial" w:cs="Arial"/>
          <w:i w:val="0"/>
          <w:color w:val="auto"/>
          <w:sz w:val="22"/>
        </w:rPr>
      </w:pPr>
      <w:bookmarkStart w:id="87" w:name="_Toc160793555"/>
      <w:r w:rsidRPr="005922CE">
        <w:rPr>
          <w:rFonts w:ascii="Arial" w:hAnsi="Arial" w:cs="Arial"/>
          <w:b/>
          <w:i w:val="0"/>
          <w:color w:val="auto"/>
          <w:sz w:val="22"/>
        </w:rPr>
        <w:lastRenderedPageBreak/>
        <w:t xml:space="preserve">Wykres </w:t>
      </w:r>
      <w:r w:rsidRPr="005922CE">
        <w:rPr>
          <w:rFonts w:ascii="Arial" w:hAnsi="Arial" w:cs="Arial"/>
          <w:b/>
          <w:i w:val="0"/>
          <w:color w:val="auto"/>
          <w:sz w:val="22"/>
        </w:rPr>
        <w:fldChar w:fldCharType="begin"/>
      </w:r>
      <w:r w:rsidRPr="005922CE">
        <w:rPr>
          <w:rFonts w:ascii="Arial" w:hAnsi="Arial" w:cs="Arial"/>
          <w:b/>
          <w:i w:val="0"/>
          <w:color w:val="auto"/>
          <w:sz w:val="22"/>
        </w:rPr>
        <w:instrText xml:space="preserve"> SEQ Wykres \* ARABIC </w:instrText>
      </w:r>
      <w:r w:rsidRPr="005922CE">
        <w:rPr>
          <w:rFonts w:ascii="Arial" w:hAnsi="Arial" w:cs="Arial"/>
          <w:b/>
          <w:i w:val="0"/>
          <w:color w:val="auto"/>
          <w:sz w:val="22"/>
        </w:rPr>
        <w:fldChar w:fldCharType="separate"/>
      </w:r>
      <w:r w:rsidR="00884DAD">
        <w:rPr>
          <w:rFonts w:ascii="Arial" w:hAnsi="Arial" w:cs="Arial"/>
          <w:b/>
          <w:i w:val="0"/>
          <w:noProof/>
          <w:color w:val="auto"/>
          <w:sz w:val="22"/>
        </w:rPr>
        <w:t>49</w:t>
      </w:r>
      <w:r w:rsidRPr="005922CE">
        <w:rPr>
          <w:rFonts w:ascii="Arial" w:hAnsi="Arial" w:cs="Arial"/>
          <w:b/>
          <w:i w:val="0"/>
          <w:color w:val="auto"/>
          <w:sz w:val="22"/>
        </w:rPr>
        <w:fldChar w:fldCharType="end"/>
      </w:r>
      <w:r w:rsidR="00DA1871">
        <w:rPr>
          <w:rFonts w:ascii="Arial" w:hAnsi="Arial" w:cs="Arial"/>
          <w:b/>
          <w:i w:val="0"/>
          <w:color w:val="auto"/>
          <w:sz w:val="22"/>
        </w:rPr>
        <w:t>.</w:t>
      </w:r>
      <w:r w:rsidRPr="005922CE">
        <w:rPr>
          <w:rFonts w:ascii="Arial" w:hAnsi="Arial" w:cs="Arial"/>
          <w:i w:val="0"/>
          <w:color w:val="auto"/>
          <w:sz w:val="22"/>
        </w:rPr>
        <w:t xml:space="preserve"> Noclegi udzielone w turystycznych obiektach noclegowych w 2022 r.</w:t>
      </w:r>
      <w:bookmarkEnd w:id="87"/>
    </w:p>
    <w:p w:rsidR="006A7AA4" w:rsidRPr="0064087E" w:rsidRDefault="006A7AA4" w:rsidP="006A7AA4">
      <w:pPr>
        <w:spacing w:after="120" w:line="276" w:lineRule="auto"/>
        <w:jc w:val="center"/>
        <w:rPr>
          <w:rFonts w:ascii="Arial" w:hAnsi="Arial" w:cs="Arial"/>
        </w:rPr>
      </w:pPr>
      <w:r w:rsidRPr="0064087E">
        <w:rPr>
          <w:noProof/>
          <w:lang w:eastAsia="pl-PL"/>
        </w:rPr>
        <w:drawing>
          <wp:inline distT="0" distB="0" distL="0" distR="0" wp14:anchorId="4F85D6E8" wp14:editId="5C925AFF">
            <wp:extent cx="4933950" cy="3152775"/>
            <wp:effectExtent l="0" t="0" r="0" b="0"/>
            <wp:docPr id="9" name="Wykres 1" descr="Wykres słupkowy pionowy w tym dane: Zachodniopomorskie: ogółem: 15160974, w tym turystom zagranicznym: 3081036, Małopolskie: ogółem: 13686985, w tym turystom zagranicznym: 2881838, Mazowieckie: ogółem: 10293504, w tym turystom zagranicznym: 2869954, Pomorskie: ogółem: 10026202, w tym turystom zagranicznym: 2869954, Dolnośląskie: ogółem: 9635580, w tym turystom zagranicznym: 1118638, Śląskie: ogółem: 6155827, w tym turystom zagranicznym: 884175, Kujawsko - Pomorskie: ogółem: 4503212, w tym turystom zagranicznym: 574628, Wielkopolskie: ogółem: 3741115, w tym turystom zagranicznym: 434610, Podkarpackie: ogółem: 3419504, w tym turystom zagranicznym: 411951, Warmińsko – Mazurskie: ogółem: 3086563, w tym turystom zagranicznym: 294153, Łódzkie: ogółem: 2568871, w tym turystom zagranicznym: 285778, Lubelskie: ogółem: 2425810, w tym turystom zagranicznym: 215158, Świętokrzyskie: ogółem: 1844498, w tym turystom zagranicznym: 215158, Lubuskie: ogółem: 1403812, w tym turystom zagranicznym: 151114, Podlaskie: ogółem: 1283376, w tym turystom zagranicznym: 82209, Opolskie: ogółem: 717966, w tym turystom zagranicznym: 74967. ">
              <a:extLst xmlns:a="http://schemas.openxmlformats.org/drawingml/2006/main">
                <a:ext uri="{FF2B5EF4-FFF2-40B4-BE49-F238E27FC236}">
                  <a16:creationId xmlns:a16="http://schemas.microsoft.com/office/drawing/2014/main" id="{EA46C016-77CB-8215-72F6-3D06FF6A09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6A7AA4" w:rsidRPr="00D62638" w:rsidRDefault="006A7AA4" w:rsidP="006A7AA4">
      <w:pPr>
        <w:spacing w:after="120" w:line="276" w:lineRule="auto"/>
        <w:jc w:val="center"/>
        <w:rPr>
          <w:rFonts w:ascii="Arial" w:hAnsi="Arial" w:cs="Arial"/>
        </w:rPr>
      </w:pPr>
      <w:r w:rsidRPr="00D62638">
        <w:rPr>
          <w:rFonts w:ascii="Arial" w:hAnsi="Arial" w:cs="Arial"/>
        </w:rPr>
        <w:t>Źródło: Opracowanie własne na podstawie danych GUS.</w:t>
      </w:r>
    </w:p>
    <w:p w:rsidR="006A7AA4" w:rsidRPr="0064087E" w:rsidRDefault="006A7AA4" w:rsidP="0036761C">
      <w:pPr>
        <w:spacing w:after="120" w:line="276" w:lineRule="auto"/>
        <w:rPr>
          <w:rFonts w:ascii="Arial" w:hAnsi="Arial" w:cs="Arial"/>
        </w:rPr>
      </w:pPr>
      <w:r w:rsidRPr="0064087E">
        <w:rPr>
          <w:rFonts w:ascii="Arial" w:hAnsi="Arial" w:cs="Arial"/>
        </w:rPr>
        <w:t xml:space="preserve">Liczba noclegów udzielonych turystom zagranicznym w turystycznych obiektach noclegowych w województwie podkarpackim znacząco zmalała w porównaniu z 2017 r. – </w:t>
      </w:r>
      <w:r w:rsidR="0036761C">
        <w:rPr>
          <w:rFonts w:ascii="Arial" w:hAnsi="Arial" w:cs="Arial"/>
        </w:rPr>
        <w:br/>
      </w:r>
      <w:r w:rsidRPr="0064087E">
        <w:rPr>
          <w:rFonts w:ascii="Arial" w:hAnsi="Arial" w:cs="Arial"/>
        </w:rPr>
        <w:t xml:space="preserve">o 60,0% i wyniosła w 2021 r. – 118,5 tys. Jednak stanowiła ona niespełna 5,0% rocznej liczby noclegów ogółem udzielonych turystom zagranicznym w całym kraju (9,0% w 2017 r.). Największą liczbę udzielonych noclegów w 2021 r. zaobserwowano w miesiącach wakacyjnych: w lipcu i sierpniu – 926,0 tys. (984,2 tys. w 2017 r.), co stanowiło łącznie 38,4% ogółu udzielonych noclegów w ciągu roku (29,1% w 2017 r.). </w:t>
      </w:r>
      <w:r w:rsidRPr="00D62638">
        <w:rPr>
          <w:rFonts w:ascii="Arial" w:hAnsi="Arial" w:cs="Arial"/>
        </w:rPr>
        <w:t xml:space="preserve">W 2022 r. turystom zagranicznym udzielono 412,0 tys. noclegów, tj. 3,5-krotnie więcej w porównaniu </w:t>
      </w:r>
      <w:r w:rsidR="0036761C">
        <w:rPr>
          <w:rFonts w:ascii="Arial" w:hAnsi="Arial" w:cs="Arial"/>
        </w:rPr>
        <w:br/>
      </w:r>
      <w:r w:rsidRPr="00D62638">
        <w:rPr>
          <w:rFonts w:ascii="Arial" w:hAnsi="Arial" w:cs="Arial"/>
        </w:rPr>
        <w:t>z poprzednim rokiem.</w:t>
      </w:r>
    </w:p>
    <w:p w:rsidR="0036761C" w:rsidRDefault="006A7AA4" w:rsidP="0036761C">
      <w:pPr>
        <w:spacing w:after="120" w:line="276" w:lineRule="auto"/>
        <w:rPr>
          <w:rFonts w:ascii="Arial" w:hAnsi="Arial" w:cs="Arial"/>
        </w:rPr>
      </w:pPr>
      <w:r w:rsidRPr="0064087E">
        <w:rPr>
          <w:rFonts w:ascii="Arial" w:hAnsi="Arial" w:cs="Arial"/>
        </w:rPr>
        <w:t xml:space="preserve">Zmniejszył się również w porównaniu z 2017 r. (o 5,8 </w:t>
      </w:r>
      <w:proofErr w:type="spellStart"/>
      <w:r w:rsidRPr="0064087E">
        <w:rPr>
          <w:rFonts w:ascii="Arial" w:hAnsi="Arial" w:cs="Arial"/>
        </w:rPr>
        <w:t>p.proc</w:t>
      </w:r>
      <w:proofErr w:type="spellEnd"/>
      <w:r w:rsidRPr="0064087E">
        <w:rPr>
          <w:rFonts w:ascii="Arial" w:hAnsi="Arial" w:cs="Arial"/>
        </w:rPr>
        <w:t xml:space="preserve">.) stopień wykorzystania miejsc noclegowych w turystycznych obiektach noclegowych. </w:t>
      </w:r>
      <w:r w:rsidRPr="00D62638">
        <w:rPr>
          <w:rFonts w:ascii="Arial" w:hAnsi="Arial" w:cs="Arial"/>
        </w:rPr>
        <w:t xml:space="preserve">W 2021 r. w województwie podkarpackim wynosił on 28,8% (7. miejsce), przy średniej krajowej 32,3%, a w 2022 r. 35,2%. </w:t>
      </w:r>
      <w:r w:rsidRPr="0064087E">
        <w:rPr>
          <w:rFonts w:ascii="Arial" w:hAnsi="Arial" w:cs="Arial"/>
        </w:rPr>
        <w:t xml:space="preserve">Rzadziej i również poniżej średniej krajowej, wykorzystywane były w 2021 r. pokoje </w:t>
      </w:r>
      <w:r w:rsidR="00EF2329">
        <w:rPr>
          <w:rFonts w:ascii="Arial" w:hAnsi="Arial" w:cs="Arial"/>
        </w:rPr>
        <w:br/>
      </w:r>
      <w:r w:rsidRPr="0064087E">
        <w:rPr>
          <w:rFonts w:ascii="Arial" w:hAnsi="Arial" w:cs="Arial"/>
        </w:rPr>
        <w:t xml:space="preserve">w obiektach hotelowych. </w:t>
      </w:r>
      <w:r w:rsidRPr="00D62638">
        <w:rPr>
          <w:rFonts w:ascii="Arial" w:hAnsi="Arial" w:cs="Arial"/>
        </w:rPr>
        <w:t xml:space="preserve">Dla województwa podkarpackiego wskaźnik ten wynosił 32,4% </w:t>
      </w:r>
      <w:r w:rsidR="00EF2329">
        <w:rPr>
          <w:rFonts w:ascii="Arial" w:hAnsi="Arial" w:cs="Arial"/>
        </w:rPr>
        <w:br/>
      </w:r>
      <w:r w:rsidRPr="00D62638">
        <w:rPr>
          <w:rFonts w:ascii="Arial" w:hAnsi="Arial" w:cs="Arial"/>
        </w:rPr>
        <w:t xml:space="preserve">(14. miejsce w kraju) przy średniej krajowej 36,3%, zaś w 2022 r. 49,4%. </w:t>
      </w:r>
      <w:r w:rsidRPr="0064087E">
        <w:rPr>
          <w:rFonts w:ascii="Arial" w:hAnsi="Arial" w:cs="Arial"/>
        </w:rPr>
        <w:t>W 2017 r. wyniósł on odpowiednio 39,1% i 48,9%.</w:t>
      </w:r>
    </w:p>
    <w:p w:rsidR="0036761C" w:rsidRDefault="0036761C">
      <w:pPr>
        <w:widowControl/>
        <w:autoSpaceDE/>
        <w:autoSpaceDN/>
        <w:spacing w:after="160" w:line="259" w:lineRule="auto"/>
        <w:rPr>
          <w:rFonts w:ascii="Arial" w:hAnsi="Arial" w:cs="Arial"/>
        </w:rPr>
      </w:pPr>
      <w:r>
        <w:rPr>
          <w:rFonts w:ascii="Arial" w:hAnsi="Arial" w:cs="Arial"/>
        </w:rPr>
        <w:br w:type="page"/>
      </w:r>
    </w:p>
    <w:p w:rsidR="00F67A9E" w:rsidRPr="00F67A9E" w:rsidRDefault="00F67A9E" w:rsidP="0036761C">
      <w:pPr>
        <w:pStyle w:val="Legenda"/>
        <w:keepNext/>
        <w:spacing w:line="276" w:lineRule="auto"/>
        <w:rPr>
          <w:rFonts w:ascii="Arial" w:hAnsi="Arial" w:cs="Arial"/>
          <w:i w:val="0"/>
          <w:color w:val="auto"/>
          <w:sz w:val="22"/>
        </w:rPr>
      </w:pPr>
      <w:bookmarkStart w:id="88" w:name="_Toc160793556"/>
      <w:r w:rsidRPr="00F67A9E">
        <w:rPr>
          <w:rFonts w:ascii="Arial" w:hAnsi="Arial" w:cs="Arial"/>
          <w:b/>
          <w:i w:val="0"/>
          <w:color w:val="auto"/>
          <w:sz w:val="22"/>
        </w:rPr>
        <w:lastRenderedPageBreak/>
        <w:t xml:space="preserve">Wykres </w:t>
      </w:r>
      <w:r w:rsidRPr="00F67A9E">
        <w:rPr>
          <w:rFonts w:ascii="Arial" w:hAnsi="Arial" w:cs="Arial"/>
          <w:b/>
          <w:i w:val="0"/>
          <w:color w:val="auto"/>
          <w:sz w:val="22"/>
        </w:rPr>
        <w:fldChar w:fldCharType="begin"/>
      </w:r>
      <w:r w:rsidRPr="00F67A9E">
        <w:rPr>
          <w:rFonts w:ascii="Arial" w:hAnsi="Arial" w:cs="Arial"/>
          <w:b/>
          <w:i w:val="0"/>
          <w:color w:val="auto"/>
          <w:sz w:val="22"/>
        </w:rPr>
        <w:instrText xml:space="preserve"> SEQ Wykres \* ARABIC </w:instrText>
      </w:r>
      <w:r w:rsidRPr="00F67A9E">
        <w:rPr>
          <w:rFonts w:ascii="Arial" w:hAnsi="Arial" w:cs="Arial"/>
          <w:b/>
          <w:i w:val="0"/>
          <w:color w:val="auto"/>
          <w:sz w:val="22"/>
        </w:rPr>
        <w:fldChar w:fldCharType="separate"/>
      </w:r>
      <w:r w:rsidR="00884DAD">
        <w:rPr>
          <w:rFonts w:ascii="Arial" w:hAnsi="Arial" w:cs="Arial"/>
          <w:b/>
          <w:i w:val="0"/>
          <w:noProof/>
          <w:color w:val="auto"/>
          <w:sz w:val="22"/>
        </w:rPr>
        <w:t>50</w:t>
      </w:r>
      <w:r w:rsidRPr="00F67A9E">
        <w:rPr>
          <w:rFonts w:ascii="Arial" w:hAnsi="Arial" w:cs="Arial"/>
          <w:b/>
          <w:i w:val="0"/>
          <w:color w:val="auto"/>
          <w:sz w:val="22"/>
        </w:rPr>
        <w:fldChar w:fldCharType="end"/>
      </w:r>
      <w:r w:rsidR="00DA1871">
        <w:rPr>
          <w:rFonts w:ascii="Arial" w:hAnsi="Arial" w:cs="Arial"/>
          <w:b/>
          <w:i w:val="0"/>
          <w:color w:val="auto"/>
          <w:sz w:val="22"/>
        </w:rPr>
        <w:t>.</w:t>
      </w:r>
      <w:r w:rsidRPr="00F67A9E">
        <w:rPr>
          <w:rFonts w:ascii="Arial" w:hAnsi="Arial" w:cs="Arial"/>
          <w:i w:val="0"/>
          <w:color w:val="auto"/>
          <w:sz w:val="22"/>
        </w:rPr>
        <w:t xml:space="preserve"> Stopień wykorzystania miejsc noclegowych w turystycznych obiektach noclegowych i pokoi w obiektach hotelowych w 2022 r.</w:t>
      </w:r>
      <w:bookmarkEnd w:id="88"/>
    </w:p>
    <w:p w:rsidR="006A7AA4" w:rsidRPr="0064087E" w:rsidRDefault="006A7AA4" w:rsidP="006A7AA4">
      <w:pPr>
        <w:spacing w:after="120" w:line="276" w:lineRule="auto"/>
        <w:jc w:val="center"/>
      </w:pPr>
      <w:r w:rsidRPr="0064087E">
        <w:rPr>
          <w:rFonts w:ascii="Arial" w:hAnsi="Arial" w:cs="Arial"/>
          <w:noProof/>
          <w:lang w:eastAsia="pl-PL"/>
        </w:rPr>
        <w:drawing>
          <wp:inline distT="0" distB="0" distL="0" distR="0" wp14:anchorId="75B9DBE0" wp14:editId="76350826">
            <wp:extent cx="4953635" cy="2857500"/>
            <wp:effectExtent l="0" t="0" r="0" b="0"/>
            <wp:docPr id="10" name="Wykres 1" descr="Wykres słupkowy pionowy w tym dane (%): Zachodniopomorskie: Miejsce noclegowe: 47,8, Pokoi w obiektach hotelowych: 37,8, Pomorskie: Miejsce noclegowe: 42,7, Pokoi w obiektach hotelowych: 27,7, Kujawsko – Pomorskie: Miejsce noclegowe: 45,3, Pokoi w obiektach hotelowych: 27,8, Polska: Miejsce noclegowe: 40,4, Pokoi w obiektach hotelowych: 26,7, Małopolska: Miejsce noclegowe: 41,8, Pokoi w obiektach hotelowych: 27,0, Warmińsko – Mazurskie: Miejsce noclegowe: 31,8, Pokoi w obiektach hotelowych: 19,9, Dolnośląskie: Miejsce noclegowe: 38,8, Pokoi w obiektach hotelowych: 26,2, Podkarpackie: Miejsce noclegowe: 35,2, Pokoi w obiektach hotelowych: 23,1, Śląskie: Miejsce noclegowe: 38,1, Pokoi w obiektach hotelowych: 25,7, Świętokrzyskie: Miejsce noclegowe: 33,2, Pokoi w obiektach hotelowych: 21,6, Podlaskie: Miejsce noclegowe: 32,8, Pokoi w obiektach hotelowych: 20,2, Mazowieckie: Miejsce noclegowe: 45,7, Pokoi w obiektach hotelowych: 34,8, Lubuskie: Miejsce noclegowe: 31,2, Pokoi w obiektach hotelowych: 12,0, Łódzkie: Miejsce noclegowe: 38,2, Pokoi w obiektach hotelowych: 26,0, Lubelskie: Miejsce noclegowe: 33,8, Pokoi w obiektach hotelowych: 23,0, Opolskie: Miejsce noclegowe: 31,5, Pokoi w obiektach hotelowych: 16,9, Wielkopolskie: Miejsce noclegowe: 31,7, Pokoi w obiektach hotelowych: 18,8.">
              <a:extLst xmlns:a="http://schemas.openxmlformats.org/drawingml/2006/main">
                <a:ext uri="{FF2B5EF4-FFF2-40B4-BE49-F238E27FC236}">
                  <a16:creationId xmlns:a16="http://schemas.microsoft.com/office/drawing/2014/main" id="{D418E231-4AB2-4552-BFF8-AE31F5E417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6A7AA4" w:rsidRPr="00D62638" w:rsidRDefault="006A7AA4" w:rsidP="006A7AA4">
      <w:pPr>
        <w:spacing w:after="120" w:line="276" w:lineRule="auto"/>
        <w:jc w:val="center"/>
        <w:rPr>
          <w:rFonts w:ascii="Arial" w:hAnsi="Arial" w:cs="Arial"/>
        </w:rPr>
      </w:pPr>
      <w:r w:rsidRPr="00D62638">
        <w:rPr>
          <w:rFonts w:ascii="Arial" w:hAnsi="Arial" w:cs="Arial"/>
        </w:rPr>
        <w:t>Źródło: Opracowanie własne na podstawie danych GUS.</w:t>
      </w:r>
    </w:p>
    <w:p w:rsidR="006A7AA4" w:rsidRDefault="006A7AA4" w:rsidP="0036761C">
      <w:pPr>
        <w:spacing w:after="120" w:line="276" w:lineRule="auto"/>
        <w:rPr>
          <w:rFonts w:ascii="Arial" w:hAnsi="Arial" w:cs="Arial"/>
        </w:rPr>
      </w:pPr>
      <w:r w:rsidRPr="0064087E">
        <w:rPr>
          <w:rFonts w:ascii="Arial" w:hAnsi="Arial" w:cs="Arial"/>
        </w:rPr>
        <w:t>W celu poznania najbardziej atrakcyjnych miejsc regionu wytyczono wiele kilometrów różnego rodzaju szlaków turystycznych. Są wśród nich szlaki piesze, rowerowe, ale również takie, które można przebyć samochodem. Województwo podkarpackie oferuje turystom 2124 km znakowanych szlaków do wędrówek górskimi szczytami Bieszczadów i Beskidu Niskiego, terenami pogórzy oraz wyprawy w lasy byłej Puszczy Sandomierskiej i Solskiej. Największą grupę stanowią szlaki turystyczne piesze, na które składa się 1663 km tras górskich, 432 km nizinnych oraz 25 km tras spacerowych. Na każde 100 km</w:t>
      </w:r>
      <w:r w:rsidRPr="0064087E">
        <w:rPr>
          <w:rFonts w:ascii="Arial" w:hAnsi="Arial" w:cs="Arial"/>
          <w:vertAlign w:val="superscript"/>
        </w:rPr>
        <w:t>2</w:t>
      </w:r>
      <w:r w:rsidRPr="0064087E">
        <w:rPr>
          <w:rFonts w:ascii="Arial" w:hAnsi="Arial" w:cs="Arial"/>
        </w:rPr>
        <w:t xml:space="preserve"> powierzchni województwa przypada 11,9 km szlaków turystycznych pieszych (10. miejsce).</w:t>
      </w:r>
      <w:r w:rsidRPr="0064087E">
        <w:rPr>
          <w:rStyle w:val="Odwoanieprzypisudolnego"/>
          <w:rFonts w:ascii="Arial" w:hAnsi="Arial" w:cs="Arial"/>
        </w:rPr>
        <w:footnoteReference w:id="34"/>
      </w:r>
    </w:p>
    <w:p w:rsidR="007A1D01" w:rsidRPr="00D62638" w:rsidRDefault="005F6495" w:rsidP="0036761C">
      <w:pPr>
        <w:spacing w:after="120" w:line="276" w:lineRule="auto"/>
        <w:rPr>
          <w:rFonts w:ascii="Arial" w:hAnsi="Arial" w:cs="Arial"/>
        </w:rPr>
      </w:pPr>
      <w:r w:rsidRPr="00D62638">
        <w:rPr>
          <w:rFonts w:ascii="Arial" w:hAnsi="Arial" w:cs="Arial"/>
        </w:rPr>
        <w:t xml:space="preserve">W latach </w:t>
      </w:r>
      <w:r w:rsidR="00BD36A0" w:rsidRPr="00D62638">
        <w:rPr>
          <w:rFonts w:ascii="Arial" w:hAnsi="Arial" w:cs="Arial"/>
        </w:rPr>
        <w:t>201</w:t>
      </w:r>
      <w:r w:rsidR="00D51374" w:rsidRPr="00D62638">
        <w:rPr>
          <w:rFonts w:ascii="Arial" w:hAnsi="Arial" w:cs="Arial"/>
        </w:rPr>
        <w:t>7</w:t>
      </w:r>
      <w:r w:rsidR="00BD36A0" w:rsidRPr="00D62638">
        <w:rPr>
          <w:rFonts w:ascii="Arial" w:hAnsi="Arial" w:cs="Arial"/>
        </w:rPr>
        <w:t>-2019</w:t>
      </w:r>
      <w:r w:rsidRPr="00D62638">
        <w:rPr>
          <w:rFonts w:ascii="Arial" w:hAnsi="Arial" w:cs="Arial"/>
        </w:rPr>
        <w:t xml:space="preserve"> wzrosła liczba turystycznych obiektów noclegowych z </w:t>
      </w:r>
      <w:r w:rsidR="00D51374" w:rsidRPr="00D62638">
        <w:rPr>
          <w:rFonts w:ascii="Arial" w:hAnsi="Arial" w:cs="Arial"/>
        </w:rPr>
        <w:t>582</w:t>
      </w:r>
      <w:r w:rsidRPr="00D62638">
        <w:rPr>
          <w:rFonts w:ascii="Arial" w:hAnsi="Arial" w:cs="Arial"/>
        </w:rPr>
        <w:t xml:space="preserve"> w 201</w:t>
      </w:r>
      <w:r w:rsidR="00D51374" w:rsidRPr="00D62638">
        <w:rPr>
          <w:rFonts w:ascii="Arial" w:hAnsi="Arial" w:cs="Arial"/>
        </w:rPr>
        <w:t>7</w:t>
      </w:r>
      <w:r w:rsidRPr="00D62638">
        <w:rPr>
          <w:rFonts w:ascii="Arial" w:hAnsi="Arial" w:cs="Arial"/>
        </w:rPr>
        <w:t xml:space="preserve"> r. do 652 w 2019 r., </w:t>
      </w:r>
      <w:r w:rsidR="0010300A" w:rsidRPr="00D62638">
        <w:rPr>
          <w:rFonts w:ascii="Arial" w:hAnsi="Arial" w:cs="Arial"/>
        </w:rPr>
        <w:t xml:space="preserve">następnie </w:t>
      </w:r>
      <w:r w:rsidR="003659C1" w:rsidRPr="00D62638">
        <w:rPr>
          <w:rFonts w:ascii="Arial" w:hAnsi="Arial" w:cs="Arial"/>
        </w:rPr>
        <w:t>w latach 2020-202</w:t>
      </w:r>
      <w:r w:rsidR="0010300A" w:rsidRPr="00D62638">
        <w:rPr>
          <w:rFonts w:ascii="Arial" w:hAnsi="Arial" w:cs="Arial"/>
        </w:rPr>
        <w:t>1</w:t>
      </w:r>
      <w:r w:rsidRPr="00D62638">
        <w:rPr>
          <w:rFonts w:ascii="Arial" w:hAnsi="Arial" w:cs="Arial"/>
        </w:rPr>
        <w:t xml:space="preserve"> nastąpił spadek do poziomu 60</w:t>
      </w:r>
      <w:r w:rsidR="0010300A" w:rsidRPr="00D62638">
        <w:rPr>
          <w:rFonts w:ascii="Arial" w:hAnsi="Arial" w:cs="Arial"/>
        </w:rPr>
        <w:t>1, po czym w 2022 r. wzrost do poziomu 605</w:t>
      </w:r>
      <w:r w:rsidRPr="00D62638">
        <w:rPr>
          <w:rFonts w:ascii="Arial" w:hAnsi="Arial" w:cs="Arial"/>
        </w:rPr>
        <w:t xml:space="preserve">. Stopień wykorzystania miejsc noclegowych </w:t>
      </w:r>
      <w:r w:rsidR="0036761C">
        <w:rPr>
          <w:rFonts w:ascii="Arial" w:hAnsi="Arial" w:cs="Arial"/>
        </w:rPr>
        <w:br/>
      </w:r>
      <w:r w:rsidRPr="00D62638">
        <w:rPr>
          <w:rFonts w:ascii="Arial" w:hAnsi="Arial" w:cs="Arial"/>
        </w:rPr>
        <w:t>w analizowanym okresie notował wzrosty i spadki</w:t>
      </w:r>
      <w:r w:rsidR="00093A63" w:rsidRPr="0064087E">
        <w:rPr>
          <w:rFonts w:ascii="Arial" w:hAnsi="Arial" w:cs="Arial"/>
        </w:rPr>
        <w:t>,</w:t>
      </w:r>
      <w:r w:rsidRPr="00D62638">
        <w:rPr>
          <w:rFonts w:ascii="Arial" w:hAnsi="Arial" w:cs="Arial"/>
        </w:rPr>
        <w:t xml:space="preserve"> a w </w:t>
      </w:r>
      <w:r w:rsidR="0079195E" w:rsidRPr="0064087E">
        <w:rPr>
          <w:rFonts w:ascii="Arial" w:hAnsi="Arial" w:cs="Arial"/>
        </w:rPr>
        <w:t>2022 r. w województwie podkarpackim</w:t>
      </w:r>
      <w:r w:rsidRPr="00D62638">
        <w:rPr>
          <w:rFonts w:ascii="Arial" w:hAnsi="Arial" w:cs="Arial"/>
        </w:rPr>
        <w:t xml:space="preserve"> był na poziomie </w:t>
      </w:r>
      <w:r w:rsidR="001874EC" w:rsidRPr="00D62638">
        <w:rPr>
          <w:rFonts w:ascii="Arial" w:hAnsi="Arial" w:cs="Arial"/>
        </w:rPr>
        <w:t>35,2</w:t>
      </w:r>
      <w:r w:rsidRPr="00D62638">
        <w:rPr>
          <w:rFonts w:ascii="Arial" w:hAnsi="Arial" w:cs="Arial"/>
        </w:rPr>
        <w:t>%. Największa liczba turystycznych obiektów noclegowych była zlokalizowana w powiatach leskim i bieszczadzkim.</w:t>
      </w:r>
    </w:p>
    <w:p w:rsidR="007A1D01" w:rsidRPr="0064087E" w:rsidRDefault="007A1D01">
      <w:pPr>
        <w:widowControl/>
        <w:autoSpaceDE/>
        <w:autoSpaceDN/>
        <w:spacing w:after="160" w:line="259" w:lineRule="auto"/>
        <w:rPr>
          <w:rFonts w:ascii="Arial" w:hAnsi="Arial" w:cs="Arial"/>
        </w:rPr>
      </w:pPr>
      <w:r w:rsidRPr="0064087E">
        <w:rPr>
          <w:rFonts w:ascii="Arial" w:hAnsi="Arial" w:cs="Arial"/>
        </w:rPr>
        <w:br w:type="page"/>
      </w:r>
    </w:p>
    <w:p w:rsidR="009B62C0" w:rsidRPr="009B62C0" w:rsidRDefault="009B62C0" w:rsidP="0036761C">
      <w:pPr>
        <w:pStyle w:val="Legenda"/>
        <w:keepNext/>
        <w:spacing w:after="120" w:line="276" w:lineRule="auto"/>
        <w:rPr>
          <w:rFonts w:ascii="Arial" w:hAnsi="Arial" w:cs="Arial"/>
          <w:i w:val="0"/>
          <w:color w:val="auto"/>
          <w:sz w:val="22"/>
        </w:rPr>
      </w:pPr>
      <w:bookmarkStart w:id="89" w:name="_Toc160793557"/>
      <w:r w:rsidRPr="009B62C0">
        <w:rPr>
          <w:rFonts w:ascii="Arial" w:hAnsi="Arial" w:cs="Arial"/>
          <w:b/>
          <w:i w:val="0"/>
          <w:color w:val="auto"/>
          <w:sz w:val="22"/>
        </w:rPr>
        <w:lastRenderedPageBreak/>
        <w:t xml:space="preserve">Wykres </w:t>
      </w:r>
      <w:r w:rsidRPr="009B62C0">
        <w:rPr>
          <w:rFonts w:ascii="Arial" w:hAnsi="Arial" w:cs="Arial"/>
          <w:b/>
          <w:i w:val="0"/>
          <w:color w:val="auto"/>
          <w:sz w:val="22"/>
        </w:rPr>
        <w:fldChar w:fldCharType="begin"/>
      </w:r>
      <w:r w:rsidRPr="009B62C0">
        <w:rPr>
          <w:rFonts w:ascii="Arial" w:hAnsi="Arial" w:cs="Arial"/>
          <w:b/>
          <w:i w:val="0"/>
          <w:color w:val="auto"/>
          <w:sz w:val="22"/>
        </w:rPr>
        <w:instrText xml:space="preserve"> SEQ Wykres \* ARABIC </w:instrText>
      </w:r>
      <w:r w:rsidRPr="009B62C0">
        <w:rPr>
          <w:rFonts w:ascii="Arial" w:hAnsi="Arial" w:cs="Arial"/>
          <w:b/>
          <w:i w:val="0"/>
          <w:color w:val="auto"/>
          <w:sz w:val="22"/>
        </w:rPr>
        <w:fldChar w:fldCharType="separate"/>
      </w:r>
      <w:r w:rsidR="00884DAD">
        <w:rPr>
          <w:rFonts w:ascii="Arial" w:hAnsi="Arial" w:cs="Arial"/>
          <w:b/>
          <w:i w:val="0"/>
          <w:noProof/>
          <w:color w:val="auto"/>
          <w:sz w:val="22"/>
        </w:rPr>
        <w:t>51</w:t>
      </w:r>
      <w:r w:rsidRPr="009B62C0">
        <w:rPr>
          <w:rFonts w:ascii="Arial" w:hAnsi="Arial" w:cs="Arial"/>
          <w:b/>
          <w:i w:val="0"/>
          <w:color w:val="auto"/>
          <w:sz w:val="22"/>
        </w:rPr>
        <w:fldChar w:fldCharType="end"/>
      </w:r>
      <w:r w:rsidR="00DA1871">
        <w:rPr>
          <w:rFonts w:ascii="Arial" w:hAnsi="Arial" w:cs="Arial"/>
          <w:b/>
          <w:i w:val="0"/>
          <w:color w:val="auto"/>
          <w:sz w:val="22"/>
        </w:rPr>
        <w:t>.</w:t>
      </w:r>
      <w:r w:rsidRPr="009B62C0">
        <w:rPr>
          <w:rFonts w:ascii="Arial" w:hAnsi="Arial" w:cs="Arial"/>
          <w:i w:val="0"/>
          <w:color w:val="auto"/>
          <w:sz w:val="22"/>
        </w:rPr>
        <w:t xml:space="preserve"> Turystyczne obiekty noclegowe oraz stopień wykorzystania miejsc noclegowych w województwie podkarpackim w latach 2017-2022.</w:t>
      </w:r>
      <w:bookmarkEnd w:id="89"/>
    </w:p>
    <w:p w:rsidR="008565C7" w:rsidRPr="0064087E" w:rsidRDefault="00515664" w:rsidP="008565C7">
      <w:pPr>
        <w:spacing w:after="120" w:line="276" w:lineRule="auto"/>
        <w:jc w:val="center"/>
        <w:rPr>
          <w:rFonts w:ascii="Arial" w:hAnsi="Arial" w:cs="Arial"/>
        </w:rPr>
      </w:pPr>
      <w:r w:rsidRPr="0064087E">
        <w:rPr>
          <w:noProof/>
          <w:lang w:eastAsia="pl-PL"/>
        </w:rPr>
        <w:drawing>
          <wp:inline distT="0" distB="0" distL="0" distR="0" wp14:anchorId="2E82AC54" wp14:editId="6619E7DB">
            <wp:extent cx="4800600" cy="2852738"/>
            <wp:effectExtent l="0" t="0" r="0" b="5080"/>
            <wp:docPr id="486488953" name="Wykres 1" descr="Wykres słupkowo-liniowy pionowy w tym dane (%): 2017: turystyczne obiekty noclegowe: 582, stopień wykorzystania miejsc noclegowych: 34,8, 2018: turystyczne obiekty noclegowe: 642, stopień wykorzystania miejsc noclegowych: 34,8, 2019: turystyczne obiekty noclegowe: 652, stopień wykorzystania miejsc noclegowych: 34,8, 2020: turystyczne obiekty noclegowe: 609, stopień wykorzystania miejsc noclegowych: 25,4, 2021: turystyczne obiekty noclegowe: 601, stopień wykorzystania miejsc noclegowych: 28,8, 2022: turystyczne obiekty noclegowe: 605, stopień wykorzystania miejsc noclegowych: 35,2.">
              <a:extLst xmlns:a="http://schemas.openxmlformats.org/drawingml/2006/main">
                <a:ext uri="{FF2B5EF4-FFF2-40B4-BE49-F238E27FC236}">
                  <a16:creationId xmlns:a16="http://schemas.microsoft.com/office/drawing/2014/main" id="{2CD39053-BD16-4552-CFC6-A4C500C993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8565C7" w:rsidRPr="00D62638" w:rsidRDefault="008565C7" w:rsidP="008565C7">
      <w:pPr>
        <w:spacing w:after="120" w:line="276" w:lineRule="auto"/>
        <w:jc w:val="center"/>
        <w:rPr>
          <w:rFonts w:ascii="Arial" w:hAnsi="Arial" w:cs="Arial"/>
        </w:rPr>
      </w:pPr>
      <w:r w:rsidRPr="00D62638">
        <w:rPr>
          <w:rFonts w:ascii="Arial" w:hAnsi="Arial" w:cs="Arial"/>
        </w:rPr>
        <w:t>Źródło: Opracowanie własne na podstawie danych GUS.</w:t>
      </w:r>
    </w:p>
    <w:p w:rsidR="00585153" w:rsidRPr="0064087E" w:rsidRDefault="00585153" w:rsidP="0036761C">
      <w:pPr>
        <w:spacing w:after="120" w:line="276" w:lineRule="auto"/>
        <w:rPr>
          <w:rFonts w:ascii="Arial" w:hAnsi="Arial" w:cs="Arial"/>
        </w:rPr>
      </w:pPr>
      <w:r w:rsidRPr="0064087E">
        <w:rPr>
          <w:rFonts w:ascii="Arial" w:hAnsi="Arial" w:cs="Arial"/>
        </w:rPr>
        <w:t>W analizowanym okresie w przedsiębiorstwach związanych z turystyką zrównoważoną</w:t>
      </w:r>
      <w:r w:rsidRPr="0064087E">
        <w:rPr>
          <w:rStyle w:val="Odwoanieprzypisudolnego"/>
          <w:rFonts w:ascii="Arial" w:hAnsi="Arial" w:cs="Arial"/>
        </w:rPr>
        <w:footnoteReference w:id="35"/>
      </w:r>
      <w:r w:rsidRPr="0064087E">
        <w:rPr>
          <w:rFonts w:ascii="Arial" w:hAnsi="Arial" w:cs="Arial"/>
        </w:rPr>
        <w:t xml:space="preserve"> w województwie podkarpackim zarówno przychody, jak i koszty z całokształtu działalności wykazywały zmienne tendencje. W latach 2017-2019 wskaźnik poziomu kosztów nieznacznie się poprawił, następnie w 2020 r. pogorszył się by w 2021 r. znowu się poprawić i osiągnąć najniższy poziom (93,5%).</w:t>
      </w:r>
    </w:p>
    <w:p w:rsidR="009B62C0" w:rsidRPr="009B62C0" w:rsidRDefault="009B62C0" w:rsidP="0036761C">
      <w:pPr>
        <w:pStyle w:val="Legenda"/>
        <w:keepNext/>
        <w:spacing w:after="120" w:line="276" w:lineRule="auto"/>
        <w:rPr>
          <w:rFonts w:ascii="Arial" w:hAnsi="Arial" w:cs="Arial"/>
          <w:i w:val="0"/>
          <w:color w:val="auto"/>
          <w:sz w:val="22"/>
        </w:rPr>
      </w:pPr>
      <w:bookmarkStart w:id="90" w:name="_Toc160793558"/>
      <w:r w:rsidRPr="009B62C0">
        <w:rPr>
          <w:rFonts w:ascii="Arial" w:hAnsi="Arial" w:cs="Arial"/>
          <w:b/>
          <w:i w:val="0"/>
          <w:color w:val="auto"/>
          <w:sz w:val="22"/>
        </w:rPr>
        <w:t xml:space="preserve">Wykres </w:t>
      </w:r>
      <w:r w:rsidRPr="009B62C0">
        <w:rPr>
          <w:rFonts w:ascii="Arial" w:hAnsi="Arial" w:cs="Arial"/>
          <w:b/>
          <w:i w:val="0"/>
          <w:color w:val="auto"/>
          <w:sz w:val="22"/>
        </w:rPr>
        <w:fldChar w:fldCharType="begin"/>
      </w:r>
      <w:r w:rsidRPr="009B62C0">
        <w:rPr>
          <w:rFonts w:ascii="Arial" w:hAnsi="Arial" w:cs="Arial"/>
          <w:b/>
          <w:i w:val="0"/>
          <w:color w:val="auto"/>
          <w:sz w:val="22"/>
        </w:rPr>
        <w:instrText xml:space="preserve"> SEQ Wykres \* ARABIC </w:instrText>
      </w:r>
      <w:r w:rsidRPr="009B62C0">
        <w:rPr>
          <w:rFonts w:ascii="Arial" w:hAnsi="Arial" w:cs="Arial"/>
          <w:b/>
          <w:i w:val="0"/>
          <w:color w:val="auto"/>
          <w:sz w:val="22"/>
        </w:rPr>
        <w:fldChar w:fldCharType="separate"/>
      </w:r>
      <w:r w:rsidR="00884DAD">
        <w:rPr>
          <w:rFonts w:ascii="Arial" w:hAnsi="Arial" w:cs="Arial"/>
          <w:b/>
          <w:i w:val="0"/>
          <w:noProof/>
          <w:color w:val="auto"/>
          <w:sz w:val="22"/>
        </w:rPr>
        <w:t>52</w:t>
      </w:r>
      <w:r w:rsidRPr="009B62C0">
        <w:rPr>
          <w:rFonts w:ascii="Arial" w:hAnsi="Arial" w:cs="Arial"/>
          <w:b/>
          <w:i w:val="0"/>
          <w:color w:val="auto"/>
          <w:sz w:val="22"/>
        </w:rPr>
        <w:fldChar w:fldCharType="end"/>
      </w:r>
      <w:r w:rsidR="00DA1871">
        <w:rPr>
          <w:rFonts w:ascii="Arial" w:hAnsi="Arial" w:cs="Arial"/>
          <w:b/>
          <w:i w:val="0"/>
          <w:color w:val="auto"/>
          <w:sz w:val="22"/>
        </w:rPr>
        <w:t>.</w:t>
      </w:r>
      <w:r w:rsidRPr="009B62C0">
        <w:rPr>
          <w:rFonts w:ascii="Arial" w:hAnsi="Arial" w:cs="Arial"/>
          <w:i w:val="0"/>
          <w:color w:val="auto"/>
          <w:sz w:val="22"/>
        </w:rPr>
        <w:t xml:space="preserve"> Wskaźnik poziomu kosztów z całokształtu działalności firm branży turystyka zrównoważona z województwa podkarpackiego w latach 2017-2021.</w:t>
      </w:r>
      <w:bookmarkEnd w:id="90"/>
    </w:p>
    <w:p w:rsidR="005F6495" w:rsidRPr="0064087E" w:rsidRDefault="005F6495" w:rsidP="005F6495">
      <w:pPr>
        <w:spacing w:after="120" w:line="276" w:lineRule="auto"/>
        <w:jc w:val="center"/>
        <w:rPr>
          <w:rFonts w:ascii="Arial" w:hAnsi="Arial" w:cs="Arial"/>
        </w:rPr>
      </w:pPr>
      <w:r w:rsidRPr="0064087E">
        <w:rPr>
          <w:noProof/>
          <w:lang w:eastAsia="pl-PL"/>
        </w:rPr>
        <w:drawing>
          <wp:inline distT="0" distB="0" distL="0" distR="0" wp14:anchorId="0AE0B87E" wp14:editId="6A127DE2">
            <wp:extent cx="5088835" cy="2472856"/>
            <wp:effectExtent l="0" t="0" r="0" b="3810"/>
            <wp:docPr id="33" name="Wykres 33" descr="Wykres liniowy poziomy w tym dane (%): 2017: 97,7, 2018: 97,7, 2019: 97,0, 2020: 104,0, 2021: 93,5. ">
              <a:extLst xmlns:a="http://schemas.openxmlformats.org/drawingml/2006/main">
                <a:ext uri="{FF2B5EF4-FFF2-40B4-BE49-F238E27FC236}">
                  <a16:creationId xmlns:a16="http://schemas.microsoft.com/office/drawing/2014/main" id="{C3FFCD3E-14E0-4C54-A5AE-8DFA30A7E5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617E89" w:rsidRPr="0064087E" w:rsidRDefault="005F6495" w:rsidP="007A1D01">
      <w:pPr>
        <w:spacing w:after="120" w:line="276" w:lineRule="auto"/>
        <w:jc w:val="center"/>
        <w:rPr>
          <w:rFonts w:ascii="Arial" w:hAnsi="Arial" w:cs="Arial"/>
        </w:rPr>
      </w:pPr>
      <w:r w:rsidRPr="0064087E">
        <w:rPr>
          <w:rFonts w:ascii="Arial" w:hAnsi="Arial" w:cs="Arial"/>
        </w:rPr>
        <w:t>Źródło: Opracowanie własne na podstawie danych GUS.</w:t>
      </w:r>
    </w:p>
    <w:p w:rsidR="005F6495" w:rsidRPr="0064087E" w:rsidRDefault="005F6495" w:rsidP="0036761C">
      <w:pPr>
        <w:spacing w:after="120" w:line="276" w:lineRule="auto"/>
        <w:rPr>
          <w:rFonts w:ascii="Arial" w:hAnsi="Arial" w:cs="Arial"/>
        </w:rPr>
      </w:pPr>
      <w:r w:rsidRPr="0064087E">
        <w:rPr>
          <w:rFonts w:ascii="Arial" w:hAnsi="Arial" w:cs="Arial"/>
        </w:rPr>
        <w:t>Wskaźnik rentowności obrotu netto</w:t>
      </w:r>
      <w:r w:rsidR="001A58B1" w:rsidRPr="0064087E">
        <w:rPr>
          <w:rStyle w:val="Odwoanieprzypisudolnego"/>
          <w:rFonts w:ascii="Arial" w:hAnsi="Arial" w:cs="Arial"/>
        </w:rPr>
        <w:footnoteReference w:id="36"/>
      </w:r>
      <w:r w:rsidRPr="0064087E">
        <w:rPr>
          <w:rFonts w:ascii="Arial" w:hAnsi="Arial" w:cs="Arial"/>
        </w:rPr>
        <w:t xml:space="preserve"> w latach 2017-2019 systematycznie rósł (z 1,9% </w:t>
      </w:r>
      <w:r w:rsidRPr="0064087E">
        <w:rPr>
          <w:rFonts w:ascii="Arial" w:hAnsi="Arial" w:cs="Arial"/>
        </w:rPr>
        <w:br/>
      </w:r>
      <w:r w:rsidRPr="0064087E">
        <w:rPr>
          <w:rFonts w:ascii="Arial" w:hAnsi="Arial" w:cs="Arial"/>
        </w:rPr>
        <w:lastRenderedPageBreak/>
        <w:t>w 2017 r. do 2,8% w 2019 r.), natomiast w 2020 r. zanotował spadek do poziomu -3,7%, po czym 2021 r. ponownie wzrósł i osiągnął wartość 5,7%. We wszystkich analizowanych latach, poza rokiem 2021 r., wskaźnik w przedsiębiorstwach związanych z turystyką zrównoważoną był niższy zarówno w porównaniu z województwem, jak i krajem.</w:t>
      </w:r>
    </w:p>
    <w:p w:rsidR="005F6495" w:rsidRPr="0064087E" w:rsidRDefault="005F6495" w:rsidP="0036761C">
      <w:pPr>
        <w:spacing w:after="120" w:line="276" w:lineRule="auto"/>
        <w:rPr>
          <w:rFonts w:ascii="Arial" w:hAnsi="Arial" w:cs="Arial"/>
        </w:rPr>
      </w:pPr>
      <w:r w:rsidRPr="0064087E">
        <w:rPr>
          <w:rFonts w:ascii="Arial" w:hAnsi="Arial" w:cs="Arial"/>
        </w:rPr>
        <w:t>Wahania wskaźnika rentowności aktywów</w:t>
      </w:r>
      <w:r w:rsidR="001A58B1" w:rsidRPr="0064087E">
        <w:rPr>
          <w:rStyle w:val="Odwoanieprzypisudolnego"/>
          <w:rFonts w:ascii="Arial" w:hAnsi="Arial" w:cs="Arial"/>
        </w:rPr>
        <w:footnoteReference w:id="37"/>
      </w:r>
      <w:r w:rsidR="00077BCF" w:rsidRPr="0064087E">
        <w:rPr>
          <w:rFonts w:ascii="Arial" w:hAnsi="Arial" w:cs="Arial"/>
        </w:rPr>
        <w:t xml:space="preserve"> </w:t>
      </w:r>
      <w:r w:rsidRPr="0064087E">
        <w:rPr>
          <w:rFonts w:ascii="Arial" w:hAnsi="Arial" w:cs="Arial"/>
        </w:rPr>
        <w:t>notowały zbliżone tend</w:t>
      </w:r>
      <w:r w:rsidR="00077BCF" w:rsidRPr="0064087E">
        <w:rPr>
          <w:rFonts w:ascii="Arial" w:hAnsi="Arial" w:cs="Arial"/>
        </w:rPr>
        <w:t xml:space="preserve">encje do pozostałych wskaźników </w:t>
      </w:r>
      <w:r w:rsidRPr="0064087E">
        <w:rPr>
          <w:rFonts w:ascii="Arial" w:hAnsi="Arial" w:cs="Arial"/>
        </w:rPr>
        <w:t>ren</w:t>
      </w:r>
      <w:r w:rsidR="00077BCF" w:rsidRPr="0064087E">
        <w:rPr>
          <w:rFonts w:ascii="Arial" w:hAnsi="Arial" w:cs="Arial"/>
        </w:rPr>
        <w:t xml:space="preserve">towności. </w:t>
      </w:r>
      <w:r w:rsidRPr="0064087E">
        <w:rPr>
          <w:rFonts w:ascii="Arial" w:hAnsi="Arial" w:cs="Arial"/>
        </w:rPr>
        <w:t xml:space="preserve">W jednostkach specjalizujących się w turystyce zrównoważonej </w:t>
      </w:r>
      <w:r w:rsidR="00077BCF" w:rsidRPr="0064087E">
        <w:rPr>
          <w:rFonts w:ascii="Arial" w:hAnsi="Arial" w:cs="Arial"/>
        </w:rPr>
        <w:br/>
      </w:r>
      <w:r w:rsidRPr="0064087E">
        <w:rPr>
          <w:rFonts w:ascii="Arial" w:hAnsi="Arial" w:cs="Arial"/>
        </w:rPr>
        <w:t>w latach 2017-2021 wskaźniki oscylowały w przedziale od -2,4% (</w:t>
      </w:r>
      <w:r w:rsidR="00077BCF" w:rsidRPr="0064087E">
        <w:rPr>
          <w:rFonts w:ascii="Arial" w:hAnsi="Arial" w:cs="Arial"/>
        </w:rPr>
        <w:t xml:space="preserve">w 2020 r.) do 4,5% </w:t>
      </w:r>
      <w:r w:rsidR="0036761C">
        <w:rPr>
          <w:rFonts w:ascii="Arial" w:hAnsi="Arial" w:cs="Arial"/>
        </w:rPr>
        <w:br/>
      </w:r>
      <w:r w:rsidR="00077BCF" w:rsidRPr="0064087E">
        <w:rPr>
          <w:rFonts w:ascii="Arial" w:hAnsi="Arial" w:cs="Arial"/>
        </w:rPr>
        <w:t xml:space="preserve">(w 2021 r.). </w:t>
      </w:r>
      <w:r w:rsidRPr="0064087E">
        <w:rPr>
          <w:rFonts w:ascii="Arial" w:hAnsi="Arial" w:cs="Arial"/>
        </w:rPr>
        <w:t>Wskaźnik szacowany dla branży jest niższy ni</w:t>
      </w:r>
      <w:r w:rsidR="00077BCF" w:rsidRPr="0064087E">
        <w:rPr>
          <w:rFonts w:ascii="Arial" w:hAnsi="Arial" w:cs="Arial"/>
        </w:rPr>
        <w:t xml:space="preserve">ż liczony dla przedsiębiorstw </w:t>
      </w:r>
      <w:r w:rsidR="00077BCF" w:rsidRPr="0064087E">
        <w:rPr>
          <w:rFonts w:ascii="Arial" w:hAnsi="Arial" w:cs="Arial"/>
        </w:rPr>
        <w:br/>
        <w:t xml:space="preserve">w </w:t>
      </w:r>
      <w:r w:rsidRPr="0064087E">
        <w:rPr>
          <w:rFonts w:ascii="Arial" w:hAnsi="Arial" w:cs="Arial"/>
        </w:rPr>
        <w:t>województwie. Wysokość wskaźnika rentowności aktywów jest zależna w przypadku tej branży od wysokości zaangażowanych aktywów.</w:t>
      </w:r>
    </w:p>
    <w:p w:rsidR="005F6495" w:rsidRPr="0064087E" w:rsidRDefault="005F6495" w:rsidP="0036761C">
      <w:pPr>
        <w:spacing w:after="120" w:line="276" w:lineRule="auto"/>
        <w:rPr>
          <w:rFonts w:ascii="Arial" w:hAnsi="Arial" w:cs="Arial"/>
        </w:rPr>
      </w:pPr>
      <w:r w:rsidRPr="0064087E">
        <w:rPr>
          <w:rFonts w:ascii="Arial" w:hAnsi="Arial" w:cs="Arial"/>
        </w:rPr>
        <w:t>Wskaźnik rentowności kapitału własnego</w:t>
      </w:r>
      <w:r w:rsidR="009D05F2" w:rsidRPr="0064087E">
        <w:rPr>
          <w:rFonts w:ascii="Arial" w:hAnsi="Arial" w:cs="Arial"/>
        </w:rPr>
        <w:t xml:space="preserve"> </w:t>
      </w:r>
      <w:r w:rsidRPr="0064087E">
        <w:rPr>
          <w:rFonts w:ascii="Arial" w:hAnsi="Arial" w:cs="Arial"/>
        </w:rPr>
        <w:t xml:space="preserve">w odróżnieniu od wskaźnika rentowności aktywów, jest wyrazem efektywności nie całości kapitału ulokowanego w aktywach, lecz jedynie jego części (bez zobowiązań). W analizowanym okresie wykazywał tendencje zbliżone do wskaźnika rentowności aktywów. W latach 2017-2019 przyjmował wartości w przedziale od 2,6% (w 2018 r.) do 3,8% (w 2019 r.). Natomiast w 2020 r. spadł do poziomu - 5,9% </w:t>
      </w:r>
      <w:r w:rsidR="0036761C">
        <w:rPr>
          <w:rFonts w:ascii="Arial" w:hAnsi="Arial" w:cs="Arial"/>
        </w:rPr>
        <w:br/>
      </w:r>
      <w:r w:rsidRPr="0064087E">
        <w:rPr>
          <w:rFonts w:ascii="Arial" w:hAnsi="Arial" w:cs="Arial"/>
        </w:rPr>
        <w:t>a następnie wzrósł do 10,6% w 2021 r. Tak jak w przypadku pozostałych wskaźników rentowności jest on niższy niż notowane wskaźniki dla województwa i dla kraju.</w:t>
      </w:r>
    </w:p>
    <w:p w:rsidR="009B62C0" w:rsidRPr="009B62C0" w:rsidRDefault="009B62C0" w:rsidP="0036761C">
      <w:pPr>
        <w:pStyle w:val="Legenda"/>
        <w:keepNext/>
        <w:spacing w:after="120" w:line="276" w:lineRule="auto"/>
        <w:rPr>
          <w:rFonts w:ascii="Arial" w:hAnsi="Arial" w:cs="Arial"/>
          <w:i w:val="0"/>
          <w:color w:val="auto"/>
          <w:sz w:val="22"/>
        </w:rPr>
      </w:pPr>
      <w:bookmarkStart w:id="91" w:name="_Toc160793559"/>
      <w:r w:rsidRPr="009B62C0">
        <w:rPr>
          <w:rFonts w:ascii="Arial" w:hAnsi="Arial" w:cs="Arial"/>
          <w:b/>
          <w:i w:val="0"/>
          <w:color w:val="auto"/>
          <w:sz w:val="22"/>
        </w:rPr>
        <w:t xml:space="preserve">Wykres </w:t>
      </w:r>
      <w:r w:rsidRPr="009B62C0">
        <w:rPr>
          <w:rFonts w:ascii="Arial" w:hAnsi="Arial" w:cs="Arial"/>
          <w:b/>
          <w:i w:val="0"/>
          <w:color w:val="auto"/>
          <w:sz w:val="22"/>
        </w:rPr>
        <w:fldChar w:fldCharType="begin"/>
      </w:r>
      <w:r w:rsidRPr="009B62C0">
        <w:rPr>
          <w:rFonts w:ascii="Arial" w:hAnsi="Arial" w:cs="Arial"/>
          <w:b/>
          <w:i w:val="0"/>
          <w:color w:val="auto"/>
          <w:sz w:val="22"/>
        </w:rPr>
        <w:instrText xml:space="preserve"> SEQ Wykres \* ARABIC </w:instrText>
      </w:r>
      <w:r w:rsidRPr="009B62C0">
        <w:rPr>
          <w:rFonts w:ascii="Arial" w:hAnsi="Arial" w:cs="Arial"/>
          <w:b/>
          <w:i w:val="0"/>
          <w:color w:val="auto"/>
          <w:sz w:val="22"/>
        </w:rPr>
        <w:fldChar w:fldCharType="separate"/>
      </w:r>
      <w:r w:rsidR="00884DAD">
        <w:rPr>
          <w:rFonts w:ascii="Arial" w:hAnsi="Arial" w:cs="Arial"/>
          <w:b/>
          <w:i w:val="0"/>
          <w:noProof/>
          <w:color w:val="auto"/>
          <w:sz w:val="22"/>
        </w:rPr>
        <w:t>53</w:t>
      </w:r>
      <w:r w:rsidRPr="009B62C0">
        <w:rPr>
          <w:rFonts w:ascii="Arial" w:hAnsi="Arial" w:cs="Arial"/>
          <w:b/>
          <w:i w:val="0"/>
          <w:color w:val="auto"/>
          <w:sz w:val="22"/>
        </w:rPr>
        <w:fldChar w:fldCharType="end"/>
      </w:r>
      <w:r w:rsidR="00DA1871">
        <w:rPr>
          <w:rFonts w:ascii="Arial" w:hAnsi="Arial" w:cs="Arial"/>
          <w:b/>
          <w:i w:val="0"/>
          <w:color w:val="auto"/>
          <w:sz w:val="22"/>
        </w:rPr>
        <w:t>.</w:t>
      </w:r>
      <w:r w:rsidRPr="009B62C0">
        <w:rPr>
          <w:rFonts w:ascii="Arial" w:hAnsi="Arial" w:cs="Arial"/>
          <w:i w:val="0"/>
          <w:color w:val="auto"/>
          <w:sz w:val="22"/>
        </w:rPr>
        <w:t xml:space="preserve"> Wskaźnik rentowności obrotu ze sprzedaży, wskaźnik rentowności aktywów </w:t>
      </w:r>
      <w:r>
        <w:rPr>
          <w:rFonts w:ascii="Arial" w:hAnsi="Arial" w:cs="Arial"/>
          <w:i w:val="0"/>
          <w:color w:val="auto"/>
          <w:sz w:val="22"/>
        </w:rPr>
        <w:br/>
      </w:r>
      <w:r w:rsidRPr="009B62C0">
        <w:rPr>
          <w:rFonts w:ascii="Arial" w:hAnsi="Arial" w:cs="Arial"/>
          <w:i w:val="0"/>
          <w:color w:val="auto"/>
          <w:sz w:val="22"/>
        </w:rPr>
        <w:t>i wskaźnik rentowności kapitału w jednostkach specjalizujących się w turystyce zrównoważonej w latach 2017-2021.</w:t>
      </w:r>
      <w:bookmarkEnd w:id="91"/>
    </w:p>
    <w:p w:rsidR="005F6495" w:rsidRPr="0064087E" w:rsidRDefault="005F6495" w:rsidP="005F6495">
      <w:pPr>
        <w:spacing w:after="120" w:line="276" w:lineRule="auto"/>
        <w:jc w:val="center"/>
        <w:rPr>
          <w:rFonts w:ascii="Arial" w:hAnsi="Arial" w:cs="Arial"/>
        </w:rPr>
      </w:pPr>
      <w:r w:rsidRPr="0064087E">
        <w:rPr>
          <w:noProof/>
          <w:lang w:eastAsia="pl-PL"/>
        </w:rPr>
        <w:drawing>
          <wp:inline distT="0" distB="0" distL="0" distR="0" wp14:anchorId="62742536" wp14:editId="1CC467DB">
            <wp:extent cx="5181600" cy="2743200"/>
            <wp:effectExtent l="0" t="0" r="0" b="0"/>
            <wp:docPr id="34" name="Wykres 34" descr="Wykres słupkowy pionowy w tym dane (%): 2017: Rentowność obrotu netto: 1,9, Rentowność aktywów: 1,3, Rentowność kapitału własnego: 2,7, 2018: Rentowność obrotu netto: 2,0, Rentowność aktywów: 1,3, Rentowność kapitału własnego: 2,6, 2019: Rentowność obrotu netto: 2,8, Rentowność aktywów: 2,0, Rentowność kapitału własnego: 3,8, 2020: Rentowność obrotu netto: 0,0, Rentowność aktywów: 0,0, Rentowność kapitału własnego: 0,0, 2021: Rentowność obrotu netto: 5,7, Rentowność aktywów: 4,5, Rentowność kapitału własnego: 10,6.">
              <a:extLst xmlns:a="http://schemas.openxmlformats.org/drawingml/2006/main">
                <a:ext uri="{FF2B5EF4-FFF2-40B4-BE49-F238E27FC236}">
                  <a16:creationId xmlns:a16="http://schemas.microsoft.com/office/drawing/2014/main" id="{B9BEF504-1BBA-4319-AD7B-83E32CE5D2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5F6495" w:rsidRPr="0064087E" w:rsidRDefault="005F6495" w:rsidP="005F6495">
      <w:pPr>
        <w:spacing w:after="120" w:line="276" w:lineRule="auto"/>
        <w:jc w:val="center"/>
        <w:rPr>
          <w:rFonts w:ascii="Arial" w:hAnsi="Arial" w:cs="Arial"/>
        </w:rPr>
      </w:pPr>
      <w:r w:rsidRPr="0064087E">
        <w:rPr>
          <w:rFonts w:ascii="Arial" w:hAnsi="Arial" w:cs="Arial"/>
        </w:rPr>
        <w:t>Źródło: Opracowanie własne na podstawie danych GUS.</w:t>
      </w:r>
    </w:p>
    <w:p w:rsidR="005F6495" w:rsidRPr="0064087E" w:rsidRDefault="005F6495" w:rsidP="0036761C">
      <w:pPr>
        <w:spacing w:after="120" w:line="276" w:lineRule="auto"/>
        <w:rPr>
          <w:rFonts w:ascii="Arial" w:hAnsi="Arial" w:cs="Arial"/>
        </w:rPr>
      </w:pPr>
      <w:r w:rsidRPr="0064087E">
        <w:rPr>
          <w:rFonts w:ascii="Arial" w:hAnsi="Arial" w:cs="Arial"/>
        </w:rPr>
        <w:t>Wynik finansowy netto, który jest składową wskaźników rentowności aktywów, rentowności kapitału własnego i rentowności obrotu netto, w grupie firm związanych z turystyką zrównoważoną w latach 2018-2019 notował wzrost w stosunku do poprzedniego roku, natomiast w 2020 r. spadł i przyjął wartość ujemną</w:t>
      </w:r>
      <w:r w:rsidR="00093A63" w:rsidRPr="0064087E">
        <w:rPr>
          <w:rFonts w:ascii="Arial" w:hAnsi="Arial" w:cs="Arial"/>
        </w:rPr>
        <w:t>,</w:t>
      </w:r>
      <w:r w:rsidRPr="0064087E">
        <w:rPr>
          <w:rFonts w:ascii="Arial" w:hAnsi="Arial" w:cs="Arial"/>
        </w:rPr>
        <w:t xml:space="preserve"> a następnie w 2021 r. ponownie znacznie wzrósł.</w:t>
      </w:r>
    </w:p>
    <w:p w:rsidR="005F6495" w:rsidRPr="0064087E" w:rsidRDefault="005F6495" w:rsidP="0036761C">
      <w:pPr>
        <w:spacing w:after="120" w:line="276" w:lineRule="auto"/>
        <w:rPr>
          <w:rFonts w:ascii="Arial" w:hAnsi="Arial" w:cs="Arial"/>
        </w:rPr>
      </w:pPr>
      <w:r w:rsidRPr="0064087E">
        <w:rPr>
          <w:rFonts w:ascii="Arial" w:hAnsi="Arial" w:cs="Arial"/>
        </w:rPr>
        <w:t xml:space="preserve">W jednostkach mających siedzibę na terenie województwa podkarpackiego wynik finansowy </w:t>
      </w:r>
      <w:r w:rsidRPr="0064087E">
        <w:rPr>
          <w:rFonts w:ascii="Arial" w:hAnsi="Arial" w:cs="Arial"/>
        </w:rPr>
        <w:lastRenderedPageBreak/>
        <w:t xml:space="preserve">netto zanotował spadek w 2018 r., w stosunku do poprzedniego roku, o 16%, a następnie </w:t>
      </w:r>
      <w:r w:rsidRPr="0064087E">
        <w:rPr>
          <w:rFonts w:ascii="Arial" w:hAnsi="Arial" w:cs="Arial"/>
        </w:rPr>
        <w:br/>
        <w:t xml:space="preserve">w pozostałych latach notował wzrosty w tym najwyższy w 2021 r. (o 35,4%). Dla Polski po nieznacznych spadkach w latach 2018-2020, wynik finansowy netto wzrósł w 2021 r. </w:t>
      </w:r>
      <w:r w:rsidR="0036761C">
        <w:rPr>
          <w:rFonts w:ascii="Arial" w:hAnsi="Arial" w:cs="Arial"/>
        </w:rPr>
        <w:br/>
      </w:r>
      <w:r w:rsidRPr="0064087E">
        <w:rPr>
          <w:rFonts w:ascii="Arial" w:hAnsi="Arial" w:cs="Arial"/>
        </w:rPr>
        <w:t>o 89,8%.</w:t>
      </w:r>
    </w:p>
    <w:p w:rsidR="009B62C0" w:rsidRPr="009B62C0" w:rsidRDefault="009B62C0" w:rsidP="0036761C">
      <w:pPr>
        <w:pStyle w:val="Legenda"/>
        <w:keepNext/>
        <w:rPr>
          <w:rFonts w:ascii="Arial" w:hAnsi="Arial" w:cs="Arial"/>
          <w:i w:val="0"/>
          <w:color w:val="auto"/>
          <w:sz w:val="22"/>
        </w:rPr>
      </w:pPr>
      <w:bookmarkStart w:id="92" w:name="_Toc160793560"/>
      <w:r w:rsidRPr="009B62C0">
        <w:rPr>
          <w:rFonts w:ascii="Arial" w:hAnsi="Arial" w:cs="Arial"/>
          <w:b/>
          <w:i w:val="0"/>
          <w:color w:val="auto"/>
          <w:sz w:val="22"/>
        </w:rPr>
        <w:t xml:space="preserve">Wykres </w:t>
      </w:r>
      <w:r w:rsidRPr="009B62C0">
        <w:rPr>
          <w:rFonts w:ascii="Arial" w:hAnsi="Arial" w:cs="Arial"/>
          <w:b/>
          <w:i w:val="0"/>
          <w:color w:val="auto"/>
          <w:sz w:val="22"/>
        </w:rPr>
        <w:fldChar w:fldCharType="begin"/>
      </w:r>
      <w:r w:rsidRPr="009B62C0">
        <w:rPr>
          <w:rFonts w:ascii="Arial" w:hAnsi="Arial" w:cs="Arial"/>
          <w:b/>
          <w:i w:val="0"/>
          <w:color w:val="auto"/>
          <w:sz w:val="22"/>
        </w:rPr>
        <w:instrText xml:space="preserve"> SEQ Wykres \* ARABIC </w:instrText>
      </w:r>
      <w:r w:rsidRPr="009B62C0">
        <w:rPr>
          <w:rFonts w:ascii="Arial" w:hAnsi="Arial" w:cs="Arial"/>
          <w:b/>
          <w:i w:val="0"/>
          <w:color w:val="auto"/>
          <w:sz w:val="22"/>
        </w:rPr>
        <w:fldChar w:fldCharType="separate"/>
      </w:r>
      <w:r w:rsidR="00884DAD">
        <w:rPr>
          <w:rFonts w:ascii="Arial" w:hAnsi="Arial" w:cs="Arial"/>
          <w:b/>
          <w:i w:val="0"/>
          <w:noProof/>
          <w:color w:val="auto"/>
          <w:sz w:val="22"/>
        </w:rPr>
        <w:t>54</w:t>
      </w:r>
      <w:r w:rsidRPr="009B62C0">
        <w:rPr>
          <w:rFonts w:ascii="Arial" w:hAnsi="Arial" w:cs="Arial"/>
          <w:b/>
          <w:i w:val="0"/>
          <w:color w:val="auto"/>
          <w:sz w:val="22"/>
        </w:rPr>
        <w:fldChar w:fldCharType="end"/>
      </w:r>
      <w:r w:rsidR="00DA1871">
        <w:rPr>
          <w:rFonts w:ascii="Arial" w:hAnsi="Arial" w:cs="Arial"/>
          <w:b/>
          <w:i w:val="0"/>
          <w:color w:val="auto"/>
          <w:sz w:val="22"/>
        </w:rPr>
        <w:t>.</w:t>
      </w:r>
      <w:r w:rsidRPr="009B62C0">
        <w:rPr>
          <w:rFonts w:ascii="Arial" w:hAnsi="Arial" w:cs="Arial"/>
          <w:i w:val="0"/>
          <w:color w:val="auto"/>
          <w:sz w:val="22"/>
        </w:rPr>
        <w:t xml:space="preserve"> Wynik finansowy netto w branży turystyka zrównoważona w latach 2017-2021.</w:t>
      </w:r>
      <w:bookmarkEnd w:id="92"/>
    </w:p>
    <w:p w:rsidR="005F6495" w:rsidRPr="0064087E" w:rsidRDefault="005F6495" w:rsidP="005F6495">
      <w:pPr>
        <w:spacing w:after="120" w:line="276" w:lineRule="auto"/>
        <w:jc w:val="center"/>
        <w:rPr>
          <w:rFonts w:ascii="Arial" w:hAnsi="Arial" w:cs="Arial"/>
        </w:rPr>
      </w:pPr>
      <w:r w:rsidRPr="0064087E">
        <w:rPr>
          <w:noProof/>
          <w:lang w:eastAsia="pl-PL"/>
        </w:rPr>
        <w:drawing>
          <wp:inline distT="0" distB="0" distL="0" distR="0" wp14:anchorId="35D0EADD" wp14:editId="2ACF03DE">
            <wp:extent cx="5172075" cy="2686050"/>
            <wp:effectExtent l="0" t="0" r="0" b="0"/>
            <wp:docPr id="36" name="Wykres 36" descr="Wykres słupkowy pionowy w tym dane (zł): 2017: woj. Podkarpackie: 4979581, turystyka zrównoważona: 25599,  2018: woj. Podkarpackie: 4180418, turystyka zrównoważona: 28310, 2019: woj. Podkarpackie: 4953862, turystyka zrównoważona: 39397, 2020: woj. Podkarpackie: 5502601, turystyka zrównoważona: 0, 2021: woj. Podkarpackie: 7448912, turystyka zrównoważona: 96876.">
              <a:extLst xmlns:a="http://schemas.openxmlformats.org/drawingml/2006/main">
                <a:ext uri="{FF2B5EF4-FFF2-40B4-BE49-F238E27FC236}">
                  <a16:creationId xmlns:a16="http://schemas.microsoft.com/office/drawing/2014/main" id="{0F9C1667-EAE5-4E75-991A-B3DC0EF597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5F6495" w:rsidRPr="0064087E" w:rsidRDefault="005F6495" w:rsidP="005F6495">
      <w:pPr>
        <w:spacing w:after="120" w:line="276" w:lineRule="auto"/>
        <w:jc w:val="center"/>
        <w:rPr>
          <w:rFonts w:ascii="Arial" w:hAnsi="Arial" w:cs="Arial"/>
        </w:rPr>
      </w:pPr>
      <w:r w:rsidRPr="0064087E">
        <w:rPr>
          <w:rFonts w:ascii="Arial" w:hAnsi="Arial" w:cs="Arial"/>
        </w:rPr>
        <w:t>Źródło: Opracowanie własne na podstawie danych GUS.</w:t>
      </w:r>
    </w:p>
    <w:p w:rsidR="005F6495" w:rsidRPr="0064087E" w:rsidRDefault="005F6495" w:rsidP="0036761C">
      <w:pPr>
        <w:spacing w:after="120" w:line="276" w:lineRule="auto"/>
        <w:rPr>
          <w:rFonts w:ascii="Arial" w:hAnsi="Arial" w:cs="Arial"/>
        </w:rPr>
      </w:pPr>
      <w:r w:rsidRPr="0064087E">
        <w:rPr>
          <w:rFonts w:ascii="Arial" w:hAnsi="Arial" w:cs="Arial"/>
        </w:rPr>
        <w:t>Płynność finansowa to zdolność do terminowego regulowania zobowiązań. Płynność finansowa I stopnia</w:t>
      </w:r>
      <w:r w:rsidR="009D05F2" w:rsidRPr="0064087E">
        <w:rPr>
          <w:rStyle w:val="Odwoanieprzypisudolnego"/>
          <w:rFonts w:ascii="Arial" w:hAnsi="Arial" w:cs="Arial"/>
        </w:rPr>
        <w:footnoteReference w:id="38"/>
      </w:r>
      <w:r w:rsidRPr="0064087E">
        <w:rPr>
          <w:rFonts w:ascii="Arial" w:hAnsi="Arial" w:cs="Arial"/>
        </w:rPr>
        <w:t xml:space="preserve"> to zdolność przedsiębiorstw do natychmiastowej spłaty zobowiązań. Dla podmiotów gospodarczych związanych z turystyką zrównoważoną wskaźnik płynności I stopnia w latach 2017-2020 utrzymywał się poniżej wartości dla województwa podkarpackiego (najniższy w 2020 r. – 25,2%, a najwyższy w 2017 r. – 31,2%), natomiast </w:t>
      </w:r>
      <w:r w:rsidRPr="0064087E">
        <w:rPr>
          <w:rFonts w:ascii="Arial" w:hAnsi="Arial" w:cs="Arial"/>
        </w:rPr>
        <w:br/>
        <w:t xml:space="preserve">w 2021 r. przewyższył wartość dla województwa i wyniósł 42,3%. Według standardów wskaźnik powinien być wyższy niż 20%, jednak zbyt wysoki może świadczyć </w:t>
      </w:r>
      <w:r w:rsidR="0036761C">
        <w:rPr>
          <w:rFonts w:ascii="Arial" w:hAnsi="Arial" w:cs="Arial"/>
        </w:rPr>
        <w:br/>
      </w:r>
      <w:r w:rsidRPr="0064087E">
        <w:rPr>
          <w:rFonts w:ascii="Arial" w:hAnsi="Arial" w:cs="Arial"/>
        </w:rPr>
        <w:t>o nieproduktywnym gromadzeniu środków pieniężnych lub braku koncepcji ich wykorzystania.</w:t>
      </w:r>
    </w:p>
    <w:p w:rsidR="005F6495" w:rsidRPr="0064087E" w:rsidRDefault="005F6495" w:rsidP="0036761C">
      <w:pPr>
        <w:spacing w:after="120" w:line="276" w:lineRule="auto"/>
        <w:rPr>
          <w:rFonts w:ascii="Arial" w:hAnsi="Arial" w:cs="Arial"/>
        </w:rPr>
      </w:pPr>
      <w:r w:rsidRPr="0064087E">
        <w:rPr>
          <w:rFonts w:ascii="Arial" w:hAnsi="Arial" w:cs="Arial"/>
        </w:rPr>
        <w:t>Wskaźnik płynności II stopnia</w:t>
      </w:r>
      <w:r w:rsidR="009D05F2" w:rsidRPr="0064087E">
        <w:rPr>
          <w:rStyle w:val="Odwoanieprzypisudolnego"/>
          <w:rFonts w:ascii="Arial" w:hAnsi="Arial" w:cs="Arial"/>
        </w:rPr>
        <w:footnoteReference w:id="39"/>
      </w:r>
      <w:r w:rsidRPr="0064087E">
        <w:rPr>
          <w:rFonts w:ascii="Arial" w:hAnsi="Arial" w:cs="Arial"/>
        </w:rPr>
        <w:t xml:space="preserve"> informuje o stopniu pokrycia zapasów aktywami o dużym stopniu płynności. Jako pożądaną wartość wskaźnika przyjmuje się 100%</w:t>
      </w:r>
      <w:r w:rsidR="00825BCC" w:rsidRPr="0064087E">
        <w:rPr>
          <w:rFonts w:ascii="Arial" w:hAnsi="Arial" w:cs="Arial"/>
        </w:rPr>
        <w:t>,</w:t>
      </w:r>
      <w:r w:rsidRPr="0064087E">
        <w:rPr>
          <w:rFonts w:ascii="Arial" w:hAnsi="Arial" w:cs="Arial"/>
        </w:rPr>
        <w:t xml:space="preserve"> jednak tak jak </w:t>
      </w:r>
      <w:r w:rsidR="00142037" w:rsidRPr="0064087E">
        <w:rPr>
          <w:rFonts w:ascii="Arial" w:hAnsi="Arial" w:cs="Arial"/>
        </w:rPr>
        <w:br/>
      </w:r>
      <w:r w:rsidRPr="0064087E">
        <w:rPr>
          <w:rFonts w:ascii="Arial" w:hAnsi="Arial" w:cs="Arial"/>
        </w:rPr>
        <w:t>w przypadku podmiotów gospodarczych związanych z turystyką zrównoważoną</w:t>
      </w:r>
      <w:r w:rsidR="00825BCC" w:rsidRPr="0064087E">
        <w:rPr>
          <w:rFonts w:ascii="Arial" w:hAnsi="Arial" w:cs="Arial"/>
        </w:rPr>
        <w:t>,</w:t>
      </w:r>
      <w:r w:rsidRPr="0064087E">
        <w:rPr>
          <w:rFonts w:ascii="Arial" w:hAnsi="Arial" w:cs="Arial"/>
        </w:rPr>
        <w:t xml:space="preserve"> poziom wskaźnika jest zależny od specyfiki branży. Dla tych podmiotów w latach 2017-2020 systematycznie obniżał się z 56,4% w 2017 r. do 49,4% w 2020 r., a w 2021 r. wzrósł do poziomu 68,4%. Dla województwa podkarpackiego wskaźnik płynności II stopnia oscylował </w:t>
      </w:r>
      <w:r w:rsidRPr="0064087E">
        <w:rPr>
          <w:rFonts w:ascii="Arial" w:hAnsi="Arial" w:cs="Arial"/>
        </w:rPr>
        <w:br/>
        <w:t>w przedziale 104,2% – 111,4%, a dla Polski 100,9% – 108,9%.</w:t>
      </w:r>
    </w:p>
    <w:p w:rsidR="005F6495" w:rsidRPr="0064087E" w:rsidRDefault="005F6495" w:rsidP="0036761C">
      <w:pPr>
        <w:spacing w:after="240" w:line="276" w:lineRule="auto"/>
        <w:rPr>
          <w:rFonts w:ascii="Arial" w:hAnsi="Arial" w:cs="Arial"/>
        </w:rPr>
      </w:pPr>
      <w:r w:rsidRPr="0064087E">
        <w:rPr>
          <w:rFonts w:ascii="Arial" w:hAnsi="Arial" w:cs="Arial"/>
        </w:rPr>
        <w:t xml:space="preserve">Wskaźnikiem obrazującym skalę ryzyka w przedsiębiorstwach jest wskaźnik płynności </w:t>
      </w:r>
      <w:r w:rsidRPr="0064087E">
        <w:rPr>
          <w:rFonts w:ascii="Arial" w:hAnsi="Arial" w:cs="Arial"/>
        </w:rPr>
        <w:br/>
        <w:t>III stopnia</w:t>
      </w:r>
      <w:r w:rsidR="00B13149" w:rsidRPr="0064087E">
        <w:rPr>
          <w:rStyle w:val="Odwoanieprzypisudolnego"/>
          <w:rFonts w:ascii="Arial" w:hAnsi="Arial" w:cs="Arial"/>
        </w:rPr>
        <w:footnoteReference w:id="40"/>
      </w:r>
      <w:r w:rsidR="00B13149" w:rsidRPr="0064087E">
        <w:rPr>
          <w:rFonts w:ascii="Arial" w:hAnsi="Arial" w:cs="Arial"/>
        </w:rPr>
        <w:t xml:space="preserve">, który </w:t>
      </w:r>
      <w:r w:rsidRPr="0064087E">
        <w:rPr>
          <w:rFonts w:ascii="Arial" w:hAnsi="Arial" w:cs="Arial"/>
        </w:rPr>
        <w:t xml:space="preserve">informuje </w:t>
      </w:r>
      <w:r w:rsidR="00B13149" w:rsidRPr="0064087E">
        <w:rPr>
          <w:rFonts w:ascii="Arial" w:hAnsi="Arial" w:cs="Arial"/>
        </w:rPr>
        <w:t xml:space="preserve">o tym, </w:t>
      </w:r>
      <w:r w:rsidRPr="0064087E">
        <w:rPr>
          <w:rFonts w:ascii="Arial" w:hAnsi="Arial" w:cs="Arial"/>
        </w:rPr>
        <w:t xml:space="preserve">czy zobowiązania mogłyby być terminowo spłacone dzięki </w:t>
      </w:r>
      <w:r w:rsidRPr="0064087E">
        <w:rPr>
          <w:rFonts w:ascii="Arial" w:hAnsi="Arial" w:cs="Arial"/>
        </w:rPr>
        <w:lastRenderedPageBreak/>
        <w:t xml:space="preserve">upłynnieniu aktywów obrotowych. Zadowalający poziom wskaźnika to przedział 120% – 200%. Wskaźnik III stopnia liczony dla podmiotów gospodarczych specjalizujących się </w:t>
      </w:r>
      <w:r w:rsidRPr="0064087E">
        <w:rPr>
          <w:rFonts w:ascii="Arial" w:hAnsi="Arial" w:cs="Arial"/>
        </w:rPr>
        <w:br/>
        <w:t xml:space="preserve">w turystyce zrównoważonej w okresie 2014-2018 wykazywał tendencje zbliżone do wskaźnika płynności II stopnia. Po spadkach z 70,7% w 2017 r. do 59,1% w 2020 r., w końcu analizowanego okresu zanotował wzrost do poziomu 83,0%. Dla województwa podkarpackiego utrzymywał się w przedziale 159,2% – 167,4%, natomiast dla Polski oscylował w granicach 143,6% – 153,1%. Niskie wskaźniki mogą sugerować trudności </w:t>
      </w:r>
      <w:r w:rsidR="0036761C">
        <w:rPr>
          <w:rFonts w:ascii="Arial" w:hAnsi="Arial" w:cs="Arial"/>
        </w:rPr>
        <w:br/>
      </w:r>
      <w:r w:rsidRPr="0064087E">
        <w:rPr>
          <w:rFonts w:ascii="Arial" w:hAnsi="Arial" w:cs="Arial"/>
        </w:rPr>
        <w:t>w regulowaniu zobowiązań.</w:t>
      </w:r>
    </w:p>
    <w:p w:rsidR="007B6AE6" w:rsidRPr="0064087E" w:rsidRDefault="007B6AE6" w:rsidP="0036761C">
      <w:pPr>
        <w:spacing w:after="120" w:line="276" w:lineRule="auto"/>
        <w:rPr>
          <w:rFonts w:ascii="Arial" w:hAnsi="Arial" w:cs="Arial"/>
          <w:b/>
        </w:rPr>
      </w:pPr>
      <w:r w:rsidRPr="0064087E">
        <w:rPr>
          <w:rFonts w:ascii="Arial" w:hAnsi="Arial" w:cs="Arial"/>
          <w:b/>
        </w:rPr>
        <w:t>Żywność wysokiej jakości w województwie podkarpackim w latach 2017-2021</w:t>
      </w:r>
    </w:p>
    <w:p w:rsidR="007B6AE6" w:rsidRPr="0064087E" w:rsidRDefault="007B6AE6" w:rsidP="0036761C">
      <w:pPr>
        <w:spacing w:after="120" w:line="276" w:lineRule="auto"/>
        <w:rPr>
          <w:rFonts w:ascii="Arial" w:hAnsi="Arial" w:cs="Arial"/>
        </w:rPr>
      </w:pPr>
      <w:r w:rsidRPr="0064087E">
        <w:rPr>
          <w:rFonts w:ascii="Arial" w:hAnsi="Arial" w:cs="Arial"/>
        </w:rPr>
        <w:t xml:space="preserve">Na potrzeby niniejszej analizy, pod pojęciem żywności wysokiej jakości należy rozumieć jednostki zaklasyfikowane do następujących </w:t>
      </w:r>
      <w:r w:rsidR="00927FD2" w:rsidRPr="0064087E">
        <w:rPr>
          <w:rFonts w:ascii="Arial" w:hAnsi="Arial" w:cs="Arial"/>
        </w:rPr>
        <w:t xml:space="preserve">działów i klas </w:t>
      </w:r>
      <w:r w:rsidRPr="0064087E">
        <w:rPr>
          <w:rFonts w:ascii="Arial" w:hAnsi="Arial" w:cs="Arial"/>
        </w:rPr>
        <w:t xml:space="preserve">PKD tj.: 01, 10, 11, 56, 72.11, 82.92. Spośród jednostek sporządzających sprawozdanie SP w 2017 r. było 123 jednostki, </w:t>
      </w:r>
      <w:r w:rsidR="0036761C">
        <w:rPr>
          <w:rFonts w:ascii="Arial" w:hAnsi="Arial" w:cs="Arial"/>
        </w:rPr>
        <w:br/>
      </w:r>
      <w:r w:rsidRPr="0064087E">
        <w:rPr>
          <w:rFonts w:ascii="Arial" w:hAnsi="Arial" w:cs="Arial"/>
        </w:rPr>
        <w:t>w 2018 r. – 120, w 2019 r. – 121, w 2020 r. – 105, a w 2021 r. – 103 jednostki.</w:t>
      </w:r>
    </w:p>
    <w:p w:rsidR="007B6AE6" w:rsidRPr="0064087E" w:rsidRDefault="007B6AE6" w:rsidP="0036761C">
      <w:pPr>
        <w:pStyle w:val="Legenda"/>
        <w:keepNext/>
        <w:spacing w:after="120" w:line="276" w:lineRule="auto"/>
        <w:rPr>
          <w:rFonts w:ascii="Arial" w:hAnsi="Arial" w:cs="Arial"/>
          <w:i w:val="0"/>
          <w:color w:val="auto"/>
          <w:sz w:val="22"/>
          <w:szCs w:val="22"/>
        </w:rPr>
      </w:pPr>
      <w:bookmarkStart w:id="93" w:name="_Toc161123014"/>
      <w:r w:rsidRPr="0064087E">
        <w:rPr>
          <w:rFonts w:ascii="Arial" w:hAnsi="Arial" w:cs="Arial"/>
          <w:b/>
          <w:i w:val="0"/>
          <w:color w:val="auto"/>
          <w:sz w:val="22"/>
          <w:szCs w:val="22"/>
        </w:rPr>
        <w:t xml:space="preserve">Rysunek </w:t>
      </w:r>
      <w:r w:rsidRPr="0064087E">
        <w:rPr>
          <w:rFonts w:ascii="Arial" w:hAnsi="Arial" w:cs="Arial"/>
          <w:b/>
          <w:i w:val="0"/>
          <w:color w:val="auto"/>
          <w:sz w:val="22"/>
          <w:szCs w:val="22"/>
        </w:rPr>
        <w:fldChar w:fldCharType="begin"/>
      </w:r>
      <w:r w:rsidRPr="0064087E">
        <w:rPr>
          <w:rFonts w:ascii="Arial" w:hAnsi="Arial" w:cs="Arial"/>
          <w:b/>
          <w:i w:val="0"/>
          <w:color w:val="auto"/>
          <w:sz w:val="22"/>
          <w:szCs w:val="22"/>
        </w:rPr>
        <w:instrText xml:space="preserve"> SEQ Rysunek \* ARABIC </w:instrText>
      </w:r>
      <w:r w:rsidRPr="0064087E">
        <w:rPr>
          <w:rFonts w:ascii="Arial" w:hAnsi="Arial" w:cs="Arial"/>
          <w:b/>
          <w:i w:val="0"/>
          <w:color w:val="auto"/>
          <w:sz w:val="22"/>
          <w:szCs w:val="22"/>
        </w:rPr>
        <w:fldChar w:fldCharType="separate"/>
      </w:r>
      <w:r w:rsidR="00884DAD">
        <w:rPr>
          <w:rFonts w:ascii="Arial" w:hAnsi="Arial" w:cs="Arial"/>
          <w:b/>
          <w:i w:val="0"/>
          <w:noProof/>
          <w:color w:val="auto"/>
          <w:sz w:val="22"/>
          <w:szCs w:val="22"/>
        </w:rPr>
        <w:t>14</w:t>
      </w:r>
      <w:r w:rsidRPr="0064087E">
        <w:rPr>
          <w:rFonts w:ascii="Arial" w:hAnsi="Arial" w:cs="Arial"/>
          <w:b/>
          <w:i w:val="0"/>
          <w:color w:val="auto"/>
          <w:sz w:val="22"/>
          <w:szCs w:val="22"/>
        </w:rPr>
        <w:fldChar w:fldCharType="end"/>
      </w:r>
      <w:r w:rsidRPr="0064087E">
        <w:rPr>
          <w:rFonts w:ascii="Arial" w:hAnsi="Arial" w:cs="Arial"/>
          <w:b/>
          <w:i w:val="0"/>
          <w:color w:val="auto"/>
          <w:sz w:val="22"/>
          <w:szCs w:val="22"/>
        </w:rPr>
        <w:t>.</w:t>
      </w:r>
      <w:r w:rsidRPr="0064087E">
        <w:rPr>
          <w:rFonts w:ascii="Arial" w:hAnsi="Arial" w:cs="Arial"/>
          <w:i w:val="0"/>
          <w:color w:val="auto"/>
          <w:sz w:val="22"/>
          <w:szCs w:val="22"/>
        </w:rPr>
        <w:t xml:space="preserve"> Rozmieszczenie firm związanych z żywnością wysokiej jakości w 2021 r.</w:t>
      </w:r>
      <w:bookmarkEnd w:id="93"/>
    </w:p>
    <w:p w:rsidR="007B6AE6" w:rsidRPr="0064087E" w:rsidRDefault="007B6AE6" w:rsidP="007B6AE6">
      <w:pPr>
        <w:spacing w:after="120" w:line="276" w:lineRule="auto"/>
        <w:jc w:val="center"/>
        <w:rPr>
          <w:rFonts w:ascii="Arial" w:hAnsi="Arial" w:cs="Arial"/>
        </w:rPr>
      </w:pPr>
      <w:r w:rsidRPr="0064087E">
        <w:rPr>
          <w:noProof/>
          <w:lang w:eastAsia="pl-PL"/>
        </w:rPr>
        <w:drawing>
          <wp:inline distT="0" distB="0" distL="0" distR="0" wp14:anchorId="62D41E7C" wp14:editId="7EA255C8">
            <wp:extent cx="4985468" cy="4850202"/>
            <wp:effectExtent l="0" t="0" r="5715" b="7620"/>
            <wp:docPr id="42" name="Obraz 42" descr="Mapa Województwa Podkarpackiego przedstawiająca gminy, które występowały przedsiębiorstwa związane z żywnością wysokiej jakości w tym: Zaleszany, Stalowa Wola, Nowa Dęba, Baranów Sandomierski, Cmolas, Gmina i Miasto Mielec, Przecław, Radomyśl Wielki, Wadowice Górne, Żyraków, Gmina i Miasto Dębica, Pilzno, Jodłowa, Ropczyce, Sędziszów Małopolski, Iwierzyce, Kolbuszowa, Głogów Małopolski, Trzebownisko, Miasto Rzeszów, Krasne, Gmina i Miasto Łańcut, Chmielnik, Sokołów Małopolski, Nowa Sarzyna, Gmina i Miasto Leżajsk, Miasto Przeworsk, Kańczuga, Miasto Jarosław, Pawłosiów, Lubaczów, Laszki, Orły, Miasto Przemyśl, Boguchwała, Wielopole Skrzyńskie, Wiśniowa, Strzyżów, Frysztak, Kołaczyce, Miasto Jasło, Skołyszyn, Tarnowiec, Jedlicze, Nowy Żmigród, Miasto Krosno, Miejsce Piastowe, Rymanów, Zarszyn, Bukowsko, Gmina i Miasto Sanok, Dydnia, Brzozów, Jasienica Rosielna, Lesko, Ustrzyki Dolne, Lutowis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78906" cy="4941104"/>
                    </a:xfrm>
                    <a:prstGeom prst="rect">
                      <a:avLst/>
                    </a:prstGeom>
                    <a:noFill/>
                    <a:ln>
                      <a:noFill/>
                    </a:ln>
                  </pic:spPr>
                </pic:pic>
              </a:graphicData>
            </a:graphic>
          </wp:inline>
        </w:drawing>
      </w:r>
    </w:p>
    <w:p w:rsidR="007B6AE6" w:rsidRPr="0064087E" w:rsidRDefault="007B6AE6" w:rsidP="007B6AE6">
      <w:pPr>
        <w:spacing w:after="120" w:line="276" w:lineRule="auto"/>
        <w:jc w:val="center"/>
        <w:rPr>
          <w:rFonts w:ascii="Arial" w:hAnsi="Arial" w:cs="Arial"/>
        </w:rPr>
      </w:pPr>
      <w:r w:rsidRPr="0064087E">
        <w:rPr>
          <w:rFonts w:ascii="Arial" w:hAnsi="Arial" w:cs="Arial"/>
        </w:rPr>
        <w:t>Źródło: Opracowanie własne na podstawie danych GUS.</w:t>
      </w:r>
    </w:p>
    <w:p w:rsidR="00617E89" w:rsidRPr="0064087E" w:rsidRDefault="007B6AE6" w:rsidP="0036761C">
      <w:pPr>
        <w:spacing w:after="120" w:line="276" w:lineRule="auto"/>
        <w:rPr>
          <w:rFonts w:ascii="Arial" w:hAnsi="Arial" w:cs="Arial"/>
        </w:rPr>
      </w:pPr>
      <w:r w:rsidRPr="0064087E">
        <w:rPr>
          <w:rFonts w:ascii="Arial" w:hAnsi="Arial" w:cs="Arial"/>
        </w:rPr>
        <w:t>W latach 2017-2021 w przedsiębiorstwach związanych z żywnością wysokiej jakości</w:t>
      </w:r>
      <w:r w:rsidRPr="0064087E">
        <w:rPr>
          <w:rStyle w:val="Odwoanieprzypisudolnego"/>
          <w:rFonts w:ascii="Arial" w:hAnsi="Arial" w:cs="Arial"/>
        </w:rPr>
        <w:footnoteReference w:id="41"/>
      </w:r>
      <w:r w:rsidRPr="0064087E">
        <w:rPr>
          <w:rFonts w:ascii="Arial" w:hAnsi="Arial" w:cs="Arial"/>
        </w:rPr>
        <w:t xml:space="preserve"> </w:t>
      </w:r>
      <w:r w:rsidRPr="0064087E">
        <w:rPr>
          <w:rFonts w:ascii="Arial" w:hAnsi="Arial" w:cs="Arial"/>
        </w:rPr>
        <w:lastRenderedPageBreak/>
        <w:t xml:space="preserve">w województwie podkarpackim zmienne tendencje wykazywały zarówno przychody, jak </w:t>
      </w:r>
      <w:r w:rsidRPr="0064087E">
        <w:rPr>
          <w:rFonts w:ascii="Arial" w:hAnsi="Arial" w:cs="Arial"/>
        </w:rPr>
        <w:br/>
        <w:t xml:space="preserve">i koszty z całokształtu działalności. W 2018 r. oraz 2021 r. przychody i koszty rosły </w:t>
      </w:r>
      <w:r w:rsidRPr="0064087E">
        <w:rPr>
          <w:rFonts w:ascii="Arial" w:hAnsi="Arial" w:cs="Arial"/>
        </w:rPr>
        <w:br/>
        <w:t>w porównaniu z poprzednim rokiem. Wskaźnik poziomu kosztów w analizowanym okresie wahał się w granicach od 93,5% do 95,6%.</w:t>
      </w:r>
    </w:p>
    <w:p w:rsidR="009B62C0" w:rsidRPr="009B62C0" w:rsidRDefault="009B62C0" w:rsidP="0036761C">
      <w:pPr>
        <w:pStyle w:val="Legenda"/>
        <w:keepNext/>
        <w:spacing w:line="276" w:lineRule="auto"/>
        <w:rPr>
          <w:rFonts w:ascii="Arial" w:hAnsi="Arial" w:cs="Arial"/>
          <w:i w:val="0"/>
          <w:sz w:val="22"/>
        </w:rPr>
      </w:pPr>
      <w:bookmarkStart w:id="94" w:name="_Toc160793561"/>
      <w:r w:rsidRPr="009B62C0">
        <w:rPr>
          <w:rFonts w:ascii="Arial" w:hAnsi="Arial" w:cs="Arial"/>
          <w:b/>
          <w:i w:val="0"/>
          <w:color w:val="auto"/>
          <w:sz w:val="22"/>
        </w:rPr>
        <w:t xml:space="preserve">Wykres </w:t>
      </w:r>
      <w:r w:rsidRPr="009B62C0">
        <w:rPr>
          <w:rFonts w:ascii="Arial" w:hAnsi="Arial" w:cs="Arial"/>
          <w:b/>
          <w:i w:val="0"/>
          <w:color w:val="auto"/>
          <w:sz w:val="22"/>
        </w:rPr>
        <w:fldChar w:fldCharType="begin"/>
      </w:r>
      <w:r w:rsidRPr="009B62C0">
        <w:rPr>
          <w:rFonts w:ascii="Arial" w:hAnsi="Arial" w:cs="Arial"/>
          <w:b/>
          <w:i w:val="0"/>
          <w:color w:val="auto"/>
          <w:sz w:val="22"/>
        </w:rPr>
        <w:instrText xml:space="preserve"> SEQ Wykres \* ARABIC </w:instrText>
      </w:r>
      <w:r w:rsidRPr="009B62C0">
        <w:rPr>
          <w:rFonts w:ascii="Arial" w:hAnsi="Arial" w:cs="Arial"/>
          <w:b/>
          <w:i w:val="0"/>
          <w:color w:val="auto"/>
          <w:sz w:val="22"/>
        </w:rPr>
        <w:fldChar w:fldCharType="separate"/>
      </w:r>
      <w:r w:rsidR="00884DAD">
        <w:rPr>
          <w:rFonts w:ascii="Arial" w:hAnsi="Arial" w:cs="Arial"/>
          <w:b/>
          <w:i w:val="0"/>
          <w:noProof/>
          <w:color w:val="auto"/>
          <w:sz w:val="22"/>
        </w:rPr>
        <w:t>55</w:t>
      </w:r>
      <w:r w:rsidRPr="009B62C0">
        <w:rPr>
          <w:rFonts w:ascii="Arial" w:hAnsi="Arial" w:cs="Arial"/>
          <w:b/>
          <w:i w:val="0"/>
          <w:color w:val="auto"/>
          <w:sz w:val="22"/>
        </w:rPr>
        <w:fldChar w:fldCharType="end"/>
      </w:r>
      <w:r w:rsidR="00DA1871">
        <w:rPr>
          <w:rFonts w:ascii="Arial" w:hAnsi="Arial" w:cs="Arial"/>
          <w:b/>
          <w:i w:val="0"/>
          <w:color w:val="auto"/>
          <w:sz w:val="22"/>
        </w:rPr>
        <w:t>.</w:t>
      </w:r>
      <w:r w:rsidRPr="009B62C0">
        <w:rPr>
          <w:rFonts w:ascii="Arial" w:hAnsi="Arial" w:cs="Arial"/>
          <w:i w:val="0"/>
          <w:color w:val="auto"/>
          <w:sz w:val="22"/>
        </w:rPr>
        <w:t xml:space="preserve"> Przychody, koszty oraz wskaźnik poziomu kosztów z całokształtu działalności firm związanych z żywnością wysokiej jakości z województwa podkarpackiego w latach 2017-2021</w:t>
      </w:r>
      <w:r w:rsidRPr="009B62C0">
        <w:rPr>
          <w:rFonts w:ascii="Arial" w:hAnsi="Arial" w:cs="Arial"/>
          <w:i w:val="0"/>
          <w:sz w:val="22"/>
        </w:rPr>
        <w:t>.</w:t>
      </w:r>
      <w:bookmarkEnd w:id="94"/>
    </w:p>
    <w:p w:rsidR="007B6AE6" w:rsidRPr="0064087E" w:rsidRDefault="007B6AE6" w:rsidP="007B6AE6">
      <w:pPr>
        <w:spacing w:after="120" w:line="276" w:lineRule="auto"/>
        <w:jc w:val="center"/>
        <w:rPr>
          <w:rFonts w:ascii="Arial" w:hAnsi="Arial" w:cs="Arial"/>
        </w:rPr>
      </w:pPr>
      <w:r w:rsidRPr="0064087E">
        <w:rPr>
          <w:noProof/>
          <w:lang w:eastAsia="pl-PL"/>
        </w:rPr>
        <w:drawing>
          <wp:inline distT="0" distB="0" distL="0" distR="0" wp14:anchorId="34C1D896" wp14:editId="0B9EC0F2">
            <wp:extent cx="5391150" cy="2838450"/>
            <wp:effectExtent l="0" t="0" r="0" b="0"/>
            <wp:docPr id="43" name="Wykres 43" descr="Wykres słupkowo-liniowy pionowy w tym dane: 2017: Przychody z całokształtu działalności (mln zł): , Koszt uzyskania przychodów z całokształtu działalności (mln zł): , Wskaźnik poziomu kosztów z całokształtu działalności (%): , 2018: Przychody z całokształtu działalności (mln zł): , Koszt uzyskania przychodów z całokształtu działalności (mln zł): , Wskaźnik poziomu kosztów z całokształtu działalności (%): , 2019: Przychody z całokształtu działalności (mln zł): , Koszt uzyskania przychodów z całokształtu działalności (mln zł): , Wskaźnik poziomu kosztów z całokształtu działalności (%): , 2020: Przychody z całokształtu działalności (mln zł): , Koszt uzyskania przychodów z całokształtu działalności (mln zł): , Wskaźnik poziomu kosztów z całokształtu działalności (%): , 2021: Przychody z całokształtu działalności (mln zł): , Koszt uzyskania przychodów z całokształtu działalności (mln zł): , Wskaźnik poziomu kosztów z całokształtu działalności (%): 93,5.">
              <a:extLst xmlns:a="http://schemas.openxmlformats.org/drawingml/2006/main">
                <a:ext uri="{FF2B5EF4-FFF2-40B4-BE49-F238E27FC236}">
                  <a16:creationId xmlns:a16="http://schemas.microsoft.com/office/drawing/2014/main" id="{AB8FD519-2150-494E-B924-CDC26B6F51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7B6AE6" w:rsidRPr="0064087E" w:rsidRDefault="007B6AE6" w:rsidP="007B6AE6">
      <w:pPr>
        <w:spacing w:after="120" w:line="276" w:lineRule="auto"/>
        <w:jc w:val="center"/>
        <w:rPr>
          <w:rFonts w:ascii="Arial" w:hAnsi="Arial" w:cs="Arial"/>
        </w:rPr>
      </w:pPr>
      <w:r w:rsidRPr="0064087E">
        <w:rPr>
          <w:rFonts w:ascii="Arial" w:hAnsi="Arial" w:cs="Arial"/>
        </w:rPr>
        <w:t>Źródło: Opracowanie własne na podstawie danych GUS.</w:t>
      </w:r>
    </w:p>
    <w:p w:rsidR="0036761C" w:rsidRDefault="007B6AE6" w:rsidP="0036761C">
      <w:pPr>
        <w:spacing w:after="120" w:line="276" w:lineRule="auto"/>
        <w:rPr>
          <w:rFonts w:ascii="Arial" w:hAnsi="Arial" w:cs="Arial"/>
        </w:rPr>
      </w:pPr>
      <w:r w:rsidRPr="0064087E">
        <w:rPr>
          <w:rFonts w:ascii="Arial" w:hAnsi="Arial" w:cs="Arial"/>
        </w:rPr>
        <w:t>Udziału eksportu w przychodach ze sprzedaży w jednostkach specjalizujących się w żywności wysokiej jakości oscylował w przedziale 15,1% – 28,3%. W latach 2018 i 2021 udział eksportu w jednostkach specjalizujących się w żywności wysokiej jakości był wyższy niż udział liczony dla jednostek w województwie podkarpackim i w kraju. W 2017 r. i 2019 r. był wyższy niż w kraju ale niższy niż w województwie podkarpackim, natomiast w 2020 r. udział eksportu w jednostkach specjalizujących się w żywności wysokiej jakości był znacznie poniżej wartości dla województwa i dla kraju.</w:t>
      </w:r>
    </w:p>
    <w:p w:rsidR="0036761C" w:rsidRDefault="0036761C">
      <w:pPr>
        <w:widowControl/>
        <w:autoSpaceDE/>
        <w:autoSpaceDN/>
        <w:spacing w:after="160" w:line="259" w:lineRule="auto"/>
        <w:rPr>
          <w:rFonts w:ascii="Arial" w:hAnsi="Arial" w:cs="Arial"/>
        </w:rPr>
      </w:pPr>
      <w:r>
        <w:rPr>
          <w:rFonts w:ascii="Arial" w:hAnsi="Arial" w:cs="Arial"/>
        </w:rPr>
        <w:br w:type="page"/>
      </w:r>
    </w:p>
    <w:p w:rsidR="009B62C0" w:rsidRPr="009B62C0" w:rsidRDefault="009B62C0" w:rsidP="0036761C">
      <w:pPr>
        <w:pStyle w:val="Legenda"/>
        <w:keepNext/>
        <w:spacing w:line="276" w:lineRule="auto"/>
        <w:rPr>
          <w:rFonts w:ascii="Arial" w:hAnsi="Arial" w:cs="Arial"/>
          <w:i w:val="0"/>
          <w:color w:val="auto"/>
          <w:sz w:val="22"/>
        </w:rPr>
      </w:pPr>
      <w:bookmarkStart w:id="95" w:name="_Toc160793562"/>
      <w:r w:rsidRPr="009B62C0">
        <w:rPr>
          <w:rFonts w:ascii="Arial" w:hAnsi="Arial" w:cs="Arial"/>
          <w:b/>
          <w:i w:val="0"/>
          <w:color w:val="auto"/>
          <w:sz w:val="22"/>
        </w:rPr>
        <w:lastRenderedPageBreak/>
        <w:t xml:space="preserve">Wykres </w:t>
      </w:r>
      <w:r w:rsidRPr="009B62C0">
        <w:rPr>
          <w:rFonts w:ascii="Arial" w:hAnsi="Arial" w:cs="Arial"/>
          <w:b/>
          <w:i w:val="0"/>
          <w:color w:val="auto"/>
          <w:sz w:val="22"/>
        </w:rPr>
        <w:fldChar w:fldCharType="begin"/>
      </w:r>
      <w:r w:rsidRPr="009B62C0">
        <w:rPr>
          <w:rFonts w:ascii="Arial" w:hAnsi="Arial" w:cs="Arial"/>
          <w:b/>
          <w:i w:val="0"/>
          <w:color w:val="auto"/>
          <w:sz w:val="22"/>
        </w:rPr>
        <w:instrText xml:space="preserve"> SEQ Wykres \* ARABIC </w:instrText>
      </w:r>
      <w:r w:rsidRPr="009B62C0">
        <w:rPr>
          <w:rFonts w:ascii="Arial" w:hAnsi="Arial" w:cs="Arial"/>
          <w:b/>
          <w:i w:val="0"/>
          <w:color w:val="auto"/>
          <w:sz w:val="22"/>
        </w:rPr>
        <w:fldChar w:fldCharType="separate"/>
      </w:r>
      <w:r w:rsidR="00884DAD">
        <w:rPr>
          <w:rFonts w:ascii="Arial" w:hAnsi="Arial" w:cs="Arial"/>
          <w:b/>
          <w:i w:val="0"/>
          <w:noProof/>
          <w:color w:val="auto"/>
          <w:sz w:val="22"/>
        </w:rPr>
        <w:t>56</w:t>
      </w:r>
      <w:r w:rsidRPr="009B62C0">
        <w:rPr>
          <w:rFonts w:ascii="Arial" w:hAnsi="Arial" w:cs="Arial"/>
          <w:b/>
          <w:i w:val="0"/>
          <w:color w:val="auto"/>
          <w:sz w:val="22"/>
        </w:rPr>
        <w:fldChar w:fldCharType="end"/>
      </w:r>
      <w:r w:rsidR="00DA1871">
        <w:rPr>
          <w:rFonts w:ascii="Arial" w:hAnsi="Arial" w:cs="Arial"/>
          <w:b/>
          <w:i w:val="0"/>
          <w:color w:val="auto"/>
          <w:sz w:val="22"/>
        </w:rPr>
        <w:t>.</w:t>
      </w:r>
      <w:r w:rsidRPr="009B62C0">
        <w:rPr>
          <w:rFonts w:ascii="Arial" w:hAnsi="Arial" w:cs="Arial"/>
          <w:i w:val="0"/>
          <w:color w:val="auto"/>
          <w:sz w:val="22"/>
        </w:rPr>
        <w:t xml:space="preserve"> Udział przychodów netto ze sprzedaży produktów, towarów i materiałów na eksport w przychodach netto ze sprzedaży produktów, towarów i materiałów w </w:t>
      </w:r>
      <w:r w:rsidR="00140E8D">
        <w:rPr>
          <w:rFonts w:ascii="Arial" w:hAnsi="Arial" w:cs="Arial"/>
          <w:i w:val="0"/>
          <w:color w:val="auto"/>
          <w:sz w:val="22"/>
        </w:rPr>
        <w:t xml:space="preserve">Polsce, województwie podkarpackim oraz </w:t>
      </w:r>
      <w:r w:rsidRPr="009B62C0">
        <w:rPr>
          <w:rFonts w:ascii="Arial" w:hAnsi="Arial" w:cs="Arial"/>
          <w:i w:val="0"/>
          <w:color w:val="auto"/>
          <w:sz w:val="22"/>
        </w:rPr>
        <w:t>branży żywność wysokiej jakości w latach 2017-2021.</w:t>
      </w:r>
      <w:bookmarkEnd w:id="95"/>
    </w:p>
    <w:p w:rsidR="007B6AE6" w:rsidRPr="0064087E" w:rsidRDefault="007B6AE6" w:rsidP="007B6AE6">
      <w:pPr>
        <w:spacing w:after="120" w:line="276" w:lineRule="auto"/>
        <w:jc w:val="center"/>
        <w:rPr>
          <w:rFonts w:ascii="Arial" w:hAnsi="Arial" w:cs="Arial"/>
        </w:rPr>
      </w:pPr>
      <w:r w:rsidRPr="0064087E">
        <w:rPr>
          <w:noProof/>
          <w:lang w:eastAsia="pl-PL"/>
        </w:rPr>
        <w:drawing>
          <wp:inline distT="0" distB="0" distL="0" distR="0" wp14:anchorId="645CBE35" wp14:editId="54F9DD3B">
            <wp:extent cx="5096510" cy="2152650"/>
            <wp:effectExtent l="0" t="0" r="8890" b="0"/>
            <wp:docPr id="44" name="Wykres 44" descr="Udział przychodów netto ze sprzedaży produktów, towarów i materiałów na eksport w przychodach netto ze sprzedaży produktów, towarów i materiałów w Polsce, województwie podkarpackim oraz branży żywność wysokiej jakości w latach 2017-2021.">
              <a:extLst xmlns:a="http://schemas.openxmlformats.org/drawingml/2006/main">
                <a:ext uri="{FF2B5EF4-FFF2-40B4-BE49-F238E27FC236}">
                  <a16:creationId xmlns:a16="http://schemas.microsoft.com/office/drawing/2014/main" id="{4D2E7A1A-C6C1-4F7C-835E-B4C81E270A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7B6AE6" w:rsidRPr="0064087E" w:rsidRDefault="007B6AE6" w:rsidP="007B6AE6">
      <w:pPr>
        <w:spacing w:after="120" w:line="276" w:lineRule="auto"/>
        <w:jc w:val="center"/>
        <w:rPr>
          <w:rFonts w:ascii="Arial" w:hAnsi="Arial" w:cs="Arial"/>
        </w:rPr>
      </w:pPr>
      <w:r w:rsidRPr="0064087E">
        <w:rPr>
          <w:rFonts w:ascii="Arial" w:hAnsi="Arial" w:cs="Arial"/>
        </w:rPr>
        <w:t>Źródło: Opracowanie własne na podstawie danych GUS.</w:t>
      </w:r>
    </w:p>
    <w:p w:rsidR="007B6AE6" w:rsidRPr="0064087E" w:rsidRDefault="007B6AE6" w:rsidP="0036761C">
      <w:pPr>
        <w:spacing w:after="120" w:line="276" w:lineRule="auto"/>
        <w:rPr>
          <w:rFonts w:ascii="Arial" w:hAnsi="Arial" w:cs="Arial"/>
        </w:rPr>
      </w:pPr>
      <w:r w:rsidRPr="0064087E">
        <w:rPr>
          <w:rFonts w:ascii="Arial" w:hAnsi="Arial" w:cs="Arial"/>
        </w:rPr>
        <w:t>W 2017 r. wskaźnik rentowności sprzedaży</w:t>
      </w:r>
      <w:r w:rsidRPr="0064087E">
        <w:rPr>
          <w:rStyle w:val="Odwoanieprzypisudolnego"/>
          <w:rFonts w:ascii="Arial" w:hAnsi="Arial" w:cs="Arial"/>
        </w:rPr>
        <w:footnoteReference w:id="42"/>
      </w:r>
      <w:r w:rsidRPr="0064087E">
        <w:rPr>
          <w:rFonts w:ascii="Arial" w:hAnsi="Arial" w:cs="Arial"/>
        </w:rPr>
        <w:t xml:space="preserve"> w przedsiębiorstwach specjalizujących się </w:t>
      </w:r>
      <w:r w:rsidRPr="0064087E">
        <w:rPr>
          <w:rFonts w:ascii="Arial" w:hAnsi="Arial" w:cs="Arial"/>
        </w:rPr>
        <w:br/>
        <w:t xml:space="preserve">w żywności wysokiej jakości był niższy niż wskaźniki dla województwa i dla kraju. Natomiast w latach 2018-2020 wskaźnik notował wartości w przedziale 5,1% – 6,2% i był wyższy niż wskaźniki dla kraju. W 2021 r. wskaźnik osiągnął wartość 5,5% zarówno </w:t>
      </w:r>
      <w:r w:rsidR="00617E89" w:rsidRPr="0064087E">
        <w:rPr>
          <w:rFonts w:ascii="Arial" w:hAnsi="Arial" w:cs="Arial"/>
        </w:rPr>
        <w:br/>
      </w:r>
      <w:r w:rsidRPr="0064087E">
        <w:rPr>
          <w:rFonts w:ascii="Arial" w:hAnsi="Arial" w:cs="Arial"/>
        </w:rPr>
        <w:t xml:space="preserve">w przedsiębiorstwach specjalizujących się w żywności wysokiej jakości jak i w województwie </w:t>
      </w:r>
      <w:r w:rsidR="006B3994">
        <w:rPr>
          <w:rFonts w:ascii="Arial" w:hAnsi="Arial" w:cs="Arial"/>
        </w:rPr>
        <w:br/>
      </w:r>
      <w:r w:rsidRPr="0064087E">
        <w:rPr>
          <w:rFonts w:ascii="Arial" w:hAnsi="Arial" w:cs="Arial"/>
        </w:rPr>
        <w:t>i był nieznacznie niższy niż w kraju.</w:t>
      </w:r>
    </w:p>
    <w:p w:rsidR="007B6AE6" w:rsidRPr="0064087E" w:rsidRDefault="007B6AE6" w:rsidP="0036761C">
      <w:pPr>
        <w:spacing w:after="120" w:line="276" w:lineRule="auto"/>
        <w:rPr>
          <w:rFonts w:ascii="Arial" w:hAnsi="Arial" w:cs="Arial"/>
        </w:rPr>
      </w:pPr>
      <w:r w:rsidRPr="0064087E">
        <w:rPr>
          <w:rFonts w:ascii="Arial" w:hAnsi="Arial" w:cs="Arial"/>
        </w:rPr>
        <w:t>Wskaźnik rentowności obrotu netto</w:t>
      </w:r>
      <w:r w:rsidRPr="0064087E">
        <w:rPr>
          <w:rStyle w:val="Odwoanieprzypisudolnego"/>
          <w:rFonts w:ascii="Arial" w:hAnsi="Arial" w:cs="Arial"/>
        </w:rPr>
        <w:footnoteReference w:id="43"/>
      </w:r>
      <w:r w:rsidRPr="0064087E">
        <w:rPr>
          <w:rFonts w:ascii="Arial" w:hAnsi="Arial" w:cs="Arial"/>
        </w:rPr>
        <w:t xml:space="preserve"> w jednostkach specjalizujących się w żywności wysokiej jakości w latach 2017-2021 oscylował w przedziale 3,8% – 5,6% (najniższa wartość w 2019 r.). W województwie podkarpackim wskaźnik rentowności obrotu netto najniższe wartości osiągnął w 2018 r. i 2019 r. (odpowiednio 3,4% oraz 3,8%), a w pozostałych latach utrzymywał się w przedziale 4,2% – 5,1%. W Polsce w 2019 r. oraz 2020 r. wskaźniki były niższe od wojewódzkich, natomiast w pozostałych latach je przewyższyły. Wyższy wskaźnik wskazuje na dłuższy cykl produkcyjny, a co za tym idzie wyższe ryzyko i wyższe koszty zamrożenia kapitału.</w:t>
      </w:r>
    </w:p>
    <w:p w:rsidR="007B6AE6" w:rsidRPr="0064087E" w:rsidRDefault="007B6AE6" w:rsidP="0036761C">
      <w:pPr>
        <w:spacing w:after="120" w:line="276" w:lineRule="auto"/>
        <w:rPr>
          <w:rFonts w:ascii="Arial" w:hAnsi="Arial" w:cs="Arial"/>
        </w:rPr>
      </w:pPr>
      <w:r w:rsidRPr="0064087E">
        <w:rPr>
          <w:rFonts w:ascii="Arial" w:hAnsi="Arial" w:cs="Arial"/>
        </w:rPr>
        <w:t>Wahania wskaźnika rentowności aktywów</w:t>
      </w:r>
      <w:r w:rsidRPr="0064087E">
        <w:rPr>
          <w:rStyle w:val="Odwoanieprzypisudolnego"/>
          <w:rFonts w:ascii="Arial" w:hAnsi="Arial" w:cs="Arial"/>
        </w:rPr>
        <w:footnoteReference w:id="44"/>
      </w:r>
      <w:r w:rsidRPr="0064087E">
        <w:rPr>
          <w:rFonts w:ascii="Arial" w:hAnsi="Arial" w:cs="Arial"/>
        </w:rPr>
        <w:t xml:space="preserve"> notowały zbliżone tend</w:t>
      </w:r>
      <w:r w:rsidR="00BE612B" w:rsidRPr="0064087E">
        <w:rPr>
          <w:rFonts w:ascii="Arial" w:hAnsi="Arial" w:cs="Arial"/>
        </w:rPr>
        <w:t xml:space="preserve">encje do pozostałych wskaźników rentowności. </w:t>
      </w:r>
      <w:r w:rsidRPr="0064087E">
        <w:rPr>
          <w:rFonts w:ascii="Arial" w:hAnsi="Arial" w:cs="Arial"/>
        </w:rPr>
        <w:t xml:space="preserve">W jednostkach specjalizujących się w żywności wysokiej jakości </w:t>
      </w:r>
      <w:r w:rsidR="00BE612B" w:rsidRPr="0064087E">
        <w:rPr>
          <w:rFonts w:ascii="Arial" w:hAnsi="Arial" w:cs="Arial"/>
        </w:rPr>
        <w:br/>
      </w:r>
      <w:r w:rsidRPr="0064087E">
        <w:rPr>
          <w:rFonts w:ascii="Arial" w:hAnsi="Arial" w:cs="Arial"/>
        </w:rPr>
        <w:t>w analizowanym okresie najwyższą wartość wskaźnika zanotowano w 2018 r. – 7,4%. Dla województwa podkarpackiego w latach 2017-2018 wskaźnik spadł z 6,0% do 4,6%, natomiast w kolejnych latach notował wzrost i w 2021 r. osiągnął wartość 7,1%. W kraju po spadkach w latach 2017-2020 w końcu analizowanego okresu wzrósł i wyniósł 6,1%.</w:t>
      </w:r>
    </w:p>
    <w:p w:rsidR="00C876CF" w:rsidRPr="0064087E" w:rsidRDefault="007B6AE6" w:rsidP="0036761C">
      <w:pPr>
        <w:spacing w:after="120" w:line="276" w:lineRule="auto"/>
        <w:rPr>
          <w:rFonts w:ascii="Arial" w:hAnsi="Arial" w:cs="Arial"/>
        </w:rPr>
      </w:pPr>
      <w:r w:rsidRPr="0064087E">
        <w:rPr>
          <w:rFonts w:ascii="Arial" w:hAnsi="Arial" w:cs="Arial"/>
        </w:rPr>
        <w:t>Wskaźnik rentowności kapitału własnego</w:t>
      </w:r>
      <w:r w:rsidRPr="0064087E">
        <w:rPr>
          <w:rStyle w:val="Odwoanieprzypisudolnego"/>
          <w:rFonts w:ascii="Arial" w:hAnsi="Arial" w:cs="Arial"/>
        </w:rPr>
        <w:footnoteReference w:id="45"/>
      </w:r>
      <w:r w:rsidRPr="0064087E">
        <w:rPr>
          <w:rFonts w:ascii="Arial" w:hAnsi="Arial" w:cs="Arial"/>
        </w:rPr>
        <w:t xml:space="preserve"> w odróżnieniu od wskaźnika rentowności </w:t>
      </w:r>
      <w:r w:rsidRPr="0064087E">
        <w:rPr>
          <w:rFonts w:ascii="Arial" w:hAnsi="Arial" w:cs="Arial"/>
        </w:rPr>
        <w:lastRenderedPageBreak/>
        <w:t xml:space="preserve">aktywów, jest wyrazem efektywności nie całości kapitału ulokowanego w aktywach, lecz jedynie jego części (bez zobowiązań). W analizowanym okresie wykazywał tendencje zbliżone do wskaźnika rentowności aktywów. Najniższy był w 2019 r. – 9,6%, a najwyższy </w:t>
      </w:r>
      <w:r w:rsidR="0036761C">
        <w:rPr>
          <w:rFonts w:ascii="Arial" w:hAnsi="Arial" w:cs="Arial"/>
        </w:rPr>
        <w:br/>
      </w:r>
      <w:r w:rsidRPr="0064087E">
        <w:rPr>
          <w:rFonts w:ascii="Arial" w:hAnsi="Arial" w:cs="Arial"/>
        </w:rPr>
        <w:t>w roku 2018 – 14,1%.</w:t>
      </w:r>
    </w:p>
    <w:p w:rsidR="009B62C0" w:rsidRPr="009B62C0" w:rsidRDefault="009B62C0" w:rsidP="006B3994">
      <w:pPr>
        <w:pStyle w:val="Legenda"/>
        <w:keepNext/>
        <w:spacing w:after="120" w:line="276" w:lineRule="auto"/>
        <w:jc w:val="both"/>
        <w:rPr>
          <w:rFonts w:ascii="Arial" w:hAnsi="Arial" w:cs="Arial"/>
          <w:i w:val="0"/>
          <w:color w:val="auto"/>
          <w:sz w:val="22"/>
        </w:rPr>
      </w:pPr>
      <w:bookmarkStart w:id="96" w:name="_Toc160793563"/>
      <w:r w:rsidRPr="009B62C0">
        <w:rPr>
          <w:rFonts w:ascii="Arial" w:hAnsi="Arial" w:cs="Arial"/>
          <w:b/>
          <w:i w:val="0"/>
          <w:color w:val="auto"/>
          <w:sz w:val="22"/>
        </w:rPr>
        <w:t xml:space="preserve">Wykres </w:t>
      </w:r>
      <w:r w:rsidRPr="009B62C0">
        <w:rPr>
          <w:rFonts w:ascii="Arial" w:hAnsi="Arial" w:cs="Arial"/>
          <w:b/>
          <w:i w:val="0"/>
          <w:color w:val="auto"/>
          <w:sz w:val="22"/>
        </w:rPr>
        <w:fldChar w:fldCharType="begin"/>
      </w:r>
      <w:r w:rsidRPr="009B62C0">
        <w:rPr>
          <w:rFonts w:ascii="Arial" w:hAnsi="Arial" w:cs="Arial"/>
          <w:b/>
          <w:i w:val="0"/>
          <w:color w:val="auto"/>
          <w:sz w:val="22"/>
        </w:rPr>
        <w:instrText xml:space="preserve"> SEQ Wykres \* ARABIC </w:instrText>
      </w:r>
      <w:r w:rsidRPr="009B62C0">
        <w:rPr>
          <w:rFonts w:ascii="Arial" w:hAnsi="Arial" w:cs="Arial"/>
          <w:b/>
          <w:i w:val="0"/>
          <w:color w:val="auto"/>
          <w:sz w:val="22"/>
        </w:rPr>
        <w:fldChar w:fldCharType="separate"/>
      </w:r>
      <w:r w:rsidR="00884DAD">
        <w:rPr>
          <w:rFonts w:ascii="Arial" w:hAnsi="Arial" w:cs="Arial"/>
          <w:b/>
          <w:i w:val="0"/>
          <w:noProof/>
          <w:color w:val="auto"/>
          <w:sz w:val="22"/>
        </w:rPr>
        <w:t>57</w:t>
      </w:r>
      <w:r w:rsidRPr="009B62C0">
        <w:rPr>
          <w:rFonts w:ascii="Arial" w:hAnsi="Arial" w:cs="Arial"/>
          <w:b/>
          <w:i w:val="0"/>
          <w:color w:val="auto"/>
          <w:sz w:val="22"/>
        </w:rPr>
        <w:fldChar w:fldCharType="end"/>
      </w:r>
      <w:r w:rsidR="00DA1871">
        <w:rPr>
          <w:rFonts w:ascii="Arial" w:hAnsi="Arial" w:cs="Arial"/>
          <w:b/>
          <w:i w:val="0"/>
          <w:color w:val="auto"/>
          <w:sz w:val="22"/>
        </w:rPr>
        <w:t>.</w:t>
      </w:r>
      <w:r w:rsidRPr="009B62C0">
        <w:rPr>
          <w:rFonts w:ascii="Arial" w:hAnsi="Arial" w:cs="Arial"/>
          <w:i w:val="0"/>
          <w:color w:val="auto"/>
          <w:sz w:val="22"/>
        </w:rPr>
        <w:t xml:space="preserve"> Wskaźnik rentowności obrotu ze sprzedaży, wskaźnik rentowności aktywów </w:t>
      </w:r>
      <w:r w:rsidR="006B3994">
        <w:rPr>
          <w:rFonts w:ascii="Arial" w:hAnsi="Arial" w:cs="Arial"/>
          <w:i w:val="0"/>
          <w:color w:val="auto"/>
          <w:sz w:val="22"/>
        </w:rPr>
        <w:br/>
      </w:r>
      <w:r w:rsidRPr="009B62C0">
        <w:rPr>
          <w:rFonts w:ascii="Arial" w:hAnsi="Arial" w:cs="Arial"/>
          <w:i w:val="0"/>
          <w:color w:val="auto"/>
          <w:sz w:val="22"/>
        </w:rPr>
        <w:t>i</w:t>
      </w:r>
      <w:r w:rsidR="006B3994">
        <w:rPr>
          <w:rFonts w:ascii="Arial" w:hAnsi="Arial" w:cs="Arial"/>
          <w:i w:val="0"/>
          <w:color w:val="auto"/>
          <w:sz w:val="22"/>
        </w:rPr>
        <w:t xml:space="preserve"> </w:t>
      </w:r>
      <w:r w:rsidRPr="009B62C0">
        <w:rPr>
          <w:rFonts w:ascii="Arial" w:hAnsi="Arial" w:cs="Arial"/>
          <w:i w:val="0"/>
          <w:color w:val="auto"/>
          <w:sz w:val="22"/>
        </w:rPr>
        <w:t>wskaźnik rentowności kapitału w jednotach specjalizujących się w żywności wysokiej jakości w latach 2017-2021.</w:t>
      </w:r>
      <w:bookmarkEnd w:id="96"/>
    </w:p>
    <w:p w:rsidR="007B6AE6" w:rsidRPr="0064087E" w:rsidRDefault="007B6AE6" w:rsidP="007B6AE6">
      <w:pPr>
        <w:spacing w:after="120" w:line="276" w:lineRule="auto"/>
        <w:jc w:val="center"/>
        <w:rPr>
          <w:rFonts w:ascii="Arial" w:hAnsi="Arial" w:cs="Arial"/>
        </w:rPr>
      </w:pPr>
      <w:r w:rsidRPr="0064087E">
        <w:rPr>
          <w:noProof/>
          <w:lang w:eastAsia="pl-PL"/>
        </w:rPr>
        <w:drawing>
          <wp:inline distT="0" distB="0" distL="0" distR="0" wp14:anchorId="10A90271" wp14:editId="3ECF7301">
            <wp:extent cx="4752975" cy="2676525"/>
            <wp:effectExtent l="0" t="0" r="0" b="0"/>
            <wp:docPr id="45" name="Wykres 45" descr="Wskaźnik rentowności obrotu ze sprzedaży, wskaźnik rentowności aktywów &#10;i wskaźnik rentowności kapitału w jednotach specjalizujących się w żywności wysokiej jakości w latach 2017-2021.&#10;">
              <a:extLst xmlns:a="http://schemas.openxmlformats.org/drawingml/2006/main">
                <a:ext uri="{FF2B5EF4-FFF2-40B4-BE49-F238E27FC236}">
                  <a16:creationId xmlns:a16="http://schemas.microsoft.com/office/drawing/2014/main" id="{545CFEC8-F49C-4515-8F48-3DDDF76C53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7B6AE6" w:rsidRPr="0064087E" w:rsidRDefault="007B6AE6" w:rsidP="007B6AE6">
      <w:pPr>
        <w:spacing w:after="120" w:line="276" w:lineRule="auto"/>
        <w:jc w:val="center"/>
        <w:rPr>
          <w:rFonts w:ascii="Arial" w:hAnsi="Arial" w:cs="Arial"/>
        </w:rPr>
      </w:pPr>
      <w:r w:rsidRPr="0064087E">
        <w:rPr>
          <w:rFonts w:ascii="Arial" w:hAnsi="Arial" w:cs="Arial"/>
        </w:rPr>
        <w:t>Źródło: Opracowanie własne na podstawie danych GUS.</w:t>
      </w:r>
    </w:p>
    <w:p w:rsidR="007B6AE6" w:rsidRPr="0064087E" w:rsidRDefault="007B6AE6" w:rsidP="0036761C">
      <w:pPr>
        <w:spacing w:after="120" w:line="276" w:lineRule="auto"/>
        <w:rPr>
          <w:rFonts w:ascii="Arial" w:hAnsi="Arial" w:cs="Arial"/>
        </w:rPr>
      </w:pPr>
      <w:r w:rsidRPr="0064087E">
        <w:rPr>
          <w:rFonts w:ascii="Arial" w:hAnsi="Arial" w:cs="Arial"/>
        </w:rPr>
        <w:t>Wynik finansowy netto, który jest składową wskaźników rentowności aktywów, rentowności kapitału własnego i rentowności obrotu netto, w grupie firm związanych z żywnością wysokiej jakości w 2018 r. wzrósł o 33,1% w stosunku do roku poprzedniego, następnie w 2019 r. spadł o 33,9% po czym w 2020 r. oraz 2021 r. zanotował wzrost (odpowiednio o 26,6% oraz 20,6%).</w:t>
      </w:r>
    </w:p>
    <w:p w:rsidR="0036761C" w:rsidRDefault="007B6AE6" w:rsidP="0036761C">
      <w:pPr>
        <w:spacing w:after="120" w:line="276" w:lineRule="auto"/>
        <w:rPr>
          <w:rFonts w:ascii="Arial" w:hAnsi="Arial" w:cs="Arial"/>
        </w:rPr>
      </w:pPr>
      <w:r w:rsidRPr="0064087E">
        <w:rPr>
          <w:rFonts w:ascii="Arial" w:hAnsi="Arial" w:cs="Arial"/>
        </w:rPr>
        <w:t>W jednostkach mających siedzibę na terenie województwa podkarpackiego wynik finansowy netto najwyższy wzrost zanotował w 2021 r. (o 35,4%). Dla Polski po nieznacznych spadkach w latach 2018-2020, wynik finansowy netto wzrósł w 2021 r. o 89,8%.</w:t>
      </w:r>
    </w:p>
    <w:p w:rsidR="0036761C" w:rsidRDefault="0036761C" w:rsidP="0036761C">
      <w:pPr>
        <w:widowControl/>
        <w:autoSpaceDE/>
        <w:autoSpaceDN/>
        <w:spacing w:after="160" w:line="259" w:lineRule="auto"/>
        <w:rPr>
          <w:rFonts w:ascii="Arial" w:hAnsi="Arial" w:cs="Arial"/>
        </w:rPr>
      </w:pPr>
      <w:r>
        <w:rPr>
          <w:rFonts w:ascii="Arial" w:hAnsi="Arial" w:cs="Arial"/>
        </w:rPr>
        <w:br w:type="page"/>
      </w:r>
    </w:p>
    <w:p w:rsidR="009B62C0" w:rsidRPr="009B62C0" w:rsidRDefault="009B62C0" w:rsidP="0036761C">
      <w:pPr>
        <w:pStyle w:val="Legenda"/>
        <w:keepNext/>
        <w:spacing w:after="120" w:line="276" w:lineRule="auto"/>
        <w:rPr>
          <w:rFonts w:ascii="Arial" w:hAnsi="Arial" w:cs="Arial"/>
          <w:i w:val="0"/>
          <w:color w:val="auto"/>
          <w:sz w:val="22"/>
        </w:rPr>
      </w:pPr>
      <w:bookmarkStart w:id="97" w:name="_Toc160793564"/>
      <w:r w:rsidRPr="009B62C0">
        <w:rPr>
          <w:rFonts w:ascii="Arial" w:hAnsi="Arial" w:cs="Arial"/>
          <w:b/>
          <w:i w:val="0"/>
          <w:color w:val="auto"/>
          <w:sz w:val="22"/>
        </w:rPr>
        <w:lastRenderedPageBreak/>
        <w:t xml:space="preserve">Wykres </w:t>
      </w:r>
      <w:r w:rsidRPr="009B62C0">
        <w:rPr>
          <w:rFonts w:ascii="Arial" w:hAnsi="Arial" w:cs="Arial"/>
          <w:b/>
          <w:i w:val="0"/>
          <w:color w:val="auto"/>
          <w:sz w:val="22"/>
        </w:rPr>
        <w:fldChar w:fldCharType="begin"/>
      </w:r>
      <w:r w:rsidRPr="009B62C0">
        <w:rPr>
          <w:rFonts w:ascii="Arial" w:hAnsi="Arial" w:cs="Arial"/>
          <w:b/>
          <w:i w:val="0"/>
          <w:color w:val="auto"/>
          <w:sz w:val="22"/>
        </w:rPr>
        <w:instrText xml:space="preserve"> SEQ Wykres \* ARABIC </w:instrText>
      </w:r>
      <w:r w:rsidRPr="009B62C0">
        <w:rPr>
          <w:rFonts w:ascii="Arial" w:hAnsi="Arial" w:cs="Arial"/>
          <w:b/>
          <w:i w:val="0"/>
          <w:color w:val="auto"/>
          <w:sz w:val="22"/>
        </w:rPr>
        <w:fldChar w:fldCharType="separate"/>
      </w:r>
      <w:r w:rsidR="00884DAD">
        <w:rPr>
          <w:rFonts w:ascii="Arial" w:hAnsi="Arial" w:cs="Arial"/>
          <w:b/>
          <w:i w:val="0"/>
          <w:noProof/>
          <w:color w:val="auto"/>
          <w:sz w:val="22"/>
        </w:rPr>
        <w:t>58</w:t>
      </w:r>
      <w:r w:rsidRPr="009B62C0">
        <w:rPr>
          <w:rFonts w:ascii="Arial" w:hAnsi="Arial" w:cs="Arial"/>
          <w:b/>
          <w:i w:val="0"/>
          <w:color w:val="auto"/>
          <w:sz w:val="22"/>
        </w:rPr>
        <w:fldChar w:fldCharType="end"/>
      </w:r>
      <w:r w:rsidR="00DA1871">
        <w:rPr>
          <w:rFonts w:ascii="Arial" w:hAnsi="Arial" w:cs="Arial"/>
          <w:b/>
          <w:i w:val="0"/>
          <w:color w:val="auto"/>
          <w:sz w:val="22"/>
        </w:rPr>
        <w:t>.</w:t>
      </w:r>
      <w:r w:rsidRPr="009B62C0">
        <w:rPr>
          <w:rFonts w:ascii="Arial" w:hAnsi="Arial" w:cs="Arial"/>
          <w:i w:val="0"/>
          <w:color w:val="auto"/>
          <w:sz w:val="22"/>
        </w:rPr>
        <w:t xml:space="preserve"> Dynamika wyniku finansowego netto (rok poprzedni=100) w</w:t>
      </w:r>
      <w:r w:rsidR="00140E8D">
        <w:rPr>
          <w:rFonts w:ascii="Arial" w:hAnsi="Arial" w:cs="Arial"/>
          <w:i w:val="0"/>
          <w:color w:val="auto"/>
          <w:sz w:val="22"/>
        </w:rPr>
        <w:t xml:space="preserve"> Polsce, województwie podkarpackim oraz</w:t>
      </w:r>
      <w:r w:rsidRPr="009B62C0">
        <w:rPr>
          <w:rFonts w:ascii="Arial" w:hAnsi="Arial" w:cs="Arial"/>
          <w:i w:val="0"/>
          <w:color w:val="auto"/>
          <w:sz w:val="22"/>
        </w:rPr>
        <w:t xml:space="preserve"> branży żywność wysokiej jakości w latach 2018-2021.</w:t>
      </w:r>
      <w:bookmarkEnd w:id="97"/>
    </w:p>
    <w:p w:rsidR="007B6AE6" w:rsidRPr="0064087E" w:rsidRDefault="007B6AE6" w:rsidP="007B6AE6">
      <w:pPr>
        <w:spacing w:after="120" w:line="276" w:lineRule="auto"/>
        <w:jc w:val="center"/>
        <w:rPr>
          <w:rFonts w:ascii="Arial" w:hAnsi="Arial" w:cs="Arial"/>
        </w:rPr>
      </w:pPr>
      <w:r w:rsidRPr="0064087E">
        <w:rPr>
          <w:noProof/>
          <w:lang w:eastAsia="pl-PL"/>
        </w:rPr>
        <w:drawing>
          <wp:inline distT="0" distB="0" distL="0" distR="0" wp14:anchorId="377BD1EB" wp14:editId="42289437">
            <wp:extent cx="5176520" cy="2907102"/>
            <wp:effectExtent l="0" t="0" r="5080" b="7620"/>
            <wp:docPr id="46" name="Wykres 46" descr="Wykres liniowy poziomy w tym dane: Polska: 2018: 93,8, 2019: 96,3, 2020: 97,5, 2021: 189,8, Woj. Podkarpackie: 2018: 83,9, 2019: 118,5, 2020: 111,1, 2021: 135,4, Żywność wysokiej jakości: 2018: 133,1, 2019: 66,1, 2020: 126,6, 2021: 120,6.">
              <a:extLst xmlns:a="http://schemas.openxmlformats.org/drawingml/2006/main">
                <a:ext uri="{FF2B5EF4-FFF2-40B4-BE49-F238E27FC236}">
                  <a16:creationId xmlns:a16="http://schemas.microsoft.com/office/drawing/2014/main" id="{9E62B205-B7BA-414F-9202-CF6F3C00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9B62C0" w:rsidRDefault="007B6AE6" w:rsidP="006B3994">
      <w:pPr>
        <w:spacing w:after="120" w:line="276" w:lineRule="auto"/>
        <w:jc w:val="center"/>
        <w:rPr>
          <w:rFonts w:ascii="Arial" w:hAnsi="Arial" w:cs="Arial"/>
        </w:rPr>
      </w:pPr>
      <w:r w:rsidRPr="0064087E">
        <w:rPr>
          <w:rFonts w:ascii="Arial" w:hAnsi="Arial" w:cs="Arial"/>
        </w:rPr>
        <w:t>Źródło: Opracowanie własne na podstawie danych GUS.</w:t>
      </w:r>
    </w:p>
    <w:p w:rsidR="007B6AE6" w:rsidRPr="0064087E" w:rsidRDefault="007B6AE6" w:rsidP="0036761C">
      <w:pPr>
        <w:spacing w:after="120" w:line="276" w:lineRule="auto"/>
        <w:rPr>
          <w:rFonts w:ascii="Arial" w:hAnsi="Arial" w:cs="Arial"/>
        </w:rPr>
      </w:pPr>
      <w:r w:rsidRPr="0064087E">
        <w:rPr>
          <w:rFonts w:ascii="Arial" w:hAnsi="Arial" w:cs="Arial"/>
        </w:rPr>
        <w:t>Płynność finansowa to zdolność do terminowego regulowania zobowiązań. Płynność finansowa I stopnia</w:t>
      </w:r>
      <w:r w:rsidR="00BE612B" w:rsidRPr="0064087E">
        <w:rPr>
          <w:rStyle w:val="Odwoanieprzypisudolnego"/>
          <w:rFonts w:ascii="Arial" w:hAnsi="Arial" w:cs="Arial"/>
        </w:rPr>
        <w:footnoteReference w:id="46"/>
      </w:r>
      <w:r w:rsidRPr="0064087E">
        <w:rPr>
          <w:rFonts w:ascii="Arial" w:hAnsi="Arial" w:cs="Arial"/>
        </w:rPr>
        <w:t xml:space="preserve"> to zdolność przedsiębiorstw do natychmiastowej spłaty zobowiązań. Dla podmiotów gospodarczych związanych z żywnością wysokiej jakości wskaźnik płynności I stopnia w latach 2017-2021 utrzymywał się poniżej średniej wartości dla Podkarpackiego (najniższy w 2018 r. – 19,2%, a najwyższy w 2021 r. – 25,6%). Według standardów wskaźnik powinien być wyższy niż 20%, jednak zbyt wysoki może świadczyć o nieproduktywnym gromadzeniu środków pieniężnych lub braku koncepcji ich wykorzystania.</w:t>
      </w:r>
    </w:p>
    <w:p w:rsidR="007B6AE6" w:rsidRPr="0064087E" w:rsidRDefault="007B6AE6" w:rsidP="0036761C">
      <w:pPr>
        <w:spacing w:after="120" w:line="276" w:lineRule="auto"/>
        <w:rPr>
          <w:rFonts w:ascii="Arial" w:hAnsi="Arial" w:cs="Arial"/>
        </w:rPr>
      </w:pPr>
      <w:r w:rsidRPr="0064087E">
        <w:rPr>
          <w:rFonts w:ascii="Arial" w:hAnsi="Arial" w:cs="Arial"/>
        </w:rPr>
        <w:t>Wskaźnik płynności II stopnia</w:t>
      </w:r>
      <w:r w:rsidR="007656DB" w:rsidRPr="0064087E">
        <w:rPr>
          <w:rStyle w:val="Odwoanieprzypisudolnego"/>
          <w:rFonts w:ascii="Arial" w:hAnsi="Arial" w:cs="Arial"/>
        </w:rPr>
        <w:footnoteReference w:id="47"/>
      </w:r>
      <w:r w:rsidRPr="0064087E">
        <w:rPr>
          <w:rFonts w:ascii="Arial" w:hAnsi="Arial" w:cs="Arial"/>
        </w:rPr>
        <w:t xml:space="preserve"> informuje o stopniu pokrycia zapasów aktywami o dużym stopniu płynności. Jako pożądaną wartość wskaźnika przyjmuje się 100%, jednak tak jak </w:t>
      </w:r>
      <w:r w:rsidR="00C876CF" w:rsidRPr="0064087E">
        <w:rPr>
          <w:rFonts w:ascii="Arial" w:hAnsi="Arial" w:cs="Arial"/>
        </w:rPr>
        <w:br/>
      </w:r>
      <w:r w:rsidRPr="0064087E">
        <w:rPr>
          <w:rFonts w:ascii="Arial" w:hAnsi="Arial" w:cs="Arial"/>
        </w:rPr>
        <w:t>w przypadku podmiotów gospodarczych związanych z żywnością wysokiej jakości</w:t>
      </w:r>
      <w:r w:rsidR="00DF66A6" w:rsidRPr="0064087E">
        <w:rPr>
          <w:rFonts w:ascii="Arial" w:hAnsi="Arial" w:cs="Arial"/>
        </w:rPr>
        <w:t>,</w:t>
      </w:r>
      <w:r w:rsidRPr="0064087E">
        <w:rPr>
          <w:rFonts w:ascii="Arial" w:hAnsi="Arial" w:cs="Arial"/>
        </w:rPr>
        <w:t xml:space="preserve"> poziom wskaźnika jest zależny od specyfiki branży. Dla tych podmiotów w latach 2017-2021 wskaźnik kształtował się w granicach 69,2% – 74,4%. Dla województwa podkarpackiego wskaźnik płynności II stopnia oscylował w przedziale 104,2% – 111,4%, a dla Polski w analizowanych latach w granicach 100,9% – 108,9.</w:t>
      </w:r>
    </w:p>
    <w:p w:rsidR="007B6AE6" w:rsidRPr="0064087E" w:rsidRDefault="007B6AE6" w:rsidP="0036761C">
      <w:pPr>
        <w:spacing w:after="120" w:line="276" w:lineRule="auto"/>
        <w:rPr>
          <w:rFonts w:ascii="Arial" w:hAnsi="Arial" w:cs="Arial"/>
        </w:rPr>
      </w:pPr>
      <w:r w:rsidRPr="0064087E">
        <w:rPr>
          <w:rFonts w:ascii="Arial" w:hAnsi="Arial" w:cs="Arial"/>
        </w:rPr>
        <w:t>Wskaźnikiem obrazującym skalę ryzyka w przedsiębiorstwach jest wskaźnik płynności III stopnia</w:t>
      </w:r>
      <w:r w:rsidR="007656DB" w:rsidRPr="0064087E">
        <w:rPr>
          <w:rStyle w:val="Odwoanieprzypisudolnego"/>
          <w:rFonts w:ascii="Arial" w:hAnsi="Arial" w:cs="Arial"/>
        </w:rPr>
        <w:footnoteReference w:id="48"/>
      </w:r>
      <w:r w:rsidRPr="0064087E">
        <w:rPr>
          <w:rFonts w:ascii="Arial" w:hAnsi="Arial" w:cs="Arial"/>
        </w:rPr>
        <w:t xml:space="preserve"> tzw. bieżącej płynności</w:t>
      </w:r>
      <w:r w:rsidR="007656DB" w:rsidRPr="0064087E">
        <w:rPr>
          <w:rFonts w:ascii="Arial" w:hAnsi="Arial" w:cs="Arial"/>
        </w:rPr>
        <w:t xml:space="preserve">, który </w:t>
      </w:r>
      <w:r w:rsidRPr="0064087E">
        <w:rPr>
          <w:rFonts w:ascii="Arial" w:hAnsi="Arial" w:cs="Arial"/>
        </w:rPr>
        <w:t>informuje</w:t>
      </w:r>
      <w:r w:rsidR="007656DB" w:rsidRPr="0064087E">
        <w:rPr>
          <w:rFonts w:ascii="Arial" w:hAnsi="Arial" w:cs="Arial"/>
        </w:rPr>
        <w:t xml:space="preserve"> o tym,</w:t>
      </w:r>
      <w:r w:rsidRPr="0064087E">
        <w:rPr>
          <w:rFonts w:ascii="Arial" w:hAnsi="Arial" w:cs="Arial"/>
        </w:rPr>
        <w:t xml:space="preserve"> czy zobowiązania mogłyby być terminowo spłacone dzięki upłynnieniu aktywów obrotowych. Zadowalający poziom wskaźnika to przedział 120%-200%. Wskaźnik III stopnia liczony dla podmiotów gospodarczych specjalizujących się w żywności wysokiej jakości wykazywał wahania </w:t>
      </w:r>
      <w:r w:rsidR="00632ABA">
        <w:rPr>
          <w:rFonts w:ascii="Arial" w:hAnsi="Arial" w:cs="Arial"/>
        </w:rPr>
        <w:br/>
      </w:r>
      <w:r w:rsidRPr="0064087E">
        <w:rPr>
          <w:rFonts w:ascii="Arial" w:hAnsi="Arial" w:cs="Arial"/>
        </w:rPr>
        <w:t xml:space="preserve">w okresie 2017-2021 nie przekraczając tego przedziału. Najwyższą wartość osiągnął w 2021 </w:t>
      </w:r>
      <w:r w:rsidRPr="0064087E">
        <w:rPr>
          <w:rFonts w:ascii="Arial" w:hAnsi="Arial" w:cs="Arial"/>
        </w:rPr>
        <w:lastRenderedPageBreak/>
        <w:t>r. (153,1%), a najniższy poziom zanotował w 2018 r. (143,6%). Dla województwa podkarpackiego utrzymywał się w przedziale 159,2% – 167,4%, natomiast dla Polski oscylował w granicach 143,6% – 153,1%.</w:t>
      </w:r>
    </w:p>
    <w:p w:rsidR="00C876CF" w:rsidRPr="0064087E" w:rsidRDefault="007B6AE6" w:rsidP="00632ABA">
      <w:pPr>
        <w:spacing w:after="120" w:line="276" w:lineRule="auto"/>
        <w:rPr>
          <w:rFonts w:ascii="Arial" w:hAnsi="Arial" w:cs="Arial"/>
        </w:rPr>
      </w:pPr>
      <w:r w:rsidRPr="0064087E">
        <w:rPr>
          <w:rFonts w:ascii="Arial" w:hAnsi="Arial" w:cs="Arial"/>
        </w:rPr>
        <w:t>Przeciętne zatrudnienie</w:t>
      </w:r>
      <w:r w:rsidRPr="0064087E">
        <w:rPr>
          <w:rStyle w:val="Odwoanieprzypisudolnego"/>
          <w:rFonts w:ascii="Arial" w:hAnsi="Arial" w:cs="Arial"/>
        </w:rPr>
        <w:footnoteReference w:id="49"/>
      </w:r>
      <w:r w:rsidRPr="0064087E">
        <w:rPr>
          <w:rFonts w:ascii="Arial" w:hAnsi="Arial" w:cs="Arial"/>
        </w:rPr>
        <w:t xml:space="preserve"> w jednostkach specjalizujących się w żywności wysokiej jakości w 2018 r. notowało niewielki wzrost w porównaniu z poprzednim rokiem (o 0,8%)</w:t>
      </w:r>
      <w:r w:rsidR="00DF66A6" w:rsidRPr="0064087E">
        <w:rPr>
          <w:rFonts w:ascii="Arial" w:hAnsi="Arial" w:cs="Arial"/>
        </w:rPr>
        <w:t>,</w:t>
      </w:r>
      <w:r w:rsidRPr="0064087E">
        <w:rPr>
          <w:rFonts w:ascii="Arial" w:hAnsi="Arial" w:cs="Arial"/>
        </w:rPr>
        <w:t xml:space="preserve"> </w:t>
      </w:r>
      <w:r w:rsidRPr="0064087E">
        <w:rPr>
          <w:rFonts w:ascii="Arial" w:hAnsi="Arial" w:cs="Arial"/>
        </w:rPr>
        <w:br/>
        <w:t>a w pozostałych latach analizowanego okresu spadki (największy w 2020 r. o 6,8%). Zatrudnienie w województwie</w:t>
      </w:r>
      <w:r w:rsidRPr="0064087E">
        <w:rPr>
          <w:rStyle w:val="Odwoanieprzypisudolnego"/>
          <w:rFonts w:ascii="Arial" w:hAnsi="Arial" w:cs="Arial"/>
        </w:rPr>
        <w:footnoteReference w:id="50"/>
      </w:r>
      <w:r w:rsidRPr="0064087E">
        <w:rPr>
          <w:rFonts w:ascii="Arial" w:hAnsi="Arial" w:cs="Arial"/>
        </w:rPr>
        <w:t xml:space="preserve"> w analizowanym okresie notowało również spadki i wzrosty. Najwyższy wzrost zatrudnienia był w 2018 r. (o 3,7%), natomiast największy spadek w 2020 r. (o 6%).</w:t>
      </w:r>
    </w:p>
    <w:p w:rsidR="009B62C0" w:rsidRPr="009B62C0" w:rsidRDefault="009B62C0" w:rsidP="006B3994">
      <w:pPr>
        <w:pStyle w:val="Legenda"/>
        <w:keepNext/>
        <w:spacing w:after="120" w:line="276" w:lineRule="auto"/>
        <w:jc w:val="both"/>
        <w:rPr>
          <w:rFonts w:ascii="Arial" w:hAnsi="Arial" w:cs="Arial"/>
          <w:i w:val="0"/>
          <w:color w:val="auto"/>
          <w:sz w:val="22"/>
        </w:rPr>
      </w:pPr>
      <w:bookmarkStart w:id="98" w:name="_Toc160793565"/>
      <w:r w:rsidRPr="009B62C0">
        <w:rPr>
          <w:rFonts w:ascii="Arial" w:hAnsi="Arial" w:cs="Arial"/>
          <w:b/>
          <w:i w:val="0"/>
          <w:color w:val="auto"/>
          <w:sz w:val="22"/>
        </w:rPr>
        <w:t xml:space="preserve">Wykres </w:t>
      </w:r>
      <w:r w:rsidRPr="009B62C0">
        <w:rPr>
          <w:rFonts w:ascii="Arial" w:hAnsi="Arial" w:cs="Arial"/>
          <w:b/>
          <w:i w:val="0"/>
          <w:color w:val="auto"/>
          <w:sz w:val="22"/>
        </w:rPr>
        <w:fldChar w:fldCharType="begin"/>
      </w:r>
      <w:r w:rsidRPr="009B62C0">
        <w:rPr>
          <w:rFonts w:ascii="Arial" w:hAnsi="Arial" w:cs="Arial"/>
          <w:b/>
          <w:i w:val="0"/>
          <w:color w:val="auto"/>
          <w:sz w:val="22"/>
        </w:rPr>
        <w:instrText xml:space="preserve"> SEQ Wykres \* ARABIC </w:instrText>
      </w:r>
      <w:r w:rsidRPr="009B62C0">
        <w:rPr>
          <w:rFonts w:ascii="Arial" w:hAnsi="Arial" w:cs="Arial"/>
          <w:b/>
          <w:i w:val="0"/>
          <w:color w:val="auto"/>
          <w:sz w:val="22"/>
        </w:rPr>
        <w:fldChar w:fldCharType="separate"/>
      </w:r>
      <w:r w:rsidR="00884DAD">
        <w:rPr>
          <w:rFonts w:ascii="Arial" w:hAnsi="Arial" w:cs="Arial"/>
          <w:b/>
          <w:i w:val="0"/>
          <w:noProof/>
          <w:color w:val="auto"/>
          <w:sz w:val="22"/>
        </w:rPr>
        <w:t>59</w:t>
      </w:r>
      <w:r w:rsidRPr="009B62C0">
        <w:rPr>
          <w:rFonts w:ascii="Arial" w:hAnsi="Arial" w:cs="Arial"/>
          <w:b/>
          <w:i w:val="0"/>
          <w:color w:val="auto"/>
          <w:sz w:val="22"/>
        </w:rPr>
        <w:fldChar w:fldCharType="end"/>
      </w:r>
      <w:r w:rsidR="00DA1871">
        <w:rPr>
          <w:rFonts w:ascii="Arial" w:hAnsi="Arial" w:cs="Arial"/>
          <w:b/>
          <w:i w:val="0"/>
          <w:color w:val="auto"/>
          <w:sz w:val="22"/>
        </w:rPr>
        <w:t>.</w:t>
      </w:r>
      <w:r w:rsidRPr="009B62C0">
        <w:rPr>
          <w:rFonts w:ascii="Arial" w:hAnsi="Arial" w:cs="Arial"/>
          <w:i w:val="0"/>
          <w:color w:val="auto"/>
          <w:sz w:val="22"/>
        </w:rPr>
        <w:t xml:space="preserve"> Dynamika przeciętnego zatrudnienia (rok poprzedni=100) w </w:t>
      </w:r>
      <w:r w:rsidR="00140E8D">
        <w:rPr>
          <w:rFonts w:ascii="Arial" w:hAnsi="Arial" w:cs="Arial"/>
          <w:i w:val="0"/>
          <w:color w:val="auto"/>
          <w:sz w:val="22"/>
        </w:rPr>
        <w:t xml:space="preserve">województwie podkarpackim oraz </w:t>
      </w:r>
      <w:r w:rsidRPr="009B62C0">
        <w:rPr>
          <w:rFonts w:ascii="Arial" w:hAnsi="Arial" w:cs="Arial"/>
          <w:i w:val="0"/>
          <w:color w:val="auto"/>
          <w:sz w:val="22"/>
        </w:rPr>
        <w:t>branży żywność wysokiej jakości w latach 2018-2021.</w:t>
      </w:r>
      <w:bookmarkEnd w:id="98"/>
    </w:p>
    <w:p w:rsidR="007B6AE6" w:rsidRPr="0064087E" w:rsidRDefault="007B6AE6" w:rsidP="007B6AE6">
      <w:pPr>
        <w:spacing w:after="120" w:line="276" w:lineRule="auto"/>
        <w:jc w:val="center"/>
        <w:rPr>
          <w:rFonts w:ascii="Arial" w:hAnsi="Arial" w:cs="Arial"/>
        </w:rPr>
      </w:pPr>
      <w:r w:rsidRPr="0064087E">
        <w:rPr>
          <w:noProof/>
          <w:lang w:eastAsia="pl-PL"/>
        </w:rPr>
        <w:drawing>
          <wp:inline distT="0" distB="0" distL="0" distR="0" wp14:anchorId="05367F12" wp14:editId="16B58C9D">
            <wp:extent cx="5257800" cy="2743200"/>
            <wp:effectExtent l="0" t="0" r="0" b="0"/>
            <wp:docPr id="47" name="Wykres 47" descr="Wykres liniowy poziomy w tym dane: Woj. Podkarpackie: 2018: 103,7, 2019: 99,8, 2020: 94, 2021: 100,8, Żywność wysokiej jakości: 2018: 100,8, 2019: 95,5, 2020: 93,2, 2021: 100.">
              <a:extLst xmlns:a="http://schemas.openxmlformats.org/drawingml/2006/main">
                <a:ext uri="{FF2B5EF4-FFF2-40B4-BE49-F238E27FC236}">
                  <a16:creationId xmlns:a16="http://schemas.microsoft.com/office/drawing/2014/main" id="{4C75F0DD-3CC0-4885-9EEF-1FF227A37C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2A1980" w:rsidRPr="0064087E" w:rsidRDefault="007B6AE6" w:rsidP="00C876CF">
      <w:pPr>
        <w:spacing w:after="120" w:line="276" w:lineRule="auto"/>
        <w:jc w:val="center"/>
        <w:rPr>
          <w:rFonts w:ascii="Arial" w:hAnsi="Arial" w:cs="Arial"/>
        </w:rPr>
      </w:pPr>
      <w:r w:rsidRPr="0064087E">
        <w:rPr>
          <w:rFonts w:ascii="Arial" w:hAnsi="Arial" w:cs="Arial"/>
        </w:rPr>
        <w:t>Źródło: Opracowanie własne na podstawie danych GUS.</w:t>
      </w:r>
    </w:p>
    <w:p w:rsidR="00907C3C" w:rsidRPr="0064087E" w:rsidRDefault="00907C3C" w:rsidP="00632ABA">
      <w:pPr>
        <w:spacing w:after="120" w:line="276" w:lineRule="auto"/>
        <w:rPr>
          <w:rFonts w:ascii="Arial" w:hAnsi="Arial" w:cs="Arial"/>
          <w:b/>
        </w:rPr>
      </w:pPr>
      <w:r w:rsidRPr="0064087E">
        <w:rPr>
          <w:rFonts w:ascii="Arial" w:hAnsi="Arial" w:cs="Arial"/>
          <w:b/>
        </w:rPr>
        <w:t>Usługi i produkty medyczne oraz wzmacniające kondycję w województwie podkarpackim w latach 2017-2021</w:t>
      </w:r>
    </w:p>
    <w:p w:rsidR="00C876CF" w:rsidRPr="0064087E" w:rsidRDefault="00907C3C" w:rsidP="00632ABA">
      <w:pPr>
        <w:spacing w:after="120" w:line="276" w:lineRule="auto"/>
        <w:rPr>
          <w:rFonts w:ascii="Arial" w:hAnsi="Arial" w:cs="Arial"/>
        </w:rPr>
      </w:pPr>
      <w:r w:rsidRPr="0064087E">
        <w:rPr>
          <w:rFonts w:ascii="Arial" w:hAnsi="Arial" w:cs="Arial"/>
        </w:rPr>
        <w:t xml:space="preserve">Na potrzeby niniejszej analizy, pod pojęciem usług i produktów medycznych oraz wzmacniających kondycję (dalej: usługi i produkty medyczne) należy rozumieć jednostki zaklasyfikowane do następujących </w:t>
      </w:r>
      <w:r w:rsidR="0017680B" w:rsidRPr="0064087E">
        <w:rPr>
          <w:rFonts w:ascii="Arial" w:hAnsi="Arial" w:cs="Arial"/>
        </w:rPr>
        <w:t>klas</w:t>
      </w:r>
      <w:r w:rsidR="00927FD2" w:rsidRPr="0064087E">
        <w:rPr>
          <w:rFonts w:ascii="Arial" w:hAnsi="Arial" w:cs="Arial"/>
        </w:rPr>
        <w:t xml:space="preserve"> i podklas</w:t>
      </w:r>
      <w:r w:rsidR="0017680B" w:rsidRPr="0064087E">
        <w:rPr>
          <w:rFonts w:ascii="Arial" w:hAnsi="Arial" w:cs="Arial"/>
        </w:rPr>
        <w:t xml:space="preserve"> </w:t>
      </w:r>
      <w:r w:rsidRPr="0064087E">
        <w:rPr>
          <w:rFonts w:ascii="Arial" w:hAnsi="Arial" w:cs="Arial"/>
        </w:rPr>
        <w:t xml:space="preserve"> PKD tj.: 21.10, 21.20, 32.50, 72.11, 86.90A, 86.90D, 86.90E, 86.10. W 2017 r. w ramach tej podspecjalizacji było 25 jednostek, </w:t>
      </w:r>
      <w:r w:rsidR="00F061FA">
        <w:rPr>
          <w:rFonts w:ascii="Arial" w:hAnsi="Arial" w:cs="Arial"/>
        </w:rPr>
        <w:br/>
      </w:r>
      <w:r w:rsidRPr="0064087E">
        <w:rPr>
          <w:rFonts w:ascii="Arial" w:hAnsi="Arial" w:cs="Arial"/>
        </w:rPr>
        <w:t xml:space="preserve">w 2018 r. – 24, w 2019 r. – 23, w 2020 r. – 23, i w 2021 r. – 29 jednostek. Przedsiębiorstwa należące do podspecjalizacji usługi i produkty medyczne miały swoje siedziby głównie </w:t>
      </w:r>
      <w:r w:rsidR="00F061FA">
        <w:rPr>
          <w:rFonts w:ascii="Arial" w:hAnsi="Arial" w:cs="Arial"/>
        </w:rPr>
        <w:br/>
      </w:r>
      <w:r w:rsidRPr="0064087E">
        <w:rPr>
          <w:rFonts w:ascii="Arial" w:hAnsi="Arial" w:cs="Arial"/>
        </w:rPr>
        <w:t>w Rzeszowie i powiecie rzeszowskim.</w:t>
      </w:r>
    </w:p>
    <w:p w:rsidR="00907C3C" w:rsidRPr="0064087E" w:rsidRDefault="00C876CF" w:rsidP="00632ABA">
      <w:pPr>
        <w:widowControl/>
        <w:autoSpaceDE/>
        <w:autoSpaceDN/>
        <w:spacing w:after="160" w:line="259" w:lineRule="auto"/>
        <w:rPr>
          <w:rFonts w:ascii="Arial" w:hAnsi="Arial" w:cs="Arial"/>
        </w:rPr>
      </w:pPr>
      <w:r w:rsidRPr="0064087E">
        <w:rPr>
          <w:rFonts w:ascii="Arial" w:hAnsi="Arial" w:cs="Arial"/>
        </w:rPr>
        <w:br w:type="page"/>
      </w:r>
    </w:p>
    <w:p w:rsidR="00FE4860" w:rsidRPr="00FE4860" w:rsidRDefault="00FE4860" w:rsidP="00632ABA">
      <w:pPr>
        <w:pStyle w:val="Legenda"/>
        <w:keepNext/>
        <w:rPr>
          <w:rFonts w:ascii="Arial" w:hAnsi="Arial" w:cs="Arial"/>
          <w:i w:val="0"/>
          <w:color w:val="auto"/>
          <w:sz w:val="22"/>
          <w:szCs w:val="22"/>
        </w:rPr>
      </w:pPr>
      <w:bookmarkStart w:id="99" w:name="_Toc161123015"/>
      <w:r w:rsidRPr="00FE4860">
        <w:rPr>
          <w:rFonts w:ascii="Arial" w:hAnsi="Arial" w:cs="Arial"/>
          <w:b/>
          <w:i w:val="0"/>
          <w:color w:val="auto"/>
          <w:sz w:val="22"/>
          <w:szCs w:val="22"/>
        </w:rPr>
        <w:lastRenderedPageBreak/>
        <w:t xml:space="preserve">Rysunek </w:t>
      </w:r>
      <w:r w:rsidRPr="00FE4860">
        <w:rPr>
          <w:rFonts w:ascii="Arial" w:hAnsi="Arial" w:cs="Arial"/>
          <w:b/>
          <w:i w:val="0"/>
          <w:color w:val="auto"/>
          <w:sz w:val="22"/>
          <w:szCs w:val="22"/>
        </w:rPr>
        <w:fldChar w:fldCharType="begin"/>
      </w:r>
      <w:r w:rsidRPr="00FE4860">
        <w:rPr>
          <w:rFonts w:ascii="Arial" w:hAnsi="Arial" w:cs="Arial"/>
          <w:b/>
          <w:i w:val="0"/>
          <w:color w:val="auto"/>
          <w:sz w:val="22"/>
          <w:szCs w:val="22"/>
        </w:rPr>
        <w:instrText xml:space="preserve"> SEQ Rysunek \* ARABIC </w:instrText>
      </w:r>
      <w:r w:rsidRPr="00FE4860">
        <w:rPr>
          <w:rFonts w:ascii="Arial" w:hAnsi="Arial" w:cs="Arial"/>
          <w:b/>
          <w:i w:val="0"/>
          <w:color w:val="auto"/>
          <w:sz w:val="22"/>
          <w:szCs w:val="22"/>
        </w:rPr>
        <w:fldChar w:fldCharType="separate"/>
      </w:r>
      <w:r w:rsidR="00884DAD">
        <w:rPr>
          <w:rFonts w:ascii="Arial" w:hAnsi="Arial" w:cs="Arial"/>
          <w:b/>
          <w:i w:val="0"/>
          <w:noProof/>
          <w:color w:val="auto"/>
          <w:sz w:val="22"/>
          <w:szCs w:val="22"/>
        </w:rPr>
        <w:t>15</w:t>
      </w:r>
      <w:r w:rsidRPr="00FE4860">
        <w:rPr>
          <w:rFonts w:ascii="Arial" w:hAnsi="Arial" w:cs="Arial"/>
          <w:b/>
          <w:i w:val="0"/>
          <w:color w:val="auto"/>
          <w:sz w:val="22"/>
          <w:szCs w:val="22"/>
        </w:rPr>
        <w:fldChar w:fldCharType="end"/>
      </w:r>
      <w:r w:rsidRPr="00FE4860">
        <w:rPr>
          <w:rFonts w:ascii="Arial" w:hAnsi="Arial" w:cs="Arial"/>
          <w:b/>
          <w:i w:val="0"/>
          <w:color w:val="auto"/>
          <w:sz w:val="22"/>
          <w:szCs w:val="22"/>
        </w:rPr>
        <w:t>.</w:t>
      </w:r>
      <w:r w:rsidRPr="00FE4860">
        <w:rPr>
          <w:rFonts w:ascii="Arial" w:hAnsi="Arial" w:cs="Arial"/>
          <w:i w:val="0"/>
          <w:color w:val="auto"/>
          <w:sz w:val="22"/>
          <w:szCs w:val="22"/>
        </w:rPr>
        <w:t xml:space="preserve"> Rozmieszczenie firm związanych z usługami i produktami medycznymi </w:t>
      </w:r>
      <w:r w:rsidR="005E33AE">
        <w:rPr>
          <w:rFonts w:ascii="Arial" w:hAnsi="Arial" w:cs="Arial"/>
          <w:i w:val="0"/>
          <w:color w:val="auto"/>
          <w:sz w:val="22"/>
          <w:szCs w:val="22"/>
        </w:rPr>
        <w:br/>
      </w:r>
      <w:r w:rsidRPr="00FE4860">
        <w:rPr>
          <w:rFonts w:ascii="Arial" w:hAnsi="Arial" w:cs="Arial"/>
          <w:i w:val="0"/>
          <w:color w:val="auto"/>
          <w:sz w:val="22"/>
          <w:szCs w:val="22"/>
        </w:rPr>
        <w:t>w 2021</w:t>
      </w:r>
      <w:r w:rsidR="00587D26">
        <w:rPr>
          <w:rFonts w:ascii="Arial" w:hAnsi="Arial" w:cs="Arial"/>
          <w:i w:val="0"/>
          <w:color w:val="auto"/>
          <w:sz w:val="22"/>
          <w:szCs w:val="22"/>
        </w:rPr>
        <w:t> </w:t>
      </w:r>
      <w:r w:rsidRPr="00FE4860">
        <w:rPr>
          <w:rFonts w:ascii="Arial" w:hAnsi="Arial" w:cs="Arial"/>
          <w:i w:val="0"/>
          <w:color w:val="auto"/>
          <w:sz w:val="22"/>
          <w:szCs w:val="22"/>
        </w:rPr>
        <w:t>r.</w:t>
      </w:r>
      <w:bookmarkEnd w:id="99"/>
    </w:p>
    <w:p w:rsidR="00907C3C" w:rsidRPr="0064087E" w:rsidRDefault="00907C3C" w:rsidP="00907C3C">
      <w:pPr>
        <w:spacing w:after="120" w:line="276" w:lineRule="auto"/>
        <w:jc w:val="center"/>
        <w:rPr>
          <w:rFonts w:ascii="Arial" w:hAnsi="Arial" w:cs="Arial"/>
        </w:rPr>
      </w:pPr>
      <w:r w:rsidRPr="0064087E">
        <w:rPr>
          <w:noProof/>
          <w:lang w:eastAsia="pl-PL"/>
        </w:rPr>
        <w:drawing>
          <wp:inline distT="0" distB="0" distL="0" distR="0" wp14:anchorId="4DE029EB" wp14:editId="2BB4EFC5">
            <wp:extent cx="5119089" cy="5029200"/>
            <wp:effectExtent l="0" t="0" r="5715" b="0"/>
            <wp:docPr id="48" name="Obraz 48" descr="Mapa województwa przedstawiająca poszczególne gminy, względem rozmieszczenia firm związanych z usługami i produktami medycznymi w tym należy wyszczególnić: Stalowa Wola, Nowa Dęba, Dębica oraz Miasto Dębica, Trzebownisko, Głogów Małopolski, Miasto Łańcut, Tryńcza, Horyniec-Zdrój, Miasto Jasło, Miasto Krosno, Iwonicz-Zdrój, Rymanów, San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26498" cy="5036478"/>
                    </a:xfrm>
                    <a:prstGeom prst="rect">
                      <a:avLst/>
                    </a:prstGeom>
                    <a:noFill/>
                    <a:ln>
                      <a:noFill/>
                    </a:ln>
                  </pic:spPr>
                </pic:pic>
              </a:graphicData>
            </a:graphic>
          </wp:inline>
        </w:drawing>
      </w:r>
    </w:p>
    <w:p w:rsidR="00907C3C" w:rsidRPr="0064087E" w:rsidRDefault="00907C3C" w:rsidP="00907C3C">
      <w:pPr>
        <w:spacing w:after="120" w:line="276" w:lineRule="auto"/>
        <w:jc w:val="center"/>
        <w:rPr>
          <w:rFonts w:ascii="Arial" w:hAnsi="Arial" w:cs="Arial"/>
        </w:rPr>
      </w:pPr>
      <w:r w:rsidRPr="0064087E">
        <w:rPr>
          <w:rFonts w:ascii="Arial" w:hAnsi="Arial" w:cs="Arial"/>
        </w:rPr>
        <w:t>Źródło: Opracowanie własne na podstawie danych GUS.</w:t>
      </w:r>
    </w:p>
    <w:p w:rsidR="00C876CF" w:rsidRPr="0064087E" w:rsidRDefault="00907C3C" w:rsidP="005E33AE">
      <w:pPr>
        <w:spacing w:after="120" w:line="276" w:lineRule="auto"/>
        <w:rPr>
          <w:rFonts w:ascii="Arial" w:hAnsi="Arial" w:cs="Arial"/>
        </w:rPr>
      </w:pPr>
      <w:r w:rsidRPr="0064087E">
        <w:rPr>
          <w:rFonts w:ascii="Arial" w:hAnsi="Arial" w:cs="Arial"/>
        </w:rPr>
        <w:t xml:space="preserve">W latach 2018–2021 </w:t>
      </w:r>
      <w:r w:rsidR="00DF66A6" w:rsidRPr="0064087E">
        <w:rPr>
          <w:rFonts w:ascii="Arial" w:hAnsi="Arial" w:cs="Arial"/>
        </w:rPr>
        <w:t>przedsiębiorstwa związane</w:t>
      </w:r>
      <w:r w:rsidRPr="0064087E">
        <w:rPr>
          <w:rFonts w:ascii="Arial" w:hAnsi="Arial" w:cs="Arial"/>
        </w:rPr>
        <w:t xml:space="preserve"> z usługami i produktami medycznymi mając</w:t>
      </w:r>
      <w:r w:rsidR="00DF66A6" w:rsidRPr="0064087E">
        <w:rPr>
          <w:rFonts w:ascii="Arial" w:hAnsi="Arial" w:cs="Arial"/>
        </w:rPr>
        <w:t>e</w:t>
      </w:r>
      <w:r w:rsidRPr="0064087E">
        <w:rPr>
          <w:rFonts w:ascii="Arial" w:hAnsi="Arial" w:cs="Arial"/>
        </w:rPr>
        <w:t xml:space="preserve"> siedzibę w województwie podkarpackim wykazywały istotne wahania zarówno </w:t>
      </w:r>
      <w:r w:rsidRPr="0064087E">
        <w:rPr>
          <w:rFonts w:ascii="Arial" w:hAnsi="Arial" w:cs="Arial"/>
        </w:rPr>
        <w:br/>
        <w:t>w zakresie przychodów, jak i kosztów z całokształtu działalności. Znaczący wzrost przychodów, a spadek kosztów odnotowano w 2020 r., co skutkowało poprawą wskaźnika poziomu kosztów. Natomiast w 2021 r. w skali roku zmalały przychody, a wzrosły koszty ogółem, w związku z czym wskaźnik poziomu kosztów całokształtu działalności uległ pogorszeniu.</w:t>
      </w:r>
    </w:p>
    <w:p w:rsidR="00C876CF" w:rsidRPr="0064087E" w:rsidRDefault="00C876CF">
      <w:pPr>
        <w:widowControl/>
        <w:autoSpaceDE/>
        <w:autoSpaceDN/>
        <w:spacing w:after="160" w:line="259" w:lineRule="auto"/>
        <w:rPr>
          <w:rFonts w:ascii="Arial" w:hAnsi="Arial" w:cs="Arial"/>
        </w:rPr>
      </w:pPr>
      <w:r w:rsidRPr="0064087E">
        <w:rPr>
          <w:rFonts w:ascii="Arial" w:hAnsi="Arial" w:cs="Arial"/>
        </w:rPr>
        <w:br w:type="page"/>
      </w:r>
    </w:p>
    <w:p w:rsidR="009B62C0" w:rsidRPr="009B62C0" w:rsidRDefault="009B62C0" w:rsidP="005E33AE">
      <w:pPr>
        <w:pStyle w:val="Legenda"/>
        <w:keepNext/>
        <w:spacing w:after="120" w:line="276" w:lineRule="auto"/>
        <w:rPr>
          <w:rFonts w:ascii="Arial" w:hAnsi="Arial" w:cs="Arial"/>
          <w:i w:val="0"/>
          <w:color w:val="auto"/>
          <w:sz w:val="22"/>
        </w:rPr>
      </w:pPr>
      <w:bookmarkStart w:id="100" w:name="_Toc160793566"/>
      <w:r w:rsidRPr="009B62C0">
        <w:rPr>
          <w:rFonts w:ascii="Arial" w:hAnsi="Arial" w:cs="Arial"/>
          <w:b/>
          <w:i w:val="0"/>
          <w:color w:val="auto"/>
          <w:sz w:val="22"/>
        </w:rPr>
        <w:lastRenderedPageBreak/>
        <w:t xml:space="preserve">Wykres </w:t>
      </w:r>
      <w:r w:rsidRPr="009B62C0">
        <w:rPr>
          <w:rFonts w:ascii="Arial" w:hAnsi="Arial" w:cs="Arial"/>
          <w:b/>
          <w:i w:val="0"/>
          <w:color w:val="auto"/>
          <w:sz w:val="22"/>
        </w:rPr>
        <w:fldChar w:fldCharType="begin"/>
      </w:r>
      <w:r w:rsidRPr="009B62C0">
        <w:rPr>
          <w:rFonts w:ascii="Arial" w:hAnsi="Arial" w:cs="Arial"/>
          <w:b/>
          <w:i w:val="0"/>
          <w:color w:val="auto"/>
          <w:sz w:val="22"/>
        </w:rPr>
        <w:instrText xml:space="preserve"> SEQ Wykres \* ARABIC </w:instrText>
      </w:r>
      <w:r w:rsidRPr="009B62C0">
        <w:rPr>
          <w:rFonts w:ascii="Arial" w:hAnsi="Arial" w:cs="Arial"/>
          <w:b/>
          <w:i w:val="0"/>
          <w:color w:val="auto"/>
          <w:sz w:val="22"/>
        </w:rPr>
        <w:fldChar w:fldCharType="separate"/>
      </w:r>
      <w:r w:rsidR="00884DAD">
        <w:rPr>
          <w:rFonts w:ascii="Arial" w:hAnsi="Arial" w:cs="Arial"/>
          <w:b/>
          <w:i w:val="0"/>
          <w:noProof/>
          <w:color w:val="auto"/>
          <w:sz w:val="22"/>
        </w:rPr>
        <w:t>60</w:t>
      </w:r>
      <w:r w:rsidRPr="009B62C0">
        <w:rPr>
          <w:rFonts w:ascii="Arial" w:hAnsi="Arial" w:cs="Arial"/>
          <w:b/>
          <w:i w:val="0"/>
          <w:color w:val="auto"/>
          <w:sz w:val="22"/>
        </w:rPr>
        <w:fldChar w:fldCharType="end"/>
      </w:r>
      <w:r w:rsidR="00DA1871">
        <w:rPr>
          <w:rFonts w:ascii="Arial" w:hAnsi="Arial" w:cs="Arial"/>
          <w:b/>
          <w:i w:val="0"/>
          <w:color w:val="auto"/>
          <w:sz w:val="22"/>
        </w:rPr>
        <w:t>.</w:t>
      </w:r>
      <w:r w:rsidRPr="009B62C0">
        <w:rPr>
          <w:rFonts w:ascii="Arial" w:hAnsi="Arial" w:cs="Arial"/>
          <w:i w:val="0"/>
          <w:color w:val="auto"/>
          <w:sz w:val="22"/>
        </w:rPr>
        <w:t xml:space="preserve"> Przychody, koszty oraz wskaźnik poziomu kosztów z całokształtu działalności firm branży usługi i produkty medyczne w latach 2017-2021.</w:t>
      </w:r>
      <w:bookmarkEnd w:id="100"/>
    </w:p>
    <w:p w:rsidR="00907C3C" w:rsidRPr="0064087E" w:rsidRDefault="00907C3C" w:rsidP="00907C3C">
      <w:pPr>
        <w:spacing w:after="120" w:line="276" w:lineRule="auto"/>
        <w:jc w:val="center"/>
        <w:rPr>
          <w:rFonts w:ascii="Arial" w:hAnsi="Arial" w:cs="Arial"/>
        </w:rPr>
      </w:pPr>
      <w:r w:rsidRPr="0064087E">
        <w:rPr>
          <w:noProof/>
          <w:lang w:eastAsia="pl-PL"/>
        </w:rPr>
        <w:drawing>
          <wp:inline distT="0" distB="0" distL="0" distR="0" wp14:anchorId="575F1269" wp14:editId="755228AC">
            <wp:extent cx="5181600" cy="2990850"/>
            <wp:effectExtent l="0" t="0" r="0" b="0"/>
            <wp:docPr id="49" name="Wykres 49" descr="Wykres słupkowo-liniowy pionowy w tym dane: Przychód z całokształtu działalności (mln zł): 2017: 0,60, 2018: 0,65, 2019: 0,96, 2020: 1,50, 2021: 1,02, Koszt uzyskania przychodów z całokształtu działalności (mln zł): 2017: 0,55, 2018: 0,60, 2019: 0,91, 2020: 0,67, 2021: 0,82, Wskaźniki poziomu kosztów z całokształtu działalności (%): 2017: 91,4, 2018: 92,5, 2019: 95,4, 2020: 44,5, 2021: 80.">
              <a:extLst xmlns:a="http://schemas.openxmlformats.org/drawingml/2006/main">
                <a:ext uri="{FF2B5EF4-FFF2-40B4-BE49-F238E27FC236}">
                  <a16:creationId xmlns:a16="http://schemas.microsoft.com/office/drawing/2014/main" id="{AC6BABB4-B180-45E8-B77C-E15EEF41AD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907C3C" w:rsidRPr="0064087E" w:rsidRDefault="00907C3C" w:rsidP="00907C3C">
      <w:pPr>
        <w:spacing w:after="120" w:line="276" w:lineRule="auto"/>
        <w:jc w:val="center"/>
        <w:rPr>
          <w:rFonts w:ascii="Arial" w:hAnsi="Arial" w:cs="Arial"/>
        </w:rPr>
      </w:pPr>
      <w:r w:rsidRPr="0064087E">
        <w:rPr>
          <w:rFonts w:ascii="Arial" w:hAnsi="Arial" w:cs="Arial"/>
        </w:rPr>
        <w:t>Źródło: Opracowanie własne na podstawie danych GUS.</w:t>
      </w:r>
    </w:p>
    <w:p w:rsidR="00907C3C" w:rsidRPr="0064087E" w:rsidRDefault="00907C3C" w:rsidP="005E33AE">
      <w:pPr>
        <w:spacing w:after="120" w:line="276" w:lineRule="auto"/>
        <w:rPr>
          <w:rFonts w:ascii="Arial" w:hAnsi="Arial" w:cs="Arial"/>
        </w:rPr>
      </w:pPr>
      <w:r w:rsidRPr="0064087E">
        <w:rPr>
          <w:rFonts w:ascii="Arial" w:hAnsi="Arial" w:cs="Arial"/>
        </w:rPr>
        <w:t>Wskaźnik rentowności obrotu netto</w:t>
      </w:r>
      <w:r w:rsidR="00345B50" w:rsidRPr="0064087E">
        <w:rPr>
          <w:rStyle w:val="Odwoanieprzypisudolnego"/>
          <w:rFonts w:ascii="Arial" w:hAnsi="Arial" w:cs="Arial"/>
        </w:rPr>
        <w:footnoteReference w:id="51"/>
      </w:r>
      <w:r w:rsidRPr="0064087E">
        <w:rPr>
          <w:rFonts w:ascii="Arial" w:hAnsi="Arial" w:cs="Arial"/>
        </w:rPr>
        <w:t xml:space="preserve"> w latach 2017-2019 spadł z poziomu 7,4% do 4,0%, natomiast w 2020</w:t>
      </w:r>
      <w:r w:rsidR="0047411B" w:rsidRPr="0064087E">
        <w:rPr>
          <w:rFonts w:ascii="Arial" w:hAnsi="Arial" w:cs="Arial"/>
        </w:rPr>
        <w:t xml:space="preserve"> </w:t>
      </w:r>
      <w:r w:rsidRPr="0064087E">
        <w:rPr>
          <w:rFonts w:ascii="Arial" w:hAnsi="Arial" w:cs="Arial"/>
        </w:rPr>
        <w:t>r. zanotował duży wzrost do poziomu 54,5%, po czym spadł do 18,7%. Wahania wskaźnika rentowności aktywów</w:t>
      </w:r>
      <w:r w:rsidR="00BB742D" w:rsidRPr="0064087E">
        <w:rPr>
          <w:rStyle w:val="Odwoanieprzypisudolnego"/>
          <w:rFonts w:ascii="Arial" w:hAnsi="Arial" w:cs="Arial"/>
        </w:rPr>
        <w:footnoteReference w:id="52"/>
      </w:r>
      <w:r w:rsidRPr="0064087E">
        <w:rPr>
          <w:rFonts w:ascii="Arial" w:hAnsi="Arial" w:cs="Arial"/>
        </w:rPr>
        <w:t xml:space="preserve"> notowały zbliżone tendencje do pozostałych wskaźników rentowności. W jednostkach specjalizujących się w usługach i produktach medycznych w latach 2017-2019 wskaźniki oscylowały w przedziale od 1,4% do 1,6%. </w:t>
      </w:r>
      <w:r w:rsidR="005E33AE">
        <w:rPr>
          <w:rFonts w:ascii="Arial" w:hAnsi="Arial" w:cs="Arial"/>
        </w:rPr>
        <w:br/>
      </w:r>
      <w:r w:rsidRPr="0064087E">
        <w:rPr>
          <w:rFonts w:ascii="Arial" w:hAnsi="Arial" w:cs="Arial"/>
        </w:rPr>
        <w:t>W 2020 r. wzrósł do poziomu 21,3%</w:t>
      </w:r>
      <w:r w:rsidR="00DF66A6" w:rsidRPr="0064087E">
        <w:rPr>
          <w:rFonts w:ascii="Arial" w:hAnsi="Arial" w:cs="Arial"/>
        </w:rPr>
        <w:t>,</w:t>
      </w:r>
      <w:r w:rsidRPr="0064087E">
        <w:rPr>
          <w:rFonts w:ascii="Arial" w:hAnsi="Arial" w:cs="Arial"/>
        </w:rPr>
        <w:t xml:space="preserve"> a następnie w 2021 r. spadł i przyjął wartość 7,3%. Wskaźnik szacowany dla branży w latach 2017-2019 był niższy niż liczony dla przedsiębiorstw w województwie, natomiast w latach 2020 i 2021 osiągał wyższe wartości niż w województwie. Wysokość wskaźnika rentowności aktywów jest zależna w przypadku tej branży od wysokości zaangażowanych aktywów.</w:t>
      </w:r>
    </w:p>
    <w:p w:rsidR="005E33AE" w:rsidRDefault="00907C3C" w:rsidP="005E33AE">
      <w:pPr>
        <w:spacing w:line="276" w:lineRule="auto"/>
        <w:rPr>
          <w:rFonts w:ascii="Arial" w:hAnsi="Arial" w:cs="Arial"/>
        </w:rPr>
      </w:pPr>
      <w:r w:rsidRPr="0064087E">
        <w:rPr>
          <w:rFonts w:ascii="Arial" w:hAnsi="Arial" w:cs="Arial"/>
        </w:rPr>
        <w:t>Wskaźnik rentowności kapitału własnego</w:t>
      </w:r>
      <w:r w:rsidR="00BB742D" w:rsidRPr="0064087E">
        <w:rPr>
          <w:rStyle w:val="Odwoanieprzypisudolnego"/>
          <w:rFonts w:ascii="Arial" w:hAnsi="Arial" w:cs="Arial"/>
        </w:rPr>
        <w:footnoteReference w:id="53"/>
      </w:r>
      <w:r w:rsidRPr="0064087E">
        <w:rPr>
          <w:rFonts w:ascii="Arial" w:hAnsi="Arial" w:cs="Arial"/>
        </w:rPr>
        <w:t xml:space="preserve"> w odróżnieniu od wskaźnika rentowności aktywów, jest wyrazem efektywności nie całości kapitału ulokowanego w aktywach, lecz jedynie jego części (bez zobowiązań). W analizowanym okresie wykazywał tendencje zbliżone do wskaźnika rentowności aktywów. W latach 2017-2019 przyjmował wartości </w:t>
      </w:r>
      <w:r w:rsidR="005E33AE">
        <w:rPr>
          <w:rFonts w:ascii="Arial" w:hAnsi="Arial" w:cs="Arial"/>
        </w:rPr>
        <w:br/>
      </w:r>
      <w:r w:rsidRPr="0064087E">
        <w:rPr>
          <w:rFonts w:ascii="Arial" w:hAnsi="Arial" w:cs="Arial"/>
        </w:rPr>
        <w:t>w przedziale od 1,6% do 1,8%. Natomiast w 2020 r. wzrósł do 23,3%</w:t>
      </w:r>
      <w:r w:rsidR="00DF66A6" w:rsidRPr="0064087E">
        <w:rPr>
          <w:rFonts w:ascii="Arial" w:hAnsi="Arial" w:cs="Arial"/>
        </w:rPr>
        <w:t>,</w:t>
      </w:r>
      <w:r w:rsidRPr="0064087E">
        <w:rPr>
          <w:rFonts w:ascii="Arial" w:hAnsi="Arial" w:cs="Arial"/>
        </w:rPr>
        <w:t xml:space="preserve"> a następnie w 2021 r. spadł do poziomu 8,5%. We wszystkich analizowanych latach poza 2020 r. wskaźnik rentowności kapitału własnego dla firm z branży usług i produktów medycznych był niższy niż notowane wskaźniki dla województwa i dla kraju.</w:t>
      </w:r>
    </w:p>
    <w:p w:rsidR="005E33AE" w:rsidRDefault="005E33AE">
      <w:pPr>
        <w:widowControl/>
        <w:autoSpaceDE/>
        <w:autoSpaceDN/>
        <w:spacing w:after="160" w:line="259" w:lineRule="auto"/>
        <w:rPr>
          <w:rFonts w:ascii="Arial" w:hAnsi="Arial" w:cs="Arial"/>
        </w:rPr>
      </w:pPr>
      <w:r>
        <w:rPr>
          <w:rFonts w:ascii="Arial" w:hAnsi="Arial" w:cs="Arial"/>
        </w:rPr>
        <w:br w:type="page"/>
      </w:r>
    </w:p>
    <w:p w:rsidR="009B62C0" w:rsidRPr="009B62C0" w:rsidRDefault="009B62C0" w:rsidP="005E33AE">
      <w:pPr>
        <w:pStyle w:val="Legenda"/>
        <w:keepNext/>
        <w:spacing w:line="276" w:lineRule="auto"/>
        <w:rPr>
          <w:rFonts w:ascii="Arial" w:hAnsi="Arial" w:cs="Arial"/>
          <w:i w:val="0"/>
          <w:color w:val="auto"/>
          <w:sz w:val="22"/>
        </w:rPr>
      </w:pPr>
      <w:bookmarkStart w:id="101" w:name="_Toc160793567"/>
      <w:r w:rsidRPr="009B62C0">
        <w:rPr>
          <w:rFonts w:ascii="Arial" w:hAnsi="Arial" w:cs="Arial"/>
          <w:b/>
          <w:i w:val="0"/>
          <w:color w:val="auto"/>
          <w:sz w:val="22"/>
        </w:rPr>
        <w:lastRenderedPageBreak/>
        <w:t xml:space="preserve">Wykres </w:t>
      </w:r>
      <w:r w:rsidRPr="009B62C0">
        <w:rPr>
          <w:rFonts w:ascii="Arial" w:hAnsi="Arial" w:cs="Arial"/>
          <w:b/>
          <w:i w:val="0"/>
          <w:color w:val="auto"/>
          <w:sz w:val="22"/>
        </w:rPr>
        <w:fldChar w:fldCharType="begin"/>
      </w:r>
      <w:r w:rsidRPr="009B62C0">
        <w:rPr>
          <w:rFonts w:ascii="Arial" w:hAnsi="Arial" w:cs="Arial"/>
          <w:b/>
          <w:i w:val="0"/>
          <w:color w:val="auto"/>
          <w:sz w:val="22"/>
        </w:rPr>
        <w:instrText xml:space="preserve"> SEQ Wykres \* ARABIC </w:instrText>
      </w:r>
      <w:r w:rsidRPr="009B62C0">
        <w:rPr>
          <w:rFonts w:ascii="Arial" w:hAnsi="Arial" w:cs="Arial"/>
          <w:b/>
          <w:i w:val="0"/>
          <w:color w:val="auto"/>
          <w:sz w:val="22"/>
        </w:rPr>
        <w:fldChar w:fldCharType="separate"/>
      </w:r>
      <w:r w:rsidR="00884DAD">
        <w:rPr>
          <w:rFonts w:ascii="Arial" w:hAnsi="Arial" w:cs="Arial"/>
          <w:b/>
          <w:i w:val="0"/>
          <w:noProof/>
          <w:color w:val="auto"/>
          <w:sz w:val="22"/>
        </w:rPr>
        <w:t>61</w:t>
      </w:r>
      <w:r w:rsidRPr="009B62C0">
        <w:rPr>
          <w:rFonts w:ascii="Arial" w:hAnsi="Arial" w:cs="Arial"/>
          <w:b/>
          <w:i w:val="0"/>
          <w:color w:val="auto"/>
          <w:sz w:val="22"/>
        </w:rPr>
        <w:fldChar w:fldCharType="end"/>
      </w:r>
      <w:r w:rsidR="00DA1871">
        <w:rPr>
          <w:rFonts w:ascii="Arial" w:hAnsi="Arial" w:cs="Arial"/>
          <w:b/>
          <w:i w:val="0"/>
          <w:color w:val="auto"/>
          <w:sz w:val="22"/>
        </w:rPr>
        <w:t>.</w:t>
      </w:r>
      <w:r w:rsidRPr="009B62C0">
        <w:rPr>
          <w:rFonts w:ascii="Arial" w:hAnsi="Arial" w:cs="Arial"/>
          <w:i w:val="0"/>
          <w:color w:val="auto"/>
          <w:sz w:val="22"/>
        </w:rPr>
        <w:t xml:space="preserve"> Wskaźnik rentowności obrotu ze sprzedaży, wskaźnik rentowności aktywów </w:t>
      </w:r>
      <w:r>
        <w:rPr>
          <w:rFonts w:ascii="Arial" w:hAnsi="Arial" w:cs="Arial"/>
          <w:i w:val="0"/>
          <w:color w:val="auto"/>
          <w:sz w:val="22"/>
        </w:rPr>
        <w:br/>
      </w:r>
      <w:r w:rsidRPr="009B62C0">
        <w:rPr>
          <w:rFonts w:ascii="Arial" w:hAnsi="Arial" w:cs="Arial"/>
          <w:i w:val="0"/>
          <w:color w:val="auto"/>
          <w:sz w:val="22"/>
        </w:rPr>
        <w:t>i wskaźnik rentowności kapitału w jednostkach specjalizujących się w usługach i produktach medycznych w latach 2017-2021.</w:t>
      </w:r>
      <w:bookmarkEnd w:id="101"/>
    </w:p>
    <w:p w:rsidR="00907C3C" w:rsidRPr="0064087E" w:rsidRDefault="00907C3C" w:rsidP="00907C3C">
      <w:pPr>
        <w:spacing w:after="120" w:line="276" w:lineRule="auto"/>
        <w:jc w:val="center"/>
        <w:rPr>
          <w:rFonts w:ascii="Arial" w:hAnsi="Arial" w:cs="Arial"/>
        </w:rPr>
      </w:pPr>
      <w:r w:rsidRPr="0064087E">
        <w:rPr>
          <w:noProof/>
          <w:lang w:eastAsia="pl-PL"/>
        </w:rPr>
        <w:drawing>
          <wp:inline distT="0" distB="0" distL="0" distR="0" wp14:anchorId="6BEF4937" wp14:editId="55D8B133">
            <wp:extent cx="5181600" cy="2647950"/>
            <wp:effectExtent l="0" t="0" r="0" b="0"/>
            <wp:docPr id="50" name="Wykres 50" descr="Wskaźnik rentowności obrotu ze sprzedaży, wskaźnik rentowności aktywów &#10;i wskaźnik rentowności kapitału w jednostkach specjalizujących się w usługach i produktach medycznych w latach 2017-2021.&#10;">
              <a:extLst xmlns:a="http://schemas.openxmlformats.org/drawingml/2006/main">
                <a:ext uri="{FF2B5EF4-FFF2-40B4-BE49-F238E27FC236}">
                  <a16:creationId xmlns:a16="http://schemas.microsoft.com/office/drawing/2014/main" id="{85F535E4-8D65-420C-91D5-27D01D0329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907C3C" w:rsidRPr="0064087E" w:rsidRDefault="00907C3C" w:rsidP="00907C3C">
      <w:pPr>
        <w:spacing w:after="120" w:line="276" w:lineRule="auto"/>
        <w:jc w:val="center"/>
        <w:rPr>
          <w:rFonts w:ascii="Arial" w:hAnsi="Arial" w:cs="Arial"/>
        </w:rPr>
      </w:pPr>
      <w:r w:rsidRPr="0064087E">
        <w:rPr>
          <w:rFonts w:ascii="Arial" w:hAnsi="Arial" w:cs="Arial"/>
        </w:rPr>
        <w:t>Źródło: Opracowanie własne na podstawie danych GUS.</w:t>
      </w:r>
    </w:p>
    <w:p w:rsidR="00907C3C" w:rsidRPr="0064087E" w:rsidRDefault="00907C3C" w:rsidP="005E33AE">
      <w:pPr>
        <w:spacing w:after="120" w:line="276" w:lineRule="auto"/>
        <w:rPr>
          <w:rFonts w:ascii="Arial" w:hAnsi="Arial" w:cs="Arial"/>
        </w:rPr>
      </w:pPr>
      <w:r w:rsidRPr="0064087E">
        <w:rPr>
          <w:rFonts w:ascii="Arial" w:hAnsi="Arial" w:cs="Arial"/>
        </w:rPr>
        <w:t xml:space="preserve">Wynik finansowy netto, który jest składową wskaźników rentowności aktywów, rentowności kapitału własnego i rentowności obrotu netto, w grupie firm związanych z usługami </w:t>
      </w:r>
      <w:r w:rsidRPr="0064087E">
        <w:rPr>
          <w:rFonts w:ascii="Arial" w:hAnsi="Arial" w:cs="Arial"/>
        </w:rPr>
        <w:br/>
        <w:t xml:space="preserve">i produktami medycznymi w latach 2017-2019 zanotował spadek, natomiast w 2020 r. wynik finansowy znacząco wzrósł z uwagi na pandemię COVID-19, która wywołała gwałtowny wzrost popytu na środki ochrony indywidualnej i wyroby medyczne, a następnie spadł </w:t>
      </w:r>
      <w:r w:rsidR="005E33AE">
        <w:rPr>
          <w:rFonts w:ascii="Arial" w:hAnsi="Arial" w:cs="Arial"/>
        </w:rPr>
        <w:br/>
      </w:r>
      <w:r w:rsidRPr="0064087E">
        <w:rPr>
          <w:rFonts w:ascii="Arial" w:hAnsi="Arial" w:cs="Arial"/>
        </w:rPr>
        <w:t>w 2021 r. Zarówno w jednostkach</w:t>
      </w:r>
      <w:r w:rsidR="0017680B" w:rsidRPr="0064087E">
        <w:rPr>
          <w:rFonts w:ascii="Arial" w:hAnsi="Arial" w:cs="Arial"/>
        </w:rPr>
        <w:t xml:space="preserve"> (specjalizujących się w usługach i produktach medycznych)</w:t>
      </w:r>
      <w:r w:rsidRPr="0064087E">
        <w:rPr>
          <w:rFonts w:ascii="Arial" w:hAnsi="Arial" w:cs="Arial"/>
        </w:rPr>
        <w:t xml:space="preserve"> mających siedzibę na terenie województwa podkarpackiego jak i dla Polski wynik finansowy netto największy wzrost zanotował w 2021 r. (odpowiednio o 35,4% i 89,9%).</w:t>
      </w:r>
    </w:p>
    <w:p w:rsidR="009B62C0" w:rsidRPr="009B62C0" w:rsidRDefault="009B62C0" w:rsidP="005E33AE">
      <w:pPr>
        <w:pStyle w:val="Legenda"/>
        <w:keepNext/>
        <w:spacing w:line="276" w:lineRule="auto"/>
        <w:rPr>
          <w:rFonts w:ascii="Arial" w:hAnsi="Arial" w:cs="Arial"/>
          <w:i w:val="0"/>
          <w:color w:val="auto"/>
          <w:sz w:val="22"/>
        </w:rPr>
      </w:pPr>
      <w:bookmarkStart w:id="102" w:name="_Toc160793568"/>
      <w:r w:rsidRPr="009B62C0">
        <w:rPr>
          <w:rFonts w:ascii="Arial" w:hAnsi="Arial" w:cs="Arial"/>
          <w:b/>
          <w:i w:val="0"/>
          <w:color w:val="auto"/>
          <w:sz w:val="22"/>
        </w:rPr>
        <w:t xml:space="preserve">Wykres </w:t>
      </w:r>
      <w:r w:rsidRPr="009B62C0">
        <w:rPr>
          <w:rFonts w:ascii="Arial" w:hAnsi="Arial" w:cs="Arial"/>
          <w:b/>
          <w:i w:val="0"/>
          <w:color w:val="auto"/>
          <w:sz w:val="22"/>
        </w:rPr>
        <w:fldChar w:fldCharType="begin"/>
      </w:r>
      <w:r w:rsidRPr="009B62C0">
        <w:rPr>
          <w:rFonts w:ascii="Arial" w:hAnsi="Arial" w:cs="Arial"/>
          <w:b/>
          <w:i w:val="0"/>
          <w:color w:val="auto"/>
          <w:sz w:val="22"/>
        </w:rPr>
        <w:instrText xml:space="preserve"> SEQ Wykres \* ARABIC </w:instrText>
      </w:r>
      <w:r w:rsidRPr="009B62C0">
        <w:rPr>
          <w:rFonts w:ascii="Arial" w:hAnsi="Arial" w:cs="Arial"/>
          <w:b/>
          <w:i w:val="0"/>
          <w:color w:val="auto"/>
          <w:sz w:val="22"/>
        </w:rPr>
        <w:fldChar w:fldCharType="separate"/>
      </w:r>
      <w:r w:rsidR="00884DAD">
        <w:rPr>
          <w:rFonts w:ascii="Arial" w:hAnsi="Arial" w:cs="Arial"/>
          <w:b/>
          <w:i w:val="0"/>
          <w:noProof/>
          <w:color w:val="auto"/>
          <w:sz w:val="22"/>
        </w:rPr>
        <w:t>62</w:t>
      </w:r>
      <w:r w:rsidRPr="009B62C0">
        <w:rPr>
          <w:rFonts w:ascii="Arial" w:hAnsi="Arial" w:cs="Arial"/>
          <w:b/>
          <w:i w:val="0"/>
          <w:color w:val="auto"/>
          <w:sz w:val="22"/>
        </w:rPr>
        <w:fldChar w:fldCharType="end"/>
      </w:r>
      <w:r w:rsidR="00DA1871">
        <w:rPr>
          <w:rFonts w:ascii="Arial" w:hAnsi="Arial" w:cs="Arial"/>
          <w:b/>
          <w:i w:val="0"/>
          <w:color w:val="auto"/>
          <w:sz w:val="22"/>
        </w:rPr>
        <w:t>.</w:t>
      </w:r>
      <w:r w:rsidRPr="009B62C0">
        <w:rPr>
          <w:rFonts w:ascii="Arial" w:hAnsi="Arial" w:cs="Arial"/>
          <w:i w:val="0"/>
          <w:color w:val="auto"/>
          <w:sz w:val="22"/>
        </w:rPr>
        <w:t xml:space="preserve"> Dynamika wyniku finansowego netto (rok poprzedni=100) w </w:t>
      </w:r>
      <w:r w:rsidR="00140E8D">
        <w:rPr>
          <w:rFonts w:ascii="Arial" w:hAnsi="Arial" w:cs="Arial"/>
          <w:i w:val="0"/>
          <w:color w:val="auto"/>
          <w:sz w:val="22"/>
        </w:rPr>
        <w:t xml:space="preserve">Polsce, województwie podkarpackim oraz </w:t>
      </w:r>
      <w:r w:rsidRPr="009B62C0">
        <w:rPr>
          <w:rFonts w:ascii="Arial" w:hAnsi="Arial" w:cs="Arial"/>
          <w:i w:val="0"/>
          <w:color w:val="auto"/>
          <w:sz w:val="22"/>
        </w:rPr>
        <w:t>branży usługi i produkty medyczne w latach 2017-2021.</w:t>
      </w:r>
      <w:bookmarkEnd w:id="102"/>
    </w:p>
    <w:p w:rsidR="00907C3C" w:rsidRPr="0064087E" w:rsidRDefault="00907C3C" w:rsidP="00907C3C">
      <w:pPr>
        <w:spacing w:after="120" w:line="276" w:lineRule="auto"/>
        <w:jc w:val="center"/>
        <w:rPr>
          <w:rFonts w:ascii="Arial" w:hAnsi="Arial" w:cs="Arial"/>
        </w:rPr>
      </w:pPr>
      <w:r w:rsidRPr="0064087E">
        <w:rPr>
          <w:noProof/>
          <w:lang w:eastAsia="pl-PL"/>
        </w:rPr>
        <w:drawing>
          <wp:inline distT="0" distB="0" distL="0" distR="0" wp14:anchorId="7512D2DB" wp14:editId="6E3019E3">
            <wp:extent cx="5295900" cy="2619375"/>
            <wp:effectExtent l="0" t="0" r="0" b="0"/>
            <wp:docPr id="51" name="Wykres 51" descr="Dynamika wyniku finansowego netto (rok poprzedni=100) w Polsce, województwie podkarpackim oraz branży usługi i produkty medyczne w latach 2017-2021.">
              <a:extLst xmlns:a="http://schemas.openxmlformats.org/drawingml/2006/main">
                <a:ext uri="{FF2B5EF4-FFF2-40B4-BE49-F238E27FC236}">
                  <a16:creationId xmlns:a16="http://schemas.microsoft.com/office/drawing/2014/main" id="{C73B93CD-8F84-47C0-92F1-F559C8E15D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26503B" w:rsidRPr="0064087E" w:rsidRDefault="00907C3C" w:rsidP="002B731B">
      <w:pPr>
        <w:spacing w:after="120" w:line="276" w:lineRule="auto"/>
        <w:jc w:val="center"/>
        <w:rPr>
          <w:rFonts w:ascii="Arial" w:hAnsi="Arial" w:cs="Arial"/>
        </w:rPr>
      </w:pPr>
      <w:r w:rsidRPr="0064087E">
        <w:rPr>
          <w:rFonts w:ascii="Arial" w:hAnsi="Arial" w:cs="Arial"/>
        </w:rPr>
        <w:t>Źródło: Opracowanie własne na podstawie danych GUS.</w:t>
      </w:r>
    </w:p>
    <w:p w:rsidR="00907C3C" w:rsidRPr="0064087E" w:rsidRDefault="00907C3C" w:rsidP="005E33AE">
      <w:pPr>
        <w:spacing w:after="120" w:line="276" w:lineRule="auto"/>
        <w:rPr>
          <w:rFonts w:ascii="Arial" w:hAnsi="Arial" w:cs="Arial"/>
        </w:rPr>
      </w:pPr>
      <w:r w:rsidRPr="0064087E">
        <w:rPr>
          <w:rFonts w:ascii="Arial" w:hAnsi="Arial" w:cs="Arial"/>
        </w:rPr>
        <w:lastRenderedPageBreak/>
        <w:t>Płynność finansowa to zdolność do terminowego regulowania zobowiązań. Płynność finansowa I stopnia</w:t>
      </w:r>
      <w:r w:rsidR="00DF221A" w:rsidRPr="0064087E">
        <w:rPr>
          <w:rStyle w:val="Odwoanieprzypisudolnego"/>
          <w:rFonts w:ascii="Arial" w:hAnsi="Arial" w:cs="Arial"/>
        </w:rPr>
        <w:footnoteReference w:id="54"/>
      </w:r>
      <w:r w:rsidRPr="0064087E">
        <w:rPr>
          <w:rFonts w:ascii="Arial" w:hAnsi="Arial" w:cs="Arial"/>
        </w:rPr>
        <w:t xml:space="preserve"> to zdolność przedsiębiorstw do natychmiastowej spłaty zobowiązań. Dla podmiotów gospodarczych związanych z usługami i produktami medycznymi wskaźnik płynności I stopnia w latach 2017-2021 utrzymywał się dużo powyżej średniej wartości dla województwa podkarpackiego i dla kraju. Najniższą wartość przyjął w 2018 r. </w:t>
      </w:r>
      <w:r w:rsidRPr="0064087E">
        <w:rPr>
          <w:rFonts w:ascii="Arial" w:hAnsi="Arial" w:cs="Arial"/>
        </w:rPr>
        <w:sym w:font="Symbol" w:char="F02D"/>
      </w:r>
      <w:r w:rsidRPr="0064087E">
        <w:rPr>
          <w:rFonts w:ascii="Arial" w:hAnsi="Arial" w:cs="Arial"/>
        </w:rPr>
        <w:t xml:space="preserve"> 51,7%, a najwyższą w 2020 r. </w:t>
      </w:r>
      <w:r w:rsidRPr="0064087E">
        <w:rPr>
          <w:rFonts w:ascii="Arial" w:hAnsi="Arial" w:cs="Arial"/>
        </w:rPr>
        <w:sym w:font="Symbol" w:char="F02D"/>
      </w:r>
      <w:r w:rsidRPr="0064087E">
        <w:rPr>
          <w:rFonts w:ascii="Arial" w:hAnsi="Arial" w:cs="Arial"/>
        </w:rPr>
        <w:t xml:space="preserve"> 1081,2%, na co wpływ miała pandemia COVID-19. </w:t>
      </w:r>
    </w:p>
    <w:p w:rsidR="00907C3C" w:rsidRPr="0064087E" w:rsidRDefault="00907C3C" w:rsidP="005E33AE">
      <w:pPr>
        <w:spacing w:after="120" w:line="276" w:lineRule="auto"/>
        <w:rPr>
          <w:rFonts w:ascii="Arial" w:hAnsi="Arial" w:cs="Arial"/>
        </w:rPr>
      </w:pPr>
      <w:r w:rsidRPr="0064087E">
        <w:rPr>
          <w:rFonts w:ascii="Arial" w:hAnsi="Arial" w:cs="Arial"/>
        </w:rPr>
        <w:t>Wskaźnik płynności II stopnia</w:t>
      </w:r>
      <w:r w:rsidR="00443F29" w:rsidRPr="0064087E">
        <w:rPr>
          <w:rStyle w:val="Odwoanieprzypisudolnego"/>
          <w:rFonts w:ascii="Arial" w:hAnsi="Arial" w:cs="Arial"/>
        </w:rPr>
        <w:footnoteReference w:id="55"/>
      </w:r>
      <w:r w:rsidRPr="0064087E">
        <w:rPr>
          <w:rFonts w:ascii="Arial" w:hAnsi="Arial" w:cs="Arial"/>
        </w:rPr>
        <w:t xml:space="preserve"> informuje o stopniu pokrycia zapasów aktywami o dużym stopniu płynności. Jako pożądaną wartość wskaźnika przyjmuje się 100%</w:t>
      </w:r>
      <w:r w:rsidR="00DF66A6" w:rsidRPr="0064087E">
        <w:rPr>
          <w:rFonts w:ascii="Arial" w:hAnsi="Arial" w:cs="Arial"/>
        </w:rPr>
        <w:t>,</w:t>
      </w:r>
      <w:r w:rsidRPr="0064087E">
        <w:rPr>
          <w:rFonts w:ascii="Arial" w:hAnsi="Arial" w:cs="Arial"/>
        </w:rPr>
        <w:t xml:space="preserve"> jednak tak jak </w:t>
      </w:r>
      <w:r w:rsidR="005E33AE">
        <w:rPr>
          <w:rFonts w:ascii="Arial" w:hAnsi="Arial" w:cs="Arial"/>
        </w:rPr>
        <w:br/>
      </w:r>
      <w:r w:rsidRPr="0064087E">
        <w:rPr>
          <w:rFonts w:ascii="Arial" w:hAnsi="Arial" w:cs="Arial"/>
        </w:rPr>
        <w:t>w przypadku podmiotów gospodarczych związanych z usługami i produktami medycznymi</w:t>
      </w:r>
      <w:r w:rsidR="00DF66A6" w:rsidRPr="0064087E">
        <w:rPr>
          <w:rFonts w:ascii="Arial" w:hAnsi="Arial" w:cs="Arial"/>
        </w:rPr>
        <w:t>,</w:t>
      </w:r>
      <w:r w:rsidRPr="0064087E">
        <w:rPr>
          <w:rFonts w:ascii="Arial" w:hAnsi="Arial" w:cs="Arial"/>
        </w:rPr>
        <w:t xml:space="preserve"> jest zależny od specyfiki branży. Dla tych podmiotów w latach 2017-2021 wskaźnik ulegał znacznym wahaniom. Najniższą wartość osiągnął w 2018 r. (128,3%) a najwyższą w 2020 r. (163,1%). Dla województwa podkarpackiego wskaźnik płynności II stopnia oscylował </w:t>
      </w:r>
      <w:r w:rsidR="005E33AE">
        <w:rPr>
          <w:rFonts w:ascii="Arial" w:hAnsi="Arial" w:cs="Arial"/>
        </w:rPr>
        <w:br/>
      </w:r>
      <w:r w:rsidRPr="0064087E">
        <w:rPr>
          <w:rFonts w:ascii="Arial" w:hAnsi="Arial" w:cs="Arial"/>
        </w:rPr>
        <w:t>w przedziale 104,2% – 111,4%, a dla Polski 100,9% – 108,9%.</w:t>
      </w:r>
    </w:p>
    <w:p w:rsidR="00D6753D" w:rsidRPr="0064087E" w:rsidRDefault="00907C3C" w:rsidP="005E33AE">
      <w:pPr>
        <w:spacing w:after="120" w:line="276" w:lineRule="auto"/>
        <w:rPr>
          <w:rFonts w:ascii="Arial" w:hAnsi="Arial" w:cs="Arial"/>
        </w:rPr>
      </w:pPr>
      <w:r w:rsidRPr="0064087E">
        <w:rPr>
          <w:rFonts w:ascii="Arial" w:hAnsi="Arial" w:cs="Arial"/>
        </w:rPr>
        <w:t xml:space="preserve">Wskaźnikiem obrazującym skalę ryzyka w przedsiębiorstwach jest wskaźnik płynności </w:t>
      </w:r>
      <w:r w:rsidRPr="0064087E">
        <w:rPr>
          <w:rFonts w:ascii="Arial" w:hAnsi="Arial" w:cs="Arial"/>
        </w:rPr>
        <w:br/>
        <w:t>III stopnia</w:t>
      </w:r>
      <w:r w:rsidR="00443F29" w:rsidRPr="0064087E">
        <w:rPr>
          <w:rStyle w:val="Odwoanieprzypisudolnego"/>
          <w:rFonts w:ascii="Arial" w:hAnsi="Arial" w:cs="Arial"/>
        </w:rPr>
        <w:footnoteReference w:id="56"/>
      </w:r>
      <w:r w:rsidRPr="0064087E">
        <w:rPr>
          <w:rFonts w:ascii="Arial" w:hAnsi="Arial" w:cs="Arial"/>
        </w:rPr>
        <w:t xml:space="preserve"> tzw. bieżącej płynności</w:t>
      </w:r>
      <w:r w:rsidR="006A7AA4">
        <w:rPr>
          <w:rFonts w:ascii="Arial" w:hAnsi="Arial" w:cs="Arial"/>
        </w:rPr>
        <w:t xml:space="preserve">. </w:t>
      </w:r>
      <w:r w:rsidRPr="0064087E">
        <w:rPr>
          <w:rFonts w:ascii="Arial" w:hAnsi="Arial" w:cs="Arial"/>
        </w:rPr>
        <w:t xml:space="preserve">Wskaźnik informuje czy zobowiązania mogłyby być terminowo spłacone dzięki upłynnieniu aktywów obrotowych. Zadowalający poziom wskaźnika to przedział 120% – 200%. Wskaźnik III stopnia liczony dla podmiotów gospodarczych specjalizujących się w usługach i produktach medycznych w okresie 2017-2021 wykazywał tendencje zbliżone do wskaźnika płynności I </w:t>
      </w:r>
      <w:proofErr w:type="spellStart"/>
      <w:r w:rsidRPr="0064087E">
        <w:rPr>
          <w:rFonts w:ascii="Arial" w:hAnsi="Arial" w:cs="Arial"/>
        </w:rPr>
        <w:t>i</w:t>
      </w:r>
      <w:proofErr w:type="spellEnd"/>
      <w:r w:rsidRPr="0064087E">
        <w:rPr>
          <w:rFonts w:ascii="Arial" w:hAnsi="Arial" w:cs="Arial"/>
        </w:rPr>
        <w:t xml:space="preserve"> II stopnia. Najniższą wartość przyjął w 2018 r. </w:t>
      </w:r>
      <w:r w:rsidR="00DF66A6" w:rsidRPr="0064087E">
        <w:rPr>
          <w:rFonts w:ascii="Arial" w:hAnsi="Arial" w:cs="Arial"/>
        </w:rPr>
        <w:t xml:space="preserve">- </w:t>
      </w:r>
      <w:r w:rsidRPr="0064087E">
        <w:rPr>
          <w:rFonts w:ascii="Arial" w:hAnsi="Arial" w:cs="Arial"/>
        </w:rPr>
        <w:t>202,1%</w:t>
      </w:r>
      <w:r w:rsidR="00DF66A6" w:rsidRPr="0064087E">
        <w:rPr>
          <w:rFonts w:ascii="Arial" w:hAnsi="Arial" w:cs="Arial"/>
        </w:rPr>
        <w:t>,</w:t>
      </w:r>
      <w:r w:rsidRPr="0064087E">
        <w:rPr>
          <w:rFonts w:ascii="Arial" w:hAnsi="Arial" w:cs="Arial"/>
        </w:rPr>
        <w:t xml:space="preserve"> a najwyższą w 2020 r. </w:t>
      </w:r>
      <w:r w:rsidR="00DF66A6" w:rsidRPr="0064087E">
        <w:rPr>
          <w:rFonts w:ascii="Arial" w:hAnsi="Arial" w:cs="Arial"/>
        </w:rPr>
        <w:t xml:space="preserve">- </w:t>
      </w:r>
      <w:r w:rsidRPr="0064087E">
        <w:rPr>
          <w:rFonts w:ascii="Arial" w:hAnsi="Arial" w:cs="Arial"/>
        </w:rPr>
        <w:t>1267,2%. Dla województwa podkarpackiego utrzymywał się w przedziale 159,2% – 167,4%, natomiast dla Polski oscylował w granicach 143,6% – 153,1%.</w:t>
      </w:r>
    </w:p>
    <w:p w:rsidR="00781B76" w:rsidRPr="0064087E" w:rsidRDefault="00781B76" w:rsidP="005E33AE">
      <w:pPr>
        <w:spacing w:after="120" w:line="276" w:lineRule="auto"/>
        <w:rPr>
          <w:rFonts w:ascii="Arial" w:hAnsi="Arial" w:cs="Arial"/>
          <w:b/>
        </w:rPr>
      </w:pPr>
      <w:r w:rsidRPr="0064087E">
        <w:rPr>
          <w:rFonts w:ascii="Arial" w:hAnsi="Arial" w:cs="Arial"/>
          <w:b/>
        </w:rPr>
        <w:t xml:space="preserve">Energia przyjazna środowisku </w:t>
      </w:r>
      <w:r w:rsidR="003839C0" w:rsidRPr="0064087E">
        <w:rPr>
          <w:rFonts w:ascii="Arial" w:hAnsi="Arial" w:cs="Arial"/>
          <w:b/>
        </w:rPr>
        <w:t>w województwie podkarpackim w latach 2017-2021</w:t>
      </w:r>
    </w:p>
    <w:p w:rsidR="003839C0" w:rsidRPr="0064087E" w:rsidRDefault="003839C0" w:rsidP="005E33AE">
      <w:pPr>
        <w:spacing w:after="120" w:line="276" w:lineRule="auto"/>
        <w:rPr>
          <w:rFonts w:ascii="Arial" w:hAnsi="Arial" w:cs="Arial"/>
        </w:rPr>
      </w:pPr>
      <w:r w:rsidRPr="0064087E">
        <w:rPr>
          <w:rFonts w:ascii="Arial" w:hAnsi="Arial" w:cs="Arial"/>
        </w:rPr>
        <w:t xml:space="preserve">Na potrzeby niniejszej analizy, pod pojęciem </w:t>
      </w:r>
      <w:r w:rsidR="00781B76" w:rsidRPr="0064087E">
        <w:rPr>
          <w:rFonts w:ascii="Arial" w:hAnsi="Arial" w:cs="Arial"/>
        </w:rPr>
        <w:t>energii przyjaznej środowisku</w:t>
      </w:r>
      <w:r w:rsidRPr="0064087E">
        <w:rPr>
          <w:rFonts w:ascii="Arial" w:hAnsi="Arial" w:cs="Arial"/>
        </w:rPr>
        <w:t xml:space="preserve"> należy rozumieć jednostki zaklasyfikowane do następujących </w:t>
      </w:r>
      <w:r w:rsidR="00927FD2" w:rsidRPr="0064087E">
        <w:rPr>
          <w:rFonts w:ascii="Arial" w:hAnsi="Arial" w:cs="Arial"/>
        </w:rPr>
        <w:t xml:space="preserve">działów i </w:t>
      </w:r>
      <w:r w:rsidR="0017680B" w:rsidRPr="0064087E">
        <w:rPr>
          <w:rFonts w:ascii="Arial" w:hAnsi="Arial" w:cs="Arial"/>
        </w:rPr>
        <w:t xml:space="preserve">klas </w:t>
      </w:r>
      <w:r w:rsidRPr="0064087E">
        <w:rPr>
          <w:rFonts w:ascii="Arial" w:hAnsi="Arial" w:cs="Arial"/>
        </w:rPr>
        <w:t>PKD tj.: 23.11, 33.20, 35.11, 35.12, 35.21, 35.30, 39, 41.10, 41.20, 42.99, 43.21, 71.12, 72.11.</w:t>
      </w:r>
      <w:r w:rsidR="00C31D68" w:rsidRPr="0064087E">
        <w:rPr>
          <w:rFonts w:ascii="Arial" w:hAnsi="Arial" w:cs="Arial"/>
        </w:rPr>
        <w:t xml:space="preserve"> </w:t>
      </w:r>
      <w:r w:rsidRPr="0064087E">
        <w:rPr>
          <w:rFonts w:ascii="Arial" w:hAnsi="Arial" w:cs="Arial"/>
        </w:rPr>
        <w:t>W 2017 r. było 1750 jednostek, w 2018 r. – 149, w 2019 r. – 152, w 2020 r. – 154, a w 2021 r. – 155 jednostek.</w:t>
      </w:r>
    </w:p>
    <w:p w:rsidR="00FE4860" w:rsidRPr="00FE4860" w:rsidRDefault="00FE4860" w:rsidP="005E33AE">
      <w:pPr>
        <w:pStyle w:val="Legenda"/>
        <w:keepNext/>
        <w:rPr>
          <w:rFonts w:ascii="Arial" w:hAnsi="Arial" w:cs="Arial"/>
          <w:i w:val="0"/>
          <w:color w:val="auto"/>
          <w:sz w:val="22"/>
          <w:szCs w:val="22"/>
        </w:rPr>
      </w:pPr>
      <w:bookmarkStart w:id="103" w:name="_Toc161123016"/>
      <w:r w:rsidRPr="00FE4860">
        <w:rPr>
          <w:rFonts w:ascii="Arial" w:hAnsi="Arial" w:cs="Arial"/>
          <w:b/>
          <w:i w:val="0"/>
          <w:color w:val="auto"/>
          <w:sz w:val="22"/>
          <w:szCs w:val="22"/>
        </w:rPr>
        <w:lastRenderedPageBreak/>
        <w:t xml:space="preserve">Rysunek </w:t>
      </w:r>
      <w:r w:rsidRPr="00FE4860">
        <w:rPr>
          <w:rFonts w:ascii="Arial" w:hAnsi="Arial" w:cs="Arial"/>
          <w:b/>
          <w:i w:val="0"/>
          <w:color w:val="auto"/>
          <w:sz w:val="22"/>
          <w:szCs w:val="22"/>
        </w:rPr>
        <w:fldChar w:fldCharType="begin"/>
      </w:r>
      <w:r w:rsidRPr="00FE4860">
        <w:rPr>
          <w:rFonts w:ascii="Arial" w:hAnsi="Arial" w:cs="Arial"/>
          <w:b/>
          <w:i w:val="0"/>
          <w:color w:val="auto"/>
          <w:sz w:val="22"/>
          <w:szCs w:val="22"/>
        </w:rPr>
        <w:instrText xml:space="preserve"> SEQ Rysunek \* ARABIC </w:instrText>
      </w:r>
      <w:r w:rsidRPr="00FE4860">
        <w:rPr>
          <w:rFonts w:ascii="Arial" w:hAnsi="Arial" w:cs="Arial"/>
          <w:b/>
          <w:i w:val="0"/>
          <w:color w:val="auto"/>
          <w:sz w:val="22"/>
          <w:szCs w:val="22"/>
        </w:rPr>
        <w:fldChar w:fldCharType="separate"/>
      </w:r>
      <w:r w:rsidR="00884DAD">
        <w:rPr>
          <w:rFonts w:ascii="Arial" w:hAnsi="Arial" w:cs="Arial"/>
          <w:b/>
          <w:i w:val="0"/>
          <w:noProof/>
          <w:color w:val="auto"/>
          <w:sz w:val="22"/>
          <w:szCs w:val="22"/>
        </w:rPr>
        <w:t>16</w:t>
      </w:r>
      <w:r w:rsidRPr="00FE4860">
        <w:rPr>
          <w:rFonts w:ascii="Arial" w:hAnsi="Arial" w:cs="Arial"/>
          <w:b/>
          <w:i w:val="0"/>
          <w:color w:val="auto"/>
          <w:sz w:val="22"/>
          <w:szCs w:val="22"/>
        </w:rPr>
        <w:fldChar w:fldCharType="end"/>
      </w:r>
      <w:r w:rsidR="00DA1871">
        <w:rPr>
          <w:rFonts w:ascii="Arial" w:hAnsi="Arial" w:cs="Arial"/>
          <w:b/>
          <w:i w:val="0"/>
          <w:color w:val="auto"/>
          <w:sz w:val="22"/>
          <w:szCs w:val="22"/>
        </w:rPr>
        <w:t>.</w:t>
      </w:r>
      <w:r w:rsidRPr="00FE4860">
        <w:rPr>
          <w:rFonts w:ascii="Arial" w:hAnsi="Arial" w:cs="Arial"/>
          <w:i w:val="0"/>
          <w:color w:val="auto"/>
          <w:sz w:val="22"/>
          <w:szCs w:val="22"/>
        </w:rPr>
        <w:t xml:space="preserve"> Rozmieszczenie firm związanych z energią przyjazną środowisku w 2021 r.</w:t>
      </w:r>
      <w:bookmarkEnd w:id="103"/>
    </w:p>
    <w:p w:rsidR="003839C0" w:rsidRPr="0064087E" w:rsidRDefault="003839C0" w:rsidP="00B82BC4">
      <w:pPr>
        <w:spacing w:after="120" w:line="276" w:lineRule="auto"/>
        <w:jc w:val="center"/>
        <w:rPr>
          <w:rFonts w:ascii="Arial" w:hAnsi="Arial" w:cs="Arial"/>
        </w:rPr>
      </w:pPr>
      <w:r w:rsidRPr="0064087E">
        <w:rPr>
          <w:noProof/>
          <w:lang w:eastAsia="pl-PL"/>
        </w:rPr>
        <w:drawing>
          <wp:inline distT="0" distB="0" distL="0" distR="0" wp14:anchorId="465DFCE5" wp14:editId="12398E45">
            <wp:extent cx="4791075" cy="4987968"/>
            <wp:effectExtent l="0" t="0" r="0" b="0"/>
            <wp:docPr id="3198" name="Obraz 3198" descr="Mapa województwa przedstawiająca poszczególne gminy, względem rozmieszczenia firm związanych z energią przyjazną środowisku w tym należy wyszczególnić: Miasto Tarnobrzeg, Nowa Dęba, Stalowa Wola, Nisko, Jarocin, Jeżowe, Nowa Sarzyna, Leżajsk, Żołynia, Raniżów, Głogów Małopolski, Trzebownisko, Miasto Rzeszów, Tyczyn, Chmielnik, Łańcut, Miasto Łańcut, Białobrzegi, Niwiska, Miasto Mielec, Radomyśl Wielki, Miasto Dębica, Dębica, Ropczyce, Miasto Przeworsk, Pawłosiów, Jarosław, Radymno, Laszki, Oleszyce, Miasto Przemyśl, Strzyżów, Miasto Jasło, Tarnowiec, Chorkówka, Miasto Krosno, Haczów, Brzozów, Domaradz, Miasto Sanok, Ustrzyki Do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791075" cy="4987968"/>
                    </a:xfrm>
                    <a:prstGeom prst="rect">
                      <a:avLst/>
                    </a:prstGeom>
                    <a:noFill/>
                    <a:ln>
                      <a:noFill/>
                    </a:ln>
                  </pic:spPr>
                </pic:pic>
              </a:graphicData>
            </a:graphic>
          </wp:inline>
        </w:drawing>
      </w:r>
    </w:p>
    <w:p w:rsidR="003839C0" w:rsidRPr="0064087E" w:rsidRDefault="003839C0" w:rsidP="00B82BC4">
      <w:pPr>
        <w:spacing w:after="120" w:line="276" w:lineRule="auto"/>
        <w:jc w:val="center"/>
        <w:rPr>
          <w:rFonts w:ascii="Arial" w:hAnsi="Arial" w:cs="Arial"/>
        </w:rPr>
      </w:pPr>
      <w:r w:rsidRPr="0064087E">
        <w:rPr>
          <w:rFonts w:ascii="Arial" w:hAnsi="Arial" w:cs="Arial"/>
        </w:rPr>
        <w:t xml:space="preserve">Źródło: </w:t>
      </w:r>
      <w:r w:rsidR="00C31D68" w:rsidRPr="0064087E">
        <w:rPr>
          <w:rFonts w:ascii="Arial" w:hAnsi="Arial" w:cs="Arial"/>
        </w:rPr>
        <w:t>Opracowanie własne na podstawie danych GUS</w:t>
      </w:r>
      <w:r w:rsidRPr="0064087E">
        <w:rPr>
          <w:rFonts w:ascii="Arial" w:hAnsi="Arial" w:cs="Arial"/>
        </w:rPr>
        <w:t>.</w:t>
      </w:r>
    </w:p>
    <w:p w:rsidR="002B731B" w:rsidRPr="0064087E" w:rsidRDefault="003839C0" w:rsidP="005E33AE">
      <w:pPr>
        <w:spacing w:after="120" w:line="276" w:lineRule="auto"/>
        <w:rPr>
          <w:rFonts w:ascii="Arial" w:hAnsi="Arial" w:cs="Arial"/>
        </w:rPr>
      </w:pPr>
      <w:r w:rsidRPr="0064087E">
        <w:rPr>
          <w:rFonts w:ascii="Arial" w:hAnsi="Arial" w:cs="Arial"/>
        </w:rPr>
        <w:t xml:space="preserve">W latach 2017-2021 w przedsiębiorstwach związanych z </w:t>
      </w:r>
      <w:r w:rsidR="00781B76" w:rsidRPr="0064087E">
        <w:rPr>
          <w:rFonts w:ascii="Arial" w:hAnsi="Arial" w:cs="Arial"/>
        </w:rPr>
        <w:t>energią przyjazną środowisku</w:t>
      </w:r>
      <w:r w:rsidR="007B1F92" w:rsidRPr="0064087E">
        <w:rPr>
          <w:rStyle w:val="Odwoanieprzypisudolnego"/>
          <w:rFonts w:ascii="Arial" w:hAnsi="Arial" w:cs="Arial"/>
        </w:rPr>
        <w:footnoteReference w:id="57"/>
      </w:r>
      <w:r w:rsidR="002A6C54" w:rsidRPr="0064087E">
        <w:rPr>
          <w:rFonts w:ascii="Arial" w:hAnsi="Arial" w:cs="Arial"/>
        </w:rPr>
        <w:t xml:space="preserve"> </w:t>
      </w:r>
      <w:r w:rsidRPr="0064087E">
        <w:rPr>
          <w:rFonts w:ascii="Arial" w:hAnsi="Arial" w:cs="Arial"/>
        </w:rPr>
        <w:t>w</w:t>
      </w:r>
      <w:r w:rsidR="00781B76" w:rsidRPr="0064087E">
        <w:rPr>
          <w:rFonts w:ascii="Arial" w:hAnsi="Arial" w:cs="Arial"/>
        </w:rPr>
        <w:t> </w:t>
      </w:r>
      <w:r w:rsidRPr="0064087E">
        <w:rPr>
          <w:rFonts w:ascii="Arial" w:hAnsi="Arial" w:cs="Arial"/>
        </w:rPr>
        <w:t>województwie podkarpackim zarówno przychody, jak i koszty z całokształtu działalności</w:t>
      </w:r>
      <w:r w:rsidR="00E97FA5" w:rsidRPr="0064087E">
        <w:rPr>
          <w:rFonts w:ascii="Arial" w:hAnsi="Arial" w:cs="Arial"/>
        </w:rPr>
        <w:t xml:space="preserve"> </w:t>
      </w:r>
      <w:r w:rsidRPr="0064087E">
        <w:rPr>
          <w:rFonts w:ascii="Arial" w:hAnsi="Arial" w:cs="Arial"/>
        </w:rPr>
        <w:t>zwiększyły się (z wyjątkiem 2020 r., w którym przychody z całokształtu działalności spadły w</w:t>
      </w:r>
      <w:r w:rsidR="00781B76" w:rsidRPr="0064087E">
        <w:rPr>
          <w:rFonts w:ascii="Arial" w:hAnsi="Arial" w:cs="Arial"/>
        </w:rPr>
        <w:t> </w:t>
      </w:r>
      <w:r w:rsidRPr="0064087E">
        <w:rPr>
          <w:rFonts w:ascii="Arial" w:hAnsi="Arial" w:cs="Arial"/>
        </w:rPr>
        <w:t xml:space="preserve">stosunku do roku poprzedniego). </w:t>
      </w:r>
      <w:r w:rsidR="00781B76" w:rsidRPr="0064087E">
        <w:rPr>
          <w:rFonts w:ascii="Arial" w:hAnsi="Arial" w:cs="Arial"/>
        </w:rPr>
        <w:t>W</w:t>
      </w:r>
      <w:r w:rsidRPr="0064087E">
        <w:rPr>
          <w:rFonts w:ascii="Arial" w:hAnsi="Arial" w:cs="Arial"/>
        </w:rPr>
        <w:t>skaźnik poziomu kosztów</w:t>
      </w:r>
      <w:r w:rsidR="00E97FA5" w:rsidRPr="0064087E">
        <w:rPr>
          <w:rFonts w:ascii="Arial" w:hAnsi="Arial" w:cs="Arial"/>
        </w:rPr>
        <w:t xml:space="preserve"> </w:t>
      </w:r>
      <w:r w:rsidRPr="0064087E">
        <w:rPr>
          <w:rFonts w:ascii="Arial" w:hAnsi="Arial" w:cs="Arial"/>
        </w:rPr>
        <w:t>najwyższą wartość osiągnął w 2020 r.</w:t>
      </w:r>
      <w:r w:rsidR="00A523A8" w:rsidRPr="0064087E">
        <w:rPr>
          <w:rFonts w:ascii="Arial" w:hAnsi="Arial" w:cs="Arial"/>
        </w:rPr>
        <w:t xml:space="preserve"> – </w:t>
      </w:r>
      <w:r w:rsidRPr="0064087E">
        <w:rPr>
          <w:rFonts w:ascii="Arial" w:hAnsi="Arial" w:cs="Arial"/>
        </w:rPr>
        <w:t>102,2</w:t>
      </w:r>
      <w:r w:rsidR="006C1852" w:rsidRPr="0064087E">
        <w:rPr>
          <w:rFonts w:ascii="Arial" w:hAnsi="Arial" w:cs="Arial"/>
        </w:rPr>
        <w:t>%,</w:t>
      </w:r>
      <w:r w:rsidRPr="0064087E">
        <w:rPr>
          <w:rFonts w:ascii="Arial" w:hAnsi="Arial" w:cs="Arial"/>
        </w:rPr>
        <w:t xml:space="preserve"> a następnie spadł w 2021 r. do poziomu 89,3</w:t>
      </w:r>
      <w:r w:rsidR="006C1852" w:rsidRPr="0064087E">
        <w:rPr>
          <w:rFonts w:ascii="Arial" w:hAnsi="Arial" w:cs="Arial"/>
        </w:rPr>
        <w:t>%</w:t>
      </w:r>
      <w:r w:rsidRPr="0064087E">
        <w:rPr>
          <w:rFonts w:ascii="Arial" w:hAnsi="Arial" w:cs="Arial"/>
        </w:rPr>
        <w:t xml:space="preserve">. Wskaźnik poziomu kosztów liczony dla województwa podkarpackiego w analizowanym okresie wahał się </w:t>
      </w:r>
      <w:r w:rsidR="00EF2329">
        <w:rPr>
          <w:rFonts w:ascii="Arial" w:hAnsi="Arial" w:cs="Arial"/>
        </w:rPr>
        <w:br/>
      </w:r>
      <w:r w:rsidRPr="0064087E">
        <w:rPr>
          <w:rFonts w:ascii="Arial" w:hAnsi="Arial" w:cs="Arial"/>
        </w:rPr>
        <w:t>w przedziale od 94,1</w:t>
      </w:r>
      <w:r w:rsidR="006C1852" w:rsidRPr="0064087E">
        <w:rPr>
          <w:rFonts w:ascii="Arial" w:hAnsi="Arial" w:cs="Arial"/>
        </w:rPr>
        <w:t>%</w:t>
      </w:r>
      <w:r w:rsidRPr="0064087E">
        <w:rPr>
          <w:rFonts w:ascii="Arial" w:hAnsi="Arial" w:cs="Arial"/>
        </w:rPr>
        <w:t xml:space="preserve"> do 96,1</w:t>
      </w:r>
      <w:r w:rsidR="006C1852" w:rsidRPr="0064087E">
        <w:rPr>
          <w:rFonts w:ascii="Arial" w:hAnsi="Arial" w:cs="Arial"/>
        </w:rPr>
        <w:t>%</w:t>
      </w:r>
      <w:r w:rsidRPr="0064087E">
        <w:rPr>
          <w:rFonts w:ascii="Arial" w:hAnsi="Arial" w:cs="Arial"/>
        </w:rPr>
        <w:t>.</w:t>
      </w:r>
    </w:p>
    <w:p w:rsidR="002B731B" w:rsidRPr="0064087E" w:rsidRDefault="002B731B" w:rsidP="005E33AE">
      <w:pPr>
        <w:widowControl/>
        <w:autoSpaceDE/>
        <w:autoSpaceDN/>
        <w:spacing w:after="160" w:line="259" w:lineRule="auto"/>
        <w:rPr>
          <w:rFonts w:ascii="Arial" w:hAnsi="Arial" w:cs="Arial"/>
        </w:rPr>
      </w:pPr>
      <w:r w:rsidRPr="0064087E">
        <w:rPr>
          <w:rFonts w:ascii="Arial" w:hAnsi="Arial" w:cs="Arial"/>
        </w:rPr>
        <w:br w:type="page"/>
      </w:r>
    </w:p>
    <w:p w:rsidR="00101382" w:rsidRPr="00101382" w:rsidRDefault="00101382" w:rsidP="005E33AE">
      <w:pPr>
        <w:pStyle w:val="Legenda"/>
        <w:keepNext/>
        <w:spacing w:line="276" w:lineRule="auto"/>
        <w:rPr>
          <w:rFonts w:ascii="Arial" w:hAnsi="Arial" w:cs="Arial"/>
          <w:i w:val="0"/>
          <w:color w:val="auto"/>
          <w:sz w:val="22"/>
        </w:rPr>
      </w:pPr>
      <w:bookmarkStart w:id="104" w:name="_Toc160793569"/>
      <w:r w:rsidRPr="00101382">
        <w:rPr>
          <w:rFonts w:ascii="Arial" w:hAnsi="Arial" w:cs="Arial"/>
          <w:b/>
          <w:i w:val="0"/>
          <w:color w:val="auto"/>
          <w:sz w:val="22"/>
        </w:rPr>
        <w:lastRenderedPageBreak/>
        <w:t xml:space="preserve">Wykres </w:t>
      </w:r>
      <w:r w:rsidRPr="00101382">
        <w:rPr>
          <w:rFonts w:ascii="Arial" w:hAnsi="Arial" w:cs="Arial"/>
          <w:b/>
          <w:i w:val="0"/>
          <w:color w:val="auto"/>
          <w:sz w:val="22"/>
        </w:rPr>
        <w:fldChar w:fldCharType="begin"/>
      </w:r>
      <w:r w:rsidRPr="00101382">
        <w:rPr>
          <w:rFonts w:ascii="Arial" w:hAnsi="Arial" w:cs="Arial"/>
          <w:b/>
          <w:i w:val="0"/>
          <w:color w:val="auto"/>
          <w:sz w:val="22"/>
        </w:rPr>
        <w:instrText xml:space="preserve"> SEQ Wykres \* ARABIC </w:instrText>
      </w:r>
      <w:r w:rsidRPr="00101382">
        <w:rPr>
          <w:rFonts w:ascii="Arial" w:hAnsi="Arial" w:cs="Arial"/>
          <w:b/>
          <w:i w:val="0"/>
          <w:color w:val="auto"/>
          <w:sz w:val="22"/>
        </w:rPr>
        <w:fldChar w:fldCharType="separate"/>
      </w:r>
      <w:r w:rsidR="00884DAD">
        <w:rPr>
          <w:rFonts w:ascii="Arial" w:hAnsi="Arial" w:cs="Arial"/>
          <w:b/>
          <w:i w:val="0"/>
          <w:noProof/>
          <w:color w:val="auto"/>
          <w:sz w:val="22"/>
        </w:rPr>
        <w:t>63</w:t>
      </w:r>
      <w:r w:rsidRPr="00101382">
        <w:rPr>
          <w:rFonts w:ascii="Arial" w:hAnsi="Arial" w:cs="Arial"/>
          <w:b/>
          <w:i w:val="0"/>
          <w:color w:val="auto"/>
          <w:sz w:val="22"/>
        </w:rPr>
        <w:fldChar w:fldCharType="end"/>
      </w:r>
      <w:r w:rsidR="00DA1871">
        <w:rPr>
          <w:rFonts w:ascii="Arial" w:hAnsi="Arial" w:cs="Arial"/>
          <w:b/>
          <w:i w:val="0"/>
          <w:color w:val="auto"/>
          <w:sz w:val="22"/>
        </w:rPr>
        <w:t>.</w:t>
      </w:r>
      <w:r w:rsidRPr="00101382">
        <w:rPr>
          <w:rFonts w:ascii="Arial" w:hAnsi="Arial" w:cs="Arial"/>
          <w:i w:val="0"/>
          <w:color w:val="auto"/>
          <w:sz w:val="22"/>
        </w:rPr>
        <w:t xml:space="preserve"> Przychody, koszty oraz wskaźnik poziomu kosztów z całokształtu działalności firm branży energia przyjazna środowisku z województwa podkarpackiego w latach 2017-2021.</w:t>
      </w:r>
      <w:bookmarkEnd w:id="104"/>
    </w:p>
    <w:p w:rsidR="008C70B7" w:rsidRPr="0064087E" w:rsidRDefault="008C70B7" w:rsidP="00B82BC4">
      <w:pPr>
        <w:spacing w:after="120" w:line="276" w:lineRule="auto"/>
        <w:jc w:val="center"/>
        <w:rPr>
          <w:rFonts w:ascii="Arial" w:hAnsi="Arial" w:cs="Arial"/>
        </w:rPr>
      </w:pPr>
      <w:r w:rsidRPr="0064087E">
        <w:rPr>
          <w:noProof/>
          <w:lang w:eastAsia="pl-PL"/>
        </w:rPr>
        <w:drawing>
          <wp:inline distT="0" distB="0" distL="0" distR="0" wp14:anchorId="22A2FCFE" wp14:editId="61D06FF7">
            <wp:extent cx="5041127" cy="2345634"/>
            <wp:effectExtent l="0" t="0" r="7620" b="0"/>
            <wp:docPr id="152" name="Wykres 152" descr="Wykres słupkowo-liniowy pionowy w tym dane: Przychód z całokształtu działalności (mln zł): 2017: 3,60, 2018: 4,20, 2019: 4,40, 2020: 4,40, 2021: 6,0, Koszt uzyskania przychodu z całokształtu działalności (mln zł): 2017: 3,40, 2018: 3,90, 2019: 4,20, 2020: 4,50, 2021: 5,30, Wskaźnik poziomu kosztów z całokształtu działalności (mln zł): 2017: 93,6, 2018: 94, 2019: 94, 2020: 102,2, 2021: 89,3.">
              <a:extLst xmlns:a="http://schemas.openxmlformats.org/drawingml/2006/main">
                <a:ext uri="{FF2B5EF4-FFF2-40B4-BE49-F238E27FC236}">
                  <a16:creationId xmlns:a16="http://schemas.microsoft.com/office/drawing/2014/main" id="{84D79569-288E-492B-8827-CE253CD416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8C70B7" w:rsidRPr="0064087E" w:rsidRDefault="008C70B7" w:rsidP="00B82BC4">
      <w:pPr>
        <w:spacing w:after="120" w:line="276" w:lineRule="auto"/>
        <w:jc w:val="center"/>
        <w:rPr>
          <w:rFonts w:ascii="Arial" w:hAnsi="Arial" w:cs="Arial"/>
        </w:rPr>
      </w:pPr>
      <w:r w:rsidRPr="0064087E">
        <w:rPr>
          <w:rFonts w:ascii="Arial" w:hAnsi="Arial" w:cs="Arial"/>
        </w:rPr>
        <w:t xml:space="preserve">Źródło: </w:t>
      </w:r>
      <w:r w:rsidR="00530CCA" w:rsidRPr="0064087E">
        <w:rPr>
          <w:rFonts w:ascii="Arial" w:hAnsi="Arial" w:cs="Arial"/>
        </w:rPr>
        <w:t>Opracowanie własne na podstawie danych GUS</w:t>
      </w:r>
      <w:r w:rsidRPr="0064087E">
        <w:rPr>
          <w:rFonts w:ascii="Arial" w:hAnsi="Arial" w:cs="Arial"/>
        </w:rPr>
        <w:t>.</w:t>
      </w:r>
    </w:p>
    <w:p w:rsidR="003E2C11" w:rsidRPr="0064087E" w:rsidRDefault="008C70B7" w:rsidP="005E33AE">
      <w:pPr>
        <w:spacing w:after="120" w:line="276" w:lineRule="auto"/>
        <w:rPr>
          <w:rFonts w:ascii="Arial" w:hAnsi="Arial" w:cs="Arial"/>
        </w:rPr>
      </w:pPr>
      <w:r w:rsidRPr="0064087E">
        <w:rPr>
          <w:rFonts w:ascii="Arial" w:hAnsi="Arial" w:cs="Arial"/>
        </w:rPr>
        <w:t xml:space="preserve">Udział eksportu w przychodach ze sprzedaży w jednostkach specjalizujących się w </w:t>
      </w:r>
      <w:r w:rsidR="00781B76" w:rsidRPr="0064087E">
        <w:rPr>
          <w:rFonts w:ascii="Arial" w:hAnsi="Arial" w:cs="Arial"/>
        </w:rPr>
        <w:t>energii przyjaznej środowisku</w:t>
      </w:r>
      <w:r w:rsidRPr="0064087E">
        <w:rPr>
          <w:rFonts w:ascii="Arial" w:hAnsi="Arial" w:cs="Arial"/>
        </w:rPr>
        <w:t xml:space="preserve"> ze względu na specyfikę prowadzonej działalności nie przekracza</w:t>
      </w:r>
      <w:r w:rsidR="002A1A1E" w:rsidRPr="0064087E">
        <w:rPr>
          <w:rFonts w:ascii="Arial" w:hAnsi="Arial" w:cs="Arial"/>
        </w:rPr>
        <w:t>ł</w:t>
      </w:r>
      <w:r w:rsidRPr="0064087E">
        <w:rPr>
          <w:rFonts w:ascii="Arial" w:hAnsi="Arial" w:cs="Arial"/>
        </w:rPr>
        <w:t xml:space="preserve"> 10%. </w:t>
      </w:r>
      <w:r w:rsidR="002C20FE" w:rsidRPr="0064087E">
        <w:rPr>
          <w:rFonts w:ascii="Arial" w:hAnsi="Arial" w:cs="Arial"/>
        </w:rPr>
        <w:t>Najwyższy</w:t>
      </w:r>
      <w:r w:rsidRPr="0064087E">
        <w:rPr>
          <w:rFonts w:ascii="Arial" w:hAnsi="Arial" w:cs="Arial"/>
        </w:rPr>
        <w:t xml:space="preserve"> poziom </w:t>
      </w:r>
      <w:r w:rsidR="002A1A1E" w:rsidRPr="0064087E">
        <w:rPr>
          <w:rFonts w:ascii="Arial" w:hAnsi="Arial" w:cs="Arial"/>
        </w:rPr>
        <w:t xml:space="preserve">– </w:t>
      </w:r>
      <w:r w:rsidRPr="0064087E">
        <w:rPr>
          <w:rFonts w:ascii="Arial" w:hAnsi="Arial" w:cs="Arial"/>
        </w:rPr>
        <w:t xml:space="preserve">8% zanotowano w 2018 r. i </w:t>
      </w:r>
      <w:r w:rsidR="007B1F92" w:rsidRPr="0064087E">
        <w:rPr>
          <w:rFonts w:ascii="Arial" w:hAnsi="Arial" w:cs="Arial"/>
        </w:rPr>
        <w:t xml:space="preserve">2019 r., a najniższy w 2021 r. </w:t>
      </w:r>
      <w:r w:rsidR="002A1A1E" w:rsidRPr="0064087E">
        <w:rPr>
          <w:rFonts w:ascii="Arial" w:hAnsi="Arial" w:cs="Arial"/>
        </w:rPr>
        <w:t xml:space="preserve">– </w:t>
      </w:r>
      <w:r w:rsidRPr="0064087E">
        <w:rPr>
          <w:rFonts w:ascii="Arial" w:hAnsi="Arial" w:cs="Arial"/>
        </w:rPr>
        <w:t xml:space="preserve">5,7%. Udział eksportu w jednostkach mających siedzibę na terenie województwa podkarpackiego </w:t>
      </w:r>
      <w:r w:rsidR="00A523A8" w:rsidRPr="0064087E">
        <w:rPr>
          <w:rFonts w:ascii="Arial" w:hAnsi="Arial" w:cs="Arial"/>
        </w:rPr>
        <w:br/>
      </w:r>
      <w:r w:rsidRPr="0064087E">
        <w:rPr>
          <w:rFonts w:ascii="Arial" w:hAnsi="Arial" w:cs="Arial"/>
        </w:rPr>
        <w:t>w analizowanym okresie jest wyższy niż udział liczony dla kraju.</w:t>
      </w:r>
    </w:p>
    <w:p w:rsidR="00101382" w:rsidRPr="00101382" w:rsidRDefault="00101382" w:rsidP="005E33AE">
      <w:pPr>
        <w:pStyle w:val="Legenda"/>
        <w:keepNext/>
        <w:spacing w:line="276" w:lineRule="auto"/>
        <w:rPr>
          <w:rFonts w:ascii="Arial" w:hAnsi="Arial" w:cs="Arial"/>
          <w:i w:val="0"/>
          <w:color w:val="auto"/>
          <w:sz w:val="22"/>
        </w:rPr>
      </w:pPr>
      <w:bookmarkStart w:id="105" w:name="_Toc160793570"/>
      <w:r w:rsidRPr="00101382">
        <w:rPr>
          <w:rFonts w:ascii="Arial" w:hAnsi="Arial" w:cs="Arial"/>
          <w:b/>
          <w:i w:val="0"/>
          <w:color w:val="auto"/>
          <w:sz w:val="22"/>
        </w:rPr>
        <w:t xml:space="preserve">Wykres </w:t>
      </w:r>
      <w:r w:rsidRPr="00101382">
        <w:rPr>
          <w:rFonts w:ascii="Arial" w:hAnsi="Arial" w:cs="Arial"/>
          <w:b/>
          <w:i w:val="0"/>
          <w:color w:val="auto"/>
          <w:sz w:val="22"/>
        </w:rPr>
        <w:fldChar w:fldCharType="begin"/>
      </w:r>
      <w:r w:rsidRPr="00101382">
        <w:rPr>
          <w:rFonts w:ascii="Arial" w:hAnsi="Arial" w:cs="Arial"/>
          <w:b/>
          <w:i w:val="0"/>
          <w:color w:val="auto"/>
          <w:sz w:val="22"/>
        </w:rPr>
        <w:instrText xml:space="preserve"> SEQ Wykres \* ARABIC </w:instrText>
      </w:r>
      <w:r w:rsidRPr="00101382">
        <w:rPr>
          <w:rFonts w:ascii="Arial" w:hAnsi="Arial" w:cs="Arial"/>
          <w:b/>
          <w:i w:val="0"/>
          <w:color w:val="auto"/>
          <w:sz w:val="22"/>
        </w:rPr>
        <w:fldChar w:fldCharType="separate"/>
      </w:r>
      <w:r w:rsidR="00884DAD">
        <w:rPr>
          <w:rFonts w:ascii="Arial" w:hAnsi="Arial" w:cs="Arial"/>
          <w:b/>
          <w:i w:val="0"/>
          <w:noProof/>
          <w:color w:val="auto"/>
          <w:sz w:val="22"/>
        </w:rPr>
        <w:t>64</w:t>
      </w:r>
      <w:r w:rsidRPr="00101382">
        <w:rPr>
          <w:rFonts w:ascii="Arial" w:hAnsi="Arial" w:cs="Arial"/>
          <w:b/>
          <w:i w:val="0"/>
          <w:color w:val="auto"/>
          <w:sz w:val="22"/>
        </w:rPr>
        <w:fldChar w:fldCharType="end"/>
      </w:r>
      <w:r w:rsidR="00DA1871">
        <w:rPr>
          <w:rFonts w:ascii="Arial" w:hAnsi="Arial" w:cs="Arial"/>
          <w:i w:val="0"/>
          <w:color w:val="auto"/>
          <w:sz w:val="22"/>
        </w:rPr>
        <w:t>.</w:t>
      </w:r>
      <w:r w:rsidRPr="00101382">
        <w:rPr>
          <w:rFonts w:ascii="Arial" w:hAnsi="Arial" w:cs="Arial"/>
          <w:i w:val="0"/>
          <w:color w:val="auto"/>
          <w:sz w:val="22"/>
        </w:rPr>
        <w:t>Udział przychodów netto ze sprzedaży produktów, towarów i materiałów na eksport w przychodach netto ze sprzedaży produktów, towarów i materiałów w</w:t>
      </w:r>
      <w:r w:rsidR="00140E8D">
        <w:rPr>
          <w:rFonts w:ascii="Arial" w:hAnsi="Arial" w:cs="Arial"/>
          <w:i w:val="0"/>
          <w:color w:val="auto"/>
          <w:sz w:val="22"/>
        </w:rPr>
        <w:t xml:space="preserve"> Polsce, województwie podkarpackim oraz</w:t>
      </w:r>
      <w:r w:rsidRPr="00101382">
        <w:rPr>
          <w:rFonts w:ascii="Arial" w:hAnsi="Arial" w:cs="Arial"/>
          <w:i w:val="0"/>
          <w:color w:val="auto"/>
          <w:sz w:val="22"/>
        </w:rPr>
        <w:t xml:space="preserve"> branży energia przyjazna środowisku w latach 2017-2021.</w:t>
      </w:r>
      <w:bookmarkEnd w:id="105"/>
    </w:p>
    <w:p w:rsidR="007B1F92" w:rsidRPr="0064087E" w:rsidRDefault="007B1F92" w:rsidP="00B82BC4">
      <w:pPr>
        <w:spacing w:after="120" w:line="276" w:lineRule="auto"/>
        <w:jc w:val="center"/>
        <w:rPr>
          <w:rFonts w:ascii="Arial" w:hAnsi="Arial" w:cs="Arial"/>
        </w:rPr>
      </w:pPr>
      <w:r w:rsidRPr="0064087E">
        <w:rPr>
          <w:noProof/>
          <w:lang w:eastAsia="pl-PL"/>
        </w:rPr>
        <w:drawing>
          <wp:inline distT="0" distB="0" distL="0" distR="0" wp14:anchorId="146452D1" wp14:editId="67C9C79B">
            <wp:extent cx="5160010" cy="2297430"/>
            <wp:effectExtent l="0" t="0" r="2540" b="7620"/>
            <wp:docPr id="154" name="Wykres 154" descr="Udział przychodów netto ze sprzedaży produktów, towarów i materiałów na eksport w przychodach netto ze sprzedaży produktów, towarów i materiałów w Polsce, województwie podkarpackim oraz branży energia przyjazna środowisku w latach 2017-2021.">
              <a:extLst xmlns:a="http://schemas.openxmlformats.org/drawingml/2006/main">
                <a:ext uri="{FF2B5EF4-FFF2-40B4-BE49-F238E27FC236}">
                  <a16:creationId xmlns:a16="http://schemas.microsoft.com/office/drawing/2014/main" id="{916993F3-2343-4E8B-9D3F-B85E1E8902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26503B" w:rsidRPr="0064087E" w:rsidRDefault="007B1F92" w:rsidP="00383FC9">
      <w:pPr>
        <w:spacing w:after="120" w:line="276" w:lineRule="auto"/>
        <w:jc w:val="center"/>
        <w:rPr>
          <w:rFonts w:ascii="Arial" w:hAnsi="Arial" w:cs="Arial"/>
        </w:rPr>
      </w:pPr>
      <w:r w:rsidRPr="0064087E">
        <w:rPr>
          <w:rFonts w:ascii="Arial" w:hAnsi="Arial" w:cs="Arial"/>
        </w:rPr>
        <w:t xml:space="preserve">Źródło: </w:t>
      </w:r>
      <w:r w:rsidR="00DB63AD" w:rsidRPr="0064087E">
        <w:rPr>
          <w:rFonts w:ascii="Arial" w:hAnsi="Arial" w:cs="Arial"/>
        </w:rPr>
        <w:t>Opracowanie własne na podstawie danych GUS</w:t>
      </w:r>
      <w:r w:rsidRPr="0064087E">
        <w:rPr>
          <w:rFonts w:ascii="Arial" w:hAnsi="Arial" w:cs="Arial"/>
        </w:rPr>
        <w:t>.</w:t>
      </w:r>
      <w:bookmarkStart w:id="106" w:name="_Hlk155960769"/>
    </w:p>
    <w:p w:rsidR="007B1F92" w:rsidRPr="0064087E" w:rsidRDefault="007B1F92" w:rsidP="005E33AE">
      <w:pPr>
        <w:spacing w:after="120" w:line="276" w:lineRule="auto"/>
        <w:rPr>
          <w:rFonts w:ascii="Arial" w:hAnsi="Arial" w:cs="Arial"/>
        </w:rPr>
      </w:pPr>
      <w:r w:rsidRPr="0064087E">
        <w:rPr>
          <w:rFonts w:ascii="Arial" w:hAnsi="Arial" w:cs="Arial"/>
        </w:rPr>
        <w:t>Wskaźnik rentowności sprzedaży</w:t>
      </w:r>
      <w:r w:rsidR="00910DB5" w:rsidRPr="0064087E">
        <w:rPr>
          <w:rStyle w:val="Odwoanieprzypisudolnego"/>
          <w:rFonts w:ascii="Arial" w:hAnsi="Arial" w:cs="Arial"/>
        </w:rPr>
        <w:footnoteReference w:id="58"/>
      </w:r>
      <w:r w:rsidR="0057147D" w:rsidRPr="0064087E">
        <w:rPr>
          <w:rFonts w:ascii="Arial" w:hAnsi="Arial" w:cs="Arial"/>
        </w:rPr>
        <w:t xml:space="preserve"> </w:t>
      </w:r>
      <w:bookmarkEnd w:id="106"/>
      <w:r w:rsidR="00910DB5" w:rsidRPr="0064087E">
        <w:rPr>
          <w:rFonts w:ascii="Arial" w:hAnsi="Arial" w:cs="Arial"/>
        </w:rPr>
        <w:t>w</w:t>
      </w:r>
      <w:r w:rsidRPr="0064087E">
        <w:rPr>
          <w:rFonts w:ascii="Arial" w:hAnsi="Arial" w:cs="Arial"/>
        </w:rPr>
        <w:t xml:space="preserve"> latach 2017-2021 w przedsiębiorstwach specjalizujących się w </w:t>
      </w:r>
      <w:r w:rsidR="00781B76" w:rsidRPr="0064087E">
        <w:rPr>
          <w:rFonts w:ascii="Arial" w:hAnsi="Arial" w:cs="Arial"/>
        </w:rPr>
        <w:t>energii przyjaznej środowisku</w:t>
      </w:r>
      <w:r w:rsidRPr="0064087E">
        <w:rPr>
          <w:rFonts w:ascii="Arial" w:hAnsi="Arial" w:cs="Arial"/>
        </w:rPr>
        <w:t xml:space="preserve"> (z wyjątkiem 2020 r., w którym osiągnął najniższą wartość 2,2%)</w:t>
      </w:r>
      <w:r w:rsidR="00E97FA5" w:rsidRPr="0064087E">
        <w:rPr>
          <w:rFonts w:ascii="Arial" w:hAnsi="Arial" w:cs="Arial"/>
        </w:rPr>
        <w:t xml:space="preserve"> </w:t>
      </w:r>
      <w:r w:rsidRPr="0064087E">
        <w:rPr>
          <w:rFonts w:ascii="Arial" w:hAnsi="Arial" w:cs="Arial"/>
        </w:rPr>
        <w:t>był wyższy zarówno w porównaniu z województwem, jak i krajem.</w:t>
      </w:r>
    </w:p>
    <w:p w:rsidR="007B1F92" w:rsidRPr="0064087E" w:rsidRDefault="007B1F92" w:rsidP="005E33AE">
      <w:pPr>
        <w:spacing w:after="120" w:line="276" w:lineRule="auto"/>
        <w:rPr>
          <w:rFonts w:ascii="Arial" w:hAnsi="Arial" w:cs="Arial"/>
        </w:rPr>
      </w:pPr>
      <w:r w:rsidRPr="0064087E">
        <w:rPr>
          <w:rFonts w:ascii="Arial" w:hAnsi="Arial" w:cs="Arial"/>
        </w:rPr>
        <w:lastRenderedPageBreak/>
        <w:t>Podobnie kształtowały się tendencje dla wskaźnika rentowności obrotu</w:t>
      </w:r>
      <w:r w:rsidR="00910DB5" w:rsidRPr="0064087E">
        <w:rPr>
          <w:rStyle w:val="Odwoanieprzypisudolnego"/>
          <w:rFonts w:ascii="Arial" w:hAnsi="Arial" w:cs="Arial"/>
        </w:rPr>
        <w:footnoteReference w:id="59"/>
      </w:r>
      <w:r w:rsidR="0057147D" w:rsidRPr="0064087E">
        <w:rPr>
          <w:rFonts w:ascii="Arial" w:hAnsi="Arial" w:cs="Arial"/>
        </w:rPr>
        <w:t>.</w:t>
      </w:r>
      <w:r w:rsidRPr="0064087E">
        <w:rPr>
          <w:rFonts w:ascii="Arial" w:hAnsi="Arial" w:cs="Arial"/>
        </w:rPr>
        <w:t xml:space="preserve"> W analizowanych podmiotach gospodarczych wskaźnik najniższą wartość osiągnął w 2020 r.</w:t>
      </w:r>
      <w:r w:rsidR="002A1A1E" w:rsidRPr="0064087E">
        <w:rPr>
          <w:rFonts w:ascii="Arial" w:hAnsi="Arial" w:cs="Arial"/>
        </w:rPr>
        <w:t xml:space="preserve"> – </w:t>
      </w:r>
      <w:r w:rsidRPr="0064087E">
        <w:rPr>
          <w:rFonts w:ascii="Arial" w:hAnsi="Arial" w:cs="Arial"/>
        </w:rPr>
        <w:t>2,9%</w:t>
      </w:r>
      <w:r w:rsidR="00910DB5" w:rsidRPr="0064087E">
        <w:rPr>
          <w:rFonts w:ascii="Arial" w:hAnsi="Arial" w:cs="Arial"/>
        </w:rPr>
        <w:t>,</w:t>
      </w:r>
      <w:r w:rsidR="0026503B" w:rsidRPr="0064087E">
        <w:rPr>
          <w:rFonts w:ascii="Arial" w:hAnsi="Arial" w:cs="Arial"/>
        </w:rPr>
        <w:br/>
      </w:r>
      <w:r w:rsidRPr="0064087E">
        <w:rPr>
          <w:rFonts w:ascii="Arial" w:hAnsi="Arial" w:cs="Arial"/>
        </w:rPr>
        <w:t>a</w:t>
      </w:r>
      <w:r w:rsidR="003E2C11" w:rsidRPr="0064087E">
        <w:rPr>
          <w:rFonts w:ascii="Arial" w:hAnsi="Arial" w:cs="Arial"/>
        </w:rPr>
        <w:t> </w:t>
      </w:r>
      <w:r w:rsidRPr="0064087E">
        <w:rPr>
          <w:rFonts w:ascii="Arial" w:hAnsi="Arial" w:cs="Arial"/>
        </w:rPr>
        <w:t>w</w:t>
      </w:r>
      <w:r w:rsidR="003E2C11" w:rsidRPr="0064087E">
        <w:rPr>
          <w:rFonts w:ascii="Arial" w:hAnsi="Arial" w:cs="Arial"/>
        </w:rPr>
        <w:t> </w:t>
      </w:r>
      <w:r w:rsidRPr="0064087E">
        <w:rPr>
          <w:rFonts w:ascii="Arial" w:hAnsi="Arial" w:cs="Arial"/>
        </w:rPr>
        <w:t xml:space="preserve">pozostałych latach był wyższy zarówno w porównaniu z województwem, jak i krajem. Najwyższą wartość wskaźnik osiągnął w 2021 r. </w:t>
      </w:r>
      <w:r w:rsidR="00A523A8" w:rsidRPr="0064087E">
        <w:rPr>
          <w:rFonts w:ascii="Arial" w:hAnsi="Arial" w:cs="Arial"/>
        </w:rPr>
        <w:t xml:space="preserve">– </w:t>
      </w:r>
      <w:r w:rsidRPr="0064087E">
        <w:rPr>
          <w:rFonts w:ascii="Arial" w:hAnsi="Arial" w:cs="Arial"/>
        </w:rPr>
        <w:t>9,8%.</w:t>
      </w:r>
    </w:p>
    <w:p w:rsidR="007B1F92" w:rsidRPr="0064087E" w:rsidRDefault="007B1F92" w:rsidP="005E33AE">
      <w:pPr>
        <w:spacing w:after="120" w:line="276" w:lineRule="auto"/>
        <w:rPr>
          <w:rFonts w:ascii="Arial" w:hAnsi="Arial" w:cs="Arial"/>
        </w:rPr>
      </w:pPr>
      <w:r w:rsidRPr="0064087E">
        <w:rPr>
          <w:rFonts w:ascii="Arial" w:hAnsi="Arial" w:cs="Arial"/>
        </w:rPr>
        <w:t>Wahania wskaźnika rentowności aktywów</w:t>
      </w:r>
      <w:r w:rsidR="00910DB5" w:rsidRPr="0064087E">
        <w:rPr>
          <w:rStyle w:val="Odwoanieprzypisudolnego"/>
          <w:rFonts w:ascii="Arial" w:hAnsi="Arial" w:cs="Arial"/>
        </w:rPr>
        <w:footnoteReference w:id="60"/>
      </w:r>
      <w:r w:rsidRPr="0064087E">
        <w:rPr>
          <w:rFonts w:ascii="Arial" w:hAnsi="Arial" w:cs="Arial"/>
        </w:rPr>
        <w:t xml:space="preserve"> notowały zbliżone tendencje do pozostałych wskaźników rentowności. W jednostkach specjalizujących się w </w:t>
      </w:r>
      <w:r w:rsidR="00781B76" w:rsidRPr="0064087E">
        <w:rPr>
          <w:rFonts w:ascii="Arial" w:hAnsi="Arial" w:cs="Arial"/>
        </w:rPr>
        <w:t>energii przyjaznej środowisku</w:t>
      </w:r>
      <w:r w:rsidRPr="0064087E">
        <w:rPr>
          <w:rFonts w:ascii="Arial" w:hAnsi="Arial" w:cs="Arial"/>
        </w:rPr>
        <w:t xml:space="preserve"> w latach 2017-2020 wskaźnik notował</w:t>
      </w:r>
      <w:r w:rsidR="00E97FA5" w:rsidRPr="0064087E">
        <w:rPr>
          <w:rFonts w:ascii="Arial" w:hAnsi="Arial" w:cs="Arial"/>
        </w:rPr>
        <w:t xml:space="preserve"> </w:t>
      </w:r>
      <w:r w:rsidRPr="0064087E">
        <w:rPr>
          <w:rFonts w:ascii="Arial" w:hAnsi="Arial" w:cs="Arial"/>
        </w:rPr>
        <w:t xml:space="preserve">spadek z 6,9% w 2017 r. do </w:t>
      </w:r>
      <w:r w:rsidR="002A1A1E" w:rsidRPr="0064087E">
        <w:rPr>
          <w:rFonts w:ascii="Arial" w:hAnsi="Arial" w:cs="Arial"/>
        </w:rPr>
        <w:t xml:space="preserve">– </w:t>
      </w:r>
      <w:r w:rsidRPr="0064087E">
        <w:rPr>
          <w:rFonts w:ascii="Arial" w:hAnsi="Arial" w:cs="Arial"/>
        </w:rPr>
        <w:t xml:space="preserve">2,3%, </w:t>
      </w:r>
      <w:r w:rsidR="005E33AE">
        <w:rPr>
          <w:rFonts w:ascii="Arial" w:hAnsi="Arial" w:cs="Arial"/>
        </w:rPr>
        <w:br/>
      </w:r>
      <w:r w:rsidRPr="0064087E">
        <w:rPr>
          <w:rFonts w:ascii="Arial" w:hAnsi="Arial" w:cs="Arial"/>
        </w:rPr>
        <w:t>w 2020 r., w którym to osiągnął najniższą wartość. Natomiast w 2021 r. wskaźnik wzrósł do poziomu 10,7%.</w:t>
      </w:r>
      <w:r w:rsidR="00E97FA5" w:rsidRPr="0064087E">
        <w:rPr>
          <w:rFonts w:ascii="Arial" w:hAnsi="Arial" w:cs="Arial"/>
        </w:rPr>
        <w:t xml:space="preserve"> </w:t>
      </w:r>
      <w:r w:rsidRPr="0064087E">
        <w:rPr>
          <w:rFonts w:ascii="Arial" w:hAnsi="Arial" w:cs="Arial"/>
        </w:rPr>
        <w:t xml:space="preserve">Dla </w:t>
      </w:r>
      <w:r w:rsidR="002A6C54" w:rsidRPr="0064087E">
        <w:rPr>
          <w:rFonts w:ascii="Arial" w:hAnsi="Arial" w:cs="Arial"/>
        </w:rPr>
        <w:t>regionu</w:t>
      </w:r>
      <w:r w:rsidRPr="0064087E">
        <w:rPr>
          <w:rFonts w:ascii="Arial" w:hAnsi="Arial" w:cs="Arial"/>
        </w:rPr>
        <w:t xml:space="preserve"> wskaźnik rentowności aktywów w latach 2017-2018 spadł </w:t>
      </w:r>
      <w:r w:rsidR="005E33AE">
        <w:rPr>
          <w:rFonts w:ascii="Arial" w:hAnsi="Arial" w:cs="Arial"/>
        </w:rPr>
        <w:br/>
      </w:r>
      <w:r w:rsidRPr="0064087E">
        <w:rPr>
          <w:rFonts w:ascii="Arial" w:hAnsi="Arial" w:cs="Arial"/>
        </w:rPr>
        <w:t>z poziomu 6,0% do 4,6%, a w kolejnych latach zanotował wzrost i 2021 r. osiągnął wartość 7,1%. W kraju po spadku w latach 2017-2020 z poziomu 4,9% do 3,6% w 2021 r. wskaźnik wzrósł do poziomu 6,1%.</w:t>
      </w:r>
      <w:r w:rsidR="008C147A" w:rsidRPr="0064087E">
        <w:rPr>
          <w:rFonts w:ascii="Arial" w:hAnsi="Arial" w:cs="Arial"/>
        </w:rPr>
        <w:t xml:space="preserve"> </w:t>
      </w:r>
      <w:r w:rsidRPr="0064087E">
        <w:rPr>
          <w:rFonts w:ascii="Arial" w:hAnsi="Arial" w:cs="Arial"/>
        </w:rPr>
        <w:t>Wysokość wskaźnika rentowności aktywów jest zależna od kapitałochłonności branży.</w:t>
      </w:r>
    </w:p>
    <w:p w:rsidR="005E33AE" w:rsidRDefault="007B1F92" w:rsidP="005E33AE">
      <w:pPr>
        <w:spacing w:after="120" w:line="276" w:lineRule="auto"/>
        <w:rPr>
          <w:rFonts w:ascii="Arial" w:hAnsi="Arial" w:cs="Arial"/>
        </w:rPr>
      </w:pPr>
      <w:r w:rsidRPr="0064087E">
        <w:rPr>
          <w:rFonts w:ascii="Arial" w:hAnsi="Arial" w:cs="Arial"/>
        </w:rPr>
        <w:t>Wskaźnik rentowności kapitału własnego</w:t>
      </w:r>
      <w:r w:rsidR="00E8227A" w:rsidRPr="0064087E">
        <w:rPr>
          <w:rStyle w:val="Odwoanieprzypisudolnego"/>
          <w:rFonts w:ascii="Arial" w:hAnsi="Arial" w:cs="Arial"/>
        </w:rPr>
        <w:footnoteReference w:id="61"/>
      </w:r>
      <w:r w:rsidR="0057147D" w:rsidRPr="0064087E">
        <w:rPr>
          <w:rFonts w:ascii="Arial" w:hAnsi="Arial" w:cs="Arial"/>
        </w:rPr>
        <w:t xml:space="preserve"> </w:t>
      </w:r>
      <w:r w:rsidR="00E8227A" w:rsidRPr="0064087E">
        <w:rPr>
          <w:rFonts w:ascii="Arial" w:hAnsi="Arial" w:cs="Arial"/>
        </w:rPr>
        <w:t>po</w:t>
      </w:r>
      <w:r w:rsidRPr="0064087E">
        <w:rPr>
          <w:rFonts w:ascii="Arial" w:hAnsi="Arial" w:cs="Arial"/>
        </w:rPr>
        <w:t xml:space="preserve"> wzroście w okresie 2017-2019 (z 15,4% do 20,7%), w 2020 r. spadł do poziomu </w:t>
      </w:r>
      <w:r w:rsidR="00281A82" w:rsidRPr="0064087E">
        <w:rPr>
          <w:rFonts w:ascii="Arial" w:hAnsi="Arial" w:cs="Arial"/>
        </w:rPr>
        <w:t>-</w:t>
      </w:r>
      <w:r w:rsidRPr="0064087E">
        <w:rPr>
          <w:rFonts w:ascii="Arial" w:hAnsi="Arial" w:cs="Arial"/>
        </w:rPr>
        <w:t>14,4% po czym ponownie wzrósł i w 2021 r. osiągnął wartość</w:t>
      </w:r>
      <w:r w:rsidR="00E97FA5" w:rsidRPr="0064087E">
        <w:rPr>
          <w:rFonts w:ascii="Arial" w:hAnsi="Arial" w:cs="Arial"/>
        </w:rPr>
        <w:t xml:space="preserve"> </w:t>
      </w:r>
      <w:r w:rsidRPr="0064087E">
        <w:rPr>
          <w:rFonts w:ascii="Arial" w:hAnsi="Arial" w:cs="Arial"/>
        </w:rPr>
        <w:t>113,9%</w:t>
      </w:r>
      <w:r w:rsidR="004D0ACE" w:rsidRPr="0064087E">
        <w:rPr>
          <w:rFonts w:ascii="Arial" w:hAnsi="Arial" w:cs="Arial"/>
        </w:rPr>
        <w:t xml:space="preserve">. </w:t>
      </w:r>
      <w:r w:rsidRPr="0064087E">
        <w:rPr>
          <w:rFonts w:ascii="Arial" w:hAnsi="Arial" w:cs="Arial"/>
        </w:rPr>
        <w:t>Dla województwa podkarpackiego wskaźnik najpierw spadł z poziomu 10,9% w 2017</w:t>
      </w:r>
      <w:r w:rsidR="002A1A1E" w:rsidRPr="0064087E">
        <w:rPr>
          <w:rFonts w:ascii="Arial" w:hAnsi="Arial" w:cs="Arial"/>
        </w:rPr>
        <w:t xml:space="preserve"> </w:t>
      </w:r>
      <w:r w:rsidRPr="0064087E">
        <w:rPr>
          <w:rFonts w:ascii="Arial" w:hAnsi="Arial" w:cs="Arial"/>
        </w:rPr>
        <w:t>r. do 8,8% w 2018 r.</w:t>
      </w:r>
      <w:r w:rsidR="00560943" w:rsidRPr="0064087E">
        <w:rPr>
          <w:rFonts w:ascii="Arial" w:hAnsi="Arial" w:cs="Arial"/>
        </w:rPr>
        <w:t>,</w:t>
      </w:r>
      <w:r w:rsidRPr="0064087E">
        <w:rPr>
          <w:rFonts w:ascii="Arial" w:hAnsi="Arial" w:cs="Arial"/>
        </w:rPr>
        <w:t xml:space="preserve"> a w kolejnych latach wzrastał i w 2021 r. osiągnął wartość 14,1%. W kraju po spadkach w okresie 2017-2020</w:t>
      </w:r>
      <w:r w:rsidR="00E97FA5" w:rsidRPr="0064087E">
        <w:rPr>
          <w:rFonts w:ascii="Arial" w:hAnsi="Arial" w:cs="Arial"/>
        </w:rPr>
        <w:t xml:space="preserve"> </w:t>
      </w:r>
      <w:r w:rsidRPr="0064087E">
        <w:rPr>
          <w:rFonts w:ascii="Arial" w:hAnsi="Arial" w:cs="Arial"/>
        </w:rPr>
        <w:t>do poziomu 7,9% w 2021 r. wskaźnik zanotował wzrost do poziomu 13,5%.</w:t>
      </w:r>
    </w:p>
    <w:p w:rsidR="00B42147" w:rsidRPr="00B42147" w:rsidRDefault="00B42147" w:rsidP="005E33AE">
      <w:pPr>
        <w:pStyle w:val="Legenda"/>
        <w:keepNext/>
        <w:spacing w:line="276" w:lineRule="auto"/>
        <w:rPr>
          <w:rFonts w:ascii="Arial" w:hAnsi="Arial" w:cs="Arial"/>
          <w:i w:val="0"/>
          <w:color w:val="auto"/>
          <w:sz w:val="22"/>
        </w:rPr>
      </w:pPr>
      <w:bookmarkStart w:id="107" w:name="_Toc160793571"/>
      <w:r w:rsidRPr="00B42147">
        <w:rPr>
          <w:rFonts w:ascii="Arial" w:hAnsi="Arial" w:cs="Arial"/>
          <w:b/>
          <w:i w:val="0"/>
          <w:color w:val="auto"/>
          <w:sz w:val="22"/>
        </w:rPr>
        <w:t xml:space="preserve">Wykres </w:t>
      </w:r>
      <w:r w:rsidRPr="00B42147">
        <w:rPr>
          <w:rFonts w:ascii="Arial" w:hAnsi="Arial" w:cs="Arial"/>
          <w:b/>
          <w:i w:val="0"/>
          <w:color w:val="auto"/>
          <w:sz w:val="22"/>
        </w:rPr>
        <w:fldChar w:fldCharType="begin"/>
      </w:r>
      <w:r w:rsidRPr="00B42147">
        <w:rPr>
          <w:rFonts w:ascii="Arial" w:hAnsi="Arial" w:cs="Arial"/>
          <w:b/>
          <w:i w:val="0"/>
          <w:color w:val="auto"/>
          <w:sz w:val="22"/>
        </w:rPr>
        <w:instrText xml:space="preserve"> SEQ Wykres \* ARABIC </w:instrText>
      </w:r>
      <w:r w:rsidRPr="00B42147">
        <w:rPr>
          <w:rFonts w:ascii="Arial" w:hAnsi="Arial" w:cs="Arial"/>
          <w:b/>
          <w:i w:val="0"/>
          <w:color w:val="auto"/>
          <w:sz w:val="22"/>
        </w:rPr>
        <w:fldChar w:fldCharType="separate"/>
      </w:r>
      <w:r w:rsidR="00884DAD">
        <w:rPr>
          <w:rFonts w:ascii="Arial" w:hAnsi="Arial" w:cs="Arial"/>
          <w:b/>
          <w:i w:val="0"/>
          <w:noProof/>
          <w:color w:val="auto"/>
          <w:sz w:val="22"/>
        </w:rPr>
        <w:t>65</w:t>
      </w:r>
      <w:r w:rsidRPr="00B42147">
        <w:rPr>
          <w:rFonts w:ascii="Arial" w:hAnsi="Arial" w:cs="Arial"/>
          <w:b/>
          <w:i w:val="0"/>
          <w:color w:val="auto"/>
          <w:sz w:val="22"/>
        </w:rPr>
        <w:fldChar w:fldCharType="end"/>
      </w:r>
      <w:r w:rsidR="00DA1871">
        <w:rPr>
          <w:rFonts w:ascii="Arial" w:hAnsi="Arial" w:cs="Arial"/>
          <w:b/>
          <w:i w:val="0"/>
          <w:color w:val="auto"/>
          <w:sz w:val="22"/>
        </w:rPr>
        <w:t>.</w:t>
      </w:r>
      <w:r w:rsidRPr="00B42147">
        <w:rPr>
          <w:rFonts w:ascii="Arial" w:hAnsi="Arial" w:cs="Arial"/>
          <w:i w:val="0"/>
          <w:color w:val="auto"/>
          <w:sz w:val="22"/>
        </w:rPr>
        <w:t xml:space="preserve"> Wskaźnik rentowności obrotu ze sprzedaży, wskaźnik rentowności aktywów i</w:t>
      </w:r>
      <w:r w:rsidR="00140E8D">
        <w:rPr>
          <w:rFonts w:ascii="Arial" w:hAnsi="Arial" w:cs="Arial"/>
          <w:i w:val="0"/>
          <w:color w:val="auto"/>
          <w:sz w:val="22"/>
        </w:rPr>
        <w:t> </w:t>
      </w:r>
      <w:r w:rsidRPr="00B42147">
        <w:rPr>
          <w:rFonts w:ascii="Arial" w:hAnsi="Arial" w:cs="Arial"/>
          <w:i w:val="0"/>
          <w:color w:val="auto"/>
          <w:sz w:val="22"/>
        </w:rPr>
        <w:t>wskaźnik rentowności kapitału w jednotach specjalizujących się w energii przyjaznej środowisku w latach 2017-2021.</w:t>
      </w:r>
      <w:bookmarkEnd w:id="107"/>
    </w:p>
    <w:p w:rsidR="004D0ACE" w:rsidRPr="0064087E" w:rsidRDefault="004D0ACE" w:rsidP="00B82BC4">
      <w:pPr>
        <w:spacing w:after="120" w:line="276" w:lineRule="auto"/>
        <w:jc w:val="center"/>
        <w:rPr>
          <w:rFonts w:ascii="Arial" w:hAnsi="Arial" w:cs="Arial"/>
        </w:rPr>
      </w:pPr>
      <w:r w:rsidRPr="0064087E">
        <w:rPr>
          <w:noProof/>
          <w:lang w:eastAsia="pl-PL"/>
        </w:rPr>
        <w:drawing>
          <wp:inline distT="0" distB="0" distL="0" distR="0" wp14:anchorId="42FB818A" wp14:editId="45A56B1E">
            <wp:extent cx="4627245" cy="2456953"/>
            <wp:effectExtent l="0" t="0" r="1905" b="635"/>
            <wp:docPr id="155" name="Wykres 155" descr="Wykres słupkowo-liniowy pionowy w tym dane (w %): Rentowność sprzedaży: 2017: 5,9, 2018: 6,9, 2019: 6,6, 2020: 2,2, 2021: 6,5, Rentowność aktywów: 2017: 6,9, 2018: 4,5, 2019: 4,3, 2020: 0,0, 2021: 10,7, Rentowność kapitału własnego: 2017: 15,4, 2018: 15,4, 2019: 20,7, 2020: 0,0, 2021: 113,9.">
              <a:extLst xmlns:a="http://schemas.openxmlformats.org/drawingml/2006/main">
                <a:ext uri="{FF2B5EF4-FFF2-40B4-BE49-F238E27FC236}">
                  <a16:creationId xmlns:a16="http://schemas.microsoft.com/office/drawing/2014/main" id="{8CDCCA5F-CEDD-46D4-B2C8-6416196A1F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4D0ACE" w:rsidRPr="0064087E" w:rsidRDefault="004D0ACE" w:rsidP="00B82BC4">
      <w:pPr>
        <w:spacing w:after="120" w:line="276" w:lineRule="auto"/>
        <w:jc w:val="center"/>
        <w:rPr>
          <w:rFonts w:ascii="Arial" w:hAnsi="Arial" w:cs="Arial"/>
        </w:rPr>
      </w:pPr>
      <w:r w:rsidRPr="0064087E">
        <w:rPr>
          <w:rFonts w:ascii="Arial" w:hAnsi="Arial" w:cs="Arial"/>
        </w:rPr>
        <w:t xml:space="preserve">Źródło: </w:t>
      </w:r>
      <w:r w:rsidR="00DB63AD" w:rsidRPr="0064087E">
        <w:rPr>
          <w:rFonts w:ascii="Arial" w:hAnsi="Arial" w:cs="Arial"/>
        </w:rPr>
        <w:t>Opracowanie własne na podstawie danych GUS</w:t>
      </w:r>
      <w:r w:rsidRPr="0064087E">
        <w:rPr>
          <w:rFonts w:ascii="Arial" w:hAnsi="Arial" w:cs="Arial"/>
        </w:rPr>
        <w:t>.</w:t>
      </w:r>
    </w:p>
    <w:p w:rsidR="004D0ACE" w:rsidRPr="0064087E" w:rsidRDefault="004D0ACE" w:rsidP="005E33AE">
      <w:pPr>
        <w:spacing w:after="120" w:line="276" w:lineRule="auto"/>
        <w:rPr>
          <w:rFonts w:ascii="Arial" w:hAnsi="Arial" w:cs="Arial"/>
        </w:rPr>
      </w:pPr>
      <w:r w:rsidRPr="0064087E">
        <w:rPr>
          <w:rFonts w:ascii="Arial" w:hAnsi="Arial" w:cs="Arial"/>
        </w:rPr>
        <w:lastRenderedPageBreak/>
        <w:t>Wynik finansowy netto</w:t>
      </w:r>
      <w:r w:rsidR="00E8227A" w:rsidRPr="0064087E">
        <w:rPr>
          <w:rStyle w:val="Odwoanieprzypisudolnego"/>
          <w:rFonts w:ascii="Arial" w:hAnsi="Arial" w:cs="Arial"/>
        </w:rPr>
        <w:footnoteReference w:id="62"/>
      </w:r>
      <w:r w:rsidRPr="0064087E">
        <w:rPr>
          <w:rFonts w:ascii="Arial" w:hAnsi="Arial" w:cs="Arial"/>
        </w:rPr>
        <w:t xml:space="preserve"> w grupie firm związanych z </w:t>
      </w:r>
      <w:r w:rsidR="00EF05F4" w:rsidRPr="0064087E">
        <w:rPr>
          <w:rFonts w:ascii="Arial" w:hAnsi="Arial" w:cs="Arial"/>
        </w:rPr>
        <w:t>energią przyjazną środowisku</w:t>
      </w:r>
      <w:r w:rsidRPr="0064087E">
        <w:rPr>
          <w:rFonts w:ascii="Arial" w:hAnsi="Arial" w:cs="Arial"/>
        </w:rPr>
        <w:t xml:space="preserve"> w</w:t>
      </w:r>
      <w:r w:rsidR="00E97FA5" w:rsidRPr="0064087E">
        <w:rPr>
          <w:rFonts w:ascii="Arial" w:hAnsi="Arial" w:cs="Arial"/>
        </w:rPr>
        <w:t xml:space="preserve"> </w:t>
      </w:r>
      <w:r w:rsidRPr="0064087E">
        <w:rPr>
          <w:rFonts w:ascii="Arial" w:hAnsi="Arial" w:cs="Arial"/>
        </w:rPr>
        <w:t xml:space="preserve">2020 r. przyjął wartość poniżej zera, natomiast w pozostałych latach analizowanego okresu był dodatni. Największy wzrost zanotował w 2021 r. W jednostkach mających siedzibę na terenie województwa podkarpackiego wynik finansowy netto zanotował spadek w 2018 r., </w:t>
      </w:r>
      <w:r w:rsidR="005E33AE">
        <w:rPr>
          <w:rFonts w:ascii="Arial" w:hAnsi="Arial" w:cs="Arial"/>
        </w:rPr>
        <w:br/>
      </w:r>
      <w:r w:rsidRPr="0064087E">
        <w:rPr>
          <w:rFonts w:ascii="Arial" w:hAnsi="Arial" w:cs="Arial"/>
        </w:rPr>
        <w:t>w stosunku do poprzedniego roku o 16</w:t>
      </w:r>
      <w:r w:rsidR="002A1A1E" w:rsidRPr="0064087E">
        <w:rPr>
          <w:rFonts w:ascii="Arial" w:hAnsi="Arial" w:cs="Arial"/>
        </w:rPr>
        <w:t>,0</w:t>
      </w:r>
      <w:r w:rsidRPr="0064087E">
        <w:rPr>
          <w:rFonts w:ascii="Arial" w:hAnsi="Arial" w:cs="Arial"/>
        </w:rPr>
        <w:t xml:space="preserve">%, a następnie w pozostałych latach notował wzrosty w tym najwyższy w 2021 r. (o 35,4%). Dla Polski po nieznacznych spadkach </w:t>
      </w:r>
      <w:r w:rsidR="005E33AE">
        <w:rPr>
          <w:rFonts w:ascii="Arial" w:hAnsi="Arial" w:cs="Arial"/>
        </w:rPr>
        <w:br/>
      </w:r>
      <w:r w:rsidRPr="0064087E">
        <w:rPr>
          <w:rFonts w:ascii="Arial" w:hAnsi="Arial" w:cs="Arial"/>
        </w:rPr>
        <w:t>w latach 2018-2020, wynik finansowy netto wzrósł w 2021 r. o 89,8%.</w:t>
      </w:r>
    </w:p>
    <w:p w:rsidR="00B42147" w:rsidRPr="00B42147" w:rsidRDefault="00B42147" w:rsidP="005E33AE">
      <w:pPr>
        <w:pStyle w:val="Legenda"/>
        <w:keepNext/>
        <w:spacing w:line="276" w:lineRule="auto"/>
        <w:rPr>
          <w:rFonts w:ascii="Arial" w:hAnsi="Arial" w:cs="Arial"/>
          <w:i w:val="0"/>
          <w:color w:val="auto"/>
          <w:sz w:val="22"/>
        </w:rPr>
      </w:pPr>
      <w:bookmarkStart w:id="108" w:name="_Toc160793572"/>
      <w:r w:rsidRPr="00B42147">
        <w:rPr>
          <w:rFonts w:ascii="Arial" w:hAnsi="Arial" w:cs="Arial"/>
          <w:b/>
          <w:i w:val="0"/>
          <w:color w:val="auto"/>
          <w:sz w:val="22"/>
        </w:rPr>
        <w:t xml:space="preserve">Wykres </w:t>
      </w:r>
      <w:r w:rsidRPr="00B42147">
        <w:rPr>
          <w:rFonts w:ascii="Arial" w:hAnsi="Arial" w:cs="Arial"/>
          <w:b/>
          <w:i w:val="0"/>
          <w:color w:val="auto"/>
          <w:sz w:val="22"/>
        </w:rPr>
        <w:fldChar w:fldCharType="begin"/>
      </w:r>
      <w:r w:rsidRPr="00B42147">
        <w:rPr>
          <w:rFonts w:ascii="Arial" w:hAnsi="Arial" w:cs="Arial"/>
          <w:b/>
          <w:i w:val="0"/>
          <w:color w:val="auto"/>
          <w:sz w:val="22"/>
        </w:rPr>
        <w:instrText xml:space="preserve"> SEQ Wykres \* ARABIC </w:instrText>
      </w:r>
      <w:r w:rsidRPr="00B42147">
        <w:rPr>
          <w:rFonts w:ascii="Arial" w:hAnsi="Arial" w:cs="Arial"/>
          <w:b/>
          <w:i w:val="0"/>
          <w:color w:val="auto"/>
          <w:sz w:val="22"/>
        </w:rPr>
        <w:fldChar w:fldCharType="separate"/>
      </w:r>
      <w:r w:rsidR="00884DAD">
        <w:rPr>
          <w:rFonts w:ascii="Arial" w:hAnsi="Arial" w:cs="Arial"/>
          <w:b/>
          <w:i w:val="0"/>
          <w:noProof/>
          <w:color w:val="auto"/>
          <w:sz w:val="22"/>
        </w:rPr>
        <w:t>66</w:t>
      </w:r>
      <w:r w:rsidRPr="00B42147">
        <w:rPr>
          <w:rFonts w:ascii="Arial" w:hAnsi="Arial" w:cs="Arial"/>
          <w:b/>
          <w:i w:val="0"/>
          <w:color w:val="auto"/>
          <w:sz w:val="22"/>
        </w:rPr>
        <w:fldChar w:fldCharType="end"/>
      </w:r>
      <w:r w:rsidR="00DA1871">
        <w:rPr>
          <w:rFonts w:ascii="Arial" w:hAnsi="Arial" w:cs="Arial"/>
          <w:b/>
          <w:i w:val="0"/>
          <w:color w:val="auto"/>
          <w:sz w:val="22"/>
        </w:rPr>
        <w:t>.</w:t>
      </w:r>
      <w:r w:rsidRPr="00B42147">
        <w:rPr>
          <w:rFonts w:ascii="Arial" w:hAnsi="Arial" w:cs="Arial"/>
          <w:i w:val="0"/>
          <w:color w:val="auto"/>
          <w:sz w:val="22"/>
        </w:rPr>
        <w:t xml:space="preserve"> Wynik finansowy netto w</w:t>
      </w:r>
      <w:r w:rsidR="00140E8D">
        <w:rPr>
          <w:rFonts w:ascii="Arial" w:hAnsi="Arial" w:cs="Arial"/>
          <w:i w:val="0"/>
          <w:color w:val="auto"/>
          <w:sz w:val="22"/>
        </w:rPr>
        <w:t xml:space="preserve"> województwie podkarpackim oraz</w:t>
      </w:r>
      <w:r w:rsidRPr="00B42147">
        <w:rPr>
          <w:rFonts w:ascii="Arial" w:hAnsi="Arial" w:cs="Arial"/>
          <w:i w:val="0"/>
          <w:color w:val="auto"/>
          <w:sz w:val="22"/>
        </w:rPr>
        <w:t xml:space="preserve"> branży energia przyjazna środowisku w latach 2017-2021</w:t>
      </w:r>
      <w:bookmarkEnd w:id="108"/>
    </w:p>
    <w:p w:rsidR="004D0ACE" w:rsidRPr="0064087E" w:rsidRDefault="00AA33F2" w:rsidP="00F62453">
      <w:pPr>
        <w:spacing w:after="120" w:line="276" w:lineRule="auto"/>
        <w:jc w:val="center"/>
        <w:rPr>
          <w:rFonts w:ascii="Arial" w:hAnsi="Arial" w:cs="Arial"/>
        </w:rPr>
      </w:pPr>
      <w:r w:rsidRPr="0064087E">
        <w:rPr>
          <w:noProof/>
          <w:lang w:eastAsia="pl-PL"/>
        </w:rPr>
        <w:drawing>
          <wp:inline distT="0" distB="0" distL="0" distR="0" wp14:anchorId="760B2B85" wp14:editId="2591946A">
            <wp:extent cx="4651513" cy="2782956"/>
            <wp:effectExtent l="0" t="0" r="0" b="0"/>
            <wp:docPr id="4" name="Wykres 4" descr="Wykres słupkowy pionowy w tym dane (w mln zł): woj. Podkarpackie: 2017: 5, 2018: 4,2, 2019: 5, 2020: 5,5, 2021: 7,4, Energia przyjazna środowisku: 2017: 0,2, 2018: 0,2, 2019: 0,2, 2020: 0, 2021: 0,6.">
              <a:extLst xmlns:a="http://schemas.openxmlformats.org/drawingml/2006/main">
                <a:ext uri="{FF2B5EF4-FFF2-40B4-BE49-F238E27FC236}">
                  <a16:creationId xmlns:a16="http://schemas.microsoft.com/office/drawing/2014/main" id="{7776A414-8E2A-48CA-A320-952888EF6C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4D0ACE" w:rsidRPr="0064087E" w:rsidRDefault="004D0ACE" w:rsidP="00F62453">
      <w:pPr>
        <w:spacing w:after="120" w:line="276" w:lineRule="auto"/>
        <w:jc w:val="center"/>
        <w:rPr>
          <w:rFonts w:ascii="Arial" w:hAnsi="Arial" w:cs="Arial"/>
        </w:rPr>
      </w:pPr>
      <w:r w:rsidRPr="0064087E">
        <w:rPr>
          <w:rFonts w:ascii="Arial" w:hAnsi="Arial" w:cs="Arial"/>
        </w:rPr>
        <w:t xml:space="preserve">Źródło: </w:t>
      </w:r>
      <w:r w:rsidR="00DB63AD" w:rsidRPr="0064087E">
        <w:rPr>
          <w:rFonts w:ascii="Arial" w:hAnsi="Arial" w:cs="Arial"/>
        </w:rPr>
        <w:t>Opracowanie własne na podstawie danych GUS</w:t>
      </w:r>
      <w:r w:rsidRPr="0064087E">
        <w:rPr>
          <w:rFonts w:ascii="Arial" w:hAnsi="Arial" w:cs="Arial"/>
        </w:rPr>
        <w:t>.</w:t>
      </w:r>
    </w:p>
    <w:p w:rsidR="004D0ACE" w:rsidRPr="0064087E" w:rsidRDefault="004D0ACE" w:rsidP="005E33AE">
      <w:pPr>
        <w:spacing w:after="120" w:line="276" w:lineRule="auto"/>
        <w:rPr>
          <w:rFonts w:ascii="Arial" w:hAnsi="Arial" w:cs="Arial"/>
        </w:rPr>
      </w:pPr>
      <w:r w:rsidRPr="0064087E">
        <w:rPr>
          <w:rFonts w:ascii="Arial" w:hAnsi="Arial" w:cs="Arial"/>
        </w:rPr>
        <w:t>Płynność finansowa to zdolność do terminowego regulowania zobowiązań.</w:t>
      </w:r>
      <w:bookmarkStart w:id="109" w:name="_Hlk155962139"/>
      <w:r w:rsidRPr="0064087E">
        <w:rPr>
          <w:rFonts w:ascii="Arial" w:hAnsi="Arial" w:cs="Arial"/>
        </w:rPr>
        <w:t xml:space="preserve"> </w:t>
      </w:r>
      <w:bookmarkEnd w:id="109"/>
      <w:r w:rsidR="00A13113" w:rsidRPr="0064087E">
        <w:rPr>
          <w:rFonts w:ascii="Arial" w:hAnsi="Arial" w:cs="Arial"/>
        </w:rPr>
        <w:t>W</w:t>
      </w:r>
      <w:r w:rsidRPr="0064087E">
        <w:rPr>
          <w:rFonts w:ascii="Arial" w:hAnsi="Arial" w:cs="Arial"/>
        </w:rPr>
        <w:t xml:space="preserve">skaźnik płynności </w:t>
      </w:r>
      <w:r w:rsidR="00A13113" w:rsidRPr="0064087E">
        <w:rPr>
          <w:rFonts w:ascii="Arial" w:hAnsi="Arial" w:cs="Arial"/>
        </w:rPr>
        <w:t xml:space="preserve">finansowej </w:t>
      </w:r>
      <w:r w:rsidRPr="0064087E">
        <w:rPr>
          <w:rFonts w:ascii="Arial" w:hAnsi="Arial" w:cs="Arial"/>
        </w:rPr>
        <w:t>I</w:t>
      </w:r>
      <w:r w:rsidR="00795A2A" w:rsidRPr="0064087E">
        <w:rPr>
          <w:rFonts w:ascii="Arial" w:hAnsi="Arial" w:cs="Arial"/>
        </w:rPr>
        <w:t> </w:t>
      </w:r>
      <w:r w:rsidRPr="0064087E">
        <w:rPr>
          <w:rFonts w:ascii="Arial" w:hAnsi="Arial" w:cs="Arial"/>
        </w:rPr>
        <w:t>stopnia</w:t>
      </w:r>
      <w:r w:rsidR="00A13113" w:rsidRPr="0064087E">
        <w:rPr>
          <w:rStyle w:val="Odwoanieprzypisudolnego"/>
          <w:rFonts w:ascii="Arial" w:hAnsi="Arial" w:cs="Arial"/>
        </w:rPr>
        <w:footnoteReference w:id="63"/>
      </w:r>
      <w:r w:rsidRPr="0064087E">
        <w:rPr>
          <w:rFonts w:ascii="Arial" w:hAnsi="Arial" w:cs="Arial"/>
        </w:rPr>
        <w:t xml:space="preserve"> </w:t>
      </w:r>
      <w:r w:rsidR="00A13113" w:rsidRPr="0064087E">
        <w:rPr>
          <w:rFonts w:ascii="Arial" w:hAnsi="Arial" w:cs="Arial"/>
        </w:rPr>
        <w:t xml:space="preserve">dla podmiotów gospodarczych związanych z energią przyjazną środowisku kształtował się </w:t>
      </w:r>
      <w:r w:rsidRPr="0064087E">
        <w:rPr>
          <w:rFonts w:ascii="Arial" w:hAnsi="Arial" w:cs="Arial"/>
        </w:rPr>
        <w:t>w latach 2017-2019 w granicach 32,6%</w:t>
      </w:r>
      <w:r w:rsidR="00830D71" w:rsidRPr="0064087E">
        <w:rPr>
          <w:rFonts w:ascii="Arial" w:hAnsi="Arial" w:cs="Arial"/>
        </w:rPr>
        <w:t xml:space="preserve"> – </w:t>
      </w:r>
      <w:r w:rsidRPr="0064087E">
        <w:rPr>
          <w:rFonts w:ascii="Arial" w:hAnsi="Arial" w:cs="Arial"/>
        </w:rPr>
        <w:t>36,6% i</w:t>
      </w:r>
      <w:r w:rsidR="00A66FE5" w:rsidRPr="0064087E">
        <w:rPr>
          <w:rFonts w:ascii="Arial" w:hAnsi="Arial" w:cs="Arial"/>
        </w:rPr>
        <w:t> </w:t>
      </w:r>
      <w:r w:rsidRPr="0064087E">
        <w:rPr>
          <w:rFonts w:ascii="Arial" w:hAnsi="Arial" w:cs="Arial"/>
        </w:rPr>
        <w:t xml:space="preserve">utrzymywał się na podobnym poziomie jak wartości dla </w:t>
      </w:r>
      <w:r w:rsidR="007311C2" w:rsidRPr="0064087E">
        <w:rPr>
          <w:rFonts w:ascii="Arial" w:hAnsi="Arial" w:cs="Arial"/>
        </w:rPr>
        <w:t>województwa podkarpackiego</w:t>
      </w:r>
      <w:r w:rsidRPr="0064087E">
        <w:rPr>
          <w:rFonts w:ascii="Arial" w:hAnsi="Arial" w:cs="Arial"/>
        </w:rPr>
        <w:t xml:space="preserve">. Natomiast w latach 2020-2021 wskaźnik dla </w:t>
      </w:r>
      <w:r w:rsidR="007311C2" w:rsidRPr="0064087E">
        <w:rPr>
          <w:rFonts w:ascii="Arial" w:hAnsi="Arial" w:cs="Arial"/>
        </w:rPr>
        <w:t>regionu</w:t>
      </w:r>
      <w:r w:rsidRPr="0064087E">
        <w:rPr>
          <w:rFonts w:ascii="Arial" w:hAnsi="Arial" w:cs="Arial"/>
        </w:rPr>
        <w:t xml:space="preserve"> znacznie przewyższył wartości </w:t>
      </w:r>
      <w:r w:rsidR="005E33AE">
        <w:rPr>
          <w:rFonts w:ascii="Arial" w:hAnsi="Arial" w:cs="Arial"/>
        </w:rPr>
        <w:br/>
      </w:r>
      <w:r w:rsidRPr="0064087E">
        <w:rPr>
          <w:rFonts w:ascii="Arial" w:hAnsi="Arial" w:cs="Arial"/>
        </w:rPr>
        <w:t>(w 2020</w:t>
      </w:r>
      <w:r w:rsidR="00A66FE5" w:rsidRPr="0064087E">
        <w:rPr>
          <w:rFonts w:ascii="Arial" w:hAnsi="Arial" w:cs="Arial"/>
        </w:rPr>
        <w:t> </w:t>
      </w:r>
      <w:r w:rsidRPr="0064087E">
        <w:rPr>
          <w:rFonts w:ascii="Arial" w:hAnsi="Arial" w:cs="Arial"/>
        </w:rPr>
        <w:t>r. 23,3%, w 2021 r. 28,7%)</w:t>
      </w:r>
      <w:r w:rsidR="00E97FA5" w:rsidRPr="0064087E">
        <w:rPr>
          <w:rFonts w:ascii="Arial" w:hAnsi="Arial" w:cs="Arial"/>
        </w:rPr>
        <w:t xml:space="preserve"> </w:t>
      </w:r>
      <w:r w:rsidRPr="0064087E">
        <w:rPr>
          <w:rFonts w:ascii="Arial" w:hAnsi="Arial" w:cs="Arial"/>
        </w:rPr>
        <w:t>dla podmiotów związanych z bezpieczeństwem energetycznym i</w:t>
      </w:r>
      <w:r w:rsidR="00FA7731" w:rsidRPr="0064087E">
        <w:rPr>
          <w:rFonts w:ascii="Arial" w:hAnsi="Arial" w:cs="Arial"/>
        </w:rPr>
        <w:t> </w:t>
      </w:r>
      <w:r w:rsidRPr="0064087E">
        <w:rPr>
          <w:rFonts w:ascii="Arial" w:hAnsi="Arial" w:cs="Arial"/>
        </w:rPr>
        <w:t>mobilnością. W</w:t>
      </w:r>
      <w:r w:rsidR="008C4403" w:rsidRPr="0064087E">
        <w:rPr>
          <w:rFonts w:ascii="Arial" w:hAnsi="Arial" w:cs="Arial"/>
        </w:rPr>
        <w:t>edług</w:t>
      </w:r>
      <w:r w:rsidRPr="0064087E">
        <w:rPr>
          <w:rFonts w:ascii="Arial" w:hAnsi="Arial" w:cs="Arial"/>
        </w:rPr>
        <w:t xml:space="preserve"> standardów wskaźnik powinien być wyższy niż 20%, jednak zbyt wysoki może świadczyć o nieproduktywnym gromadzeniu środków pieniężnych lub braku koncepcji ich wykorzystania.</w:t>
      </w:r>
    </w:p>
    <w:p w:rsidR="004D0ACE" w:rsidRPr="0064087E" w:rsidRDefault="00472F10" w:rsidP="005E33AE">
      <w:pPr>
        <w:spacing w:after="120" w:line="276" w:lineRule="auto"/>
        <w:rPr>
          <w:rFonts w:ascii="Arial" w:hAnsi="Arial" w:cs="Arial"/>
        </w:rPr>
      </w:pPr>
      <w:r w:rsidRPr="0064087E">
        <w:rPr>
          <w:rFonts w:ascii="Arial" w:hAnsi="Arial" w:cs="Arial"/>
        </w:rPr>
        <w:t>Jako pożądaną wartość wskaźnika</w:t>
      </w:r>
      <w:r w:rsidR="004D0ACE" w:rsidRPr="0064087E">
        <w:rPr>
          <w:rFonts w:ascii="Arial" w:hAnsi="Arial" w:cs="Arial"/>
        </w:rPr>
        <w:t xml:space="preserve"> płynności II stopnia</w:t>
      </w:r>
      <w:r w:rsidR="00A13113" w:rsidRPr="0064087E">
        <w:rPr>
          <w:rStyle w:val="Odwoanieprzypisudolnego"/>
          <w:rFonts w:ascii="Arial" w:hAnsi="Arial" w:cs="Arial"/>
        </w:rPr>
        <w:footnoteReference w:id="64"/>
      </w:r>
      <w:r w:rsidR="004D0ACE" w:rsidRPr="0064087E">
        <w:rPr>
          <w:rFonts w:ascii="Arial" w:hAnsi="Arial" w:cs="Arial"/>
        </w:rPr>
        <w:t xml:space="preserve"> przyjmuje się 100%</w:t>
      </w:r>
      <w:r w:rsidRPr="0064087E">
        <w:rPr>
          <w:rFonts w:ascii="Arial" w:hAnsi="Arial" w:cs="Arial"/>
        </w:rPr>
        <w:t>,</w:t>
      </w:r>
      <w:r w:rsidR="004D0ACE" w:rsidRPr="0064087E">
        <w:rPr>
          <w:rFonts w:ascii="Arial" w:hAnsi="Arial" w:cs="Arial"/>
        </w:rPr>
        <w:t xml:space="preserve"> jednak tak jak </w:t>
      </w:r>
      <w:r w:rsidR="00383FC9" w:rsidRPr="0064087E">
        <w:rPr>
          <w:rFonts w:ascii="Arial" w:hAnsi="Arial" w:cs="Arial"/>
        </w:rPr>
        <w:br/>
      </w:r>
      <w:r w:rsidR="004D0ACE" w:rsidRPr="0064087E">
        <w:rPr>
          <w:rFonts w:ascii="Arial" w:hAnsi="Arial" w:cs="Arial"/>
        </w:rPr>
        <w:t>w przypadku podmiotów gospodarczych związanych</w:t>
      </w:r>
      <w:r w:rsidR="00795A2A" w:rsidRPr="0064087E">
        <w:rPr>
          <w:rFonts w:ascii="Arial" w:hAnsi="Arial" w:cs="Arial"/>
        </w:rPr>
        <w:t xml:space="preserve"> z energią przyjazną środowisku</w:t>
      </w:r>
      <w:r w:rsidRPr="0064087E">
        <w:rPr>
          <w:rFonts w:ascii="Arial" w:hAnsi="Arial" w:cs="Arial"/>
        </w:rPr>
        <w:t>,</w:t>
      </w:r>
      <w:r w:rsidR="004D0ACE" w:rsidRPr="0064087E">
        <w:rPr>
          <w:rFonts w:ascii="Arial" w:hAnsi="Arial" w:cs="Arial"/>
        </w:rPr>
        <w:t xml:space="preserve"> poziom wskaźnika jest zależny od specyfiki branży. Dla tych podmiotów w latach 2017-2021 wskaźnik kształtował się w granicach 78,3%</w:t>
      </w:r>
      <w:r w:rsidR="00830D71" w:rsidRPr="0064087E">
        <w:rPr>
          <w:rFonts w:ascii="Arial" w:hAnsi="Arial" w:cs="Arial"/>
        </w:rPr>
        <w:t xml:space="preserve"> – </w:t>
      </w:r>
      <w:r w:rsidR="004D0ACE" w:rsidRPr="0064087E">
        <w:rPr>
          <w:rFonts w:ascii="Arial" w:hAnsi="Arial" w:cs="Arial"/>
        </w:rPr>
        <w:t xml:space="preserve">112,2%. Dla </w:t>
      </w:r>
      <w:r w:rsidR="007311C2" w:rsidRPr="0064087E">
        <w:rPr>
          <w:rFonts w:ascii="Arial" w:hAnsi="Arial" w:cs="Arial"/>
        </w:rPr>
        <w:t>województwa podkarpackiego</w:t>
      </w:r>
      <w:r w:rsidR="004D0ACE" w:rsidRPr="0064087E">
        <w:rPr>
          <w:rFonts w:ascii="Arial" w:hAnsi="Arial" w:cs="Arial"/>
        </w:rPr>
        <w:t xml:space="preserve"> </w:t>
      </w:r>
      <w:r w:rsidR="004D0ACE" w:rsidRPr="0064087E">
        <w:rPr>
          <w:rFonts w:ascii="Arial" w:hAnsi="Arial" w:cs="Arial"/>
        </w:rPr>
        <w:lastRenderedPageBreak/>
        <w:t>wskaźnik płynności II stopnia oscylował w przedziale 104,2%</w:t>
      </w:r>
      <w:r w:rsidR="00830D71" w:rsidRPr="0064087E">
        <w:rPr>
          <w:rFonts w:ascii="Arial" w:hAnsi="Arial" w:cs="Arial"/>
        </w:rPr>
        <w:t xml:space="preserve"> – </w:t>
      </w:r>
      <w:r w:rsidR="004D0ACE" w:rsidRPr="0064087E">
        <w:rPr>
          <w:rFonts w:ascii="Arial" w:hAnsi="Arial" w:cs="Arial"/>
        </w:rPr>
        <w:t>111,4%, a dla Polski 100,9%</w:t>
      </w:r>
      <w:r w:rsidR="00830D71" w:rsidRPr="0064087E">
        <w:rPr>
          <w:rFonts w:ascii="Arial" w:hAnsi="Arial" w:cs="Arial"/>
        </w:rPr>
        <w:t xml:space="preserve"> – </w:t>
      </w:r>
      <w:r w:rsidR="004D0ACE" w:rsidRPr="0064087E">
        <w:rPr>
          <w:rFonts w:ascii="Arial" w:hAnsi="Arial" w:cs="Arial"/>
        </w:rPr>
        <w:t>108,9%.</w:t>
      </w:r>
    </w:p>
    <w:p w:rsidR="004D0ACE" w:rsidRPr="0064087E" w:rsidRDefault="004D0ACE" w:rsidP="005E33AE">
      <w:pPr>
        <w:spacing w:after="120" w:line="276" w:lineRule="auto"/>
        <w:rPr>
          <w:rFonts w:ascii="Arial" w:hAnsi="Arial" w:cs="Arial"/>
        </w:rPr>
      </w:pPr>
      <w:r w:rsidRPr="0064087E">
        <w:rPr>
          <w:rFonts w:ascii="Arial" w:hAnsi="Arial" w:cs="Arial"/>
        </w:rPr>
        <w:t>Wskaźnikiem obrazującym skalę ryzyka w przedsiębiorstwach jest wskaźnik płynności III stopnia</w:t>
      </w:r>
      <w:r w:rsidR="00472F10" w:rsidRPr="0064087E">
        <w:rPr>
          <w:rStyle w:val="Odwoanieprzypisudolnego"/>
          <w:rFonts w:ascii="Arial" w:hAnsi="Arial" w:cs="Arial"/>
        </w:rPr>
        <w:footnoteReference w:id="65"/>
      </w:r>
      <w:r w:rsidR="00472F10" w:rsidRPr="0064087E">
        <w:rPr>
          <w:rFonts w:ascii="Arial" w:hAnsi="Arial" w:cs="Arial"/>
        </w:rPr>
        <w:t>, który informuje o tym,</w:t>
      </w:r>
      <w:r w:rsidRPr="0064087E">
        <w:rPr>
          <w:rFonts w:ascii="Arial" w:hAnsi="Arial" w:cs="Arial"/>
        </w:rPr>
        <w:t xml:space="preserve"> czy zobowiązania mogłyby być terminowo spłacone dzięki upłynnieniu aktywów obrotowych. Zadowalający poziom wskaźnika to przedział 120% – 200%. Wskaźnik III stopnia liczony dla podmiotów gospodarczych specjalizujących się w </w:t>
      </w:r>
      <w:r w:rsidR="00795A2A" w:rsidRPr="0064087E">
        <w:rPr>
          <w:rFonts w:ascii="Arial" w:hAnsi="Arial" w:cs="Arial"/>
        </w:rPr>
        <w:t>energii przyjaznej środowisku</w:t>
      </w:r>
      <w:r w:rsidRPr="0064087E">
        <w:rPr>
          <w:rFonts w:ascii="Arial" w:hAnsi="Arial" w:cs="Arial"/>
        </w:rPr>
        <w:t xml:space="preserve"> w latach 2017-2021 oscylował w granicach 143,6%</w:t>
      </w:r>
      <w:r w:rsidR="00830D71" w:rsidRPr="0064087E">
        <w:rPr>
          <w:rFonts w:ascii="Arial" w:hAnsi="Arial" w:cs="Arial"/>
        </w:rPr>
        <w:t xml:space="preserve"> – </w:t>
      </w:r>
      <w:r w:rsidRPr="0064087E">
        <w:rPr>
          <w:rFonts w:ascii="Arial" w:hAnsi="Arial" w:cs="Arial"/>
        </w:rPr>
        <w:t xml:space="preserve">153,1%, nie wykraczając poza pożądany przedział. Dla </w:t>
      </w:r>
      <w:r w:rsidR="007311C2" w:rsidRPr="0064087E">
        <w:rPr>
          <w:rFonts w:ascii="Arial" w:hAnsi="Arial" w:cs="Arial"/>
        </w:rPr>
        <w:t>województwa podkarpackiego</w:t>
      </w:r>
      <w:r w:rsidRPr="0064087E">
        <w:rPr>
          <w:rFonts w:ascii="Arial" w:hAnsi="Arial" w:cs="Arial"/>
        </w:rPr>
        <w:t xml:space="preserve"> utrzymywał się </w:t>
      </w:r>
      <w:r w:rsidR="00EF2329">
        <w:rPr>
          <w:rFonts w:ascii="Arial" w:hAnsi="Arial" w:cs="Arial"/>
        </w:rPr>
        <w:br/>
      </w:r>
      <w:r w:rsidRPr="0064087E">
        <w:rPr>
          <w:rFonts w:ascii="Arial" w:hAnsi="Arial" w:cs="Arial"/>
        </w:rPr>
        <w:t>w przedziale 159,2%</w:t>
      </w:r>
      <w:r w:rsidR="00830D71" w:rsidRPr="0064087E">
        <w:rPr>
          <w:rFonts w:ascii="Arial" w:hAnsi="Arial" w:cs="Arial"/>
        </w:rPr>
        <w:t xml:space="preserve"> – </w:t>
      </w:r>
      <w:r w:rsidRPr="0064087E">
        <w:rPr>
          <w:rFonts w:ascii="Arial" w:hAnsi="Arial" w:cs="Arial"/>
        </w:rPr>
        <w:t>167,4% natomiast dla Polski oscylował w granicach 143,6%</w:t>
      </w:r>
      <w:r w:rsidR="00830D71" w:rsidRPr="0064087E">
        <w:rPr>
          <w:rFonts w:ascii="Arial" w:hAnsi="Arial" w:cs="Arial"/>
        </w:rPr>
        <w:t xml:space="preserve"> – </w:t>
      </w:r>
      <w:r w:rsidRPr="0064087E">
        <w:rPr>
          <w:rFonts w:ascii="Arial" w:hAnsi="Arial" w:cs="Arial"/>
        </w:rPr>
        <w:t>153,1%.</w:t>
      </w:r>
      <w:r w:rsidR="007311C2" w:rsidRPr="0064087E">
        <w:rPr>
          <w:rFonts w:ascii="Arial" w:hAnsi="Arial" w:cs="Arial"/>
        </w:rPr>
        <w:t xml:space="preserve"> </w:t>
      </w:r>
    </w:p>
    <w:p w:rsidR="0026503B" w:rsidRPr="0064087E" w:rsidRDefault="00592AB2" w:rsidP="005E33AE">
      <w:pPr>
        <w:spacing w:after="120" w:line="276" w:lineRule="auto"/>
        <w:rPr>
          <w:rFonts w:ascii="Arial" w:hAnsi="Arial" w:cs="Arial"/>
        </w:rPr>
      </w:pPr>
      <w:r w:rsidRPr="0064087E">
        <w:rPr>
          <w:rFonts w:ascii="Arial" w:hAnsi="Arial" w:cs="Arial"/>
        </w:rPr>
        <w:t>Przeciętne zatrudnienie</w:t>
      </w:r>
      <w:r w:rsidRPr="0064087E">
        <w:rPr>
          <w:rStyle w:val="Odwoanieprzypisudolnego"/>
          <w:rFonts w:ascii="Arial" w:hAnsi="Arial" w:cs="Arial"/>
        </w:rPr>
        <w:footnoteReference w:id="66"/>
      </w:r>
      <w:r w:rsidRPr="0064087E">
        <w:rPr>
          <w:rFonts w:ascii="Arial" w:hAnsi="Arial" w:cs="Arial"/>
        </w:rPr>
        <w:t xml:space="preserve"> </w:t>
      </w:r>
      <w:r w:rsidR="004D0ACE" w:rsidRPr="0064087E">
        <w:rPr>
          <w:rFonts w:ascii="Arial" w:hAnsi="Arial" w:cs="Arial"/>
        </w:rPr>
        <w:t xml:space="preserve">w jednostkach specjalizujących się w </w:t>
      </w:r>
      <w:r w:rsidR="00A66FE5" w:rsidRPr="0064087E">
        <w:rPr>
          <w:rFonts w:ascii="Arial" w:hAnsi="Arial" w:cs="Arial"/>
        </w:rPr>
        <w:t>energii przyjaznej środowisku</w:t>
      </w:r>
      <w:r w:rsidR="00E93348" w:rsidRPr="0064087E">
        <w:rPr>
          <w:rFonts w:ascii="Arial" w:hAnsi="Arial" w:cs="Arial"/>
        </w:rPr>
        <w:t xml:space="preserve"> </w:t>
      </w:r>
      <w:r w:rsidR="004D0ACE" w:rsidRPr="0064087E">
        <w:rPr>
          <w:rFonts w:ascii="Arial" w:hAnsi="Arial" w:cs="Arial"/>
        </w:rPr>
        <w:t xml:space="preserve">po wzroście zatrudnienia w latach 2018-2019, w kolejnych latach notowało spadki </w:t>
      </w:r>
      <w:r w:rsidR="00EF2329">
        <w:rPr>
          <w:rFonts w:ascii="Arial" w:hAnsi="Arial" w:cs="Arial"/>
        </w:rPr>
        <w:br/>
      </w:r>
      <w:r w:rsidR="004D0ACE" w:rsidRPr="0064087E">
        <w:rPr>
          <w:rFonts w:ascii="Arial" w:hAnsi="Arial" w:cs="Arial"/>
        </w:rPr>
        <w:t>w porównaniu z poprzednim rokiem (o 1,6% w 2020 r. oraz o 3,7% w</w:t>
      </w:r>
      <w:r w:rsidR="00795A2A" w:rsidRPr="0064087E">
        <w:rPr>
          <w:rFonts w:ascii="Arial" w:hAnsi="Arial" w:cs="Arial"/>
        </w:rPr>
        <w:t> </w:t>
      </w:r>
      <w:r w:rsidRPr="0064087E">
        <w:rPr>
          <w:rFonts w:ascii="Arial" w:hAnsi="Arial" w:cs="Arial"/>
        </w:rPr>
        <w:t>2021</w:t>
      </w:r>
      <w:r w:rsidR="00795A2A" w:rsidRPr="0064087E">
        <w:rPr>
          <w:rFonts w:ascii="Arial" w:hAnsi="Arial" w:cs="Arial"/>
        </w:rPr>
        <w:t> </w:t>
      </w:r>
      <w:r w:rsidRPr="0064087E">
        <w:rPr>
          <w:rFonts w:ascii="Arial" w:hAnsi="Arial" w:cs="Arial"/>
        </w:rPr>
        <w:t>r.</w:t>
      </w:r>
      <w:r w:rsidR="00795A2A" w:rsidRPr="0064087E">
        <w:rPr>
          <w:rFonts w:ascii="Arial" w:hAnsi="Arial" w:cs="Arial"/>
        </w:rPr>
        <w:t> </w:t>
      </w:r>
      <w:r w:rsidRPr="0064087E">
        <w:rPr>
          <w:rFonts w:ascii="Arial" w:hAnsi="Arial" w:cs="Arial"/>
        </w:rPr>
        <w:t xml:space="preserve">). </w:t>
      </w:r>
      <w:r w:rsidR="00EF2329">
        <w:rPr>
          <w:rFonts w:ascii="Arial" w:hAnsi="Arial" w:cs="Arial"/>
        </w:rPr>
        <w:br/>
      </w:r>
      <w:r w:rsidRPr="0064087E">
        <w:rPr>
          <w:rFonts w:ascii="Arial" w:hAnsi="Arial" w:cs="Arial"/>
        </w:rPr>
        <w:t>W województwie</w:t>
      </w:r>
      <w:r w:rsidRPr="0064087E">
        <w:rPr>
          <w:rStyle w:val="Odwoanieprzypisudolnego"/>
          <w:rFonts w:ascii="Arial" w:hAnsi="Arial" w:cs="Arial"/>
        </w:rPr>
        <w:footnoteReference w:id="67"/>
      </w:r>
      <w:r w:rsidRPr="0064087E">
        <w:rPr>
          <w:rFonts w:ascii="Arial" w:hAnsi="Arial" w:cs="Arial"/>
        </w:rPr>
        <w:t xml:space="preserve"> w </w:t>
      </w:r>
      <w:r w:rsidR="004D0ACE" w:rsidRPr="0064087E">
        <w:rPr>
          <w:rFonts w:ascii="Arial" w:hAnsi="Arial" w:cs="Arial"/>
        </w:rPr>
        <w:t>2018 r. zatrudnienie wzrosło, następnie spadło w 2019 r. oraz 2020 r., po czym w ostatnim roku analizowanego</w:t>
      </w:r>
      <w:r w:rsidR="00E97FA5" w:rsidRPr="0064087E">
        <w:rPr>
          <w:rFonts w:ascii="Arial" w:hAnsi="Arial" w:cs="Arial"/>
        </w:rPr>
        <w:t xml:space="preserve"> </w:t>
      </w:r>
      <w:r w:rsidR="004D0ACE" w:rsidRPr="0064087E">
        <w:rPr>
          <w:rFonts w:ascii="Arial" w:hAnsi="Arial" w:cs="Arial"/>
        </w:rPr>
        <w:t>okresu nieznacznie wzrosło.</w:t>
      </w:r>
    </w:p>
    <w:p w:rsidR="00B42147" w:rsidRPr="00B42147" w:rsidRDefault="00B42147" w:rsidP="005E33AE">
      <w:pPr>
        <w:pStyle w:val="Legenda"/>
        <w:keepNext/>
        <w:spacing w:line="276" w:lineRule="auto"/>
        <w:rPr>
          <w:rFonts w:ascii="Arial" w:hAnsi="Arial" w:cs="Arial"/>
          <w:i w:val="0"/>
          <w:color w:val="auto"/>
          <w:sz w:val="22"/>
        </w:rPr>
      </w:pPr>
      <w:bookmarkStart w:id="110" w:name="_Toc160793573"/>
      <w:r w:rsidRPr="00B42147">
        <w:rPr>
          <w:rFonts w:ascii="Arial" w:hAnsi="Arial" w:cs="Arial"/>
          <w:b/>
          <w:i w:val="0"/>
          <w:color w:val="auto"/>
          <w:sz w:val="22"/>
        </w:rPr>
        <w:t xml:space="preserve">Wykres </w:t>
      </w:r>
      <w:r w:rsidRPr="00B42147">
        <w:rPr>
          <w:rFonts w:ascii="Arial" w:hAnsi="Arial" w:cs="Arial"/>
          <w:b/>
          <w:i w:val="0"/>
          <w:color w:val="auto"/>
          <w:sz w:val="22"/>
        </w:rPr>
        <w:fldChar w:fldCharType="begin"/>
      </w:r>
      <w:r w:rsidRPr="00B42147">
        <w:rPr>
          <w:rFonts w:ascii="Arial" w:hAnsi="Arial" w:cs="Arial"/>
          <w:b/>
          <w:i w:val="0"/>
          <w:color w:val="auto"/>
          <w:sz w:val="22"/>
        </w:rPr>
        <w:instrText xml:space="preserve"> SEQ Wykres \* ARABIC </w:instrText>
      </w:r>
      <w:r w:rsidRPr="00B42147">
        <w:rPr>
          <w:rFonts w:ascii="Arial" w:hAnsi="Arial" w:cs="Arial"/>
          <w:b/>
          <w:i w:val="0"/>
          <w:color w:val="auto"/>
          <w:sz w:val="22"/>
        </w:rPr>
        <w:fldChar w:fldCharType="separate"/>
      </w:r>
      <w:r w:rsidR="00884DAD">
        <w:rPr>
          <w:rFonts w:ascii="Arial" w:hAnsi="Arial" w:cs="Arial"/>
          <w:b/>
          <w:i w:val="0"/>
          <w:noProof/>
          <w:color w:val="auto"/>
          <w:sz w:val="22"/>
        </w:rPr>
        <w:t>67</w:t>
      </w:r>
      <w:r w:rsidRPr="00B42147">
        <w:rPr>
          <w:rFonts w:ascii="Arial" w:hAnsi="Arial" w:cs="Arial"/>
          <w:b/>
          <w:i w:val="0"/>
          <w:color w:val="auto"/>
          <w:sz w:val="22"/>
        </w:rPr>
        <w:fldChar w:fldCharType="end"/>
      </w:r>
      <w:r w:rsidR="00DA1871">
        <w:rPr>
          <w:rFonts w:ascii="Arial" w:hAnsi="Arial" w:cs="Arial"/>
          <w:b/>
          <w:i w:val="0"/>
          <w:color w:val="auto"/>
          <w:sz w:val="22"/>
        </w:rPr>
        <w:t>.</w:t>
      </w:r>
      <w:r w:rsidRPr="00B42147">
        <w:rPr>
          <w:rFonts w:ascii="Arial" w:hAnsi="Arial" w:cs="Arial"/>
          <w:i w:val="0"/>
          <w:color w:val="auto"/>
          <w:sz w:val="22"/>
        </w:rPr>
        <w:t xml:space="preserve"> Dynamika przeciętnego zatrudnienia (rok poprzedni=100) w</w:t>
      </w:r>
      <w:r w:rsidR="00140E8D">
        <w:rPr>
          <w:rFonts w:ascii="Arial" w:hAnsi="Arial" w:cs="Arial"/>
          <w:i w:val="0"/>
          <w:color w:val="auto"/>
          <w:sz w:val="22"/>
        </w:rPr>
        <w:t xml:space="preserve"> województwie podkarpackim oraz</w:t>
      </w:r>
      <w:r w:rsidRPr="00B42147">
        <w:rPr>
          <w:rFonts w:ascii="Arial" w:hAnsi="Arial" w:cs="Arial"/>
          <w:i w:val="0"/>
          <w:color w:val="auto"/>
          <w:sz w:val="22"/>
        </w:rPr>
        <w:t xml:space="preserve"> branży energia przyjazna środowisku  w latach 2018-2021.</w:t>
      </w:r>
      <w:bookmarkEnd w:id="110"/>
    </w:p>
    <w:p w:rsidR="00592AB2" w:rsidRPr="0064087E" w:rsidRDefault="00592AB2" w:rsidP="00EE7B05">
      <w:pPr>
        <w:spacing w:after="120" w:line="276" w:lineRule="auto"/>
        <w:jc w:val="center"/>
        <w:rPr>
          <w:rFonts w:ascii="Arial" w:hAnsi="Arial" w:cs="Arial"/>
        </w:rPr>
      </w:pPr>
      <w:bookmarkStart w:id="111" w:name="_GoBack"/>
      <w:r w:rsidRPr="0064087E">
        <w:rPr>
          <w:noProof/>
          <w:lang w:eastAsia="pl-PL"/>
        </w:rPr>
        <w:drawing>
          <wp:inline distT="0" distB="0" distL="0" distR="0" wp14:anchorId="5CF76D2A" wp14:editId="1B23C91D">
            <wp:extent cx="5104737" cy="2130950"/>
            <wp:effectExtent l="0" t="0" r="1270" b="3175"/>
            <wp:docPr id="1872" name="Wykres 1872" descr="Wykres liniowy poziomy w tym dane: woj. Podkarpackie: 2018: 103,7, 2019: 99,8, 2020: 94, 2021: 100,8, Energa przyjazna środowisku: 2018: 102,7, 2019: 100,8, 2020: 98,4, 2021: 96,3.&#10;&#10;">
              <a:extLst xmlns:a="http://schemas.openxmlformats.org/drawingml/2006/main">
                <a:ext uri="{FF2B5EF4-FFF2-40B4-BE49-F238E27FC236}">
                  <a16:creationId xmlns:a16="http://schemas.microsoft.com/office/drawing/2014/main" id="{9018F1F0-554B-4C5E-99E5-8DDCC6664C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bookmarkEnd w:id="111"/>
    </w:p>
    <w:p w:rsidR="005E33AE" w:rsidRDefault="00592AB2" w:rsidP="005E33AE">
      <w:pPr>
        <w:spacing w:after="120" w:line="276" w:lineRule="auto"/>
        <w:jc w:val="center"/>
        <w:rPr>
          <w:rFonts w:ascii="Arial" w:hAnsi="Arial" w:cs="Arial"/>
        </w:rPr>
      </w:pPr>
      <w:r w:rsidRPr="0064087E">
        <w:rPr>
          <w:rFonts w:ascii="Arial" w:hAnsi="Arial" w:cs="Arial"/>
        </w:rPr>
        <w:t xml:space="preserve">Źródło: </w:t>
      </w:r>
      <w:r w:rsidR="00855C7C" w:rsidRPr="0064087E">
        <w:rPr>
          <w:rFonts w:ascii="Arial" w:hAnsi="Arial" w:cs="Arial"/>
        </w:rPr>
        <w:t>Opracowanie własne na podstawie danych GUS</w:t>
      </w:r>
      <w:r w:rsidRPr="0064087E">
        <w:rPr>
          <w:rFonts w:ascii="Arial" w:hAnsi="Arial" w:cs="Arial"/>
        </w:rPr>
        <w:t>.</w:t>
      </w:r>
    </w:p>
    <w:p w:rsidR="00383FC9" w:rsidRPr="0064087E" w:rsidRDefault="005E33AE" w:rsidP="005E33AE">
      <w:pPr>
        <w:widowControl/>
        <w:autoSpaceDE/>
        <w:autoSpaceDN/>
        <w:spacing w:after="160" w:line="259" w:lineRule="auto"/>
        <w:rPr>
          <w:rFonts w:ascii="Arial" w:hAnsi="Arial" w:cs="Arial"/>
        </w:rPr>
      </w:pPr>
      <w:r>
        <w:rPr>
          <w:rFonts w:ascii="Arial" w:hAnsi="Arial" w:cs="Arial"/>
        </w:rPr>
        <w:br w:type="page"/>
      </w:r>
    </w:p>
    <w:p w:rsidR="00A164FD" w:rsidRPr="0064087E" w:rsidRDefault="00942BAD" w:rsidP="005E33AE">
      <w:pPr>
        <w:pStyle w:val="Nagwek1"/>
        <w:numPr>
          <w:ilvl w:val="0"/>
          <w:numId w:val="1"/>
        </w:numPr>
        <w:ind w:left="357" w:hanging="357"/>
      </w:pPr>
      <w:bookmarkStart w:id="112" w:name="_Toc160793884"/>
      <w:r w:rsidRPr="0064087E">
        <w:lastRenderedPageBreak/>
        <w:t>Podsumowanie i wnioski końcowe</w:t>
      </w:r>
      <w:bookmarkEnd w:id="112"/>
    </w:p>
    <w:p w:rsidR="00F019A1" w:rsidRPr="0064087E" w:rsidRDefault="00942BAD" w:rsidP="005E33AE">
      <w:pPr>
        <w:spacing w:after="120" w:line="276" w:lineRule="auto"/>
        <w:rPr>
          <w:rFonts w:ascii="Arial" w:hAnsi="Arial" w:cs="Arial"/>
        </w:rPr>
      </w:pPr>
      <w:r w:rsidRPr="0064087E">
        <w:rPr>
          <w:rFonts w:ascii="Arial" w:hAnsi="Arial" w:cs="Arial"/>
        </w:rPr>
        <w:t>Opracowanie Regionalnej Strategii Innowacji Województwa Podkarpackiego na lata 20</w:t>
      </w:r>
      <w:r w:rsidR="002A2E6F" w:rsidRPr="0064087E">
        <w:rPr>
          <w:rFonts w:ascii="Arial" w:hAnsi="Arial" w:cs="Arial"/>
        </w:rPr>
        <w:t>21</w:t>
      </w:r>
      <w:r w:rsidRPr="0064087E">
        <w:rPr>
          <w:rFonts w:ascii="Arial" w:hAnsi="Arial" w:cs="Arial"/>
        </w:rPr>
        <w:t>-20</w:t>
      </w:r>
      <w:r w:rsidR="002A2E6F" w:rsidRPr="0064087E">
        <w:rPr>
          <w:rFonts w:ascii="Arial" w:hAnsi="Arial" w:cs="Arial"/>
        </w:rPr>
        <w:t>3</w:t>
      </w:r>
      <w:r w:rsidRPr="0064087E">
        <w:rPr>
          <w:rFonts w:ascii="Arial" w:hAnsi="Arial" w:cs="Arial"/>
        </w:rPr>
        <w:t xml:space="preserve">0 oraz </w:t>
      </w:r>
      <w:r w:rsidR="00C63490" w:rsidRPr="0064087E">
        <w:rPr>
          <w:rFonts w:ascii="Arial" w:hAnsi="Arial" w:cs="Arial"/>
        </w:rPr>
        <w:t>wybór</w:t>
      </w:r>
      <w:r w:rsidRPr="0064087E">
        <w:rPr>
          <w:rFonts w:ascii="Arial" w:hAnsi="Arial" w:cs="Arial"/>
        </w:rPr>
        <w:t xml:space="preserve"> inteligentnych specjalizacji regionu realizowane było przez grupę ekspertów przy udziale grup interesariuszy zgodnie z modelem poczwórnej helisy w procesie przedsiębiorczego odkrywania. W efekcie wyodrębnione zostały specjalizacje: lotnictwo </w:t>
      </w:r>
      <w:r w:rsidR="00CC62A1" w:rsidRPr="0064087E">
        <w:rPr>
          <w:rFonts w:ascii="Arial" w:hAnsi="Arial" w:cs="Arial"/>
        </w:rPr>
        <w:br/>
      </w:r>
      <w:r w:rsidRPr="0064087E">
        <w:rPr>
          <w:rFonts w:ascii="Arial" w:hAnsi="Arial" w:cs="Arial"/>
        </w:rPr>
        <w:t>i kosmonautyka, motoryzacja, informacja i telekomunikacja (ICT)</w:t>
      </w:r>
      <w:r w:rsidR="00267B4F" w:rsidRPr="0064087E">
        <w:rPr>
          <w:rFonts w:ascii="Arial" w:hAnsi="Arial" w:cs="Arial"/>
        </w:rPr>
        <w:t xml:space="preserve"> oraz jakość życia</w:t>
      </w:r>
      <w:r w:rsidRPr="0064087E">
        <w:rPr>
          <w:rFonts w:ascii="Arial" w:hAnsi="Arial" w:cs="Arial"/>
        </w:rPr>
        <w:t>.</w:t>
      </w:r>
    </w:p>
    <w:p w:rsidR="00F019A1" w:rsidRPr="00D62638" w:rsidRDefault="00F019A1" w:rsidP="005E33AE">
      <w:pPr>
        <w:spacing w:after="120" w:line="276" w:lineRule="auto"/>
        <w:rPr>
          <w:rFonts w:ascii="Arial" w:hAnsi="Arial" w:cs="Arial"/>
        </w:rPr>
      </w:pPr>
      <w:r w:rsidRPr="00D62638">
        <w:rPr>
          <w:rFonts w:ascii="Arial" w:hAnsi="Arial" w:cs="Arial"/>
        </w:rPr>
        <w:t xml:space="preserve">Ogólnoświatowa pandemia COVID-19 wpłynęła na funkcjonowanie gospodarki, również branż wchodzących w skład inteligentnych specjalizacji województwa podkarpackiego. Zmiany rynkowe mocno zmieniły działalność branży lotniczej oraz motoryzacyjnej, które zmierzyły się z koniecznością redukcji zatrudnienia. Ucierpiała również turystyka oraz gastronomia będące częścią obszaru specjalizacji Jakość życia. Utrudnienia pojawiły się również w placówkach świadczących usługi medyczne. Pandemia wpłynęła na zapotrzebowanie na usługi telekomunikacyjne głosowe oraz transmisji danych, lecz nastąpiła również redukcja liczby i zakresu projektów w różnych branżach. Zmiany te w dużej mierze uznawane są za trwałe, co świadczy o tym, jak istotna jest dla rozwoju gospodarki łączność </w:t>
      </w:r>
      <w:r w:rsidR="00A564A3">
        <w:rPr>
          <w:rFonts w:ascii="Arial" w:hAnsi="Arial" w:cs="Arial"/>
        </w:rPr>
        <w:br/>
      </w:r>
      <w:r w:rsidRPr="00D62638">
        <w:rPr>
          <w:rFonts w:ascii="Arial" w:hAnsi="Arial" w:cs="Arial"/>
        </w:rPr>
        <w:t>i cyfryzacja.</w:t>
      </w:r>
      <w:r w:rsidR="0022078C" w:rsidRPr="00D62638">
        <w:rPr>
          <w:rStyle w:val="Odwoanieprzypisudolnego"/>
          <w:rFonts w:ascii="Arial" w:hAnsi="Arial" w:cs="Arial"/>
        </w:rPr>
        <w:footnoteReference w:id="68"/>
      </w:r>
    </w:p>
    <w:p w:rsidR="00F13BEB" w:rsidRPr="0064087E" w:rsidRDefault="00F13BEB" w:rsidP="005E33AE">
      <w:pPr>
        <w:spacing w:after="120" w:line="276" w:lineRule="auto"/>
        <w:rPr>
          <w:rFonts w:ascii="Arial" w:hAnsi="Arial" w:cs="Arial"/>
        </w:rPr>
      </w:pPr>
      <w:r w:rsidRPr="0064087E">
        <w:rPr>
          <w:rFonts w:ascii="Arial" w:hAnsi="Arial" w:cs="Arial"/>
        </w:rPr>
        <w:t>Precyzyjne określenie zakresu poszczególnych specjalizacji za pomocą kodów PKD oraz skuteczne monitorowanie ich rozwoju jest utrudnione z uwagi na brak możliwości przypisania do każdej ze specjalizacji działów czy klas PKD.</w:t>
      </w:r>
      <w:r w:rsidR="005470CC" w:rsidRPr="0064087E">
        <w:rPr>
          <w:rFonts w:ascii="Arial" w:hAnsi="Arial" w:cs="Arial"/>
        </w:rPr>
        <w:t xml:space="preserve"> Niejednokrotnie poszczególne klasy PKD wpisują się w zakres dwóch lub więcej specjalizacji lub mogą wpisywać się </w:t>
      </w:r>
      <w:r w:rsidRPr="0064087E">
        <w:rPr>
          <w:rFonts w:ascii="Arial" w:hAnsi="Arial" w:cs="Arial"/>
        </w:rPr>
        <w:t xml:space="preserve">w IS jedynie częściowo. Należy również mieć na uwadze, że dane statystyczne pozwalające na ocenę rozwoju branży w województwie dostępne są najczęściej jedynie na poziomie działów, a nie klas PKD. Dlatego też dokonane zostanie oszacowanie eksperckie w zakresie procentowego wpisywania się poszczególnych </w:t>
      </w:r>
      <w:r w:rsidR="00BF712F" w:rsidRPr="0064087E">
        <w:rPr>
          <w:rFonts w:ascii="Arial" w:hAnsi="Arial" w:cs="Arial"/>
        </w:rPr>
        <w:t xml:space="preserve">działów i klas </w:t>
      </w:r>
      <w:r w:rsidRPr="0064087E">
        <w:rPr>
          <w:rFonts w:ascii="Arial" w:hAnsi="Arial" w:cs="Arial"/>
        </w:rPr>
        <w:t xml:space="preserve">w regionalne inteligentne specjalizacje. </w:t>
      </w:r>
      <w:r w:rsidR="00BF712F">
        <w:rPr>
          <w:rFonts w:ascii="Arial" w:hAnsi="Arial" w:cs="Arial"/>
        </w:rPr>
        <w:t>Wskazane d</w:t>
      </w:r>
      <w:r w:rsidRPr="0064087E">
        <w:rPr>
          <w:rFonts w:ascii="Arial" w:hAnsi="Arial" w:cs="Arial"/>
        </w:rPr>
        <w:t xml:space="preserve">ziały </w:t>
      </w:r>
      <w:r w:rsidR="00BF712F">
        <w:rPr>
          <w:rFonts w:ascii="Arial" w:hAnsi="Arial" w:cs="Arial"/>
        </w:rPr>
        <w:t>i klasy</w:t>
      </w:r>
      <w:r w:rsidRPr="0064087E">
        <w:rPr>
          <w:rFonts w:ascii="Arial" w:hAnsi="Arial" w:cs="Arial"/>
        </w:rPr>
        <w:t xml:space="preserve"> zostały </w:t>
      </w:r>
      <w:r w:rsidR="00BF712F">
        <w:rPr>
          <w:rFonts w:ascii="Arial" w:hAnsi="Arial" w:cs="Arial"/>
        </w:rPr>
        <w:t>umieszczone</w:t>
      </w:r>
      <w:r w:rsidRPr="0064087E">
        <w:rPr>
          <w:rFonts w:ascii="Arial" w:hAnsi="Arial" w:cs="Arial"/>
        </w:rPr>
        <w:t xml:space="preserve"> przy opisie obszarów każdej ze specjalizacji.</w:t>
      </w:r>
    </w:p>
    <w:p w:rsidR="00332EAF" w:rsidRPr="0064087E" w:rsidRDefault="00332EAF" w:rsidP="005E33AE">
      <w:pPr>
        <w:spacing w:after="120" w:line="276" w:lineRule="auto"/>
        <w:rPr>
          <w:rFonts w:ascii="Arial" w:hAnsi="Arial" w:cs="Arial"/>
        </w:rPr>
      </w:pPr>
      <w:r w:rsidRPr="0064087E">
        <w:rPr>
          <w:rFonts w:ascii="Arial" w:hAnsi="Arial" w:cs="Arial"/>
        </w:rPr>
        <w:t>W celu lepszego zdiagnozowania stanu inteligentnych specjalizacji prowadzony jest proces przedsiębiorczego odkrywania, w ramach którego realizowane są panele inteligentnych specjalizacji, w których biorą udział przedstawiciele branż kluczowych dla rozwoju województwa. Ponadto prowadzone są badania, analizy pogłębiające tę tematykę zlecane ekspertom zewnętrznym.</w:t>
      </w:r>
    </w:p>
    <w:p w:rsidR="00332EAF" w:rsidRPr="00D62638" w:rsidRDefault="00332EAF" w:rsidP="005E33AE">
      <w:pPr>
        <w:pStyle w:val="wnioski"/>
        <w:numPr>
          <w:ilvl w:val="0"/>
          <w:numId w:val="0"/>
        </w:numPr>
        <w:jc w:val="left"/>
      </w:pPr>
      <w:r w:rsidRPr="00D62638">
        <w:t xml:space="preserve">Województwo podkarpackie charakteryzuje się nagromadzeniem podmiotów prowadzących działalność w zakresie przemysłu lotniczego. Przedsiębiorstwa te ulokowały swoje siedziby głównie w Rzeszowie oraz w powiecie mieleckim i rzeszowskim. </w:t>
      </w:r>
      <w:r w:rsidR="00182F46" w:rsidRPr="00D62638">
        <w:rPr>
          <w:shd w:val="clear" w:color="auto" w:fill="FFFFFF"/>
        </w:rPr>
        <w:t xml:space="preserve">Rzeszów jest obecnie znany niemal na całym świecie dzięki lotnisku w Jasionce, które od początku rosyjskiej inwazji na Ukrainę obsługuje transporty </w:t>
      </w:r>
      <w:r w:rsidR="006C3B8A">
        <w:rPr>
          <w:shd w:val="clear" w:color="auto" w:fill="FFFFFF"/>
        </w:rPr>
        <w:t>wielu kategorii towarów</w:t>
      </w:r>
      <w:r w:rsidR="00182F46" w:rsidRPr="00D62638">
        <w:rPr>
          <w:shd w:val="clear" w:color="auto" w:fill="FFFFFF"/>
        </w:rPr>
        <w:t>. Jest to międzynarodowy port pasażerski, który w 2022 roku obsłużył ponad 700 tysięcy pasażerów</w:t>
      </w:r>
      <w:r w:rsidR="00476EAA" w:rsidRPr="0064087E">
        <w:rPr>
          <w:shd w:val="clear" w:color="auto" w:fill="FFFFFF"/>
        </w:rPr>
        <w:t xml:space="preserve"> (w 2023 r. było to już ponad 1 mln obsłużonych pasażerów)</w:t>
      </w:r>
      <w:r w:rsidR="00182F46" w:rsidRPr="00D62638">
        <w:rPr>
          <w:shd w:val="clear" w:color="auto" w:fill="FFFFFF"/>
        </w:rPr>
        <w:t xml:space="preserve"> i 44341 ton ładunków cargo.</w:t>
      </w:r>
      <w:r w:rsidR="00182F46" w:rsidRPr="0064087E">
        <w:rPr>
          <w:sz w:val="26"/>
          <w:szCs w:val="26"/>
          <w:shd w:val="clear" w:color="auto" w:fill="FFFFFF"/>
        </w:rPr>
        <w:t xml:space="preserve"> </w:t>
      </w:r>
      <w:r w:rsidR="004925AA" w:rsidRPr="00D62638">
        <w:rPr>
          <w:shd w:val="clear" w:color="auto" w:fill="FFFFFF"/>
        </w:rPr>
        <w:t xml:space="preserve">W pobliżu lotniska położony jest Podkarpacki Park Naukowo-Technologiczny </w:t>
      </w:r>
      <w:proofErr w:type="spellStart"/>
      <w:r w:rsidR="004925AA" w:rsidRPr="00D62638">
        <w:rPr>
          <w:shd w:val="clear" w:color="auto" w:fill="FFFFFF"/>
        </w:rPr>
        <w:t>Aeropolis</w:t>
      </w:r>
      <w:proofErr w:type="spellEnd"/>
      <w:r w:rsidR="004925AA" w:rsidRPr="00D62638">
        <w:rPr>
          <w:shd w:val="clear" w:color="auto" w:fill="FFFFFF"/>
        </w:rPr>
        <w:t>. Na 170 ha uzbrojonych terenów inwestycyjnych powstają inicjatywy biznesowe skupione w znacznej mierze na rozwoju nowych technologii lotniczych i kosmicznych.</w:t>
      </w:r>
      <w:r w:rsidR="004925AA" w:rsidRPr="0064087E">
        <w:rPr>
          <w:sz w:val="26"/>
          <w:szCs w:val="26"/>
          <w:shd w:val="clear" w:color="auto" w:fill="FFFFFF"/>
        </w:rPr>
        <w:t xml:space="preserve"> </w:t>
      </w:r>
      <w:r w:rsidR="00182F46" w:rsidRPr="00D62638">
        <w:rPr>
          <w:shd w:val="clear" w:color="auto" w:fill="FFFFFF"/>
        </w:rPr>
        <w:t xml:space="preserve">Na terenie województwa skupione są również zakłady zajmujące się produkcją i modernizacją maszyn lotniczych, w tym zaawansowanych silników, a także działalnością badawczo-rozwojową. Podejmowane inicjatywy mają na celu kompleksowy rozwój tego sektora. Niezwykłą rolę odgrywa również </w:t>
      </w:r>
      <w:r w:rsidR="00182F46" w:rsidRPr="00D62638">
        <w:rPr>
          <w:shd w:val="clear" w:color="auto" w:fill="FFFFFF"/>
        </w:rPr>
        <w:lastRenderedPageBreak/>
        <w:t>świat nauki. Politechnika Rzeszowska proponuje studentom między innymi naukę na kierunku Lotnictwo i kosmonautyka.</w:t>
      </w:r>
      <w:r w:rsidR="00182F46" w:rsidRPr="0064087E">
        <w:rPr>
          <w:shd w:val="clear" w:color="auto" w:fill="FFFFFF"/>
        </w:rPr>
        <w:t xml:space="preserve"> </w:t>
      </w:r>
      <w:r w:rsidR="00182F46" w:rsidRPr="00D62638">
        <w:rPr>
          <w:shd w:val="clear" w:color="auto" w:fill="FFFFFF"/>
        </w:rPr>
        <w:t>Jednym z projektów mających na celu wsparcia lokalnego przemysłu lotniczego jest stowarzyszenie Dolina Lotnicza. Obecnie tworzy je 180 członków, których łączna sprzedaż plasuje się na poziomie 3,5 mld euro. Podstawowym celem stowarzyszenia jest wsparcie przedsiębiorstw przemysłu lotniczego, jego promocja oraz współpraca z uczelniami zaangażowanymi w rozwój technologii.</w:t>
      </w:r>
    </w:p>
    <w:p w:rsidR="00332EAF" w:rsidRPr="00D62638" w:rsidRDefault="00332EAF" w:rsidP="005E33AE">
      <w:pPr>
        <w:pStyle w:val="wnioski"/>
        <w:numPr>
          <w:ilvl w:val="0"/>
          <w:numId w:val="0"/>
        </w:numPr>
        <w:jc w:val="left"/>
      </w:pPr>
      <w:r w:rsidRPr="00D62638">
        <w:t>W 2021 r. wzrosła liczba jednostek sektora motoryzacyjnego, a przedsiębiorstwa motoryzacyjne odnotowały wzrost przychodów i kosztów, poprawiając dodatni wynik finansowy. Podobnie jak w przypadku lotnictwa, branża motoryzacyjna cechuje się mocno proeksportową działalnością, co pozytywnie świadczy o jej międzynarodowej konkurencyjności.</w:t>
      </w:r>
    </w:p>
    <w:p w:rsidR="00557C7A" w:rsidRPr="00D62638" w:rsidRDefault="00E213E2" w:rsidP="005E33AE">
      <w:pPr>
        <w:pStyle w:val="wnioski"/>
        <w:numPr>
          <w:ilvl w:val="0"/>
          <w:numId w:val="0"/>
        </w:numPr>
        <w:jc w:val="left"/>
      </w:pPr>
      <w:r w:rsidRPr="00D62638">
        <w:t xml:space="preserve">Rozwój specjalizacji w województwie podkarpackim jest możliwy m. in. dzięki wysokiemu potencjałowi naukowo-badawczemu. </w:t>
      </w:r>
      <w:r w:rsidR="00557C7A" w:rsidRPr="00D62638">
        <w:t>Podkarpackie uczelnie dysponują bogatym zapleczem laboratoryjnym umożliwiającym prowadzenie działalności B+R w obszarze motoryzacji. Szczególnie aktywny w tym zakresie jest Wydział Budowy Maszyn i Lotnictwa Politechniki Rzeszowskiej, w ramach którego funkcjonuje Katedra Silników Spalinowych i Transportu.</w:t>
      </w:r>
      <w:r w:rsidRPr="00D62638">
        <w:rPr>
          <w:rStyle w:val="Odwoanieprzypisudolnego"/>
        </w:rPr>
        <w:footnoteReference w:id="69"/>
      </w:r>
    </w:p>
    <w:p w:rsidR="0022078C" w:rsidRPr="0064087E" w:rsidRDefault="0022078C" w:rsidP="005E33AE">
      <w:pPr>
        <w:spacing w:after="120" w:line="276" w:lineRule="auto"/>
        <w:rPr>
          <w:rFonts w:ascii="Arial" w:hAnsi="Arial" w:cs="Arial"/>
        </w:rPr>
      </w:pPr>
      <w:r w:rsidRPr="00D62638">
        <w:rPr>
          <w:rFonts w:ascii="Arial" w:hAnsi="Arial" w:cs="Arial"/>
        </w:rPr>
        <w:t xml:space="preserve">Specjalizacja ICT jest </w:t>
      </w:r>
      <w:r w:rsidR="001D317C" w:rsidRPr="00D62638">
        <w:rPr>
          <w:rFonts w:ascii="Arial" w:hAnsi="Arial" w:cs="Arial"/>
        </w:rPr>
        <w:t xml:space="preserve">jedną z najdynamiczniej rozwijających się gałęzi gospodarki. Tworzy sektor </w:t>
      </w:r>
      <w:r w:rsidRPr="00D62638">
        <w:rPr>
          <w:rFonts w:ascii="Arial" w:hAnsi="Arial" w:cs="Arial"/>
        </w:rPr>
        <w:t>o charakterze horyzontalnym, mającym wpływ na każdy obszar gospodarki i życia społecznego, a tym samym ma duże znaczenie dla rozwoju społeczno - gospodarczego regionu. Ze względu na objęcie tajemnicą statystyczną większości danych dotyczących branży ICT w województwie podkarpackim, utrudniony jest monitoring rozwoju tej specjalizacji.</w:t>
      </w:r>
      <w:r w:rsidR="00096F41" w:rsidRPr="00D62638">
        <w:rPr>
          <w:rStyle w:val="Odwoanieprzypisudolnego"/>
          <w:rFonts w:ascii="Arial" w:hAnsi="Arial" w:cs="Arial"/>
        </w:rPr>
        <w:footnoteReference w:id="70"/>
      </w:r>
    </w:p>
    <w:p w:rsidR="00332EAF" w:rsidRPr="00D62638" w:rsidRDefault="00267B4F" w:rsidP="005E33AE">
      <w:pPr>
        <w:pStyle w:val="wnioski"/>
        <w:numPr>
          <w:ilvl w:val="0"/>
          <w:numId w:val="0"/>
        </w:numPr>
        <w:jc w:val="left"/>
        <w:rPr>
          <w:rFonts w:eastAsia="Calibri"/>
        </w:rPr>
      </w:pPr>
      <w:r w:rsidRPr="0064087E">
        <w:t xml:space="preserve">Inteligentna specjalizacja Jakość życia obejmuje szeroki obszar gospodarki regionu, który ce- chuje duże rozdrobnienie przedsiębiorstw zaliczanych do specjalizacji. W przyszłości niezbędne może być zidentyfikowanie podmiotu, przedsiębiorstwa lub klastra, który będzie reprezentował wszystkie obszary w ramach IS Jakość życia. Potrzebne jest również wzmacnianie potencjału badawczo-rozwojowego oraz współpracy przedsiębiorstw </w:t>
      </w:r>
      <w:r w:rsidRPr="0064087E">
        <w:br/>
        <w:t>z jednostkami naukowymi. Ze względu na fakt, że obszary specjalizacji Jakość życia nie tworzą jednej branży, każdy z nich wyróżnia się nieco inną dynamiką wzrostu.</w:t>
      </w:r>
      <w:r w:rsidR="004925AA" w:rsidRPr="0064087E">
        <w:t xml:space="preserve"> </w:t>
      </w:r>
      <w:r w:rsidR="00332EAF" w:rsidRPr="00D62638">
        <w:t xml:space="preserve">Sytuacja </w:t>
      </w:r>
      <w:r w:rsidR="005E33AE">
        <w:br/>
      </w:r>
      <w:r w:rsidR="00332EAF" w:rsidRPr="00D62638">
        <w:t xml:space="preserve">w zakresie podspecjalizacji turystyka zrównoważona w największym stopniu oddziałuje na sytuację obszarów peryferyjnych w skali regionu, gdyż </w:t>
      </w:r>
      <w:r w:rsidR="00332EAF" w:rsidRPr="00D62638">
        <w:rPr>
          <w:rFonts w:eastAsia="Calibri"/>
        </w:rPr>
        <w:t xml:space="preserve">największa liczba turystycznych obiektów noclegowych jest zlokalizowana w powiecie leskim, a następnie bieszczadzkim </w:t>
      </w:r>
      <w:r w:rsidR="005E33AE">
        <w:rPr>
          <w:rFonts w:eastAsia="Calibri"/>
        </w:rPr>
        <w:br/>
      </w:r>
      <w:r w:rsidR="00332EAF" w:rsidRPr="00D62638">
        <w:rPr>
          <w:rFonts w:eastAsia="Calibri"/>
        </w:rPr>
        <w:t>i krośnieńskim. W 2021 r. w województwie zaobserwowano spadek liczby turystycznych obiektów noclegowych, ale jednocześnie wzrósł w porównaniu do 2020 r. stopień wykorzystania miejsc noclegowych. Poprawie uległy wyniki finansowe przedsiębiorstw tej podspecjalizacji.</w:t>
      </w:r>
    </w:p>
    <w:p w:rsidR="00332EAF" w:rsidRPr="00D62638" w:rsidRDefault="00332EAF" w:rsidP="005E33AE">
      <w:pPr>
        <w:pStyle w:val="wnioski"/>
        <w:numPr>
          <w:ilvl w:val="0"/>
          <w:numId w:val="0"/>
        </w:numPr>
        <w:jc w:val="left"/>
        <w:rPr>
          <w:rFonts w:eastAsia="Calibri"/>
        </w:rPr>
      </w:pPr>
      <w:r w:rsidRPr="00D62638">
        <w:t>W odniesieniu do podspecjalizacji żywność wysokiej jakości należy zauważyć, że rozmieszczenie jednostek charakteryzuje się stosunkowo dużym rozproszeniem na terenie województwa podkarpackiego.</w:t>
      </w:r>
      <w:r w:rsidRPr="00D62638">
        <w:rPr>
          <w:rFonts w:eastAsia="Calibri"/>
        </w:rPr>
        <w:t xml:space="preserve"> W 2021 r. u</w:t>
      </w:r>
      <w:r w:rsidRPr="00D62638">
        <w:t>trzymał się trend spadkowy w zakresie liczby jednostek dla podspecjalizacji</w:t>
      </w:r>
      <w:r w:rsidRPr="00D62638">
        <w:rPr>
          <w:rFonts w:eastAsia="Calibri"/>
        </w:rPr>
        <w:t xml:space="preserve">. Wzrastało jednak proeksportowe ukierunkowanie sprzedaży tych firm. </w:t>
      </w:r>
      <w:r w:rsidRPr="00D62638">
        <w:rPr>
          <w:rFonts w:eastAsia="Trebuchet MS"/>
        </w:rPr>
        <w:t xml:space="preserve">Poprawił się także </w:t>
      </w:r>
      <w:r w:rsidRPr="00D62638">
        <w:rPr>
          <w:rFonts w:eastAsia="Calibri"/>
        </w:rPr>
        <w:t>w</w:t>
      </w:r>
      <w:r w:rsidRPr="00D62638">
        <w:rPr>
          <w:rFonts w:eastAsia="Trebuchet MS"/>
        </w:rPr>
        <w:t>ynik finansowy, co jest pozytywnym sygnałem dla rozwoju tej podspecjalizacji.</w:t>
      </w:r>
    </w:p>
    <w:p w:rsidR="00332EAF" w:rsidRPr="00D62638" w:rsidRDefault="00332EAF" w:rsidP="005E33AE">
      <w:pPr>
        <w:pStyle w:val="wnioski"/>
        <w:numPr>
          <w:ilvl w:val="0"/>
          <w:numId w:val="0"/>
        </w:numPr>
        <w:jc w:val="left"/>
      </w:pPr>
      <w:r w:rsidRPr="00D62638">
        <w:rPr>
          <w:rFonts w:eastAsia="Trebuchet MS"/>
        </w:rPr>
        <w:lastRenderedPageBreak/>
        <w:t xml:space="preserve">W ramach podspecjalizacji </w:t>
      </w:r>
      <w:bookmarkStart w:id="113" w:name="_Hlk147730097"/>
      <w:r w:rsidRPr="00D62638">
        <w:t xml:space="preserve">usługi i produkty medyczne oraz wzmacniające kondycję </w:t>
      </w:r>
      <w:bookmarkEnd w:id="113"/>
      <w:r w:rsidRPr="00D62638">
        <w:t xml:space="preserve">w 2021 r. odnotowano wzrost liczby jednostek, co może wynikać z efektu wzmożonego zapotrzebowania na takie produkty w okresie bezpośrednio następującym po pandemii. Przedsiębiorstwa te miały swoje siedziby głównie w Rzeszowie i powiecie rzeszowskim. Grupa ta, w przeciwieństwie do wcześniej przywołanych, charakteryzowała się nieznaczną sprzedażą na eksport. </w:t>
      </w:r>
      <w:r w:rsidRPr="00D62638">
        <w:rPr>
          <w:rFonts w:eastAsia="Trebuchet MS"/>
        </w:rPr>
        <w:t>P</w:t>
      </w:r>
      <w:r w:rsidRPr="00D62638">
        <w:t>odmioty tej specjalizacji utrzymały dodatni wynik finansowy, choć wyraźnie niższy niż w poprzednim roku. Perspektywiczną szansą dla jednostek tej podspecjalizacji jest odpowiedź na wzrastającą świadomość zdrowotną oraz stworzenie oferty ukierunkowanej na potrzeby starzejącego się społeczeństwa.</w:t>
      </w:r>
    </w:p>
    <w:p w:rsidR="0022078C" w:rsidRDefault="00332EAF" w:rsidP="005E33AE">
      <w:pPr>
        <w:pStyle w:val="wnioski"/>
        <w:numPr>
          <w:ilvl w:val="0"/>
          <w:numId w:val="0"/>
        </w:numPr>
        <w:jc w:val="left"/>
      </w:pPr>
      <w:r w:rsidRPr="00D62638">
        <w:rPr>
          <w:rFonts w:eastAsia="Trebuchet MS"/>
        </w:rPr>
        <w:t xml:space="preserve">W ramach podspecjalizacji </w:t>
      </w:r>
      <w:bookmarkStart w:id="114" w:name="_Hlk147730125"/>
      <w:r w:rsidRPr="00D62638">
        <w:t xml:space="preserve">energia przyjazna środowisku </w:t>
      </w:r>
      <w:bookmarkEnd w:id="114"/>
      <w:r w:rsidRPr="00D62638">
        <w:t>w 2021 r.</w:t>
      </w:r>
      <w:r w:rsidRPr="00D62638">
        <w:rPr>
          <w:rFonts w:eastAsia="Trebuchet MS"/>
        </w:rPr>
        <w:t xml:space="preserve"> utrzymał się trend wzrostowy liczby jednostek, a </w:t>
      </w:r>
      <w:r w:rsidRPr="00D62638">
        <w:t>dodatni w</w:t>
      </w:r>
      <w:r w:rsidRPr="00D62638">
        <w:rPr>
          <w:rFonts w:eastAsia="Trebuchet MS"/>
        </w:rPr>
        <w:t>ynik finansowy dodatkowo się poprawił</w:t>
      </w:r>
      <w:r w:rsidRPr="00D62638">
        <w:t>. Przedsiębiorstwa należące do podspecjalizacji energia przyjazna środowisku miały swoje siedziby głównie w Rzeszowie oraz w powiecie mieleckim, rzeszowskim i sanockim. Ich działalność nie miała proeksportowego ukierunkowania, zaspokajając głównie potrzeby regionalnych odbiorców. Perspektywy rozwoju tej specjalizacji są korzystne ze względu na postępującą transformację energetyczną.</w:t>
      </w:r>
    </w:p>
    <w:p w:rsidR="0047013A" w:rsidRPr="00D62638" w:rsidRDefault="00A90F75" w:rsidP="005E33AE">
      <w:pPr>
        <w:pStyle w:val="wnioski"/>
        <w:numPr>
          <w:ilvl w:val="0"/>
          <w:numId w:val="0"/>
        </w:numPr>
        <w:jc w:val="left"/>
      </w:pPr>
      <w:r w:rsidRPr="00E535A9">
        <w:t xml:space="preserve">Wdrożenie koncepcji inteligentnych specjalizacji umożliwiło zbudowanie przewagi konkurencyjnej zarówno na rynku krajowym, jak i międzynarodowym. </w:t>
      </w:r>
      <w:r w:rsidR="00437CE3" w:rsidRPr="00E535A9">
        <w:t>Proces zarządzania inteligentnymi specjalizacjami wymaga ciągłej analizy i dostosowywania ich do zmieniających się warunków społeczno-ekonomicznych</w:t>
      </w:r>
      <w:r w:rsidR="00E535A9" w:rsidRPr="00E535A9">
        <w:t xml:space="preserve"> oraz</w:t>
      </w:r>
      <w:r w:rsidR="00437CE3" w:rsidRPr="00E535A9">
        <w:t xml:space="preserve"> rozwoju technologii</w:t>
      </w:r>
      <w:r w:rsidRPr="00E535A9">
        <w:t xml:space="preserve">. Identyfikacja specjalizacji nie jest działaniem jednorazowym. Z uwagi na procesowy charakter ich identyfikacji oraz z uwagi na dynamiczne zmiany zachodzące w sektorze przedsiębiorstw, Samorząd Województwa poddaje stałej obserwacji rozwój gospodarczy regionu. Gromadzone dane pozwalają ocenić potencjał branż, które mają istotny wpływ na rozwój regionu, a także mogą stanowić jego istotne filary </w:t>
      </w:r>
      <w:r w:rsidR="009844BD" w:rsidRPr="00E535A9">
        <w:t>w przyszłości i stać się kolejnymi regionalnymi specjalizacjami.</w:t>
      </w:r>
    </w:p>
    <w:p w:rsidR="00680EF4" w:rsidRPr="0064087E" w:rsidRDefault="00680EF4" w:rsidP="005E33AE">
      <w:pPr>
        <w:widowControl/>
        <w:autoSpaceDE/>
        <w:autoSpaceDN/>
        <w:spacing w:after="160" w:line="259" w:lineRule="auto"/>
        <w:rPr>
          <w:rFonts w:ascii="Arial" w:hAnsi="Arial" w:cs="Arial"/>
        </w:rPr>
      </w:pPr>
      <w:r w:rsidRPr="0064087E">
        <w:rPr>
          <w:rFonts w:ascii="Arial" w:hAnsi="Arial" w:cs="Arial"/>
        </w:rPr>
        <w:br w:type="page"/>
      </w:r>
    </w:p>
    <w:p w:rsidR="00942BAD" w:rsidRPr="0064087E" w:rsidRDefault="00680EF4" w:rsidP="000255EB">
      <w:pPr>
        <w:pStyle w:val="Nagwek1"/>
        <w:spacing w:before="40" w:after="120"/>
        <w:rPr>
          <w:rFonts w:cs="Arial"/>
          <w:b/>
          <w:sz w:val="22"/>
          <w:szCs w:val="22"/>
        </w:rPr>
      </w:pPr>
      <w:bookmarkStart w:id="115" w:name="_Toc160793885"/>
      <w:r w:rsidRPr="0064087E">
        <w:rPr>
          <w:rFonts w:cs="Arial"/>
          <w:b/>
          <w:sz w:val="22"/>
          <w:szCs w:val="22"/>
        </w:rPr>
        <w:lastRenderedPageBreak/>
        <w:t xml:space="preserve">Spis </w:t>
      </w:r>
      <w:r w:rsidR="001C7E75" w:rsidRPr="0064087E">
        <w:rPr>
          <w:rFonts w:cs="Arial"/>
          <w:b/>
          <w:sz w:val="22"/>
          <w:szCs w:val="22"/>
        </w:rPr>
        <w:t>t</w:t>
      </w:r>
      <w:r w:rsidRPr="0064087E">
        <w:rPr>
          <w:rFonts w:cs="Arial"/>
          <w:b/>
          <w:sz w:val="22"/>
          <w:szCs w:val="22"/>
        </w:rPr>
        <w:t>abel</w:t>
      </w:r>
      <w:bookmarkEnd w:id="115"/>
      <w:r w:rsidR="002B74D9" w:rsidRPr="0064087E">
        <w:rPr>
          <w:rFonts w:cs="Arial"/>
          <w:b/>
          <w:sz w:val="22"/>
          <w:szCs w:val="22"/>
        </w:rPr>
        <w:t xml:space="preserve"> </w:t>
      </w:r>
    </w:p>
    <w:p w:rsidR="000255EB" w:rsidRPr="0064087E" w:rsidRDefault="00680EF4" w:rsidP="000255EB">
      <w:pPr>
        <w:pStyle w:val="Spisilustracji"/>
        <w:tabs>
          <w:tab w:val="right" w:leader="dot" w:pos="9062"/>
        </w:tabs>
        <w:spacing w:before="60" w:after="60" w:line="276" w:lineRule="auto"/>
        <w:jc w:val="both"/>
        <w:rPr>
          <w:rFonts w:ascii="Arial" w:eastAsiaTheme="minorEastAsia" w:hAnsi="Arial" w:cs="Arial"/>
          <w:noProof/>
          <w:lang w:eastAsia="pl-PL"/>
        </w:rPr>
      </w:pPr>
      <w:r w:rsidRPr="0064087E">
        <w:rPr>
          <w:rFonts w:ascii="Arial" w:hAnsi="Arial" w:cs="Arial"/>
        </w:rPr>
        <w:fldChar w:fldCharType="begin"/>
      </w:r>
      <w:r w:rsidRPr="0064087E">
        <w:rPr>
          <w:rFonts w:ascii="Arial" w:hAnsi="Arial" w:cs="Arial"/>
        </w:rPr>
        <w:instrText xml:space="preserve"> TOC \h \z \c "Tabela" </w:instrText>
      </w:r>
      <w:r w:rsidRPr="0064087E">
        <w:rPr>
          <w:rFonts w:ascii="Arial" w:hAnsi="Arial" w:cs="Arial"/>
        </w:rPr>
        <w:fldChar w:fldCharType="separate"/>
      </w:r>
      <w:hyperlink w:anchor="_Toc157073901" w:history="1">
        <w:r w:rsidR="000255EB" w:rsidRPr="0064087E">
          <w:rPr>
            <w:rStyle w:val="Hipercze"/>
            <w:rFonts w:ascii="Arial" w:hAnsi="Arial" w:cs="Arial"/>
            <w:b/>
            <w:noProof/>
            <w:color w:val="auto"/>
          </w:rPr>
          <w:t>Tabela 1.</w:t>
        </w:r>
        <w:r w:rsidR="000255EB" w:rsidRPr="0064087E">
          <w:rPr>
            <w:rStyle w:val="Hipercze"/>
            <w:rFonts w:ascii="Arial" w:hAnsi="Arial" w:cs="Arial"/>
            <w:noProof/>
            <w:color w:val="auto"/>
          </w:rPr>
          <w:t xml:space="preserve"> Wybrane miary zróżnicowania przeciętnego dochodu do dyspozycji według NUTS 2 w 2022 roku</w:t>
        </w:r>
        <w:r w:rsidR="000255EB" w:rsidRPr="0064087E">
          <w:rPr>
            <w:rFonts w:ascii="Arial" w:hAnsi="Arial" w:cs="Arial"/>
            <w:noProof/>
            <w:webHidden/>
          </w:rPr>
          <w:tab/>
        </w:r>
        <w:r w:rsidR="000255EB" w:rsidRPr="0064087E">
          <w:rPr>
            <w:rFonts w:ascii="Arial" w:hAnsi="Arial" w:cs="Arial"/>
            <w:noProof/>
            <w:webHidden/>
          </w:rPr>
          <w:fldChar w:fldCharType="begin"/>
        </w:r>
        <w:r w:rsidR="000255EB" w:rsidRPr="0064087E">
          <w:rPr>
            <w:rFonts w:ascii="Arial" w:hAnsi="Arial" w:cs="Arial"/>
            <w:noProof/>
            <w:webHidden/>
          </w:rPr>
          <w:instrText xml:space="preserve"> PAGEREF _Toc157073901 \h </w:instrText>
        </w:r>
        <w:r w:rsidR="000255EB" w:rsidRPr="0064087E">
          <w:rPr>
            <w:rFonts w:ascii="Arial" w:hAnsi="Arial" w:cs="Arial"/>
            <w:noProof/>
            <w:webHidden/>
          </w:rPr>
        </w:r>
        <w:r w:rsidR="000255EB" w:rsidRPr="0064087E">
          <w:rPr>
            <w:rFonts w:ascii="Arial" w:hAnsi="Arial" w:cs="Arial"/>
            <w:noProof/>
            <w:webHidden/>
          </w:rPr>
          <w:fldChar w:fldCharType="separate"/>
        </w:r>
        <w:r w:rsidR="00A564A3">
          <w:rPr>
            <w:rFonts w:ascii="Arial" w:hAnsi="Arial" w:cs="Arial"/>
            <w:noProof/>
            <w:webHidden/>
          </w:rPr>
          <w:t>45</w:t>
        </w:r>
        <w:r w:rsidR="000255EB" w:rsidRPr="0064087E">
          <w:rPr>
            <w:rFonts w:ascii="Arial" w:hAnsi="Arial" w:cs="Arial"/>
            <w:noProof/>
            <w:webHidden/>
          </w:rPr>
          <w:fldChar w:fldCharType="end"/>
        </w:r>
      </w:hyperlink>
    </w:p>
    <w:p w:rsidR="00680EF4" w:rsidRPr="0064087E" w:rsidRDefault="00680EF4" w:rsidP="000255EB">
      <w:pPr>
        <w:pStyle w:val="Nagwek1"/>
        <w:spacing w:before="40" w:after="120"/>
        <w:ind w:left="992" w:hanging="992"/>
        <w:rPr>
          <w:rFonts w:cs="Arial"/>
          <w:b/>
          <w:sz w:val="22"/>
          <w:szCs w:val="22"/>
        </w:rPr>
      </w:pPr>
      <w:r w:rsidRPr="0064087E">
        <w:rPr>
          <w:rFonts w:cs="Arial"/>
        </w:rPr>
        <w:fldChar w:fldCharType="end"/>
      </w:r>
      <w:bookmarkStart w:id="116" w:name="_Toc160793886"/>
      <w:r w:rsidRPr="0064087E">
        <w:rPr>
          <w:rFonts w:cs="Arial"/>
          <w:b/>
          <w:sz w:val="22"/>
          <w:szCs w:val="22"/>
        </w:rPr>
        <w:t xml:space="preserve">Spis </w:t>
      </w:r>
      <w:r w:rsidR="001C7E75" w:rsidRPr="0064087E">
        <w:rPr>
          <w:rFonts w:cs="Arial"/>
          <w:b/>
          <w:sz w:val="22"/>
          <w:szCs w:val="22"/>
        </w:rPr>
        <w:t>w</w:t>
      </w:r>
      <w:r w:rsidRPr="0064087E">
        <w:rPr>
          <w:rFonts w:cs="Arial"/>
          <w:b/>
          <w:sz w:val="22"/>
          <w:szCs w:val="22"/>
        </w:rPr>
        <w:t>ykresów</w:t>
      </w:r>
      <w:bookmarkEnd w:id="116"/>
      <w:r w:rsidR="002B74D9" w:rsidRPr="0064087E">
        <w:rPr>
          <w:rFonts w:cs="Arial"/>
          <w:b/>
          <w:sz w:val="22"/>
          <w:szCs w:val="22"/>
        </w:rPr>
        <w:t xml:space="preserve"> </w:t>
      </w:r>
    </w:p>
    <w:p w:rsidR="007F5CCA" w:rsidRPr="007F5CCA" w:rsidRDefault="00680EF4" w:rsidP="007F5CCA">
      <w:pPr>
        <w:pStyle w:val="Spisilustracji"/>
        <w:tabs>
          <w:tab w:val="right" w:leader="dot" w:pos="9062"/>
        </w:tabs>
        <w:spacing w:line="276" w:lineRule="auto"/>
        <w:rPr>
          <w:rFonts w:ascii="Arial" w:eastAsiaTheme="minorEastAsia" w:hAnsi="Arial" w:cs="Arial"/>
          <w:noProof/>
          <w:color w:val="000000" w:themeColor="text1"/>
          <w:lang w:eastAsia="pl-PL"/>
        </w:rPr>
      </w:pPr>
      <w:r w:rsidRPr="0064087E">
        <w:rPr>
          <w:rFonts w:ascii="Arial" w:hAnsi="Arial" w:cs="Arial"/>
        </w:rPr>
        <w:fldChar w:fldCharType="begin"/>
      </w:r>
      <w:r w:rsidRPr="0064087E">
        <w:rPr>
          <w:rFonts w:ascii="Arial" w:hAnsi="Arial" w:cs="Arial"/>
        </w:rPr>
        <w:instrText xml:space="preserve"> TOC \h \z \c "Wykres" </w:instrText>
      </w:r>
      <w:r w:rsidRPr="0064087E">
        <w:rPr>
          <w:rFonts w:ascii="Arial" w:hAnsi="Arial" w:cs="Arial"/>
        </w:rPr>
        <w:fldChar w:fldCharType="separate"/>
      </w:r>
      <w:hyperlink w:anchor="_Toc160793507" w:history="1">
        <w:r w:rsidR="007F5CCA" w:rsidRPr="007F5CCA">
          <w:rPr>
            <w:rStyle w:val="Hipercze"/>
            <w:rFonts w:ascii="Arial" w:hAnsi="Arial" w:cs="Arial"/>
            <w:b/>
            <w:noProof/>
            <w:color w:val="000000" w:themeColor="text1"/>
          </w:rPr>
          <w:t>Wykres 1.</w:t>
        </w:r>
        <w:r w:rsidR="007F5CCA" w:rsidRPr="007F5CCA">
          <w:rPr>
            <w:rStyle w:val="Hipercze"/>
            <w:rFonts w:ascii="Arial" w:hAnsi="Arial" w:cs="Arial"/>
            <w:noProof/>
            <w:color w:val="000000" w:themeColor="text1"/>
          </w:rPr>
          <w:t xml:space="preserve"> Nakłady wewnętrzne na B+R w relacji do PKB (ceny bieżące) w latach 2017-2022</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_Toc160793507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6</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08" w:history="1">
        <w:r w:rsidR="007F5CCA" w:rsidRPr="007F5CCA">
          <w:rPr>
            <w:rStyle w:val="Hipercze"/>
            <w:rFonts w:ascii="Arial" w:hAnsi="Arial" w:cs="Arial"/>
            <w:b/>
            <w:noProof/>
            <w:color w:val="000000" w:themeColor="text1"/>
          </w:rPr>
          <w:t>Wykres 2.</w:t>
        </w:r>
        <w:r w:rsidR="007F5CCA" w:rsidRPr="007F5CCA">
          <w:rPr>
            <w:rStyle w:val="Hipercze"/>
            <w:rFonts w:ascii="Arial" w:hAnsi="Arial" w:cs="Arial"/>
            <w:noProof/>
            <w:color w:val="000000" w:themeColor="text1"/>
          </w:rPr>
          <w:t xml:space="preserve"> Udział nakładów na działalność B+R finansowanych z sektora przedsiębiorstw  w nakładach na działalność B+R ogółem według województw w 2022 r.</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_Toc160793508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6</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09" w:history="1">
        <w:r w:rsidR="007F5CCA" w:rsidRPr="007F5CCA">
          <w:rPr>
            <w:rStyle w:val="Hipercze"/>
            <w:rFonts w:ascii="Arial" w:hAnsi="Arial" w:cs="Arial"/>
            <w:b/>
            <w:noProof/>
            <w:color w:val="000000" w:themeColor="text1"/>
          </w:rPr>
          <w:t>Wykres 3.</w:t>
        </w:r>
        <w:r w:rsidR="007F5CCA" w:rsidRPr="007F5CCA">
          <w:rPr>
            <w:rStyle w:val="Hipercze"/>
            <w:rFonts w:ascii="Arial" w:hAnsi="Arial" w:cs="Arial"/>
            <w:noProof/>
            <w:color w:val="000000" w:themeColor="text1"/>
          </w:rPr>
          <w:t xml:space="preserve"> Nakłady wewnętrzne inwestycyjne faktycznie poniesione na B+R na 1 podmiot gospodarczy w latach 2017-2022</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_Toc160793509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7</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10" w:history="1">
        <w:r w:rsidR="007F5CCA" w:rsidRPr="007F5CCA">
          <w:rPr>
            <w:rStyle w:val="Hipercze"/>
            <w:rFonts w:ascii="Arial" w:hAnsi="Arial" w:cs="Arial"/>
            <w:b/>
            <w:noProof/>
            <w:color w:val="000000" w:themeColor="text1"/>
          </w:rPr>
          <w:t>Wykres 4.</w:t>
        </w:r>
        <w:r w:rsidR="007F5CCA" w:rsidRPr="007F5CCA">
          <w:rPr>
            <w:rStyle w:val="Hipercze"/>
            <w:rFonts w:ascii="Arial" w:hAnsi="Arial" w:cs="Arial"/>
            <w:noProof/>
            <w:color w:val="000000" w:themeColor="text1"/>
          </w:rPr>
          <w:t xml:space="preserve"> Ochrona własności przemysłowej według województw w 2022 r.</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_Toc160793510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7</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11" w:history="1">
        <w:r w:rsidR="007F5CCA" w:rsidRPr="007F5CCA">
          <w:rPr>
            <w:rStyle w:val="Hipercze"/>
            <w:rFonts w:ascii="Arial" w:hAnsi="Arial" w:cs="Arial"/>
            <w:b/>
            <w:noProof/>
            <w:color w:val="000000" w:themeColor="text1"/>
          </w:rPr>
          <w:t>Wykres 5.</w:t>
        </w:r>
        <w:r w:rsidR="007F5CCA" w:rsidRPr="007F5CCA">
          <w:rPr>
            <w:rStyle w:val="Hipercze"/>
            <w:rFonts w:ascii="Arial" w:hAnsi="Arial" w:cs="Arial"/>
            <w:noProof/>
            <w:color w:val="000000" w:themeColor="text1"/>
          </w:rPr>
          <w:t xml:space="preserve"> Patenty udzielone przez UPRP na 1 milion mieszkańców według województw  w 2017, 2021 i 2022 r.</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_Toc160793511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8</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12" w:history="1">
        <w:r w:rsidR="007F5CCA" w:rsidRPr="007F5CCA">
          <w:rPr>
            <w:rStyle w:val="Hipercze"/>
            <w:rFonts w:ascii="Arial" w:hAnsi="Arial" w:cs="Arial"/>
            <w:b/>
            <w:noProof/>
            <w:color w:val="000000" w:themeColor="text1"/>
          </w:rPr>
          <w:t>Wykres 6.</w:t>
        </w:r>
        <w:r w:rsidR="007F5CCA" w:rsidRPr="007F5CCA">
          <w:rPr>
            <w:rStyle w:val="Hipercze"/>
            <w:rFonts w:ascii="Arial" w:hAnsi="Arial" w:cs="Arial"/>
            <w:noProof/>
            <w:color w:val="000000" w:themeColor="text1"/>
          </w:rPr>
          <w:t xml:space="preserve"> Wynalazki zgłoszone na 1 milion mieszkańców według województw w 2017 r., 2021 r. i 2022 r.</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_Toc160793512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9</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13" w:history="1">
        <w:r w:rsidR="007F5CCA" w:rsidRPr="007F5CCA">
          <w:rPr>
            <w:rStyle w:val="Hipercze"/>
            <w:rFonts w:ascii="Arial" w:hAnsi="Arial" w:cs="Arial"/>
            <w:b/>
            <w:noProof/>
            <w:color w:val="000000" w:themeColor="text1"/>
          </w:rPr>
          <w:t>Wykres 7.</w:t>
        </w:r>
        <w:r w:rsidR="007F5CCA" w:rsidRPr="007F5CCA">
          <w:rPr>
            <w:rStyle w:val="Hipercze"/>
            <w:rFonts w:ascii="Arial" w:hAnsi="Arial" w:cs="Arial"/>
            <w:noProof/>
            <w:color w:val="000000" w:themeColor="text1"/>
          </w:rPr>
          <w:t xml:space="preserve"> Udział personelu wewnętrznego w działalności B+R pracujących ogółem w latach 2017-2022</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_Toc160793513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9</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14" w:history="1">
        <w:r w:rsidR="007F5CCA" w:rsidRPr="007F5CCA">
          <w:rPr>
            <w:rStyle w:val="Hipercze"/>
            <w:rFonts w:ascii="Arial" w:hAnsi="Arial" w:cs="Arial"/>
            <w:b/>
            <w:noProof/>
            <w:color w:val="000000" w:themeColor="text1"/>
          </w:rPr>
          <w:t>Wykres 8.</w:t>
        </w:r>
        <w:r w:rsidR="007F5CCA" w:rsidRPr="007F5CCA">
          <w:rPr>
            <w:rStyle w:val="Hipercze"/>
            <w:rFonts w:ascii="Arial" w:hAnsi="Arial" w:cs="Arial"/>
            <w:noProof/>
            <w:color w:val="000000" w:themeColor="text1"/>
          </w:rPr>
          <w:t xml:space="preserve"> Udział osób pracujących w działalności B+R wśród ludności aktywnej zawodowo  w latach 2017-2022</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_Toc160793514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10</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15" w:history="1">
        <w:r w:rsidR="007F5CCA" w:rsidRPr="007F5CCA">
          <w:rPr>
            <w:rStyle w:val="Hipercze"/>
            <w:rFonts w:ascii="Arial" w:hAnsi="Arial" w:cs="Arial"/>
            <w:b/>
            <w:noProof/>
            <w:color w:val="000000" w:themeColor="text1"/>
          </w:rPr>
          <w:t>Wykres 9.</w:t>
        </w:r>
        <w:r w:rsidR="007F5CCA" w:rsidRPr="007F5CCA">
          <w:rPr>
            <w:rStyle w:val="Hipercze"/>
            <w:rFonts w:ascii="Arial" w:hAnsi="Arial" w:cs="Arial"/>
            <w:noProof/>
            <w:color w:val="000000" w:themeColor="text1"/>
          </w:rPr>
          <w:t xml:space="preserve"> Udział przychodów netto ze sprzedaży produktów innowacyjnych w przychodach netto ze sprzedaży ogółem w przedsiębiorstwach przemysłowych w latach 2017-2022</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_Toc160793515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10</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16" w:history="1">
        <w:r w:rsidR="007F5CCA" w:rsidRPr="007F5CCA">
          <w:rPr>
            <w:rStyle w:val="Hipercze"/>
            <w:rFonts w:ascii="Arial" w:hAnsi="Arial" w:cs="Arial"/>
            <w:b/>
            <w:noProof/>
            <w:color w:val="000000" w:themeColor="text1"/>
          </w:rPr>
          <w:t>Wykres 10.</w:t>
        </w:r>
        <w:r w:rsidR="007F5CCA" w:rsidRPr="007F5CCA">
          <w:rPr>
            <w:rStyle w:val="Hipercze"/>
            <w:rFonts w:ascii="Arial" w:hAnsi="Arial" w:cs="Arial"/>
            <w:noProof/>
            <w:color w:val="000000" w:themeColor="text1"/>
          </w:rPr>
          <w:t xml:space="preserve"> Udział przedsiębiorstw przemysłowych współpracujących w ramach inicjatywy klastrowej lub innej sformalizowanej współpracy w % przedsiębiorstw aktywnych innowacyjnie w latach 2017-2022</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_Toc160793516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11</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17" w:history="1">
        <w:r w:rsidR="007F5CCA" w:rsidRPr="007F5CCA">
          <w:rPr>
            <w:rStyle w:val="Hipercze"/>
            <w:rFonts w:ascii="Arial" w:hAnsi="Arial" w:cs="Arial"/>
            <w:b/>
            <w:noProof/>
            <w:color w:val="000000" w:themeColor="text1"/>
          </w:rPr>
          <w:t>Wykres 11.</w:t>
        </w:r>
        <w:r w:rsidR="007F5CCA" w:rsidRPr="007F5CCA">
          <w:rPr>
            <w:rStyle w:val="Hipercze"/>
            <w:rFonts w:ascii="Arial" w:hAnsi="Arial" w:cs="Arial"/>
            <w:noProof/>
            <w:color w:val="000000" w:themeColor="text1"/>
          </w:rPr>
          <w:t xml:space="preserve"> Przychody, koszty oraz wskaźnik poziomu kosztów z całokształtu działalności firm branży lotniczej z województwa podkarpackiego w latach 2017-2021.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_Toc160793517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16</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18" w:history="1">
        <w:r w:rsidR="007F5CCA" w:rsidRPr="007F5CCA">
          <w:rPr>
            <w:rStyle w:val="Hipercze"/>
            <w:rFonts w:ascii="Arial" w:hAnsi="Arial" w:cs="Arial"/>
            <w:b/>
            <w:noProof/>
            <w:color w:val="000000" w:themeColor="text1"/>
          </w:rPr>
          <w:t>Wykres 12.</w:t>
        </w:r>
        <w:r w:rsidR="007F5CCA" w:rsidRPr="007F5CCA">
          <w:rPr>
            <w:rStyle w:val="Hipercze"/>
            <w:rFonts w:ascii="Arial" w:hAnsi="Arial" w:cs="Arial"/>
            <w:noProof/>
            <w:color w:val="000000" w:themeColor="text1"/>
          </w:rPr>
          <w:t xml:space="preserve"> Udział przychodów netto ze sprzedaży produktów, towarów i materiałów na eksport w przychodach netto ze sprzedaży produktów, towarów i materiałów w Polsce, województwie podkarpackim oraz  branży lotniczej w latach 2017-2021.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_Toc160793518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16</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19" w:history="1">
        <w:r w:rsidR="007F5CCA" w:rsidRPr="007F5CCA">
          <w:rPr>
            <w:rStyle w:val="Hipercze"/>
            <w:rFonts w:ascii="Arial" w:hAnsi="Arial" w:cs="Arial"/>
            <w:b/>
            <w:noProof/>
            <w:color w:val="000000" w:themeColor="text1"/>
          </w:rPr>
          <w:t>Wykres 13.</w:t>
        </w:r>
        <w:r w:rsidR="007F5CCA" w:rsidRPr="007F5CCA">
          <w:rPr>
            <w:rStyle w:val="Hipercze"/>
            <w:rFonts w:ascii="Arial" w:hAnsi="Arial" w:cs="Arial"/>
            <w:noProof/>
            <w:color w:val="000000" w:themeColor="text1"/>
          </w:rPr>
          <w:t xml:space="preserve"> Dynamika przychodów netto ze sprzedaży produktów towarów i materiałów na eksport (rok poprzedni=100) w Polsce, województwie podkarpackim oraz branży lotniczej w latach 2018-2021.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_Toc160793519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17</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20" w:history="1">
        <w:r w:rsidR="007F5CCA" w:rsidRPr="007F5CCA">
          <w:rPr>
            <w:rStyle w:val="Hipercze"/>
            <w:rFonts w:ascii="Arial" w:hAnsi="Arial" w:cs="Arial"/>
            <w:b/>
            <w:noProof/>
            <w:color w:val="000000" w:themeColor="text1"/>
          </w:rPr>
          <w:t>Wykres 14.</w:t>
        </w:r>
        <w:r w:rsidR="007F5CCA" w:rsidRPr="007F5CCA">
          <w:rPr>
            <w:rStyle w:val="Hipercze"/>
            <w:rFonts w:ascii="Arial" w:hAnsi="Arial" w:cs="Arial"/>
            <w:noProof/>
            <w:color w:val="000000" w:themeColor="text1"/>
          </w:rPr>
          <w:t xml:space="preserve"> Wskaźnik rentowności obrotu ze sprzedaży w Polsce, województwie podkarpackim oraz branży lotniczej w latach 2017-2021.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_Toc160793520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17</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21" w:history="1">
        <w:r w:rsidR="007F5CCA" w:rsidRPr="007F5CCA">
          <w:rPr>
            <w:rStyle w:val="Hipercze"/>
            <w:rFonts w:ascii="Arial" w:hAnsi="Arial" w:cs="Arial"/>
            <w:b/>
            <w:noProof/>
            <w:color w:val="000000" w:themeColor="text1"/>
          </w:rPr>
          <w:t>Wykres 15.</w:t>
        </w:r>
        <w:r w:rsidR="007F5CCA" w:rsidRPr="007F5CCA">
          <w:rPr>
            <w:rStyle w:val="Hipercze"/>
            <w:rFonts w:ascii="Arial" w:hAnsi="Arial" w:cs="Arial"/>
            <w:noProof/>
            <w:color w:val="000000" w:themeColor="text1"/>
          </w:rPr>
          <w:t xml:space="preserve"> Wskaźnik rentowności aktywów w Polsce, województwie podkarpackim oraz branży lotniczej w latach 2017-2021.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_Toc160793521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18</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22" w:history="1">
        <w:r w:rsidR="007F5CCA" w:rsidRPr="007F5CCA">
          <w:rPr>
            <w:rStyle w:val="Hipercze"/>
            <w:rFonts w:ascii="Arial" w:hAnsi="Arial" w:cs="Arial"/>
            <w:b/>
            <w:noProof/>
            <w:color w:val="000000" w:themeColor="text1"/>
          </w:rPr>
          <w:t>Wykres 16.</w:t>
        </w:r>
        <w:r w:rsidR="007F5CCA" w:rsidRPr="007F5CCA">
          <w:rPr>
            <w:rStyle w:val="Hipercze"/>
            <w:rFonts w:ascii="Arial" w:hAnsi="Arial" w:cs="Arial"/>
            <w:noProof/>
            <w:color w:val="000000" w:themeColor="text1"/>
          </w:rPr>
          <w:t xml:space="preserve"> Wskaźnik rentowności kapitału własnego w Polsce, województwie podkarpackim oraz branży lotniczej w latach 2017-2021.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_Toc160793522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19</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23" w:history="1">
        <w:r w:rsidR="007F5CCA" w:rsidRPr="007F5CCA">
          <w:rPr>
            <w:rStyle w:val="Hipercze"/>
            <w:rFonts w:ascii="Arial" w:hAnsi="Arial" w:cs="Arial"/>
            <w:b/>
            <w:noProof/>
            <w:color w:val="000000" w:themeColor="text1"/>
          </w:rPr>
          <w:t>Wykres 17.</w:t>
        </w:r>
        <w:r w:rsidR="007F5CCA" w:rsidRPr="007F5CCA">
          <w:rPr>
            <w:rStyle w:val="Hipercze"/>
            <w:rFonts w:ascii="Arial" w:hAnsi="Arial" w:cs="Arial"/>
            <w:noProof/>
            <w:color w:val="000000" w:themeColor="text1"/>
          </w:rPr>
          <w:t xml:space="preserve"> Dynamika wyniku finansowego netto (rok poprzedni=100) w Polsce, województwie podkarpackim oraz branży lotniczej w latach 2018-2021.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_Toc160793523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19</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24" w:history="1">
        <w:r w:rsidR="007F5CCA" w:rsidRPr="007F5CCA">
          <w:rPr>
            <w:rStyle w:val="Hipercze"/>
            <w:rFonts w:ascii="Arial" w:hAnsi="Arial" w:cs="Arial"/>
            <w:b/>
            <w:noProof/>
            <w:color w:val="000000" w:themeColor="text1"/>
          </w:rPr>
          <w:t>Wykres 18.</w:t>
        </w:r>
        <w:r w:rsidR="007F5CCA" w:rsidRPr="007F5CCA">
          <w:rPr>
            <w:rStyle w:val="Hipercze"/>
            <w:rFonts w:ascii="Arial" w:hAnsi="Arial" w:cs="Arial"/>
            <w:noProof/>
            <w:color w:val="000000" w:themeColor="text1"/>
          </w:rPr>
          <w:t xml:space="preserve"> Dynamika przeciętnego zatrudnienia (rok poprzedni=100) w województwie podkarpackim oraz branży lotniczej w latach 2018-2021.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_Toc160793524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20</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25" w:history="1">
        <w:r w:rsidR="007F5CCA" w:rsidRPr="007F5CCA">
          <w:rPr>
            <w:rStyle w:val="Hipercze"/>
            <w:rFonts w:ascii="Arial" w:hAnsi="Arial" w:cs="Arial"/>
            <w:b/>
            <w:noProof/>
            <w:color w:val="000000" w:themeColor="text1"/>
          </w:rPr>
          <w:t>Wykres 19.</w:t>
        </w:r>
        <w:r w:rsidR="007F5CCA" w:rsidRPr="007F5CCA">
          <w:rPr>
            <w:rStyle w:val="Hipercze"/>
            <w:rFonts w:ascii="Arial" w:hAnsi="Arial" w:cs="Arial"/>
            <w:noProof/>
            <w:color w:val="000000" w:themeColor="text1"/>
          </w:rPr>
          <w:t xml:space="preserve"> Przychody, koszty oraz wskaźnik poziomu kosztów z całokształtu działalności firm branży motoryzacyjnej z województwa podkarpackiego w latach 2017-2021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_Toc160793525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24</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26" w:history="1">
        <w:r w:rsidR="007F5CCA" w:rsidRPr="007F5CCA">
          <w:rPr>
            <w:rStyle w:val="Hipercze"/>
            <w:rFonts w:ascii="Arial" w:hAnsi="Arial" w:cs="Arial"/>
            <w:b/>
            <w:noProof/>
            <w:color w:val="000000" w:themeColor="text1"/>
          </w:rPr>
          <w:t>Wykres 20.</w:t>
        </w:r>
        <w:r w:rsidR="007F5CCA" w:rsidRPr="007F5CCA">
          <w:rPr>
            <w:rStyle w:val="Hipercze"/>
            <w:rFonts w:ascii="Arial" w:hAnsi="Arial" w:cs="Arial"/>
            <w:noProof/>
            <w:color w:val="000000" w:themeColor="text1"/>
          </w:rPr>
          <w:t xml:space="preserve"> Udział przychodów netto ze sprzedaży produktów, towarów i materiałów na eksport w przychodach netto ze sprzedaży produktów, towarów i materiałów w Polsce, województwie podkarpackim oraz branży motoryzacyjnej w latach 2017-2021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_Toc160793526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25</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27" w:history="1">
        <w:r w:rsidR="007F5CCA" w:rsidRPr="007F5CCA">
          <w:rPr>
            <w:rStyle w:val="Hipercze"/>
            <w:rFonts w:ascii="Arial" w:hAnsi="Arial" w:cs="Arial"/>
            <w:b/>
            <w:noProof/>
            <w:color w:val="000000" w:themeColor="text1"/>
          </w:rPr>
          <w:t>Wykres 21.</w:t>
        </w:r>
        <w:r w:rsidR="007F5CCA" w:rsidRPr="007F5CCA">
          <w:rPr>
            <w:rStyle w:val="Hipercze"/>
            <w:rFonts w:ascii="Arial" w:hAnsi="Arial" w:cs="Arial"/>
            <w:noProof/>
            <w:color w:val="000000" w:themeColor="text1"/>
          </w:rPr>
          <w:t xml:space="preserve"> Dynamika przychodów netto ze sprzedaży produktów towarów i materiałów na eksport (rok poprzedni=100) w Polsce, województwie podkarpackim oraz branży motoryzacyjnej  w latach 2018-2021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_Toc160793527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25</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28" w:history="1">
        <w:r w:rsidR="007F5CCA" w:rsidRPr="007F5CCA">
          <w:rPr>
            <w:rStyle w:val="Hipercze"/>
            <w:rFonts w:ascii="Arial" w:hAnsi="Arial" w:cs="Arial"/>
            <w:b/>
            <w:noProof/>
            <w:color w:val="000000" w:themeColor="text1"/>
          </w:rPr>
          <w:t>Wykres 22.</w:t>
        </w:r>
        <w:r w:rsidR="007F5CCA" w:rsidRPr="007F5CCA">
          <w:rPr>
            <w:rStyle w:val="Hipercze"/>
            <w:rFonts w:ascii="Arial" w:hAnsi="Arial" w:cs="Arial"/>
            <w:noProof/>
            <w:color w:val="000000" w:themeColor="text1"/>
          </w:rPr>
          <w:t xml:space="preserve"> Dynamika wyniku finansowego netto (rok poprzedni=100) w Polsce, województwie podkarpackim oraz branży motoryzacyjnej w latach 2018-2021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_Toc160793528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26</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29" w:history="1">
        <w:r w:rsidR="007F5CCA" w:rsidRPr="007F5CCA">
          <w:rPr>
            <w:rStyle w:val="Hipercze"/>
            <w:rFonts w:ascii="Arial" w:hAnsi="Arial" w:cs="Arial"/>
            <w:b/>
            <w:noProof/>
            <w:color w:val="000000" w:themeColor="text1"/>
          </w:rPr>
          <w:t>Wykres 23.</w:t>
        </w:r>
        <w:r w:rsidR="007F5CCA" w:rsidRPr="007F5CCA">
          <w:rPr>
            <w:rStyle w:val="Hipercze"/>
            <w:rFonts w:ascii="Arial" w:hAnsi="Arial" w:cs="Arial"/>
            <w:noProof/>
            <w:color w:val="000000" w:themeColor="text1"/>
          </w:rPr>
          <w:t xml:space="preserve"> Wskaźnik rentowności sprzedaży w Polsce, województwie podkarpackim oraz branży motoryzacyjnej w latach 2017-2021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_Toc160793529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27</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30" w:history="1">
        <w:r w:rsidR="007F5CCA" w:rsidRPr="007F5CCA">
          <w:rPr>
            <w:rStyle w:val="Hipercze"/>
            <w:rFonts w:ascii="Arial" w:hAnsi="Arial" w:cs="Arial"/>
            <w:b/>
            <w:noProof/>
            <w:color w:val="000000" w:themeColor="text1"/>
          </w:rPr>
          <w:t>Wykres 24.</w:t>
        </w:r>
        <w:r w:rsidR="007F5CCA" w:rsidRPr="007F5CCA">
          <w:rPr>
            <w:rStyle w:val="Hipercze"/>
            <w:rFonts w:ascii="Arial" w:hAnsi="Arial" w:cs="Arial"/>
            <w:noProof/>
            <w:color w:val="000000" w:themeColor="text1"/>
          </w:rPr>
          <w:t xml:space="preserve"> Rentowność aktywów w Polsce, województwie podkarpackim oraz branży motoryzacyjnej w latach 2017-2021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_Toc160793530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28</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31" w:history="1">
        <w:r w:rsidR="007F5CCA" w:rsidRPr="007F5CCA">
          <w:rPr>
            <w:rStyle w:val="Hipercze"/>
            <w:rFonts w:ascii="Arial" w:hAnsi="Arial" w:cs="Arial"/>
            <w:b/>
            <w:noProof/>
            <w:color w:val="000000" w:themeColor="text1"/>
          </w:rPr>
          <w:t>Wykres 25.</w:t>
        </w:r>
        <w:r w:rsidR="007F5CCA" w:rsidRPr="007F5CCA">
          <w:rPr>
            <w:rStyle w:val="Hipercze"/>
            <w:rFonts w:ascii="Arial" w:hAnsi="Arial" w:cs="Arial"/>
            <w:noProof/>
            <w:color w:val="000000" w:themeColor="text1"/>
          </w:rPr>
          <w:t xml:space="preserve"> Wskaźnik rentowności kapitału własnego w Polsce, województwie podkarpackim oraz branży motoryzacyjnej w latach 2017-2021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_Toc160793531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28</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32" w:history="1">
        <w:r w:rsidR="007F5CCA" w:rsidRPr="007F5CCA">
          <w:rPr>
            <w:rStyle w:val="Hipercze"/>
            <w:rFonts w:ascii="Arial" w:hAnsi="Arial" w:cs="Arial"/>
            <w:b/>
            <w:noProof/>
            <w:color w:val="000000" w:themeColor="text1"/>
          </w:rPr>
          <w:t>Wykres 26.</w:t>
        </w:r>
        <w:r w:rsidR="007F5CCA" w:rsidRPr="007F5CCA">
          <w:rPr>
            <w:rStyle w:val="Hipercze"/>
            <w:rFonts w:ascii="Arial" w:hAnsi="Arial" w:cs="Arial"/>
            <w:noProof/>
            <w:color w:val="000000" w:themeColor="text1"/>
          </w:rPr>
          <w:t xml:space="preserve"> Dynamika przeciętnego zatrudnienia (rok poprzedni=100) w województwie podkarpackim oraz branży motoryzacyjnej w latach 2018-2021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_Toc160793532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30</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33" w:history="1">
        <w:r w:rsidR="007F5CCA" w:rsidRPr="007F5CCA">
          <w:rPr>
            <w:rStyle w:val="Hipercze"/>
            <w:rFonts w:ascii="Arial" w:hAnsi="Arial" w:cs="Arial"/>
            <w:b/>
            <w:noProof/>
            <w:color w:val="000000" w:themeColor="text1"/>
          </w:rPr>
          <w:t>Wykres 27.</w:t>
        </w:r>
        <w:r w:rsidR="007F5CCA" w:rsidRPr="007F5CCA">
          <w:rPr>
            <w:rStyle w:val="Hipercze"/>
            <w:rFonts w:ascii="Arial" w:hAnsi="Arial" w:cs="Arial"/>
            <w:noProof/>
            <w:color w:val="000000" w:themeColor="text1"/>
          </w:rPr>
          <w:t xml:space="preserve"> Dynamika sprzedaży detalicznej (2010=100) w województwie podkarpackim oraz branży motoryzacyjnej w latach 2017-2021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_Toc160793533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31</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34" w:history="1">
        <w:r w:rsidR="007F5CCA" w:rsidRPr="007F5CCA">
          <w:rPr>
            <w:rStyle w:val="Hipercze"/>
            <w:rFonts w:ascii="Arial" w:hAnsi="Arial" w:cs="Arial"/>
            <w:b/>
            <w:noProof/>
            <w:color w:val="000000" w:themeColor="text1"/>
          </w:rPr>
          <w:t>Wykres 28.</w:t>
        </w:r>
        <w:r w:rsidR="007F5CCA" w:rsidRPr="007F5CCA">
          <w:rPr>
            <w:rStyle w:val="Hipercze"/>
            <w:rFonts w:ascii="Arial" w:hAnsi="Arial" w:cs="Arial"/>
            <w:noProof/>
            <w:color w:val="000000" w:themeColor="text1"/>
          </w:rPr>
          <w:t xml:space="preserve"> Dynamika sprzedaży hurtowej (2010=100) w województwie podkarpackim oraz branży motoryzacyjnej w latach 2017-2021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_Toc160793534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31</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35" w:history="1">
        <w:r w:rsidR="007F5CCA" w:rsidRPr="007F5CCA">
          <w:rPr>
            <w:rStyle w:val="Hipercze"/>
            <w:rFonts w:ascii="Arial" w:hAnsi="Arial" w:cs="Arial"/>
            <w:b/>
            <w:noProof/>
            <w:color w:val="000000" w:themeColor="text1"/>
          </w:rPr>
          <w:t>Wykres 29.</w:t>
        </w:r>
        <w:r w:rsidR="007F5CCA" w:rsidRPr="007F5CCA">
          <w:rPr>
            <w:rStyle w:val="Hipercze"/>
            <w:rFonts w:ascii="Arial" w:hAnsi="Arial" w:cs="Arial"/>
            <w:noProof/>
            <w:color w:val="000000" w:themeColor="text1"/>
          </w:rPr>
          <w:t xml:space="preserve"> Przychody, koszty oraz wskaźnik poziomu kosztów z całokształtu działalności firm branży Informacja i telekomunikacja z województwa podkarpackiego w latach 2018-2022.</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_Toc160793535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35</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36" w:history="1">
        <w:r w:rsidR="007F5CCA" w:rsidRPr="007F5CCA">
          <w:rPr>
            <w:rStyle w:val="Hipercze"/>
            <w:rFonts w:ascii="Arial" w:hAnsi="Arial" w:cs="Arial"/>
            <w:b/>
            <w:noProof/>
            <w:color w:val="000000" w:themeColor="text1"/>
          </w:rPr>
          <w:t>Wykres 30.</w:t>
        </w:r>
        <w:r w:rsidR="007F5CCA" w:rsidRPr="007F5CCA">
          <w:rPr>
            <w:rStyle w:val="Hipercze"/>
            <w:rFonts w:ascii="Arial" w:hAnsi="Arial" w:cs="Arial"/>
            <w:noProof/>
            <w:color w:val="000000" w:themeColor="text1"/>
          </w:rPr>
          <w:t xml:space="preserve"> Łączna kwota przychodów z zeznań rocznych CIT-8 składanych przez podmioty działające w branży inteligentna specjalizacja - informacja i telekomunikacja sekcja J - informacja i telekomunikacja w 2021 r.</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_Toc160793536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36</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37" w:history="1">
        <w:r w:rsidR="007F5CCA" w:rsidRPr="007F5CCA">
          <w:rPr>
            <w:rStyle w:val="Hipercze"/>
            <w:rFonts w:ascii="Arial" w:hAnsi="Arial" w:cs="Arial"/>
            <w:b/>
            <w:noProof/>
            <w:color w:val="000000" w:themeColor="text1"/>
          </w:rPr>
          <w:t>Wykres 31.</w:t>
        </w:r>
        <w:r w:rsidR="007F5CCA" w:rsidRPr="007F5CCA">
          <w:rPr>
            <w:rStyle w:val="Hipercze"/>
            <w:rFonts w:ascii="Arial" w:hAnsi="Arial" w:cs="Arial"/>
            <w:noProof/>
            <w:color w:val="000000" w:themeColor="text1"/>
          </w:rPr>
          <w:t xml:space="preserve"> Łączna kwota kosztów uzyskania przychodu z zeznań rocznych CIT-8 składanych przez podmioty działające w branży inteligentna specjalizacja - informacja i telekomunikacja sekcja J - informacja i telekomunikacja w 2021 r.</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_Toc160793537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37</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38" w:history="1">
        <w:r w:rsidR="007F5CCA" w:rsidRPr="007F5CCA">
          <w:rPr>
            <w:rStyle w:val="Hipercze"/>
            <w:rFonts w:ascii="Arial" w:hAnsi="Arial" w:cs="Arial"/>
            <w:b/>
            <w:noProof/>
            <w:color w:val="000000" w:themeColor="text1"/>
          </w:rPr>
          <w:t>Wykres 32.</w:t>
        </w:r>
        <w:r w:rsidR="007F5CCA" w:rsidRPr="007F5CCA">
          <w:rPr>
            <w:rStyle w:val="Hipercze"/>
            <w:rFonts w:ascii="Arial" w:hAnsi="Arial" w:cs="Arial"/>
            <w:noProof/>
            <w:color w:val="000000" w:themeColor="text1"/>
          </w:rPr>
          <w:t xml:space="preserve"> Łączna kwota osiągniętego dochodu z zeznań rocznych CIT-8 składanych przez podmioty działające w branży inteligentna specjalizacja - informacja i telekomunikacja sekcja J - informacja i telekomunikacja w 2021 r.</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_Toc160793538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38</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39" w:history="1">
        <w:r w:rsidR="007F5CCA" w:rsidRPr="007F5CCA">
          <w:rPr>
            <w:rStyle w:val="Hipercze"/>
            <w:rFonts w:ascii="Arial" w:hAnsi="Arial" w:cs="Arial"/>
            <w:b/>
            <w:noProof/>
            <w:color w:val="000000" w:themeColor="text1"/>
          </w:rPr>
          <w:t>Wykres 33.</w:t>
        </w:r>
        <w:r w:rsidR="007F5CCA" w:rsidRPr="007F5CCA">
          <w:rPr>
            <w:rStyle w:val="Hipercze"/>
            <w:rFonts w:ascii="Arial" w:hAnsi="Arial" w:cs="Arial"/>
            <w:noProof/>
            <w:color w:val="000000" w:themeColor="text1"/>
          </w:rPr>
          <w:t xml:space="preserve"> Łączna kwota poniesionej straty z zeznań rocznych CIT-8 składanych przez podmioty działające w branży inteligentna specjalizacja - informacja i telekomunikacja sekcja J - informacja i telekomunikacja w 2021 r.</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_Toc160793539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39</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40" w:history="1">
        <w:r w:rsidR="007F5CCA" w:rsidRPr="007F5CCA">
          <w:rPr>
            <w:rStyle w:val="Hipercze"/>
            <w:rFonts w:ascii="Arial" w:hAnsi="Arial" w:cs="Arial"/>
            <w:b/>
            <w:noProof/>
            <w:color w:val="000000" w:themeColor="text1"/>
          </w:rPr>
          <w:t>Wykres 34.</w:t>
        </w:r>
        <w:r w:rsidR="007F5CCA" w:rsidRPr="007F5CCA">
          <w:rPr>
            <w:rStyle w:val="Hipercze"/>
            <w:rFonts w:ascii="Arial" w:hAnsi="Arial" w:cs="Arial"/>
            <w:noProof/>
            <w:color w:val="000000" w:themeColor="text1"/>
          </w:rPr>
          <w:t xml:space="preserve"> Łączna kwota przychodów z zeznań rocznych CIT-8 składanych przez podmioty działające w branży przetwórstwo przemysłowe Sekcja C oraz działalność profesjonalna, naukowa i techniczna Sekcja M w latach 2018-2022.</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_Toc160793540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41</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41" w:history="1">
        <w:r w:rsidR="007F5CCA" w:rsidRPr="007F5CCA">
          <w:rPr>
            <w:rStyle w:val="Hipercze"/>
            <w:rFonts w:ascii="Arial" w:hAnsi="Arial" w:cs="Arial"/>
            <w:b/>
            <w:noProof/>
            <w:color w:val="000000" w:themeColor="text1"/>
          </w:rPr>
          <w:t>Wykres 35.</w:t>
        </w:r>
        <w:r w:rsidR="007F5CCA" w:rsidRPr="007F5CCA">
          <w:rPr>
            <w:rStyle w:val="Hipercze"/>
            <w:rFonts w:ascii="Arial" w:hAnsi="Arial" w:cs="Arial"/>
            <w:noProof/>
            <w:color w:val="000000" w:themeColor="text1"/>
          </w:rPr>
          <w:t xml:space="preserve"> Łączna kwota kosztów uzyskania przychodu z zeznań rocznych CIT-8 składanych przez podmioty działające w branży przetwórstwo przemysłowe Sekcja C oraz działalność profesjonalna, naukowa i techniczna Sekcja M w latach 2018-2022.</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_Toc160793541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41</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42" w:history="1">
        <w:r w:rsidR="007F5CCA" w:rsidRPr="007F5CCA">
          <w:rPr>
            <w:rStyle w:val="Hipercze"/>
            <w:rFonts w:ascii="Arial" w:hAnsi="Arial" w:cs="Arial"/>
            <w:b/>
            <w:noProof/>
            <w:color w:val="000000" w:themeColor="text1"/>
          </w:rPr>
          <w:t>Wykres 36.</w:t>
        </w:r>
        <w:r w:rsidR="007F5CCA" w:rsidRPr="007F5CCA">
          <w:rPr>
            <w:rStyle w:val="Hipercze"/>
            <w:rFonts w:ascii="Arial" w:hAnsi="Arial" w:cs="Arial"/>
            <w:noProof/>
            <w:color w:val="000000" w:themeColor="text1"/>
          </w:rPr>
          <w:t xml:space="preserve"> Łączna kwota osiągniętego dochodu z zeznań rocznych CIT-8 składanych przez podmioty działające w branży przetwórstwo przemysłowe Sekcja C oraz działalność profesjonalna, naukowa i techniczna Sekcja M w latach 2018-2022.</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_Toc160793542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42</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43" w:history="1">
        <w:r w:rsidR="007F5CCA" w:rsidRPr="007F5CCA">
          <w:rPr>
            <w:rStyle w:val="Hipercze"/>
            <w:rFonts w:ascii="Arial" w:hAnsi="Arial" w:cs="Arial"/>
            <w:b/>
            <w:noProof/>
            <w:color w:val="000000" w:themeColor="text1"/>
          </w:rPr>
          <w:t>Wykres 37.</w:t>
        </w:r>
        <w:r w:rsidR="007F5CCA" w:rsidRPr="007F5CCA">
          <w:rPr>
            <w:rStyle w:val="Hipercze"/>
            <w:rFonts w:ascii="Arial" w:hAnsi="Arial" w:cs="Arial"/>
            <w:noProof/>
            <w:color w:val="000000" w:themeColor="text1"/>
          </w:rPr>
          <w:t xml:space="preserve"> Łączna kwota poniesionej straty z zeznań rocznych CIT-8 składanych przez podmioty działające w branży przetwórstwo przemysłowe Sekcja C oraz działalność profesjonalna, naukowa i techniczna Sekcja M w latach 2018-2022.</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_Toc160793543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42</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44" w:history="1">
        <w:r w:rsidR="007F5CCA" w:rsidRPr="007F5CCA">
          <w:rPr>
            <w:rStyle w:val="Hipercze"/>
            <w:rFonts w:ascii="Arial" w:hAnsi="Arial" w:cs="Arial"/>
            <w:b/>
            <w:noProof/>
            <w:color w:val="000000" w:themeColor="text1"/>
          </w:rPr>
          <w:t>Wykres 38.</w:t>
        </w:r>
        <w:r w:rsidR="007F5CCA" w:rsidRPr="007F5CCA">
          <w:rPr>
            <w:rStyle w:val="Hipercze"/>
            <w:rFonts w:ascii="Arial" w:hAnsi="Arial" w:cs="Arial"/>
            <w:noProof/>
            <w:color w:val="000000" w:themeColor="text1"/>
          </w:rPr>
          <w:t xml:space="preserve"> Wskaźnik dochodu do dyspozycji według NUTS 2 dla 2022 roku</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_Toc160793544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45</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45" w:history="1">
        <w:r w:rsidR="007F5CCA" w:rsidRPr="007F5CCA">
          <w:rPr>
            <w:rStyle w:val="Hipercze"/>
            <w:rFonts w:ascii="Arial" w:hAnsi="Arial" w:cs="Arial"/>
            <w:b/>
            <w:noProof/>
            <w:color w:val="000000" w:themeColor="text1"/>
          </w:rPr>
          <w:t>Wykres 39.</w:t>
        </w:r>
        <w:r w:rsidR="007F5CCA" w:rsidRPr="007F5CCA">
          <w:rPr>
            <w:rStyle w:val="Hipercze"/>
            <w:rFonts w:ascii="Arial" w:hAnsi="Arial" w:cs="Arial"/>
            <w:noProof/>
            <w:color w:val="000000" w:themeColor="text1"/>
          </w:rPr>
          <w:t xml:space="preserve"> Przeciętne dalsze trwanie życia mężczyzn w latach 2013, 2017, 2021 i 2022</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_Toc160793545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48</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46" w:history="1">
        <w:r w:rsidR="007F5CCA" w:rsidRPr="007F5CCA">
          <w:rPr>
            <w:rStyle w:val="Hipercze"/>
            <w:rFonts w:ascii="Arial" w:hAnsi="Arial" w:cs="Arial"/>
            <w:b/>
            <w:noProof/>
            <w:color w:val="000000" w:themeColor="text1"/>
          </w:rPr>
          <w:t>Wykres 40.</w:t>
        </w:r>
        <w:r w:rsidR="007F5CCA" w:rsidRPr="007F5CCA">
          <w:rPr>
            <w:rStyle w:val="Hipercze"/>
            <w:rFonts w:ascii="Arial" w:hAnsi="Arial" w:cs="Arial"/>
            <w:noProof/>
            <w:color w:val="000000" w:themeColor="text1"/>
          </w:rPr>
          <w:t xml:space="preserve"> Przeciętne dalsze trwanie życia kobiet w latach 2013, 2017, 2021 i 2022</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_Toc160793546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49</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47" w:history="1">
        <w:r w:rsidR="007F5CCA" w:rsidRPr="007F5CCA">
          <w:rPr>
            <w:rStyle w:val="Hipercze"/>
            <w:rFonts w:ascii="Arial" w:hAnsi="Arial" w:cs="Arial"/>
            <w:b/>
            <w:noProof/>
            <w:color w:val="000000" w:themeColor="text1"/>
          </w:rPr>
          <w:t>Wykres 41.</w:t>
        </w:r>
        <w:r w:rsidR="007F5CCA" w:rsidRPr="007F5CCA">
          <w:rPr>
            <w:rStyle w:val="Hipercze"/>
            <w:rFonts w:ascii="Arial" w:hAnsi="Arial" w:cs="Arial"/>
            <w:noProof/>
            <w:color w:val="000000" w:themeColor="text1"/>
          </w:rPr>
          <w:t xml:space="preserve"> Lekarze pracujący z pacjentem na 10 tys. ludności w latach 2019 i 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_Toc160793547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50</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48" w:history="1">
        <w:r w:rsidR="007F5CCA" w:rsidRPr="007F5CCA">
          <w:rPr>
            <w:rStyle w:val="Hipercze"/>
            <w:rFonts w:ascii="Arial" w:hAnsi="Arial" w:cs="Arial"/>
            <w:b/>
            <w:noProof/>
            <w:color w:val="000000" w:themeColor="text1"/>
          </w:rPr>
          <w:t>Wykres 42.</w:t>
        </w:r>
        <w:r w:rsidR="007F5CCA" w:rsidRPr="007F5CCA">
          <w:rPr>
            <w:rStyle w:val="Hipercze"/>
            <w:rFonts w:ascii="Arial" w:hAnsi="Arial" w:cs="Arial"/>
            <w:noProof/>
            <w:color w:val="000000" w:themeColor="text1"/>
          </w:rPr>
          <w:t xml:space="preserve"> Pielęgniarki pracujące z pacjentem na 10 tys. ludności w latach 2019 i 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_Toc160793548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50</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49" w:history="1">
        <w:r w:rsidR="007F5CCA" w:rsidRPr="007F5CCA">
          <w:rPr>
            <w:rStyle w:val="Hipercze"/>
            <w:rFonts w:ascii="Arial" w:hAnsi="Arial" w:cs="Arial"/>
            <w:b/>
            <w:noProof/>
            <w:color w:val="000000" w:themeColor="text1"/>
          </w:rPr>
          <w:t>Wykres 43.</w:t>
        </w:r>
        <w:r w:rsidR="007F5CCA" w:rsidRPr="007F5CCA">
          <w:rPr>
            <w:rStyle w:val="Hipercze"/>
            <w:rFonts w:ascii="Arial" w:hAnsi="Arial" w:cs="Arial"/>
            <w:noProof/>
            <w:color w:val="000000" w:themeColor="text1"/>
          </w:rPr>
          <w:t xml:space="preserve"> Łóżka w szpitalach ogólnych na 10 tys. ludności w latach 2017,2019,2021 i 2022</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_Toc160793549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51</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50" w:history="1">
        <w:r w:rsidR="007F5CCA" w:rsidRPr="007F5CCA">
          <w:rPr>
            <w:rStyle w:val="Hipercze"/>
            <w:rFonts w:ascii="Arial" w:hAnsi="Arial" w:cs="Arial"/>
            <w:b/>
            <w:noProof/>
            <w:color w:val="000000" w:themeColor="text1"/>
          </w:rPr>
          <w:t>Wykres 44.</w:t>
        </w:r>
        <w:r w:rsidR="007F5CCA" w:rsidRPr="007F5CCA">
          <w:rPr>
            <w:rStyle w:val="Hipercze"/>
            <w:rFonts w:ascii="Arial" w:hAnsi="Arial" w:cs="Arial"/>
            <w:noProof/>
            <w:color w:val="000000" w:themeColor="text1"/>
          </w:rPr>
          <w:t xml:space="preserve"> Zwiedzający muzea i oddziały na 10 tys. mieszkańców w latach 2017, 2019, 2021 i 2022.</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_Toc160793550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55</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51" w:history="1">
        <w:r w:rsidR="007F5CCA" w:rsidRPr="007F5CCA">
          <w:rPr>
            <w:rStyle w:val="Hipercze"/>
            <w:rFonts w:ascii="Arial" w:hAnsi="Arial" w:cs="Arial"/>
            <w:b/>
            <w:noProof/>
            <w:color w:val="000000" w:themeColor="text1"/>
          </w:rPr>
          <w:t>Wykres 45.</w:t>
        </w:r>
        <w:r w:rsidR="007F5CCA" w:rsidRPr="007F5CCA">
          <w:rPr>
            <w:rStyle w:val="Hipercze"/>
            <w:rFonts w:ascii="Arial" w:hAnsi="Arial" w:cs="Arial"/>
            <w:noProof/>
            <w:color w:val="000000" w:themeColor="text1"/>
          </w:rPr>
          <w:t xml:space="preserve"> Odsetek długości dróg publicznych o nawierzchni twardej ulepszonej w latach 2017, 2019, 2021, 2022.</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_Toc160793551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56</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52" w:history="1">
        <w:r w:rsidR="007F5CCA" w:rsidRPr="007F5CCA">
          <w:rPr>
            <w:rStyle w:val="Hipercze"/>
            <w:rFonts w:ascii="Arial" w:hAnsi="Arial" w:cs="Arial"/>
            <w:b/>
            <w:noProof/>
            <w:color w:val="000000" w:themeColor="text1"/>
          </w:rPr>
          <w:t>Wykres 46.</w:t>
        </w:r>
        <w:r w:rsidR="007F5CCA" w:rsidRPr="007F5CCA">
          <w:rPr>
            <w:rStyle w:val="Hipercze"/>
            <w:rFonts w:ascii="Arial" w:hAnsi="Arial" w:cs="Arial"/>
            <w:noProof/>
            <w:color w:val="000000" w:themeColor="text1"/>
          </w:rPr>
          <w:t xml:space="preserve"> Drogi o twardej nawierzchni na 100 km2 w latach 2017, 2019, 2021, 2022.</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_Toc160793552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57</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53" w:history="1">
        <w:r w:rsidR="007F5CCA" w:rsidRPr="007F5CCA">
          <w:rPr>
            <w:rStyle w:val="Hipercze"/>
            <w:rFonts w:ascii="Arial" w:hAnsi="Arial" w:cs="Arial"/>
            <w:b/>
            <w:noProof/>
            <w:color w:val="000000" w:themeColor="text1"/>
          </w:rPr>
          <w:t>Wykres 47.</w:t>
        </w:r>
        <w:r w:rsidR="007F5CCA" w:rsidRPr="007F5CCA">
          <w:rPr>
            <w:rStyle w:val="Hipercze"/>
            <w:rFonts w:ascii="Arial" w:hAnsi="Arial" w:cs="Arial"/>
            <w:noProof/>
            <w:color w:val="000000" w:themeColor="text1"/>
          </w:rPr>
          <w:t xml:space="preserve"> Udział energii odnawialnej w produkcji energii elektrycznej ogółem w latach 2017, 2019, 2021, 2022.</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_Toc160793553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59</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54" w:history="1">
        <w:r w:rsidR="007F5CCA" w:rsidRPr="007F5CCA">
          <w:rPr>
            <w:rStyle w:val="Hipercze"/>
            <w:rFonts w:ascii="Arial" w:hAnsi="Arial" w:cs="Arial"/>
            <w:b/>
            <w:noProof/>
            <w:color w:val="000000" w:themeColor="text1"/>
          </w:rPr>
          <w:t>Wykres 48.</w:t>
        </w:r>
        <w:r w:rsidR="007F5CCA" w:rsidRPr="007F5CCA">
          <w:rPr>
            <w:rStyle w:val="Hipercze"/>
            <w:rFonts w:ascii="Arial" w:hAnsi="Arial" w:cs="Arial"/>
            <w:noProof/>
            <w:color w:val="000000" w:themeColor="text1"/>
          </w:rPr>
          <w:t xml:space="preserve"> Korzystający z turystycznych obiektów noclegowych w 2022 r.</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_Toc160793554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65</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55" w:history="1">
        <w:r w:rsidR="007F5CCA" w:rsidRPr="007F5CCA">
          <w:rPr>
            <w:rStyle w:val="Hipercze"/>
            <w:rFonts w:ascii="Arial" w:hAnsi="Arial" w:cs="Arial"/>
            <w:b/>
            <w:noProof/>
            <w:color w:val="000000" w:themeColor="text1"/>
          </w:rPr>
          <w:t>Wykres 49.</w:t>
        </w:r>
        <w:r w:rsidR="007F5CCA" w:rsidRPr="007F5CCA">
          <w:rPr>
            <w:rStyle w:val="Hipercze"/>
            <w:rFonts w:ascii="Arial" w:hAnsi="Arial" w:cs="Arial"/>
            <w:noProof/>
            <w:color w:val="000000" w:themeColor="text1"/>
          </w:rPr>
          <w:t xml:space="preserve"> Noclegi udzielone w turystycznych obiektach noclegowych w 2022 r.</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_Toc160793555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66</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56" w:history="1">
        <w:r w:rsidR="007F5CCA" w:rsidRPr="007F5CCA">
          <w:rPr>
            <w:rStyle w:val="Hipercze"/>
            <w:rFonts w:ascii="Arial" w:hAnsi="Arial" w:cs="Arial"/>
            <w:b/>
            <w:noProof/>
            <w:color w:val="000000" w:themeColor="text1"/>
          </w:rPr>
          <w:t>Wykres 50.</w:t>
        </w:r>
        <w:r w:rsidR="007F5CCA" w:rsidRPr="007F5CCA">
          <w:rPr>
            <w:rStyle w:val="Hipercze"/>
            <w:rFonts w:ascii="Arial" w:hAnsi="Arial" w:cs="Arial"/>
            <w:noProof/>
            <w:color w:val="000000" w:themeColor="text1"/>
          </w:rPr>
          <w:t xml:space="preserve"> Stopień wykorzystania miejsc noclegowych w turystycznych obiektach noclegowych i pokoi w obiektach hotelowych w 2022 r.</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_Toc160793556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67</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57" w:history="1">
        <w:r w:rsidR="007F5CCA" w:rsidRPr="007F5CCA">
          <w:rPr>
            <w:rStyle w:val="Hipercze"/>
            <w:rFonts w:ascii="Arial" w:hAnsi="Arial" w:cs="Arial"/>
            <w:b/>
            <w:noProof/>
            <w:color w:val="000000" w:themeColor="text1"/>
          </w:rPr>
          <w:t>Wykres 51.</w:t>
        </w:r>
        <w:r w:rsidR="007F5CCA" w:rsidRPr="007F5CCA">
          <w:rPr>
            <w:rStyle w:val="Hipercze"/>
            <w:rFonts w:ascii="Arial" w:hAnsi="Arial" w:cs="Arial"/>
            <w:noProof/>
            <w:color w:val="000000" w:themeColor="text1"/>
          </w:rPr>
          <w:t xml:space="preserve"> Turystyczne obiekty noclegowe oraz stopień wykorzystania miejsc noclegowych w województwie podkarpackim w latach 2017-2022.</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_Toc160793557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68</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58" w:history="1">
        <w:r w:rsidR="007F5CCA" w:rsidRPr="007F5CCA">
          <w:rPr>
            <w:rStyle w:val="Hipercze"/>
            <w:rFonts w:ascii="Arial" w:hAnsi="Arial" w:cs="Arial"/>
            <w:b/>
            <w:noProof/>
            <w:color w:val="000000" w:themeColor="text1"/>
          </w:rPr>
          <w:t>Wykres 52.</w:t>
        </w:r>
        <w:r w:rsidR="007F5CCA" w:rsidRPr="007F5CCA">
          <w:rPr>
            <w:rStyle w:val="Hipercze"/>
            <w:rFonts w:ascii="Arial" w:hAnsi="Arial" w:cs="Arial"/>
            <w:noProof/>
            <w:color w:val="000000" w:themeColor="text1"/>
          </w:rPr>
          <w:t xml:space="preserve"> Wskaźnik poziomu kosztów z całokształtu działalności firm branży turystyka zrównoważona z województwa podkarpackiego w latach 2017-2021.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_Toc160793558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68</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59" w:history="1">
        <w:r w:rsidR="007F5CCA" w:rsidRPr="007F5CCA">
          <w:rPr>
            <w:rStyle w:val="Hipercze"/>
            <w:rFonts w:ascii="Arial" w:hAnsi="Arial" w:cs="Arial"/>
            <w:b/>
            <w:noProof/>
            <w:color w:val="000000" w:themeColor="text1"/>
          </w:rPr>
          <w:t>Wykres 53.</w:t>
        </w:r>
        <w:r w:rsidR="007F5CCA" w:rsidRPr="007F5CCA">
          <w:rPr>
            <w:rStyle w:val="Hipercze"/>
            <w:rFonts w:ascii="Arial" w:hAnsi="Arial" w:cs="Arial"/>
            <w:noProof/>
            <w:color w:val="000000" w:themeColor="text1"/>
          </w:rPr>
          <w:t xml:space="preserve"> Wskaźnik rentowności obrotu ze sprzedaży, wskaźnik rentowności aktywów  i wskaźnik rentowności kapitału w jednostkach specjalizujących się w turystyce zrównoważonej w latach 2017-2021.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_Toc160793559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69</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60" w:history="1">
        <w:r w:rsidR="007F5CCA" w:rsidRPr="007F5CCA">
          <w:rPr>
            <w:rStyle w:val="Hipercze"/>
            <w:rFonts w:ascii="Arial" w:hAnsi="Arial" w:cs="Arial"/>
            <w:b/>
            <w:noProof/>
            <w:color w:val="000000" w:themeColor="text1"/>
          </w:rPr>
          <w:t>Wykres 54.</w:t>
        </w:r>
        <w:r w:rsidR="007F5CCA" w:rsidRPr="007F5CCA">
          <w:rPr>
            <w:rStyle w:val="Hipercze"/>
            <w:rFonts w:ascii="Arial" w:hAnsi="Arial" w:cs="Arial"/>
            <w:noProof/>
            <w:color w:val="000000" w:themeColor="text1"/>
          </w:rPr>
          <w:t xml:space="preserve"> Wynik finansowy netto w branży turystyka zrównoważona w latach 2017-2021.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_Toc160793560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70</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61" w:history="1">
        <w:r w:rsidR="007F5CCA" w:rsidRPr="007F5CCA">
          <w:rPr>
            <w:rStyle w:val="Hipercze"/>
            <w:rFonts w:ascii="Arial" w:hAnsi="Arial" w:cs="Arial"/>
            <w:b/>
            <w:noProof/>
            <w:color w:val="000000" w:themeColor="text1"/>
          </w:rPr>
          <w:t>Wykres 55.</w:t>
        </w:r>
        <w:r w:rsidR="007F5CCA" w:rsidRPr="007F5CCA">
          <w:rPr>
            <w:rStyle w:val="Hipercze"/>
            <w:rFonts w:ascii="Arial" w:hAnsi="Arial" w:cs="Arial"/>
            <w:noProof/>
            <w:color w:val="000000" w:themeColor="text1"/>
          </w:rPr>
          <w:t xml:space="preserve"> Przychody, koszty oraz wskaźnik poziomu kosztów z całokształtu działalności firm związanych z żywnością wysokiej jakości z województwa podkarpackiego w latach 2017-2021.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_Toc160793561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72</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62" w:history="1">
        <w:r w:rsidR="007F5CCA" w:rsidRPr="007F5CCA">
          <w:rPr>
            <w:rStyle w:val="Hipercze"/>
            <w:rFonts w:ascii="Arial" w:hAnsi="Arial" w:cs="Arial"/>
            <w:b/>
            <w:noProof/>
            <w:color w:val="000000" w:themeColor="text1"/>
          </w:rPr>
          <w:t>Wykres 56.</w:t>
        </w:r>
        <w:r w:rsidR="007F5CCA" w:rsidRPr="007F5CCA">
          <w:rPr>
            <w:rStyle w:val="Hipercze"/>
            <w:rFonts w:ascii="Arial" w:hAnsi="Arial" w:cs="Arial"/>
            <w:noProof/>
            <w:color w:val="000000" w:themeColor="text1"/>
          </w:rPr>
          <w:t xml:space="preserve"> Udział przychodów netto ze sprzedaży produktów, towarów i materiałów na eksport w przychodach netto ze sprzedaży produktów, towarów i materiałów w Polsce, województwie podkarpackim oraz branży żywność wysokiej jakości w latach 2017-2021.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_Toc160793562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73</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63" w:history="1">
        <w:r w:rsidR="007F5CCA" w:rsidRPr="007F5CCA">
          <w:rPr>
            <w:rStyle w:val="Hipercze"/>
            <w:rFonts w:ascii="Arial" w:hAnsi="Arial" w:cs="Arial"/>
            <w:b/>
            <w:noProof/>
            <w:color w:val="000000" w:themeColor="text1"/>
          </w:rPr>
          <w:t>Wykres 57.</w:t>
        </w:r>
        <w:r w:rsidR="007F5CCA" w:rsidRPr="007F5CCA">
          <w:rPr>
            <w:rStyle w:val="Hipercze"/>
            <w:rFonts w:ascii="Arial" w:hAnsi="Arial" w:cs="Arial"/>
            <w:noProof/>
            <w:color w:val="000000" w:themeColor="text1"/>
          </w:rPr>
          <w:t xml:space="preserve"> Wskaźnik rentowności obrotu ze sprzedaży, wskaźnik rentowności aktywów  i wskaźnik rentowności kapitału w jednotach specjalizujących się w żywności wysokiej jakości w latach 2017-2021.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_Toc160793563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74</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64" w:history="1">
        <w:r w:rsidR="007F5CCA" w:rsidRPr="007F5CCA">
          <w:rPr>
            <w:rStyle w:val="Hipercze"/>
            <w:rFonts w:ascii="Arial" w:hAnsi="Arial" w:cs="Arial"/>
            <w:b/>
            <w:noProof/>
            <w:color w:val="000000" w:themeColor="text1"/>
          </w:rPr>
          <w:t>Wykres 58.</w:t>
        </w:r>
        <w:r w:rsidR="007F5CCA" w:rsidRPr="007F5CCA">
          <w:rPr>
            <w:rStyle w:val="Hipercze"/>
            <w:rFonts w:ascii="Arial" w:hAnsi="Arial" w:cs="Arial"/>
            <w:noProof/>
            <w:color w:val="000000" w:themeColor="text1"/>
          </w:rPr>
          <w:t xml:space="preserve"> Dynamika wyniku finansowego netto (rok poprzedni=100) w Polsce, województwie podkarpackim oraz branży żywność wysokiej jakości w latach 2018-2021.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_Toc160793564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75</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65" w:history="1">
        <w:r w:rsidR="007F5CCA" w:rsidRPr="007F5CCA">
          <w:rPr>
            <w:rStyle w:val="Hipercze"/>
            <w:rFonts w:ascii="Arial" w:hAnsi="Arial" w:cs="Arial"/>
            <w:b/>
            <w:noProof/>
            <w:color w:val="000000" w:themeColor="text1"/>
          </w:rPr>
          <w:t>Wykres 59.</w:t>
        </w:r>
        <w:r w:rsidR="007F5CCA" w:rsidRPr="007F5CCA">
          <w:rPr>
            <w:rStyle w:val="Hipercze"/>
            <w:rFonts w:ascii="Arial" w:hAnsi="Arial" w:cs="Arial"/>
            <w:noProof/>
            <w:color w:val="000000" w:themeColor="text1"/>
          </w:rPr>
          <w:t xml:space="preserve"> Dynamika przeciętnego zatrudnienia (rok poprzedni=100) w województwie podkarpackim oraz branży żywność wysokiej jakości w latach 2018-2021.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_Toc160793565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76</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66" w:history="1">
        <w:r w:rsidR="007F5CCA" w:rsidRPr="007F5CCA">
          <w:rPr>
            <w:rStyle w:val="Hipercze"/>
            <w:rFonts w:ascii="Arial" w:hAnsi="Arial" w:cs="Arial"/>
            <w:b/>
            <w:noProof/>
            <w:color w:val="000000" w:themeColor="text1"/>
          </w:rPr>
          <w:t>Wykres 60.</w:t>
        </w:r>
        <w:r w:rsidR="007F5CCA" w:rsidRPr="007F5CCA">
          <w:rPr>
            <w:rStyle w:val="Hipercze"/>
            <w:rFonts w:ascii="Arial" w:hAnsi="Arial" w:cs="Arial"/>
            <w:noProof/>
            <w:color w:val="000000" w:themeColor="text1"/>
          </w:rPr>
          <w:t xml:space="preserve"> Przychody, koszty oraz wskaźnik poziomu kosztów z całokształtu działalności firm branży usługi i produkty medyczne w latach 2017-2021.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_Toc160793566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78</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67" w:history="1">
        <w:r w:rsidR="007F5CCA" w:rsidRPr="007F5CCA">
          <w:rPr>
            <w:rStyle w:val="Hipercze"/>
            <w:rFonts w:ascii="Arial" w:hAnsi="Arial" w:cs="Arial"/>
            <w:b/>
            <w:noProof/>
            <w:color w:val="000000" w:themeColor="text1"/>
          </w:rPr>
          <w:t>Wykres 61.</w:t>
        </w:r>
        <w:r w:rsidR="007F5CCA" w:rsidRPr="007F5CCA">
          <w:rPr>
            <w:rStyle w:val="Hipercze"/>
            <w:rFonts w:ascii="Arial" w:hAnsi="Arial" w:cs="Arial"/>
            <w:noProof/>
            <w:color w:val="000000" w:themeColor="text1"/>
          </w:rPr>
          <w:t xml:space="preserve"> Wskaźnik rentowności obrotu ze sprzedaży, wskaźnik rentowności aktywów  i wskaźnik rentowności kapitału w jednostkach specjalizujących się w usługach i produktach medycznych w latach 2017-2021.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_Toc160793567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79</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68" w:history="1">
        <w:r w:rsidR="007F5CCA" w:rsidRPr="007F5CCA">
          <w:rPr>
            <w:rStyle w:val="Hipercze"/>
            <w:rFonts w:ascii="Arial" w:hAnsi="Arial" w:cs="Arial"/>
            <w:b/>
            <w:noProof/>
            <w:color w:val="000000" w:themeColor="text1"/>
          </w:rPr>
          <w:t>Wykres 62.</w:t>
        </w:r>
        <w:r w:rsidR="007F5CCA" w:rsidRPr="007F5CCA">
          <w:rPr>
            <w:rStyle w:val="Hipercze"/>
            <w:rFonts w:ascii="Arial" w:hAnsi="Arial" w:cs="Arial"/>
            <w:noProof/>
            <w:color w:val="000000" w:themeColor="text1"/>
          </w:rPr>
          <w:t xml:space="preserve"> Dynamika wyniku finansowego netto (rok poprzedni=100) w Polsce, województwie podkarpackim oraz branży usługi i produkty medyczne w latach 2017-2021.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_Toc160793568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79</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69" w:history="1">
        <w:r w:rsidR="007F5CCA" w:rsidRPr="007F5CCA">
          <w:rPr>
            <w:rStyle w:val="Hipercze"/>
            <w:rFonts w:ascii="Arial" w:hAnsi="Arial" w:cs="Arial"/>
            <w:b/>
            <w:noProof/>
            <w:color w:val="000000" w:themeColor="text1"/>
          </w:rPr>
          <w:t>Wykres 63.</w:t>
        </w:r>
        <w:r w:rsidR="007F5CCA" w:rsidRPr="007F5CCA">
          <w:rPr>
            <w:rStyle w:val="Hipercze"/>
            <w:rFonts w:ascii="Arial" w:hAnsi="Arial" w:cs="Arial"/>
            <w:noProof/>
            <w:color w:val="000000" w:themeColor="text1"/>
          </w:rPr>
          <w:t xml:space="preserve"> Przychody, koszty oraz wskaźnik poziomu kosztów z całokształtu działalności firm branży energia przyjazna środowisku z województwa podkarpackiego w latach 2017-2021.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_Toc160793569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82</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70" w:history="1">
        <w:r w:rsidR="007F5CCA" w:rsidRPr="007F5CCA">
          <w:rPr>
            <w:rStyle w:val="Hipercze"/>
            <w:rFonts w:ascii="Arial" w:hAnsi="Arial" w:cs="Arial"/>
            <w:b/>
            <w:noProof/>
            <w:color w:val="000000" w:themeColor="text1"/>
          </w:rPr>
          <w:t>Wykres 64</w:t>
        </w:r>
        <w:r w:rsidR="007F5CCA" w:rsidRPr="007F5CCA">
          <w:rPr>
            <w:rStyle w:val="Hipercze"/>
            <w:rFonts w:ascii="Arial" w:hAnsi="Arial" w:cs="Arial"/>
            <w:noProof/>
            <w:color w:val="000000" w:themeColor="text1"/>
          </w:rPr>
          <w:t xml:space="preserve">.Udział przychodów netto ze sprzedaży produktów, towarów i materiałów na eksport w przychodach netto ze sprzedaży produktów, towarów i materiałów w Polsce, </w:t>
        </w:r>
        <w:r w:rsidR="007F5CCA" w:rsidRPr="007F5CCA">
          <w:rPr>
            <w:rStyle w:val="Hipercze"/>
            <w:rFonts w:ascii="Arial" w:hAnsi="Arial" w:cs="Arial"/>
            <w:noProof/>
            <w:color w:val="000000" w:themeColor="text1"/>
          </w:rPr>
          <w:lastRenderedPageBreak/>
          <w:t>województwie podkarpackim oraz branży energia przyjazna środowisku w latach 2017-2021.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_Toc160793570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82</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71" w:history="1">
        <w:r w:rsidR="007F5CCA" w:rsidRPr="007F5CCA">
          <w:rPr>
            <w:rStyle w:val="Hipercze"/>
            <w:rFonts w:ascii="Arial" w:hAnsi="Arial" w:cs="Arial"/>
            <w:b/>
            <w:noProof/>
            <w:color w:val="000000" w:themeColor="text1"/>
          </w:rPr>
          <w:t>Wykres 65.</w:t>
        </w:r>
        <w:r w:rsidR="007F5CCA" w:rsidRPr="007F5CCA">
          <w:rPr>
            <w:rStyle w:val="Hipercze"/>
            <w:rFonts w:ascii="Arial" w:hAnsi="Arial" w:cs="Arial"/>
            <w:noProof/>
            <w:color w:val="000000" w:themeColor="text1"/>
          </w:rPr>
          <w:t xml:space="preserve"> Wskaźnik rentowności obrotu ze sprzedaży, wskaźnik rentowności aktywów i wskaźnik rentowności kapitału w jednotach specjalizujących się w energii przyjaznej środowisku w latach 2017-2021.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_Toc160793571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83</w:t>
        </w:r>
        <w:r w:rsidR="007F5CCA" w:rsidRPr="007F5CCA">
          <w:rPr>
            <w:rFonts w:ascii="Arial" w:hAnsi="Arial" w:cs="Arial"/>
            <w:noProof/>
            <w:webHidden/>
            <w:color w:val="000000" w:themeColor="text1"/>
          </w:rPr>
          <w:fldChar w:fldCharType="end"/>
        </w:r>
      </w:hyperlink>
    </w:p>
    <w:p w:rsidR="007F5CCA" w:rsidRPr="007F5CCA" w:rsidRDefault="00AB3857" w:rsidP="007F5CCA">
      <w:pPr>
        <w:pStyle w:val="Spisilustracji"/>
        <w:tabs>
          <w:tab w:val="right" w:leader="dot" w:pos="9062"/>
        </w:tabs>
        <w:spacing w:line="276" w:lineRule="auto"/>
        <w:rPr>
          <w:rFonts w:ascii="Arial" w:eastAsiaTheme="minorEastAsia" w:hAnsi="Arial" w:cs="Arial"/>
          <w:noProof/>
          <w:color w:val="000000" w:themeColor="text1"/>
          <w:lang w:eastAsia="pl-PL"/>
        </w:rPr>
      </w:pPr>
      <w:hyperlink w:anchor="_Toc160793572" w:history="1">
        <w:r w:rsidR="007F5CCA" w:rsidRPr="007F5CCA">
          <w:rPr>
            <w:rStyle w:val="Hipercze"/>
            <w:rFonts w:ascii="Arial" w:hAnsi="Arial" w:cs="Arial"/>
            <w:b/>
            <w:noProof/>
            <w:color w:val="000000" w:themeColor="text1"/>
          </w:rPr>
          <w:t>Wykres 66.</w:t>
        </w:r>
        <w:r w:rsidR="007F5CCA" w:rsidRPr="007F5CCA">
          <w:rPr>
            <w:rStyle w:val="Hipercze"/>
            <w:rFonts w:ascii="Arial" w:hAnsi="Arial" w:cs="Arial"/>
            <w:noProof/>
            <w:color w:val="000000" w:themeColor="text1"/>
          </w:rPr>
          <w:t xml:space="preserve"> Wynik finansowy netto w województwie podkarpackim oraz branży energia przyjazna środowisku w latach 2017-2021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_Toc160793572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84</w:t>
        </w:r>
        <w:r w:rsidR="007F5CCA" w:rsidRPr="007F5CCA">
          <w:rPr>
            <w:rFonts w:ascii="Arial" w:hAnsi="Arial" w:cs="Arial"/>
            <w:noProof/>
            <w:webHidden/>
            <w:color w:val="000000" w:themeColor="text1"/>
          </w:rPr>
          <w:fldChar w:fldCharType="end"/>
        </w:r>
      </w:hyperlink>
    </w:p>
    <w:p w:rsidR="007F5CCA" w:rsidRDefault="00AB3857" w:rsidP="007F5CCA">
      <w:pPr>
        <w:pStyle w:val="Spisilustracji"/>
        <w:tabs>
          <w:tab w:val="right" w:leader="dot" w:pos="9062"/>
        </w:tabs>
        <w:spacing w:line="276" w:lineRule="auto"/>
        <w:rPr>
          <w:rFonts w:asciiTheme="minorHAnsi" w:eastAsiaTheme="minorEastAsia" w:hAnsiTheme="minorHAnsi" w:cstheme="minorBidi"/>
          <w:noProof/>
          <w:lang w:eastAsia="pl-PL"/>
        </w:rPr>
      </w:pPr>
      <w:hyperlink w:anchor="_Toc160793573" w:history="1">
        <w:r w:rsidR="007F5CCA" w:rsidRPr="007F5CCA">
          <w:rPr>
            <w:rStyle w:val="Hipercze"/>
            <w:rFonts w:ascii="Arial" w:hAnsi="Arial" w:cs="Arial"/>
            <w:b/>
            <w:noProof/>
            <w:color w:val="000000" w:themeColor="text1"/>
          </w:rPr>
          <w:t>Wykres 67.</w:t>
        </w:r>
        <w:r w:rsidR="007F5CCA" w:rsidRPr="007F5CCA">
          <w:rPr>
            <w:rStyle w:val="Hipercze"/>
            <w:rFonts w:ascii="Arial" w:hAnsi="Arial" w:cs="Arial"/>
            <w:noProof/>
            <w:color w:val="000000" w:themeColor="text1"/>
          </w:rPr>
          <w:t xml:space="preserve"> Dynamika przeciętnego zatrudnienia (rok poprzedni=100) w województwie podkarpackim oraz branży energia przyjazna środowisku  w latach 2018-2021.</w:t>
        </w:r>
        <w:r w:rsidR="007F5CCA" w:rsidRPr="007F5CCA">
          <w:rPr>
            <w:rFonts w:ascii="Arial" w:hAnsi="Arial" w:cs="Arial"/>
            <w:noProof/>
            <w:webHidden/>
            <w:color w:val="000000" w:themeColor="text1"/>
          </w:rPr>
          <w:tab/>
        </w:r>
        <w:r w:rsidR="007F5CCA" w:rsidRPr="007F5CCA">
          <w:rPr>
            <w:rFonts w:ascii="Arial" w:hAnsi="Arial" w:cs="Arial"/>
            <w:noProof/>
            <w:webHidden/>
            <w:color w:val="000000" w:themeColor="text1"/>
          </w:rPr>
          <w:fldChar w:fldCharType="begin"/>
        </w:r>
        <w:r w:rsidR="007F5CCA" w:rsidRPr="007F5CCA">
          <w:rPr>
            <w:rFonts w:ascii="Arial" w:hAnsi="Arial" w:cs="Arial"/>
            <w:noProof/>
            <w:webHidden/>
            <w:color w:val="000000" w:themeColor="text1"/>
          </w:rPr>
          <w:instrText xml:space="preserve"> PAGEREF _Toc160793573 \h </w:instrText>
        </w:r>
        <w:r w:rsidR="007F5CCA" w:rsidRPr="007F5CCA">
          <w:rPr>
            <w:rFonts w:ascii="Arial" w:hAnsi="Arial" w:cs="Arial"/>
            <w:noProof/>
            <w:webHidden/>
            <w:color w:val="000000" w:themeColor="text1"/>
          </w:rPr>
        </w:r>
        <w:r w:rsidR="007F5CCA" w:rsidRPr="007F5CCA">
          <w:rPr>
            <w:rFonts w:ascii="Arial" w:hAnsi="Arial" w:cs="Arial"/>
            <w:noProof/>
            <w:webHidden/>
            <w:color w:val="000000" w:themeColor="text1"/>
          </w:rPr>
          <w:fldChar w:fldCharType="separate"/>
        </w:r>
        <w:r w:rsidR="00A564A3">
          <w:rPr>
            <w:rFonts w:ascii="Arial" w:hAnsi="Arial" w:cs="Arial"/>
            <w:noProof/>
            <w:webHidden/>
            <w:color w:val="000000" w:themeColor="text1"/>
          </w:rPr>
          <w:t>85</w:t>
        </w:r>
        <w:r w:rsidR="007F5CCA" w:rsidRPr="007F5CCA">
          <w:rPr>
            <w:rFonts w:ascii="Arial" w:hAnsi="Arial" w:cs="Arial"/>
            <w:noProof/>
            <w:webHidden/>
            <w:color w:val="000000" w:themeColor="text1"/>
          </w:rPr>
          <w:fldChar w:fldCharType="end"/>
        </w:r>
      </w:hyperlink>
    </w:p>
    <w:p w:rsidR="00680EF4" w:rsidRPr="0064087E" w:rsidRDefault="00680EF4" w:rsidP="000255EB">
      <w:pPr>
        <w:pStyle w:val="Nagwek1"/>
        <w:spacing w:before="40" w:after="120"/>
        <w:ind w:left="1134" w:hanging="1134"/>
        <w:rPr>
          <w:rFonts w:cs="Arial"/>
          <w:b/>
          <w:sz w:val="22"/>
          <w:szCs w:val="22"/>
        </w:rPr>
      </w:pPr>
      <w:r w:rsidRPr="0064087E">
        <w:rPr>
          <w:rFonts w:cs="Arial"/>
        </w:rPr>
        <w:fldChar w:fldCharType="end"/>
      </w:r>
      <w:bookmarkStart w:id="117" w:name="_Toc160793887"/>
      <w:r w:rsidRPr="0064087E">
        <w:rPr>
          <w:rFonts w:cs="Arial"/>
          <w:b/>
          <w:sz w:val="22"/>
          <w:szCs w:val="22"/>
        </w:rPr>
        <w:t xml:space="preserve">Spis </w:t>
      </w:r>
      <w:r w:rsidR="00A60C16" w:rsidRPr="0064087E">
        <w:rPr>
          <w:rFonts w:cs="Arial"/>
          <w:b/>
          <w:sz w:val="22"/>
          <w:szCs w:val="22"/>
        </w:rPr>
        <w:t>r</w:t>
      </w:r>
      <w:r w:rsidRPr="0064087E">
        <w:rPr>
          <w:rFonts w:cs="Arial"/>
          <w:b/>
          <w:sz w:val="22"/>
          <w:szCs w:val="22"/>
        </w:rPr>
        <w:t>ysunków</w:t>
      </w:r>
      <w:bookmarkEnd w:id="117"/>
      <w:r w:rsidR="00D57848" w:rsidRPr="0064087E">
        <w:rPr>
          <w:rFonts w:cs="Arial"/>
          <w:b/>
          <w:sz w:val="22"/>
          <w:szCs w:val="22"/>
        </w:rPr>
        <w:t xml:space="preserve"> </w:t>
      </w:r>
    </w:p>
    <w:p w:rsidR="00F87188" w:rsidRPr="00F87188" w:rsidRDefault="00D50F10" w:rsidP="00F87188">
      <w:pPr>
        <w:pStyle w:val="Spisilustracji"/>
        <w:tabs>
          <w:tab w:val="right" w:leader="dot" w:pos="9062"/>
        </w:tabs>
        <w:spacing w:line="276" w:lineRule="auto"/>
        <w:rPr>
          <w:rFonts w:ascii="Arial" w:eastAsiaTheme="minorEastAsia" w:hAnsi="Arial" w:cs="Arial"/>
          <w:noProof/>
          <w:lang w:eastAsia="pl-PL"/>
        </w:rPr>
      </w:pPr>
      <w:r w:rsidRPr="0064087E">
        <w:rPr>
          <w:rFonts w:ascii="Arial" w:hAnsi="Arial" w:cs="Arial"/>
        </w:rPr>
        <w:fldChar w:fldCharType="begin"/>
      </w:r>
      <w:r w:rsidRPr="0064087E">
        <w:rPr>
          <w:rFonts w:ascii="Arial" w:hAnsi="Arial" w:cs="Arial"/>
        </w:rPr>
        <w:instrText xml:space="preserve"> TOC \h \z \c "Rysunek" </w:instrText>
      </w:r>
      <w:r w:rsidRPr="0064087E">
        <w:rPr>
          <w:rFonts w:ascii="Arial" w:hAnsi="Arial" w:cs="Arial"/>
        </w:rPr>
        <w:fldChar w:fldCharType="separate"/>
      </w:r>
      <w:hyperlink w:anchor="_Toc161123001" w:history="1">
        <w:r w:rsidR="00F87188" w:rsidRPr="00F87188">
          <w:rPr>
            <w:rStyle w:val="Hipercze"/>
            <w:rFonts w:ascii="Arial" w:hAnsi="Arial" w:cs="Arial"/>
            <w:b/>
            <w:noProof/>
          </w:rPr>
          <w:t>Rysunek 1.</w:t>
        </w:r>
        <w:r w:rsidR="00F87188" w:rsidRPr="00F87188">
          <w:rPr>
            <w:rStyle w:val="Hipercze"/>
            <w:rFonts w:ascii="Arial" w:hAnsi="Arial" w:cs="Arial"/>
            <w:noProof/>
          </w:rPr>
          <w:t xml:space="preserve"> Rozmieszczenie firm branży lotniczej w 2021 r.</w:t>
        </w:r>
        <w:r w:rsidR="00F87188" w:rsidRPr="00F87188">
          <w:rPr>
            <w:rFonts w:ascii="Arial" w:hAnsi="Arial" w:cs="Arial"/>
            <w:noProof/>
            <w:webHidden/>
          </w:rPr>
          <w:tab/>
        </w:r>
        <w:r w:rsidR="00F87188" w:rsidRPr="00F87188">
          <w:rPr>
            <w:rFonts w:ascii="Arial" w:hAnsi="Arial" w:cs="Arial"/>
            <w:noProof/>
            <w:webHidden/>
          </w:rPr>
          <w:fldChar w:fldCharType="begin"/>
        </w:r>
        <w:r w:rsidR="00F87188" w:rsidRPr="00F87188">
          <w:rPr>
            <w:rFonts w:ascii="Arial" w:hAnsi="Arial" w:cs="Arial"/>
            <w:noProof/>
            <w:webHidden/>
          </w:rPr>
          <w:instrText xml:space="preserve"> PAGEREF _Toc161123001 \h </w:instrText>
        </w:r>
        <w:r w:rsidR="00F87188" w:rsidRPr="00F87188">
          <w:rPr>
            <w:rFonts w:ascii="Arial" w:hAnsi="Arial" w:cs="Arial"/>
            <w:noProof/>
            <w:webHidden/>
          </w:rPr>
        </w:r>
        <w:r w:rsidR="00F87188" w:rsidRPr="00F87188">
          <w:rPr>
            <w:rFonts w:ascii="Arial" w:hAnsi="Arial" w:cs="Arial"/>
            <w:noProof/>
            <w:webHidden/>
          </w:rPr>
          <w:fldChar w:fldCharType="separate"/>
        </w:r>
        <w:r w:rsidR="00A564A3">
          <w:rPr>
            <w:rFonts w:ascii="Arial" w:hAnsi="Arial" w:cs="Arial"/>
            <w:noProof/>
            <w:webHidden/>
          </w:rPr>
          <w:t>15</w:t>
        </w:r>
        <w:r w:rsidR="00F87188" w:rsidRPr="00F87188">
          <w:rPr>
            <w:rFonts w:ascii="Arial" w:hAnsi="Arial" w:cs="Arial"/>
            <w:noProof/>
            <w:webHidden/>
          </w:rPr>
          <w:fldChar w:fldCharType="end"/>
        </w:r>
      </w:hyperlink>
    </w:p>
    <w:p w:rsidR="00F87188" w:rsidRPr="00F87188" w:rsidRDefault="00AB3857" w:rsidP="00F87188">
      <w:pPr>
        <w:pStyle w:val="Spisilustracji"/>
        <w:tabs>
          <w:tab w:val="right" w:leader="dot" w:pos="9062"/>
        </w:tabs>
        <w:spacing w:line="276" w:lineRule="auto"/>
        <w:rPr>
          <w:rFonts w:ascii="Arial" w:eastAsiaTheme="minorEastAsia" w:hAnsi="Arial" w:cs="Arial"/>
          <w:noProof/>
          <w:lang w:eastAsia="pl-PL"/>
        </w:rPr>
      </w:pPr>
      <w:hyperlink w:anchor="_Toc161123002" w:history="1">
        <w:r w:rsidR="00F87188" w:rsidRPr="00F87188">
          <w:rPr>
            <w:rStyle w:val="Hipercze"/>
            <w:rFonts w:ascii="Arial" w:hAnsi="Arial" w:cs="Arial"/>
            <w:b/>
            <w:noProof/>
          </w:rPr>
          <w:t>Rysunek 2.</w:t>
        </w:r>
        <w:r w:rsidR="00F87188" w:rsidRPr="00F87188">
          <w:rPr>
            <w:rStyle w:val="Hipercze"/>
            <w:rFonts w:ascii="Arial" w:hAnsi="Arial" w:cs="Arial"/>
            <w:noProof/>
          </w:rPr>
          <w:t xml:space="preserve"> Rozmieszczenie firm branży motoryzacyjnej w 2021 r.</w:t>
        </w:r>
        <w:r w:rsidR="00F87188" w:rsidRPr="00F87188">
          <w:rPr>
            <w:rFonts w:ascii="Arial" w:hAnsi="Arial" w:cs="Arial"/>
            <w:noProof/>
            <w:webHidden/>
          </w:rPr>
          <w:tab/>
        </w:r>
        <w:r w:rsidR="00F87188" w:rsidRPr="00F87188">
          <w:rPr>
            <w:rFonts w:ascii="Arial" w:hAnsi="Arial" w:cs="Arial"/>
            <w:noProof/>
            <w:webHidden/>
          </w:rPr>
          <w:fldChar w:fldCharType="begin"/>
        </w:r>
        <w:r w:rsidR="00F87188" w:rsidRPr="00F87188">
          <w:rPr>
            <w:rFonts w:ascii="Arial" w:hAnsi="Arial" w:cs="Arial"/>
            <w:noProof/>
            <w:webHidden/>
          </w:rPr>
          <w:instrText xml:space="preserve"> PAGEREF _Toc161123002 \h </w:instrText>
        </w:r>
        <w:r w:rsidR="00F87188" w:rsidRPr="00F87188">
          <w:rPr>
            <w:rFonts w:ascii="Arial" w:hAnsi="Arial" w:cs="Arial"/>
            <w:noProof/>
            <w:webHidden/>
          </w:rPr>
        </w:r>
        <w:r w:rsidR="00F87188" w:rsidRPr="00F87188">
          <w:rPr>
            <w:rFonts w:ascii="Arial" w:hAnsi="Arial" w:cs="Arial"/>
            <w:noProof/>
            <w:webHidden/>
          </w:rPr>
          <w:fldChar w:fldCharType="separate"/>
        </w:r>
        <w:r w:rsidR="00A564A3">
          <w:rPr>
            <w:rFonts w:ascii="Arial" w:hAnsi="Arial" w:cs="Arial"/>
            <w:noProof/>
            <w:webHidden/>
          </w:rPr>
          <w:t>23</w:t>
        </w:r>
        <w:r w:rsidR="00F87188" w:rsidRPr="00F87188">
          <w:rPr>
            <w:rFonts w:ascii="Arial" w:hAnsi="Arial" w:cs="Arial"/>
            <w:noProof/>
            <w:webHidden/>
          </w:rPr>
          <w:fldChar w:fldCharType="end"/>
        </w:r>
      </w:hyperlink>
    </w:p>
    <w:p w:rsidR="00F87188" w:rsidRPr="00F87188" w:rsidRDefault="00AB3857" w:rsidP="00F87188">
      <w:pPr>
        <w:pStyle w:val="Spisilustracji"/>
        <w:tabs>
          <w:tab w:val="right" w:leader="dot" w:pos="9062"/>
        </w:tabs>
        <w:spacing w:line="276" w:lineRule="auto"/>
        <w:rPr>
          <w:rFonts w:ascii="Arial" w:eastAsiaTheme="minorEastAsia" w:hAnsi="Arial" w:cs="Arial"/>
          <w:noProof/>
          <w:lang w:eastAsia="pl-PL"/>
        </w:rPr>
      </w:pPr>
      <w:hyperlink w:anchor="_Toc161123003" w:history="1">
        <w:r w:rsidR="00F87188" w:rsidRPr="00F87188">
          <w:rPr>
            <w:rStyle w:val="Hipercze"/>
            <w:rFonts w:ascii="Arial" w:hAnsi="Arial" w:cs="Arial"/>
            <w:b/>
            <w:noProof/>
          </w:rPr>
          <w:t>Rysunek 3.</w:t>
        </w:r>
        <w:r w:rsidR="00F87188" w:rsidRPr="00F87188">
          <w:rPr>
            <w:rStyle w:val="Hipercze"/>
            <w:rFonts w:ascii="Arial" w:hAnsi="Arial" w:cs="Arial"/>
            <w:noProof/>
          </w:rPr>
          <w:t xml:space="preserve"> Rozmieszczenie firm sektora informacja i telekomunikacja w 2021 r. – sekcja J.</w:t>
        </w:r>
        <w:r w:rsidR="00F87188" w:rsidRPr="00F87188">
          <w:rPr>
            <w:rFonts w:ascii="Arial" w:hAnsi="Arial" w:cs="Arial"/>
            <w:noProof/>
            <w:webHidden/>
          </w:rPr>
          <w:tab/>
        </w:r>
        <w:r w:rsidR="00F87188" w:rsidRPr="00F87188">
          <w:rPr>
            <w:rFonts w:ascii="Arial" w:hAnsi="Arial" w:cs="Arial"/>
            <w:noProof/>
            <w:webHidden/>
          </w:rPr>
          <w:fldChar w:fldCharType="begin"/>
        </w:r>
        <w:r w:rsidR="00F87188" w:rsidRPr="00F87188">
          <w:rPr>
            <w:rFonts w:ascii="Arial" w:hAnsi="Arial" w:cs="Arial"/>
            <w:noProof/>
            <w:webHidden/>
          </w:rPr>
          <w:instrText xml:space="preserve"> PAGEREF _Toc161123003 \h </w:instrText>
        </w:r>
        <w:r w:rsidR="00F87188" w:rsidRPr="00F87188">
          <w:rPr>
            <w:rFonts w:ascii="Arial" w:hAnsi="Arial" w:cs="Arial"/>
            <w:noProof/>
            <w:webHidden/>
          </w:rPr>
        </w:r>
        <w:r w:rsidR="00F87188" w:rsidRPr="00F87188">
          <w:rPr>
            <w:rFonts w:ascii="Arial" w:hAnsi="Arial" w:cs="Arial"/>
            <w:noProof/>
            <w:webHidden/>
          </w:rPr>
          <w:fldChar w:fldCharType="separate"/>
        </w:r>
        <w:r w:rsidR="00A564A3">
          <w:rPr>
            <w:rFonts w:ascii="Arial" w:hAnsi="Arial" w:cs="Arial"/>
            <w:noProof/>
            <w:webHidden/>
          </w:rPr>
          <w:t>34</w:t>
        </w:r>
        <w:r w:rsidR="00F87188" w:rsidRPr="00F87188">
          <w:rPr>
            <w:rFonts w:ascii="Arial" w:hAnsi="Arial" w:cs="Arial"/>
            <w:noProof/>
            <w:webHidden/>
          </w:rPr>
          <w:fldChar w:fldCharType="end"/>
        </w:r>
      </w:hyperlink>
    </w:p>
    <w:p w:rsidR="00F87188" w:rsidRPr="00F87188" w:rsidRDefault="00AB3857" w:rsidP="00F87188">
      <w:pPr>
        <w:pStyle w:val="Spisilustracji"/>
        <w:tabs>
          <w:tab w:val="right" w:leader="dot" w:pos="9062"/>
        </w:tabs>
        <w:spacing w:line="276" w:lineRule="auto"/>
        <w:rPr>
          <w:rFonts w:ascii="Arial" w:eastAsiaTheme="minorEastAsia" w:hAnsi="Arial" w:cs="Arial"/>
          <w:noProof/>
          <w:lang w:eastAsia="pl-PL"/>
        </w:rPr>
      </w:pPr>
      <w:hyperlink w:anchor="_Toc161123004" w:history="1">
        <w:r w:rsidR="00F87188" w:rsidRPr="00F87188">
          <w:rPr>
            <w:rStyle w:val="Hipercze"/>
            <w:rFonts w:ascii="Arial" w:hAnsi="Arial" w:cs="Arial"/>
            <w:b/>
            <w:noProof/>
          </w:rPr>
          <w:t>Rysunek 4.</w:t>
        </w:r>
        <w:r w:rsidR="00F87188" w:rsidRPr="00F87188">
          <w:rPr>
            <w:rStyle w:val="Hipercze"/>
            <w:rFonts w:ascii="Arial" w:hAnsi="Arial" w:cs="Arial"/>
            <w:noProof/>
          </w:rPr>
          <w:t xml:space="preserve"> Rozmieszczenie firm sektora informacja i telekomunikacja w 2021 r. – sekcja  C i M.</w:t>
        </w:r>
        <w:r w:rsidR="00F87188" w:rsidRPr="00F87188">
          <w:rPr>
            <w:rFonts w:ascii="Arial" w:hAnsi="Arial" w:cs="Arial"/>
            <w:noProof/>
            <w:webHidden/>
          </w:rPr>
          <w:tab/>
        </w:r>
        <w:r w:rsidR="00F87188" w:rsidRPr="00F87188">
          <w:rPr>
            <w:rFonts w:ascii="Arial" w:hAnsi="Arial" w:cs="Arial"/>
            <w:noProof/>
            <w:webHidden/>
          </w:rPr>
          <w:fldChar w:fldCharType="begin"/>
        </w:r>
        <w:r w:rsidR="00F87188" w:rsidRPr="00F87188">
          <w:rPr>
            <w:rFonts w:ascii="Arial" w:hAnsi="Arial" w:cs="Arial"/>
            <w:noProof/>
            <w:webHidden/>
          </w:rPr>
          <w:instrText xml:space="preserve"> PAGEREF _Toc161123004 \h </w:instrText>
        </w:r>
        <w:r w:rsidR="00F87188" w:rsidRPr="00F87188">
          <w:rPr>
            <w:rFonts w:ascii="Arial" w:hAnsi="Arial" w:cs="Arial"/>
            <w:noProof/>
            <w:webHidden/>
          </w:rPr>
        </w:r>
        <w:r w:rsidR="00F87188" w:rsidRPr="00F87188">
          <w:rPr>
            <w:rFonts w:ascii="Arial" w:hAnsi="Arial" w:cs="Arial"/>
            <w:noProof/>
            <w:webHidden/>
          </w:rPr>
          <w:fldChar w:fldCharType="separate"/>
        </w:r>
        <w:r w:rsidR="00A564A3">
          <w:rPr>
            <w:rFonts w:ascii="Arial" w:hAnsi="Arial" w:cs="Arial"/>
            <w:noProof/>
            <w:webHidden/>
          </w:rPr>
          <w:t>40</w:t>
        </w:r>
        <w:r w:rsidR="00F87188" w:rsidRPr="00F87188">
          <w:rPr>
            <w:rFonts w:ascii="Arial" w:hAnsi="Arial" w:cs="Arial"/>
            <w:noProof/>
            <w:webHidden/>
          </w:rPr>
          <w:fldChar w:fldCharType="end"/>
        </w:r>
      </w:hyperlink>
    </w:p>
    <w:p w:rsidR="00F87188" w:rsidRPr="00F87188" w:rsidRDefault="00AB3857" w:rsidP="00F87188">
      <w:pPr>
        <w:pStyle w:val="Spisilustracji"/>
        <w:tabs>
          <w:tab w:val="right" w:leader="dot" w:pos="9062"/>
        </w:tabs>
        <w:spacing w:line="276" w:lineRule="auto"/>
        <w:rPr>
          <w:rFonts w:ascii="Arial" w:eastAsiaTheme="minorEastAsia" w:hAnsi="Arial" w:cs="Arial"/>
          <w:noProof/>
          <w:lang w:eastAsia="pl-PL"/>
        </w:rPr>
      </w:pPr>
      <w:hyperlink w:anchor="_Toc161123005" w:history="1">
        <w:r w:rsidR="00F87188" w:rsidRPr="00F87188">
          <w:rPr>
            <w:rStyle w:val="Hipercze"/>
            <w:rFonts w:ascii="Arial" w:hAnsi="Arial" w:cs="Arial"/>
            <w:b/>
            <w:noProof/>
          </w:rPr>
          <w:t>Rysunek 5.</w:t>
        </w:r>
        <w:r w:rsidR="00F87188" w:rsidRPr="00F87188">
          <w:rPr>
            <w:rStyle w:val="Hipercze"/>
            <w:rFonts w:ascii="Arial" w:hAnsi="Arial" w:cs="Arial"/>
            <w:noProof/>
          </w:rPr>
          <w:t xml:space="preserve"> Przeciętny roczny ekwiwalentny dochód do dyspozycji według NUTS 2 w 2022 roku</w:t>
        </w:r>
        <w:r w:rsidR="00F87188" w:rsidRPr="00F87188">
          <w:rPr>
            <w:rFonts w:ascii="Arial" w:hAnsi="Arial" w:cs="Arial"/>
            <w:noProof/>
            <w:webHidden/>
          </w:rPr>
          <w:tab/>
        </w:r>
        <w:r w:rsidR="00F87188" w:rsidRPr="00F87188">
          <w:rPr>
            <w:rFonts w:ascii="Arial" w:hAnsi="Arial" w:cs="Arial"/>
            <w:noProof/>
            <w:webHidden/>
          </w:rPr>
          <w:fldChar w:fldCharType="begin"/>
        </w:r>
        <w:r w:rsidR="00F87188" w:rsidRPr="00F87188">
          <w:rPr>
            <w:rFonts w:ascii="Arial" w:hAnsi="Arial" w:cs="Arial"/>
            <w:noProof/>
            <w:webHidden/>
          </w:rPr>
          <w:instrText xml:space="preserve"> PAGEREF _Toc161123005 \h </w:instrText>
        </w:r>
        <w:r w:rsidR="00F87188" w:rsidRPr="00F87188">
          <w:rPr>
            <w:rFonts w:ascii="Arial" w:hAnsi="Arial" w:cs="Arial"/>
            <w:noProof/>
            <w:webHidden/>
          </w:rPr>
        </w:r>
        <w:r w:rsidR="00F87188" w:rsidRPr="00F87188">
          <w:rPr>
            <w:rFonts w:ascii="Arial" w:hAnsi="Arial" w:cs="Arial"/>
            <w:noProof/>
            <w:webHidden/>
          </w:rPr>
          <w:fldChar w:fldCharType="separate"/>
        </w:r>
        <w:r w:rsidR="00A564A3">
          <w:rPr>
            <w:rFonts w:ascii="Arial" w:hAnsi="Arial" w:cs="Arial"/>
            <w:noProof/>
            <w:webHidden/>
          </w:rPr>
          <w:t>44</w:t>
        </w:r>
        <w:r w:rsidR="00F87188" w:rsidRPr="00F87188">
          <w:rPr>
            <w:rFonts w:ascii="Arial" w:hAnsi="Arial" w:cs="Arial"/>
            <w:noProof/>
            <w:webHidden/>
          </w:rPr>
          <w:fldChar w:fldCharType="end"/>
        </w:r>
      </w:hyperlink>
    </w:p>
    <w:p w:rsidR="00F87188" w:rsidRPr="00F87188" w:rsidRDefault="00AB3857" w:rsidP="00F87188">
      <w:pPr>
        <w:pStyle w:val="Spisilustracji"/>
        <w:tabs>
          <w:tab w:val="right" w:leader="dot" w:pos="9062"/>
        </w:tabs>
        <w:spacing w:line="276" w:lineRule="auto"/>
        <w:rPr>
          <w:rFonts w:ascii="Arial" w:eastAsiaTheme="minorEastAsia" w:hAnsi="Arial" w:cs="Arial"/>
          <w:noProof/>
          <w:lang w:eastAsia="pl-PL"/>
        </w:rPr>
      </w:pPr>
      <w:hyperlink w:anchor="_Toc161123006" w:history="1">
        <w:r w:rsidR="00F87188" w:rsidRPr="00F87188">
          <w:rPr>
            <w:rStyle w:val="Hipercze"/>
            <w:rFonts w:ascii="Arial" w:hAnsi="Arial" w:cs="Arial"/>
            <w:b/>
            <w:noProof/>
          </w:rPr>
          <w:t>Rysunek 6.</w:t>
        </w:r>
        <w:r w:rsidR="00F87188" w:rsidRPr="00F87188">
          <w:rPr>
            <w:rStyle w:val="Hipercze"/>
            <w:rFonts w:ascii="Arial" w:hAnsi="Arial" w:cs="Arial"/>
            <w:noProof/>
          </w:rPr>
          <w:t xml:space="preserve"> Wskaźnik zagrożenia ubóstwem po uwzględnieniu w dochodach transferów społecznych według NUTS 2 w 2022 r.</w:t>
        </w:r>
        <w:r w:rsidR="00F87188" w:rsidRPr="00F87188">
          <w:rPr>
            <w:rFonts w:ascii="Arial" w:hAnsi="Arial" w:cs="Arial"/>
            <w:noProof/>
            <w:webHidden/>
          </w:rPr>
          <w:tab/>
        </w:r>
        <w:r w:rsidR="00F87188" w:rsidRPr="00F87188">
          <w:rPr>
            <w:rFonts w:ascii="Arial" w:hAnsi="Arial" w:cs="Arial"/>
            <w:noProof/>
            <w:webHidden/>
          </w:rPr>
          <w:fldChar w:fldCharType="begin"/>
        </w:r>
        <w:r w:rsidR="00F87188" w:rsidRPr="00F87188">
          <w:rPr>
            <w:rFonts w:ascii="Arial" w:hAnsi="Arial" w:cs="Arial"/>
            <w:noProof/>
            <w:webHidden/>
          </w:rPr>
          <w:instrText xml:space="preserve"> PAGEREF _Toc161123006 \h </w:instrText>
        </w:r>
        <w:r w:rsidR="00F87188" w:rsidRPr="00F87188">
          <w:rPr>
            <w:rFonts w:ascii="Arial" w:hAnsi="Arial" w:cs="Arial"/>
            <w:noProof/>
            <w:webHidden/>
          </w:rPr>
        </w:r>
        <w:r w:rsidR="00F87188" w:rsidRPr="00F87188">
          <w:rPr>
            <w:rFonts w:ascii="Arial" w:hAnsi="Arial" w:cs="Arial"/>
            <w:noProof/>
            <w:webHidden/>
          </w:rPr>
          <w:fldChar w:fldCharType="separate"/>
        </w:r>
        <w:r w:rsidR="00A564A3">
          <w:rPr>
            <w:rFonts w:ascii="Arial" w:hAnsi="Arial" w:cs="Arial"/>
            <w:noProof/>
            <w:webHidden/>
          </w:rPr>
          <w:t>46</w:t>
        </w:r>
        <w:r w:rsidR="00F87188" w:rsidRPr="00F87188">
          <w:rPr>
            <w:rFonts w:ascii="Arial" w:hAnsi="Arial" w:cs="Arial"/>
            <w:noProof/>
            <w:webHidden/>
          </w:rPr>
          <w:fldChar w:fldCharType="end"/>
        </w:r>
      </w:hyperlink>
    </w:p>
    <w:p w:rsidR="00F87188" w:rsidRPr="00F87188" w:rsidRDefault="00AB3857" w:rsidP="00F87188">
      <w:pPr>
        <w:pStyle w:val="Spisilustracji"/>
        <w:tabs>
          <w:tab w:val="right" w:leader="dot" w:pos="9062"/>
        </w:tabs>
        <w:spacing w:line="276" w:lineRule="auto"/>
        <w:rPr>
          <w:rFonts w:ascii="Arial" w:eastAsiaTheme="minorEastAsia" w:hAnsi="Arial" w:cs="Arial"/>
          <w:noProof/>
          <w:lang w:eastAsia="pl-PL"/>
        </w:rPr>
      </w:pPr>
      <w:hyperlink w:anchor="_Toc161123007" w:history="1">
        <w:r w:rsidR="00F87188" w:rsidRPr="00F87188">
          <w:rPr>
            <w:rStyle w:val="Hipercze"/>
            <w:rFonts w:ascii="Arial" w:hAnsi="Arial" w:cs="Arial"/>
            <w:b/>
            <w:noProof/>
          </w:rPr>
          <w:t>Rysunek 7.</w:t>
        </w:r>
        <w:r w:rsidR="00F87188" w:rsidRPr="00F87188">
          <w:rPr>
            <w:rStyle w:val="Hipercze"/>
            <w:rFonts w:ascii="Arial" w:hAnsi="Arial" w:cs="Arial"/>
            <w:noProof/>
          </w:rPr>
          <w:t xml:space="preserve"> Regionalny Wskaźnik Rozwoju Społecznego (RHDI) w 2022 r.</w:t>
        </w:r>
        <w:r w:rsidR="00F87188" w:rsidRPr="00F87188">
          <w:rPr>
            <w:rFonts w:ascii="Arial" w:hAnsi="Arial" w:cs="Arial"/>
            <w:noProof/>
            <w:webHidden/>
          </w:rPr>
          <w:tab/>
        </w:r>
        <w:r w:rsidR="00F87188" w:rsidRPr="00F87188">
          <w:rPr>
            <w:rFonts w:ascii="Arial" w:hAnsi="Arial" w:cs="Arial"/>
            <w:noProof/>
            <w:webHidden/>
          </w:rPr>
          <w:fldChar w:fldCharType="begin"/>
        </w:r>
        <w:r w:rsidR="00F87188" w:rsidRPr="00F87188">
          <w:rPr>
            <w:rFonts w:ascii="Arial" w:hAnsi="Arial" w:cs="Arial"/>
            <w:noProof/>
            <w:webHidden/>
          </w:rPr>
          <w:instrText xml:space="preserve"> PAGEREF _Toc161123007 \h </w:instrText>
        </w:r>
        <w:r w:rsidR="00F87188" w:rsidRPr="00F87188">
          <w:rPr>
            <w:rFonts w:ascii="Arial" w:hAnsi="Arial" w:cs="Arial"/>
            <w:noProof/>
            <w:webHidden/>
          </w:rPr>
        </w:r>
        <w:r w:rsidR="00F87188" w:rsidRPr="00F87188">
          <w:rPr>
            <w:rFonts w:ascii="Arial" w:hAnsi="Arial" w:cs="Arial"/>
            <w:noProof/>
            <w:webHidden/>
          </w:rPr>
          <w:fldChar w:fldCharType="separate"/>
        </w:r>
        <w:r w:rsidR="00A564A3">
          <w:rPr>
            <w:rFonts w:ascii="Arial" w:hAnsi="Arial" w:cs="Arial"/>
            <w:noProof/>
            <w:webHidden/>
          </w:rPr>
          <w:t>47</w:t>
        </w:r>
        <w:r w:rsidR="00F87188" w:rsidRPr="00F87188">
          <w:rPr>
            <w:rFonts w:ascii="Arial" w:hAnsi="Arial" w:cs="Arial"/>
            <w:noProof/>
            <w:webHidden/>
          </w:rPr>
          <w:fldChar w:fldCharType="end"/>
        </w:r>
      </w:hyperlink>
    </w:p>
    <w:p w:rsidR="00F87188" w:rsidRPr="00F87188" w:rsidRDefault="00AB3857" w:rsidP="00F87188">
      <w:pPr>
        <w:pStyle w:val="Spisilustracji"/>
        <w:tabs>
          <w:tab w:val="right" w:leader="dot" w:pos="9062"/>
        </w:tabs>
        <w:spacing w:line="276" w:lineRule="auto"/>
        <w:rPr>
          <w:rFonts w:ascii="Arial" w:eastAsiaTheme="minorEastAsia" w:hAnsi="Arial" w:cs="Arial"/>
          <w:noProof/>
          <w:lang w:eastAsia="pl-PL"/>
        </w:rPr>
      </w:pPr>
      <w:hyperlink w:anchor="_Toc161123008" w:history="1">
        <w:r w:rsidR="00F87188" w:rsidRPr="00F87188">
          <w:rPr>
            <w:rStyle w:val="Hipercze"/>
            <w:rFonts w:ascii="Arial" w:hAnsi="Arial" w:cs="Arial"/>
            <w:b/>
            <w:noProof/>
          </w:rPr>
          <w:t>Rysunek 8.</w:t>
        </w:r>
        <w:r w:rsidR="00F87188" w:rsidRPr="00F87188">
          <w:rPr>
            <w:rStyle w:val="Hipercze"/>
            <w:rFonts w:ascii="Arial" w:hAnsi="Arial" w:cs="Arial"/>
            <w:noProof/>
          </w:rPr>
          <w:t xml:space="preserve"> Produkty tradycyjne – stan na 1 września 2023 r.</w:t>
        </w:r>
        <w:r w:rsidR="00F87188" w:rsidRPr="00F87188">
          <w:rPr>
            <w:rFonts w:ascii="Arial" w:hAnsi="Arial" w:cs="Arial"/>
            <w:noProof/>
            <w:webHidden/>
          </w:rPr>
          <w:tab/>
        </w:r>
        <w:r w:rsidR="00F87188" w:rsidRPr="00F87188">
          <w:rPr>
            <w:rFonts w:ascii="Arial" w:hAnsi="Arial" w:cs="Arial"/>
            <w:noProof/>
            <w:webHidden/>
          </w:rPr>
          <w:fldChar w:fldCharType="begin"/>
        </w:r>
        <w:r w:rsidR="00F87188" w:rsidRPr="00F87188">
          <w:rPr>
            <w:rFonts w:ascii="Arial" w:hAnsi="Arial" w:cs="Arial"/>
            <w:noProof/>
            <w:webHidden/>
          </w:rPr>
          <w:instrText xml:space="preserve"> PAGEREF _Toc161123008 \h </w:instrText>
        </w:r>
        <w:r w:rsidR="00F87188" w:rsidRPr="00F87188">
          <w:rPr>
            <w:rFonts w:ascii="Arial" w:hAnsi="Arial" w:cs="Arial"/>
            <w:noProof/>
            <w:webHidden/>
          </w:rPr>
        </w:r>
        <w:r w:rsidR="00F87188" w:rsidRPr="00F87188">
          <w:rPr>
            <w:rFonts w:ascii="Arial" w:hAnsi="Arial" w:cs="Arial"/>
            <w:noProof/>
            <w:webHidden/>
          </w:rPr>
          <w:fldChar w:fldCharType="separate"/>
        </w:r>
        <w:r w:rsidR="00A564A3">
          <w:rPr>
            <w:rFonts w:ascii="Arial" w:hAnsi="Arial" w:cs="Arial"/>
            <w:noProof/>
            <w:webHidden/>
          </w:rPr>
          <w:t>52</w:t>
        </w:r>
        <w:r w:rsidR="00F87188" w:rsidRPr="00F87188">
          <w:rPr>
            <w:rFonts w:ascii="Arial" w:hAnsi="Arial" w:cs="Arial"/>
            <w:noProof/>
            <w:webHidden/>
          </w:rPr>
          <w:fldChar w:fldCharType="end"/>
        </w:r>
      </w:hyperlink>
    </w:p>
    <w:p w:rsidR="00F87188" w:rsidRPr="00F87188" w:rsidRDefault="00AB3857" w:rsidP="00F87188">
      <w:pPr>
        <w:pStyle w:val="Spisilustracji"/>
        <w:tabs>
          <w:tab w:val="right" w:leader="dot" w:pos="9062"/>
        </w:tabs>
        <w:spacing w:line="276" w:lineRule="auto"/>
        <w:rPr>
          <w:rFonts w:ascii="Arial" w:eastAsiaTheme="minorEastAsia" w:hAnsi="Arial" w:cs="Arial"/>
          <w:noProof/>
          <w:lang w:eastAsia="pl-PL"/>
        </w:rPr>
      </w:pPr>
      <w:hyperlink w:anchor="_Toc161123009" w:history="1">
        <w:r w:rsidR="00F87188" w:rsidRPr="00F87188">
          <w:rPr>
            <w:rStyle w:val="Hipercze"/>
            <w:rFonts w:ascii="Arial" w:hAnsi="Arial" w:cs="Arial"/>
            <w:b/>
            <w:noProof/>
          </w:rPr>
          <w:t>Rysunek 9.</w:t>
        </w:r>
        <w:r w:rsidR="00F87188" w:rsidRPr="00F87188">
          <w:rPr>
            <w:rStyle w:val="Hipercze"/>
            <w:rFonts w:ascii="Arial" w:hAnsi="Arial" w:cs="Arial"/>
            <w:noProof/>
          </w:rPr>
          <w:t xml:space="preserve"> Lesistość w 2021 r.</w:t>
        </w:r>
        <w:r w:rsidR="00F87188" w:rsidRPr="00F87188">
          <w:rPr>
            <w:rFonts w:ascii="Arial" w:hAnsi="Arial" w:cs="Arial"/>
            <w:noProof/>
            <w:webHidden/>
          </w:rPr>
          <w:tab/>
        </w:r>
        <w:r w:rsidR="00F87188" w:rsidRPr="00F87188">
          <w:rPr>
            <w:rFonts w:ascii="Arial" w:hAnsi="Arial" w:cs="Arial"/>
            <w:noProof/>
            <w:webHidden/>
          </w:rPr>
          <w:fldChar w:fldCharType="begin"/>
        </w:r>
        <w:r w:rsidR="00F87188" w:rsidRPr="00F87188">
          <w:rPr>
            <w:rFonts w:ascii="Arial" w:hAnsi="Arial" w:cs="Arial"/>
            <w:noProof/>
            <w:webHidden/>
          </w:rPr>
          <w:instrText xml:space="preserve"> PAGEREF _Toc161123009 \h </w:instrText>
        </w:r>
        <w:r w:rsidR="00F87188" w:rsidRPr="00F87188">
          <w:rPr>
            <w:rFonts w:ascii="Arial" w:hAnsi="Arial" w:cs="Arial"/>
            <w:noProof/>
            <w:webHidden/>
          </w:rPr>
        </w:r>
        <w:r w:rsidR="00F87188" w:rsidRPr="00F87188">
          <w:rPr>
            <w:rFonts w:ascii="Arial" w:hAnsi="Arial" w:cs="Arial"/>
            <w:noProof/>
            <w:webHidden/>
          </w:rPr>
          <w:fldChar w:fldCharType="separate"/>
        </w:r>
        <w:r w:rsidR="00A564A3">
          <w:rPr>
            <w:rFonts w:ascii="Arial" w:hAnsi="Arial" w:cs="Arial"/>
            <w:noProof/>
            <w:webHidden/>
          </w:rPr>
          <w:t>53</w:t>
        </w:r>
        <w:r w:rsidR="00F87188" w:rsidRPr="00F87188">
          <w:rPr>
            <w:rFonts w:ascii="Arial" w:hAnsi="Arial" w:cs="Arial"/>
            <w:noProof/>
            <w:webHidden/>
          </w:rPr>
          <w:fldChar w:fldCharType="end"/>
        </w:r>
      </w:hyperlink>
    </w:p>
    <w:p w:rsidR="00F87188" w:rsidRPr="00F87188" w:rsidRDefault="00AB3857" w:rsidP="00F87188">
      <w:pPr>
        <w:pStyle w:val="Spisilustracji"/>
        <w:tabs>
          <w:tab w:val="right" w:leader="dot" w:pos="9062"/>
        </w:tabs>
        <w:spacing w:line="276" w:lineRule="auto"/>
        <w:rPr>
          <w:rFonts w:ascii="Arial" w:eastAsiaTheme="minorEastAsia" w:hAnsi="Arial" w:cs="Arial"/>
          <w:noProof/>
          <w:lang w:eastAsia="pl-PL"/>
        </w:rPr>
      </w:pPr>
      <w:hyperlink w:anchor="_Toc161123010" w:history="1">
        <w:r w:rsidR="00F87188" w:rsidRPr="00F87188">
          <w:rPr>
            <w:rStyle w:val="Hipercze"/>
            <w:rFonts w:ascii="Arial" w:hAnsi="Arial" w:cs="Arial"/>
            <w:b/>
            <w:noProof/>
          </w:rPr>
          <w:t>Rysunek 10</w:t>
        </w:r>
        <w:r w:rsidR="00F87188" w:rsidRPr="00F87188">
          <w:rPr>
            <w:rStyle w:val="Hipercze"/>
            <w:rFonts w:ascii="Arial" w:hAnsi="Arial" w:cs="Arial"/>
            <w:noProof/>
          </w:rPr>
          <w:t>. Rozmieszczenie turystycznych obiektów noclegowych w 2021 r.</w:t>
        </w:r>
        <w:r w:rsidR="00F87188" w:rsidRPr="00F87188">
          <w:rPr>
            <w:rFonts w:ascii="Arial" w:hAnsi="Arial" w:cs="Arial"/>
            <w:noProof/>
            <w:webHidden/>
          </w:rPr>
          <w:tab/>
        </w:r>
        <w:r w:rsidR="00F87188" w:rsidRPr="00F87188">
          <w:rPr>
            <w:rFonts w:ascii="Arial" w:hAnsi="Arial" w:cs="Arial"/>
            <w:noProof/>
            <w:webHidden/>
          </w:rPr>
          <w:fldChar w:fldCharType="begin"/>
        </w:r>
        <w:r w:rsidR="00F87188" w:rsidRPr="00F87188">
          <w:rPr>
            <w:rFonts w:ascii="Arial" w:hAnsi="Arial" w:cs="Arial"/>
            <w:noProof/>
            <w:webHidden/>
          </w:rPr>
          <w:instrText xml:space="preserve"> PAGEREF _Toc161123010 \h </w:instrText>
        </w:r>
        <w:r w:rsidR="00F87188" w:rsidRPr="00F87188">
          <w:rPr>
            <w:rFonts w:ascii="Arial" w:hAnsi="Arial" w:cs="Arial"/>
            <w:noProof/>
            <w:webHidden/>
          </w:rPr>
        </w:r>
        <w:r w:rsidR="00F87188" w:rsidRPr="00F87188">
          <w:rPr>
            <w:rFonts w:ascii="Arial" w:hAnsi="Arial" w:cs="Arial"/>
            <w:noProof/>
            <w:webHidden/>
          </w:rPr>
          <w:fldChar w:fldCharType="separate"/>
        </w:r>
        <w:r w:rsidR="00A564A3">
          <w:rPr>
            <w:rFonts w:ascii="Arial" w:hAnsi="Arial" w:cs="Arial"/>
            <w:noProof/>
            <w:webHidden/>
          </w:rPr>
          <w:t>62</w:t>
        </w:r>
        <w:r w:rsidR="00F87188" w:rsidRPr="00F87188">
          <w:rPr>
            <w:rFonts w:ascii="Arial" w:hAnsi="Arial" w:cs="Arial"/>
            <w:noProof/>
            <w:webHidden/>
          </w:rPr>
          <w:fldChar w:fldCharType="end"/>
        </w:r>
      </w:hyperlink>
    </w:p>
    <w:p w:rsidR="00F87188" w:rsidRPr="00F87188" w:rsidRDefault="00AB3857" w:rsidP="00F87188">
      <w:pPr>
        <w:pStyle w:val="Spisilustracji"/>
        <w:tabs>
          <w:tab w:val="right" w:leader="dot" w:pos="9062"/>
        </w:tabs>
        <w:spacing w:line="276" w:lineRule="auto"/>
        <w:rPr>
          <w:rFonts w:ascii="Arial" w:eastAsiaTheme="minorEastAsia" w:hAnsi="Arial" w:cs="Arial"/>
          <w:noProof/>
          <w:lang w:eastAsia="pl-PL"/>
        </w:rPr>
      </w:pPr>
      <w:hyperlink w:anchor="_Toc161123011" w:history="1">
        <w:r w:rsidR="00F87188" w:rsidRPr="00F87188">
          <w:rPr>
            <w:rStyle w:val="Hipercze"/>
            <w:rFonts w:ascii="Arial" w:hAnsi="Arial" w:cs="Arial"/>
            <w:b/>
            <w:noProof/>
          </w:rPr>
          <w:t>Rysunek 11.</w:t>
        </w:r>
        <w:r w:rsidR="00F87188" w:rsidRPr="00F87188">
          <w:rPr>
            <w:rStyle w:val="Hipercze"/>
            <w:rFonts w:ascii="Arial" w:hAnsi="Arial" w:cs="Arial"/>
            <w:noProof/>
          </w:rPr>
          <w:t xml:space="preserve"> Turystyczne obiekty noclegowe w 2021 r. i 2022 r. – stan w dniu 31 lipca</w:t>
        </w:r>
        <w:r w:rsidR="00F87188" w:rsidRPr="00F87188">
          <w:rPr>
            <w:rFonts w:ascii="Arial" w:hAnsi="Arial" w:cs="Arial"/>
            <w:noProof/>
            <w:webHidden/>
          </w:rPr>
          <w:tab/>
        </w:r>
        <w:r w:rsidR="00F87188" w:rsidRPr="00F87188">
          <w:rPr>
            <w:rFonts w:ascii="Arial" w:hAnsi="Arial" w:cs="Arial"/>
            <w:noProof/>
            <w:webHidden/>
          </w:rPr>
          <w:fldChar w:fldCharType="begin"/>
        </w:r>
        <w:r w:rsidR="00F87188" w:rsidRPr="00F87188">
          <w:rPr>
            <w:rFonts w:ascii="Arial" w:hAnsi="Arial" w:cs="Arial"/>
            <w:noProof/>
            <w:webHidden/>
          </w:rPr>
          <w:instrText xml:space="preserve"> PAGEREF _Toc161123011 \h </w:instrText>
        </w:r>
        <w:r w:rsidR="00F87188" w:rsidRPr="00F87188">
          <w:rPr>
            <w:rFonts w:ascii="Arial" w:hAnsi="Arial" w:cs="Arial"/>
            <w:noProof/>
            <w:webHidden/>
          </w:rPr>
        </w:r>
        <w:r w:rsidR="00F87188" w:rsidRPr="00F87188">
          <w:rPr>
            <w:rFonts w:ascii="Arial" w:hAnsi="Arial" w:cs="Arial"/>
            <w:noProof/>
            <w:webHidden/>
          </w:rPr>
          <w:fldChar w:fldCharType="separate"/>
        </w:r>
        <w:r w:rsidR="00A564A3">
          <w:rPr>
            <w:rFonts w:ascii="Arial" w:hAnsi="Arial" w:cs="Arial"/>
            <w:noProof/>
            <w:webHidden/>
          </w:rPr>
          <w:t>63</w:t>
        </w:r>
        <w:r w:rsidR="00F87188" w:rsidRPr="00F87188">
          <w:rPr>
            <w:rFonts w:ascii="Arial" w:hAnsi="Arial" w:cs="Arial"/>
            <w:noProof/>
            <w:webHidden/>
          </w:rPr>
          <w:fldChar w:fldCharType="end"/>
        </w:r>
      </w:hyperlink>
    </w:p>
    <w:p w:rsidR="00F87188" w:rsidRPr="00F87188" w:rsidRDefault="00AB3857" w:rsidP="00F87188">
      <w:pPr>
        <w:pStyle w:val="Spisilustracji"/>
        <w:tabs>
          <w:tab w:val="right" w:leader="dot" w:pos="9062"/>
        </w:tabs>
        <w:spacing w:line="276" w:lineRule="auto"/>
        <w:rPr>
          <w:rFonts w:ascii="Arial" w:eastAsiaTheme="minorEastAsia" w:hAnsi="Arial" w:cs="Arial"/>
          <w:noProof/>
          <w:lang w:eastAsia="pl-PL"/>
        </w:rPr>
      </w:pPr>
      <w:hyperlink w:anchor="_Toc161123012" w:history="1">
        <w:r w:rsidR="00F87188" w:rsidRPr="00F87188">
          <w:rPr>
            <w:rStyle w:val="Hipercze"/>
            <w:rFonts w:ascii="Arial" w:hAnsi="Arial" w:cs="Arial"/>
            <w:b/>
            <w:noProof/>
          </w:rPr>
          <w:t>Rysunek 12</w:t>
        </w:r>
        <w:r w:rsidR="00F87188" w:rsidRPr="00F87188">
          <w:rPr>
            <w:rStyle w:val="Hipercze"/>
            <w:rFonts w:ascii="Arial" w:hAnsi="Arial" w:cs="Arial"/>
            <w:noProof/>
          </w:rPr>
          <w:t>. Miejsca noclegowe w turystycznych obiektach noclegowych w 2021 r. i 2022 r. – stan w dniu 31 lipca.</w:t>
        </w:r>
        <w:r w:rsidR="00F87188" w:rsidRPr="00F87188">
          <w:rPr>
            <w:rFonts w:ascii="Arial" w:hAnsi="Arial" w:cs="Arial"/>
            <w:noProof/>
            <w:webHidden/>
          </w:rPr>
          <w:tab/>
        </w:r>
        <w:r w:rsidR="00F87188" w:rsidRPr="00F87188">
          <w:rPr>
            <w:rFonts w:ascii="Arial" w:hAnsi="Arial" w:cs="Arial"/>
            <w:noProof/>
            <w:webHidden/>
          </w:rPr>
          <w:fldChar w:fldCharType="begin"/>
        </w:r>
        <w:r w:rsidR="00F87188" w:rsidRPr="00F87188">
          <w:rPr>
            <w:rFonts w:ascii="Arial" w:hAnsi="Arial" w:cs="Arial"/>
            <w:noProof/>
            <w:webHidden/>
          </w:rPr>
          <w:instrText xml:space="preserve"> PAGEREF _Toc161123012 \h </w:instrText>
        </w:r>
        <w:r w:rsidR="00F87188" w:rsidRPr="00F87188">
          <w:rPr>
            <w:rFonts w:ascii="Arial" w:hAnsi="Arial" w:cs="Arial"/>
            <w:noProof/>
            <w:webHidden/>
          </w:rPr>
        </w:r>
        <w:r w:rsidR="00F87188" w:rsidRPr="00F87188">
          <w:rPr>
            <w:rFonts w:ascii="Arial" w:hAnsi="Arial" w:cs="Arial"/>
            <w:noProof/>
            <w:webHidden/>
          </w:rPr>
          <w:fldChar w:fldCharType="separate"/>
        </w:r>
        <w:r w:rsidR="00A564A3">
          <w:rPr>
            <w:rFonts w:ascii="Arial" w:hAnsi="Arial" w:cs="Arial"/>
            <w:noProof/>
            <w:webHidden/>
          </w:rPr>
          <w:t>64</w:t>
        </w:r>
        <w:r w:rsidR="00F87188" w:rsidRPr="00F87188">
          <w:rPr>
            <w:rFonts w:ascii="Arial" w:hAnsi="Arial" w:cs="Arial"/>
            <w:noProof/>
            <w:webHidden/>
          </w:rPr>
          <w:fldChar w:fldCharType="end"/>
        </w:r>
      </w:hyperlink>
    </w:p>
    <w:p w:rsidR="00F87188" w:rsidRPr="00F87188" w:rsidRDefault="00AB3857" w:rsidP="00F87188">
      <w:pPr>
        <w:pStyle w:val="Spisilustracji"/>
        <w:tabs>
          <w:tab w:val="right" w:leader="dot" w:pos="9062"/>
        </w:tabs>
        <w:spacing w:line="276" w:lineRule="auto"/>
        <w:rPr>
          <w:rFonts w:ascii="Arial" w:eastAsiaTheme="minorEastAsia" w:hAnsi="Arial" w:cs="Arial"/>
          <w:noProof/>
          <w:lang w:eastAsia="pl-PL"/>
        </w:rPr>
      </w:pPr>
      <w:hyperlink w:anchor="_Toc161123013" w:history="1">
        <w:r w:rsidR="00F87188" w:rsidRPr="00F87188">
          <w:rPr>
            <w:rStyle w:val="Hipercze"/>
            <w:rFonts w:ascii="Arial" w:hAnsi="Arial" w:cs="Arial"/>
            <w:b/>
            <w:noProof/>
          </w:rPr>
          <w:t>Rysunek 13.</w:t>
        </w:r>
        <w:r w:rsidR="00F87188" w:rsidRPr="00F87188">
          <w:rPr>
            <w:rStyle w:val="Hipercze"/>
            <w:rFonts w:ascii="Arial" w:hAnsi="Arial" w:cs="Arial"/>
            <w:noProof/>
          </w:rPr>
          <w:t xml:space="preserve"> Turyści korzystający z turystycznych obiektów noclegowych w 2021 r. i 2022 r.</w:t>
        </w:r>
        <w:r w:rsidR="00F87188" w:rsidRPr="00F87188">
          <w:rPr>
            <w:rFonts w:ascii="Arial" w:hAnsi="Arial" w:cs="Arial"/>
            <w:noProof/>
            <w:webHidden/>
          </w:rPr>
          <w:tab/>
        </w:r>
        <w:r w:rsidR="00F87188" w:rsidRPr="00F87188">
          <w:rPr>
            <w:rFonts w:ascii="Arial" w:hAnsi="Arial" w:cs="Arial"/>
            <w:noProof/>
            <w:webHidden/>
          </w:rPr>
          <w:fldChar w:fldCharType="begin"/>
        </w:r>
        <w:r w:rsidR="00F87188" w:rsidRPr="00F87188">
          <w:rPr>
            <w:rFonts w:ascii="Arial" w:hAnsi="Arial" w:cs="Arial"/>
            <w:noProof/>
            <w:webHidden/>
          </w:rPr>
          <w:instrText xml:space="preserve"> PAGEREF _Toc161123013 \h </w:instrText>
        </w:r>
        <w:r w:rsidR="00F87188" w:rsidRPr="00F87188">
          <w:rPr>
            <w:rFonts w:ascii="Arial" w:hAnsi="Arial" w:cs="Arial"/>
            <w:noProof/>
            <w:webHidden/>
          </w:rPr>
        </w:r>
        <w:r w:rsidR="00F87188" w:rsidRPr="00F87188">
          <w:rPr>
            <w:rFonts w:ascii="Arial" w:hAnsi="Arial" w:cs="Arial"/>
            <w:noProof/>
            <w:webHidden/>
          </w:rPr>
          <w:fldChar w:fldCharType="separate"/>
        </w:r>
        <w:r w:rsidR="00A564A3">
          <w:rPr>
            <w:rFonts w:ascii="Arial" w:hAnsi="Arial" w:cs="Arial"/>
            <w:noProof/>
            <w:webHidden/>
          </w:rPr>
          <w:t>64</w:t>
        </w:r>
        <w:r w:rsidR="00F87188" w:rsidRPr="00F87188">
          <w:rPr>
            <w:rFonts w:ascii="Arial" w:hAnsi="Arial" w:cs="Arial"/>
            <w:noProof/>
            <w:webHidden/>
          </w:rPr>
          <w:fldChar w:fldCharType="end"/>
        </w:r>
      </w:hyperlink>
    </w:p>
    <w:p w:rsidR="00F87188" w:rsidRPr="00F87188" w:rsidRDefault="00AB3857" w:rsidP="00F87188">
      <w:pPr>
        <w:pStyle w:val="Spisilustracji"/>
        <w:tabs>
          <w:tab w:val="right" w:leader="dot" w:pos="9062"/>
        </w:tabs>
        <w:spacing w:line="276" w:lineRule="auto"/>
        <w:rPr>
          <w:rFonts w:ascii="Arial" w:eastAsiaTheme="minorEastAsia" w:hAnsi="Arial" w:cs="Arial"/>
          <w:noProof/>
          <w:lang w:eastAsia="pl-PL"/>
        </w:rPr>
      </w:pPr>
      <w:hyperlink w:anchor="_Toc161123014" w:history="1">
        <w:r w:rsidR="00F87188" w:rsidRPr="00F87188">
          <w:rPr>
            <w:rStyle w:val="Hipercze"/>
            <w:rFonts w:ascii="Arial" w:hAnsi="Arial" w:cs="Arial"/>
            <w:b/>
            <w:noProof/>
          </w:rPr>
          <w:t>Rysunek 14.</w:t>
        </w:r>
        <w:r w:rsidR="00F87188" w:rsidRPr="00F87188">
          <w:rPr>
            <w:rStyle w:val="Hipercze"/>
            <w:rFonts w:ascii="Arial" w:hAnsi="Arial" w:cs="Arial"/>
            <w:noProof/>
          </w:rPr>
          <w:t xml:space="preserve"> Rozmieszczenie firm związanych z żywnością wysokiej jakości w 2021 r.</w:t>
        </w:r>
        <w:r w:rsidR="00F87188" w:rsidRPr="00F87188">
          <w:rPr>
            <w:rFonts w:ascii="Arial" w:hAnsi="Arial" w:cs="Arial"/>
            <w:noProof/>
            <w:webHidden/>
          </w:rPr>
          <w:tab/>
        </w:r>
        <w:r w:rsidR="00F87188" w:rsidRPr="00F87188">
          <w:rPr>
            <w:rFonts w:ascii="Arial" w:hAnsi="Arial" w:cs="Arial"/>
            <w:noProof/>
            <w:webHidden/>
          </w:rPr>
          <w:fldChar w:fldCharType="begin"/>
        </w:r>
        <w:r w:rsidR="00F87188" w:rsidRPr="00F87188">
          <w:rPr>
            <w:rFonts w:ascii="Arial" w:hAnsi="Arial" w:cs="Arial"/>
            <w:noProof/>
            <w:webHidden/>
          </w:rPr>
          <w:instrText xml:space="preserve"> PAGEREF _Toc161123014 \h </w:instrText>
        </w:r>
        <w:r w:rsidR="00F87188" w:rsidRPr="00F87188">
          <w:rPr>
            <w:rFonts w:ascii="Arial" w:hAnsi="Arial" w:cs="Arial"/>
            <w:noProof/>
            <w:webHidden/>
          </w:rPr>
        </w:r>
        <w:r w:rsidR="00F87188" w:rsidRPr="00F87188">
          <w:rPr>
            <w:rFonts w:ascii="Arial" w:hAnsi="Arial" w:cs="Arial"/>
            <w:noProof/>
            <w:webHidden/>
          </w:rPr>
          <w:fldChar w:fldCharType="separate"/>
        </w:r>
        <w:r w:rsidR="00A564A3">
          <w:rPr>
            <w:rFonts w:ascii="Arial" w:hAnsi="Arial" w:cs="Arial"/>
            <w:noProof/>
            <w:webHidden/>
          </w:rPr>
          <w:t>71</w:t>
        </w:r>
        <w:r w:rsidR="00F87188" w:rsidRPr="00F87188">
          <w:rPr>
            <w:rFonts w:ascii="Arial" w:hAnsi="Arial" w:cs="Arial"/>
            <w:noProof/>
            <w:webHidden/>
          </w:rPr>
          <w:fldChar w:fldCharType="end"/>
        </w:r>
      </w:hyperlink>
    </w:p>
    <w:p w:rsidR="00F87188" w:rsidRPr="00F87188" w:rsidRDefault="00AB3857" w:rsidP="00F87188">
      <w:pPr>
        <w:pStyle w:val="Spisilustracji"/>
        <w:tabs>
          <w:tab w:val="right" w:leader="dot" w:pos="9062"/>
        </w:tabs>
        <w:spacing w:line="276" w:lineRule="auto"/>
        <w:rPr>
          <w:rFonts w:ascii="Arial" w:eastAsiaTheme="minorEastAsia" w:hAnsi="Arial" w:cs="Arial"/>
          <w:noProof/>
          <w:lang w:eastAsia="pl-PL"/>
        </w:rPr>
      </w:pPr>
      <w:hyperlink w:anchor="_Toc161123015" w:history="1">
        <w:r w:rsidR="00F87188" w:rsidRPr="00F87188">
          <w:rPr>
            <w:rStyle w:val="Hipercze"/>
            <w:rFonts w:ascii="Arial" w:hAnsi="Arial" w:cs="Arial"/>
            <w:b/>
            <w:noProof/>
          </w:rPr>
          <w:t>Rysunek 15.</w:t>
        </w:r>
        <w:r w:rsidR="00F87188" w:rsidRPr="00F87188">
          <w:rPr>
            <w:rStyle w:val="Hipercze"/>
            <w:rFonts w:ascii="Arial" w:hAnsi="Arial" w:cs="Arial"/>
            <w:noProof/>
          </w:rPr>
          <w:t xml:space="preserve"> Rozmieszczenie firm związanych z usługami i produktami medycznymi w 2021 r.</w:t>
        </w:r>
        <w:r w:rsidR="00F87188" w:rsidRPr="00F87188">
          <w:rPr>
            <w:rFonts w:ascii="Arial" w:hAnsi="Arial" w:cs="Arial"/>
            <w:noProof/>
            <w:webHidden/>
          </w:rPr>
          <w:tab/>
        </w:r>
        <w:r w:rsidR="00F87188" w:rsidRPr="00F87188">
          <w:rPr>
            <w:rFonts w:ascii="Arial" w:hAnsi="Arial" w:cs="Arial"/>
            <w:noProof/>
            <w:webHidden/>
          </w:rPr>
          <w:fldChar w:fldCharType="begin"/>
        </w:r>
        <w:r w:rsidR="00F87188" w:rsidRPr="00F87188">
          <w:rPr>
            <w:rFonts w:ascii="Arial" w:hAnsi="Arial" w:cs="Arial"/>
            <w:noProof/>
            <w:webHidden/>
          </w:rPr>
          <w:instrText xml:space="preserve"> PAGEREF _Toc161123015 \h </w:instrText>
        </w:r>
        <w:r w:rsidR="00F87188" w:rsidRPr="00F87188">
          <w:rPr>
            <w:rFonts w:ascii="Arial" w:hAnsi="Arial" w:cs="Arial"/>
            <w:noProof/>
            <w:webHidden/>
          </w:rPr>
        </w:r>
        <w:r w:rsidR="00F87188" w:rsidRPr="00F87188">
          <w:rPr>
            <w:rFonts w:ascii="Arial" w:hAnsi="Arial" w:cs="Arial"/>
            <w:noProof/>
            <w:webHidden/>
          </w:rPr>
          <w:fldChar w:fldCharType="separate"/>
        </w:r>
        <w:r w:rsidR="00A564A3">
          <w:rPr>
            <w:rFonts w:ascii="Arial" w:hAnsi="Arial" w:cs="Arial"/>
            <w:noProof/>
            <w:webHidden/>
          </w:rPr>
          <w:t>77</w:t>
        </w:r>
        <w:r w:rsidR="00F87188" w:rsidRPr="00F87188">
          <w:rPr>
            <w:rFonts w:ascii="Arial" w:hAnsi="Arial" w:cs="Arial"/>
            <w:noProof/>
            <w:webHidden/>
          </w:rPr>
          <w:fldChar w:fldCharType="end"/>
        </w:r>
      </w:hyperlink>
    </w:p>
    <w:p w:rsidR="00F87188" w:rsidRDefault="00AB3857" w:rsidP="00F87188">
      <w:pPr>
        <w:pStyle w:val="Spisilustracji"/>
        <w:tabs>
          <w:tab w:val="right" w:leader="dot" w:pos="9062"/>
        </w:tabs>
        <w:spacing w:line="276" w:lineRule="auto"/>
        <w:rPr>
          <w:rFonts w:asciiTheme="minorHAnsi" w:eastAsiaTheme="minorEastAsia" w:hAnsiTheme="minorHAnsi" w:cstheme="minorBidi"/>
          <w:noProof/>
          <w:lang w:eastAsia="pl-PL"/>
        </w:rPr>
      </w:pPr>
      <w:hyperlink w:anchor="_Toc161123016" w:history="1">
        <w:r w:rsidR="00F87188" w:rsidRPr="00F87188">
          <w:rPr>
            <w:rStyle w:val="Hipercze"/>
            <w:rFonts w:ascii="Arial" w:hAnsi="Arial" w:cs="Arial"/>
            <w:b/>
            <w:noProof/>
          </w:rPr>
          <w:t>Rysunek 16.</w:t>
        </w:r>
        <w:r w:rsidR="00F87188" w:rsidRPr="00F87188">
          <w:rPr>
            <w:rStyle w:val="Hipercze"/>
            <w:rFonts w:ascii="Arial" w:hAnsi="Arial" w:cs="Arial"/>
            <w:noProof/>
          </w:rPr>
          <w:t xml:space="preserve"> Rozmieszczenie firm związanych z energią przyjazną środowisku w 2021 r.</w:t>
        </w:r>
        <w:r w:rsidR="00F87188" w:rsidRPr="00F87188">
          <w:rPr>
            <w:rFonts w:ascii="Arial" w:hAnsi="Arial" w:cs="Arial"/>
            <w:noProof/>
            <w:webHidden/>
          </w:rPr>
          <w:tab/>
        </w:r>
        <w:r w:rsidR="00F87188" w:rsidRPr="00F87188">
          <w:rPr>
            <w:rFonts w:ascii="Arial" w:hAnsi="Arial" w:cs="Arial"/>
            <w:noProof/>
            <w:webHidden/>
          </w:rPr>
          <w:fldChar w:fldCharType="begin"/>
        </w:r>
        <w:r w:rsidR="00F87188" w:rsidRPr="00F87188">
          <w:rPr>
            <w:rFonts w:ascii="Arial" w:hAnsi="Arial" w:cs="Arial"/>
            <w:noProof/>
            <w:webHidden/>
          </w:rPr>
          <w:instrText xml:space="preserve"> PAGEREF _Toc161123016 \h </w:instrText>
        </w:r>
        <w:r w:rsidR="00F87188" w:rsidRPr="00F87188">
          <w:rPr>
            <w:rFonts w:ascii="Arial" w:hAnsi="Arial" w:cs="Arial"/>
            <w:noProof/>
            <w:webHidden/>
          </w:rPr>
        </w:r>
        <w:r w:rsidR="00F87188" w:rsidRPr="00F87188">
          <w:rPr>
            <w:rFonts w:ascii="Arial" w:hAnsi="Arial" w:cs="Arial"/>
            <w:noProof/>
            <w:webHidden/>
          </w:rPr>
          <w:fldChar w:fldCharType="separate"/>
        </w:r>
        <w:r w:rsidR="00A564A3">
          <w:rPr>
            <w:rFonts w:ascii="Arial" w:hAnsi="Arial" w:cs="Arial"/>
            <w:noProof/>
            <w:webHidden/>
          </w:rPr>
          <w:t>81</w:t>
        </w:r>
        <w:r w:rsidR="00F87188" w:rsidRPr="00F87188">
          <w:rPr>
            <w:rFonts w:ascii="Arial" w:hAnsi="Arial" w:cs="Arial"/>
            <w:noProof/>
            <w:webHidden/>
          </w:rPr>
          <w:fldChar w:fldCharType="end"/>
        </w:r>
      </w:hyperlink>
    </w:p>
    <w:p w:rsidR="00680EF4" w:rsidRPr="0064087E" w:rsidRDefault="00D50F10" w:rsidP="000255EB">
      <w:pPr>
        <w:spacing w:before="60" w:after="60" w:line="276" w:lineRule="auto"/>
        <w:ind w:left="1276" w:hanging="1276"/>
        <w:rPr>
          <w:rFonts w:ascii="Arial" w:hAnsi="Arial" w:cs="Arial"/>
        </w:rPr>
      </w:pPr>
      <w:r w:rsidRPr="0064087E">
        <w:rPr>
          <w:rFonts w:ascii="Arial" w:hAnsi="Arial" w:cs="Arial"/>
        </w:rPr>
        <w:fldChar w:fldCharType="end"/>
      </w:r>
    </w:p>
    <w:sectPr w:rsidR="00680EF4" w:rsidRPr="0064087E" w:rsidSect="00333E9D">
      <w:footerReference w:type="default" r:id="rId9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3684" w:rsidRDefault="00E33684" w:rsidP="00BD3ABA">
      <w:r>
        <w:separator/>
      </w:r>
    </w:p>
  </w:endnote>
  <w:endnote w:type="continuationSeparator" w:id="0">
    <w:p w:rsidR="00E33684" w:rsidRDefault="00E33684" w:rsidP="00BD3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yriad Pro">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0000" w:themeColor="text1"/>
      </w:rPr>
      <w:id w:val="-456030899"/>
      <w:docPartObj>
        <w:docPartGallery w:val="Page Numbers (Bottom of Page)"/>
        <w:docPartUnique/>
      </w:docPartObj>
    </w:sdtPr>
    <w:sdtEndPr/>
    <w:sdtContent>
      <w:p w:rsidR="00E33684" w:rsidRDefault="00E33684" w:rsidP="007A1D01">
        <w:pPr>
          <w:pStyle w:val="Stopka"/>
          <w:jc w:val="center"/>
        </w:pPr>
        <w:r w:rsidRPr="007A1D01">
          <w:rPr>
            <w:rFonts w:ascii="Arial" w:hAnsi="Arial" w:cs="Arial"/>
            <w:color w:val="000000" w:themeColor="text1"/>
          </w:rPr>
          <w:fldChar w:fldCharType="begin"/>
        </w:r>
        <w:r w:rsidRPr="007A1D01">
          <w:rPr>
            <w:rFonts w:ascii="Arial" w:hAnsi="Arial" w:cs="Arial"/>
            <w:color w:val="000000" w:themeColor="text1"/>
          </w:rPr>
          <w:instrText>PAGE   \* MERGEFORMAT</w:instrText>
        </w:r>
        <w:r w:rsidRPr="007A1D01">
          <w:rPr>
            <w:rFonts w:ascii="Arial" w:hAnsi="Arial" w:cs="Arial"/>
            <w:color w:val="000000" w:themeColor="text1"/>
          </w:rPr>
          <w:fldChar w:fldCharType="separate"/>
        </w:r>
        <w:r>
          <w:rPr>
            <w:rFonts w:ascii="Arial" w:hAnsi="Arial" w:cs="Arial"/>
            <w:noProof/>
            <w:color w:val="000000" w:themeColor="text1"/>
          </w:rPr>
          <w:t>93</w:t>
        </w:r>
        <w:r w:rsidRPr="007A1D01">
          <w:rPr>
            <w:rFonts w:ascii="Arial" w:hAnsi="Arial" w:cs="Arial"/>
            <w:color w:val="000000" w:themeColor="text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3684" w:rsidRDefault="00E33684" w:rsidP="00BD3ABA">
      <w:r>
        <w:separator/>
      </w:r>
    </w:p>
  </w:footnote>
  <w:footnote w:type="continuationSeparator" w:id="0">
    <w:p w:rsidR="00E33684" w:rsidRDefault="00E33684" w:rsidP="00BD3ABA">
      <w:r>
        <w:continuationSeparator/>
      </w:r>
    </w:p>
  </w:footnote>
  <w:footnote w:id="1">
    <w:p w:rsidR="00E33684" w:rsidRPr="00AD0D08" w:rsidRDefault="00E33684" w:rsidP="00BB598D">
      <w:pPr>
        <w:spacing w:after="120" w:line="276" w:lineRule="auto"/>
        <w:rPr>
          <w:rFonts w:ascii="Arial" w:hAnsi="Arial" w:cs="Arial"/>
          <w:sz w:val="20"/>
          <w:szCs w:val="20"/>
        </w:rPr>
      </w:pPr>
      <w:r w:rsidRPr="00AD0D08">
        <w:rPr>
          <w:rStyle w:val="Odwoanieprzypisudolnego"/>
          <w:rFonts w:ascii="Arial" w:hAnsi="Arial" w:cs="Arial"/>
          <w:sz w:val="20"/>
          <w:szCs w:val="20"/>
        </w:rPr>
        <w:footnoteRef/>
      </w:r>
      <w:r w:rsidRPr="00AD0D08">
        <w:rPr>
          <w:rFonts w:ascii="Arial" w:hAnsi="Arial" w:cs="Arial"/>
          <w:sz w:val="20"/>
          <w:szCs w:val="20"/>
        </w:rPr>
        <w:t xml:space="preserve"> W przygotowanym opracowaniu wiodące branże województwa podkarpackiego rozumiane są jako inteligentne specjalizacje regionalne.</w:t>
      </w:r>
    </w:p>
  </w:footnote>
  <w:footnote w:id="2">
    <w:p w:rsidR="00E33684" w:rsidRPr="0064087E" w:rsidRDefault="00E33684" w:rsidP="00BB598D">
      <w:pPr>
        <w:pStyle w:val="Tekstprzypisudolnego"/>
        <w:spacing w:line="276" w:lineRule="auto"/>
        <w:ind w:left="142" w:hanging="142"/>
      </w:pPr>
      <w:r w:rsidRPr="00D62638">
        <w:rPr>
          <w:rStyle w:val="Odwoanieprzypisudolnego"/>
          <w:rFonts w:ascii="Arial" w:hAnsi="Arial" w:cs="Arial"/>
        </w:rPr>
        <w:footnoteRef/>
      </w:r>
      <w:r w:rsidRPr="00D62638">
        <w:rPr>
          <w:rFonts w:ascii="Arial" w:hAnsi="Arial" w:cs="Arial"/>
        </w:rPr>
        <w:t xml:space="preserve"> </w:t>
      </w:r>
      <w:r w:rsidRPr="0064087E">
        <w:rPr>
          <w:rFonts w:ascii="Arial" w:hAnsi="Arial" w:cs="Arial"/>
        </w:rPr>
        <w:t>Wskaźnik innowacyjności RII (Regional Innovation Index) służący do mierzenia innowacyjności regionów europejskich złożony jest z 21 wskaźników cząstkowych, m.in. odsetka ludności w wieku 25-34 lata z wyższym wykształceniem, wydatków na badania i rozwój w sektorze publicznym wyrażonego jako odsetek PKB, odsetka przedsiębiorstw, które wprowadziły innowacje produktowe lub procesowe w przedsiębiorstwach ogółem.</w:t>
      </w:r>
    </w:p>
  </w:footnote>
  <w:footnote w:id="3">
    <w:p w:rsidR="00E33684" w:rsidRPr="00686DE0" w:rsidRDefault="00E33684" w:rsidP="00DA4FE9">
      <w:pPr>
        <w:pStyle w:val="Tekstprzypisudolnego"/>
        <w:spacing w:line="276" w:lineRule="auto"/>
        <w:ind w:left="142" w:hanging="142"/>
        <w:rPr>
          <w:rFonts w:ascii="Arial" w:hAnsi="Arial" w:cs="Arial"/>
        </w:rPr>
      </w:pPr>
      <w:r w:rsidRPr="00686DE0">
        <w:rPr>
          <w:rStyle w:val="Odwoanieprzypisudolnego"/>
          <w:rFonts w:ascii="Arial" w:hAnsi="Arial" w:cs="Arial"/>
        </w:rPr>
        <w:footnoteRef/>
      </w:r>
      <w:r w:rsidRPr="00686DE0">
        <w:rPr>
          <w:rFonts w:ascii="Arial" w:hAnsi="Arial" w:cs="Arial"/>
        </w:rPr>
        <w:t xml:space="preserve"> Foray D., Goddard J., Beldarrain X. G., Landabaso M., McCann P., Morgan K., Nauwelaers C., Ortega-Argilés R., Przewodnik Strategii Badań i Innowacji na Rzecz Inteligentnej Specjalizacji (RIS3), Luksemburg: Urząd Publikacji Unii Europejskiej, European Union 2012, tłumaczenie sfinansowane ze środków własnych Banku Światowego – kwiecień 2013, s. 11- 13.</w:t>
      </w:r>
    </w:p>
  </w:footnote>
  <w:footnote w:id="4">
    <w:p w:rsidR="00E33684" w:rsidRPr="00686DE0" w:rsidRDefault="00E33684" w:rsidP="00DA4FE9">
      <w:pPr>
        <w:pStyle w:val="Tekstprzypisudolnego"/>
        <w:spacing w:line="276" w:lineRule="auto"/>
        <w:rPr>
          <w:rFonts w:ascii="Arial" w:hAnsi="Arial" w:cs="Arial"/>
        </w:rPr>
      </w:pPr>
      <w:r w:rsidRPr="00686DE0">
        <w:rPr>
          <w:rStyle w:val="Odwoanieprzypisudolnego"/>
          <w:rFonts w:ascii="Arial" w:hAnsi="Arial" w:cs="Arial"/>
        </w:rPr>
        <w:footnoteRef/>
      </w:r>
      <w:r w:rsidRPr="00686DE0">
        <w:rPr>
          <w:rFonts w:ascii="Arial" w:hAnsi="Arial" w:cs="Arial"/>
        </w:rPr>
        <w:t xml:space="preserve"> Regionalna Strategia Innowacji Województwa Podkarpackiego na lata 2021-2030, s. 174-175.</w:t>
      </w:r>
    </w:p>
  </w:footnote>
  <w:footnote w:id="5">
    <w:p w:rsidR="00E33684" w:rsidRPr="0064087E" w:rsidRDefault="00E33684" w:rsidP="00DA4FE9">
      <w:pPr>
        <w:pStyle w:val="Tekstprzypisudolnego"/>
        <w:spacing w:line="276" w:lineRule="auto"/>
        <w:ind w:left="142" w:hanging="142"/>
        <w:rPr>
          <w:rFonts w:ascii="Arial" w:hAnsi="Arial" w:cs="Arial"/>
        </w:rPr>
      </w:pPr>
      <w:r w:rsidRPr="00686DE0">
        <w:rPr>
          <w:rStyle w:val="Odwoanieprzypisudolnego"/>
          <w:rFonts w:ascii="Arial" w:hAnsi="Arial" w:cs="Arial"/>
        </w:rPr>
        <w:footnoteRef/>
      </w:r>
      <w:r w:rsidRPr="00686DE0">
        <w:rPr>
          <w:rFonts w:ascii="Arial" w:hAnsi="Arial" w:cs="Arial"/>
        </w:rPr>
        <w:t xml:space="preserve"> W Regionalnej Strategia Innowacji Województwa Podkarpackiego na lata 2021-2030 zniesiony został podział na specjalizacje wiodące i wspomagające.</w:t>
      </w:r>
    </w:p>
  </w:footnote>
  <w:footnote w:id="6">
    <w:p w:rsidR="00E33684" w:rsidRPr="0064087E" w:rsidRDefault="00E33684" w:rsidP="002132EA">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w:t>
      </w:r>
      <w:bookmarkStart w:id="16" w:name="_Hlk160003444"/>
      <w:r w:rsidRPr="0064087E">
        <w:rPr>
          <w:rFonts w:ascii="Arial" w:hAnsi="Arial" w:cs="Arial"/>
        </w:rPr>
        <w:t>Regionalna Strategia Innowacji Województwa Podkarpackiego na lata 2021-2030, s. 104-105.</w:t>
      </w:r>
      <w:bookmarkEnd w:id="16"/>
    </w:p>
  </w:footnote>
  <w:footnote w:id="7">
    <w:p w:rsidR="00E33684" w:rsidRPr="0064087E" w:rsidRDefault="00E33684" w:rsidP="002132EA">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AERONET, dostęp 08.12.2023 r.</w:t>
      </w:r>
    </w:p>
  </w:footnote>
  <w:footnote w:id="8">
    <w:p w:rsidR="00E33684" w:rsidRPr="002132EA" w:rsidRDefault="00E33684" w:rsidP="002132EA">
      <w:pPr>
        <w:pStyle w:val="Tekstprzypisudolnego"/>
        <w:spacing w:line="276" w:lineRule="auto"/>
        <w:ind w:left="142" w:hanging="142"/>
        <w:rPr>
          <w:rFonts w:ascii="Arial" w:hAnsi="Arial" w:cs="Arial"/>
        </w:rPr>
      </w:pPr>
      <w:r w:rsidRPr="002132EA">
        <w:rPr>
          <w:rStyle w:val="Odwoanieprzypisudolnego"/>
          <w:rFonts w:ascii="Arial" w:hAnsi="Arial" w:cs="Arial"/>
        </w:rPr>
        <w:footnoteRef/>
      </w:r>
      <w:r w:rsidRPr="002132EA">
        <w:rPr>
          <w:rFonts w:ascii="Arial" w:hAnsi="Arial" w:cs="Arial"/>
        </w:rPr>
        <w:t xml:space="preserve"> </w:t>
      </w:r>
      <w:hyperlink r:id="rId1" w:history="1">
        <w:r w:rsidRPr="002132EA">
          <w:rPr>
            <w:rFonts w:ascii="Arial" w:hAnsi="Arial" w:cs="Arial"/>
          </w:rPr>
          <w:t>O Nas - Dolina Lotnicza</w:t>
        </w:r>
      </w:hyperlink>
      <w:r w:rsidRPr="002132EA">
        <w:rPr>
          <w:rFonts w:ascii="Arial" w:hAnsi="Arial" w:cs="Arial"/>
        </w:rPr>
        <w:t>, dostęp</w:t>
      </w:r>
      <w:r w:rsidRPr="002132EA">
        <w:rPr>
          <w:rFonts w:ascii="Arial" w:hAnsi="Arial" w:cs="Arial"/>
          <w:spacing w:val="-12"/>
          <w:w w:val="95"/>
        </w:rPr>
        <w:t xml:space="preserve"> </w:t>
      </w:r>
      <w:r w:rsidRPr="002132EA">
        <w:rPr>
          <w:rFonts w:ascii="Arial" w:hAnsi="Arial" w:cs="Arial"/>
          <w:w w:val="95"/>
        </w:rPr>
        <w:t>08.12.2023</w:t>
      </w:r>
      <w:r w:rsidRPr="002132EA">
        <w:rPr>
          <w:rFonts w:ascii="Arial" w:hAnsi="Arial" w:cs="Arial"/>
          <w:spacing w:val="-12"/>
          <w:w w:val="95"/>
        </w:rPr>
        <w:t xml:space="preserve"> </w:t>
      </w:r>
      <w:r w:rsidRPr="002132EA">
        <w:rPr>
          <w:rFonts w:ascii="Arial" w:hAnsi="Arial" w:cs="Arial"/>
          <w:w w:val="95"/>
        </w:rPr>
        <w:t>r.</w:t>
      </w:r>
    </w:p>
  </w:footnote>
  <w:footnote w:id="9">
    <w:p w:rsidR="00E33684" w:rsidRPr="0064087E" w:rsidRDefault="00E33684" w:rsidP="002132EA">
      <w:pPr>
        <w:tabs>
          <w:tab w:val="left" w:pos="1732"/>
        </w:tabs>
        <w:spacing w:line="276" w:lineRule="auto"/>
        <w:ind w:left="142" w:hanging="142"/>
        <w:rPr>
          <w:rFonts w:ascii="Arial" w:hAnsi="Arial" w:cs="Arial"/>
          <w:sz w:val="20"/>
          <w:szCs w:val="20"/>
        </w:rPr>
      </w:pPr>
      <w:r w:rsidRPr="002132EA">
        <w:rPr>
          <w:rStyle w:val="Odwoanieprzypisudolnego"/>
          <w:rFonts w:ascii="Arial" w:hAnsi="Arial" w:cs="Arial"/>
          <w:sz w:val="20"/>
          <w:szCs w:val="20"/>
        </w:rPr>
        <w:footnoteRef/>
      </w:r>
      <w:r w:rsidRPr="002132EA">
        <w:rPr>
          <w:rFonts w:ascii="Arial" w:hAnsi="Arial" w:cs="Arial"/>
          <w:sz w:val="20"/>
          <w:szCs w:val="20"/>
        </w:rPr>
        <w:t xml:space="preserve"> </w:t>
      </w:r>
      <w:hyperlink r:id="rId2" w:history="1">
        <w:r w:rsidRPr="002132EA">
          <w:rPr>
            <w:rFonts w:ascii="Arial" w:hAnsi="Arial" w:cs="Arial"/>
            <w:sz w:val="20"/>
            <w:szCs w:val="20"/>
          </w:rPr>
          <w:t>Podkarpackie Powiązanie Kooperacyjne - Lotnictwo ultralekkie (klasterlotniczy.pl)</w:t>
        </w:r>
      </w:hyperlink>
      <w:r w:rsidRPr="002132EA">
        <w:rPr>
          <w:rFonts w:ascii="Arial" w:hAnsi="Arial" w:cs="Arial"/>
          <w:sz w:val="20"/>
          <w:szCs w:val="20"/>
        </w:rPr>
        <w:t>, dostęp 08.12.2023 r.</w:t>
      </w:r>
    </w:p>
  </w:footnote>
  <w:footnote w:id="10">
    <w:p w:rsidR="00E33684" w:rsidRPr="0064087E" w:rsidRDefault="00E33684" w:rsidP="002132EA">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Dane finansowe liczone na podstawie rocznej ankiety przedsiębiorstwa SP. Obejmują jednostki, </w:t>
      </w:r>
      <w:r w:rsidRPr="0064087E">
        <w:rPr>
          <w:rFonts w:ascii="Arial" w:hAnsi="Arial" w:cs="Arial"/>
        </w:rPr>
        <w:br/>
        <w:t xml:space="preserve">w których liczba pracujących przekracza 9 osób. Zakres podmiotowy sprawozdania to spółki osobowe, spółki kapitałowe, spółki cywilne prowadzące działalność w oparciu o umowę zawartą na podstawie Kodeksu cywilnego, spółki przewidziane w przepisach innych ustaw niż Kodeks spółek handlowych i Kodeks cywilny lub formy prawne, do których stosuje się przepisy o spółkach (dotyczy na przykład spółek wodnych), oddziały zagranicznych przedsiębiorców, przedsiębiorstwa państwowe, spółdzielnie oraz osoby fizyczne prowadzące działalność gospodarczą. Badanie obejmuje sekcje: A (z wyłączeniem osób fizycznych prowadzących indywidualne gospodarstwa rolne), B, C, D, E, F, G, H, I, J (z wyłączeniem instytucji kultury mających osobowość prawną), </w:t>
      </w:r>
      <w:r>
        <w:rPr>
          <w:rFonts w:ascii="Arial" w:hAnsi="Arial" w:cs="Arial"/>
        </w:rPr>
        <w:br/>
      </w:r>
      <w:r w:rsidRPr="0064087E">
        <w:rPr>
          <w:rFonts w:ascii="Arial" w:hAnsi="Arial" w:cs="Arial"/>
        </w:rPr>
        <w:t xml:space="preserve">K (z wyłączeniem banków, spółdzielczych kas oszczędnościowo-kredytowych, instytucji ubezpieczeniowych, biur i domów maklerskich, towarzystw i funduszy inwestycyjnych oraz towarzystw i funduszy emerytalnych), L, M, N, P (z wyłączeniem szkół wyższych), Q (z wyłączeniem samodzielnych publicznych zakładów opieki zdrowotnej), R (z wyłączeniem instytucji kultury mających osobowość prawną), S (z wyłączeniem związków zawodowych, organizacji religijnych </w:t>
      </w:r>
      <w:r>
        <w:rPr>
          <w:rFonts w:ascii="Arial" w:hAnsi="Arial" w:cs="Arial"/>
        </w:rPr>
        <w:br/>
      </w:r>
      <w:r w:rsidRPr="0064087E">
        <w:rPr>
          <w:rFonts w:ascii="Arial" w:hAnsi="Arial" w:cs="Arial"/>
        </w:rPr>
        <w:t>i politycznych).</w:t>
      </w:r>
    </w:p>
  </w:footnote>
  <w:footnote w:id="11">
    <w:p w:rsidR="00E33684" w:rsidRPr="00104260" w:rsidRDefault="00E33684" w:rsidP="007F75E6">
      <w:pPr>
        <w:pStyle w:val="Tekstprzypisudolnego"/>
        <w:spacing w:line="276" w:lineRule="auto"/>
        <w:ind w:left="142" w:hanging="142"/>
        <w:rPr>
          <w:rFonts w:ascii="Arial" w:hAnsi="Arial" w:cs="Arial"/>
        </w:rPr>
      </w:pPr>
      <w:r w:rsidRPr="00104260">
        <w:rPr>
          <w:rStyle w:val="Odwoanieprzypisudolnego"/>
          <w:rFonts w:ascii="Arial" w:hAnsi="Arial" w:cs="Arial"/>
        </w:rPr>
        <w:footnoteRef/>
      </w:r>
      <w:r w:rsidRPr="00104260">
        <w:rPr>
          <w:rFonts w:ascii="Arial" w:hAnsi="Arial" w:cs="Arial"/>
        </w:rPr>
        <w:t xml:space="preserve"> Regionalna Strategia Innowacji Województwa Podkarpackiego na lata 2021-2030, s. 110.</w:t>
      </w:r>
    </w:p>
  </w:footnote>
  <w:footnote w:id="12">
    <w:p w:rsidR="00E33684" w:rsidRPr="0064087E" w:rsidRDefault="00E33684" w:rsidP="007F75E6">
      <w:pPr>
        <w:pStyle w:val="Tekstprzypisudolnego"/>
        <w:spacing w:line="276" w:lineRule="auto"/>
        <w:ind w:left="142" w:hanging="142"/>
        <w:rPr>
          <w:rFonts w:ascii="Arial" w:hAnsi="Arial" w:cs="Arial"/>
        </w:rPr>
      </w:pPr>
      <w:r w:rsidRPr="00104260">
        <w:rPr>
          <w:rStyle w:val="Odwoanieprzypisudolnego"/>
          <w:rFonts w:ascii="Arial" w:hAnsi="Arial" w:cs="Arial"/>
        </w:rPr>
        <w:footnoteRef/>
      </w:r>
      <w:r w:rsidRPr="00104260">
        <w:rPr>
          <w:rFonts w:ascii="Arial" w:hAnsi="Arial" w:cs="Arial"/>
        </w:rPr>
        <w:t xml:space="preserve"> </w:t>
      </w:r>
      <w:hyperlink r:id="rId3" w:history="1">
        <w:r w:rsidRPr="00104260">
          <w:rPr>
            <w:rFonts w:ascii="Arial" w:hAnsi="Arial" w:cs="Arial"/>
          </w:rPr>
          <w:t>Katedra Pojazdów Samochodowych i Inżynierii Transportu (prz.edu.pl)</w:t>
        </w:r>
      </w:hyperlink>
      <w:r w:rsidRPr="00104260">
        <w:rPr>
          <w:rFonts w:ascii="Arial" w:hAnsi="Arial" w:cs="Arial"/>
        </w:rPr>
        <w:t>,</w:t>
      </w:r>
      <w:r w:rsidRPr="00104260">
        <w:rPr>
          <w:rFonts w:ascii="Arial" w:hAnsi="Arial" w:cs="Arial"/>
          <w:spacing w:val="-16"/>
        </w:rPr>
        <w:t xml:space="preserve"> </w:t>
      </w:r>
      <w:r w:rsidRPr="00104260">
        <w:rPr>
          <w:rFonts w:ascii="Arial" w:hAnsi="Arial" w:cs="Arial"/>
        </w:rPr>
        <w:t>dostęp</w:t>
      </w:r>
      <w:r w:rsidRPr="00104260">
        <w:rPr>
          <w:rFonts w:ascii="Arial" w:hAnsi="Arial" w:cs="Arial"/>
          <w:spacing w:val="-16"/>
        </w:rPr>
        <w:t xml:space="preserve"> </w:t>
      </w:r>
      <w:r w:rsidRPr="00104260">
        <w:rPr>
          <w:rFonts w:ascii="Arial" w:hAnsi="Arial" w:cs="Arial"/>
        </w:rPr>
        <w:t>08.12.2023</w:t>
      </w:r>
      <w:r w:rsidRPr="00104260">
        <w:rPr>
          <w:rFonts w:ascii="Arial" w:hAnsi="Arial" w:cs="Arial"/>
          <w:spacing w:val="-16"/>
        </w:rPr>
        <w:t xml:space="preserve"> </w:t>
      </w:r>
      <w:r w:rsidRPr="00104260">
        <w:rPr>
          <w:rFonts w:ascii="Arial" w:hAnsi="Arial" w:cs="Arial"/>
        </w:rPr>
        <w:t>r.</w:t>
      </w:r>
    </w:p>
  </w:footnote>
  <w:footnote w:id="13">
    <w:p w:rsidR="00E33684" w:rsidRPr="0064087E" w:rsidRDefault="00E33684" w:rsidP="007F75E6">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O KLASTRZE – Wschodni Sojusz Motoryzacyjny East Automotive Alliance (eaa-wsm.pl)</w:t>
      </w:r>
      <w:hyperlink r:id="rId4">
        <w:r w:rsidRPr="0064087E">
          <w:rPr>
            <w:rStyle w:val="Hipercze"/>
            <w:rFonts w:ascii="Arial" w:hAnsi="Arial" w:cs="Arial"/>
            <w:color w:val="auto"/>
            <w:u w:val="none"/>
          </w:rPr>
          <w:t xml:space="preserve">, </w:t>
        </w:r>
      </w:hyperlink>
      <w:r w:rsidRPr="0064087E">
        <w:rPr>
          <w:rFonts w:ascii="Arial" w:hAnsi="Arial" w:cs="Arial"/>
        </w:rPr>
        <w:t>dostęp 08.12.2023 r.</w:t>
      </w:r>
    </w:p>
  </w:footnote>
  <w:footnote w:id="14">
    <w:p w:rsidR="00E33684" w:rsidRPr="0064087E" w:rsidRDefault="00E33684" w:rsidP="007F75E6">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w:t>
      </w:r>
      <w:bookmarkStart w:id="31" w:name="_Hlk156483582"/>
      <w:r w:rsidRPr="0064087E">
        <w:rPr>
          <w:rFonts w:ascii="Arial" w:hAnsi="Arial" w:cs="Arial"/>
        </w:rPr>
        <w:t>Dane finansowe liczone na podstawie rocznej ankiety przedsiębiorstwa SP (przypis metodyczny ze str. 15).</w:t>
      </w:r>
      <w:bookmarkEnd w:id="31"/>
    </w:p>
  </w:footnote>
  <w:footnote w:id="15">
    <w:p w:rsidR="00E33684" w:rsidRPr="0064087E" w:rsidRDefault="00E33684" w:rsidP="007F75E6">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Wskaźnik rentowności sprzedaży - definiowany jako relacja wyniku netto ze sprzedaży produktów, towarów i materiałów do przychodów netto ze sprzedaży produktów, towarów i materiałów.</w:t>
      </w:r>
    </w:p>
  </w:footnote>
  <w:footnote w:id="16">
    <w:p w:rsidR="00E33684" w:rsidRPr="0064087E" w:rsidRDefault="00E33684" w:rsidP="007F75E6">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Wskaźnik rentowności aktywów jest mierzony jako relacja wyniku finansowego netto do wartości aktywów.</w:t>
      </w:r>
    </w:p>
  </w:footnote>
  <w:footnote w:id="17">
    <w:p w:rsidR="00E33684" w:rsidRPr="0064087E" w:rsidRDefault="00E33684" w:rsidP="00DA4FE9">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Wskaźnik rentowności kapitału własnego określany, jako stosunek wyniku finansowego netto do wartości kapitału (funduszu) własnego.</w:t>
      </w:r>
    </w:p>
  </w:footnote>
  <w:footnote w:id="18">
    <w:p w:rsidR="00E33684" w:rsidRPr="0064087E" w:rsidRDefault="00E33684" w:rsidP="007F75E6">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Wskaźnik płynności finansowej I stopnia jest definiowany jako relacja inwestycji krótkoterminowych do zobowiązań krótkoterminowych (bez funduszy specjalnych), Analiza wskaźnika jest pomocna </w:t>
      </w:r>
      <w:r w:rsidRPr="0064087E">
        <w:rPr>
          <w:rFonts w:ascii="Arial" w:hAnsi="Arial" w:cs="Arial"/>
        </w:rPr>
        <w:br/>
        <w:t>w ustaleniu natychmiastowej zdolności płatniczej jednostek. W gospodarce wolnorynkowej przyjmuje się, że wartość wskaźnika powinna kształtować się powyżej 20%, przy czym zbyt wysoki poziom wskaźnika będzie oznaczał utrzymanie dużego stanu środków pieniężnych, co z kolei wywiera negatywny wpływ na rentowność.</w:t>
      </w:r>
    </w:p>
  </w:footnote>
  <w:footnote w:id="19">
    <w:p w:rsidR="00E33684" w:rsidRPr="0064087E" w:rsidRDefault="00E33684" w:rsidP="007F75E6">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Wskaźnik płynności finansowej II stopnia jest określany jako relacja inwestycji krótkoterminowych i należności krótkoterminowych do zobowiązań krótkoterminowych (bez funduszy specjalnych).</w:t>
      </w:r>
    </w:p>
  </w:footnote>
  <w:footnote w:id="20">
    <w:p w:rsidR="00E33684" w:rsidRPr="0064087E" w:rsidRDefault="00E33684" w:rsidP="007F75E6">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Wskaźnik płynności finansowej III stopnia jest liczony jako relacja aktywów obrotowych do zobowiązań krótkoterminowych (bez funduszy specjalnych).</w:t>
      </w:r>
    </w:p>
  </w:footnote>
  <w:footnote w:id="21">
    <w:p w:rsidR="00E33684" w:rsidRPr="0064087E" w:rsidRDefault="00E33684" w:rsidP="007F75E6">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Do analizy zostały wybrane jednostki sektora przedsiębiorstw, które sporządzają „Meldunek </w:t>
      </w:r>
      <w:r w:rsidRPr="0064087E">
        <w:rPr>
          <w:rFonts w:ascii="Arial" w:hAnsi="Arial" w:cs="Arial"/>
        </w:rPr>
        <w:br/>
        <w:t>o działalności gospodarczej DG-1” o liczbie pracujących powyżej 49 osób oraz 10-procentowa próba wylosowanych jednostek o liczbie pracujących 10-49 osób. Dane dla województwa dotyczą jednostek sektora przedsiębiorstw o liczbie pracujących powyżej 9 osób.</w:t>
      </w:r>
    </w:p>
  </w:footnote>
  <w:footnote w:id="22">
    <w:p w:rsidR="00E33684" w:rsidRPr="00D67498" w:rsidRDefault="00E33684" w:rsidP="007F75E6">
      <w:pPr>
        <w:pStyle w:val="Tekstprzypisudolnego"/>
        <w:spacing w:line="276" w:lineRule="auto"/>
        <w:ind w:left="142" w:hanging="142"/>
        <w:rPr>
          <w:rFonts w:ascii="Arial" w:hAnsi="Arial" w:cs="Arial"/>
        </w:rPr>
      </w:pPr>
      <w:r w:rsidRPr="00D67498">
        <w:rPr>
          <w:rStyle w:val="Odwoanieprzypisudolnego"/>
          <w:rFonts w:ascii="Arial" w:hAnsi="Arial" w:cs="Arial"/>
        </w:rPr>
        <w:footnoteRef/>
      </w:r>
      <w:r w:rsidRPr="00D67498">
        <w:rPr>
          <w:rFonts w:ascii="Arial" w:hAnsi="Arial" w:cs="Arial"/>
        </w:rPr>
        <w:t xml:space="preserve"> Regionalna Strategia Innowacji Województwa Podkarpackiego na lata 2021-2030, s. 115.</w:t>
      </w:r>
    </w:p>
  </w:footnote>
  <w:footnote w:id="23">
    <w:p w:rsidR="00E33684" w:rsidRPr="00D67498" w:rsidRDefault="00E33684" w:rsidP="007F75E6">
      <w:pPr>
        <w:pStyle w:val="Tekstprzypisudolnego"/>
        <w:spacing w:line="276" w:lineRule="auto"/>
        <w:ind w:left="142" w:hanging="142"/>
        <w:rPr>
          <w:rFonts w:ascii="Arial" w:hAnsi="Arial" w:cs="Arial"/>
        </w:rPr>
      </w:pPr>
      <w:r w:rsidRPr="00D67498">
        <w:rPr>
          <w:rStyle w:val="Odwoanieprzypisudolnego"/>
          <w:rFonts w:ascii="Arial" w:hAnsi="Arial" w:cs="Arial"/>
        </w:rPr>
        <w:footnoteRef/>
      </w:r>
      <w:r w:rsidRPr="00D67498">
        <w:rPr>
          <w:rFonts w:ascii="Arial" w:hAnsi="Arial" w:cs="Arial"/>
        </w:rPr>
        <w:t xml:space="preserve"> Regionalna Strategia Innowacji Województwa Podkarpackiego na lata 2021-2030, s. 116.</w:t>
      </w:r>
    </w:p>
  </w:footnote>
  <w:footnote w:id="24">
    <w:p w:rsidR="00E33684" w:rsidRPr="0064087E" w:rsidRDefault="00E33684" w:rsidP="007F75E6">
      <w:pPr>
        <w:pStyle w:val="Tekstprzypisudolnego"/>
        <w:spacing w:line="276" w:lineRule="auto"/>
        <w:ind w:left="142" w:hanging="142"/>
        <w:rPr>
          <w:rFonts w:ascii="Arial" w:hAnsi="Arial" w:cs="Arial"/>
        </w:rPr>
      </w:pPr>
      <w:r w:rsidRPr="00D67498">
        <w:rPr>
          <w:rStyle w:val="Odwoanieprzypisudolnego"/>
          <w:rFonts w:ascii="Arial" w:hAnsi="Arial" w:cs="Arial"/>
        </w:rPr>
        <w:footnoteRef/>
      </w:r>
      <w:hyperlink r:id="rId5" w:tooltip="Otwiera link w przeglądarce internetowej" w:history="1">
        <w:r w:rsidRPr="00D67498">
          <w:rPr>
            <w:rStyle w:val="Hipercze"/>
            <w:rFonts w:ascii="Arial" w:hAnsi="Arial" w:cs="Arial"/>
            <w:color w:val="auto"/>
          </w:rPr>
          <w:t>https://pl.asseco.com/aktualnosci/asseco-najwieksza-firma-it-w-rankingu-rzeczpospolitej-5182/</w:t>
        </w:r>
      </w:hyperlink>
      <w:r w:rsidRPr="00D67498">
        <w:rPr>
          <w:rFonts w:ascii="Arial" w:hAnsi="Arial" w:cs="Arial"/>
        </w:rPr>
        <w:t>, dostęp 20.12.2023</w:t>
      </w:r>
      <w:r w:rsidRPr="00D67498">
        <w:rPr>
          <w:rFonts w:ascii="Arial" w:hAnsi="Arial" w:cs="Arial"/>
          <w:spacing w:val="-16"/>
        </w:rPr>
        <w:t xml:space="preserve"> </w:t>
      </w:r>
      <w:r w:rsidRPr="00D67498">
        <w:rPr>
          <w:rFonts w:ascii="Arial" w:hAnsi="Arial" w:cs="Arial"/>
        </w:rPr>
        <w:t>r.</w:t>
      </w:r>
    </w:p>
  </w:footnote>
  <w:footnote w:id="25">
    <w:p w:rsidR="00E33684" w:rsidRPr="0064087E" w:rsidRDefault="00E33684" w:rsidP="00DB76F6">
      <w:pPr>
        <w:pStyle w:val="Tekstprzypisudolneg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w:t>
      </w:r>
      <w:hyperlink r:id="rId6" w:tooltip="Otwiera link w przeglądarce Internetowej" w:history="1">
        <w:r w:rsidRPr="0064087E">
          <w:rPr>
            <w:rStyle w:val="Hipercze"/>
            <w:rFonts w:ascii="Arial" w:hAnsi="Arial" w:cs="Arial"/>
            <w:color w:val="auto"/>
          </w:rPr>
          <w:t>https://klasterit.pl/czlonkowie/</w:t>
        </w:r>
      </w:hyperlink>
      <w:r w:rsidRPr="0064087E">
        <w:rPr>
          <w:rFonts w:ascii="Arial" w:hAnsi="Arial" w:cs="Arial"/>
        </w:rPr>
        <w:t>, dostęp 20.12.2023</w:t>
      </w:r>
      <w:r w:rsidRPr="0064087E">
        <w:rPr>
          <w:rFonts w:ascii="Arial" w:hAnsi="Arial" w:cs="Arial"/>
          <w:spacing w:val="-16"/>
        </w:rPr>
        <w:t xml:space="preserve"> </w:t>
      </w:r>
      <w:r w:rsidRPr="0064087E">
        <w:rPr>
          <w:rFonts w:ascii="Arial" w:hAnsi="Arial" w:cs="Arial"/>
        </w:rPr>
        <w:t>r.</w:t>
      </w:r>
    </w:p>
  </w:footnote>
  <w:footnote w:id="26">
    <w:p w:rsidR="00E33684" w:rsidRPr="0064087E" w:rsidRDefault="00E33684" w:rsidP="00C500A0">
      <w:pPr>
        <w:pStyle w:val="Tekstprzypisudolnego"/>
        <w:spacing w:line="276" w:lineRule="auto"/>
        <w:ind w:left="142" w:hanging="142"/>
        <w:rPr>
          <w:rFonts w:ascii="Arial" w:hAnsi="Arial" w:cs="Arial"/>
          <w:lang w:val="en-GB"/>
        </w:rPr>
      </w:pPr>
      <w:r w:rsidRPr="00D52FF9">
        <w:rPr>
          <w:rStyle w:val="Odwoanieprzypisudolnego"/>
          <w:rFonts w:ascii="Arial" w:hAnsi="Arial" w:cs="Arial"/>
          <w:color w:val="000000" w:themeColor="text1"/>
        </w:rPr>
        <w:footnoteRef/>
      </w:r>
      <w:r w:rsidRPr="00D52FF9">
        <w:rPr>
          <w:rFonts w:ascii="Arial" w:hAnsi="Arial" w:cs="Arial"/>
          <w:color w:val="000000" w:themeColor="text1"/>
          <w:lang w:val="en-GB"/>
        </w:rPr>
        <w:t xml:space="preserve"> Report by the Commission on the Measurement of Economic Performance and Social Progress (2009), </w:t>
      </w:r>
      <w:hyperlink r:id="rId7" w:tooltip="Otwiera link w przeglądarce internetowej" w:history="1">
        <w:r w:rsidRPr="00D52FF9">
          <w:rPr>
            <w:rStyle w:val="Hipercze"/>
            <w:rFonts w:ascii="Arial" w:hAnsi="Arial" w:cs="Arial"/>
            <w:color w:val="000000" w:themeColor="text1"/>
            <w:lang w:val="en-GB"/>
          </w:rPr>
          <w:t>http://www.stiglitz-sen-fitoussi.fr/en/index.htm</w:t>
        </w:r>
      </w:hyperlink>
    </w:p>
  </w:footnote>
  <w:footnote w:id="27">
    <w:p w:rsidR="00E33684" w:rsidRPr="0064087E" w:rsidRDefault="00E33684" w:rsidP="00C500A0">
      <w:pPr>
        <w:pStyle w:val="Tekstprzypisudolnego"/>
        <w:spacing w:line="276" w:lineRule="auto"/>
        <w:ind w:left="142" w:hanging="142"/>
        <w:rPr>
          <w:rFonts w:ascii="Arial" w:hAnsi="Arial" w:cs="Arial"/>
        </w:rPr>
      </w:pPr>
      <w:r w:rsidRPr="00D62638">
        <w:rPr>
          <w:rStyle w:val="Odwoanieprzypisudolnego"/>
          <w:rFonts w:ascii="Arial" w:hAnsi="Arial" w:cs="Arial"/>
        </w:rPr>
        <w:footnoteRef/>
      </w:r>
      <w:r w:rsidRPr="00D62638">
        <w:rPr>
          <w:rFonts w:ascii="Arial" w:hAnsi="Arial" w:cs="Arial"/>
        </w:rPr>
        <w:t xml:space="preserve"> Europejskie Badanie Warunków Życia (EU-SILC) przeprowadzone przez Główny Urząd Statystyczny i 16 urzędów statystycznych w okresie od 21 kwietnia do 30 czerwca 2022 r.</w:t>
      </w:r>
    </w:p>
  </w:footnote>
  <w:footnote w:id="28">
    <w:p w:rsidR="00E33684" w:rsidRPr="0064087E" w:rsidRDefault="00E33684" w:rsidP="009851DE">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Aktualne dane nt. ruchu pasażerów wskazują na rekordowe wartości. W 2023 r. Port Lotniczy Rzeszów-Jasionka obsłużył ponad 1 mln pasażerów.</w:t>
      </w:r>
    </w:p>
  </w:footnote>
  <w:footnote w:id="29">
    <w:p w:rsidR="00E33684" w:rsidRPr="0064087E" w:rsidRDefault="00E33684" w:rsidP="009851DE">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Regionalna Strategia Innowacji Województwa Podkarpackiego na lata 2021-2030, s. 118-119.</w:t>
      </w:r>
    </w:p>
  </w:footnote>
  <w:footnote w:id="30">
    <w:p w:rsidR="00E33684" w:rsidRPr="0064087E" w:rsidRDefault="00E33684" w:rsidP="009851DE">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Tamże, s. 118-119.</w:t>
      </w:r>
    </w:p>
  </w:footnote>
  <w:footnote w:id="31">
    <w:p w:rsidR="00E33684" w:rsidRPr="0064087E" w:rsidRDefault="00E33684" w:rsidP="009851DE">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Tamże, s. 118-119.</w:t>
      </w:r>
    </w:p>
  </w:footnote>
  <w:footnote w:id="32">
    <w:p w:rsidR="00E33684" w:rsidRPr="0064087E" w:rsidRDefault="00E33684" w:rsidP="009851DE">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Tamże, s. 118-119.</w:t>
      </w:r>
    </w:p>
  </w:footnote>
  <w:footnote w:id="33">
    <w:p w:rsidR="00E33684" w:rsidRPr="0064087E" w:rsidRDefault="00E33684" w:rsidP="009851DE">
      <w:pPr>
        <w:pStyle w:val="Tekstprzypisudolneg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Tamże, s. 119-120.</w:t>
      </w:r>
    </w:p>
  </w:footnote>
  <w:footnote w:id="34">
    <w:p w:rsidR="00E33684" w:rsidRPr="004D324B" w:rsidRDefault="00E33684" w:rsidP="004D324B">
      <w:pPr>
        <w:pStyle w:val="Tekstprzypisudolnego"/>
        <w:spacing w:line="276" w:lineRule="auto"/>
        <w:rPr>
          <w:rFonts w:ascii="Arial" w:hAnsi="Arial" w:cs="Arial"/>
        </w:rPr>
      </w:pPr>
      <w:r w:rsidRPr="004D324B">
        <w:rPr>
          <w:rStyle w:val="Odwoanieprzypisudolnego"/>
          <w:rFonts w:ascii="Arial" w:hAnsi="Arial" w:cs="Arial"/>
        </w:rPr>
        <w:footnoteRef/>
      </w:r>
      <w:r w:rsidRPr="004D324B">
        <w:rPr>
          <w:rFonts w:ascii="Arial" w:hAnsi="Arial" w:cs="Arial"/>
        </w:rPr>
        <w:t xml:space="preserve"> Informacje na podstawie danych GUS</w:t>
      </w:r>
    </w:p>
  </w:footnote>
  <w:footnote w:id="35">
    <w:p w:rsidR="00E33684" w:rsidRPr="0064087E" w:rsidRDefault="00E33684" w:rsidP="0036761C">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Dane liczone na podstawie sprawozdań F-02, SP i KT-1 o liczbie pracujących 9 i więcej.</w:t>
      </w:r>
    </w:p>
  </w:footnote>
  <w:footnote w:id="36">
    <w:p w:rsidR="00E33684" w:rsidRPr="0064087E" w:rsidRDefault="00E33684" w:rsidP="0036761C">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Wskaźnik rentowności obrotu netto jest liczony jako relacja wyniku finansowego netto do przychodów z całokształtu działalności.</w:t>
      </w:r>
    </w:p>
  </w:footnote>
  <w:footnote w:id="37">
    <w:p w:rsidR="00E33684" w:rsidRPr="0064087E" w:rsidRDefault="00E33684" w:rsidP="0036761C">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Wskaźnik rentowności aktywów jest liczony jako relacja wyniku finansowego netto do wartości aktywów.</w:t>
      </w:r>
    </w:p>
  </w:footnote>
  <w:footnote w:id="38">
    <w:p w:rsidR="00E33684" w:rsidRPr="0064087E" w:rsidRDefault="00E33684" w:rsidP="0036761C">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Płynność finansowa I stopnia jest liczona jako relacja inwestycji krótkoterminowych do zobowiązań krótkoterminowych.</w:t>
      </w:r>
    </w:p>
  </w:footnote>
  <w:footnote w:id="39">
    <w:p w:rsidR="00E33684" w:rsidRPr="0064087E" w:rsidRDefault="00E33684" w:rsidP="0036761C">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Wskaźnik płynności II stopnia jest liczony jako relacja inwestycji krótkoterminowych i należności krótkoterminowych do zobowiązań krótkoterminowych.</w:t>
      </w:r>
    </w:p>
  </w:footnote>
  <w:footnote w:id="40">
    <w:p w:rsidR="00E33684" w:rsidRPr="0064087E" w:rsidRDefault="00E33684" w:rsidP="0036761C">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Wskaźnik płynności III stopnia jest liczony jako relacja aktywów obrotowych do zobowiązań krótkoterminowych.</w:t>
      </w:r>
    </w:p>
  </w:footnote>
  <w:footnote w:id="41">
    <w:p w:rsidR="00E33684" w:rsidRPr="0064087E" w:rsidRDefault="00E33684" w:rsidP="00C876CF">
      <w:pPr>
        <w:pStyle w:val="Tekstprzypisudolnego"/>
        <w:spacing w:line="276" w:lineRule="auto"/>
        <w:ind w:left="142" w:hanging="142"/>
        <w:jc w:val="both"/>
        <w:rPr>
          <w:rFonts w:ascii="Arial" w:hAnsi="Arial" w:cs="Arial"/>
        </w:rPr>
      </w:pPr>
      <w:r w:rsidRPr="0064087E">
        <w:rPr>
          <w:rStyle w:val="Odwoanieprzypisudolnego"/>
          <w:rFonts w:ascii="Arial" w:hAnsi="Arial" w:cs="Arial"/>
        </w:rPr>
        <w:footnoteRef/>
      </w:r>
      <w:r w:rsidRPr="0064087E">
        <w:rPr>
          <w:rFonts w:ascii="Arial" w:hAnsi="Arial" w:cs="Arial"/>
        </w:rPr>
        <w:t xml:space="preserve"> Dane finansowe liczone na podstawie rocznej ankiety przedsiębiorstwa SP (przypis metodyczny ze str. 15).</w:t>
      </w:r>
    </w:p>
  </w:footnote>
  <w:footnote w:id="42">
    <w:p w:rsidR="00E33684" w:rsidRPr="0064087E" w:rsidRDefault="00E33684" w:rsidP="0036761C">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Wskaźnik rentowności sprzedaży jest liczony jako relacja wyniku netto ze sprzedaży produktów, towarów i materiałów do przychodów netto ze sprzedaży produktów towarów i materiałów.</w:t>
      </w:r>
    </w:p>
  </w:footnote>
  <w:footnote w:id="43">
    <w:p w:rsidR="00E33684" w:rsidRPr="0064087E" w:rsidRDefault="00E33684" w:rsidP="0036761C">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Wskaźnik rentowności obrotu netto jest liczony jako relacja wyniku finansowego netto do przychodów z całokształtu działalności.</w:t>
      </w:r>
    </w:p>
  </w:footnote>
  <w:footnote w:id="44">
    <w:p w:rsidR="00E33684" w:rsidRPr="0064087E" w:rsidRDefault="00E33684" w:rsidP="0036761C">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Wskaźnik rentowności aktywów jest liczony jako relacja wyniku finansowego netto do wartości aktywów.</w:t>
      </w:r>
    </w:p>
  </w:footnote>
  <w:footnote w:id="45">
    <w:p w:rsidR="00E33684" w:rsidRPr="0064087E" w:rsidRDefault="00E33684" w:rsidP="006B3994">
      <w:pPr>
        <w:pStyle w:val="Tekstprzypisudolnego"/>
        <w:spacing w:line="276" w:lineRule="auto"/>
        <w:ind w:left="142" w:hanging="142"/>
        <w:jc w:val="both"/>
        <w:rPr>
          <w:rFonts w:ascii="Arial" w:hAnsi="Arial" w:cs="Arial"/>
        </w:rPr>
      </w:pPr>
      <w:r w:rsidRPr="0064087E">
        <w:rPr>
          <w:rStyle w:val="Odwoanieprzypisudolnego"/>
          <w:rFonts w:ascii="Arial" w:hAnsi="Arial" w:cs="Arial"/>
        </w:rPr>
        <w:footnoteRef/>
      </w:r>
      <w:r w:rsidRPr="0064087E">
        <w:rPr>
          <w:rFonts w:ascii="Arial" w:hAnsi="Arial" w:cs="Arial"/>
        </w:rPr>
        <w:t xml:space="preserve"> Wskaźnik rentowności kapitału własnego jest liczony jako relacja wyniku finansowego netto do wartości kapitału własnego.</w:t>
      </w:r>
    </w:p>
  </w:footnote>
  <w:footnote w:id="46">
    <w:p w:rsidR="00E33684" w:rsidRPr="0064087E" w:rsidRDefault="00E33684" w:rsidP="0036761C">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Płynność finansowa I stopnia jest liczona jako relacja inwestycji krótkoterminowych do zobowiązań krótkoterminowych.</w:t>
      </w:r>
    </w:p>
  </w:footnote>
  <w:footnote w:id="47">
    <w:p w:rsidR="00E33684" w:rsidRPr="0064087E" w:rsidRDefault="00E33684" w:rsidP="0036761C">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Wskaźnik płynności II stopnia jest liczony jako relacja inwestycji krótkoterminowych i należności krótkoterminowych do zobowiązań krótkoterminowych.</w:t>
      </w:r>
    </w:p>
  </w:footnote>
  <w:footnote w:id="48">
    <w:p w:rsidR="00E33684" w:rsidRPr="0064087E" w:rsidRDefault="00E33684" w:rsidP="0036761C">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Wskaźnik płynności III stopnia jest liczony jako relacja aktywów obrotowych do zobowiązań krótkoterminowych.</w:t>
      </w:r>
    </w:p>
  </w:footnote>
  <w:footnote w:id="49">
    <w:p w:rsidR="00E33684" w:rsidRPr="0064087E" w:rsidRDefault="00E33684" w:rsidP="00C876CF">
      <w:pPr>
        <w:pStyle w:val="Tekstprzypisudolnego"/>
        <w:spacing w:line="276" w:lineRule="auto"/>
        <w:ind w:left="142" w:hanging="142"/>
        <w:jc w:val="both"/>
        <w:rPr>
          <w:rFonts w:ascii="Arial" w:hAnsi="Arial" w:cs="Arial"/>
        </w:rPr>
      </w:pPr>
      <w:r w:rsidRPr="0064087E">
        <w:rPr>
          <w:rStyle w:val="Odwoanieprzypisudolnego"/>
          <w:rFonts w:ascii="Arial" w:hAnsi="Arial" w:cs="Arial"/>
        </w:rPr>
        <w:footnoteRef/>
      </w:r>
      <w:r w:rsidRPr="0064087E">
        <w:rPr>
          <w:rFonts w:ascii="Arial" w:hAnsi="Arial" w:cs="Arial"/>
        </w:rPr>
        <w:t xml:space="preserve"> Dane liczone na podstawie sprawozdań SP o liczbie pracujących 9 i więcej.</w:t>
      </w:r>
    </w:p>
  </w:footnote>
  <w:footnote w:id="50">
    <w:p w:rsidR="00E33684" w:rsidRPr="0064087E" w:rsidRDefault="00E33684" w:rsidP="00C876CF">
      <w:pPr>
        <w:pStyle w:val="Tekstprzypisudolnego"/>
        <w:spacing w:line="276" w:lineRule="auto"/>
        <w:ind w:left="142" w:hanging="142"/>
        <w:jc w:val="both"/>
        <w:rPr>
          <w:rFonts w:ascii="Arial" w:hAnsi="Arial" w:cs="Arial"/>
        </w:rPr>
      </w:pPr>
      <w:r w:rsidRPr="0064087E">
        <w:rPr>
          <w:rStyle w:val="Odwoanieprzypisudolnego"/>
          <w:rFonts w:ascii="Arial" w:hAnsi="Arial" w:cs="Arial"/>
        </w:rPr>
        <w:footnoteRef/>
      </w:r>
      <w:r w:rsidRPr="0064087E">
        <w:rPr>
          <w:rFonts w:ascii="Arial" w:hAnsi="Arial" w:cs="Arial"/>
        </w:rPr>
        <w:t xml:space="preserve"> Dane dotyczące zatrudnienia w województwie dotyczą podmiotów o liczbie pracujących 9 i więcej składających sprawozdanie SP.</w:t>
      </w:r>
    </w:p>
  </w:footnote>
  <w:footnote w:id="51">
    <w:p w:rsidR="00E33684" w:rsidRPr="0064087E" w:rsidRDefault="00E33684" w:rsidP="005E33AE">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Wskaźnik rentowności obrotu netto jest liczony jako relacja wyniku finansowego netto do przychodów z całokształtu działalności.</w:t>
      </w:r>
    </w:p>
  </w:footnote>
  <w:footnote w:id="52">
    <w:p w:rsidR="00E33684" w:rsidRPr="0064087E" w:rsidRDefault="00E33684" w:rsidP="005E33AE">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Wskaźnik rentowności aktywów jest liczony jako relacja wyniku finansowego netto do wartości aktywów.</w:t>
      </w:r>
    </w:p>
  </w:footnote>
  <w:footnote w:id="53">
    <w:p w:rsidR="00E33684" w:rsidRPr="0064087E" w:rsidRDefault="00E33684" w:rsidP="005E33AE">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Wskaźnik rentowności kapitału własnego jest liczony jako relacja wyniku finansowego netto do wartości kapitału własnego.</w:t>
      </w:r>
    </w:p>
  </w:footnote>
  <w:footnote w:id="54">
    <w:p w:rsidR="00E33684" w:rsidRPr="0064087E" w:rsidRDefault="00E33684" w:rsidP="005E33AE">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Płynność finansowa I stopnia jest liczona jako relacja inwestycji krótkoterminowych do zobowiązań krótkoterminowych.</w:t>
      </w:r>
    </w:p>
  </w:footnote>
  <w:footnote w:id="55">
    <w:p w:rsidR="00E33684" w:rsidRPr="0064087E" w:rsidRDefault="00E33684" w:rsidP="005E33AE">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Wskaźnik płynności II stopnia jest liczony jako relacja inwestycji krótkoterminowych i należności krótkoterminowych do zobowiązań krótkoterminowych.</w:t>
      </w:r>
    </w:p>
  </w:footnote>
  <w:footnote w:id="56">
    <w:p w:rsidR="00E33684" w:rsidRPr="0064087E" w:rsidRDefault="00E33684" w:rsidP="005E33AE">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Wskaźnik płynności III stopnia jest liczony jako relacja aktywów obrotowych do zobowiązań krótkoterminowych.</w:t>
      </w:r>
    </w:p>
  </w:footnote>
  <w:footnote w:id="57">
    <w:p w:rsidR="00E33684" w:rsidRPr="0064087E" w:rsidRDefault="00E33684" w:rsidP="005E33AE">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Dane finansowe liczone na podstawie rocznej ankiety przedsiębiorstwa SP (przypis metodyczny ze str. 15).</w:t>
      </w:r>
    </w:p>
  </w:footnote>
  <w:footnote w:id="58">
    <w:p w:rsidR="00E33684" w:rsidRPr="0064087E" w:rsidRDefault="00E33684" w:rsidP="005E33AE">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Wskaźnik rentowności sprzedaży jest liczony jako relacja wyniku netto ze sprzedaży produktów, towarów i materiałów do przychodów netto ze sprzedaży produktów towarów i materiałów.</w:t>
      </w:r>
    </w:p>
  </w:footnote>
  <w:footnote w:id="59">
    <w:p w:rsidR="00E33684" w:rsidRPr="0064087E" w:rsidRDefault="00E33684" w:rsidP="005E33AE">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Wskaźnik rentowności obrotu netto jest liczony jako relacja wyniku finansowego netto do przychodów z całokształtu działalności.</w:t>
      </w:r>
    </w:p>
  </w:footnote>
  <w:footnote w:id="60">
    <w:p w:rsidR="00E33684" w:rsidRPr="0064087E" w:rsidRDefault="00E33684" w:rsidP="005E33AE">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Wskaźnik rentowności aktywów jest liczony jako relacja wyniku finansowego netto do wartości aktywów.</w:t>
      </w:r>
    </w:p>
  </w:footnote>
  <w:footnote w:id="61">
    <w:p w:rsidR="00E33684" w:rsidRPr="0064087E" w:rsidRDefault="00E33684" w:rsidP="005E33AE">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Wskaźnik rentowności kapitału własnego jest liczony jako relacja wyniku finansowego netto do wartości kapitału własnego, w odróżnieniu od wskaźnika rentowności aktywów, jest wyrazem efektywności nie całości kapitału ulokowanego w aktywach, lecz jedynie jego części (bez zobowiązań).</w:t>
      </w:r>
    </w:p>
  </w:footnote>
  <w:footnote w:id="62">
    <w:p w:rsidR="00E33684" w:rsidRPr="0064087E" w:rsidRDefault="00E33684" w:rsidP="005E33AE">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Wynik finansowy netto jest składową wskaźników rentowności aktywów, rentowności kapitału własnego i rentowności obrotu netto.</w:t>
      </w:r>
    </w:p>
  </w:footnote>
  <w:footnote w:id="63">
    <w:p w:rsidR="00E33684" w:rsidRPr="0064087E" w:rsidRDefault="00E33684" w:rsidP="005E33AE">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Wskaźnik płynności finansowej I stopnia jest liczony jako relacja inwestycji krótkoterminowych do zobowiązań krótkoterminowych to zdolność przedsiębiorstw do natychmiastowej spłaty zobowiązań.</w:t>
      </w:r>
    </w:p>
  </w:footnote>
  <w:footnote w:id="64">
    <w:p w:rsidR="00E33684" w:rsidRPr="0064087E" w:rsidRDefault="00E33684" w:rsidP="005E33AE">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Wskaźnik płynności II stopnia jest liczony jako relacja inwestycji krótkoterminowych i należności krótkoterminowych do zobowiązań krótkoterminowych informuje o stopniu pokrycia zapasów aktywami o dużym stopniu płynności.</w:t>
      </w:r>
    </w:p>
  </w:footnote>
  <w:footnote w:id="65">
    <w:p w:rsidR="00E33684" w:rsidRPr="0064087E" w:rsidRDefault="00E33684" w:rsidP="005E33AE">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Wskaźnik płynności III stopnia tzw. bieżącej płynności jest  liczony jako relacja aktywów obrotowych do zobowiązań krótkoterminowych.</w:t>
      </w:r>
    </w:p>
  </w:footnote>
  <w:footnote w:id="66">
    <w:p w:rsidR="00E33684" w:rsidRPr="0064087E" w:rsidRDefault="00E33684" w:rsidP="005E33AE">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Dane liczone na podstawie sprawozdań SP o liczbie pracujących 9 i więcej.</w:t>
      </w:r>
    </w:p>
  </w:footnote>
  <w:footnote w:id="67">
    <w:p w:rsidR="00E33684" w:rsidRPr="0064087E" w:rsidRDefault="00E33684" w:rsidP="005E33AE">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Dane dotyczące zatrudnienia w województwie dotyczą podmiotów o liczbie pracujących 9 i więcej składających sprawozdanie SP.</w:t>
      </w:r>
    </w:p>
  </w:footnote>
  <w:footnote w:id="68">
    <w:p w:rsidR="00E33684" w:rsidRPr="0064087E" w:rsidRDefault="00E33684" w:rsidP="005E33AE">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Regionalna Strategia Innowacji Województwa Podkarpackiego na lata 2021-2030, s. 39.</w:t>
      </w:r>
    </w:p>
  </w:footnote>
  <w:footnote w:id="69">
    <w:p w:rsidR="00E33684" w:rsidRPr="0064087E" w:rsidRDefault="00E33684" w:rsidP="005E33AE">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Regionalna Strategia Innowacji Województwa Podkarpackiego na lata 2021-2030, s. 39.</w:t>
      </w:r>
    </w:p>
  </w:footnote>
  <w:footnote w:id="70">
    <w:p w:rsidR="00E33684" w:rsidRPr="0064087E" w:rsidRDefault="00E33684" w:rsidP="005E33AE">
      <w:pPr>
        <w:pStyle w:val="Tekstprzypisudolnego"/>
        <w:spacing w:line="276" w:lineRule="auto"/>
        <w:ind w:left="142" w:hanging="142"/>
        <w:rPr>
          <w:rFonts w:ascii="Arial" w:hAnsi="Arial" w:cs="Arial"/>
        </w:rPr>
      </w:pPr>
      <w:r w:rsidRPr="0064087E">
        <w:rPr>
          <w:rStyle w:val="Odwoanieprzypisudolnego"/>
          <w:rFonts w:ascii="Arial" w:hAnsi="Arial" w:cs="Arial"/>
        </w:rPr>
        <w:footnoteRef/>
      </w:r>
      <w:r w:rsidRPr="0064087E">
        <w:rPr>
          <w:rFonts w:ascii="Arial" w:hAnsi="Arial" w:cs="Arial"/>
        </w:rPr>
        <w:t xml:space="preserve"> Regionalna Strategia Innowacji Województwa Podkarpackiego na lata 2021-2030, s. 72.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12CC8"/>
    <w:multiLevelType w:val="hybridMultilevel"/>
    <w:tmpl w:val="588204C6"/>
    <w:lvl w:ilvl="0" w:tplc="8D7444A8">
      <w:start w:val="1"/>
      <w:numFmt w:val="decimal"/>
      <w:lvlText w:val="%1.2"/>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0304BA"/>
    <w:multiLevelType w:val="hybridMultilevel"/>
    <w:tmpl w:val="FB2C86CC"/>
    <w:lvl w:ilvl="0" w:tplc="0A86210A">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CD28FF"/>
    <w:multiLevelType w:val="hybridMultilevel"/>
    <w:tmpl w:val="E5241E22"/>
    <w:lvl w:ilvl="0" w:tplc="0A86210A">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2E19AA"/>
    <w:multiLevelType w:val="hybridMultilevel"/>
    <w:tmpl w:val="AC326666"/>
    <w:lvl w:ilvl="0" w:tplc="0A86210A">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5A08F2"/>
    <w:multiLevelType w:val="hybridMultilevel"/>
    <w:tmpl w:val="663C91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E728F0"/>
    <w:multiLevelType w:val="hybridMultilevel"/>
    <w:tmpl w:val="7D000E68"/>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0966489B"/>
    <w:multiLevelType w:val="hybridMultilevel"/>
    <w:tmpl w:val="44C6C55E"/>
    <w:lvl w:ilvl="0" w:tplc="7B82A53A">
      <w:numFmt w:val="bullet"/>
      <w:lvlText w:val="•"/>
      <w:lvlJc w:val="left"/>
      <w:pPr>
        <w:ind w:left="1065" w:hanging="705"/>
      </w:pPr>
      <w:rPr>
        <w:rFonts w:ascii="Arial" w:eastAsia="Trebuchet MS"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96D3ACB"/>
    <w:multiLevelType w:val="hybridMultilevel"/>
    <w:tmpl w:val="6A7EBC9E"/>
    <w:lvl w:ilvl="0" w:tplc="8D7444A8">
      <w:start w:val="1"/>
      <w:numFmt w:val="decimal"/>
      <w:lvlText w:val="%1.2"/>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9D55267"/>
    <w:multiLevelType w:val="hybridMultilevel"/>
    <w:tmpl w:val="BD96AE2A"/>
    <w:lvl w:ilvl="0" w:tplc="F948D3A8">
      <w:start w:val="1"/>
      <w:numFmt w:val="bullet"/>
      <w:pStyle w:val="wnioski"/>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 w15:restartNumberingAfterBreak="0">
    <w:nsid w:val="0C861D27"/>
    <w:multiLevelType w:val="hybridMultilevel"/>
    <w:tmpl w:val="0BE81EA6"/>
    <w:lvl w:ilvl="0" w:tplc="7B82A53A">
      <w:numFmt w:val="bullet"/>
      <w:lvlText w:val="•"/>
      <w:lvlJc w:val="left"/>
      <w:pPr>
        <w:ind w:left="1065" w:hanging="705"/>
      </w:pPr>
      <w:rPr>
        <w:rFonts w:ascii="Arial" w:eastAsia="Trebuchet MS"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D1D325E"/>
    <w:multiLevelType w:val="hybridMultilevel"/>
    <w:tmpl w:val="FEC08F7E"/>
    <w:lvl w:ilvl="0" w:tplc="0A86210A">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68B07B0"/>
    <w:multiLevelType w:val="hybridMultilevel"/>
    <w:tmpl w:val="187CAE28"/>
    <w:lvl w:ilvl="0" w:tplc="0A86210A">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A7B2131"/>
    <w:multiLevelType w:val="hybridMultilevel"/>
    <w:tmpl w:val="144AD304"/>
    <w:lvl w:ilvl="0" w:tplc="8D7444A8">
      <w:start w:val="1"/>
      <w:numFmt w:val="decimal"/>
      <w:lvlText w:val="%1.2"/>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1FF799D"/>
    <w:multiLevelType w:val="hybridMultilevel"/>
    <w:tmpl w:val="9BACB03C"/>
    <w:lvl w:ilvl="0" w:tplc="0A86210A">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4370762"/>
    <w:multiLevelType w:val="hybridMultilevel"/>
    <w:tmpl w:val="B79EC0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9166F32"/>
    <w:multiLevelType w:val="hybridMultilevel"/>
    <w:tmpl w:val="5EB254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56100BD"/>
    <w:multiLevelType w:val="hybridMultilevel"/>
    <w:tmpl w:val="E99A735C"/>
    <w:lvl w:ilvl="0" w:tplc="7B82A53A">
      <w:numFmt w:val="bullet"/>
      <w:lvlText w:val="•"/>
      <w:lvlJc w:val="left"/>
      <w:pPr>
        <w:ind w:left="1065" w:hanging="705"/>
      </w:pPr>
      <w:rPr>
        <w:rFonts w:ascii="Arial" w:eastAsia="Trebuchet MS"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E8F25BB"/>
    <w:multiLevelType w:val="hybridMultilevel"/>
    <w:tmpl w:val="4DEA9E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F236A9F"/>
    <w:multiLevelType w:val="hybridMultilevel"/>
    <w:tmpl w:val="675A75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8D01915"/>
    <w:multiLevelType w:val="hybridMultilevel"/>
    <w:tmpl w:val="C5F4C0B8"/>
    <w:lvl w:ilvl="0" w:tplc="0A86210A">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A013D5F"/>
    <w:multiLevelType w:val="hybridMultilevel"/>
    <w:tmpl w:val="28E091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FA11263"/>
    <w:multiLevelType w:val="hybridMultilevel"/>
    <w:tmpl w:val="41105C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080069F"/>
    <w:multiLevelType w:val="hybridMultilevel"/>
    <w:tmpl w:val="3EF6CFD8"/>
    <w:lvl w:ilvl="0" w:tplc="0A86210A">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2A671CF"/>
    <w:multiLevelType w:val="hybridMultilevel"/>
    <w:tmpl w:val="52DC57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61A663A"/>
    <w:multiLevelType w:val="hybridMultilevel"/>
    <w:tmpl w:val="1AD6C9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6C1766B"/>
    <w:multiLevelType w:val="hybridMultilevel"/>
    <w:tmpl w:val="4AF403E6"/>
    <w:lvl w:ilvl="0" w:tplc="0A86210A">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7E11F45"/>
    <w:multiLevelType w:val="hybridMultilevel"/>
    <w:tmpl w:val="935E2AA8"/>
    <w:lvl w:ilvl="0" w:tplc="ED7A21B6">
      <w:numFmt w:val="bullet"/>
      <w:lvlText w:val="•"/>
      <w:lvlJc w:val="left"/>
      <w:pPr>
        <w:ind w:left="1065" w:hanging="705"/>
      </w:pPr>
      <w:rPr>
        <w:rFonts w:ascii="Calibri" w:eastAsia="Trebuchet MS"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DB54259"/>
    <w:multiLevelType w:val="hybridMultilevel"/>
    <w:tmpl w:val="44B8C7FE"/>
    <w:lvl w:ilvl="0" w:tplc="8D7444A8">
      <w:start w:val="1"/>
      <w:numFmt w:val="decimal"/>
      <w:lvlText w:val="%1.2"/>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40E4B4B"/>
    <w:multiLevelType w:val="hybridMultilevel"/>
    <w:tmpl w:val="8B64F1C6"/>
    <w:lvl w:ilvl="0" w:tplc="8D7444A8">
      <w:start w:val="1"/>
      <w:numFmt w:val="decimal"/>
      <w:lvlText w:val="%1.2"/>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4DB7EBB"/>
    <w:multiLevelType w:val="hybridMultilevel"/>
    <w:tmpl w:val="42C4ED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55661A9"/>
    <w:multiLevelType w:val="hybridMultilevel"/>
    <w:tmpl w:val="93B64D8C"/>
    <w:lvl w:ilvl="0" w:tplc="7B82A53A">
      <w:numFmt w:val="bullet"/>
      <w:lvlText w:val="•"/>
      <w:lvlJc w:val="left"/>
      <w:pPr>
        <w:ind w:left="1065" w:hanging="705"/>
      </w:pPr>
      <w:rPr>
        <w:rFonts w:ascii="Arial" w:eastAsia="Trebuchet MS"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8A72DC5"/>
    <w:multiLevelType w:val="multilevel"/>
    <w:tmpl w:val="C1DEF836"/>
    <w:lvl w:ilvl="0">
      <w:start w:val="1"/>
      <w:numFmt w:val="decimal"/>
      <w:lvlText w:val="%1."/>
      <w:lvlJc w:val="left"/>
      <w:pPr>
        <w:ind w:left="720" w:hanging="360"/>
      </w:pPr>
      <w:rPr>
        <w:b w:val="0"/>
        <w:sz w:val="28"/>
        <w:szCs w:val="2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97861B6"/>
    <w:multiLevelType w:val="hybridMultilevel"/>
    <w:tmpl w:val="A7B413E4"/>
    <w:lvl w:ilvl="0" w:tplc="0A86210A">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CE67AEB"/>
    <w:multiLevelType w:val="hybridMultilevel"/>
    <w:tmpl w:val="A454DC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E754C66"/>
    <w:multiLevelType w:val="hybridMultilevel"/>
    <w:tmpl w:val="40045C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10D3DCE"/>
    <w:multiLevelType w:val="hybridMultilevel"/>
    <w:tmpl w:val="8E3ADD9E"/>
    <w:lvl w:ilvl="0" w:tplc="8D7444A8">
      <w:start w:val="1"/>
      <w:numFmt w:val="decimal"/>
      <w:lvlText w:val="%1.2"/>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2347645"/>
    <w:multiLevelType w:val="hybridMultilevel"/>
    <w:tmpl w:val="1CB0EFDE"/>
    <w:lvl w:ilvl="0" w:tplc="0A86210A">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37223D4"/>
    <w:multiLevelType w:val="hybridMultilevel"/>
    <w:tmpl w:val="71486B22"/>
    <w:lvl w:ilvl="0" w:tplc="8D7444A8">
      <w:start w:val="1"/>
      <w:numFmt w:val="decimal"/>
      <w:lvlText w:val="%1.2"/>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5615FD1"/>
    <w:multiLevelType w:val="hybridMultilevel"/>
    <w:tmpl w:val="33ACB0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5801010"/>
    <w:multiLevelType w:val="hybridMultilevel"/>
    <w:tmpl w:val="D28038FE"/>
    <w:lvl w:ilvl="0" w:tplc="7B82A53A">
      <w:numFmt w:val="bullet"/>
      <w:lvlText w:val="•"/>
      <w:lvlJc w:val="left"/>
      <w:pPr>
        <w:ind w:left="1065" w:hanging="705"/>
      </w:pPr>
      <w:rPr>
        <w:rFonts w:ascii="Arial" w:eastAsia="Trebuchet MS"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8616ECF"/>
    <w:multiLevelType w:val="hybridMultilevel"/>
    <w:tmpl w:val="8EBA0086"/>
    <w:lvl w:ilvl="0" w:tplc="8D7444A8">
      <w:start w:val="1"/>
      <w:numFmt w:val="decimal"/>
      <w:lvlText w:val="%1.2"/>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89070A3"/>
    <w:multiLevelType w:val="hybridMultilevel"/>
    <w:tmpl w:val="B7B8A5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A0616D7"/>
    <w:multiLevelType w:val="hybridMultilevel"/>
    <w:tmpl w:val="DA5A4A7C"/>
    <w:lvl w:ilvl="0" w:tplc="8D7444A8">
      <w:start w:val="1"/>
      <w:numFmt w:val="decimal"/>
      <w:lvlText w:val="%1.2"/>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1"/>
  </w:num>
  <w:num w:numId="2">
    <w:abstractNumId w:val="34"/>
  </w:num>
  <w:num w:numId="3">
    <w:abstractNumId w:val="26"/>
  </w:num>
  <w:num w:numId="4">
    <w:abstractNumId w:val="20"/>
  </w:num>
  <w:num w:numId="5">
    <w:abstractNumId w:val="14"/>
  </w:num>
  <w:num w:numId="6">
    <w:abstractNumId w:val="19"/>
  </w:num>
  <w:num w:numId="7">
    <w:abstractNumId w:val="10"/>
  </w:num>
  <w:num w:numId="8">
    <w:abstractNumId w:val="25"/>
  </w:num>
  <w:num w:numId="9">
    <w:abstractNumId w:val="32"/>
  </w:num>
  <w:num w:numId="10">
    <w:abstractNumId w:val="36"/>
  </w:num>
  <w:num w:numId="11">
    <w:abstractNumId w:val="17"/>
  </w:num>
  <w:num w:numId="12">
    <w:abstractNumId w:val="6"/>
  </w:num>
  <w:num w:numId="13">
    <w:abstractNumId w:val="18"/>
  </w:num>
  <w:num w:numId="14">
    <w:abstractNumId w:val="28"/>
  </w:num>
  <w:num w:numId="15">
    <w:abstractNumId w:val="30"/>
  </w:num>
  <w:num w:numId="16">
    <w:abstractNumId w:val="0"/>
  </w:num>
  <w:num w:numId="17">
    <w:abstractNumId w:val="27"/>
  </w:num>
  <w:num w:numId="18">
    <w:abstractNumId w:val="37"/>
  </w:num>
  <w:num w:numId="19">
    <w:abstractNumId w:val="35"/>
  </w:num>
  <w:num w:numId="20">
    <w:abstractNumId w:val="39"/>
  </w:num>
  <w:num w:numId="21">
    <w:abstractNumId w:val="16"/>
  </w:num>
  <w:num w:numId="22">
    <w:abstractNumId w:val="42"/>
  </w:num>
  <w:num w:numId="23">
    <w:abstractNumId w:val="7"/>
  </w:num>
  <w:num w:numId="24">
    <w:abstractNumId w:val="33"/>
  </w:num>
  <w:num w:numId="25">
    <w:abstractNumId w:val="12"/>
  </w:num>
  <w:num w:numId="26">
    <w:abstractNumId w:val="24"/>
  </w:num>
  <w:num w:numId="27">
    <w:abstractNumId w:val="40"/>
  </w:num>
  <w:num w:numId="28">
    <w:abstractNumId w:val="29"/>
  </w:num>
  <w:num w:numId="29">
    <w:abstractNumId w:val="21"/>
  </w:num>
  <w:num w:numId="30">
    <w:abstractNumId w:val="38"/>
  </w:num>
  <w:num w:numId="31">
    <w:abstractNumId w:val="15"/>
  </w:num>
  <w:num w:numId="32">
    <w:abstractNumId w:val="41"/>
  </w:num>
  <w:num w:numId="33">
    <w:abstractNumId w:val="9"/>
  </w:num>
  <w:num w:numId="34">
    <w:abstractNumId w:val="23"/>
  </w:num>
  <w:num w:numId="35">
    <w:abstractNumId w:val="4"/>
  </w:num>
  <w:num w:numId="36">
    <w:abstractNumId w:val="8"/>
  </w:num>
  <w:num w:numId="37">
    <w:abstractNumId w:val="22"/>
  </w:num>
  <w:num w:numId="38">
    <w:abstractNumId w:val="11"/>
  </w:num>
  <w:num w:numId="39">
    <w:abstractNumId w:val="2"/>
  </w:num>
  <w:num w:numId="40">
    <w:abstractNumId w:val="13"/>
  </w:num>
  <w:num w:numId="41">
    <w:abstractNumId w:val="3"/>
  </w:num>
  <w:num w:numId="42">
    <w:abstractNumId w:val="1"/>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3232"/>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A03"/>
    <w:rsid w:val="00004E0C"/>
    <w:rsid w:val="00014A03"/>
    <w:rsid w:val="00024BCA"/>
    <w:rsid w:val="000255EB"/>
    <w:rsid w:val="00025B15"/>
    <w:rsid w:val="0003030C"/>
    <w:rsid w:val="00030B97"/>
    <w:rsid w:val="00040E1A"/>
    <w:rsid w:val="00047370"/>
    <w:rsid w:val="00047ABC"/>
    <w:rsid w:val="000513AA"/>
    <w:rsid w:val="00051CAC"/>
    <w:rsid w:val="00052FA1"/>
    <w:rsid w:val="00054EFE"/>
    <w:rsid w:val="00056105"/>
    <w:rsid w:val="000564A0"/>
    <w:rsid w:val="00057A13"/>
    <w:rsid w:val="00060F8A"/>
    <w:rsid w:val="000613F0"/>
    <w:rsid w:val="000649F6"/>
    <w:rsid w:val="00064B7B"/>
    <w:rsid w:val="00064FF9"/>
    <w:rsid w:val="00066853"/>
    <w:rsid w:val="0006797A"/>
    <w:rsid w:val="00072676"/>
    <w:rsid w:val="00073B8D"/>
    <w:rsid w:val="00074FB1"/>
    <w:rsid w:val="00077BCF"/>
    <w:rsid w:val="00081F23"/>
    <w:rsid w:val="0008306B"/>
    <w:rsid w:val="000846AE"/>
    <w:rsid w:val="00084C85"/>
    <w:rsid w:val="000877CE"/>
    <w:rsid w:val="00091F1E"/>
    <w:rsid w:val="00093A63"/>
    <w:rsid w:val="00096BB5"/>
    <w:rsid w:val="00096F41"/>
    <w:rsid w:val="00096FE8"/>
    <w:rsid w:val="00097453"/>
    <w:rsid w:val="000A01C7"/>
    <w:rsid w:val="000A180B"/>
    <w:rsid w:val="000A67EE"/>
    <w:rsid w:val="000A6929"/>
    <w:rsid w:val="000A6C4C"/>
    <w:rsid w:val="000B032B"/>
    <w:rsid w:val="000B2087"/>
    <w:rsid w:val="000B6540"/>
    <w:rsid w:val="000B7977"/>
    <w:rsid w:val="000C03BD"/>
    <w:rsid w:val="000C0720"/>
    <w:rsid w:val="000C15AB"/>
    <w:rsid w:val="000C1EB5"/>
    <w:rsid w:val="000C35BB"/>
    <w:rsid w:val="000C3FD8"/>
    <w:rsid w:val="000C7173"/>
    <w:rsid w:val="000D2525"/>
    <w:rsid w:val="000D2D7A"/>
    <w:rsid w:val="000D68A6"/>
    <w:rsid w:val="000D6DFE"/>
    <w:rsid w:val="000D6F16"/>
    <w:rsid w:val="000D716A"/>
    <w:rsid w:val="000E0BD9"/>
    <w:rsid w:val="000E3605"/>
    <w:rsid w:val="000E4B6B"/>
    <w:rsid w:val="000E4E17"/>
    <w:rsid w:val="000E6935"/>
    <w:rsid w:val="000F1545"/>
    <w:rsid w:val="000F4995"/>
    <w:rsid w:val="000F697B"/>
    <w:rsid w:val="00101382"/>
    <w:rsid w:val="00101CBB"/>
    <w:rsid w:val="0010300A"/>
    <w:rsid w:val="00104260"/>
    <w:rsid w:val="00107B89"/>
    <w:rsid w:val="001111A0"/>
    <w:rsid w:val="0011358C"/>
    <w:rsid w:val="001140F2"/>
    <w:rsid w:val="001244BE"/>
    <w:rsid w:val="00124E0E"/>
    <w:rsid w:val="00132143"/>
    <w:rsid w:val="0013537B"/>
    <w:rsid w:val="00140E8D"/>
    <w:rsid w:val="00142037"/>
    <w:rsid w:val="001428F8"/>
    <w:rsid w:val="001431D5"/>
    <w:rsid w:val="001512A1"/>
    <w:rsid w:val="00154504"/>
    <w:rsid w:val="00154776"/>
    <w:rsid w:val="00154E0A"/>
    <w:rsid w:val="0015619C"/>
    <w:rsid w:val="001577D4"/>
    <w:rsid w:val="00164239"/>
    <w:rsid w:val="001663BB"/>
    <w:rsid w:val="00170E23"/>
    <w:rsid w:val="001728FB"/>
    <w:rsid w:val="00174F77"/>
    <w:rsid w:val="0017680B"/>
    <w:rsid w:val="00176E7A"/>
    <w:rsid w:val="00177178"/>
    <w:rsid w:val="00182F46"/>
    <w:rsid w:val="0018699B"/>
    <w:rsid w:val="001874EC"/>
    <w:rsid w:val="00187554"/>
    <w:rsid w:val="00187A7B"/>
    <w:rsid w:val="00191183"/>
    <w:rsid w:val="0019175F"/>
    <w:rsid w:val="0019201E"/>
    <w:rsid w:val="00192E91"/>
    <w:rsid w:val="00194753"/>
    <w:rsid w:val="00195CC8"/>
    <w:rsid w:val="00195DB6"/>
    <w:rsid w:val="00196B86"/>
    <w:rsid w:val="001A186C"/>
    <w:rsid w:val="001A58B1"/>
    <w:rsid w:val="001A59DE"/>
    <w:rsid w:val="001A6033"/>
    <w:rsid w:val="001A7856"/>
    <w:rsid w:val="001B2F9B"/>
    <w:rsid w:val="001B39C7"/>
    <w:rsid w:val="001B473C"/>
    <w:rsid w:val="001B487E"/>
    <w:rsid w:val="001B4D02"/>
    <w:rsid w:val="001B7401"/>
    <w:rsid w:val="001C3402"/>
    <w:rsid w:val="001C543A"/>
    <w:rsid w:val="001C5CFB"/>
    <w:rsid w:val="001C64D1"/>
    <w:rsid w:val="001C7D44"/>
    <w:rsid w:val="001C7E75"/>
    <w:rsid w:val="001D1790"/>
    <w:rsid w:val="001D27B2"/>
    <w:rsid w:val="001D291D"/>
    <w:rsid w:val="001D317C"/>
    <w:rsid w:val="001E09D6"/>
    <w:rsid w:val="001E31AC"/>
    <w:rsid w:val="001E4655"/>
    <w:rsid w:val="001E6FC3"/>
    <w:rsid w:val="001F0C78"/>
    <w:rsid w:val="001F630A"/>
    <w:rsid w:val="001F6BD4"/>
    <w:rsid w:val="001F7F85"/>
    <w:rsid w:val="0020340C"/>
    <w:rsid w:val="00204F96"/>
    <w:rsid w:val="00205B82"/>
    <w:rsid w:val="00205FB4"/>
    <w:rsid w:val="00206563"/>
    <w:rsid w:val="002069A6"/>
    <w:rsid w:val="00206A64"/>
    <w:rsid w:val="00207A6D"/>
    <w:rsid w:val="00211BE6"/>
    <w:rsid w:val="002132EA"/>
    <w:rsid w:val="002157C6"/>
    <w:rsid w:val="0022078C"/>
    <w:rsid w:val="00220BF4"/>
    <w:rsid w:val="002218B6"/>
    <w:rsid w:val="002243FE"/>
    <w:rsid w:val="00226E1A"/>
    <w:rsid w:val="00227E9D"/>
    <w:rsid w:val="002311C3"/>
    <w:rsid w:val="00231687"/>
    <w:rsid w:val="00236CF1"/>
    <w:rsid w:val="00237C5B"/>
    <w:rsid w:val="00242F81"/>
    <w:rsid w:val="0024355A"/>
    <w:rsid w:val="00250AA0"/>
    <w:rsid w:val="00250C6E"/>
    <w:rsid w:val="00251BE3"/>
    <w:rsid w:val="00254719"/>
    <w:rsid w:val="00254BE5"/>
    <w:rsid w:val="0025587C"/>
    <w:rsid w:val="00255E6E"/>
    <w:rsid w:val="00260DF4"/>
    <w:rsid w:val="00264A4D"/>
    <w:rsid w:val="0026503B"/>
    <w:rsid w:val="002658A9"/>
    <w:rsid w:val="00267B4F"/>
    <w:rsid w:val="002718E3"/>
    <w:rsid w:val="00272340"/>
    <w:rsid w:val="0027477D"/>
    <w:rsid w:val="00275B1D"/>
    <w:rsid w:val="00280589"/>
    <w:rsid w:val="00281489"/>
    <w:rsid w:val="00281A82"/>
    <w:rsid w:val="0028450D"/>
    <w:rsid w:val="0028691B"/>
    <w:rsid w:val="00287BA1"/>
    <w:rsid w:val="002A08A5"/>
    <w:rsid w:val="002A1980"/>
    <w:rsid w:val="002A1A1E"/>
    <w:rsid w:val="002A255F"/>
    <w:rsid w:val="002A2E6F"/>
    <w:rsid w:val="002A3BF7"/>
    <w:rsid w:val="002A559B"/>
    <w:rsid w:val="002A6C54"/>
    <w:rsid w:val="002B4114"/>
    <w:rsid w:val="002B4F64"/>
    <w:rsid w:val="002B5421"/>
    <w:rsid w:val="002B731B"/>
    <w:rsid w:val="002B74D9"/>
    <w:rsid w:val="002B7C39"/>
    <w:rsid w:val="002C003E"/>
    <w:rsid w:val="002C05A0"/>
    <w:rsid w:val="002C0748"/>
    <w:rsid w:val="002C20FE"/>
    <w:rsid w:val="002C40EE"/>
    <w:rsid w:val="002C7F7F"/>
    <w:rsid w:val="002D0C3F"/>
    <w:rsid w:val="002D35E3"/>
    <w:rsid w:val="002D6887"/>
    <w:rsid w:val="002E1825"/>
    <w:rsid w:val="002E56DC"/>
    <w:rsid w:val="002E5FD2"/>
    <w:rsid w:val="002E6D58"/>
    <w:rsid w:val="002E6E52"/>
    <w:rsid w:val="002E71BE"/>
    <w:rsid w:val="002F002B"/>
    <w:rsid w:val="002F1179"/>
    <w:rsid w:val="002F1D6A"/>
    <w:rsid w:val="002F59B2"/>
    <w:rsid w:val="002F7E65"/>
    <w:rsid w:val="00301D5F"/>
    <w:rsid w:val="003023D2"/>
    <w:rsid w:val="00305BEB"/>
    <w:rsid w:val="00306F72"/>
    <w:rsid w:val="00312035"/>
    <w:rsid w:val="00314896"/>
    <w:rsid w:val="00315515"/>
    <w:rsid w:val="00317821"/>
    <w:rsid w:val="00317B80"/>
    <w:rsid w:val="00317E73"/>
    <w:rsid w:val="00321001"/>
    <w:rsid w:val="003253FF"/>
    <w:rsid w:val="00325643"/>
    <w:rsid w:val="0032665F"/>
    <w:rsid w:val="00327792"/>
    <w:rsid w:val="00332EAF"/>
    <w:rsid w:val="00333E9D"/>
    <w:rsid w:val="003362EC"/>
    <w:rsid w:val="00337649"/>
    <w:rsid w:val="00341988"/>
    <w:rsid w:val="00342700"/>
    <w:rsid w:val="00342941"/>
    <w:rsid w:val="003446A6"/>
    <w:rsid w:val="0034527A"/>
    <w:rsid w:val="00345B50"/>
    <w:rsid w:val="0035159E"/>
    <w:rsid w:val="00354CD3"/>
    <w:rsid w:val="00355E92"/>
    <w:rsid w:val="0035741D"/>
    <w:rsid w:val="0036099A"/>
    <w:rsid w:val="00362EAC"/>
    <w:rsid w:val="00364C88"/>
    <w:rsid w:val="003659C1"/>
    <w:rsid w:val="0036761C"/>
    <w:rsid w:val="00370476"/>
    <w:rsid w:val="00370846"/>
    <w:rsid w:val="0037204D"/>
    <w:rsid w:val="003725E8"/>
    <w:rsid w:val="00372D59"/>
    <w:rsid w:val="00373782"/>
    <w:rsid w:val="00373789"/>
    <w:rsid w:val="00373E2F"/>
    <w:rsid w:val="003747BC"/>
    <w:rsid w:val="003753D9"/>
    <w:rsid w:val="00376480"/>
    <w:rsid w:val="003776D6"/>
    <w:rsid w:val="003801C7"/>
    <w:rsid w:val="00381ABE"/>
    <w:rsid w:val="00381CFD"/>
    <w:rsid w:val="00381E42"/>
    <w:rsid w:val="0038274C"/>
    <w:rsid w:val="00382839"/>
    <w:rsid w:val="003839C0"/>
    <w:rsid w:val="00383FC9"/>
    <w:rsid w:val="00391157"/>
    <w:rsid w:val="00391575"/>
    <w:rsid w:val="00394560"/>
    <w:rsid w:val="00395030"/>
    <w:rsid w:val="00395705"/>
    <w:rsid w:val="0039702A"/>
    <w:rsid w:val="003A0333"/>
    <w:rsid w:val="003A29B9"/>
    <w:rsid w:val="003A3E49"/>
    <w:rsid w:val="003A6CBD"/>
    <w:rsid w:val="003B0C2D"/>
    <w:rsid w:val="003B1289"/>
    <w:rsid w:val="003B2EFF"/>
    <w:rsid w:val="003C5759"/>
    <w:rsid w:val="003C59FA"/>
    <w:rsid w:val="003C6685"/>
    <w:rsid w:val="003D0058"/>
    <w:rsid w:val="003D0325"/>
    <w:rsid w:val="003D0A1E"/>
    <w:rsid w:val="003D1FB7"/>
    <w:rsid w:val="003D2880"/>
    <w:rsid w:val="003D347D"/>
    <w:rsid w:val="003D7B41"/>
    <w:rsid w:val="003E052B"/>
    <w:rsid w:val="003E0682"/>
    <w:rsid w:val="003E2C11"/>
    <w:rsid w:val="003E4BA9"/>
    <w:rsid w:val="003E5A59"/>
    <w:rsid w:val="003F1764"/>
    <w:rsid w:val="004021C1"/>
    <w:rsid w:val="004035AF"/>
    <w:rsid w:val="00403F99"/>
    <w:rsid w:val="0040437C"/>
    <w:rsid w:val="00404942"/>
    <w:rsid w:val="00405557"/>
    <w:rsid w:val="00405A56"/>
    <w:rsid w:val="0040614D"/>
    <w:rsid w:val="00407FD7"/>
    <w:rsid w:val="004121DC"/>
    <w:rsid w:val="00412FFF"/>
    <w:rsid w:val="004146C5"/>
    <w:rsid w:val="00415DA9"/>
    <w:rsid w:val="00417974"/>
    <w:rsid w:val="00420DDA"/>
    <w:rsid w:val="004223F3"/>
    <w:rsid w:val="00423176"/>
    <w:rsid w:val="00424E9F"/>
    <w:rsid w:val="00430CFF"/>
    <w:rsid w:val="0043199A"/>
    <w:rsid w:val="00434282"/>
    <w:rsid w:val="004349DB"/>
    <w:rsid w:val="004358A4"/>
    <w:rsid w:val="00437CE3"/>
    <w:rsid w:val="00440D92"/>
    <w:rsid w:val="0044262F"/>
    <w:rsid w:val="00443F29"/>
    <w:rsid w:val="00445B3B"/>
    <w:rsid w:val="00445F0F"/>
    <w:rsid w:val="00446999"/>
    <w:rsid w:val="004510B3"/>
    <w:rsid w:val="00452BFA"/>
    <w:rsid w:val="004555CB"/>
    <w:rsid w:val="00456277"/>
    <w:rsid w:val="004613F3"/>
    <w:rsid w:val="004618C8"/>
    <w:rsid w:val="00463B2F"/>
    <w:rsid w:val="004661C4"/>
    <w:rsid w:val="0047013A"/>
    <w:rsid w:val="00472F10"/>
    <w:rsid w:val="0047411B"/>
    <w:rsid w:val="00475322"/>
    <w:rsid w:val="00475687"/>
    <w:rsid w:val="00476EAA"/>
    <w:rsid w:val="0048061A"/>
    <w:rsid w:val="00480E6B"/>
    <w:rsid w:val="00483F0E"/>
    <w:rsid w:val="004840E1"/>
    <w:rsid w:val="004869E8"/>
    <w:rsid w:val="004901AF"/>
    <w:rsid w:val="00490B20"/>
    <w:rsid w:val="004925AA"/>
    <w:rsid w:val="00494313"/>
    <w:rsid w:val="0049664F"/>
    <w:rsid w:val="004A1005"/>
    <w:rsid w:val="004A214D"/>
    <w:rsid w:val="004A24AB"/>
    <w:rsid w:val="004A3FA2"/>
    <w:rsid w:val="004A5526"/>
    <w:rsid w:val="004B1357"/>
    <w:rsid w:val="004B2A41"/>
    <w:rsid w:val="004B30CB"/>
    <w:rsid w:val="004B5387"/>
    <w:rsid w:val="004B5698"/>
    <w:rsid w:val="004B620F"/>
    <w:rsid w:val="004B796B"/>
    <w:rsid w:val="004C103A"/>
    <w:rsid w:val="004C3279"/>
    <w:rsid w:val="004C7ABB"/>
    <w:rsid w:val="004D0ACE"/>
    <w:rsid w:val="004D0D26"/>
    <w:rsid w:val="004D2183"/>
    <w:rsid w:val="004D21D1"/>
    <w:rsid w:val="004D30D5"/>
    <w:rsid w:val="004D324B"/>
    <w:rsid w:val="004D3618"/>
    <w:rsid w:val="004D3843"/>
    <w:rsid w:val="004D4838"/>
    <w:rsid w:val="004D4DF1"/>
    <w:rsid w:val="004D5907"/>
    <w:rsid w:val="004E0E99"/>
    <w:rsid w:val="004E3699"/>
    <w:rsid w:val="004E67E0"/>
    <w:rsid w:val="004E766D"/>
    <w:rsid w:val="004F0115"/>
    <w:rsid w:val="004F0CDD"/>
    <w:rsid w:val="004F21B7"/>
    <w:rsid w:val="004F421E"/>
    <w:rsid w:val="004F4247"/>
    <w:rsid w:val="004F534A"/>
    <w:rsid w:val="004F6D15"/>
    <w:rsid w:val="004F786A"/>
    <w:rsid w:val="00502B14"/>
    <w:rsid w:val="00503FB0"/>
    <w:rsid w:val="00507344"/>
    <w:rsid w:val="00510590"/>
    <w:rsid w:val="00511BAE"/>
    <w:rsid w:val="00511F2B"/>
    <w:rsid w:val="00513042"/>
    <w:rsid w:val="00515664"/>
    <w:rsid w:val="005176B3"/>
    <w:rsid w:val="00517940"/>
    <w:rsid w:val="0052042A"/>
    <w:rsid w:val="0052137B"/>
    <w:rsid w:val="00526ADE"/>
    <w:rsid w:val="00527441"/>
    <w:rsid w:val="0053088A"/>
    <w:rsid w:val="00530CCA"/>
    <w:rsid w:val="00530FBD"/>
    <w:rsid w:val="00531941"/>
    <w:rsid w:val="00536865"/>
    <w:rsid w:val="00537B21"/>
    <w:rsid w:val="005413FC"/>
    <w:rsid w:val="00541706"/>
    <w:rsid w:val="00542E1C"/>
    <w:rsid w:val="005434F4"/>
    <w:rsid w:val="005462F3"/>
    <w:rsid w:val="005470CC"/>
    <w:rsid w:val="00550156"/>
    <w:rsid w:val="00551AEE"/>
    <w:rsid w:val="00551DB6"/>
    <w:rsid w:val="00555D08"/>
    <w:rsid w:val="00555EDB"/>
    <w:rsid w:val="00556D31"/>
    <w:rsid w:val="00557C7A"/>
    <w:rsid w:val="005605C7"/>
    <w:rsid w:val="00560943"/>
    <w:rsid w:val="005622D7"/>
    <w:rsid w:val="0056311D"/>
    <w:rsid w:val="005652E3"/>
    <w:rsid w:val="00566E29"/>
    <w:rsid w:val="00567327"/>
    <w:rsid w:val="00570E2B"/>
    <w:rsid w:val="0057147D"/>
    <w:rsid w:val="0057282C"/>
    <w:rsid w:val="0057292E"/>
    <w:rsid w:val="00574040"/>
    <w:rsid w:val="005753BB"/>
    <w:rsid w:val="00575C99"/>
    <w:rsid w:val="00580675"/>
    <w:rsid w:val="005811FE"/>
    <w:rsid w:val="00585153"/>
    <w:rsid w:val="00587025"/>
    <w:rsid w:val="00587D26"/>
    <w:rsid w:val="00590B4C"/>
    <w:rsid w:val="00591DD4"/>
    <w:rsid w:val="005922CE"/>
    <w:rsid w:val="00592AB2"/>
    <w:rsid w:val="00592FD4"/>
    <w:rsid w:val="00596D14"/>
    <w:rsid w:val="005A159F"/>
    <w:rsid w:val="005A2A14"/>
    <w:rsid w:val="005A41D9"/>
    <w:rsid w:val="005B1BA4"/>
    <w:rsid w:val="005B21F0"/>
    <w:rsid w:val="005C1A41"/>
    <w:rsid w:val="005C798C"/>
    <w:rsid w:val="005D166A"/>
    <w:rsid w:val="005D18AB"/>
    <w:rsid w:val="005D1DD5"/>
    <w:rsid w:val="005D1F6A"/>
    <w:rsid w:val="005D41BE"/>
    <w:rsid w:val="005D6BEE"/>
    <w:rsid w:val="005D7A5C"/>
    <w:rsid w:val="005E0C8B"/>
    <w:rsid w:val="005E1D57"/>
    <w:rsid w:val="005E1D71"/>
    <w:rsid w:val="005E2173"/>
    <w:rsid w:val="005E33AE"/>
    <w:rsid w:val="005E3586"/>
    <w:rsid w:val="005E42B7"/>
    <w:rsid w:val="005E4BF3"/>
    <w:rsid w:val="005E5098"/>
    <w:rsid w:val="005E6554"/>
    <w:rsid w:val="005E76B7"/>
    <w:rsid w:val="005E7D53"/>
    <w:rsid w:val="005F170D"/>
    <w:rsid w:val="005F1E3F"/>
    <w:rsid w:val="005F3284"/>
    <w:rsid w:val="005F3D3C"/>
    <w:rsid w:val="005F52FD"/>
    <w:rsid w:val="005F6495"/>
    <w:rsid w:val="005F6A8A"/>
    <w:rsid w:val="006031BF"/>
    <w:rsid w:val="00604522"/>
    <w:rsid w:val="006057EE"/>
    <w:rsid w:val="00612A33"/>
    <w:rsid w:val="00617E89"/>
    <w:rsid w:val="006202B1"/>
    <w:rsid w:val="0062469A"/>
    <w:rsid w:val="00624FDD"/>
    <w:rsid w:val="00625625"/>
    <w:rsid w:val="006278CD"/>
    <w:rsid w:val="006311E0"/>
    <w:rsid w:val="00632188"/>
    <w:rsid w:val="00632ABA"/>
    <w:rsid w:val="006372C9"/>
    <w:rsid w:val="00637D1F"/>
    <w:rsid w:val="0064087E"/>
    <w:rsid w:val="00642C86"/>
    <w:rsid w:val="00643A49"/>
    <w:rsid w:val="00644794"/>
    <w:rsid w:val="006462BB"/>
    <w:rsid w:val="006472AE"/>
    <w:rsid w:val="00654B10"/>
    <w:rsid w:val="00656FC1"/>
    <w:rsid w:val="00657302"/>
    <w:rsid w:val="0066035F"/>
    <w:rsid w:val="00661F62"/>
    <w:rsid w:val="006647F0"/>
    <w:rsid w:val="00664B83"/>
    <w:rsid w:val="006674E1"/>
    <w:rsid w:val="00670DCE"/>
    <w:rsid w:val="006719EF"/>
    <w:rsid w:val="00672B1C"/>
    <w:rsid w:val="00672D5D"/>
    <w:rsid w:val="006750C1"/>
    <w:rsid w:val="00675E0E"/>
    <w:rsid w:val="00677FA8"/>
    <w:rsid w:val="00680EF4"/>
    <w:rsid w:val="00681F0A"/>
    <w:rsid w:val="0068201F"/>
    <w:rsid w:val="006837C5"/>
    <w:rsid w:val="006839D3"/>
    <w:rsid w:val="0068538C"/>
    <w:rsid w:val="00686C76"/>
    <w:rsid w:val="00686DE0"/>
    <w:rsid w:val="006A21AB"/>
    <w:rsid w:val="006A3863"/>
    <w:rsid w:val="006A7AA4"/>
    <w:rsid w:val="006B0D91"/>
    <w:rsid w:val="006B3994"/>
    <w:rsid w:val="006B4452"/>
    <w:rsid w:val="006C1852"/>
    <w:rsid w:val="006C1926"/>
    <w:rsid w:val="006C3B8A"/>
    <w:rsid w:val="006D1A0B"/>
    <w:rsid w:val="006D37D4"/>
    <w:rsid w:val="006D3FB0"/>
    <w:rsid w:val="006D4BE6"/>
    <w:rsid w:val="006D5CA3"/>
    <w:rsid w:val="006D77F9"/>
    <w:rsid w:val="006E0EEA"/>
    <w:rsid w:val="006E1517"/>
    <w:rsid w:val="006E1B98"/>
    <w:rsid w:val="006E2D77"/>
    <w:rsid w:val="006E444A"/>
    <w:rsid w:val="006E555E"/>
    <w:rsid w:val="006E63FF"/>
    <w:rsid w:val="006E64DB"/>
    <w:rsid w:val="006E7957"/>
    <w:rsid w:val="006E7E47"/>
    <w:rsid w:val="006F5B52"/>
    <w:rsid w:val="006F7DC9"/>
    <w:rsid w:val="007012D6"/>
    <w:rsid w:val="0070197E"/>
    <w:rsid w:val="0070664A"/>
    <w:rsid w:val="007067C7"/>
    <w:rsid w:val="00706E00"/>
    <w:rsid w:val="0071138C"/>
    <w:rsid w:val="007154E3"/>
    <w:rsid w:val="007170E4"/>
    <w:rsid w:val="00724CB2"/>
    <w:rsid w:val="00725AA3"/>
    <w:rsid w:val="00725E95"/>
    <w:rsid w:val="00730392"/>
    <w:rsid w:val="007311C2"/>
    <w:rsid w:val="00731BB3"/>
    <w:rsid w:val="00734D3C"/>
    <w:rsid w:val="00736FE1"/>
    <w:rsid w:val="00737796"/>
    <w:rsid w:val="00737959"/>
    <w:rsid w:val="007420A1"/>
    <w:rsid w:val="0074450A"/>
    <w:rsid w:val="00744DAF"/>
    <w:rsid w:val="00745CB4"/>
    <w:rsid w:val="0074626F"/>
    <w:rsid w:val="0075477D"/>
    <w:rsid w:val="007552B2"/>
    <w:rsid w:val="007555B9"/>
    <w:rsid w:val="00755818"/>
    <w:rsid w:val="007559DF"/>
    <w:rsid w:val="0075718E"/>
    <w:rsid w:val="007601D3"/>
    <w:rsid w:val="00761F49"/>
    <w:rsid w:val="00764481"/>
    <w:rsid w:val="00764E6E"/>
    <w:rsid w:val="007656DB"/>
    <w:rsid w:val="00765B71"/>
    <w:rsid w:val="007660DF"/>
    <w:rsid w:val="0077037D"/>
    <w:rsid w:val="00771D92"/>
    <w:rsid w:val="00772C2B"/>
    <w:rsid w:val="00773401"/>
    <w:rsid w:val="00775E50"/>
    <w:rsid w:val="0078059E"/>
    <w:rsid w:val="00781B76"/>
    <w:rsid w:val="00783A55"/>
    <w:rsid w:val="007870D1"/>
    <w:rsid w:val="007912C5"/>
    <w:rsid w:val="00791934"/>
    <w:rsid w:val="0079195E"/>
    <w:rsid w:val="0079390A"/>
    <w:rsid w:val="00793B0E"/>
    <w:rsid w:val="00794F02"/>
    <w:rsid w:val="00795386"/>
    <w:rsid w:val="00795A2A"/>
    <w:rsid w:val="007A1256"/>
    <w:rsid w:val="007A1D01"/>
    <w:rsid w:val="007A305B"/>
    <w:rsid w:val="007A3E32"/>
    <w:rsid w:val="007A51B6"/>
    <w:rsid w:val="007A5551"/>
    <w:rsid w:val="007B1D8F"/>
    <w:rsid w:val="007B1F92"/>
    <w:rsid w:val="007B3B0A"/>
    <w:rsid w:val="007B47FE"/>
    <w:rsid w:val="007B4880"/>
    <w:rsid w:val="007B6706"/>
    <w:rsid w:val="007B6717"/>
    <w:rsid w:val="007B6AE6"/>
    <w:rsid w:val="007C0611"/>
    <w:rsid w:val="007C16E2"/>
    <w:rsid w:val="007C351B"/>
    <w:rsid w:val="007C3859"/>
    <w:rsid w:val="007C4B88"/>
    <w:rsid w:val="007C58CD"/>
    <w:rsid w:val="007C79D9"/>
    <w:rsid w:val="007D457D"/>
    <w:rsid w:val="007E2854"/>
    <w:rsid w:val="007E3B20"/>
    <w:rsid w:val="007E4337"/>
    <w:rsid w:val="007E4852"/>
    <w:rsid w:val="007E67B8"/>
    <w:rsid w:val="007E751A"/>
    <w:rsid w:val="007F229A"/>
    <w:rsid w:val="007F26C4"/>
    <w:rsid w:val="007F3EC3"/>
    <w:rsid w:val="007F4029"/>
    <w:rsid w:val="007F4AAC"/>
    <w:rsid w:val="007F5CCA"/>
    <w:rsid w:val="007F64D9"/>
    <w:rsid w:val="007F75E6"/>
    <w:rsid w:val="008050F6"/>
    <w:rsid w:val="00805DB9"/>
    <w:rsid w:val="00810233"/>
    <w:rsid w:val="008103B3"/>
    <w:rsid w:val="00811E89"/>
    <w:rsid w:val="00812525"/>
    <w:rsid w:val="0081426D"/>
    <w:rsid w:val="00814A50"/>
    <w:rsid w:val="00816A72"/>
    <w:rsid w:val="00824AF4"/>
    <w:rsid w:val="00825A24"/>
    <w:rsid w:val="00825BCC"/>
    <w:rsid w:val="008268D4"/>
    <w:rsid w:val="00827DA7"/>
    <w:rsid w:val="008307E4"/>
    <w:rsid w:val="00830D71"/>
    <w:rsid w:val="00831718"/>
    <w:rsid w:val="00832DF2"/>
    <w:rsid w:val="00834076"/>
    <w:rsid w:val="00836ECB"/>
    <w:rsid w:val="00840994"/>
    <w:rsid w:val="00841D0A"/>
    <w:rsid w:val="008439F6"/>
    <w:rsid w:val="00847723"/>
    <w:rsid w:val="00855C7C"/>
    <w:rsid w:val="008565C7"/>
    <w:rsid w:val="008612A7"/>
    <w:rsid w:val="008635B3"/>
    <w:rsid w:val="00864119"/>
    <w:rsid w:val="00867C36"/>
    <w:rsid w:val="00871429"/>
    <w:rsid w:val="0087427D"/>
    <w:rsid w:val="008757C0"/>
    <w:rsid w:val="00876985"/>
    <w:rsid w:val="0088020A"/>
    <w:rsid w:val="00880645"/>
    <w:rsid w:val="00881089"/>
    <w:rsid w:val="008834AD"/>
    <w:rsid w:val="00884DAD"/>
    <w:rsid w:val="00885563"/>
    <w:rsid w:val="00885D60"/>
    <w:rsid w:val="00895D25"/>
    <w:rsid w:val="008A59CB"/>
    <w:rsid w:val="008B3AE9"/>
    <w:rsid w:val="008B4452"/>
    <w:rsid w:val="008B4F47"/>
    <w:rsid w:val="008B50D0"/>
    <w:rsid w:val="008C1063"/>
    <w:rsid w:val="008C147A"/>
    <w:rsid w:val="008C2B46"/>
    <w:rsid w:val="008C4403"/>
    <w:rsid w:val="008C70B7"/>
    <w:rsid w:val="008D037B"/>
    <w:rsid w:val="008D20E8"/>
    <w:rsid w:val="008D325F"/>
    <w:rsid w:val="008D3A3E"/>
    <w:rsid w:val="008D3A93"/>
    <w:rsid w:val="008D3CBD"/>
    <w:rsid w:val="008D6A2D"/>
    <w:rsid w:val="008E064F"/>
    <w:rsid w:val="008E5344"/>
    <w:rsid w:val="008E7612"/>
    <w:rsid w:val="008F0D84"/>
    <w:rsid w:val="008F0E2D"/>
    <w:rsid w:val="008F1378"/>
    <w:rsid w:val="008F1642"/>
    <w:rsid w:val="008F1A03"/>
    <w:rsid w:val="008F2C3F"/>
    <w:rsid w:val="008F3DCC"/>
    <w:rsid w:val="008F78C6"/>
    <w:rsid w:val="00900D82"/>
    <w:rsid w:val="0090140A"/>
    <w:rsid w:val="00901829"/>
    <w:rsid w:val="00902032"/>
    <w:rsid w:val="00903B16"/>
    <w:rsid w:val="009044C0"/>
    <w:rsid w:val="00905A1C"/>
    <w:rsid w:val="00906ECA"/>
    <w:rsid w:val="009079EE"/>
    <w:rsid w:val="00907C3C"/>
    <w:rsid w:val="00910DB5"/>
    <w:rsid w:val="00911414"/>
    <w:rsid w:val="00911580"/>
    <w:rsid w:val="00911C15"/>
    <w:rsid w:val="00911E7F"/>
    <w:rsid w:val="00914D16"/>
    <w:rsid w:val="00916EFF"/>
    <w:rsid w:val="0091796C"/>
    <w:rsid w:val="00920355"/>
    <w:rsid w:val="00925CD0"/>
    <w:rsid w:val="00925D1A"/>
    <w:rsid w:val="00927FD2"/>
    <w:rsid w:val="009330B5"/>
    <w:rsid w:val="00935EF4"/>
    <w:rsid w:val="009377F5"/>
    <w:rsid w:val="00940B8C"/>
    <w:rsid w:val="00942BAD"/>
    <w:rsid w:val="0094322D"/>
    <w:rsid w:val="00953847"/>
    <w:rsid w:val="00954803"/>
    <w:rsid w:val="0096245F"/>
    <w:rsid w:val="00964A81"/>
    <w:rsid w:val="0096664E"/>
    <w:rsid w:val="009670CB"/>
    <w:rsid w:val="009676D6"/>
    <w:rsid w:val="00967D7D"/>
    <w:rsid w:val="00970008"/>
    <w:rsid w:val="00972720"/>
    <w:rsid w:val="009772B1"/>
    <w:rsid w:val="00980108"/>
    <w:rsid w:val="00980F75"/>
    <w:rsid w:val="009834D8"/>
    <w:rsid w:val="0098379B"/>
    <w:rsid w:val="009844BD"/>
    <w:rsid w:val="00984F90"/>
    <w:rsid w:val="009851DE"/>
    <w:rsid w:val="00985ED4"/>
    <w:rsid w:val="00986B7B"/>
    <w:rsid w:val="00986C7B"/>
    <w:rsid w:val="00987C22"/>
    <w:rsid w:val="009935D0"/>
    <w:rsid w:val="0099468C"/>
    <w:rsid w:val="009960A7"/>
    <w:rsid w:val="009A0D25"/>
    <w:rsid w:val="009A4DDD"/>
    <w:rsid w:val="009A67C3"/>
    <w:rsid w:val="009B0E66"/>
    <w:rsid w:val="009B14BF"/>
    <w:rsid w:val="009B1599"/>
    <w:rsid w:val="009B2EF2"/>
    <w:rsid w:val="009B525B"/>
    <w:rsid w:val="009B5FE0"/>
    <w:rsid w:val="009B6228"/>
    <w:rsid w:val="009B62C0"/>
    <w:rsid w:val="009B6F93"/>
    <w:rsid w:val="009B71CD"/>
    <w:rsid w:val="009B79C0"/>
    <w:rsid w:val="009C014A"/>
    <w:rsid w:val="009C17B4"/>
    <w:rsid w:val="009C19F7"/>
    <w:rsid w:val="009C30C3"/>
    <w:rsid w:val="009C35DF"/>
    <w:rsid w:val="009C4BA3"/>
    <w:rsid w:val="009C6161"/>
    <w:rsid w:val="009C63A2"/>
    <w:rsid w:val="009C6ADF"/>
    <w:rsid w:val="009D05F2"/>
    <w:rsid w:val="009D1CC0"/>
    <w:rsid w:val="009D323A"/>
    <w:rsid w:val="009D6051"/>
    <w:rsid w:val="009E03F5"/>
    <w:rsid w:val="009E6F28"/>
    <w:rsid w:val="009E7A0C"/>
    <w:rsid w:val="009F10E5"/>
    <w:rsid w:val="009F648A"/>
    <w:rsid w:val="009F785F"/>
    <w:rsid w:val="00A028C0"/>
    <w:rsid w:val="00A06D0C"/>
    <w:rsid w:val="00A06D87"/>
    <w:rsid w:val="00A077BA"/>
    <w:rsid w:val="00A07B1A"/>
    <w:rsid w:val="00A07FEB"/>
    <w:rsid w:val="00A13113"/>
    <w:rsid w:val="00A13E85"/>
    <w:rsid w:val="00A14B75"/>
    <w:rsid w:val="00A164FD"/>
    <w:rsid w:val="00A1746E"/>
    <w:rsid w:val="00A25A93"/>
    <w:rsid w:val="00A2749D"/>
    <w:rsid w:val="00A32254"/>
    <w:rsid w:val="00A32FF6"/>
    <w:rsid w:val="00A3465D"/>
    <w:rsid w:val="00A3610C"/>
    <w:rsid w:val="00A36B31"/>
    <w:rsid w:val="00A36B55"/>
    <w:rsid w:val="00A45740"/>
    <w:rsid w:val="00A46BBE"/>
    <w:rsid w:val="00A4794B"/>
    <w:rsid w:val="00A479FD"/>
    <w:rsid w:val="00A500E9"/>
    <w:rsid w:val="00A502B3"/>
    <w:rsid w:val="00A50F45"/>
    <w:rsid w:val="00A51F51"/>
    <w:rsid w:val="00A523A8"/>
    <w:rsid w:val="00A564A3"/>
    <w:rsid w:val="00A60C16"/>
    <w:rsid w:val="00A61801"/>
    <w:rsid w:val="00A66FE5"/>
    <w:rsid w:val="00A71793"/>
    <w:rsid w:val="00A71804"/>
    <w:rsid w:val="00A71F9A"/>
    <w:rsid w:val="00A7214C"/>
    <w:rsid w:val="00A72A48"/>
    <w:rsid w:val="00A73532"/>
    <w:rsid w:val="00A75384"/>
    <w:rsid w:val="00A77BB2"/>
    <w:rsid w:val="00A77E12"/>
    <w:rsid w:val="00A8006D"/>
    <w:rsid w:val="00A80BF3"/>
    <w:rsid w:val="00A830B9"/>
    <w:rsid w:val="00A8310E"/>
    <w:rsid w:val="00A8563D"/>
    <w:rsid w:val="00A862C3"/>
    <w:rsid w:val="00A8663C"/>
    <w:rsid w:val="00A87054"/>
    <w:rsid w:val="00A90845"/>
    <w:rsid w:val="00A90F75"/>
    <w:rsid w:val="00A93754"/>
    <w:rsid w:val="00A93C07"/>
    <w:rsid w:val="00A96D2A"/>
    <w:rsid w:val="00A9799A"/>
    <w:rsid w:val="00AA023E"/>
    <w:rsid w:val="00AA25E7"/>
    <w:rsid w:val="00AA33F2"/>
    <w:rsid w:val="00AA3BB5"/>
    <w:rsid w:val="00AA3BED"/>
    <w:rsid w:val="00AA59C3"/>
    <w:rsid w:val="00AA6D98"/>
    <w:rsid w:val="00AB1458"/>
    <w:rsid w:val="00AB215E"/>
    <w:rsid w:val="00AB3857"/>
    <w:rsid w:val="00AB42D0"/>
    <w:rsid w:val="00AB507A"/>
    <w:rsid w:val="00AB6998"/>
    <w:rsid w:val="00AB6A6F"/>
    <w:rsid w:val="00AB7F0F"/>
    <w:rsid w:val="00AC139F"/>
    <w:rsid w:val="00AC1467"/>
    <w:rsid w:val="00AC1C14"/>
    <w:rsid w:val="00AC2D43"/>
    <w:rsid w:val="00AC2F16"/>
    <w:rsid w:val="00AD0A58"/>
    <w:rsid w:val="00AD0D08"/>
    <w:rsid w:val="00AD70A8"/>
    <w:rsid w:val="00AE1403"/>
    <w:rsid w:val="00AE697E"/>
    <w:rsid w:val="00AE7268"/>
    <w:rsid w:val="00AF3000"/>
    <w:rsid w:val="00B00876"/>
    <w:rsid w:val="00B00F1D"/>
    <w:rsid w:val="00B0160A"/>
    <w:rsid w:val="00B0264E"/>
    <w:rsid w:val="00B0459D"/>
    <w:rsid w:val="00B05C11"/>
    <w:rsid w:val="00B10AFC"/>
    <w:rsid w:val="00B11938"/>
    <w:rsid w:val="00B1292C"/>
    <w:rsid w:val="00B12A4E"/>
    <w:rsid w:val="00B12B85"/>
    <w:rsid w:val="00B13149"/>
    <w:rsid w:val="00B14B7D"/>
    <w:rsid w:val="00B15719"/>
    <w:rsid w:val="00B16E11"/>
    <w:rsid w:val="00B2057C"/>
    <w:rsid w:val="00B210BB"/>
    <w:rsid w:val="00B22CFF"/>
    <w:rsid w:val="00B23B3F"/>
    <w:rsid w:val="00B243E9"/>
    <w:rsid w:val="00B2491E"/>
    <w:rsid w:val="00B24D5F"/>
    <w:rsid w:val="00B250FD"/>
    <w:rsid w:val="00B2741D"/>
    <w:rsid w:val="00B306AB"/>
    <w:rsid w:val="00B30B42"/>
    <w:rsid w:val="00B318E1"/>
    <w:rsid w:val="00B326A0"/>
    <w:rsid w:val="00B32B7F"/>
    <w:rsid w:val="00B357AE"/>
    <w:rsid w:val="00B36451"/>
    <w:rsid w:val="00B36B0F"/>
    <w:rsid w:val="00B36DD8"/>
    <w:rsid w:val="00B42147"/>
    <w:rsid w:val="00B4319D"/>
    <w:rsid w:val="00B438A7"/>
    <w:rsid w:val="00B43CA3"/>
    <w:rsid w:val="00B44A5C"/>
    <w:rsid w:val="00B474D1"/>
    <w:rsid w:val="00B51095"/>
    <w:rsid w:val="00B52AC4"/>
    <w:rsid w:val="00B54270"/>
    <w:rsid w:val="00B54AA4"/>
    <w:rsid w:val="00B5770C"/>
    <w:rsid w:val="00B641F7"/>
    <w:rsid w:val="00B64633"/>
    <w:rsid w:val="00B6717C"/>
    <w:rsid w:val="00B675D2"/>
    <w:rsid w:val="00B67BD7"/>
    <w:rsid w:val="00B71A51"/>
    <w:rsid w:val="00B72B46"/>
    <w:rsid w:val="00B7623A"/>
    <w:rsid w:val="00B77B88"/>
    <w:rsid w:val="00B81057"/>
    <w:rsid w:val="00B817B0"/>
    <w:rsid w:val="00B82BC4"/>
    <w:rsid w:val="00B863EE"/>
    <w:rsid w:val="00B86A7A"/>
    <w:rsid w:val="00B87ACB"/>
    <w:rsid w:val="00B911B4"/>
    <w:rsid w:val="00B91AAF"/>
    <w:rsid w:val="00B93E37"/>
    <w:rsid w:val="00B93F5D"/>
    <w:rsid w:val="00B97009"/>
    <w:rsid w:val="00B978CE"/>
    <w:rsid w:val="00BA0B1E"/>
    <w:rsid w:val="00BA3558"/>
    <w:rsid w:val="00BA7A28"/>
    <w:rsid w:val="00BB0021"/>
    <w:rsid w:val="00BB0A89"/>
    <w:rsid w:val="00BB44F6"/>
    <w:rsid w:val="00BB4EB9"/>
    <w:rsid w:val="00BB598D"/>
    <w:rsid w:val="00BB742D"/>
    <w:rsid w:val="00BC0115"/>
    <w:rsid w:val="00BC0359"/>
    <w:rsid w:val="00BC35B2"/>
    <w:rsid w:val="00BC4FBF"/>
    <w:rsid w:val="00BD02C9"/>
    <w:rsid w:val="00BD259D"/>
    <w:rsid w:val="00BD31B9"/>
    <w:rsid w:val="00BD36A0"/>
    <w:rsid w:val="00BD3ABA"/>
    <w:rsid w:val="00BE02C3"/>
    <w:rsid w:val="00BE612B"/>
    <w:rsid w:val="00BE7D0E"/>
    <w:rsid w:val="00BE7DC9"/>
    <w:rsid w:val="00BF4510"/>
    <w:rsid w:val="00BF46C3"/>
    <w:rsid w:val="00BF6008"/>
    <w:rsid w:val="00BF6B95"/>
    <w:rsid w:val="00BF7008"/>
    <w:rsid w:val="00BF712F"/>
    <w:rsid w:val="00C016C5"/>
    <w:rsid w:val="00C027D6"/>
    <w:rsid w:val="00C02E39"/>
    <w:rsid w:val="00C0380E"/>
    <w:rsid w:val="00C0432E"/>
    <w:rsid w:val="00C06BFC"/>
    <w:rsid w:val="00C10B6E"/>
    <w:rsid w:val="00C11869"/>
    <w:rsid w:val="00C1503F"/>
    <w:rsid w:val="00C153CF"/>
    <w:rsid w:val="00C16539"/>
    <w:rsid w:val="00C21A6B"/>
    <w:rsid w:val="00C22912"/>
    <w:rsid w:val="00C24890"/>
    <w:rsid w:val="00C24BD2"/>
    <w:rsid w:val="00C274B7"/>
    <w:rsid w:val="00C308D3"/>
    <w:rsid w:val="00C31D68"/>
    <w:rsid w:val="00C41AFF"/>
    <w:rsid w:val="00C4290B"/>
    <w:rsid w:val="00C465D4"/>
    <w:rsid w:val="00C500A0"/>
    <w:rsid w:val="00C52181"/>
    <w:rsid w:val="00C52AF4"/>
    <w:rsid w:val="00C54937"/>
    <w:rsid w:val="00C63490"/>
    <w:rsid w:val="00C6454D"/>
    <w:rsid w:val="00C67F12"/>
    <w:rsid w:val="00C71B0B"/>
    <w:rsid w:val="00C71D17"/>
    <w:rsid w:val="00C72D89"/>
    <w:rsid w:val="00C743B3"/>
    <w:rsid w:val="00C7785E"/>
    <w:rsid w:val="00C8064B"/>
    <w:rsid w:val="00C8075A"/>
    <w:rsid w:val="00C8086D"/>
    <w:rsid w:val="00C80ACB"/>
    <w:rsid w:val="00C84D60"/>
    <w:rsid w:val="00C876CF"/>
    <w:rsid w:val="00C9032C"/>
    <w:rsid w:val="00C9230E"/>
    <w:rsid w:val="00C927A5"/>
    <w:rsid w:val="00C936E7"/>
    <w:rsid w:val="00C9376D"/>
    <w:rsid w:val="00C94491"/>
    <w:rsid w:val="00C9593E"/>
    <w:rsid w:val="00C96708"/>
    <w:rsid w:val="00CA0815"/>
    <w:rsid w:val="00CA11F3"/>
    <w:rsid w:val="00CA451E"/>
    <w:rsid w:val="00CA666E"/>
    <w:rsid w:val="00CA77C9"/>
    <w:rsid w:val="00CB1426"/>
    <w:rsid w:val="00CB22CB"/>
    <w:rsid w:val="00CB4E32"/>
    <w:rsid w:val="00CB7831"/>
    <w:rsid w:val="00CC0150"/>
    <w:rsid w:val="00CC036F"/>
    <w:rsid w:val="00CC2118"/>
    <w:rsid w:val="00CC25C3"/>
    <w:rsid w:val="00CC39B8"/>
    <w:rsid w:val="00CC4043"/>
    <w:rsid w:val="00CC43B9"/>
    <w:rsid w:val="00CC6097"/>
    <w:rsid w:val="00CC62A1"/>
    <w:rsid w:val="00CC7780"/>
    <w:rsid w:val="00CC7F54"/>
    <w:rsid w:val="00CC7FC7"/>
    <w:rsid w:val="00CD2664"/>
    <w:rsid w:val="00CD5A52"/>
    <w:rsid w:val="00CD6A54"/>
    <w:rsid w:val="00CE0FB3"/>
    <w:rsid w:val="00CE143F"/>
    <w:rsid w:val="00CE2FDC"/>
    <w:rsid w:val="00CE3062"/>
    <w:rsid w:val="00CE3583"/>
    <w:rsid w:val="00CE398B"/>
    <w:rsid w:val="00CF0B20"/>
    <w:rsid w:val="00CF3E01"/>
    <w:rsid w:val="00CF443A"/>
    <w:rsid w:val="00CF4485"/>
    <w:rsid w:val="00CF710E"/>
    <w:rsid w:val="00D065E8"/>
    <w:rsid w:val="00D06985"/>
    <w:rsid w:val="00D1158B"/>
    <w:rsid w:val="00D1353A"/>
    <w:rsid w:val="00D14A43"/>
    <w:rsid w:val="00D14CA9"/>
    <w:rsid w:val="00D164F6"/>
    <w:rsid w:val="00D17005"/>
    <w:rsid w:val="00D17435"/>
    <w:rsid w:val="00D20D74"/>
    <w:rsid w:val="00D22EC2"/>
    <w:rsid w:val="00D2434A"/>
    <w:rsid w:val="00D31AB2"/>
    <w:rsid w:val="00D32BFA"/>
    <w:rsid w:val="00D33D34"/>
    <w:rsid w:val="00D34AF1"/>
    <w:rsid w:val="00D3550C"/>
    <w:rsid w:val="00D36F76"/>
    <w:rsid w:val="00D42862"/>
    <w:rsid w:val="00D474BC"/>
    <w:rsid w:val="00D4788F"/>
    <w:rsid w:val="00D50F10"/>
    <w:rsid w:val="00D5120C"/>
    <w:rsid w:val="00D51374"/>
    <w:rsid w:val="00D52FF9"/>
    <w:rsid w:val="00D565F1"/>
    <w:rsid w:val="00D569F0"/>
    <w:rsid w:val="00D57848"/>
    <w:rsid w:val="00D57A14"/>
    <w:rsid w:val="00D57B59"/>
    <w:rsid w:val="00D57EE5"/>
    <w:rsid w:val="00D61C96"/>
    <w:rsid w:val="00D62638"/>
    <w:rsid w:val="00D64910"/>
    <w:rsid w:val="00D67498"/>
    <w:rsid w:val="00D6753D"/>
    <w:rsid w:val="00D725A8"/>
    <w:rsid w:val="00D736DC"/>
    <w:rsid w:val="00D768DE"/>
    <w:rsid w:val="00D76E60"/>
    <w:rsid w:val="00D80683"/>
    <w:rsid w:val="00D8105C"/>
    <w:rsid w:val="00D82561"/>
    <w:rsid w:val="00D85853"/>
    <w:rsid w:val="00D86034"/>
    <w:rsid w:val="00D904BE"/>
    <w:rsid w:val="00D925CA"/>
    <w:rsid w:val="00D929CA"/>
    <w:rsid w:val="00D9474E"/>
    <w:rsid w:val="00D94F5B"/>
    <w:rsid w:val="00D95601"/>
    <w:rsid w:val="00D961FF"/>
    <w:rsid w:val="00D96BD5"/>
    <w:rsid w:val="00D97B76"/>
    <w:rsid w:val="00D97F3D"/>
    <w:rsid w:val="00DA1871"/>
    <w:rsid w:val="00DA2C74"/>
    <w:rsid w:val="00DA4635"/>
    <w:rsid w:val="00DA4FE9"/>
    <w:rsid w:val="00DA764F"/>
    <w:rsid w:val="00DB1FD9"/>
    <w:rsid w:val="00DB4F90"/>
    <w:rsid w:val="00DB51C2"/>
    <w:rsid w:val="00DB63AD"/>
    <w:rsid w:val="00DB76F6"/>
    <w:rsid w:val="00DC3353"/>
    <w:rsid w:val="00DC641B"/>
    <w:rsid w:val="00DD22CA"/>
    <w:rsid w:val="00DD2518"/>
    <w:rsid w:val="00DD2B91"/>
    <w:rsid w:val="00DD3738"/>
    <w:rsid w:val="00DD487B"/>
    <w:rsid w:val="00DD4F85"/>
    <w:rsid w:val="00DD71C1"/>
    <w:rsid w:val="00DD73ED"/>
    <w:rsid w:val="00DE37BB"/>
    <w:rsid w:val="00DE4906"/>
    <w:rsid w:val="00DF221A"/>
    <w:rsid w:val="00DF5BCB"/>
    <w:rsid w:val="00DF66A6"/>
    <w:rsid w:val="00DF760E"/>
    <w:rsid w:val="00E004F4"/>
    <w:rsid w:val="00E02186"/>
    <w:rsid w:val="00E02DAB"/>
    <w:rsid w:val="00E039A1"/>
    <w:rsid w:val="00E06E42"/>
    <w:rsid w:val="00E07AEA"/>
    <w:rsid w:val="00E213E2"/>
    <w:rsid w:val="00E259F4"/>
    <w:rsid w:val="00E265DD"/>
    <w:rsid w:val="00E31ADD"/>
    <w:rsid w:val="00E33684"/>
    <w:rsid w:val="00E37E59"/>
    <w:rsid w:val="00E37F8F"/>
    <w:rsid w:val="00E424B2"/>
    <w:rsid w:val="00E429F4"/>
    <w:rsid w:val="00E4364B"/>
    <w:rsid w:val="00E43864"/>
    <w:rsid w:val="00E473BC"/>
    <w:rsid w:val="00E51EA3"/>
    <w:rsid w:val="00E535A9"/>
    <w:rsid w:val="00E536BD"/>
    <w:rsid w:val="00E55E5E"/>
    <w:rsid w:val="00E57134"/>
    <w:rsid w:val="00E57189"/>
    <w:rsid w:val="00E57F55"/>
    <w:rsid w:val="00E67986"/>
    <w:rsid w:val="00E701BF"/>
    <w:rsid w:val="00E71086"/>
    <w:rsid w:val="00E710C4"/>
    <w:rsid w:val="00E71736"/>
    <w:rsid w:val="00E73A28"/>
    <w:rsid w:val="00E73A5E"/>
    <w:rsid w:val="00E8018D"/>
    <w:rsid w:val="00E81624"/>
    <w:rsid w:val="00E8227A"/>
    <w:rsid w:val="00E8252A"/>
    <w:rsid w:val="00E83FDE"/>
    <w:rsid w:val="00E87E80"/>
    <w:rsid w:val="00E919AE"/>
    <w:rsid w:val="00E93348"/>
    <w:rsid w:val="00E94503"/>
    <w:rsid w:val="00E95EB6"/>
    <w:rsid w:val="00E976A3"/>
    <w:rsid w:val="00E97AD5"/>
    <w:rsid w:val="00E97FA5"/>
    <w:rsid w:val="00EA140D"/>
    <w:rsid w:val="00EA33E8"/>
    <w:rsid w:val="00EA5891"/>
    <w:rsid w:val="00EB10BA"/>
    <w:rsid w:val="00EB1277"/>
    <w:rsid w:val="00EB2468"/>
    <w:rsid w:val="00EB41B4"/>
    <w:rsid w:val="00EC05FF"/>
    <w:rsid w:val="00EC0902"/>
    <w:rsid w:val="00EC0F89"/>
    <w:rsid w:val="00EC1DB6"/>
    <w:rsid w:val="00EC4208"/>
    <w:rsid w:val="00EC538A"/>
    <w:rsid w:val="00EC70DF"/>
    <w:rsid w:val="00ED43BE"/>
    <w:rsid w:val="00ED5061"/>
    <w:rsid w:val="00ED7431"/>
    <w:rsid w:val="00EE51FA"/>
    <w:rsid w:val="00EE68A0"/>
    <w:rsid w:val="00EE7B05"/>
    <w:rsid w:val="00EE7C11"/>
    <w:rsid w:val="00EE7C77"/>
    <w:rsid w:val="00EF05F4"/>
    <w:rsid w:val="00EF2237"/>
    <w:rsid w:val="00EF2329"/>
    <w:rsid w:val="00EF2E6C"/>
    <w:rsid w:val="00EF334A"/>
    <w:rsid w:val="00EF3C51"/>
    <w:rsid w:val="00EF471C"/>
    <w:rsid w:val="00EF5637"/>
    <w:rsid w:val="00EF5DA3"/>
    <w:rsid w:val="00EF689E"/>
    <w:rsid w:val="00EF6CDF"/>
    <w:rsid w:val="00EF7C02"/>
    <w:rsid w:val="00F00713"/>
    <w:rsid w:val="00F019A1"/>
    <w:rsid w:val="00F02E7F"/>
    <w:rsid w:val="00F059FC"/>
    <w:rsid w:val="00F061FA"/>
    <w:rsid w:val="00F0726A"/>
    <w:rsid w:val="00F07D08"/>
    <w:rsid w:val="00F11DCE"/>
    <w:rsid w:val="00F13000"/>
    <w:rsid w:val="00F13BEB"/>
    <w:rsid w:val="00F14FCE"/>
    <w:rsid w:val="00F17FA5"/>
    <w:rsid w:val="00F2414A"/>
    <w:rsid w:val="00F246E5"/>
    <w:rsid w:val="00F26A2D"/>
    <w:rsid w:val="00F31899"/>
    <w:rsid w:val="00F3192F"/>
    <w:rsid w:val="00F319AB"/>
    <w:rsid w:val="00F31E55"/>
    <w:rsid w:val="00F3217B"/>
    <w:rsid w:val="00F33694"/>
    <w:rsid w:val="00F3522F"/>
    <w:rsid w:val="00F401A3"/>
    <w:rsid w:val="00F42067"/>
    <w:rsid w:val="00F42F00"/>
    <w:rsid w:val="00F43CB8"/>
    <w:rsid w:val="00F444DF"/>
    <w:rsid w:val="00F45119"/>
    <w:rsid w:val="00F461AE"/>
    <w:rsid w:val="00F47322"/>
    <w:rsid w:val="00F505A2"/>
    <w:rsid w:val="00F540AE"/>
    <w:rsid w:val="00F55C5C"/>
    <w:rsid w:val="00F56494"/>
    <w:rsid w:val="00F56E90"/>
    <w:rsid w:val="00F6034C"/>
    <w:rsid w:val="00F6120C"/>
    <w:rsid w:val="00F61247"/>
    <w:rsid w:val="00F62453"/>
    <w:rsid w:val="00F62D4B"/>
    <w:rsid w:val="00F63732"/>
    <w:rsid w:val="00F63D7B"/>
    <w:rsid w:val="00F63FD9"/>
    <w:rsid w:val="00F67021"/>
    <w:rsid w:val="00F67A9E"/>
    <w:rsid w:val="00F7010D"/>
    <w:rsid w:val="00F70A8C"/>
    <w:rsid w:val="00F741DA"/>
    <w:rsid w:val="00F867B3"/>
    <w:rsid w:val="00F87188"/>
    <w:rsid w:val="00F90D1E"/>
    <w:rsid w:val="00F91422"/>
    <w:rsid w:val="00F917E5"/>
    <w:rsid w:val="00F91A26"/>
    <w:rsid w:val="00F929D2"/>
    <w:rsid w:val="00F949C1"/>
    <w:rsid w:val="00F95D8D"/>
    <w:rsid w:val="00F973F5"/>
    <w:rsid w:val="00FA0888"/>
    <w:rsid w:val="00FA1CD6"/>
    <w:rsid w:val="00FA262C"/>
    <w:rsid w:val="00FA2E32"/>
    <w:rsid w:val="00FA32C4"/>
    <w:rsid w:val="00FA7731"/>
    <w:rsid w:val="00FB1135"/>
    <w:rsid w:val="00FB62CE"/>
    <w:rsid w:val="00FC083E"/>
    <w:rsid w:val="00FC2A57"/>
    <w:rsid w:val="00FC34B3"/>
    <w:rsid w:val="00FD0C49"/>
    <w:rsid w:val="00FD1DC4"/>
    <w:rsid w:val="00FD1F78"/>
    <w:rsid w:val="00FD28F8"/>
    <w:rsid w:val="00FD3029"/>
    <w:rsid w:val="00FD46DC"/>
    <w:rsid w:val="00FD5C3A"/>
    <w:rsid w:val="00FE4860"/>
    <w:rsid w:val="00FE752D"/>
    <w:rsid w:val="00FF14A0"/>
    <w:rsid w:val="00FF5728"/>
    <w:rsid w:val="00FF58BB"/>
    <w:rsid w:val="00FF59E6"/>
    <w:rsid w:val="00FF7AF8"/>
    <w:rsid w:val="00FF7CD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D6CB89-5A32-4412-B5C2-F20E11891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014A03"/>
    <w:pPr>
      <w:widowControl w:val="0"/>
      <w:autoSpaceDE w:val="0"/>
      <w:autoSpaceDN w:val="0"/>
      <w:spacing w:after="0" w:line="240" w:lineRule="auto"/>
    </w:pPr>
    <w:rPr>
      <w:rFonts w:ascii="Trebuchet MS" w:eastAsia="Trebuchet MS" w:hAnsi="Trebuchet MS" w:cs="Trebuchet MS"/>
    </w:rPr>
  </w:style>
  <w:style w:type="paragraph" w:styleId="Nagwek1">
    <w:name w:val="heading 1"/>
    <w:basedOn w:val="Normalny"/>
    <w:next w:val="Normalny"/>
    <w:link w:val="Nagwek1Znak"/>
    <w:uiPriority w:val="9"/>
    <w:qFormat/>
    <w:rsid w:val="00587025"/>
    <w:pPr>
      <w:keepNext/>
      <w:keepLines/>
      <w:spacing w:after="240" w:line="276" w:lineRule="auto"/>
      <w:outlineLvl w:val="0"/>
    </w:pPr>
    <w:rPr>
      <w:rFonts w:ascii="Arial" w:eastAsiaTheme="majorEastAsia" w:hAnsi="Arial" w:cstheme="majorBidi"/>
      <w:sz w:val="28"/>
      <w:szCs w:val="32"/>
    </w:rPr>
  </w:style>
  <w:style w:type="paragraph" w:styleId="Nagwek2">
    <w:name w:val="heading 2"/>
    <w:basedOn w:val="Normalny"/>
    <w:next w:val="Normalny"/>
    <w:link w:val="Nagwek2Znak"/>
    <w:uiPriority w:val="9"/>
    <w:unhideWhenUsed/>
    <w:qFormat/>
    <w:rsid w:val="00D76E60"/>
    <w:pPr>
      <w:keepNext/>
      <w:keepLines/>
      <w:spacing w:before="120" w:after="240" w:line="276" w:lineRule="auto"/>
      <w:outlineLvl w:val="1"/>
    </w:pPr>
    <w:rPr>
      <w:rFonts w:ascii="Arial" w:eastAsia="Times New Roman" w:hAnsi="Arial"/>
      <w:color w:val="000000" w:themeColor="text1"/>
      <w:sz w:val="24"/>
      <w:szCs w:val="26"/>
    </w:rPr>
  </w:style>
  <w:style w:type="paragraph" w:styleId="Nagwek3">
    <w:name w:val="heading 3"/>
    <w:basedOn w:val="Normalny"/>
    <w:link w:val="Nagwek3Znak"/>
    <w:uiPriority w:val="9"/>
    <w:unhideWhenUsed/>
    <w:qFormat/>
    <w:rsid w:val="00014A03"/>
    <w:pPr>
      <w:ind w:left="313"/>
      <w:outlineLvl w:val="2"/>
    </w:pPr>
    <w:rPr>
      <w:rFonts w:ascii="Verdana" w:eastAsia="Verdana" w:hAnsi="Verdana" w:cs="Verdana"/>
      <w:b/>
      <w:bCs/>
    </w:rPr>
  </w:style>
  <w:style w:type="paragraph" w:styleId="Nagwek4">
    <w:name w:val="heading 4"/>
    <w:basedOn w:val="Normalny"/>
    <w:next w:val="Normalny"/>
    <w:link w:val="Nagwek4Znak"/>
    <w:uiPriority w:val="9"/>
    <w:semiHidden/>
    <w:unhideWhenUsed/>
    <w:qFormat/>
    <w:rsid w:val="00B32B7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
    <w:rsid w:val="00D76E60"/>
    <w:rPr>
      <w:rFonts w:ascii="Arial" w:eastAsia="Times New Roman" w:hAnsi="Arial" w:cs="Trebuchet MS"/>
      <w:color w:val="000000" w:themeColor="text1"/>
      <w:sz w:val="24"/>
      <w:szCs w:val="26"/>
    </w:rPr>
  </w:style>
  <w:style w:type="character" w:customStyle="1" w:styleId="Nagwek3Znak">
    <w:name w:val="Nagłówek 3 Znak"/>
    <w:basedOn w:val="Domylnaczcionkaakapitu"/>
    <w:link w:val="Nagwek3"/>
    <w:uiPriority w:val="9"/>
    <w:rsid w:val="00014A03"/>
    <w:rPr>
      <w:rFonts w:ascii="Verdana" w:eastAsia="Verdana" w:hAnsi="Verdana" w:cs="Verdana"/>
      <w:b/>
      <w:bCs/>
    </w:rPr>
  </w:style>
  <w:style w:type="paragraph" w:styleId="Tekstpodstawowy">
    <w:name w:val="Body Text"/>
    <w:basedOn w:val="Normalny"/>
    <w:link w:val="TekstpodstawowyZnak"/>
    <w:uiPriority w:val="1"/>
    <w:qFormat/>
    <w:rsid w:val="00014A03"/>
    <w:rPr>
      <w:sz w:val="19"/>
      <w:szCs w:val="19"/>
    </w:rPr>
  </w:style>
  <w:style w:type="character" w:customStyle="1" w:styleId="TekstpodstawowyZnak">
    <w:name w:val="Tekst podstawowy Znak"/>
    <w:basedOn w:val="Domylnaczcionkaakapitu"/>
    <w:link w:val="Tekstpodstawowy"/>
    <w:uiPriority w:val="1"/>
    <w:rsid w:val="00014A03"/>
    <w:rPr>
      <w:rFonts w:ascii="Trebuchet MS" w:eastAsia="Trebuchet MS" w:hAnsi="Trebuchet MS" w:cs="Trebuchet MS"/>
      <w:sz w:val="19"/>
      <w:szCs w:val="19"/>
    </w:rPr>
  </w:style>
  <w:style w:type="paragraph" w:styleId="Tytu">
    <w:name w:val="Title"/>
    <w:basedOn w:val="Normalny"/>
    <w:link w:val="TytuZnak"/>
    <w:uiPriority w:val="10"/>
    <w:qFormat/>
    <w:rsid w:val="00014A03"/>
    <w:pPr>
      <w:spacing w:before="13"/>
      <w:ind w:left="626" w:right="426"/>
      <w:jc w:val="center"/>
    </w:pPr>
    <w:rPr>
      <w:b/>
      <w:bCs/>
      <w:sz w:val="48"/>
      <w:szCs w:val="48"/>
    </w:rPr>
  </w:style>
  <w:style w:type="character" w:customStyle="1" w:styleId="TytuZnak">
    <w:name w:val="Tytuł Znak"/>
    <w:basedOn w:val="Domylnaczcionkaakapitu"/>
    <w:link w:val="Tytu"/>
    <w:uiPriority w:val="10"/>
    <w:rsid w:val="00014A03"/>
    <w:rPr>
      <w:rFonts w:ascii="Trebuchet MS" w:eastAsia="Trebuchet MS" w:hAnsi="Trebuchet MS" w:cs="Trebuchet MS"/>
      <w:b/>
      <w:bCs/>
      <w:sz w:val="48"/>
      <w:szCs w:val="48"/>
    </w:rPr>
  </w:style>
  <w:style w:type="character" w:customStyle="1" w:styleId="Nagwek1Znak">
    <w:name w:val="Nagłówek 1 Znak"/>
    <w:basedOn w:val="Domylnaczcionkaakapitu"/>
    <w:link w:val="Nagwek1"/>
    <w:uiPriority w:val="9"/>
    <w:rsid w:val="00587025"/>
    <w:rPr>
      <w:rFonts w:ascii="Arial" w:eastAsiaTheme="majorEastAsia" w:hAnsi="Arial" w:cstheme="majorBidi"/>
      <w:sz w:val="28"/>
      <w:szCs w:val="32"/>
    </w:rPr>
  </w:style>
  <w:style w:type="paragraph" w:styleId="Akapitzlist">
    <w:name w:val="List Paragraph"/>
    <w:aliases w:val="Numerowanie,A_wyliczenie,K-P_odwolanie,Akapit z listą5,maz_wyliczenie,opis dzialania,List Paragraph compact,Normal bullet 2,Paragraphe de liste 2,Reference list,Bullet list,Numbered List,List Paragraph1,1st level - Bullet List Paragraph"/>
    <w:basedOn w:val="Normalny"/>
    <w:link w:val="AkapitzlistZnak"/>
    <w:uiPriority w:val="34"/>
    <w:qFormat/>
    <w:rsid w:val="00587025"/>
    <w:pPr>
      <w:ind w:left="720"/>
      <w:contextualSpacing/>
    </w:pPr>
  </w:style>
  <w:style w:type="paragraph" w:styleId="Legenda">
    <w:name w:val="caption"/>
    <w:basedOn w:val="Normalny"/>
    <w:next w:val="Normalny"/>
    <w:uiPriority w:val="35"/>
    <w:unhideWhenUsed/>
    <w:qFormat/>
    <w:rsid w:val="00587025"/>
    <w:pPr>
      <w:spacing w:after="200"/>
    </w:pPr>
    <w:rPr>
      <w:i/>
      <w:iCs/>
      <w:color w:val="44546A" w:themeColor="text2"/>
      <w:sz w:val="18"/>
      <w:szCs w:val="18"/>
    </w:rPr>
  </w:style>
  <w:style w:type="character" w:styleId="Odwoaniedokomentarza">
    <w:name w:val="annotation reference"/>
    <w:basedOn w:val="Domylnaczcionkaakapitu"/>
    <w:uiPriority w:val="99"/>
    <w:semiHidden/>
    <w:unhideWhenUsed/>
    <w:rsid w:val="00D76E60"/>
    <w:rPr>
      <w:sz w:val="16"/>
      <w:szCs w:val="16"/>
    </w:rPr>
  </w:style>
  <w:style w:type="paragraph" w:styleId="Tekstkomentarza">
    <w:name w:val="annotation text"/>
    <w:basedOn w:val="Normalny"/>
    <w:link w:val="TekstkomentarzaZnak"/>
    <w:uiPriority w:val="99"/>
    <w:unhideWhenUsed/>
    <w:rsid w:val="00D76E60"/>
    <w:rPr>
      <w:sz w:val="20"/>
      <w:szCs w:val="20"/>
    </w:rPr>
  </w:style>
  <w:style w:type="character" w:customStyle="1" w:styleId="TekstkomentarzaZnak">
    <w:name w:val="Tekst komentarza Znak"/>
    <w:basedOn w:val="Domylnaczcionkaakapitu"/>
    <w:link w:val="Tekstkomentarza"/>
    <w:uiPriority w:val="99"/>
    <w:rsid w:val="00D76E60"/>
    <w:rPr>
      <w:rFonts w:ascii="Trebuchet MS" w:eastAsia="Trebuchet MS" w:hAnsi="Trebuchet MS" w:cs="Trebuchet MS"/>
      <w:sz w:val="20"/>
      <w:szCs w:val="20"/>
    </w:rPr>
  </w:style>
  <w:style w:type="paragraph" w:styleId="Tematkomentarza">
    <w:name w:val="annotation subject"/>
    <w:basedOn w:val="Tekstkomentarza"/>
    <w:next w:val="Tekstkomentarza"/>
    <w:link w:val="TematkomentarzaZnak"/>
    <w:uiPriority w:val="99"/>
    <w:semiHidden/>
    <w:unhideWhenUsed/>
    <w:rsid w:val="00D76E60"/>
    <w:rPr>
      <w:b/>
      <w:bCs/>
    </w:rPr>
  </w:style>
  <w:style w:type="character" w:customStyle="1" w:styleId="TematkomentarzaZnak">
    <w:name w:val="Temat komentarza Znak"/>
    <w:basedOn w:val="TekstkomentarzaZnak"/>
    <w:link w:val="Tematkomentarza"/>
    <w:uiPriority w:val="99"/>
    <w:semiHidden/>
    <w:rsid w:val="00D76E60"/>
    <w:rPr>
      <w:rFonts w:ascii="Trebuchet MS" w:eastAsia="Trebuchet MS" w:hAnsi="Trebuchet MS" w:cs="Trebuchet MS"/>
      <w:b/>
      <w:bCs/>
      <w:sz w:val="20"/>
      <w:szCs w:val="20"/>
    </w:rPr>
  </w:style>
  <w:style w:type="paragraph" w:styleId="Tekstdymka">
    <w:name w:val="Balloon Text"/>
    <w:basedOn w:val="Normalny"/>
    <w:link w:val="TekstdymkaZnak"/>
    <w:uiPriority w:val="99"/>
    <w:semiHidden/>
    <w:unhideWhenUsed/>
    <w:rsid w:val="00D76E60"/>
    <w:rPr>
      <w:rFonts w:ascii="Segoe UI" w:hAnsi="Segoe UI" w:cs="Segoe UI"/>
      <w:sz w:val="18"/>
      <w:szCs w:val="18"/>
    </w:rPr>
  </w:style>
  <w:style w:type="character" w:customStyle="1" w:styleId="TekstdymkaZnak">
    <w:name w:val="Tekst dymka Znak"/>
    <w:basedOn w:val="Domylnaczcionkaakapitu"/>
    <w:link w:val="Tekstdymka"/>
    <w:uiPriority w:val="99"/>
    <w:semiHidden/>
    <w:rsid w:val="00D76E60"/>
    <w:rPr>
      <w:rFonts w:ascii="Segoe UI" w:eastAsia="Trebuchet MS" w:hAnsi="Segoe UI" w:cs="Segoe UI"/>
      <w:sz w:val="18"/>
      <w:szCs w:val="18"/>
    </w:rPr>
  </w:style>
  <w:style w:type="paragraph" w:styleId="Tekstprzypisudolnego">
    <w:name w:val="footnote text"/>
    <w:basedOn w:val="Normalny"/>
    <w:link w:val="TekstprzypisudolnegoZnak"/>
    <w:uiPriority w:val="99"/>
    <w:unhideWhenUsed/>
    <w:rsid w:val="00BD3ABA"/>
    <w:rPr>
      <w:sz w:val="20"/>
      <w:szCs w:val="20"/>
    </w:rPr>
  </w:style>
  <w:style w:type="character" w:customStyle="1" w:styleId="TekstprzypisudolnegoZnak">
    <w:name w:val="Tekst przypisu dolnego Znak"/>
    <w:basedOn w:val="Domylnaczcionkaakapitu"/>
    <w:link w:val="Tekstprzypisudolnego"/>
    <w:uiPriority w:val="99"/>
    <w:rsid w:val="00BD3ABA"/>
    <w:rPr>
      <w:rFonts w:ascii="Trebuchet MS" w:eastAsia="Trebuchet MS" w:hAnsi="Trebuchet MS" w:cs="Trebuchet MS"/>
      <w:sz w:val="20"/>
      <w:szCs w:val="20"/>
    </w:rPr>
  </w:style>
  <w:style w:type="character" w:styleId="Odwoanieprzypisudolnego">
    <w:name w:val="footnote reference"/>
    <w:basedOn w:val="Domylnaczcionkaakapitu"/>
    <w:uiPriority w:val="99"/>
    <w:semiHidden/>
    <w:unhideWhenUsed/>
    <w:rsid w:val="00BD3ABA"/>
    <w:rPr>
      <w:vertAlign w:val="superscript"/>
    </w:rPr>
  </w:style>
  <w:style w:type="character" w:customStyle="1" w:styleId="Nagwek4Znak">
    <w:name w:val="Nagłówek 4 Znak"/>
    <w:basedOn w:val="Domylnaczcionkaakapitu"/>
    <w:link w:val="Nagwek4"/>
    <w:uiPriority w:val="9"/>
    <w:semiHidden/>
    <w:rsid w:val="00B32B7F"/>
    <w:rPr>
      <w:rFonts w:asciiTheme="majorHAnsi" w:eastAsiaTheme="majorEastAsia" w:hAnsiTheme="majorHAnsi" w:cstheme="majorBidi"/>
      <w:i/>
      <w:iCs/>
      <w:color w:val="2E74B5" w:themeColor="accent1" w:themeShade="BF"/>
    </w:rPr>
  </w:style>
  <w:style w:type="paragraph" w:styleId="Nagwek">
    <w:name w:val="header"/>
    <w:basedOn w:val="Normalny"/>
    <w:link w:val="NagwekZnak"/>
    <w:uiPriority w:val="99"/>
    <w:unhideWhenUsed/>
    <w:rsid w:val="00C9230E"/>
    <w:pPr>
      <w:tabs>
        <w:tab w:val="center" w:pos="4536"/>
        <w:tab w:val="right" w:pos="9072"/>
      </w:tabs>
    </w:pPr>
  </w:style>
  <w:style w:type="character" w:customStyle="1" w:styleId="NagwekZnak">
    <w:name w:val="Nagłówek Znak"/>
    <w:basedOn w:val="Domylnaczcionkaakapitu"/>
    <w:link w:val="Nagwek"/>
    <w:uiPriority w:val="99"/>
    <w:rsid w:val="00C9230E"/>
    <w:rPr>
      <w:rFonts w:ascii="Trebuchet MS" w:eastAsia="Trebuchet MS" w:hAnsi="Trebuchet MS" w:cs="Trebuchet MS"/>
    </w:rPr>
  </w:style>
  <w:style w:type="paragraph" w:styleId="Stopka">
    <w:name w:val="footer"/>
    <w:basedOn w:val="Normalny"/>
    <w:link w:val="StopkaZnak"/>
    <w:uiPriority w:val="99"/>
    <w:unhideWhenUsed/>
    <w:rsid w:val="00C9230E"/>
    <w:pPr>
      <w:tabs>
        <w:tab w:val="center" w:pos="4536"/>
        <w:tab w:val="right" w:pos="9072"/>
      </w:tabs>
    </w:pPr>
  </w:style>
  <w:style w:type="character" w:customStyle="1" w:styleId="StopkaZnak">
    <w:name w:val="Stopka Znak"/>
    <w:basedOn w:val="Domylnaczcionkaakapitu"/>
    <w:link w:val="Stopka"/>
    <w:uiPriority w:val="99"/>
    <w:rsid w:val="00C9230E"/>
    <w:rPr>
      <w:rFonts w:ascii="Trebuchet MS" w:eastAsia="Trebuchet MS" w:hAnsi="Trebuchet MS" w:cs="Trebuchet MS"/>
    </w:rPr>
  </w:style>
  <w:style w:type="character" w:styleId="Hipercze">
    <w:name w:val="Hyperlink"/>
    <w:basedOn w:val="Domylnaczcionkaakapitu"/>
    <w:uiPriority w:val="99"/>
    <w:unhideWhenUsed/>
    <w:rsid w:val="004510B3"/>
    <w:rPr>
      <w:color w:val="0563C1" w:themeColor="hyperlink"/>
      <w:u w:val="single"/>
    </w:rPr>
  </w:style>
  <w:style w:type="table" w:customStyle="1" w:styleId="TableNormal">
    <w:name w:val="Table Normal"/>
    <w:uiPriority w:val="2"/>
    <w:semiHidden/>
    <w:unhideWhenUsed/>
    <w:qFormat/>
    <w:rsid w:val="00F63F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F63FD9"/>
  </w:style>
  <w:style w:type="table" w:styleId="Tabela-Siatka">
    <w:name w:val="Table Grid"/>
    <w:basedOn w:val="Standardowy"/>
    <w:uiPriority w:val="39"/>
    <w:rsid w:val="00F63F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680EF4"/>
  </w:style>
  <w:style w:type="paragraph" w:styleId="Nagwekspisutreci">
    <w:name w:val="TOC Heading"/>
    <w:basedOn w:val="Nagwek1"/>
    <w:next w:val="Normalny"/>
    <w:uiPriority w:val="39"/>
    <w:unhideWhenUsed/>
    <w:qFormat/>
    <w:rsid w:val="001428F8"/>
    <w:pPr>
      <w:widowControl/>
      <w:autoSpaceDE/>
      <w:autoSpaceDN/>
      <w:spacing w:before="240" w:after="0" w:line="259" w:lineRule="auto"/>
      <w:outlineLvl w:val="9"/>
    </w:pPr>
    <w:rPr>
      <w:rFonts w:asciiTheme="majorHAnsi" w:hAnsiTheme="majorHAnsi"/>
      <w:color w:val="2E74B5" w:themeColor="accent1" w:themeShade="BF"/>
      <w:sz w:val="32"/>
      <w:lang w:eastAsia="pl-PL"/>
    </w:rPr>
  </w:style>
  <w:style w:type="paragraph" w:styleId="Spistreci1">
    <w:name w:val="toc 1"/>
    <w:basedOn w:val="Normalny"/>
    <w:next w:val="Normalny"/>
    <w:autoRedefine/>
    <w:uiPriority w:val="39"/>
    <w:unhideWhenUsed/>
    <w:rsid w:val="00DB1FD9"/>
    <w:pPr>
      <w:tabs>
        <w:tab w:val="left" w:pos="284"/>
        <w:tab w:val="right" w:leader="dot" w:pos="9062"/>
      </w:tabs>
      <w:spacing w:before="60" w:after="60" w:line="276" w:lineRule="auto"/>
      <w:jc w:val="both"/>
    </w:pPr>
  </w:style>
  <w:style w:type="paragraph" w:styleId="Spistreci2">
    <w:name w:val="toc 2"/>
    <w:basedOn w:val="Normalny"/>
    <w:next w:val="Normalny"/>
    <w:autoRedefine/>
    <w:uiPriority w:val="39"/>
    <w:unhideWhenUsed/>
    <w:rsid w:val="0074450A"/>
    <w:pPr>
      <w:tabs>
        <w:tab w:val="left" w:pos="993"/>
        <w:tab w:val="right" w:leader="dot" w:pos="9062"/>
      </w:tabs>
      <w:spacing w:before="60" w:after="60" w:line="276" w:lineRule="auto"/>
      <w:ind w:left="851" w:hanging="284"/>
    </w:pPr>
  </w:style>
  <w:style w:type="paragraph" w:styleId="Poprawka">
    <w:name w:val="Revision"/>
    <w:hidden/>
    <w:uiPriority w:val="99"/>
    <w:semiHidden/>
    <w:rsid w:val="004A5526"/>
    <w:pPr>
      <w:spacing w:after="0" w:line="240" w:lineRule="auto"/>
    </w:pPr>
    <w:rPr>
      <w:rFonts w:ascii="Trebuchet MS" w:eastAsia="Trebuchet MS" w:hAnsi="Trebuchet MS" w:cs="Trebuchet MS"/>
    </w:rPr>
  </w:style>
  <w:style w:type="paragraph" w:styleId="Tekstprzypisukocowego">
    <w:name w:val="endnote text"/>
    <w:basedOn w:val="Normalny"/>
    <w:link w:val="TekstprzypisukocowegoZnak"/>
    <w:uiPriority w:val="99"/>
    <w:semiHidden/>
    <w:unhideWhenUsed/>
    <w:rsid w:val="00D768DE"/>
    <w:rPr>
      <w:sz w:val="20"/>
      <w:szCs w:val="20"/>
    </w:rPr>
  </w:style>
  <w:style w:type="character" w:customStyle="1" w:styleId="TekstprzypisukocowegoZnak">
    <w:name w:val="Tekst przypisu końcowego Znak"/>
    <w:basedOn w:val="Domylnaczcionkaakapitu"/>
    <w:link w:val="Tekstprzypisukocowego"/>
    <w:uiPriority w:val="99"/>
    <w:semiHidden/>
    <w:rsid w:val="00D768DE"/>
    <w:rPr>
      <w:rFonts w:ascii="Trebuchet MS" w:eastAsia="Trebuchet MS" w:hAnsi="Trebuchet MS" w:cs="Trebuchet MS"/>
      <w:sz w:val="20"/>
      <w:szCs w:val="20"/>
    </w:rPr>
  </w:style>
  <w:style w:type="character" w:styleId="Odwoanieprzypisukocowego">
    <w:name w:val="endnote reference"/>
    <w:basedOn w:val="Domylnaczcionkaakapitu"/>
    <w:uiPriority w:val="99"/>
    <w:semiHidden/>
    <w:unhideWhenUsed/>
    <w:rsid w:val="00D768DE"/>
    <w:rPr>
      <w:vertAlign w:val="superscript"/>
    </w:rPr>
  </w:style>
  <w:style w:type="paragraph" w:customStyle="1" w:styleId="Pa3">
    <w:name w:val="Pa3"/>
    <w:basedOn w:val="Normalny"/>
    <w:next w:val="Normalny"/>
    <w:uiPriority w:val="99"/>
    <w:rsid w:val="00DD4F85"/>
    <w:pPr>
      <w:widowControl/>
      <w:adjustRightInd w:val="0"/>
      <w:spacing w:line="221" w:lineRule="atLeast"/>
    </w:pPr>
    <w:rPr>
      <w:rFonts w:ascii="Myriad Pro" w:eastAsiaTheme="minorHAnsi" w:hAnsi="Myriad Pro" w:cstheme="minorBidi"/>
      <w:sz w:val="24"/>
      <w:szCs w:val="24"/>
    </w:rPr>
  </w:style>
  <w:style w:type="paragraph" w:customStyle="1" w:styleId="wnioski">
    <w:name w:val="wnioski"/>
    <w:basedOn w:val="Akapitzlist"/>
    <w:link w:val="wnioskiZnak"/>
    <w:qFormat/>
    <w:rsid w:val="00332EAF"/>
    <w:pPr>
      <w:numPr>
        <w:numId w:val="36"/>
      </w:numPr>
      <w:spacing w:before="120" w:after="120" w:line="276" w:lineRule="auto"/>
      <w:ind w:left="567" w:hanging="357"/>
      <w:contextualSpacing w:val="0"/>
      <w:jc w:val="both"/>
    </w:pPr>
    <w:rPr>
      <w:rFonts w:ascii="Arial" w:eastAsia="Arial" w:hAnsi="Arial" w:cs="Arial"/>
    </w:rPr>
  </w:style>
  <w:style w:type="character" w:customStyle="1" w:styleId="wnioskiZnak">
    <w:name w:val="wnioski Znak"/>
    <w:basedOn w:val="Domylnaczcionkaakapitu"/>
    <w:link w:val="wnioski"/>
    <w:rsid w:val="00332EAF"/>
    <w:rPr>
      <w:rFonts w:ascii="Arial" w:eastAsia="Arial" w:hAnsi="Arial" w:cs="Arial"/>
    </w:rPr>
  </w:style>
  <w:style w:type="character" w:customStyle="1" w:styleId="Nierozpoznanawzmianka1">
    <w:name w:val="Nierozpoznana wzmianka1"/>
    <w:basedOn w:val="Domylnaczcionkaakapitu"/>
    <w:uiPriority w:val="99"/>
    <w:semiHidden/>
    <w:unhideWhenUsed/>
    <w:rsid w:val="00073B8D"/>
    <w:rPr>
      <w:color w:val="605E5C"/>
      <w:shd w:val="clear" w:color="auto" w:fill="E1DFDD"/>
    </w:rPr>
  </w:style>
  <w:style w:type="character" w:customStyle="1" w:styleId="AkapitzlistZnak">
    <w:name w:val="Akapit z listą Znak"/>
    <w:aliases w:val="Numerowanie Znak,A_wyliczenie Znak,K-P_odwolanie Znak,Akapit z listą5 Znak,maz_wyliczenie Znak,opis dzialania Znak,List Paragraph compact Znak,Normal bullet 2 Znak,Paragraphe de liste 2 Znak,Reference list Znak,Bullet list Znak"/>
    <w:basedOn w:val="Domylnaczcionkaakapitu"/>
    <w:link w:val="Akapitzlist"/>
    <w:uiPriority w:val="34"/>
    <w:locked/>
    <w:rsid w:val="00437CE3"/>
    <w:rPr>
      <w:rFonts w:ascii="Trebuchet MS" w:eastAsia="Trebuchet MS" w:hAnsi="Trebuchet MS" w:cs="Trebuchet MS"/>
    </w:rPr>
  </w:style>
  <w:style w:type="paragraph" w:styleId="NormalnyWeb">
    <w:name w:val="Normal (Web)"/>
    <w:basedOn w:val="Normalny"/>
    <w:uiPriority w:val="99"/>
    <w:unhideWhenUsed/>
    <w:rsid w:val="0040437C"/>
    <w:pPr>
      <w:widowControl/>
      <w:autoSpaceDE/>
      <w:autoSpaceDN/>
      <w:spacing w:before="100" w:beforeAutospacing="1" w:after="100" w:afterAutospacing="1"/>
    </w:pPr>
    <w:rPr>
      <w:rFonts w:ascii="Times New Roman" w:eastAsia="Times New Roman" w:hAnsi="Times New Roman" w:cs="Times New Roman"/>
      <w:sz w:val="24"/>
      <w:szCs w:val="24"/>
      <w:lang w:eastAsia="pl-PL"/>
    </w:rPr>
  </w:style>
  <w:style w:type="character" w:styleId="Nierozpoznanawzmianka">
    <w:name w:val="Unresolved Mention"/>
    <w:basedOn w:val="Domylnaczcionkaakapitu"/>
    <w:uiPriority w:val="99"/>
    <w:semiHidden/>
    <w:unhideWhenUsed/>
    <w:rsid w:val="00D52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754111">
      <w:bodyDiv w:val="1"/>
      <w:marLeft w:val="0"/>
      <w:marRight w:val="0"/>
      <w:marTop w:val="0"/>
      <w:marBottom w:val="0"/>
      <w:divBdr>
        <w:top w:val="none" w:sz="0" w:space="0" w:color="auto"/>
        <w:left w:val="none" w:sz="0" w:space="0" w:color="auto"/>
        <w:bottom w:val="none" w:sz="0" w:space="0" w:color="auto"/>
        <w:right w:val="none" w:sz="0" w:space="0" w:color="auto"/>
      </w:divBdr>
    </w:div>
    <w:div w:id="202057742">
      <w:bodyDiv w:val="1"/>
      <w:marLeft w:val="0"/>
      <w:marRight w:val="0"/>
      <w:marTop w:val="0"/>
      <w:marBottom w:val="0"/>
      <w:divBdr>
        <w:top w:val="none" w:sz="0" w:space="0" w:color="auto"/>
        <w:left w:val="none" w:sz="0" w:space="0" w:color="auto"/>
        <w:bottom w:val="none" w:sz="0" w:space="0" w:color="auto"/>
        <w:right w:val="none" w:sz="0" w:space="0" w:color="auto"/>
      </w:divBdr>
    </w:div>
    <w:div w:id="211573984">
      <w:bodyDiv w:val="1"/>
      <w:marLeft w:val="0"/>
      <w:marRight w:val="0"/>
      <w:marTop w:val="0"/>
      <w:marBottom w:val="0"/>
      <w:divBdr>
        <w:top w:val="none" w:sz="0" w:space="0" w:color="auto"/>
        <w:left w:val="none" w:sz="0" w:space="0" w:color="auto"/>
        <w:bottom w:val="none" w:sz="0" w:space="0" w:color="auto"/>
        <w:right w:val="none" w:sz="0" w:space="0" w:color="auto"/>
      </w:divBdr>
    </w:div>
    <w:div w:id="286007593">
      <w:bodyDiv w:val="1"/>
      <w:marLeft w:val="0"/>
      <w:marRight w:val="0"/>
      <w:marTop w:val="0"/>
      <w:marBottom w:val="0"/>
      <w:divBdr>
        <w:top w:val="none" w:sz="0" w:space="0" w:color="auto"/>
        <w:left w:val="none" w:sz="0" w:space="0" w:color="auto"/>
        <w:bottom w:val="none" w:sz="0" w:space="0" w:color="auto"/>
        <w:right w:val="none" w:sz="0" w:space="0" w:color="auto"/>
      </w:divBdr>
    </w:div>
    <w:div w:id="308095596">
      <w:bodyDiv w:val="1"/>
      <w:marLeft w:val="0"/>
      <w:marRight w:val="0"/>
      <w:marTop w:val="0"/>
      <w:marBottom w:val="0"/>
      <w:divBdr>
        <w:top w:val="none" w:sz="0" w:space="0" w:color="auto"/>
        <w:left w:val="none" w:sz="0" w:space="0" w:color="auto"/>
        <w:bottom w:val="none" w:sz="0" w:space="0" w:color="auto"/>
        <w:right w:val="none" w:sz="0" w:space="0" w:color="auto"/>
      </w:divBdr>
    </w:div>
    <w:div w:id="309556475">
      <w:bodyDiv w:val="1"/>
      <w:marLeft w:val="0"/>
      <w:marRight w:val="0"/>
      <w:marTop w:val="0"/>
      <w:marBottom w:val="0"/>
      <w:divBdr>
        <w:top w:val="none" w:sz="0" w:space="0" w:color="auto"/>
        <w:left w:val="none" w:sz="0" w:space="0" w:color="auto"/>
        <w:bottom w:val="none" w:sz="0" w:space="0" w:color="auto"/>
        <w:right w:val="none" w:sz="0" w:space="0" w:color="auto"/>
      </w:divBdr>
    </w:div>
    <w:div w:id="520704176">
      <w:bodyDiv w:val="1"/>
      <w:marLeft w:val="0"/>
      <w:marRight w:val="0"/>
      <w:marTop w:val="0"/>
      <w:marBottom w:val="0"/>
      <w:divBdr>
        <w:top w:val="none" w:sz="0" w:space="0" w:color="auto"/>
        <w:left w:val="none" w:sz="0" w:space="0" w:color="auto"/>
        <w:bottom w:val="none" w:sz="0" w:space="0" w:color="auto"/>
        <w:right w:val="none" w:sz="0" w:space="0" w:color="auto"/>
      </w:divBdr>
    </w:div>
    <w:div w:id="785851919">
      <w:bodyDiv w:val="1"/>
      <w:marLeft w:val="0"/>
      <w:marRight w:val="0"/>
      <w:marTop w:val="0"/>
      <w:marBottom w:val="0"/>
      <w:divBdr>
        <w:top w:val="none" w:sz="0" w:space="0" w:color="auto"/>
        <w:left w:val="none" w:sz="0" w:space="0" w:color="auto"/>
        <w:bottom w:val="none" w:sz="0" w:space="0" w:color="auto"/>
        <w:right w:val="none" w:sz="0" w:space="0" w:color="auto"/>
      </w:divBdr>
    </w:div>
    <w:div w:id="1167666983">
      <w:bodyDiv w:val="1"/>
      <w:marLeft w:val="0"/>
      <w:marRight w:val="0"/>
      <w:marTop w:val="0"/>
      <w:marBottom w:val="0"/>
      <w:divBdr>
        <w:top w:val="none" w:sz="0" w:space="0" w:color="auto"/>
        <w:left w:val="none" w:sz="0" w:space="0" w:color="auto"/>
        <w:bottom w:val="none" w:sz="0" w:space="0" w:color="auto"/>
        <w:right w:val="none" w:sz="0" w:space="0" w:color="auto"/>
      </w:divBdr>
    </w:div>
    <w:div w:id="1191845251">
      <w:bodyDiv w:val="1"/>
      <w:marLeft w:val="0"/>
      <w:marRight w:val="0"/>
      <w:marTop w:val="0"/>
      <w:marBottom w:val="0"/>
      <w:divBdr>
        <w:top w:val="none" w:sz="0" w:space="0" w:color="auto"/>
        <w:left w:val="none" w:sz="0" w:space="0" w:color="auto"/>
        <w:bottom w:val="none" w:sz="0" w:space="0" w:color="auto"/>
        <w:right w:val="none" w:sz="0" w:space="0" w:color="auto"/>
      </w:divBdr>
    </w:div>
    <w:div w:id="1363441322">
      <w:bodyDiv w:val="1"/>
      <w:marLeft w:val="0"/>
      <w:marRight w:val="0"/>
      <w:marTop w:val="0"/>
      <w:marBottom w:val="0"/>
      <w:divBdr>
        <w:top w:val="none" w:sz="0" w:space="0" w:color="auto"/>
        <w:left w:val="none" w:sz="0" w:space="0" w:color="auto"/>
        <w:bottom w:val="none" w:sz="0" w:space="0" w:color="auto"/>
        <w:right w:val="none" w:sz="0" w:space="0" w:color="auto"/>
      </w:divBdr>
    </w:div>
    <w:div w:id="1373070359">
      <w:bodyDiv w:val="1"/>
      <w:marLeft w:val="0"/>
      <w:marRight w:val="0"/>
      <w:marTop w:val="0"/>
      <w:marBottom w:val="0"/>
      <w:divBdr>
        <w:top w:val="none" w:sz="0" w:space="0" w:color="auto"/>
        <w:left w:val="none" w:sz="0" w:space="0" w:color="auto"/>
        <w:bottom w:val="none" w:sz="0" w:space="0" w:color="auto"/>
        <w:right w:val="none" w:sz="0" w:space="0" w:color="auto"/>
      </w:divBdr>
    </w:div>
    <w:div w:id="1459950713">
      <w:bodyDiv w:val="1"/>
      <w:marLeft w:val="0"/>
      <w:marRight w:val="0"/>
      <w:marTop w:val="0"/>
      <w:marBottom w:val="0"/>
      <w:divBdr>
        <w:top w:val="none" w:sz="0" w:space="0" w:color="auto"/>
        <w:left w:val="none" w:sz="0" w:space="0" w:color="auto"/>
        <w:bottom w:val="none" w:sz="0" w:space="0" w:color="auto"/>
        <w:right w:val="none" w:sz="0" w:space="0" w:color="auto"/>
      </w:divBdr>
    </w:div>
    <w:div w:id="1568300584">
      <w:bodyDiv w:val="1"/>
      <w:marLeft w:val="0"/>
      <w:marRight w:val="0"/>
      <w:marTop w:val="0"/>
      <w:marBottom w:val="0"/>
      <w:divBdr>
        <w:top w:val="none" w:sz="0" w:space="0" w:color="auto"/>
        <w:left w:val="none" w:sz="0" w:space="0" w:color="auto"/>
        <w:bottom w:val="none" w:sz="0" w:space="0" w:color="auto"/>
        <w:right w:val="none" w:sz="0" w:space="0" w:color="auto"/>
      </w:divBdr>
    </w:div>
    <w:div w:id="1776290322">
      <w:bodyDiv w:val="1"/>
      <w:marLeft w:val="0"/>
      <w:marRight w:val="0"/>
      <w:marTop w:val="0"/>
      <w:marBottom w:val="0"/>
      <w:divBdr>
        <w:top w:val="none" w:sz="0" w:space="0" w:color="auto"/>
        <w:left w:val="none" w:sz="0" w:space="0" w:color="auto"/>
        <w:bottom w:val="none" w:sz="0" w:space="0" w:color="auto"/>
        <w:right w:val="none" w:sz="0" w:space="0" w:color="auto"/>
      </w:divBdr>
    </w:div>
    <w:div w:id="1843739217">
      <w:bodyDiv w:val="1"/>
      <w:marLeft w:val="0"/>
      <w:marRight w:val="0"/>
      <w:marTop w:val="0"/>
      <w:marBottom w:val="0"/>
      <w:divBdr>
        <w:top w:val="none" w:sz="0" w:space="0" w:color="auto"/>
        <w:left w:val="none" w:sz="0" w:space="0" w:color="auto"/>
        <w:bottom w:val="none" w:sz="0" w:space="0" w:color="auto"/>
        <w:right w:val="none" w:sz="0" w:space="0" w:color="auto"/>
      </w:divBdr>
    </w:div>
    <w:div w:id="1913999176">
      <w:bodyDiv w:val="1"/>
      <w:marLeft w:val="0"/>
      <w:marRight w:val="0"/>
      <w:marTop w:val="0"/>
      <w:marBottom w:val="0"/>
      <w:divBdr>
        <w:top w:val="none" w:sz="0" w:space="0" w:color="auto"/>
        <w:left w:val="none" w:sz="0" w:space="0" w:color="auto"/>
        <w:bottom w:val="none" w:sz="0" w:space="0" w:color="auto"/>
        <w:right w:val="none" w:sz="0" w:space="0" w:color="auto"/>
      </w:divBdr>
    </w:div>
    <w:div w:id="2025398677">
      <w:bodyDiv w:val="1"/>
      <w:marLeft w:val="0"/>
      <w:marRight w:val="0"/>
      <w:marTop w:val="0"/>
      <w:marBottom w:val="0"/>
      <w:divBdr>
        <w:top w:val="none" w:sz="0" w:space="0" w:color="auto"/>
        <w:left w:val="none" w:sz="0" w:space="0" w:color="auto"/>
        <w:bottom w:val="none" w:sz="0" w:space="0" w:color="auto"/>
        <w:right w:val="none" w:sz="0" w:space="0" w:color="auto"/>
      </w:divBdr>
    </w:div>
    <w:div w:id="2058124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image" Target="media/image4.png"/><Relationship Id="rId42" Type="http://schemas.openxmlformats.org/officeDocument/2006/relationships/chart" Target="charts/chart29.xml"/><Relationship Id="rId47" Type="http://schemas.openxmlformats.org/officeDocument/2006/relationships/image" Target="media/image7.jpeg"/><Relationship Id="rId63" Type="http://schemas.openxmlformats.org/officeDocument/2006/relationships/image" Target="media/image12.jpeg"/><Relationship Id="rId68" Type="http://schemas.openxmlformats.org/officeDocument/2006/relationships/image" Target="media/image13.png"/><Relationship Id="rId84" Type="http://schemas.openxmlformats.org/officeDocument/2006/relationships/chart" Target="charts/chart59.xml"/><Relationship Id="rId89" Type="http://schemas.openxmlformats.org/officeDocument/2006/relationships/image" Target="media/image19.png"/><Relationship Id="rId16" Type="http://schemas.openxmlformats.org/officeDocument/2006/relationships/chart" Target="charts/chart6.xml"/><Relationship Id="rId11" Type="http://schemas.openxmlformats.org/officeDocument/2006/relationships/chart" Target="charts/chart1.xml"/><Relationship Id="rId32" Type="http://schemas.openxmlformats.org/officeDocument/2006/relationships/chart" Target="charts/chart20.xml"/><Relationship Id="rId37" Type="http://schemas.openxmlformats.org/officeDocument/2006/relationships/chart" Target="charts/chart25.xml"/><Relationship Id="rId53" Type="http://schemas.openxmlformats.org/officeDocument/2006/relationships/chart" Target="charts/chart38.xml"/><Relationship Id="rId58" Type="http://schemas.openxmlformats.org/officeDocument/2006/relationships/chart" Target="charts/chart41.xml"/><Relationship Id="rId74" Type="http://schemas.openxmlformats.org/officeDocument/2006/relationships/chart" Target="charts/chart50.xml"/><Relationship Id="rId79" Type="http://schemas.openxmlformats.org/officeDocument/2006/relationships/image" Target="media/image17.png"/><Relationship Id="rId5" Type="http://schemas.openxmlformats.org/officeDocument/2006/relationships/webSettings" Target="webSettings.xml"/><Relationship Id="rId90" Type="http://schemas.openxmlformats.org/officeDocument/2006/relationships/chart" Target="charts/chart63.xml"/><Relationship Id="rId95" Type="http://schemas.openxmlformats.org/officeDocument/2006/relationships/footer" Target="footer1.xml"/><Relationship Id="rId22" Type="http://schemas.openxmlformats.org/officeDocument/2006/relationships/chart" Target="charts/chart11.xml"/><Relationship Id="rId27" Type="http://schemas.openxmlformats.org/officeDocument/2006/relationships/chart" Target="charts/chart16.xml"/><Relationship Id="rId43" Type="http://schemas.openxmlformats.org/officeDocument/2006/relationships/chart" Target="charts/chart30.xml"/><Relationship Id="rId48" Type="http://schemas.openxmlformats.org/officeDocument/2006/relationships/chart" Target="charts/chart34.xml"/><Relationship Id="rId64" Type="http://schemas.openxmlformats.org/officeDocument/2006/relationships/chart" Target="charts/chart44.xml"/><Relationship Id="rId69" Type="http://schemas.openxmlformats.org/officeDocument/2006/relationships/image" Target="media/image14.png"/><Relationship Id="rId80" Type="http://schemas.openxmlformats.org/officeDocument/2006/relationships/chart" Target="charts/chart55.xml"/><Relationship Id="rId85"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3.xml"/><Relationship Id="rId59" Type="http://schemas.openxmlformats.org/officeDocument/2006/relationships/chart" Target="charts/chart42.xml"/><Relationship Id="rId67" Type="http://schemas.openxmlformats.org/officeDocument/2006/relationships/chart" Target="charts/chart47.xml"/><Relationship Id="rId20" Type="http://schemas.openxmlformats.org/officeDocument/2006/relationships/chart" Target="charts/chart10.xml"/><Relationship Id="rId41" Type="http://schemas.openxmlformats.org/officeDocument/2006/relationships/image" Target="media/image6.jpeg"/><Relationship Id="rId54" Type="http://schemas.openxmlformats.org/officeDocument/2006/relationships/image" Target="media/image9.jpeg"/><Relationship Id="rId62" Type="http://schemas.openxmlformats.org/officeDocument/2006/relationships/hyperlink" Target="https://www.gov.pl/web/rolnictwo/produkty-regionalne-i-tradycyjne" TargetMode="External"/><Relationship Id="rId70" Type="http://schemas.openxmlformats.org/officeDocument/2006/relationships/image" Target="media/image15.png"/><Relationship Id="rId75" Type="http://schemas.openxmlformats.org/officeDocument/2006/relationships/chart" Target="charts/chart51.xml"/><Relationship Id="rId83" Type="http://schemas.openxmlformats.org/officeDocument/2006/relationships/chart" Target="charts/chart58.xml"/><Relationship Id="rId88" Type="http://schemas.openxmlformats.org/officeDocument/2006/relationships/chart" Target="charts/chart62.xml"/><Relationship Id="rId91" Type="http://schemas.openxmlformats.org/officeDocument/2006/relationships/chart" Target="charts/chart64.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4.xml"/><Relationship Id="rId49" Type="http://schemas.openxmlformats.org/officeDocument/2006/relationships/chart" Target="charts/chart35.xml"/><Relationship Id="rId57" Type="http://schemas.openxmlformats.org/officeDocument/2006/relationships/chart" Target="charts/chart40.xml"/><Relationship Id="rId10" Type="http://schemas.openxmlformats.org/officeDocument/2006/relationships/image" Target="media/image3.png"/><Relationship Id="rId31" Type="http://schemas.openxmlformats.org/officeDocument/2006/relationships/chart" Target="charts/chart19.xml"/><Relationship Id="rId44" Type="http://schemas.openxmlformats.org/officeDocument/2006/relationships/chart" Target="charts/chart31.xml"/><Relationship Id="rId52" Type="http://schemas.openxmlformats.org/officeDocument/2006/relationships/image" Target="media/image8.png"/><Relationship Id="rId60" Type="http://schemas.openxmlformats.org/officeDocument/2006/relationships/chart" Target="charts/chart43.xml"/><Relationship Id="rId65" Type="http://schemas.openxmlformats.org/officeDocument/2006/relationships/chart" Target="charts/chart45.xml"/><Relationship Id="rId73" Type="http://schemas.openxmlformats.org/officeDocument/2006/relationships/chart" Target="charts/chart49.xml"/><Relationship Id="rId78" Type="http://schemas.openxmlformats.org/officeDocument/2006/relationships/chart" Target="charts/chart54.xml"/><Relationship Id="rId81" Type="http://schemas.openxmlformats.org/officeDocument/2006/relationships/chart" Target="charts/chart56.xml"/><Relationship Id="rId86" Type="http://schemas.openxmlformats.org/officeDocument/2006/relationships/chart" Target="charts/chart60.xml"/><Relationship Id="rId94" Type="http://schemas.openxmlformats.org/officeDocument/2006/relationships/chart" Target="charts/chart67.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chart" Target="charts/chart27.xml"/><Relationship Id="rId34" Type="http://schemas.openxmlformats.org/officeDocument/2006/relationships/chart" Target="charts/chart22.xml"/><Relationship Id="rId50" Type="http://schemas.openxmlformats.org/officeDocument/2006/relationships/chart" Target="charts/chart36.xml"/><Relationship Id="rId55" Type="http://schemas.openxmlformats.org/officeDocument/2006/relationships/image" Target="media/image10.jpeg"/><Relationship Id="rId76" Type="http://schemas.openxmlformats.org/officeDocument/2006/relationships/chart" Target="charts/chart52.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6.png"/><Relationship Id="rId92" Type="http://schemas.openxmlformats.org/officeDocument/2006/relationships/chart" Target="charts/chart65.xml"/><Relationship Id="rId2" Type="http://schemas.openxmlformats.org/officeDocument/2006/relationships/numbering" Target="numbering.xml"/><Relationship Id="rId29" Type="http://schemas.openxmlformats.org/officeDocument/2006/relationships/chart" Target="charts/chart18.xml"/><Relationship Id="rId24" Type="http://schemas.openxmlformats.org/officeDocument/2006/relationships/chart" Target="charts/chart13.xml"/><Relationship Id="rId40" Type="http://schemas.openxmlformats.org/officeDocument/2006/relationships/chart" Target="charts/chart28.xml"/><Relationship Id="rId45" Type="http://schemas.openxmlformats.org/officeDocument/2006/relationships/chart" Target="charts/chart32.xml"/><Relationship Id="rId66" Type="http://schemas.openxmlformats.org/officeDocument/2006/relationships/chart" Target="charts/chart46.xml"/><Relationship Id="rId87" Type="http://schemas.openxmlformats.org/officeDocument/2006/relationships/chart" Target="charts/chart61.xml"/><Relationship Id="rId61" Type="http://schemas.openxmlformats.org/officeDocument/2006/relationships/image" Target="media/image11.png"/><Relationship Id="rId82" Type="http://schemas.openxmlformats.org/officeDocument/2006/relationships/chart" Target="charts/chart57.xml"/><Relationship Id="rId19" Type="http://schemas.openxmlformats.org/officeDocument/2006/relationships/chart" Target="charts/chart9.xml"/><Relationship Id="rId14" Type="http://schemas.openxmlformats.org/officeDocument/2006/relationships/chart" Target="charts/chart4.xml"/><Relationship Id="rId30" Type="http://schemas.openxmlformats.org/officeDocument/2006/relationships/image" Target="media/image5.png"/><Relationship Id="rId35" Type="http://schemas.openxmlformats.org/officeDocument/2006/relationships/chart" Target="charts/chart23.xml"/><Relationship Id="rId56" Type="http://schemas.openxmlformats.org/officeDocument/2006/relationships/chart" Target="charts/chart39.xml"/><Relationship Id="rId77" Type="http://schemas.openxmlformats.org/officeDocument/2006/relationships/chart" Target="charts/chart53.xml"/><Relationship Id="rId8" Type="http://schemas.openxmlformats.org/officeDocument/2006/relationships/image" Target="media/image1.jpeg"/><Relationship Id="rId51" Type="http://schemas.openxmlformats.org/officeDocument/2006/relationships/chart" Target="charts/chart37.xml"/><Relationship Id="rId72" Type="http://schemas.openxmlformats.org/officeDocument/2006/relationships/chart" Target="charts/chart48.xml"/><Relationship Id="rId93" Type="http://schemas.openxmlformats.org/officeDocument/2006/relationships/chart" Target="charts/chart66.xml"/></Relationships>
</file>

<file path=word/_rels/footnotes.xml.rels><?xml version="1.0" encoding="UTF-8" standalone="yes"?>
<Relationships xmlns="http://schemas.openxmlformats.org/package/2006/relationships"><Relationship Id="rId3" Type="http://schemas.openxmlformats.org/officeDocument/2006/relationships/hyperlink" Target="https://pojazdy.prz.edu.pl/" TargetMode="External"/><Relationship Id="rId7" Type="http://schemas.openxmlformats.org/officeDocument/2006/relationships/hyperlink" Target="http://www.stiglitz-sen-fitoussi.fr/en/index.htm" TargetMode="External"/><Relationship Id="rId2" Type="http://schemas.openxmlformats.org/officeDocument/2006/relationships/hyperlink" Target="http://www.klasterlotniczy.pl/" TargetMode="External"/><Relationship Id="rId1" Type="http://schemas.openxmlformats.org/officeDocument/2006/relationships/hyperlink" Target="https://www.dolinalotnicza.pl/o-nas/" TargetMode="External"/><Relationship Id="rId6" Type="http://schemas.openxmlformats.org/officeDocument/2006/relationships/hyperlink" Target="https://klasterit.pl/czlonkowie/" TargetMode="External"/><Relationship Id="rId5" Type="http://schemas.openxmlformats.org/officeDocument/2006/relationships/hyperlink" Target="https://pl.asseco.com/aktualnosci/asseco-najwieksza-firma-it-w-rankingu-rzeczpospolitej-5182/" TargetMode="External"/><Relationship Id="rId4" Type="http://schemas.openxmlformats.org/officeDocument/2006/relationships/hyperlink" Target="http://eaa-wsm.pl/index.php/pamisz/"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l.magon\AppData\Local\Temp\Temp2_DANE.zip\DANE\cz_I\naklady%20b%20plus%20r%20do%20PKB.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3" Type="http://schemas.openxmlformats.org/officeDocument/2006/relationships/oleObject" Target="Wykres%20w%20programie%20Microsoft%20Word"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Wykres%20w%20programie%20Microsoft%20Word"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l.magon\Desktop\Wiod&#261;ce%20bran&#380;e_wykresy\Kopia%20sprzeda&#380;_detaliczn_hurtowa_motroryzacja_podkarpackie.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k.wojturski\Desktop\RR\Badania\Wiod&#261;ce%20bran&#380;e\Informacja%20i%20telekomunikacja\Informacja%20i%20telekomunikacja\wynik%20-%20informacja%20i%20telekomunikacja.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C:\Users\k.wojturski\Desktop\RR\Badania\Wiod&#261;ce%20bran&#380;e\Informacja%20i%20telekomunikacja\Informacja%20i%20telekomunikacja\Za&#322;&#261;cznik%20nr%201_wg%20PKD.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C:\Users\k.wojturski\Desktop\RR\Badania\Wiod&#261;ce%20bran&#380;e\Informacja%20i%20telekomunikacja\Informacja%20i%20telekomunikacja\Za&#322;&#261;cznik%20nr%201_wg%20PKD.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C:\Users\k.wojturski\Desktop\RR\Badania\Wiod&#261;ce%20bran&#380;e\Informacja%20i%20telekomunikacja\Informacja%20i%20telekomunikacja\Za&#322;&#261;cznik%20nr%201_wg%20PKD.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C:\Users\k.wojturski\Desktop\RR\Badania\Wiod&#261;ce%20bran&#380;e\Informacja%20i%20telekomunikacja\Informacja%20i%20telekomunikacja\Za&#322;&#261;cznik%20nr%201_wg%20PKD.xlsx" TargetMode="External"/></Relationships>
</file>

<file path=word/charts/_rels/chart34.xml.rels><?xml version="1.0" encoding="UTF-8" standalone="yes"?>
<Relationships xmlns="http://schemas.openxmlformats.org/package/2006/relationships"><Relationship Id="rId3" Type="http://schemas.openxmlformats.org/officeDocument/2006/relationships/oleObject" Target="file:///C:\Users\k.wojturski\Desktop\RR\Badania\Wiod&#261;ce%20bran&#380;e\Informacja%20i%20telekomunikacja\Informacja%20i%20telekomunikacja\Za&#322;&#261;cznik%201_wg%20PKD.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k.wojturski\Desktop\RR\Badania\Wiod&#261;ce%20bran&#380;e\Informacja%20i%20telekomunikacja\Informacja%20i%20telekomunikacja\Za&#322;&#261;cznik%201_wg%20PKD.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k.wojturski\Desktop\RR\Badania\Wiod&#261;ce%20bran&#380;e\Informacja%20i%20telekomunikacja\Informacja%20i%20telekomunikacja\Za&#322;&#261;cznik%201_wg%20PKD.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k.wojturski\Desktop\RR\Badania\Wiod&#261;ce%20bran&#380;e\Informacja%20i%20telekomunikacja\Informacja%20i%20telekomunikacja\Za&#322;&#261;cznik%201_wg%20PKD.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40.xml.rels><?xml version="1.0" encoding="UTF-8" standalone="yes"?>
<Relationships xmlns="http://schemas.openxmlformats.org/package/2006/relationships"><Relationship Id="rId3" Type="http://schemas.openxmlformats.org/officeDocument/2006/relationships/oleObject" Target="file:///C:\Users\w.pelc\Downloads\LUDN_2730_XTAB_20240116083654.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embeddings/oleObject9.bin"/></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embeddings/oleObject10.bin"/></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embeddings/oleObject11.bin"/></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package" Target="../embeddings/Microsoft_Excel_Worksheet26.xlsx"/></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package" Target="../embeddings/Microsoft_Excel_Worksheet27.xlsx"/></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package" Target="../embeddings/Microsoft_Excel_Worksheet28.xlsx"/></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package" Target="../embeddings/Microsoft_Excel_Worksheet29.xlsx"/></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package" Target="../embeddings/Microsoft_Excel_Worksheet30.xlsx"/></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package" Target="../embeddings/Microsoft_Excel_Worksheet31.xlsx"/></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oleObject" Target="file:///C:\Users\l.magon\Desktop\Wiod&#261;ce%20bran&#380;e_wykresy\wiod&#261;ce%20bran&#380;e_2017-2021_wyniki%20finansowe.xlsx" TargetMode="Externa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package" Target="../embeddings/Microsoft_Excel_Worksheet32.xlsx"/></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package" Target="../embeddings/Microsoft_Excel_Worksheet33.xlsx"/></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package" Target="../embeddings/Microsoft_Excel_Worksheet34.xlsx"/></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package" Target="../embeddings/Microsoft_Excel_Worksheet35.xlsx"/></Relationships>
</file>

<file path=word/charts/_rels/chart63.xml.rels><?xml version="1.0" encoding="UTF-8" standalone="yes"?>
<Relationships xmlns="http://schemas.openxmlformats.org/package/2006/relationships"><Relationship Id="rId3" Type="http://schemas.openxmlformats.org/officeDocument/2006/relationships/oleObject" Target="file:///C:\Users\l.magon\Desktop\Wiod&#261;ce%20bran&#380;e_wykresy\wiod&#261;ce%20bran&#380;e_2017-2021_wyniki%20finansowe.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file:///C:\Users\l.magon\Desktop\Wiod&#261;ce%20bran&#380;e_wykresy\wiod&#261;ce%20bran&#380;e_2017-2021_wyniki%20finansowe.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67.xml"/><Relationship Id="rId1" Type="http://schemas.microsoft.com/office/2011/relationships/chartStyle" Target="style67.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483814523184598E-2"/>
          <c:y val="9.7222222222222224E-2"/>
          <c:w val="0.88396062992125979"/>
          <c:h val="0.68389617964421101"/>
        </c:manualLayout>
      </c:layout>
      <c:lineChart>
        <c:grouping val="standard"/>
        <c:varyColors val="0"/>
        <c:ser>
          <c:idx val="0"/>
          <c:order val="0"/>
          <c:tx>
            <c:strRef>
              <c:f>TABLICA!$B$24</c:f>
              <c:strCache>
                <c:ptCount val="1"/>
                <c:pt idx="0">
                  <c:v>Polska</c:v>
                </c:pt>
              </c:strCache>
            </c:strRef>
          </c:tx>
          <c:spPr>
            <a:ln w="28575" cap="rnd">
              <a:solidFill>
                <a:schemeClr val="accent1"/>
              </a:solidFill>
              <a:round/>
            </a:ln>
            <a:effectLst/>
          </c:spPr>
          <c:marker>
            <c:symbol val="none"/>
          </c:marker>
          <c:cat>
            <c:strRef>
              <c:f>TABLICA!$C$23:$H$23</c:f>
              <c:strCache>
                <c:ptCount val="6"/>
                <c:pt idx="0">
                  <c:v>2017</c:v>
                </c:pt>
                <c:pt idx="1">
                  <c:v>2018</c:v>
                </c:pt>
                <c:pt idx="2">
                  <c:v>2019</c:v>
                </c:pt>
                <c:pt idx="3">
                  <c:v>2020</c:v>
                </c:pt>
                <c:pt idx="4">
                  <c:v>2021</c:v>
                </c:pt>
                <c:pt idx="5">
                  <c:v>2022</c:v>
                </c:pt>
              </c:strCache>
            </c:strRef>
          </c:cat>
          <c:val>
            <c:numRef>
              <c:f>TABLICA!$C$24:$H$24</c:f>
              <c:numCache>
                <c:formatCode>#,##0.00</c:formatCode>
                <c:ptCount val="6"/>
                <c:pt idx="0">
                  <c:v>1.03</c:v>
                </c:pt>
                <c:pt idx="1">
                  <c:v>1.21</c:v>
                </c:pt>
                <c:pt idx="2">
                  <c:v>1.32</c:v>
                </c:pt>
                <c:pt idx="3">
                  <c:v>1.39</c:v>
                </c:pt>
                <c:pt idx="4">
                  <c:v>1.43</c:v>
                </c:pt>
                <c:pt idx="5">
                  <c:v>1.46</c:v>
                </c:pt>
              </c:numCache>
            </c:numRef>
          </c:val>
          <c:smooth val="0"/>
          <c:extLst>
            <c:ext xmlns:c16="http://schemas.microsoft.com/office/drawing/2014/chart" uri="{C3380CC4-5D6E-409C-BE32-E72D297353CC}">
              <c16:uniqueId val="{00000000-1CB9-4347-ABB7-9C47A2B9FA9C}"/>
            </c:ext>
          </c:extLst>
        </c:ser>
        <c:ser>
          <c:idx val="1"/>
          <c:order val="1"/>
          <c:tx>
            <c:strRef>
              <c:f>TABLICA!$B$25</c:f>
              <c:strCache>
                <c:ptCount val="1"/>
                <c:pt idx="0">
                  <c:v>woj. podkarpackie</c:v>
                </c:pt>
              </c:strCache>
            </c:strRef>
          </c:tx>
          <c:spPr>
            <a:ln w="28575" cap="rnd">
              <a:solidFill>
                <a:schemeClr val="accent2"/>
              </a:solidFill>
              <a:round/>
            </a:ln>
            <a:effectLst/>
          </c:spPr>
          <c:marker>
            <c:symbol val="none"/>
          </c:marker>
          <c:cat>
            <c:strRef>
              <c:f>TABLICA!$C$23:$H$23</c:f>
              <c:strCache>
                <c:ptCount val="6"/>
                <c:pt idx="0">
                  <c:v>2017</c:v>
                </c:pt>
                <c:pt idx="1">
                  <c:v>2018</c:v>
                </c:pt>
                <c:pt idx="2">
                  <c:v>2019</c:v>
                </c:pt>
                <c:pt idx="3">
                  <c:v>2020</c:v>
                </c:pt>
                <c:pt idx="4">
                  <c:v>2021</c:v>
                </c:pt>
                <c:pt idx="5">
                  <c:v>2022</c:v>
                </c:pt>
              </c:strCache>
            </c:strRef>
          </c:cat>
          <c:val>
            <c:numRef>
              <c:f>TABLICA!$C$25:$H$25</c:f>
              <c:numCache>
                <c:formatCode>#,##0.00</c:formatCode>
                <c:ptCount val="6"/>
                <c:pt idx="0">
                  <c:v>1.03</c:v>
                </c:pt>
                <c:pt idx="1">
                  <c:v>1.1000000000000001</c:v>
                </c:pt>
                <c:pt idx="2">
                  <c:v>1.2</c:v>
                </c:pt>
                <c:pt idx="3">
                  <c:v>1.29</c:v>
                </c:pt>
                <c:pt idx="4">
                  <c:v>1.28</c:v>
                </c:pt>
                <c:pt idx="5">
                  <c:v>1.18</c:v>
                </c:pt>
              </c:numCache>
            </c:numRef>
          </c:val>
          <c:smooth val="0"/>
          <c:extLst>
            <c:ext xmlns:c16="http://schemas.microsoft.com/office/drawing/2014/chart" uri="{C3380CC4-5D6E-409C-BE32-E72D297353CC}">
              <c16:uniqueId val="{00000001-1CB9-4347-ABB7-9C47A2B9FA9C}"/>
            </c:ext>
          </c:extLst>
        </c:ser>
        <c:dLbls>
          <c:showLegendKey val="0"/>
          <c:showVal val="0"/>
          <c:showCatName val="0"/>
          <c:showSerName val="0"/>
          <c:showPercent val="0"/>
          <c:showBubbleSize val="0"/>
        </c:dLbls>
        <c:smooth val="0"/>
        <c:axId val="522195664"/>
        <c:axId val="522193704"/>
      </c:lineChart>
      <c:catAx>
        <c:axId val="522195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t>%</a:t>
                </a:r>
              </a:p>
            </c:rich>
          </c:tx>
          <c:layout>
            <c:manualLayout>
              <c:xMode val="edge"/>
              <c:yMode val="edge"/>
              <c:x val="6.4755686789151362E-2"/>
              <c:y val="4.2585301837270344E-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522193704"/>
        <c:crosses val="autoZero"/>
        <c:auto val="1"/>
        <c:lblAlgn val="ctr"/>
        <c:lblOffset val="100"/>
        <c:noMultiLvlLbl val="0"/>
      </c:catAx>
      <c:valAx>
        <c:axId val="522193704"/>
        <c:scaling>
          <c:orientation val="minMax"/>
          <c:min val="0.60000000000000009"/>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52219566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sz="1000"/>
              <a:t>%</a:t>
            </a:r>
          </a:p>
        </c:rich>
      </c:tx>
      <c:layout>
        <c:manualLayout>
          <c:xMode val="edge"/>
          <c:yMode val="edge"/>
          <c:x val="5.838844148276532E-2"/>
          <c:y val="5.0925925925925923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lineChart>
        <c:grouping val="standard"/>
        <c:varyColors val="0"/>
        <c:ser>
          <c:idx val="0"/>
          <c:order val="0"/>
          <c:tx>
            <c:strRef>
              <c:f>TABLICA!$B$8</c:f>
              <c:strCache>
                <c:ptCount val="1"/>
                <c:pt idx="0">
                  <c:v>Polska</c:v>
                </c:pt>
              </c:strCache>
            </c:strRef>
          </c:tx>
          <c:spPr>
            <a:ln w="28575" cap="rnd">
              <a:solidFill>
                <a:schemeClr val="accent1"/>
              </a:solidFill>
              <a:round/>
            </a:ln>
            <a:effectLst/>
          </c:spPr>
          <c:marker>
            <c:symbol val="none"/>
          </c:marker>
          <c:cat>
            <c:strRef>
              <c:f>TABLICA!$C$7:$H$7</c:f>
              <c:strCache>
                <c:ptCount val="6"/>
                <c:pt idx="0">
                  <c:v>2017</c:v>
                </c:pt>
                <c:pt idx="1">
                  <c:v>2018</c:v>
                </c:pt>
                <c:pt idx="2">
                  <c:v>2019</c:v>
                </c:pt>
                <c:pt idx="3">
                  <c:v>2020</c:v>
                </c:pt>
                <c:pt idx="4">
                  <c:v>2021</c:v>
                </c:pt>
                <c:pt idx="5">
                  <c:v>2022</c:v>
                </c:pt>
              </c:strCache>
            </c:strRef>
          </c:cat>
          <c:val>
            <c:numRef>
              <c:f>TABLICA!$C$8:$H$8</c:f>
              <c:numCache>
                <c:formatCode>General</c:formatCode>
                <c:ptCount val="6"/>
                <c:pt idx="0">
                  <c:v>8.6999999999999993</c:v>
                </c:pt>
                <c:pt idx="1">
                  <c:v>21</c:v>
                </c:pt>
                <c:pt idx="2">
                  <c:v>20.5</c:v>
                </c:pt>
                <c:pt idx="3">
                  <c:v>14.3</c:v>
                </c:pt>
                <c:pt idx="4">
                  <c:v>12.8</c:v>
                </c:pt>
                <c:pt idx="5">
                  <c:v>10.4</c:v>
                </c:pt>
              </c:numCache>
            </c:numRef>
          </c:val>
          <c:smooth val="0"/>
          <c:extLst>
            <c:ext xmlns:c16="http://schemas.microsoft.com/office/drawing/2014/chart" uri="{C3380CC4-5D6E-409C-BE32-E72D297353CC}">
              <c16:uniqueId val="{00000000-3F80-4BDD-8FD1-F1D8F2D39C01}"/>
            </c:ext>
          </c:extLst>
        </c:ser>
        <c:ser>
          <c:idx val="1"/>
          <c:order val="1"/>
          <c:tx>
            <c:strRef>
              <c:f>TABLICA!$B$9</c:f>
              <c:strCache>
                <c:ptCount val="1"/>
                <c:pt idx="0">
                  <c:v>woj. podkarpackie</c:v>
                </c:pt>
              </c:strCache>
            </c:strRef>
          </c:tx>
          <c:spPr>
            <a:ln w="28575" cap="rnd">
              <a:solidFill>
                <a:schemeClr val="accent2"/>
              </a:solidFill>
              <a:round/>
            </a:ln>
            <a:effectLst/>
          </c:spPr>
          <c:marker>
            <c:symbol val="none"/>
          </c:marker>
          <c:cat>
            <c:strRef>
              <c:f>TABLICA!$C$7:$H$7</c:f>
              <c:strCache>
                <c:ptCount val="6"/>
                <c:pt idx="0">
                  <c:v>2017</c:v>
                </c:pt>
                <c:pt idx="1">
                  <c:v>2018</c:v>
                </c:pt>
                <c:pt idx="2">
                  <c:v>2019</c:v>
                </c:pt>
                <c:pt idx="3">
                  <c:v>2020</c:v>
                </c:pt>
                <c:pt idx="4">
                  <c:v>2021</c:v>
                </c:pt>
                <c:pt idx="5">
                  <c:v>2022</c:v>
                </c:pt>
              </c:strCache>
            </c:strRef>
          </c:cat>
          <c:val>
            <c:numRef>
              <c:f>TABLICA!$C$9:$H$9</c:f>
              <c:numCache>
                <c:formatCode>General</c:formatCode>
                <c:ptCount val="6"/>
                <c:pt idx="0">
                  <c:v>11.6</c:v>
                </c:pt>
                <c:pt idx="1">
                  <c:v>32.799999999999997</c:v>
                </c:pt>
                <c:pt idx="2">
                  <c:v>35.299999999999997</c:v>
                </c:pt>
                <c:pt idx="3">
                  <c:v>19.7</c:v>
                </c:pt>
                <c:pt idx="4">
                  <c:v>22.8</c:v>
                </c:pt>
                <c:pt idx="5">
                  <c:v>12</c:v>
                </c:pt>
              </c:numCache>
            </c:numRef>
          </c:val>
          <c:smooth val="0"/>
          <c:extLst>
            <c:ext xmlns:c16="http://schemas.microsoft.com/office/drawing/2014/chart" uri="{C3380CC4-5D6E-409C-BE32-E72D297353CC}">
              <c16:uniqueId val="{00000001-3F80-4BDD-8FD1-F1D8F2D39C01}"/>
            </c:ext>
          </c:extLst>
        </c:ser>
        <c:dLbls>
          <c:showLegendKey val="0"/>
          <c:showVal val="0"/>
          <c:showCatName val="0"/>
          <c:showSerName val="0"/>
          <c:showPercent val="0"/>
          <c:showBubbleSize val="0"/>
        </c:dLbls>
        <c:smooth val="0"/>
        <c:axId val="522203112"/>
        <c:axId val="631541712"/>
      </c:lineChart>
      <c:catAx>
        <c:axId val="522203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31541712"/>
        <c:crosses val="autoZero"/>
        <c:auto val="1"/>
        <c:lblAlgn val="ctr"/>
        <c:lblOffset val="100"/>
        <c:noMultiLvlLbl val="0"/>
      </c:catAx>
      <c:valAx>
        <c:axId val="6315417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522203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sz="1000"/>
              <a:t>w mln zł                                                                                   %</a:t>
            </a:r>
          </a:p>
        </c:rich>
      </c:tx>
      <c:layout>
        <c:manualLayout>
          <c:xMode val="edge"/>
          <c:yMode val="edge"/>
          <c:x val="0.12747222222222221"/>
          <c:y val="5.0925925925925923E-2"/>
        </c:manualLayout>
      </c:layout>
      <c:overlay val="0"/>
      <c:spPr>
        <a:noFill/>
        <a:ln>
          <a:noFill/>
        </a:ln>
        <a:effectLst/>
      </c:spPr>
      <c:txPr>
        <a:bodyPr rot="0" spcFirstLastPara="1" vertOverflow="ellipsis" vert="horz" wrap="square" anchor="ctr" anchorCtr="1"/>
        <a:lstStyle/>
        <a:p>
          <a:pPr algn="ct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'[Wykres w programie Microsoft Word]Lotnictwo'!$D$51</c:f>
              <c:strCache>
                <c:ptCount val="1"/>
                <c:pt idx="0">
                  <c:v>Przychody z całokształtu działalności</c:v>
                </c:pt>
              </c:strCache>
            </c:strRef>
          </c:tx>
          <c:spPr>
            <a:solidFill>
              <a:schemeClr val="accent1"/>
            </a:solidFill>
            <a:ln>
              <a:noFill/>
            </a:ln>
            <a:effectLst/>
          </c:spPr>
          <c:invertIfNegative val="0"/>
          <c:cat>
            <c:numRef>
              <c:f>'[Wykres w programie Microsoft Word]Lotnictwo'!$C$52:$C$56</c:f>
              <c:numCache>
                <c:formatCode>General</c:formatCode>
                <c:ptCount val="5"/>
                <c:pt idx="0">
                  <c:v>2017</c:v>
                </c:pt>
                <c:pt idx="1">
                  <c:v>2018</c:v>
                </c:pt>
                <c:pt idx="2">
                  <c:v>2019</c:v>
                </c:pt>
                <c:pt idx="3">
                  <c:v>2020</c:v>
                </c:pt>
                <c:pt idx="4">
                  <c:v>2021</c:v>
                </c:pt>
              </c:numCache>
            </c:numRef>
          </c:cat>
          <c:val>
            <c:numRef>
              <c:f>'[Wykres w programie Microsoft Word]Lotnictwo'!$D$52:$D$56</c:f>
              <c:numCache>
                <c:formatCode>_(* #,##0.00_);_(* \(#,##0.00\);_(* "-"??_);_(@_)</c:formatCode>
                <c:ptCount val="5"/>
                <c:pt idx="0">
                  <c:v>8.6300000000000008</c:v>
                </c:pt>
                <c:pt idx="1">
                  <c:v>8.8000000000000007</c:v>
                </c:pt>
                <c:pt idx="2">
                  <c:v>9.7200000000000006</c:v>
                </c:pt>
                <c:pt idx="3">
                  <c:v>8.48</c:v>
                </c:pt>
                <c:pt idx="4">
                  <c:v>9.7100000000000009</c:v>
                </c:pt>
              </c:numCache>
            </c:numRef>
          </c:val>
          <c:extLst>
            <c:ext xmlns:c16="http://schemas.microsoft.com/office/drawing/2014/chart" uri="{C3380CC4-5D6E-409C-BE32-E72D297353CC}">
              <c16:uniqueId val="{00000000-4247-4F62-8DC5-844EF43D7509}"/>
            </c:ext>
          </c:extLst>
        </c:ser>
        <c:ser>
          <c:idx val="1"/>
          <c:order val="1"/>
          <c:tx>
            <c:strRef>
              <c:f>'[Wykres w programie Microsoft Word]Lotnictwo'!$E$51</c:f>
              <c:strCache>
                <c:ptCount val="1"/>
                <c:pt idx="0">
                  <c:v>Koszty uzyskania przychodów z całokształtu działalności</c:v>
                </c:pt>
              </c:strCache>
            </c:strRef>
          </c:tx>
          <c:spPr>
            <a:solidFill>
              <a:schemeClr val="accent2"/>
            </a:solidFill>
            <a:ln>
              <a:noFill/>
            </a:ln>
            <a:effectLst/>
          </c:spPr>
          <c:invertIfNegative val="0"/>
          <c:cat>
            <c:numRef>
              <c:f>'[Wykres w programie Microsoft Word]Lotnictwo'!$C$52:$C$56</c:f>
              <c:numCache>
                <c:formatCode>General</c:formatCode>
                <c:ptCount val="5"/>
                <c:pt idx="0">
                  <c:v>2017</c:v>
                </c:pt>
                <c:pt idx="1">
                  <c:v>2018</c:v>
                </c:pt>
                <c:pt idx="2">
                  <c:v>2019</c:v>
                </c:pt>
                <c:pt idx="3">
                  <c:v>2020</c:v>
                </c:pt>
                <c:pt idx="4">
                  <c:v>2021</c:v>
                </c:pt>
              </c:numCache>
            </c:numRef>
          </c:cat>
          <c:val>
            <c:numRef>
              <c:f>'[Wykres w programie Microsoft Word]Lotnictwo'!$E$52:$E$56</c:f>
              <c:numCache>
                <c:formatCode>_(* #,##0.00_);_(* \(#,##0.00\);_(* "-"??_);_(@_)</c:formatCode>
                <c:ptCount val="5"/>
                <c:pt idx="0">
                  <c:v>7.56</c:v>
                </c:pt>
                <c:pt idx="1">
                  <c:v>7.98</c:v>
                </c:pt>
                <c:pt idx="2">
                  <c:v>8.66</c:v>
                </c:pt>
                <c:pt idx="3">
                  <c:v>7.97</c:v>
                </c:pt>
                <c:pt idx="4">
                  <c:v>9.2100000000000009</c:v>
                </c:pt>
              </c:numCache>
            </c:numRef>
          </c:val>
          <c:extLst>
            <c:ext xmlns:c16="http://schemas.microsoft.com/office/drawing/2014/chart" uri="{C3380CC4-5D6E-409C-BE32-E72D297353CC}">
              <c16:uniqueId val="{00000001-4247-4F62-8DC5-844EF43D7509}"/>
            </c:ext>
          </c:extLst>
        </c:ser>
        <c:dLbls>
          <c:showLegendKey val="0"/>
          <c:showVal val="0"/>
          <c:showCatName val="0"/>
          <c:showSerName val="0"/>
          <c:showPercent val="0"/>
          <c:showBubbleSize val="0"/>
        </c:dLbls>
        <c:gapWidth val="219"/>
        <c:overlap val="-27"/>
        <c:axId val="631538968"/>
        <c:axId val="631539360"/>
      </c:barChart>
      <c:lineChart>
        <c:grouping val="standard"/>
        <c:varyColors val="0"/>
        <c:ser>
          <c:idx val="2"/>
          <c:order val="2"/>
          <c:tx>
            <c:strRef>
              <c:f>'[Wykres w programie Microsoft Word]Lotnictwo'!$F$51</c:f>
              <c:strCache>
                <c:ptCount val="1"/>
                <c:pt idx="0">
                  <c:v>Wskaźnik poziomu kosztów z całokształtu działalności</c:v>
                </c:pt>
              </c:strCache>
            </c:strRef>
          </c:tx>
          <c:spPr>
            <a:ln w="28575" cap="rnd">
              <a:solidFill>
                <a:schemeClr val="accent3"/>
              </a:solidFill>
              <a:round/>
            </a:ln>
            <a:effectLst/>
          </c:spPr>
          <c:marker>
            <c:symbol val="none"/>
          </c:marker>
          <c:cat>
            <c:numRef>
              <c:f>'[Wykres w programie Microsoft Word]Lotnictwo'!$C$52:$C$56</c:f>
              <c:numCache>
                <c:formatCode>General</c:formatCode>
                <c:ptCount val="5"/>
                <c:pt idx="0">
                  <c:v>2017</c:v>
                </c:pt>
                <c:pt idx="1">
                  <c:v>2018</c:v>
                </c:pt>
                <c:pt idx="2">
                  <c:v>2019</c:v>
                </c:pt>
                <c:pt idx="3">
                  <c:v>2020</c:v>
                </c:pt>
                <c:pt idx="4">
                  <c:v>2021</c:v>
                </c:pt>
              </c:numCache>
            </c:numRef>
          </c:cat>
          <c:val>
            <c:numRef>
              <c:f>'[Wykres w programie Microsoft Word]Lotnictwo'!$F$52:$F$56</c:f>
              <c:numCache>
                <c:formatCode>0.0</c:formatCode>
                <c:ptCount val="5"/>
                <c:pt idx="0">
                  <c:v>87.6</c:v>
                </c:pt>
                <c:pt idx="1">
                  <c:v>90.6</c:v>
                </c:pt>
                <c:pt idx="2">
                  <c:v>89.1</c:v>
                </c:pt>
                <c:pt idx="3">
                  <c:v>93.9</c:v>
                </c:pt>
                <c:pt idx="4">
                  <c:v>94.9</c:v>
                </c:pt>
              </c:numCache>
            </c:numRef>
          </c:val>
          <c:smooth val="0"/>
          <c:extLst>
            <c:ext xmlns:c16="http://schemas.microsoft.com/office/drawing/2014/chart" uri="{C3380CC4-5D6E-409C-BE32-E72D297353CC}">
              <c16:uniqueId val="{00000002-4247-4F62-8DC5-844EF43D7509}"/>
            </c:ext>
          </c:extLst>
        </c:ser>
        <c:dLbls>
          <c:showLegendKey val="0"/>
          <c:showVal val="0"/>
          <c:showCatName val="0"/>
          <c:showSerName val="0"/>
          <c:showPercent val="0"/>
          <c:showBubbleSize val="0"/>
        </c:dLbls>
        <c:marker val="1"/>
        <c:smooth val="0"/>
        <c:axId val="631541320"/>
        <c:axId val="631542104"/>
      </c:lineChart>
      <c:catAx>
        <c:axId val="631538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31539360"/>
        <c:crosses val="autoZero"/>
        <c:auto val="1"/>
        <c:lblAlgn val="ctr"/>
        <c:lblOffset val="100"/>
        <c:noMultiLvlLbl val="0"/>
      </c:catAx>
      <c:valAx>
        <c:axId val="631539360"/>
        <c:scaling>
          <c:orientation val="minMax"/>
          <c:max val="10"/>
          <c:min val="2"/>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31538968"/>
        <c:crosses val="autoZero"/>
        <c:crossBetween val="between"/>
      </c:valAx>
      <c:valAx>
        <c:axId val="631542104"/>
        <c:scaling>
          <c:orientation val="minMax"/>
          <c:max val="98"/>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31541320"/>
        <c:crosses val="max"/>
        <c:crossBetween val="between"/>
      </c:valAx>
      <c:catAx>
        <c:axId val="631541320"/>
        <c:scaling>
          <c:orientation val="minMax"/>
        </c:scaling>
        <c:delete val="1"/>
        <c:axPos val="b"/>
        <c:numFmt formatCode="General" sourceLinked="1"/>
        <c:majorTickMark val="out"/>
        <c:minorTickMark val="none"/>
        <c:tickLblPos val="nextTo"/>
        <c:crossAx val="6315421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sz="1000"/>
              <a:t>%</a:t>
            </a:r>
          </a:p>
        </c:rich>
      </c:tx>
      <c:layout>
        <c:manualLayout>
          <c:xMode val="edge"/>
          <c:yMode val="edge"/>
          <c:x val="7.714109673444243E-2"/>
          <c:y val="4.6783625730994149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Lotnictwo!$S$12</c:f>
              <c:strCache>
                <c:ptCount val="1"/>
                <c:pt idx="0">
                  <c:v>Polska</c:v>
                </c:pt>
              </c:strCache>
            </c:strRef>
          </c:tx>
          <c:spPr>
            <a:solidFill>
              <a:schemeClr val="accent1"/>
            </a:solidFill>
            <a:ln>
              <a:noFill/>
            </a:ln>
            <a:effectLst/>
          </c:spPr>
          <c:invertIfNegative val="0"/>
          <c:cat>
            <c:numRef>
              <c:f>Lotnictwo!$R$13:$R$17</c:f>
              <c:numCache>
                <c:formatCode>General</c:formatCode>
                <c:ptCount val="5"/>
                <c:pt idx="0">
                  <c:v>2017</c:v>
                </c:pt>
                <c:pt idx="1">
                  <c:v>2018</c:v>
                </c:pt>
                <c:pt idx="2">
                  <c:v>2019</c:v>
                </c:pt>
                <c:pt idx="3">
                  <c:v>2020</c:v>
                </c:pt>
                <c:pt idx="4">
                  <c:v>2021</c:v>
                </c:pt>
              </c:numCache>
            </c:numRef>
          </c:cat>
          <c:val>
            <c:numRef>
              <c:f>Lotnictwo!$S$13:$S$17</c:f>
              <c:numCache>
                <c:formatCode>General</c:formatCode>
                <c:ptCount val="5"/>
                <c:pt idx="0" formatCode="0.0">
                  <c:v>23</c:v>
                </c:pt>
                <c:pt idx="1">
                  <c:v>22.8</c:v>
                </c:pt>
                <c:pt idx="2" formatCode="0.0">
                  <c:v>23</c:v>
                </c:pt>
                <c:pt idx="3">
                  <c:v>22.9</c:v>
                </c:pt>
                <c:pt idx="4">
                  <c:v>23.5</c:v>
                </c:pt>
              </c:numCache>
            </c:numRef>
          </c:val>
          <c:extLst>
            <c:ext xmlns:c16="http://schemas.microsoft.com/office/drawing/2014/chart" uri="{C3380CC4-5D6E-409C-BE32-E72D297353CC}">
              <c16:uniqueId val="{00000000-19F9-4B52-AF62-CA2C62654457}"/>
            </c:ext>
          </c:extLst>
        </c:ser>
        <c:ser>
          <c:idx val="1"/>
          <c:order val="1"/>
          <c:tx>
            <c:strRef>
              <c:f>Lotnictwo!$T$12</c:f>
              <c:strCache>
                <c:ptCount val="1"/>
                <c:pt idx="0">
                  <c:v>woj. podkarpackie</c:v>
                </c:pt>
              </c:strCache>
            </c:strRef>
          </c:tx>
          <c:spPr>
            <a:solidFill>
              <a:schemeClr val="accent2"/>
            </a:solidFill>
            <a:ln>
              <a:noFill/>
            </a:ln>
            <a:effectLst/>
          </c:spPr>
          <c:invertIfNegative val="0"/>
          <c:cat>
            <c:numRef>
              <c:f>Lotnictwo!$R$13:$R$17</c:f>
              <c:numCache>
                <c:formatCode>General</c:formatCode>
                <c:ptCount val="5"/>
                <c:pt idx="0">
                  <c:v>2017</c:v>
                </c:pt>
                <c:pt idx="1">
                  <c:v>2018</c:v>
                </c:pt>
                <c:pt idx="2">
                  <c:v>2019</c:v>
                </c:pt>
                <c:pt idx="3">
                  <c:v>2020</c:v>
                </c:pt>
                <c:pt idx="4">
                  <c:v>2021</c:v>
                </c:pt>
              </c:numCache>
            </c:numRef>
          </c:cat>
          <c:val>
            <c:numRef>
              <c:f>Lotnictwo!$T$13:$T$17</c:f>
              <c:numCache>
                <c:formatCode>General</c:formatCode>
                <c:ptCount val="5"/>
                <c:pt idx="0">
                  <c:v>23.5</c:v>
                </c:pt>
                <c:pt idx="1">
                  <c:v>24.2</c:v>
                </c:pt>
                <c:pt idx="2">
                  <c:v>24.3</c:v>
                </c:pt>
                <c:pt idx="3">
                  <c:v>23.2</c:v>
                </c:pt>
                <c:pt idx="4">
                  <c:v>24.4</c:v>
                </c:pt>
              </c:numCache>
            </c:numRef>
          </c:val>
          <c:extLst>
            <c:ext xmlns:c16="http://schemas.microsoft.com/office/drawing/2014/chart" uri="{C3380CC4-5D6E-409C-BE32-E72D297353CC}">
              <c16:uniqueId val="{00000001-19F9-4B52-AF62-CA2C62654457}"/>
            </c:ext>
          </c:extLst>
        </c:ser>
        <c:ser>
          <c:idx val="2"/>
          <c:order val="2"/>
          <c:tx>
            <c:strRef>
              <c:f>Lotnictwo!$U$12</c:f>
              <c:strCache>
                <c:ptCount val="1"/>
                <c:pt idx="0">
                  <c:v>Sektor lotniczy</c:v>
                </c:pt>
              </c:strCache>
            </c:strRef>
          </c:tx>
          <c:spPr>
            <a:solidFill>
              <a:schemeClr val="accent3"/>
            </a:solidFill>
            <a:ln>
              <a:noFill/>
            </a:ln>
            <a:effectLst/>
          </c:spPr>
          <c:invertIfNegative val="0"/>
          <c:cat>
            <c:numRef>
              <c:f>Lotnictwo!$R$13:$R$17</c:f>
              <c:numCache>
                <c:formatCode>General</c:formatCode>
                <c:ptCount val="5"/>
                <c:pt idx="0">
                  <c:v>2017</c:v>
                </c:pt>
                <c:pt idx="1">
                  <c:v>2018</c:v>
                </c:pt>
                <c:pt idx="2">
                  <c:v>2019</c:v>
                </c:pt>
                <c:pt idx="3">
                  <c:v>2020</c:v>
                </c:pt>
                <c:pt idx="4">
                  <c:v>2021</c:v>
                </c:pt>
              </c:numCache>
            </c:numRef>
          </c:cat>
          <c:val>
            <c:numRef>
              <c:f>Lotnictwo!$U$13:$U$17</c:f>
              <c:numCache>
                <c:formatCode>0.0</c:formatCode>
                <c:ptCount val="5"/>
                <c:pt idx="0">
                  <c:v>73.3</c:v>
                </c:pt>
                <c:pt idx="1">
                  <c:v>69.7</c:v>
                </c:pt>
                <c:pt idx="2">
                  <c:v>73.5</c:v>
                </c:pt>
                <c:pt idx="3">
                  <c:v>70.7</c:v>
                </c:pt>
                <c:pt idx="4">
                  <c:v>75</c:v>
                </c:pt>
              </c:numCache>
            </c:numRef>
          </c:val>
          <c:extLst>
            <c:ext xmlns:c16="http://schemas.microsoft.com/office/drawing/2014/chart" uri="{C3380CC4-5D6E-409C-BE32-E72D297353CC}">
              <c16:uniqueId val="{00000002-19F9-4B52-AF62-CA2C62654457}"/>
            </c:ext>
          </c:extLst>
        </c:ser>
        <c:dLbls>
          <c:showLegendKey val="0"/>
          <c:showVal val="0"/>
          <c:showCatName val="0"/>
          <c:showSerName val="0"/>
          <c:showPercent val="0"/>
          <c:showBubbleSize val="0"/>
        </c:dLbls>
        <c:gapWidth val="219"/>
        <c:overlap val="-27"/>
        <c:axId val="631546024"/>
        <c:axId val="631549160"/>
      </c:barChart>
      <c:catAx>
        <c:axId val="631546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31549160"/>
        <c:crosses val="autoZero"/>
        <c:auto val="1"/>
        <c:lblAlgn val="ctr"/>
        <c:lblOffset val="100"/>
        <c:noMultiLvlLbl val="0"/>
      </c:catAx>
      <c:valAx>
        <c:axId val="6315491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31546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Lotnictwo!$D$69</c:f>
              <c:strCache>
                <c:ptCount val="1"/>
                <c:pt idx="0">
                  <c:v>Polska</c:v>
                </c:pt>
              </c:strCache>
            </c:strRef>
          </c:tx>
          <c:spPr>
            <a:ln w="28575" cap="rnd">
              <a:solidFill>
                <a:schemeClr val="accent1"/>
              </a:solidFill>
              <a:round/>
            </a:ln>
            <a:effectLst/>
          </c:spPr>
          <c:marker>
            <c:symbol val="none"/>
          </c:marker>
          <c:cat>
            <c:numRef>
              <c:f>Lotnictwo!$C$70:$C$73</c:f>
              <c:numCache>
                <c:formatCode>General</c:formatCode>
                <c:ptCount val="4"/>
                <c:pt idx="0">
                  <c:v>2018</c:v>
                </c:pt>
                <c:pt idx="1">
                  <c:v>2019</c:v>
                </c:pt>
                <c:pt idx="2">
                  <c:v>2020</c:v>
                </c:pt>
                <c:pt idx="3">
                  <c:v>2021</c:v>
                </c:pt>
              </c:numCache>
            </c:numRef>
          </c:cat>
          <c:val>
            <c:numRef>
              <c:f>Lotnictwo!$D$70:$D$73</c:f>
              <c:numCache>
                <c:formatCode>General</c:formatCode>
                <c:ptCount val="4"/>
                <c:pt idx="0">
                  <c:v>106.4</c:v>
                </c:pt>
                <c:pt idx="1">
                  <c:v>106.1</c:v>
                </c:pt>
                <c:pt idx="2">
                  <c:v>97.8</c:v>
                </c:pt>
                <c:pt idx="3">
                  <c:v>123.7</c:v>
                </c:pt>
              </c:numCache>
            </c:numRef>
          </c:val>
          <c:smooth val="0"/>
          <c:extLst>
            <c:ext xmlns:c16="http://schemas.microsoft.com/office/drawing/2014/chart" uri="{C3380CC4-5D6E-409C-BE32-E72D297353CC}">
              <c16:uniqueId val="{00000000-6127-4111-8F84-92056D7D9CC0}"/>
            </c:ext>
          </c:extLst>
        </c:ser>
        <c:ser>
          <c:idx val="1"/>
          <c:order val="1"/>
          <c:tx>
            <c:strRef>
              <c:f>Lotnictwo!$E$69</c:f>
              <c:strCache>
                <c:ptCount val="1"/>
                <c:pt idx="0">
                  <c:v>woj. podkarpackie</c:v>
                </c:pt>
              </c:strCache>
            </c:strRef>
          </c:tx>
          <c:spPr>
            <a:ln w="28575" cap="rnd">
              <a:solidFill>
                <a:schemeClr val="accent2"/>
              </a:solidFill>
              <a:round/>
            </a:ln>
            <a:effectLst/>
          </c:spPr>
          <c:marker>
            <c:symbol val="none"/>
          </c:marker>
          <c:cat>
            <c:numRef>
              <c:f>Lotnictwo!$C$70:$C$73</c:f>
              <c:numCache>
                <c:formatCode>General</c:formatCode>
                <c:ptCount val="4"/>
                <c:pt idx="0">
                  <c:v>2018</c:v>
                </c:pt>
                <c:pt idx="1">
                  <c:v>2019</c:v>
                </c:pt>
                <c:pt idx="2">
                  <c:v>2020</c:v>
                </c:pt>
                <c:pt idx="3">
                  <c:v>2021</c:v>
                </c:pt>
              </c:numCache>
            </c:numRef>
          </c:cat>
          <c:val>
            <c:numRef>
              <c:f>Lotnictwo!$E$70:$E$73</c:f>
              <c:numCache>
                <c:formatCode>General</c:formatCode>
                <c:ptCount val="4"/>
                <c:pt idx="0">
                  <c:v>108.4</c:v>
                </c:pt>
                <c:pt idx="1">
                  <c:v>105.7</c:v>
                </c:pt>
                <c:pt idx="2">
                  <c:v>88.7</c:v>
                </c:pt>
                <c:pt idx="3">
                  <c:v>125.1</c:v>
                </c:pt>
              </c:numCache>
            </c:numRef>
          </c:val>
          <c:smooth val="0"/>
          <c:extLst>
            <c:ext xmlns:c16="http://schemas.microsoft.com/office/drawing/2014/chart" uri="{C3380CC4-5D6E-409C-BE32-E72D297353CC}">
              <c16:uniqueId val="{00000001-6127-4111-8F84-92056D7D9CC0}"/>
            </c:ext>
          </c:extLst>
        </c:ser>
        <c:ser>
          <c:idx val="2"/>
          <c:order val="2"/>
          <c:tx>
            <c:strRef>
              <c:f>Lotnictwo!$F$69</c:f>
              <c:strCache>
                <c:ptCount val="1"/>
                <c:pt idx="0">
                  <c:v>Sektor lotniczy</c:v>
                </c:pt>
              </c:strCache>
            </c:strRef>
          </c:tx>
          <c:spPr>
            <a:ln w="28575" cap="rnd">
              <a:solidFill>
                <a:schemeClr val="accent3"/>
              </a:solidFill>
              <a:round/>
            </a:ln>
            <a:effectLst/>
          </c:spPr>
          <c:marker>
            <c:symbol val="none"/>
          </c:marker>
          <c:cat>
            <c:numRef>
              <c:f>Lotnictwo!$C$70:$C$73</c:f>
              <c:numCache>
                <c:formatCode>General</c:formatCode>
                <c:ptCount val="4"/>
                <c:pt idx="0">
                  <c:v>2018</c:v>
                </c:pt>
                <c:pt idx="1">
                  <c:v>2019</c:v>
                </c:pt>
                <c:pt idx="2">
                  <c:v>2020</c:v>
                </c:pt>
                <c:pt idx="3">
                  <c:v>2021</c:v>
                </c:pt>
              </c:numCache>
            </c:numRef>
          </c:cat>
          <c:val>
            <c:numRef>
              <c:f>Lotnictwo!$F$70:$F$73</c:f>
              <c:numCache>
                <c:formatCode>General</c:formatCode>
                <c:ptCount val="4"/>
                <c:pt idx="0">
                  <c:v>101.6</c:v>
                </c:pt>
                <c:pt idx="1">
                  <c:v>116.3</c:v>
                </c:pt>
                <c:pt idx="2">
                  <c:v>82.5</c:v>
                </c:pt>
                <c:pt idx="3">
                  <c:v>124.4</c:v>
                </c:pt>
              </c:numCache>
            </c:numRef>
          </c:val>
          <c:smooth val="0"/>
          <c:extLst>
            <c:ext xmlns:c16="http://schemas.microsoft.com/office/drawing/2014/chart" uri="{C3380CC4-5D6E-409C-BE32-E72D297353CC}">
              <c16:uniqueId val="{00000002-6127-4111-8F84-92056D7D9CC0}"/>
            </c:ext>
          </c:extLst>
        </c:ser>
        <c:dLbls>
          <c:showLegendKey val="0"/>
          <c:showVal val="0"/>
          <c:showCatName val="0"/>
          <c:showSerName val="0"/>
          <c:showPercent val="0"/>
          <c:showBubbleSize val="0"/>
        </c:dLbls>
        <c:smooth val="0"/>
        <c:axId val="631542888"/>
        <c:axId val="631540536"/>
      </c:lineChart>
      <c:catAx>
        <c:axId val="631542888"/>
        <c:scaling>
          <c:orientation val="minMax"/>
        </c:scaling>
        <c:delete val="0"/>
        <c:axPos val="b"/>
        <c:numFmt formatCode="General" sourceLinked="1"/>
        <c:majorTickMark val="none"/>
        <c:minorTickMark val="none"/>
        <c:tickLblPos val="low"/>
        <c:spPr>
          <a:noFill/>
          <a:ln w="19050" cap="flat" cmpd="sng" algn="ctr">
            <a:solidFill>
              <a:schemeClr val="tx1">
                <a:lumMod val="65000"/>
                <a:lumOff val="3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31540536"/>
        <c:crossesAt val="100"/>
        <c:auto val="1"/>
        <c:lblAlgn val="ctr"/>
        <c:lblOffset val="100"/>
        <c:noMultiLvlLbl val="0"/>
      </c:catAx>
      <c:valAx>
        <c:axId val="631540536"/>
        <c:scaling>
          <c:orientation val="minMax"/>
          <c:min val="8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31542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l-PL" sz="1000"/>
              <a:t>%</a:t>
            </a:r>
          </a:p>
        </c:rich>
      </c:tx>
      <c:layout>
        <c:manualLayout>
          <c:xMode val="edge"/>
          <c:yMode val="edge"/>
          <c:x val="6.2134764460345854E-2"/>
          <c:y val="3.674540682414698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Lotnictwo!$Q$21</c:f>
              <c:strCache>
                <c:ptCount val="1"/>
                <c:pt idx="0">
                  <c:v>Polska</c:v>
                </c:pt>
              </c:strCache>
            </c:strRef>
          </c:tx>
          <c:spPr>
            <a:solidFill>
              <a:schemeClr val="accent1"/>
            </a:solidFill>
            <a:ln>
              <a:noFill/>
            </a:ln>
            <a:effectLst/>
          </c:spPr>
          <c:invertIfNegative val="0"/>
          <c:cat>
            <c:numRef>
              <c:f>Lotnictwo!$P$22:$P$26</c:f>
              <c:numCache>
                <c:formatCode>General</c:formatCode>
                <c:ptCount val="5"/>
                <c:pt idx="0">
                  <c:v>2017</c:v>
                </c:pt>
                <c:pt idx="1">
                  <c:v>2018</c:v>
                </c:pt>
                <c:pt idx="2">
                  <c:v>2019</c:v>
                </c:pt>
                <c:pt idx="3">
                  <c:v>2020</c:v>
                </c:pt>
                <c:pt idx="4">
                  <c:v>2021</c:v>
                </c:pt>
              </c:numCache>
            </c:numRef>
          </c:cat>
          <c:val>
            <c:numRef>
              <c:f>Lotnictwo!$Q$22:$Q$26</c:f>
              <c:numCache>
                <c:formatCode>General</c:formatCode>
                <c:ptCount val="5"/>
                <c:pt idx="0" formatCode="0.0">
                  <c:v>5</c:v>
                </c:pt>
                <c:pt idx="1">
                  <c:v>4.9000000000000004</c:v>
                </c:pt>
                <c:pt idx="2">
                  <c:v>4.5999999999999996</c:v>
                </c:pt>
                <c:pt idx="3">
                  <c:v>4.9000000000000004</c:v>
                </c:pt>
                <c:pt idx="4">
                  <c:v>5.6</c:v>
                </c:pt>
              </c:numCache>
            </c:numRef>
          </c:val>
          <c:extLst>
            <c:ext xmlns:c16="http://schemas.microsoft.com/office/drawing/2014/chart" uri="{C3380CC4-5D6E-409C-BE32-E72D297353CC}">
              <c16:uniqueId val="{00000000-B1DE-4D5A-937E-D6A145274A7F}"/>
            </c:ext>
          </c:extLst>
        </c:ser>
        <c:ser>
          <c:idx val="1"/>
          <c:order val="1"/>
          <c:tx>
            <c:strRef>
              <c:f>Lotnictwo!$R$21</c:f>
              <c:strCache>
                <c:ptCount val="1"/>
                <c:pt idx="0">
                  <c:v>woj. podkarpackie</c:v>
                </c:pt>
              </c:strCache>
            </c:strRef>
          </c:tx>
          <c:spPr>
            <a:solidFill>
              <a:schemeClr val="accent2"/>
            </a:solidFill>
            <a:ln>
              <a:noFill/>
            </a:ln>
            <a:effectLst/>
          </c:spPr>
          <c:invertIfNegative val="0"/>
          <c:cat>
            <c:numRef>
              <c:f>Lotnictwo!$P$22:$P$26</c:f>
              <c:numCache>
                <c:formatCode>General</c:formatCode>
                <c:ptCount val="5"/>
                <c:pt idx="0">
                  <c:v>2017</c:v>
                </c:pt>
                <c:pt idx="1">
                  <c:v>2018</c:v>
                </c:pt>
                <c:pt idx="2">
                  <c:v>2019</c:v>
                </c:pt>
                <c:pt idx="3">
                  <c:v>2020</c:v>
                </c:pt>
                <c:pt idx="4">
                  <c:v>2021</c:v>
                </c:pt>
              </c:numCache>
            </c:numRef>
          </c:cat>
          <c:val>
            <c:numRef>
              <c:f>Lotnictwo!$R$22:$R$26</c:f>
              <c:numCache>
                <c:formatCode>General</c:formatCode>
                <c:ptCount val="5"/>
                <c:pt idx="0">
                  <c:v>4.3</c:v>
                </c:pt>
                <c:pt idx="1">
                  <c:v>4.5</c:v>
                </c:pt>
                <c:pt idx="2">
                  <c:v>4.0999999999999996</c:v>
                </c:pt>
                <c:pt idx="3">
                  <c:v>3.8</c:v>
                </c:pt>
                <c:pt idx="4">
                  <c:v>5.5</c:v>
                </c:pt>
              </c:numCache>
            </c:numRef>
          </c:val>
          <c:extLst>
            <c:ext xmlns:c16="http://schemas.microsoft.com/office/drawing/2014/chart" uri="{C3380CC4-5D6E-409C-BE32-E72D297353CC}">
              <c16:uniqueId val="{00000001-B1DE-4D5A-937E-D6A145274A7F}"/>
            </c:ext>
          </c:extLst>
        </c:ser>
        <c:ser>
          <c:idx val="2"/>
          <c:order val="2"/>
          <c:tx>
            <c:strRef>
              <c:f>Lotnictwo!$S$21</c:f>
              <c:strCache>
                <c:ptCount val="1"/>
                <c:pt idx="0">
                  <c:v>Sektor lotniczy</c:v>
                </c:pt>
              </c:strCache>
            </c:strRef>
          </c:tx>
          <c:spPr>
            <a:solidFill>
              <a:schemeClr val="accent3"/>
            </a:solidFill>
            <a:ln>
              <a:noFill/>
            </a:ln>
            <a:effectLst/>
          </c:spPr>
          <c:invertIfNegative val="0"/>
          <c:cat>
            <c:numRef>
              <c:f>Lotnictwo!$P$22:$P$26</c:f>
              <c:numCache>
                <c:formatCode>General</c:formatCode>
                <c:ptCount val="5"/>
                <c:pt idx="0">
                  <c:v>2017</c:v>
                </c:pt>
                <c:pt idx="1">
                  <c:v>2018</c:v>
                </c:pt>
                <c:pt idx="2">
                  <c:v>2019</c:v>
                </c:pt>
                <c:pt idx="3">
                  <c:v>2020</c:v>
                </c:pt>
                <c:pt idx="4">
                  <c:v>2021</c:v>
                </c:pt>
              </c:numCache>
            </c:numRef>
          </c:cat>
          <c:val>
            <c:numRef>
              <c:f>Lotnictwo!$S$22:$S$26</c:f>
              <c:numCache>
                <c:formatCode>0.0</c:formatCode>
                <c:ptCount val="5"/>
                <c:pt idx="0">
                  <c:v>10.9</c:v>
                </c:pt>
                <c:pt idx="1">
                  <c:v>13.4</c:v>
                </c:pt>
                <c:pt idx="2">
                  <c:v>13</c:v>
                </c:pt>
                <c:pt idx="3">
                  <c:v>7.8</c:v>
                </c:pt>
                <c:pt idx="4">
                  <c:v>7.3</c:v>
                </c:pt>
              </c:numCache>
            </c:numRef>
          </c:val>
          <c:extLst>
            <c:ext xmlns:c16="http://schemas.microsoft.com/office/drawing/2014/chart" uri="{C3380CC4-5D6E-409C-BE32-E72D297353CC}">
              <c16:uniqueId val="{00000002-B1DE-4D5A-937E-D6A145274A7F}"/>
            </c:ext>
          </c:extLst>
        </c:ser>
        <c:dLbls>
          <c:showLegendKey val="0"/>
          <c:showVal val="0"/>
          <c:showCatName val="0"/>
          <c:showSerName val="0"/>
          <c:showPercent val="0"/>
          <c:showBubbleSize val="0"/>
        </c:dLbls>
        <c:gapWidth val="219"/>
        <c:overlap val="-27"/>
        <c:axId val="631538184"/>
        <c:axId val="631548376"/>
      </c:barChart>
      <c:catAx>
        <c:axId val="631538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631548376"/>
        <c:crosses val="autoZero"/>
        <c:auto val="1"/>
        <c:lblAlgn val="ctr"/>
        <c:lblOffset val="100"/>
        <c:noMultiLvlLbl val="0"/>
      </c:catAx>
      <c:valAx>
        <c:axId val="6315483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631538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l-PL" sz="1000"/>
              <a:t>%</a:t>
            </a:r>
          </a:p>
        </c:rich>
      </c:tx>
      <c:layout>
        <c:manualLayout>
          <c:xMode val="edge"/>
          <c:yMode val="edge"/>
          <c:x val="5.4975924771993416E-2"/>
          <c:y val="4.9792531120331947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Lotnictwo!$K$15</c:f>
              <c:strCache>
                <c:ptCount val="1"/>
                <c:pt idx="0">
                  <c:v>Polska</c:v>
                </c:pt>
              </c:strCache>
            </c:strRef>
          </c:tx>
          <c:spPr>
            <a:solidFill>
              <a:schemeClr val="accent1"/>
            </a:solidFill>
            <a:ln>
              <a:noFill/>
            </a:ln>
            <a:effectLst/>
          </c:spPr>
          <c:invertIfNegative val="0"/>
          <c:cat>
            <c:numRef>
              <c:f>Lotnictwo!$J$16:$J$20</c:f>
              <c:numCache>
                <c:formatCode>General</c:formatCode>
                <c:ptCount val="5"/>
                <c:pt idx="0">
                  <c:v>2017</c:v>
                </c:pt>
                <c:pt idx="1">
                  <c:v>2018</c:v>
                </c:pt>
                <c:pt idx="2">
                  <c:v>2019</c:v>
                </c:pt>
                <c:pt idx="3">
                  <c:v>2020</c:v>
                </c:pt>
                <c:pt idx="4">
                  <c:v>2021</c:v>
                </c:pt>
              </c:numCache>
            </c:numRef>
          </c:cat>
          <c:val>
            <c:numRef>
              <c:f>Lotnictwo!$K$16:$K$20</c:f>
              <c:numCache>
                <c:formatCode>General</c:formatCode>
                <c:ptCount val="5"/>
                <c:pt idx="0">
                  <c:v>4.9000000000000004</c:v>
                </c:pt>
                <c:pt idx="1">
                  <c:v>4.3</c:v>
                </c:pt>
                <c:pt idx="2">
                  <c:v>3.9</c:v>
                </c:pt>
                <c:pt idx="3">
                  <c:v>3.6</c:v>
                </c:pt>
                <c:pt idx="4">
                  <c:v>6.1</c:v>
                </c:pt>
              </c:numCache>
            </c:numRef>
          </c:val>
          <c:extLst>
            <c:ext xmlns:c16="http://schemas.microsoft.com/office/drawing/2014/chart" uri="{C3380CC4-5D6E-409C-BE32-E72D297353CC}">
              <c16:uniqueId val="{00000000-6A28-4FFF-8F65-43FB611E3476}"/>
            </c:ext>
          </c:extLst>
        </c:ser>
        <c:ser>
          <c:idx val="1"/>
          <c:order val="1"/>
          <c:tx>
            <c:strRef>
              <c:f>Lotnictwo!$L$15</c:f>
              <c:strCache>
                <c:ptCount val="1"/>
                <c:pt idx="0">
                  <c:v>woj. podkarpackie</c:v>
                </c:pt>
              </c:strCache>
            </c:strRef>
          </c:tx>
          <c:spPr>
            <a:solidFill>
              <a:schemeClr val="accent2"/>
            </a:solidFill>
            <a:ln>
              <a:noFill/>
            </a:ln>
            <a:effectLst/>
          </c:spPr>
          <c:invertIfNegative val="0"/>
          <c:cat>
            <c:numRef>
              <c:f>Lotnictwo!$J$16:$J$20</c:f>
              <c:numCache>
                <c:formatCode>General</c:formatCode>
                <c:ptCount val="5"/>
                <c:pt idx="0">
                  <c:v>2017</c:v>
                </c:pt>
                <c:pt idx="1">
                  <c:v>2018</c:v>
                </c:pt>
                <c:pt idx="2">
                  <c:v>2019</c:v>
                </c:pt>
                <c:pt idx="3">
                  <c:v>2020</c:v>
                </c:pt>
                <c:pt idx="4">
                  <c:v>2021</c:v>
                </c:pt>
              </c:numCache>
            </c:numRef>
          </c:cat>
          <c:val>
            <c:numRef>
              <c:f>Lotnictwo!$L$16:$L$20</c:f>
              <c:numCache>
                <c:formatCode>General</c:formatCode>
                <c:ptCount val="5"/>
                <c:pt idx="0" formatCode="0.0">
                  <c:v>6</c:v>
                </c:pt>
                <c:pt idx="1">
                  <c:v>4.5999999999999996</c:v>
                </c:pt>
                <c:pt idx="2">
                  <c:v>5.2</c:v>
                </c:pt>
                <c:pt idx="3">
                  <c:v>5.6</c:v>
                </c:pt>
                <c:pt idx="4">
                  <c:v>7.1</c:v>
                </c:pt>
              </c:numCache>
            </c:numRef>
          </c:val>
          <c:extLst>
            <c:ext xmlns:c16="http://schemas.microsoft.com/office/drawing/2014/chart" uri="{C3380CC4-5D6E-409C-BE32-E72D297353CC}">
              <c16:uniqueId val="{00000001-6A28-4FFF-8F65-43FB611E3476}"/>
            </c:ext>
          </c:extLst>
        </c:ser>
        <c:ser>
          <c:idx val="2"/>
          <c:order val="2"/>
          <c:tx>
            <c:strRef>
              <c:f>Lotnictwo!$M$15</c:f>
              <c:strCache>
                <c:ptCount val="1"/>
                <c:pt idx="0">
                  <c:v>Sektor lotniczy</c:v>
                </c:pt>
              </c:strCache>
            </c:strRef>
          </c:tx>
          <c:spPr>
            <a:solidFill>
              <a:schemeClr val="accent3"/>
            </a:solidFill>
            <a:ln>
              <a:noFill/>
            </a:ln>
            <a:effectLst/>
          </c:spPr>
          <c:invertIfNegative val="0"/>
          <c:cat>
            <c:numRef>
              <c:f>Lotnictwo!$J$16:$J$20</c:f>
              <c:numCache>
                <c:formatCode>General</c:formatCode>
                <c:ptCount val="5"/>
                <c:pt idx="0">
                  <c:v>2017</c:v>
                </c:pt>
                <c:pt idx="1">
                  <c:v>2018</c:v>
                </c:pt>
                <c:pt idx="2">
                  <c:v>2019</c:v>
                </c:pt>
                <c:pt idx="3">
                  <c:v>2020</c:v>
                </c:pt>
                <c:pt idx="4">
                  <c:v>2021</c:v>
                </c:pt>
              </c:numCache>
            </c:numRef>
          </c:cat>
          <c:val>
            <c:numRef>
              <c:f>Lotnictwo!$M$16:$M$20</c:f>
              <c:numCache>
                <c:formatCode>0.0</c:formatCode>
                <c:ptCount val="5"/>
                <c:pt idx="0">
                  <c:v>8.1</c:v>
                </c:pt>
                <c:pt idx="1">
                  <c:v>6.2</c:v>
                </c:pt>
                <c:pt idx="2">
                  <c:v>6.6</c:v>
                </c:pt>
                <c:pt idx="3">
                  <c:v>3</c:v>
                </c:pt>
                <c:pt idx="4">
                  <c:v>2.7</c:v>
                </c:pt>
              </c:numCache>
            </c:numRef>
          </c:val>
          <c:extLst>
            <c:ext xmlns:c16="http://schemas.microsoft.com/office/drawing/2014/chart" uri="{C3380CC4-5D6E-409C-BE32-E72D297353CC}">
              <c16:uniqueId val="{00000002-6A28-4FFF-8F65-43FB611E3476}"/>
            </c:ext>
          </c:extLst>
        </c:ser>
        <c:dLbls>
          <c:showLegendKey val="0"/>
          <c:showVal val="0"/>
          <c:showCatName val="0"/>
          <c:showSerName val="0"/>
          <c:showPercent val="0"/>
          <c:showBubbleSize val="0"/>
        </c:dLbls>
        <c:gapWidth val="219"/>
        <c:overlap val="-27"/>
        <c:axId val="631543672"/>
        <c:axId val="631546808"/>
      </c:barChart>
      <c:catAx>
        <c:axId val="631543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631546808"/>
        <c:crosses val="autoZero"/>
        <c:auto val="1"/>
        <c:lblAlgn val="ctr"/>
        <c:lblOffset val="100"/>
        <c:noMultiLvlLbl val="0"/>
      </c:catAx>
      <c:valAx>
        <c:axId val="6315468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631543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sz="1000"/>
              <a:t>%</a:t>
            </a:r>
          </a:p>
        </c:rich>
      </c:tx>
      <c:layout>
        <c:manualLayout>
          <c:xMode val="edge"/>
          <c:yMode val="edge"/>
          <c:x val="7.1850512356841492E-2"/>
          <c:y val="3.2407407407407406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Lotnictwo!$D$17</c:f>
              <c:strCache>
                <c:ptCount val="1"/>
                <c:pt idx="0">
                  <c:v>Polska</c:v>
                </c:pt>
              </c:strCache>
            </c:strRef>
          </c:tx>
          <c:spPr>
            <a:solidFill>
              <a:schemeClr val="accent1"/>
            </a:solidFill>
            <a:ln>
              <a:noFill/>
            </a:ln>
            <a:effectLst/>
          </c:spPr>
          <c:invertIfNegative val="0"/>
          <c:cat>
            <c:numRef>
              <c:f>Lotnictwo!$C$18:$C$22</c:f>
              <c:numCache>
                <c:formatCode>General</c:formatCode>
                <c:ptCount val="5"/>
                <c:pt idx="0">
                  <c:v>2017</c:v>
                </c:pt>
                <c:pt idx="1">
                  <c:v>2018</c:v>
                </c:pt>
                <c:pt idx="2">
                  <c:v>2019</c:v>
                </c:pt>
                <c:pt idx="3">
                  <c:v>2020</c:v>
                </c:pt>
                <c:pt idx="4">
                  <c:v>2021</c:v>
                </c:pt>
              </c:numCache>
            </c:numRef>
          </c:cat>
          <c:val>
            <c:numRef>
              <c:f>Lotnictwo!$D$18:$D$22</c:f>
              <c:numCache>
                <c:formatCode>0.0</c:formatCode>
                <c:ptCount val="5"/>
                <c:pt idx="0">
                  <c:v>10</c:v>
                </c:pt>
                <c:pt idx="1">
                  <c:v>9</c:v>
                </c:pt>
                <c:pt idx="2" formatCode="General">
                  <c:v>8.4</c:v>
                </c:pt>
                <c:pt idx="3" formatCode="General">
                  <c:v>7.9</c:v>
                </c:pt>
                <c:pt idx="4">
                  <c:v>13.5</c:v>
                </c:pt>
              </c:numCache>
            </c:numRef>
          </c:val>
          <c:extLst>
            <c:ext xmlns:c16="http://schemas.microsoft.com/office/drawing/2014/chart" uri="{C3380CC4-5D6E-409C-BE32-E72D297353CC}">
              <c16:uniqueId val="{00000000-5EDB-44C2-9B61-E9D6F90442BA}"/>
            </c:ext>
          </c:extLst>
        </c:ser>
        <c:ser>
          <c:idx val="1"/>
          <c:order val="1"/>
          <c:tx>
            <c:strRef>
              <c:f>Lotnictwo!$E$17</c:f>
              <c:strCache>
                <c:ptCount val="1"/>
                <c:pt idx="0">
                  <c:v>woj. podkarpackie</c:v>
                </c:pt>
              </c:strCache>
            </c:strRef>
          </c:tx>
          <c:spPr>
            <a:solidFill>
              <a:schemeClr val="accent2"/>
            </a:solidFill>
            <a:ln>
              <a:noFill/>
            </a:ln>
            <a:effectLst/>
          </c:spPr>
          <c:invertIfNegative val="0"/>
          <c:cat>
            <c:numRef>
              <c:f>Lotnictwo!$C$18:$C$22</c:f>
              <c:numCache>
                <c:formatCode>General</c:formatCode>
                <c:ptCount val="5"/>
                <c:pt idx="0">
                  <c:v>2017</c:v>
                </c:pt>
                <c:pt idx="1">
                  <c:v>2018</c:v>
                </c:pt>
                <c:pt idx="2">
                  <c:v>2019</c:v>
                </c:pt>
                <c:pt idx="3">
                  <c:v>2020</c:v>
                </c:pt>
                <c:pt idx="4">
                  <c:v>2021</c:v>
                </c:pt>
              </c:numCache>
            </c:numRef>
          </c:cat>
          <c:val>
            <c:numRef>
              <c:f>Lotnictwo!$E$18:$E$22</c:f>
              <c:numCache>
                <c:formatCode>General</c:formatCode>
                <c:ptCount val="5"/>
                <c:pt idx="0">
                  <c:v>10.9</c:v>
                </c:pt>
                <c:pt idx="1">
                  <c:v>8.8000000000000007</c:v>
                </c:pt>
                <c:pt idx="2" formatCode="0.0">
                  <c:v>10</c:v>
                </c:pt>
                <c:pt idx="3">
                  <c:v>10.6</c:v>
                </c:pt>
                <c:pt idx="4" formatCode="0.0">
                  <c:v>14.1</c:v>
                </c:pt>
              </c:numCache>
            </c:numRef>
          </c:val>
          <c:extLst>
            <c:ext xmlns:c16="http://schemas.microsoft.com/office/drawing/2014/chart" uri="{C3380CC4-5D6E-409C-BE32-E72D297353CC}">
              <c16:uniqueId val="{00000001-5EDB-44C2-9B61-E9D6F90442BA}"/>
            </c:ext>
          </c:extLst>
        </c:ser>
        <c:ser>
          <c:idx val="2"/>
          <c:order val="2"/>
          <c:tx>
            <c:strRef>
              <c:f>Lotnictwo!$F$17</c:f>
              <c:strCache>
                <c:ptCount val="1"/>
                <c:pt idx="0">
                  <c:v>Sektor lotniczy</c:v>
                </c:pt>
              </c:strCache>
            </c:strRef>
          </c:tx>
          <c:spPr>
            <a:solidFill>
              <a:schemeClr val="accent3"/>
            </a:solidFill>
            <a:ln>
              <a:noFill/>
            </a:ln>
            <a:effectLst/>
          </c:spPr>
          <c:invertIfNegative val="0"/>
          <c:cat>
            <c:numRef>
              <c:f>Lotnictwo!$C$18:$C$22</c:f>
              <c:numCache>
                <c:formatCode>General</c:formatCode>
                <c:ptCount val="5"/>
                <c:pt idx="0">
                  <c:v>2017</c:v>
                </c:pt>
                <c:pt idx="1">
                  <c:v>2018</c:v>
                </c:pt>
                <c:pt idx="2">
                  <c:v>2019</c:v>
                </c:pt>
                <c:pt idx="3">
                  <c:v>2020</c:v>
                </c:pt>
                <c:pt idx="4">
                  <c:v>2021</c:v>
                </c:pt>
              </c:numCache>
            </c:numRef>
          </c:cat>
          <c:val>
            <c:numRef>
              <c:f>Lotnictwo!$F$18:$F$22</c:f>
              <c:numCache>
                <c:formatCode>0.0</c:formatCode>
                <c:ptCount val="5"/>
                <c:pt idx="0">
                  <c:v>16.600000000000001</c:v>
                </c:pt>
                <c:pt idx="1">
                  <c:v>13.2</c:v>
                </c:pt>
                <c:pt idx="2">
                  <c:v>13.2</c:v>
                </c:pt>
                <c:pt idx="3">
                  <c:v>5.6</c:v>
                </c:pt>
                <c:pt idx="4">
                  <c:v>5.4</c:v>
                </c:pt>
              </c:numCache>
            </c:numRef>
          </c:val>
          <c:extLst>
            <c:ext xmlns:c16="http://schemas.microsoft.com/office/drawing/2014/chart" uri="{C3380CC4-5D6E-409C-BE32-E72D297353CC}">
              <c16:uniqueId val="{00000002-5EDB-44C2-9B61-E9D6F90442BA}"/>
            </c:ext>
          </c:extLst>
        </c:ser>
        <c:dLbls>
          <c:showLegendKey val="0"/>
          <c:showVal val="0"/>
          <c:showCatName val="0"/>
          <c:showSerName val="0"/>
          <c:showPercent val="0"/>
          <c:showBubbleSize val="0"/>
        </c:dLbls>
        <c:gapWidth val="219"/>
        <c:overlap val="-27"/>
        <c:axId val="631544064"/>
        <c:axId val="631538576"/>
      </c:barChart>
      <c:catAx>
        <c:axId val="63154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31538576"/>
        <c:crosses val="autoZero"/>
        <c:auto val="1"/>
        <c:lblAlgn val="ctr"/>
        <c:lblOffset val="100"/>
        <c:noMultiLvlLbl val="0"/>
      </c:catAx>
      <c:valAx>
        <c:axId val="6315385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3154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Lotnictwo!$D$94</c:f>
              <c:strCache>
                <c:ptCount val="1"/>
                <c:pt idx="0">
                  <c:v>Polska</c:v>
                </c:pt>
              </c:strCache>
            </c:strRef>
          </c:tx>
          <c:spPr>
            <a:ln w="28575" cap="rnd">
              <a:solidFill>
                <a:schemeClr val="accent1"/>
              </a:solidFill>
              <a:round/>
            </a:ln>
            <a:effectLst/>
          </c:spPr>
          <c:marker>
            <c:symbol val="none"/>
          </c:marker>
          <c:cat>
            <c:numRef>
              <c:f>Lotnictwo!$C$95:$C$98</c:f>
              <c:numCache>
                <c:formatCode>General</c:formatCode>
                <c:ptCount val="4"/>
                <c:pt idx="0">
                  <c:v>2018</c:v>
                </c:pt>
                <c:pt idx="1">
                  <c:v>2019</c:v>
                </c:pt>
                <c:pt idx="2">
                  <c:v>2020</c:v>
                </c:pt>
                <c:pt idx="3">
                  <c:v>2021</c:v>
                </c:pt>
              </c:numCache>
            </c:numRef>
          </c:cat>
          <c:val>
            <c:numRef>
              <c:f>Lotnictwo!$D$95:$D$98</c:f>
              <c:numCache>
                <c:formatCode>General</c:formatCode>
                <c:ptCount val="4"/>
                <c:pt idx="0">
                  <c:v>93.8</c:v>
                </c:pt>
                <c:pt idx="1">
                  <c:v>96.3</c:v>
                </c:pt>
                <c:pt idx="2">
                  <c:v>97.5</c:v>
                </c:pt>
                <c:pt idx="3">
                  <c:v>189.8</c:v>
                </c:pt>
              </c:numCache>
            </c:numRef>
          </c:val>
          <c:smooth val="0"/>
          <c:extLst>
            <c:ext xmlns:c16="http://schemas.microsoft.com/office/drawing/2014/chart" uri="{C3380CC4-5D6E-409C-BE32-E72D297353CC}">
              <c16:uniqueId val="{00000000-525F-46F7-8FC7-87573093D025}"/>
            </c:ext>
          </c:extLst>
        </c:ser>
        <c:ser>
          <c:idx val="1"/>
          <c:order val="1"/>
          <c:tx>
            <c:strRef>
              <c:f>Lotnictwo!$E$94</c:f>
              <c:strCache>
                <c:ptCount val="1"/>
                <c:pt idx="0">
                  <c:v>woj. podkarpackie</c:v>
                </c:pt>
              </c:strCache>
            </c:strRef>
          </c:tx>
          <c:spPr>
            <a:ln w="28575" cap="rnd">
              <a:solidFill>
                <a:schemeClr val="accent2"/>
              </a:solidFill>
              <a:round/>
            </a:ln>
            <a:effectLst/>
          </c:spPr>
          <c:marker>
            <c:symbol val="none"/>
          </c:marker>
          <c:cat>
            <c:numRef>
              <c:f>Lotnictwo!$C$95:$C$98</c:f>
              <c:numCache>
                <c:formatCode>General</c:formatCode>
                <c:ptCount val="4"/>
                <c:pt idx="0">
                  <c:v>2018</c:v>
                </c:pt>
                <c:pt idx="1">
                  <c:v>2019</c:v>
                </c:pt>
                <c:pt idx="2">
                  <c:v>2020</c:v>
                </c:pt>
                <c:pt idx="3">
                  <c:v>2021</c:v>
                </c:pt>
              </c:numCache>
            </c:numRef>
          </c:cat>
          <c:val>
            <c:numRef>
              <c:f>Lotnictwo!$E$95:$E$98</c:f>
              <c:numCache>
                <c:formatCode>General</c:formatCode>
                <c:ptCount val="4"/>
                <c:pt idx="0">
                  <c:v>83.9</c:v>
                </c:pt>
                <c:pt idx="1">
                  <c:v>118.5</c:v>
                </c:pt>
                <c:pt idx="2">
                  <c:v>111.1</c:v>
                </c:pt>
                <c:pt idx="3">
                  <c:v>135.4</c:v>
                </c:pt>
              </c:numCache>
            </c:numRef>
          </c:val>
          <c:smooth val="0"/>
          <c:extLst>
            <c:ext xmlns:c16="http://schemas.microsoft.com/office/drawing/2014/chart" uri="{C3380CC4-5D6E-409C-BE32-E72D297353CC}">
              <c16:uniqueId val="{00000001-525F-46F7-8FC7-87573093D025}"/>
            </c:ext>
          </c:extLst>
        </c:ser>
        <c:ser>
          <c:idx val="2"/>
          <c:order val="2"/>
          <c:tx>
            <c:strRef>
              <c:f>Lotnictwo!$F$94</c:f>
              <c:strCache>
                <c:ptCount val="1"/>
                <c:pt idx="0">
                  <c:v>Sektor lotniczy</c:v>
                </c:pt>
              </c:strCache>
            </c:strRef>
          </c:tx>
          <c:spPr>
            <a:ln w="28575" cap="rnd">
              <a:solidFill>
                <a:schemeClr val="accent3"/>
              </a:solidFill>
              <a:round/>
            </a:ln>
            <a:effectLst/>
          </c:spPr>
          <c:marker>
            <c:symbol val="none"/>
          </c:marker>
          <c:cat>
            <c:numRef>
              <c:f>Lotnictwo!$C$95:$C$98</c:f>
              <c:numCache>
                <c:formatCode>General</c:formatCode>
                <c:ptCount val="4"/>
                <c:pt idx="0">
                  <c:v>2018</c:v>
                </c:pt>
                <c:pt idx="1">
                  <c:v>2019</c:v>
                </c:pt>
                <c:pt idx="2">
                  <c:v>2020</c:v>
                </c:pt>
                <c:pt idx="3">
                  <c:v>2021</c:v>
                </c:pt>
              </c:numCache>
            </c:numRef>
          </c:cat>
          <c:val>
            <c:numRef>
              <c:f>Lotnictwo!$F$95:$F$98</c:f>
              <c:numCache>
                <c:formatCode>General</c:formatCode>
                <c:ptCount val="4"/>
                <c:pt idx="0">
                  <c:v>83.7</c:v>
                </c:pt>
                <c:pt idx="1">
                  <c:v>114.8</c:v>
                </c:pt>
                <c:pt idx="2">
                  <c:v>44.8</c:v>
                </c:pt>
                <c:pt idx="3">
                  <c:v>95.2</c:v>
                </c:pt>
              </c:numCache>
            </c:numRef>
          </c:val>
          <c:smooth val="0"/>
          <c:extLst>
            <c:ext xmlns:c16="http://schemas.microsoft.com/office/drawing/2014/chart" uri="{C3380CC4-5D6E-409C-BE32-E72D297353CC}">
              <c16:uniqueId val="{00000002-525F-46F7-8FC7-87573093D025}"/>
            </c:ext>
          </c:extLst>
        </c:ser>
        <c:dLbls>
          <c:showLegendKey val="0"/>
          <c:showVal val="0"/>
          <c:showCatName val="0"/>
          <c:showSerName val="0"/>
          <c:showPercent val="0"/>
          <c:showBubbleSize val="0"/>
        </c:dLbls>
        <c:smooth val="0"/>
        <c:axId val="631545240"/>
        <c:axId val="631547200"/>
      </c:lineChart>
      <c:catAx>
        <c:axId val="631545240"/>
        <c:scaling>
          <c:orientation val="minMax"/>
        </c:scaling>
        <c:delete val="0"/>
        <c:axPos val="b"/>
        <c:numFmt formatCode="General" sourceLinked="1"/>
        <c:majorTickMark val="none"/>
        <c:minorTickMark val="none"/>
        <c:tickLblPos val="low"/>
        <c:spPr>
          <a:noFill/>
          <a:ln w="19050" cap="flat" cmpd="sng" algn="ctr">
            <a:solidFill>
              <a:schemeClr val="tx1">
                <a:lumMod val="65000"/>
                <a:lumOff val="3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31547200"/>
        <c:crossesAt val="100"/>
        <c:auto val="1"/>
        <c:lblAlgn val="ctr"/>
        <c:lblOffset val="100"/>
        <c:noMultiLvlLbl val="0"/>
      </c:catAx>
      <c:valAx>
        <c:axId val="631547200"/>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31545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Lotnictwo!$L$42</c:f>
              <c:strCache>
                <c:ptCount val="1"/>
                <c:pt idx="0">
                  <c:v>woj. podkarpackie</c:v>
                </c:pt>
              </c:strCache>
            </c:strRef>
          </c:tx>
          <c:spPr>
            <a:ln w="28575" cap="rnd">
              <a:solidFill>
                <a:schemeClr val="accent1"/>
              </a:solidFill>
              <a:round/>
            </a:ln>
            <a:effectLst/>
          </c:spPr>
          <c:marker>
            <c:symbol val="none"/>
          </c:marker>
          <c:cat>
            <c:numRef>
              <c:f>Lotnictwo!$K$43:$K$46</c:f>
              <c:numCache>
                <c:formatCode>General</c:formatCode>
                <c:ptCount val="4"/>
                <c:pt idx="0">
                  <c:v>2018</c:v>
                </c:pt>
                <c:pt idx="1">
                  <c:v>2019</c:v>
                </c:pt>
                <c:pt idx="2">
                  <c:v>2020</c:v>
                </c:pt>
                <c:pt idx="3">
                  <c:v>2021</c:v>
                </c:pt>
              </c:numCache>
            </c:numRef>
          </c:cat>
          <c:val>
            <c:numRef>
              <c:f>Lotnictwo!$L$43:$L$46</c:f>
              <c:numCache>
                <c:formatCode>General</c:formatCode>
                <c:ptCount val="4"/>
                <c:pt idx="0">
                  <c:v>103.7</c:v>
                </c:pt>
                <c:pt idx="1">
                  <c:v>99.8</c:v>
                </c:pt>
                <c:pt idx="2">
                  <c:v>94</c:v>
                </c:pt>
                <c:pt idx="3">
                  <c:v>100.8</c:v>
                </c:pt>
              </c:numCache>
            </c:numRef>
          </c:val>
          <c:smooth val="0"/>
          <c:extLst>
            <c:ext xmlns:c16="http://schemas.microsoft.com/office/drawing/2014/chart" uri="{C3380CC4-5D6E-409C-BE32-E72D297353CC}">
              <c16:uniqueId val="{00000000-C587-42A7-AC2A-A8F2295DFC4C}"/>
            </c:ext>
          </c:extLst>
        </c:ser>
        <c:ser>
          <c:idx val="1"/>
          <c:order val="1"/>
          <c:tx>
            <c:strRef>
              <c:f>Lotnictwo!$M$42</c:f>
              <c:strCache>
                <c:ptCount val="1"/>
                <c:pt idx="0">
                  <c:v>Sektor lotniczy</c:v>
                </c:pt>
              </c:strCache>
            </c:strRef>
          </c:tx>
          <c:spPr>
            <a:ln w="28575" cap="rnd">
              <a:solidFill>
                <a:schemeClr val="accent2"/>
              </a:solidFill>
              <a:round/>
            </a:ln>
            <a:effectLst/>
          </c:spPr>
          <c:marker>
            <c:symbol val="none"/>
          </c:marker>
          <c:cat>
            <c:numRef>
              <c:f>Lotnictwo!$K$43:$K$46</c:f>
              <c:numCache>
                <c:formatCode>General</c:formatCode>
                <c:ptCount val="4"/>
                <c:pt idx="0">
                  <c:v>2018</c:v>
                </c:pt>
                <c:pt idx="1">
                  <c:v>2019</c:v>
                </c:pt>
                <c:pt idx="2">
                  <c:v>2020</c:v>
                </c:pt>
                <c:pt idx="3">
                  <c:v>2021</c:v>
                </c:pt>
              </c:numCache>
            </c:numRef>
          </c:cat>
          <c:val>
            <c:numRef>
              <c:f>Lotnictwo!$M$43:$M$46</c:f>
              <c:numCache>
                <c:formatCode>General</c:formatCode>
                <c:ptCount val="4"/>
                <c:pt idx="0">
                  <c:v>102.5</c:v>
                </c:pt>
                <c:pt idx="1">
                  <c:v>99.3</c:v>
                </c:pt>
                <c:pt idx="2">
                  <c:v>95.3</c:v>
                </c:pt>
                <c:pt idx="3">
                  <c:v>99.9</c:v>
                </c:pt>
              </c:numCache>
            </c:numRef>
          </c:val>
          <c:smooth val="0"/>
          <c:extLst>
            <c:ext xmlns:c16="http://schemas.microsoft.com/office/drawing/2014/chart" uri="{C3380CC4-5D6E-409C-BE32-E72D297353CC}">
              <c16:uniqueId val="{00000001-C587-42A7-AC2A-A8F2295DFC4C}"/>
            </c:ext>
          </c:extLst>
        </c:ser>
        <c:dLbls>
          <c:showLegendKey val="0"/>
          <c:showVal val="0"/>
          <c:showCatName val="0"/>
          <c:showSerName val="0"/>
          <c:showPercent val="0"/>
          <c:showBubbleSize val="0"/>
        </c:dLbls>
        <c:smooth val="0"/>
        <c:axId val="631547984"/>
        <c:axId val="631548768"/>
      </c:lineChart>
      <c:catAx>
        <c:axId val="631547984"/>
        <c:scaling>
          <c:orientation val="minMax"/>
        </c:scaling>
        <c:delete val="0"/>
        <c:axPos val="b"/>
        <c:numFmt formatCode="General" sourceLinked="1"/>
        <c:majorTickMark val="none"/>
        <c:minorTickMark val="none"/>
        <c:tickLblPos val="low"/>
        <c:spPr>
          <a:noFill/>
          <a:ln w="19050" cap="flat" cmpd="sng" algn="ctr">
            <a:solidFill>
              <a:schemeClr val="tx1">
                <a:lumMod val="65000"/>
                <a:lumOff val="3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31548768"/>
        <c:crossesAt val="100"/>
        <c:auto val="1"/>
        <c:lblAlgn val="ctr"/>
        <c:lblOffset val="100"/>
        <c:noMultiLvlLbl val="0"/>
      </c:catAx>
      <c:valAx>
        <c:axId val="631548768"/>
        <c:scaling>
          <c:orientation val="minMax"/>
          <c:min val="93"/>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31547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sz="1000"/>
              <a:t>mln zł                                                                                               %</a:t>
            </a:r>
          </a:p>
        </c:rich>
      </c:tx>
      <c:layout>
        <c:manualLayout>
          <c:xMode val="edge"/>
          <c:yMode val="edge"/>
          <c:x val="0.11344938749194068"/>
          <c:y val="4.4301877649909144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'[Wykres w programie Microsoft Word]Motoryzacja'!$R$50</c:f>
              <c:strCache>
                <c:ptCount val="1"/>
                <c:pt idx="0">
                  <c:v>Przychody z całokształtu działalności</c:v>
                </c:pt>
              </c:strCache>
            </c:strRef>
          </c:tx>
          <c:spPr>
            <a:solidFill>
              <a:schemeClr val="accent1"/>
            </a:solidFill>
            <a:ln>
              <a:noFill/>
            </a:ln>
            <a:effectLst/>
          </c:spPr>
          <c:invertIfNegative val="0"/>
          <c:cat>
            <c:numRef>
              <c:f>'[Wykres w programie Microsoft Word]Motoryzacja'!$Q$51:$Q$55</c:f>
              <c:numCache>
                <c:formatCode>General</c:formatCode>
                <c:ptCount val="5"/>
                <c:pt idx="0">
                  <c:v>2017</c:v>
                </c:pt>
                <c:pt idx="1">
                  <c:v>2018</c:v>
                </c:pt>
                <c:pt idx="2">
                  <c:v>2019</c:v>
                </c:pt>
                <c:pt idx="3">
                  <c:v>2020</c:v>
                </c:pt>
                <c:pt idx="4">
                  <c:v>2021</c:v>
                </c:pt>
              </c:numCache>
            </c:numRef>
          </c:cat>
          <c:val>
            <c:numRef>
              <c:f>'[Wykres w programie Microsoft Word]Motoryzacja'!$R$51:$R$55</c:f>
              <c:numCache>
                <c:formatCode>General</c:formatCode>
                <c:ptCount val="5"/>
                <c:pt idx="0">
                  <c:v>8.2100000000000009</c:v>
                </c:pt>
                <c:pt idx="1">
                  <c:v>9.27</c:v>
                </c:pt>
                <c:pt idx="2">
                  <c:v>9.85</c:v>
                </c:pt>
                <c:pt idx="3">
                  <c:v>9.11</c:v>
                </c:pt>
                <c:pt idx="4">
                  <c:v>11.34</c:v>
                </c:pt>
              </c:numCache>
            </c:numRef>
          </c:val>
          <c:extLst>
            <c:ext xmlns:c16="http://schemas.microsoft.com/office/drawing/2014/chart" uri="{C3380CC4-5D6E-409C-BE32-E72D297353CC}">
              <c16:uniqueId val="{00000000-327C-4035-BB88-11B4F5FCFAB4}"/>
            </c:ext>
          </c:extLst>
        </c:ser>
        <c:ser>
          <c:idx val="1"/>
          <c:order val="1"/>
          <c:tx>
            <c:strRef>
              <c:f>'[Wykres w programie Microsoft Word]Motoryzacja'!$S$50</c:f>
              <c:strCache>
                <c:ptCount val="1"/>
                <c:pt idx="0">
                  <c:v>Koszty uzyskania przychodów z całokształtu działalności</c:v>
                </c:pt>
              </c:strCache>
            </c:strRef>
          </c:tx>
          <c:spPr>
            <a:solidFill>
              <a:schemeClr val="accent2"/>
            </a:solidFill>
            <a:ln>
              <a:noFill/>
            </a:ln>
            <a:effectLst/>
          </c:spPr>
          <c:invertIfNegative val="0"/>
          <c:cat>
            <c:numRef>
              <c:f>'[Wykres w programie Microsoft Word]Motoryzacja'!$Q$51:$Q$55</c:f>
              <c:numCache>
                <c:formatCode>General</c:formatCode>
                <c:ptCount val="5"/>
                <c:pt idx="0">
                  <c:v>2017</c:v>
                </c:pt>
                <c:pt idx="1">
                  <c:v>2018</c:v>
                </c:pt>
                <c:pt idx="2">
                  <c:v>2019</c:v>
                </c:pt>
                <c:pt idx="3">
                  <c:v>2020</c:v>
                </c:pt>
                <c:pt idx="4">
                  <c:v>2021</c:v>
                </c:pt>
              </c:numCache>
            </c:numRef>
          </c:cat>
          <c:val>
            <c:numRef>
              <c:f>'[Wykres w programie Microsoft Word]Motoryzacja'!$S$51:$S$55</c:f>
              <c:numCache>
                <c:formatCode>General</c:formatCode>
                <c:ptCount val="5"/>
                <c:pt idx="0">
                  <c:v>7.57</c:v>
                </c:pt>
                <c:pt idx="1">
                  <c:v>8.6300000000000008</c:v>
                </c:pt>
                <c:pt idx="2">
                  <c:v>9.09</c:v>
                </c:pt>
                <c:pt idx="3">
                  <c:v>8.42</c:v>
                </c:pt>
                <c:pt idx="4">
                  <c:v>10.59</c:v>
                </c:pt>
              </c:numCache>
            </c:numRef>
          </c:val>
          <c:extLst>
            <c:ext xmlns:c16="http://schemas.microsoft.com/office/drawing/2014/chart" uri="{C3380CC4-5D6E-409C-BE32-E72D297353CC}">
              <c16:uniqueId val="{00000001-327C-4035-BB88-11B4F5FCFAB4}"/>
            </c:ext>
          </c:extLst>
        </c:ser>
        <c:dLbls>
          <c:showLegendKey val="0"/>
          <c:showVal val="0"/>
          <c:showCatName val="0"/>
          <c:showSerName val="0"/>
          <c:showPercent val="0"/>
          <c:showBubbleSize val="0"/>
        </c:dLbls>
        <c:gapWidth val="219"/>
        <c:overlap val="-27"/>
        <c:axId val="631552296"/>
        <c:axId val="631550728"/>
      </c:barChart>
      <c:lineChart>
        <c:grouping val="standard"/>
        <c:varyColors val="0"/>
        <c:ser>
          <c:idx val="2"/>
          <c:order val="2"/>
          <c:tx>
            <c:strRef>
              <c:f>'[Wykres w programie Microsoft Word]Motoryzacja'!$T$50</c:f>
              <c:strCache>
                <c:ptCount val="1"/>
                <c:pt idx="0">
                  <c:v>Wskaźnik poziomu kosztów z całokształtu działalności</c:v>
                </c:pt>
              </c:strCache>
            </c:strRef>
          </c:tx>
          <c:spPr>
            <a:ln w="28575" cap="rnd">
              <a:solidFill>
                <a:schemeClr val="accent3"/>
              </a:solidFill>
              <a:round/>
            </a:ln>
            <a:effectLst/>
          </c:spPr>
          <c:marker>
            <c:symbol val="none"/>
          </c:marker>
          <c:cat>
            <c:numRef>
              <c:f>'[Wykres w programie Microsoft Word]Motoryzacja'!$Q$51:$Q$55</c:f>
              <c:numCache>
                <c:formatCode>General</c:formatCode>
                <c:ptCount val="5"/>
                <c:pt idx="0">
                  <c:v>2017</c:v>
                </c:pt>
                <c:pt idx="1">
                  <c:v>2018</c:v>
                </c:pt>
                <c:pt idx="2">
                  <c:v>2019</c:v>
                </c:pt>
                <c:pt idx="3">
                  <c:v>2020</c:v>
                </c:pt>
                <c:pt idx="4">
                  <c:v>2021</c:v>
                </c:pt>
              </c:numCache>
            </c:numRef>
          </c:cat>
          <c:val>
            <c:numRef>
              <c:f>'[Wykres w programie Microsoft Word]Motoryzacja'!$T$51:$T$55</c:f>
              <c:numCache>
                <c:formatCode>0.0</c:formatCode>
                <c:ptCount val="5"/>
                <c:pt idx="0">
                  <c:v>92.1</c:v>
                </c:pt>
                <c:pt idx="1">
                  <c:v>93</c:v>
                </c:pt>
                <c:pt idx="2">
                  <c:v>92.3</c:v>
                </c:pt>
                <c:pt idx="3">
                  <c:v>92.4</c:v>
                </c:pt>
                <c:pt idx="4">
                  <c:v>93.4</c:v>
                </c:pt>
              </c:numCache>
            </c:numRef>
          </c:val>
          <c:smooth val="0"/>
          <c:extLst>
            <c:ext xmlns:c16="http://schemas.microsoft.com/office/drawing/2014/chart" uri="{C3380CC4-5D6E-409C-BE32-E72D297353CC}">
              <c16:uniqueId val="{00000002-327C-4035-BB88-11B4F5FCFAB4}"/>
            </c:ext>
          </c:extLst>
        </c:ser>
        <c:dLbls>
          <c:showLegendKey val="0"/>
          <c:showVal val="0"/>
          <c:showCatName val="0"/>
          <c:showSerName val="0"/>
          <c:showPercent val="0"/>
          <c:showBubbleSize val="0"/>
        </c:dLbls>
        <c:marker val="1"/>
        <c:smooth val="0"/>
        <c:axId val="631553080"/>
        <c:axId val="631552688"/>
      </c:lineChart>
      <c:catAx>
        <c:axId val="631552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31550728"/>
        <c:crossesAt val="0"/>
        <c:auto val="1"/>
        <c:lblAlgn val="ctr"/>
        <c:lblOffset val="100"/>
        <c:noMultiLvlLbl val="0"/>
      </c:catAx>
      <c:valAx>
        <c:axId val="631550728"/>
        <c:scaling>
          <c:orientation val="minMax"/>
          <c:max val="12"/>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31552296"/>
        <c:crosses val="autoZero"/>
        <c:crossBetween val="between"/>
        <c:majorUnit val="2"/>
      </c:valAx>
      <c:valAx>
        <c:axId val="631552688"/>
        <c:scaling>
          <c:orientation val="minMax"/>
          <c:max val="94"/>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31553080"/>
        <c:crosses val="max"/>
        <c:crossBetween val="between"/>
      </c:valAx>
      <c:catAx>
        <c:axId val="631553080"/>
        <c:scaling>
          <c:orientation val="minMax"/>
        </c:scaling>
        <c:delete val="1"/>
        <c:axPos val="b"/>
        <c:numFmt formatCode="General" sourceLinked="1"/>
        <c:majorTickMark val="out"/>
        <c:minorTickMark val="none"/>
        <c:tickLblPos val="nextTo"/>
        <c:crossAx val="6315526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a:t>%</a:t>
            </a:r>
          </a:p>
        </c:rich>
      </c:tx>
      <c:layout>
        <c:manualLayout>
          <c:xMode val="edge"/>
          <c:yMode val="edge"/>
          <c:x val="8.3319335083114607E-2"/>
          <c:y val="3.7037037037037035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TABLICA!$L$3</c:f>
              <c:strCache>
                <c:ptCount val="1"/>
                <c:pt idx="0">
                  <c:v>2022</c:v>
                </c:pt>
              </c:strCache>
            </c:strRef>
          </c:tx>
          <c:spPr>
            <a:solidFill>
              <a:schemeClr val="accent1"/>
            </a:solidFill>
            <a:ln>
              <a:noFill/>
            </a:ln>
            <a:effectLst/>
          </c:spPr>
          <c:invertIfNegative val="0"/>
          <c:cat>
            <c:strRef>
              <c:f>TABLICA!$K$4:$K$20</c:f>
              <c:strCache>
                <c:ptCount val="17"/>
                <c:pt idx="0">
                  <c:v>Podkarpackie</c:v>
                </c:pt>
                <c:pt idx="1">
                  <c:v>Pomorskie</c:v>
                </c:pt>
                <c:pt idx="2">
                  <c:v>Mazowieckie</c:v>
                </c:pt>
                <c:pt idx="3">
                  <c:v>Małopolskie</c:v>
                </c:pt>
                <c:pt idx="4">
                  <c:v>Warmińsko-mazurskie</c:v>
                </c:pt>
                <c:pt idx="5">
                  <c:v>Polska</c:v>
                </c:pt>
                <c:pt idx="6">
                  <c:v>Dolnośląskie</c:v>
                </c:pt>
                <c:pt idx="7">
                  <c:v>Kujawsko-pomorskie</c:v>
                </c:pt>
                <c:pt idx="8">
                  <c:v>Opolskie</c:v>
                </c:pt>
                <c:pt idx="9">
                  <c:v>Śląskie</c:v>
                </c:pt>
                <c:pt idx="10">
                  <c:v>Lubuskie</c:v>
                </c:pt>
                <c:pt idx="11">
                  <c:v>Wielkopolskie</c:v>
                </c:pt>
                <c:pt idx="12">
                  <c:v>Świętokrzyskie</c:v>
                </c:pt>
                <c:pt idx="13">
                  <c:v>Zachodniopomorskie</c:v>
                </c:pt>
                <c:pt idx="14">
                  <c:v>Łódzkie</c:v>
                </c:pt>
                <c:pt idx="15">
                  <c:v>Podlaskie</c:v>
                </c:pt>
                <c:pt idx="16">
                  <c:v>Lubelskie</c:v>
                </c:pt>
              </c:strCache>
            </c:strRef>
          </c:cat>
          <c:val>
            <c:numRef>
              <c:f>TABLICA!$L$4:$L$20</c:f>
              <c:numCache>
                <c:formatCode>#\ ##0.0</c:formatCode>
                <c:ptCount val="17"/>
                <c:pt idx="0">
                  <c:v>68.599999999999994</c:v>
                </c:pt>
                <c:pt idx="1">
                  <c:v>67.8</c:v>
                </c:pt>
                <c:pt idx="2">
                  <c:v>59.7</c:v>
                </c:pt>
                <c:pt idx="3">
                  <c:v>59</c:v>
                </c:pt>
                <c:pt idx="4">
                  <c:v>56</c:v>
                </c:pt>
                <c:pt idx="5">
                  <c:v>54.8</c:v>
                </c:pt>
                <c:pt idx="6">
                  <c:v>54.3</c:v>
                </c:pt>
                <c:pt idx="7">
                  <c:v>53.1</c:v>
                </c:pt>
                <c:pt idx="8">
                  <c:v>51.7</c:v>
                </c:pt>
                <c:pt idx="9">
                  <c:v>50.3</c:v>
                </c:pt>
                <c:pt idx="10">
                  <c:v>50</c:v>
                </c:pt>
                <c:pt idx="11">
                  <c:v>40.700000000000003</c:v>
                </c:pt>
                <c:pt idx="12">
                  <c:v>40.200000000000003</c:v>
                </c:pt>
                <c:pt idx="13">
                  <c:v>37.4</c:v>
                </c:pt>
                <c:pt idx="14">
                  <c:v>35.299999999999997</c:v>
                </c:pt>
                <c:pt idx="15">
                  <c:v>27.5</c:v>
                </c:pt>
                <c:pt idx="16">
                  <c:v>25.3</c:v>
                </c:pt>
              </c:numCache>
            </c:numRef>
          </c:val>
          <c:extLst>
            <c:ext xmlns:c16="http://schemas.microsoft.com/office/drawing/2014/chart" uri="{C3380CC4-5D6E-409C-BE32-E72D297353CC}">
              <c16:uniqueId val="{00000000-B8F7-430A-8231-4CE2D60E4A39}"/>
            </c:ext>
          </c:extLst>
        </c:ser>
        <c:dLbls>
          <c:showLegendKey val="0"/>
          <c:showVal val="0"/>
          <c:showCatName val="0"/>
          <c:showSerName val="0"/>
          <c:showPercent val="0"/>
          <c:showBubbleSize val="0"/>
        </c:dLbls>
        <c:gapWidth val="219"/>
        <c:overlap val="-27"/>
        <c:axId val="522198408"/>
        <c:axId val="522199584"/>
      </c:barChart>
      <c:catAx>
        <c:axId val="522198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522199584"/>
        <c:crosses val="autoZero"/>
        <c:auto val="1"/>
        <c:lblAlgn val="ctr"/>
        <c:lblOffset val="100"/>
        <c:noMultiLvlLbl val="0"/>
      </c:catAx>
      <c:valAx>
        <c:axId val="522199584"/>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522198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sz="1000"/>
              <a:t>%</a:t>
            </a:r>
          </a:p>
        </c:rich>
      </c:tx>
      <c:layout>
        <c:manualLayout>
          <c:xMode val="edge"/>
          <c:yMode val="edge"/>
          <c:x val="6.8899244737264984E-2"/>
          <c:y val="6.481481481481481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Motoryzacja!$S$13</c:f>
              <c:strCache>
                <c:ptCount val="1"/>
                <c:pt idx="0">
                  <c:v>Polska</c:v>
                </c:pt>
              </c:strCache>
            </c:strRef>
          </c:tx>
          <c:spPr>
            <a:solidFill>
              <a:schemeClr val="accent1"/>
            </a:solidFill>
            <a:ln>
              <a:noFill/>
            </a:ln>
            <a:effectLst/>
          </c:spPr>
          <c:invertIfNegative val="0"/>
          <c:cat>
            <c:numRef>
              <c:f>Motoryzacja!$R$14:$R$18</c:f>
              <c:numCache>
                <c:formatCode>General</c:formatCode>
                <c:ptCount val="5"/>
                <c:pt idx="0">
                  <c:v>2017</c:v>
                </c:pt>
                <c:pt idx="1">
                  <c:v>2018</c:v>
                </c:pt>
                <c:pt idx="2">
                  <c:v>2019</c:v>
                </c:pt>
                <c:pt idx="3">
                  <c:v>2020</c:v>
                </c:pt>
                <c:pt idx="4">
                  <c:v>2021</c:v>
                </c:pt>
              </c:numCache>
            </c:numRef>
          </c:cat>
          <c:val>
            <c:numRef>
              <c:f>Motoryzacja!$S$14:$S$18</c:f>
              <c:numCache>
                <c:formatCode>General</c:formatCode>
                <c:ptCount val="5"/>
                <c:pt idx="0" formatCode="0.0">
                  <c:v>23</c:v>
                </c:pt>
                <c:pt idx="1">
                  <c:v>22.8</c:v>
                </c:pt>
                <c:pt idx="2" formatCode="0.0">
                  <c:v>23</c:v>
                </c:pt>
                <c:pt idx="3">
                  <c:v>22.9</c:v>
                </c:pt>
                <c:pt idx="4">
                  <c:v>23.5</c:v>
                </c:pt>
              </c:numCache>
            </c:numRef>
          </c:val>
          <c:extLst>
            <c:ext xmlns:c16="http://schemas.microsoft.com/office/drawing/2014/chart" uri="{C3380CC4-5D6E-409C-BE32-E72D297353CC}">
              <c16:uniqueId val="{00000000-2BAF-4252-8FB6-93C954592322}"/>
            </c:ext>
          </c:extLst>
        </c:ser>
        <c:ser>
          <c:idx val="1"/>
          <c:order val="1"/>
          <c:tx>
            <c:strRef>
              <c:f>Motoryzacja!$T$13</c:f>
              <c:strCache>
                <c:ptCount val="1"/>
                <c:pt idx="0">
                  <c:v>woj. podkarpackie</c:v>
                </c:pt>
              </c:strCache>
            </c:strRef>
          </c:tx>
          <c:spPr>
            <a:solidFill>
              <a:schemeClr val="accent2"/>
            </a:solidFill>
            <a:ln>
              <a:noFill/>
            </a:ln>
            <a:effectLst/>
          </c:spPr>
          <c:invertIfNegative val="0"/>
          <c:cat>
            <c:numRef>
              <c:f>Motoryzacja!$R$14:$R$18</c:f>
              <c:numCache>
                <c:formatCode>General</c:formatCode>
                <c:ptCount val="5"/>
                <c:pt idx="0">
                  <c:v>2017</c:v>
                </c:pt>
                <c:pt idx="1">
                  <c:v>2018</c:v>
                </c:pt>
                <c:pt idx="2">
                  <c:v>2019</c:v>
                </c:pt>
                <c:pt idx="3">
                  <c:v>2020</c:v>
                </c:pt>
                <c:pt idx="4">
                  <c:v>2021</c:v>
                </c:pt>
              </c:numCache>
            </c:numRef>
          </c:cat>
          <c:val>
            <c:numRef>
              <c:f>Motoryzacja!$T$14:$T$18</c:f>
              <c:numCache>
                <c:formatCode>General</c:formatCode>
                <c:ptCount val="5"/>
                <c:pt idx="0">
                  <c:v>23.5</c:v>
                </c:pt>
                <c:pt idx="1">
                  <c:v>24.2</c:v>
                </c:pt>
                <c:pt idx="2">
                  <c:v>24.3</c:v>
                </c:pt>
                <c:pt idx="3">
                  <c:v>23.2</c:v>
                </c:pt>
                <c:pt idx="4">
                  <c:v>24.4</c:v>
                </c:pt>
              </c:numCache>
            </c:numRef>
          </c:val>
          <c:extLst>
            <c:ext xmlns:c16="http://schemas.microsoft.com/office/drawing/2014/chart" uri="{C3380CC4-5D6E-409C-BE32-E72D297353CC}">
              <c16:uniqueId val="{00000001-2BAF-4252-8FB6-93C954592322}"/>
            </c:ext>
          </c:extLst>
        </c:ser>
        <c:ser>
          <c:idx val="2"/>
          <c:order val="2"/>
          <c:tx>
            <c:strRef>
              <c:f>Motoryzacja!$U$13</c:f>
              <c:strCache>
                <c:ptCount val="1"/>
                <c:pt idx="0">
                  <c:v>Sektor motoryzacyjny</c:v>
                </c:pt>
              </c:strCache>
            </c:strRef>
          </c:tx>
          <c:spPr>
            <a:solidFill>
              <a:schemeClr val="accent3"/>
            </a:solidFill>
            <a:ln>
              <a:noFill/>
            </a:ln>
            <a:effectLst/>
          </c:spPr>
          <c:invertIfNegative val="0"/>
          <c:cat>
            <c:numRef>
              <c:f>Motoryzacja!$R$14:$R$18</c:f>
              <c:numCache>
                <c:formatCode>General</c:formatCode>
                <c:ptCount val="5"/>
                <c:pt idx="0">
                  <c:v>2017</c:v>
                </c:pt>
                <c:pt idx="1">
                  <c:v>2018</c:v>
                </c:pt>
                <c:pt idx="2">
                  <c:v>2019</c:v>
                </c:pt>
                <c:pt idx="3">
                  <c:v>2020</c:v>
                </c:pt>
                <c:pt idx="4">
                  <c:v>2021</c:v>
                </c:pt>
              </c:numCache>
            </c:numRef>
          </c:cat>
          <c:val>
            <c:numRef>
              <c:f>Motoryzacja!$U$14:$U$18</c:f>
              <c:numCache>
                <c:formatCode>0.0</c:formatCode>
                <c:ptCount val="5"/>
                <c:pt idx="0" formatCode="General">
                  <c:v>76.400000000000006</c:v>
                </c:pt>
                <c:pt idx="1">
                  <c:v>77.099999999999994</c:v>
                </c:pt>
                <c:pt idx="2">
                  <c:v>77.599999999999994</c:v>
                </c:pt>
                <c:pt idx="3">
                  <c:v>78</c:v>
                </c:pt>
                <c:pt idx="4">
                  <c:v>76.3</c:v>
                </c:pt>
              </c:numCache>
            </c:numRef>
          </c:val>
          <c:extLst>
            <c:ext xmlns:c16="http://schemas.microsoft.com/office/drawing/2014/chart" uri="{C3380CC4-5D6E-409C-BE32-E72D297353CC}">
              <c16:uniqueId val="{00000002-2BAF-4252-8FB6-93C954592322}"/>
            </c:ext>
          </c:extLst>
        </c:ser>
        <c:dLbls>
          <c:showLegendKey val="0"/>
          <c:showVal val="0"/>
          <c:showCatName val="0"/>
          <c:showSerName val="0"/>
          <c:showPercent val="0"/>
          <c:showBubbleSize val="0"/>
        </c:dLbls>
        <c:gapWidth val="219"/>
        <c:overlap val="-27"/>
        <c:axId val="631553472"/>
        <c:axId val="631551120"/>
      </c:barChart>
      <c:catAx>
        <c:axId val="63155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31551120"/>
        <c:crosses val="autoZero"/>
        <c:auto val="1"/>
        <c:lblAlgn val="ctr"/>
        <c:lblOffset val="100"/>
        <c:noMultiLvlLbl val="0"/>
      </c:catAx>
      <c:valAx>
        <c:axId val="631551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31553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Motoryzacja!$C$72</c:f>
              <c:strCache>
                <c:ptCount val="1"/>
                <c:pt idx="0">
                  <c:v>Polska</c:v>
                </c:pt>
              </c:strCache>
            </c:strRef>
          </c:tx>
          <c:spPr>
            <a:ln w="28575" cap="rnd">
              <a:solidFill>
                <a:schemeClr val="accent1"/>
              </a:solidFill>
              <a:round/>
            </a:ln>
            <a:effectLst/>
          </c:spPr>
          <c:marker>
            <c:symbol val="none"/>
          </c:marker>
          <c:cat>
            <c:numRef>
              <c:f>Motoryzacja!$B$73:$B$76</c:f>
              <c:numCache>
                <c:formatCode>General</c:formatCode>
                <c:ptCount val="4"/>
                <c:pt idx="0">
                  <c:v>2018</c:v>
                </c:pt>
                <c:pt idx="1">
                  <c:v>2019</c:v>
                </c:pt>
                <c:pt idx="2">
                  <c:v>2020</c:v>
                </c:pt>
                <c:pt idx="3">
                  <c:v>2021</c:v>
                </c:pt>
              </c:numCache>
            </c:numRef>
          </c:cat>
          <c:val>
            <c:numRef>
              <c:f>Motoryzacja!$C$73:$C$76</c:f>
              <c:numCache>
                <c:formatCode>General</c:formatCode>
                <c:ptCount val="4"/>
                <c:pt idx="0">
                  <c:v>106.4</c:v>
                </c:pt>
                <c:pt idx="1">
                  <c:v>106.1</c:v>
                </c:pt>
                <c:pt idx="2">
                  <c:v>97.8</c:v>
                </c:pt>
                <c:pt idx="3">
                  <c:v>123.7</c:v>
                </c:pt>
              </c:numCache>
            </c:numRef>
          </c:val>
          <c:smooth val="0"/>
          <c:extLst>
            <c:ext xmlns:c16="http://schemas.microsoft.com/office/drawing/2014/chart" uri="{C3380CC4-5D6E-409C-BE32-E72D297353CC}">
              <c16:uniqueId val="{00000000-D578-4247-ABD7-0566328D4E16}"/>
            </c:ext>
          </c:extLst>
        </c:ser>
        <c:ser>
          <c:idx val="1"/>
          <c:order val="1"/>
          <c:tx>
            <c:strRef>
              <c:f>Motoryzacja!$D$72</c:f>
              <c:strCache>
                <c:ptCount val="1"/>
                <c:pt idx="0">
                  <c:v>woj. podkarpackie</c:v>
                </c:pt>
              </c:strCache>
            </c:strRef>
          </c:tx>
          <c:spPr>
            <a:ln w="28575" cap="rnd">
              <a:solidFill>
                <a:schemeClr val="accent2"/>
              </a:solidFill>
              <a:round/>
            </a:ln>
            <a:effectLst/>
          </c:spPr>
          <c:marker>
            <c:symbol val="none"/>
          </c:marker>
          <c:cat>
            <c:numRef>
              <c:f>Motoryzacja!$B$73:$B$76</c:f>
              <c:numCache>
                <c:formatCode>General</c:formatCode>
                <c:ptCount val="4"/>
                <c:pt idx="0">
                  <c:v>2018</c:v>
                </c:pt>
                <c:pt idx="1">
                  <c:v>2019</c:v>
                </c:pt>
                <c:pt idx="2">
                  <c:v>2020</c:v>
                </c:pt>
                <c:pt idx="3">
                  <c:v>2021</c:v>
                </c:pt>
              </c:numCache>
            </c:numRef>
          </c:cat>
          <c:val>
            <c:numRef>
              <c:f>Motoryzacja!$D$73:$D$76</c:f>
              <c:numCache>
                <c:formatCode>General</c:formatCode>
                <c:ptCount val="4"/>
                <c:pt idx="0">
                  <c:v>108.4</c:v>
                </c:pt>
                <c:pt idx="1">
                  <c:v>105.7</c:v>
                </c:pt>
                <c:pt idx="2">
                  <c:v>88.7</c:v>
                </c:pt>
                <c:pt idx="3">
                  <c:v>125.1</c:v>
                </c:pt>
              </c:numCache>
            </c:numRef>
          </c:val>
          <c:smooth val="0"/>
          <c:extLst>
            <c:ext xmlns:c16="http://schemas.microsoft.com/office/drawing/2014/chart" uri="{C3380CC4-5D6E-409C-BE32-E72D297353CC}">
              <c16:uniqueId val="{00000001-D578-4247-ABD7-0566328D4E16}"/>
            </c:ext>
          </c:extLst>
        </c:ser>
        <c:ser>
          <c:idx val="2"/>
          <c:order val="2"/>
          <c:tx>
            <c:strRef>
              <c:f>Motoryzacja!$E$72</c:f>
              <c:strCache>
                <c:ptCount val="1"/>
                <c:pt idx="0">
                  <c:v>Sektor motoryzacyjny</c:v>
                </c:pt>
              </c:strCache>
            </c:strRef>
          </c:tx>
          <c:spPr>
            <a:ln w="28575" cap="rnd">
              <a:solidFill>
                <a:schemeClr val="accent3"/>
              </a:solidFill>
              <a:round/>
            </a:ln>
            <a:effectLst/>
          </c:spPr>
          <c:marker>
            <c:symbol val="none"/>
          </c:marker>
          <c:cat>
            <c:numRef>
              <c:f>Motoryzacja!$B$73:$B$76</c:f>
              <c:numCache>
                <c:formatCode>General</c:formatCode>
                <c:ptCount val="4"/>
                <c:pt idx="0">
                  <c:v>2018</c:v>
                </c:pt>
                <c:pt idx="1">
                  <c:v>2019</c:v>
                </c:pt>
                <c:pt idx="2">
                  <c:v>2020</c:v>
                </c:pt>
                <c:pt idx="3">
                  <c:v>2021</c:v>
                </c:pt>
              </c:numCache>
            </c:numRef>
          </c:cat>
          <c:val>
            <c:numRef>
              <c:f>Motoryzacja!$E$73:$E$76</c:f>
              <c:numCache>
                <c:formatCode>General</c:formatCode>
                <c:ptCount val="4"/>
                <c:pt idx="0">
                  <c:v>113.7</c:v>
                </c:pt>
                <c:pt idx="1">
                  <c:v>107.1</c:v>
                </c:pt>
                <c:pt idx="2">
                  <c:v>91.7</c:v>
                </c:pt>
                <c:pt idx="3">
                  <c:v>123.6</c:v>
                </c:pt>
              </c:numCache>
            </c:numRef>
          </c:val>
          <c:smooth val="0"/>
          <c:extLst>
            <c:ext xmlns:c16="http://schemas.microsoft.com/office/drawing/2014/chart" uri="{C3380CC4-5D6E-409C-BE32-E72D297353CC}">
              <c16:uniqueId val="{00000002-D578-4247-ABD7-0566328D4E16}"/>
            </c:ext>
          </c:extLst>
        </c:ser>
        <c:dLbls>
          <c:showLegendKey val="0"/>
          <c:showVal val="0"/>
          <c:showCatName val="0"/>
          <c:showSerName val="0"/>
          <c:showPercent val="0"/>
          <c:showBubbleSize val="0"/>
        </c:dLbls>
        <c:smooth val="0"/>
        <c:axId val="633090920"/>
        <c:axId val="633091312"/>
      </c:lineChart>
      <c:catAx>
        <c:axId val="633090920"/>
        <c:scaling>
          <c:orientation val="minMax"/>
        </c:scaling>
        <c:delete val="0"/>
        <c:axPos val="b"/>
        <c:numFmt formatCode="General" sourceLinked="1"/>
        <c:majorTickMark val="none"/>
        <c:minorTickMark val="none"/>
        <c:tickLblPos val="low"/>
        <c:spPr>
          <a:noFill/>
          <a:ln w="19050" cap="flat" cmpd="sng" algn="ctr">
            <a:solidFill>
              <a:schemeClr val="tx1">
                <a:lumMod val="65000"/>
                <a:lumOff val="3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33091312"/>
        <c:crossesAt val="100"/>
        <c:auto val="1"/>
        <c:lblAlgn val="ctr"/>
        <c:lblOffset val="100"/>
        <c:noMultiLvlLbl val="0"/>
      </c:catAx>
      <c:valAx>
        <c:axId val="633091312"/>
        <c:scaling>
          <c:orientation val="minMax"/>
          <c:min val="85"/>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33090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Motoryzacja!$C$94</c:f>
              <c:strCache>
                <c:ptCount val="1"/>
                <c:pt idx="0">
                  <c:v>Polska</c:v>
                </c:pt>
              </c:strCache>
            </c:strRef>
          </c:tx>
          <c:spPr>
            <a:ln w="28575" cap="rnd">
              <a:solidFill>
                <a:schemeClr val="accent1"/>
              </a:solidFill>
              <a:round/>
            </a:ln>
            <a:effectLst/>
          </c:spPr>
          <c:marker>
            <c:symbol val="none"/>
          </c:marker>
          <c:cat>
            <c:numRef>
              <c:f>Motoryzacja!$B$95:$B$98</c:f>
              <c:numCache>
                <c:formatCode>General</c:formatCode>
                <c:ptCount val="4"/>
                <c:pt idx="0">
                  <c:v>2018</c:v>
                </c:pt>
                <c:pt idx="1">
                  <c:v>2019</c:v>
                </c:pt>
                <c:pt idx="2">
                  <c:v>2020</c:v>
                </c:pt>
                <c:pt idx="3">
                  <c:v>2021</c:v>
                </c:pt>
              </c:numCache>
            </c:numRef>
          </c:cat>
          <c:val>
            <c:numRef>
              <c:f>Motoryzacja!$C$95:$C$98</c:f>
              <c:numCache>
                <c:formatCode>General</c:formatCode>
                <c:ptCount val="4"/>
                <c:pt idx="0">
                  <c:v>93.8</c:v>
                </c:pt>
                <c:pt idx="1">
                  <c:v>96.3</c:v>
                </c:pt>
                <c:pt idx="2">
                  <c:v>97.5</c:v>
                </c:pt>
                <c:pt idx="3">
                  <c:v>189.8</c:v>
                </c:pt>
              </c:numCache>
            </c:numRef>
          </c:val>
          <c:smooth val="0"/>
          <c:extLst>
            <c:ext xmlns:c16="http://schemas.microsoft.com/office/drawing/2014/chart" uri="{C3380CC4-5D6E-409C-BE32-E72D297353CC}">
              <c16:uniqueId val="{00000000-7729-47EF-AF17-DFEFF6E387FE}"/>
            </c:ext>
          </c:extLst>
        </c:ser>
        <c:ser>
          <c:idx val="1"/>
          <c:order val="1"/>
          <c:tx>
            <c:strRef>
              <c:f>Motoryzacja!$D$94</c:f>
              <c:strCache>
                <c:ptCount val="1"/>
                <c:pt idx="0">
                  <c:v>woj. podkarpackie</c:v>
                </c:pt>
              </c:strCache>
            </c:strRef>
          </c:tx>
          <c:spPr>
            <a:ln w="28575" cap="rnd">
              <a:solidFill>
                <a:schemeClr val="accent2"/>
              </a:solidFill>
              <a:round/>
            </a:ln>
            <a:effectLst/>
          </c:spPr>
          <c:marker>
            <c:symbol val="none"/>
          </c:marker>
          <c:cat>
            <c:numRef>
              <c:f>Motoryzacja!$B$95:$B$98</c:f>
              <c:numCache>
                <c:formatCode>General</c:formatCode>
                <c:ptCount val="4"/>
                <c:pt idx="0">
                  <c:v>2018</c:v>
                </c:pt>
                <c:pt idx="1">
                  <c:v>2019</c:v>
                </c:pt>
                <c:pt idx="2">
                  <c:v>2020</c:v>
                </c:pt>
                <c:pt idx="3">
                  <c:v>2021</c:v>
                </c:pt>
              </c:numCache>
            </c:numRef>
          </c:cat>
          <c:val>
            <c:numRef>
              <c:f>Motoryzacja!$D$95:$D$98</c:f>
              <c:numCache>
                <c:formatCode>General</c:formatCode>
                <c:ptCount val="4"/>
                <c:pt idx="0">
                  <c:v>83.9</c:v>
                </c:pt>
                <c:pt idx="1">
                  <c:v>118.5</c:v>
                </c:pt>
                <c:pt idx="2">
                  <c:v>111.1</c:v>
                </c:pt>
                <c:pt idx="3">
                  <c:v>135.4</c:v>
                </c:pt>
              </c:numCache>
            </c:numRef>
          </c:val>
          <c:smooth val="0"/>
          <c:extLst>
            <c:ext xmlns:c16="http://schemas.microsoft.com/office/drawing/2014/chart" uri="{C3380CC4-5D6E-409C-BE32-E72D297353CC}">
              <c16:uniqueId val="{00000001-7729-47EF-AF17-DFEFF6E387FE}"/>
            </c:ext>
          </c:extLst>
        </c:ser>
        <c:ser>
          <c:idx val="2"/>
          <c:order val="2"/>
          <c:tx>
            <c:strRef>
              <c:f>Motoryzacja!$E$94</c:f>
              <c:strCache>
                <c:ptCount val="1"/>
                <c:pt idx="0">
                  <c:v>Sektor motoryzacyjny</c:v>
                </c:pt>
              </c:strCache>
            </c:strRef>
          </c:tx>
          <c:spPr>
            <a:ln w="28575" cap="rnd">
              <a:solidFill>
                <a:schemeClr val="accent3"/>
              </a:solidFill>
              <a:round/>
            </a:ln>
            <a:effectLst/>
          </c:spPr>
          <c:marker>
            <c:symbol val="none"/>
          </c:marker>
          <c:cat>
            <c:numRef>
              <c:f>Motoryzacja!$B$95:$B$98</c:f>
              <c:numCache>
                <c:formatCode>General</c:formatCode>
                <c:ptCount val="4"/>
                <c:pt idx="0">
                  <c:v>2018</c:v>
                </c:pt>
                <c:pt idx="1">
                  <c:v>2019</c:v>
                </c:pt>
                <c:pt idx="2">
                  <c:v>2020</c:v>
                </c:pt>
                <c:pt idx="3">
                  <c:v>2021</c:v>
                </c:pt>
              </c:numCache>
            </c:numRef>
          </c:cat>
          <c:val>
            <c:numRef>
              <c:f>Motoryzacja!$E$95:$E$98</c:f>
              <c:numCache>
                <c:formatCode>General</c:formatCode>
                <c:ptCount val="4"/>
                <c:pt idx="0">
                  <c:v>98.3</c:v>
                </c:pt>
                <c:pt idx="1">
                  <c:v>127.4</c:v>
                </c:pt>
                <c:pt idx="2">
                  <c:v>85.4</c:v>
                </c:pt>
                <c:pt idx="3">
                  <c:v>105.9</c:v>
                </c:pt>
              </c:numCache>
            </c:numRef>
          </c:val>
          <c:smooth val="0"/>
          <c:extLst>
            <c:ext xmlns:c16="http://schemas.microsoft.com/office/drawing/2014/chart" uri="{C3380CC4-5D6E-409C-BE32-E72D297353CC}">
              <c16:uniqueId val="{00000002-7729-47EF-AF17-DFEFF6E387FE}"/>
            </c:ext>
          </c:extLst>
        </c:ser>
        <c:dLbls>
          <c:showLegendKey val="0"/>
          <c:showVal val="0"/>
          <c:showCatName val="0"/>
          <c:showSerName val="0"/>
          <c:showPercent val="0"/>
          <c:showBubbleSize val="0"/>
        </c:dLbls>
        <c:smooth val="0"/>
        <c:axId val="633101504"/>
        <c:axId val="633095232"/>
      </c:lineChart>
      <c:catAx>
        <c:axId val="633101504"/>
        <c:scaling>
          <c:orientation val="minMax"/>
        </c:scaling>
        <c:delete val="0"/>
        <c:axPos val="b"/>
        <c:numFmt formatCode="General" sourceLinked="1"/>
        <c:majorTickMark val="none"/>
        <c:minorTickMark val="none"/>
        <c:tickLblPos val="low"/>
        <c:spPr>
          <a:noFill/>
          <a:ln w="19050" cap="flat" cmpd="sng" algn="ctr">
            <a:solidFill>
              <a:schemeClr val="tx1">
                <a:lumMod val="65000"/>
                <a:lumOff val="3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33095232"/>
        <c:crossesAt val="100"/>
        <c:auto val="1"/>
        <c:lblAlgn val="ctr"/>
        <c:lblOffset val="100"/>
        <c:noMultiLvlLbl val="0"/>
      </c:catAx>
      <c:valAx>
        <c:axId val="633095232"/>
        <c:scaling>
          <c:orientation val="minMax"/>
          <c:min val="8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33101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sz="1000"/>
              <a:t>%</a:t>
            </a:r>
          </a:p>
        </c:rich>
      </c:tx>
      <c:layout>
        <c:manualLayout>
          <c:xMode val="edge"/>
          <c:yMode val="edge"/>
          <c:x val="6.4716636197440586E-2"/>
          <c:y val="4.7058823529411764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Motoryzacja!$L$15</c:f>
              <c:strCache>
                <c:ptCount val="1"/>
                <c:pt idx="0">
                  <c:v>Polska</c:v>
                </c:pt>
              </c:strCache>
            </c:strRef>
          </c:tx>
          <c:spPr>
            <a:solidFill>
              <a:schemeClr val="accent1"/>
            </a:solidFill>
            <a:ln>
              <a:noFill/>
            </a:ln>
            <a:effectLst/>
          </c:spPr>
          <c:invertIfNegative val="0"/>
          <c:cat>
            <c:numRef>
              <c:f>Motoryzacja!$K$16:$K$20</c:f>
              <c:numCache>
                <c:formatCode>General</c:formatCode>
                <c:ptCount val="5"/>
                <c:pt idx="0">
                  <c:v>2017</c:v>
                </c:pt>
                <c:pt idx="1">
                  <c:v>2018</c:v>
                </c:pt>
                <c:pt idx="2">
                  <c:v>2019</c:v>
                </c:pt>
                <c:pt idx="3">
                  <c:v>2020</c:v>
                </c:pt>
                <c:pt idx="4">
                  <c:v>2021</c:v>
                </c:pt>
              </c:numCache>
            </c:numRef>
          </c:cat>
          <c:val>
            <c:numRef>
              <c:f>Motoryzacja!$L$16:$L$20</c:f>
              <c:numCache>
                <c:formatCode>General</c:formatCode>
                <c:ptCount val="5"/>
                <c:pt idx="0" formatCode="0.0">
                  <c:v>5</c:v>
                </c:pt>
                <c:pt idx="1">
                  <c:v>4.9000000000000004</c:v>
                </c:pt>
                <c:pt idx="2">
                  <c:v>4.5999999999999996</c:v>
                </c:pt>
                <c:pt idx="3">
                  <c:v>4.9000000000000004</c:v>
                </c:pt>
                <c:pt idx="4">
                  <c:v>5.6</c:v>
                </c:pt>
              </c:numCache>
            </c:numRef>
          </c:val>
          <c:extLst>
            <c:ext xmlns:c16="http://schemas.microsoft.com/office/drawing/2014/chart" uri="{C3380CC4-5D6E-409C-BE32-E72D297353CC}">
              <c16:uniqueId val="{00000000-B508-48EF-B5D7-87B90EE55C43}"/>
            </c:ext>
          </c:extLst>
        </c:ser>
        <c:ser>
          <c:idx val="1"/>
          <c:order val="1"/>
          <c:tx>
            <c:strRef>
              <c:f>Motoryzacja!$M$15</c:f>
              <c:strCache>
                <c:ptCount val="1"/>
                <c:pt idx="0">
                  <c:v>woj. podkarpackie</c:v>
                </c:pt>
              </c:strCache>
            </c:strRef>
          </c:tx>
          <c:spPr>
            <a:solidFill>
              <a:schemeClr val="accent2"/>
            </a:solidFill>
            <a:ln>
              <a:noFill/>
            </a:ln>
            <a:effectLst/>
          </c:spPr>
          <c:invertIfNegative val="0"/>
          <c:cat>
            <c:numRef>
              <c:f>Motoryzacja!$K$16:$K$20</c:f>
              <c:numCache>
                <c:formatCode>General</c:formatCode>
                <c:ptCount val="5"/>
                <c:pt idx="0">
                  <c:v>2017</c:v>
                </c:pt>
                <c:pt idx="1">
                  <c:v>2018</c:v>
                </c:pt>
                <c:pt idx="2">
                  <c:v>2019</c:v>
                </c:pt>
                <c:pt idx="3">
                  <c:v>2020</c:v>
                </c:pt>
                <c:pt idx="4">
                  <c:v>2021</c:v>
                </c:pt>
              </c:numCache>
            </c:numRef>
          </c:cat>
          <c:val>
            <c:numRef>
              <c:f>Motoryzacja!$M$16:$M$20</c:f>
              <c:numCache>
                <c:formatCode>General</c:formatCode>
                <c:ptCount val="5"/>
                <c:pt idx="0">
                  <c:v>4.3</c:v>
                </c:pt>
                <c:pt idx="1">
                  <c:v>4.5</c:v>
                </c:pt>
                <c:pt idx="2">
                  <c:v>4.0999999999999996</c:v>
                </c:pt>
                <c:pt idx="3">
                  <c:v>3.8</c:v>
                </c:pt>
                <c:pt idx="4">
                  <c:v>5.5</c:v>
                </c:pt>
              </c:numCache>
            </c:numRef>
          </c:val>
          <c:extLst>
            <c:ext xmlns:c16="http://schemas.microsoft.com/office/drawing/2014/chart" uri="{C3380CC4-5D6E-409C-BE32-E72D297353CC}">
              <c16:uniqueId val="{00000001-B508-48EF-B5D7-87B90EE55C43}"/>
            </c:ext>
          </c:extLst>
        </c:ser>
        <c:ser>
          <c:idx val="2"/>
          <c:order val="2"/>
          <c:tx>
            <c:strRef>
              <c:f>Motoryzacja!$N$15</c:f>
              <c:strCache>
                <c:ptCount val="1"/>
                <c:pt idx="0">
                  <c:v>Sektor motoryzacyjny</c:v>
                </c:pt>
              </c:strCache>
            </c:strRef>
          </c:tx>
          <c:spPr>
            <a:solidFill>
              <a:schemeClr val="accent3"/>
            </a:solidFill>
            <a:ln>
              <a:noFill/>
            </a:ln>
            <a:effectLst/>
          </c:spPr>
          <c:invertIfNegative val="0"/>
          <c:cat>
            <c:numRef>
              <c:f>Motoryzacja!$K$16:$K$20</c:f>
              <c:numCache>
                <c:formatCode>General</c:formatCode>
                <c:ptCount val="5"/>
                <c:pt idx="0">
                  <c:v>2017</c:v>
                </c:pt>
                <c:pt idx="1">
                  <c:v>2018</c:v>
                </c:pt>
                <c:pt idx="2">
                  <c:v>2019</c:v>
                </c:pt>
                <c:pt idx="3">
                  <c:v>2020</c:v>
                </c:pt>
                <c:pt idx="4">
                  <c:v>2021</c:v>
                </c:pt>
              </c:numCache>
            </c:numRef>
          </c:cat>
          <c:val>
            <c:numRef>
              <c:f>Motoryzacja!$N$16:$N$20</c:f>
              <c:numCache>
                <c:formatCode>0.0</c:formatCode>
                <c:ptCount val="5"/>
                <c:pt idx="0" formatCode="General">
                  <c:v>8.1</c:v>
                </c:pt>
                <c:pt idx="1">
                  <c:v>7.3</c:v>
                </c:pt>
                <c:pt idx="2">
                  <c:v>8</c:v>
                </c:pt>
                <c:pt idx="3">
                  <c:v>6.9</c:v>
                </c:pt>
                <c:pt idx="4">
                  <c:v>6.8</c:v>
                </c:pt>
              </c:numCache>
            </c:numRef>
          </c:val>
          <c:extLst>
            <c:ext xmlns:c16="http://schemas.microsoft.com/office/drawing/2014/chart" uri="{C3380CC4-5D6E-409C-BE32-E72D297353CC}">
              <c16:uniqueId val="{00000002-B508-48EF-B5D7-87B90EE55C43}"/>
            </c:ext>
          </c:extLst>
        </c:ser>
        <c:dLbls>
          <c:showLegendKey val="0"/>
          <c:showVal val="0"/>
          <c:showCatName val="0"/>
          <c:showSerName val="0"/>
          <c:showPercent val="0"/>
          <c:showBubbleSize val="0"/>
        </c:dLbls>
        <c:gapWidth val="219"/>
        <c:overlap val="-27"/>
        <c:axId val="633097976"/>
        <c:axId val="633096016"/>
      </c:barChart>
      <c:catAx>
        <c:axId val="633097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33096016"/>
        <c:crosses val="autoZero"/>
        <c:auto val="1"/>
        <c:lblAlgn val="ctr"/>
        <c:lblOffset val="100"/>
        <c:noMultiLvlLbl val="0"/>
      </c:catAx>
      <c:valAx>
        <c:axId val="6330960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33097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sz="1000"/>
              <a:t>%</a:t>
            </a:r>
          </a:p>
        </c:rich>
      </c:tx>
      <c:layout>
        <c:manualLayout>
          <c:xMode val="edge"/>
          <c:yMode val="edge"/>
          <c:x val="4.8011818293733834E-2"/>
          <c:y val="3.7691401648998819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Motoryzacja!$F$15</c:f>
              <c:strCache>
                <c:ptCount val="1"/>
                <c:pt idx="0">
                  <c:v>Polska</c:v>
                </c:pt>
              </c:strCache>
            </c:strRef>
          </c:tx>
          <c:spPr>
            <a:solidFill>
              <a:schemeClr val="accent1"/>
            </a:solidFill>
            <a:ln>
              <a:noFill/>
            </a:ln>
            <a:effectLst/>
          </c:spPr>
          <c:invertIfNegative val="0"/>
          <c:cat>
            <c:numRef>
              <c:f>Motoryzacja!$E$16:$E$20</c:f>
              <c:numCache>
                <c:formatCode>General</c:formatCode>
                <c:ptCount val="5"/>
                <c:pt idx="0">
                  <c:v>2017</c:v>
                </c:pt>
                <c:pt idx="1">
                  <c:v>2018</c:v>
                </c:pt>
                <c:pt idx="2">
                  <c:v>2019</c:v>
                </c:pt>
                <c:pt idx="3">
                  <c:v>2020</c:v>
                </c:pt>
                <c:pt idx="4">
                  <c:v>2021</c:v>
                </c:pt>
              </c:numCache>
            </c:numRef>
          </c:cat>
          <c:val>
            <c:numRef>
              <c:f>Motoryzacja!$F$16:$F$20</c:f>
              <c:numCache>
                <c:formatCode>General</c:formatCode>
                <c:ptCount val="5"/>
                <c:pt idx="0">
                  <c:v>4.9000000000000004</c:v>
                </c:pt>
                <c:pt idx="1">
                  <c:v>4.3</c:v>
                </c:pt>
                <c:pt idx="2">
                  <c:v>3.9</c:v>
                </c:pt>
                <c:pt idx="3">
                  <c:v>3.6</c:v>
                </c:pt>
                <c:pt idx="4">
                  <c:v>6.1</c:v>
                </c:pt>
              </c:numCache>
            </c:numRef>
          </c:val>
          <c:extLst>
            <c:ext xmlns:c16="http://schemas.microsoft.com/office/drawing/2014/chart" uri="{C3380CC4-5D6E-409C-BE32-E72D297353CC}">
              <c16:uniqueId val="{00000000-CF1F-401C-85F8-86687CC3D7FB}"/>
            </c:ext>
          </c:extLst>
        </c:ser>
        <c:ser>
          <c:idx val="1"/>
          <c:order val="1"/>
          <c:tx>
            <c:strRef>
              <c:f>Motoryzacja!$G$15</c:f>
              <c:strCache>
                <c:ptCount val="1"/>
                <c:pt idx="0">
                  <c:v>woj. podkarpackie</c:v>
                </c:pt>
              </c:strCache>
            </c:strRef>
          </c:tx>
          <c:spPr>
            <a:solidFill>
              <a:schemeClr val="accent2"/>
            </a:solidFill>
            <a:ln>
              <a:noFill/>
            </a:ln>
            <a:effectLst/>
          </c:spPr>
          <c:invertIfNegative val="0"/>
          <c:cat>
            <c:numRef>
              <c:f>Motoryzacja!$E$16:$E$20</c:f>
              <c:numCache>
                <c:formatCode>General</c:formatCode>
                <c:ptCount val="5"/>
                <c:pt idx="0">
                  <c:v>2017</c:v>
                </c:pt>
                <c:pt idx="1">
                  <c:v>2018</c:v>
                </c:pt>
                <c:pt idx="2">
                  <c:v>2019</c:v>
                </c:pt>
                <c:pt idx="3">
                  <c:v>2020</c:v>
                </c:pt>
                <c:pt idx="4">
                  <c:v>2021</c:v>
                </c:pt>
              </c:numCache>
            </c:numRef>
          </c:cat>
          <c:val>
            <c:numRef>
              <c:f>Motoryzacja!$G$16:$G$20</c:f>
              <c:numCache>
                <c:formatCode>General</c:formatCode>
                <c:ptCount val="5"/>
                <c:pt idx="0" formatCode="0.0">
                  <c:v>6</c:v>
                </c:pt>
                <c:pt idx="1">
                  <c:v>4.5999999999999996</c:v>
                </c:pt>
                <c:pt idx="2">
                  <c:v>5.2</c:v>
                </c:pt>
                <c:pt idx="3">
                  <c:v>5.6</c:v>
                </c:pt>
                <c:pt idx="4">
                  <c:v>7.1</c:v>
                </c:pt>
              </c:numCache>
            </c:numRef>
          </c:val>
          <c:extLst>
            <c:ext xmlns:c16="http://schemas.microsoft.com/office/drawing/2014/chart" uri="{C3380CC4-5D6E-409C-BE32-E72D297353CC}">
              <c16:uniqueId val="{00000001-CF1F-401C-85F8-86687CC3D7FB}"/>
            </c:ext>
          </c:extLst>
        </c:ser>
        <c:ser>
          <c:idx val="2"/>
          <c:order val="2"/>
          <c:tx>
            <c:strRef>
              <c:f>Motoryzacja!$H$15</c:f>
              <c:strCache>
                <c:ptCount val="1"/>
                <c:pt idx="0">
                  <c:v>Sektor motoryzacyjny</c:v>
                </c:pt>
              </c:strCache>
            </c:strRef>
          </c:tx>
          <c:spPr>
            <a:solidFill>
              <a:schemeClr val="accent3"/>
            </a:solidFill>
            <a:ln>
              <a:noFill/>
            </a:ln>
            <a:effectLst/>
          </c:spPr>
          <c:invertIfNegative val="0"/>
          <c:cat>
            <c:numRef>
              <c:f>Motoryzacja!$E$16:$E$20</c:f>
              <c:numCache>
                <c:formatCode>General</c:formatCode>
                <c:ptCount val="5"/>
                <c:pt idx="0">
                  <c:v>2017</c:v>
                </c:pt>
                <c:pt idx="1">
                  <c:v>2018</c:v>
                </c:pt>
                <c:pt idx="2">
                  <c:v>2019</c:v>
                </c:pt>
                <c:pt idx="3">
                  <c:v>2020</c:v>
                </c:pt>
                <c:pt idx="4">
                  <c:v>2021</c:v>
                </c:pt>
              </c:numCache>
            </c:numRef>
          </c:cat>
          <c:val>
            <c:numRef>
              <c:f>Motoryzacja!$H$16:$H$20</c:f>
              <c:numCache>
                <c:formatCode>0.0</c:formatCode>
                <c:ptCount val="5"/>
                <c:pt idx="0" formatCode="General">
                  <c:v>8.5</c:v>
                </c:pt>
                <c:pt idx="1">
                  <c:v>7.4</c:v>
                </c:pt>
                <c:pt idx="2">
                  <c:v>8.5</c:v>
                </c:pt>
                <c:pt idx="3">
                  <c:v>7</c:v>
                </c:pt>
                <c:pt idx="4">
                  <c:v>6.7</c:v>
                </c:pt>
              </c:numCache>
            </c:numRef>
          </c:val>
          <c:extLst>
            <c:ext xmlns:c16="http://schemas.microsoft.com/office/drawing/2014/chart" uri="{C3380CC4-5D6E-409C-BE32-E72D297353CC}">
              <c16:uniqueId val="{00000002-CF1F-401C-85F8-86687CC3D7FB}"/>
            </c:ext>
          </c:extLst>
        </c:ser>
        <c:dLbls>
          <c:showLegendKey val="0"/>
          <c:showVal val="0"/>
          <c:showCatName val="0"/>
          <c:showSerName val="0"/>
          <c:showPercent val="0"/>
          <c:showBubbleSize val="0"/>
        </c:dLbls>
        <c:gapWidth val="219"/>
        <c:overlap val="-27"/>
        <c:axId val="633096408"/>
        <c:axId val="633099936"/>
      </c:barChart>
      <c:catAx>
        <c:axId val="633096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33099936"/>
        <c:crosses val="autoZero"/>
        <c:auto val="1"/>
        <c:lblAlgn val="ctr"/>
        <c:lblOffset val="100"/>
        <c:noMultiLvlLbl val="0"/>
      </c:catAx>
      <c:valAx>
        <c:axId val="6330999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33096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sz="1000">
                <a:solidFill>
                  <a:schemeClr val="tx1"/>
                </a:solidFill>
              </a:rPr>
              <a:t>%</a:t>
            </a:r>
          </a:p>
        </c:rich>
      </c:tx>
      <c:layout>
        <c:manualLayout>
          <c:xMode val="edge"/>
          <c:yMode val="edge"/>
          <c:x val="6.3919317777585499E-2"/>
          <c:y val="3.7037037037037035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Motoryzacja!$F$43</c:f>
              <c:strCache>
                <c:ptCount val="1"/>
                <c:pt idx="0">
                  <c:v>Polska</c:v>
                </c:pt>
              </c:strCache>
            </c:strRef>
          </c:tx>
          <c:spPr>
            <a:solidFill>
              <a:schemeClr val="accent1"/>
            </a:solidFill>
            <a:ln>
              <a:noFill/>
            </a:ln>
            <a:effectLst/>
          </c:spPr>
          <c:invertIfNegative val="0"/>
          <c:cat>
            <c:numRef>
              <c:f>Motoryzacja!$E$44:$E$48</c:f>
              <c:numCache>
                <c:formatCode>General</c:formatCode>
                <c:ptCount val="5"/>
                <c:pt idx="0">
                  <c:v>2017</c:v>
                </c:pt>
                <c:pt idx="1">
                  <c:v>2018</c:v>
                </c:pt>
                <c:pt idx="2">
                  <c:v>2019</c:v>
                </c:pt>
                <c:pt idx="3">
                  <c:v>2020</c:v>
                </c:pt>
                <c:pt idx="4">
                  <c:v>2021</c:v>
                </c:pt>
              </c:numCache>
            </c:numRef>
          </c:cat>
          <c:val>
            <c:numRef>
              <c:f>Motoryzacja!$F$44:$F$48</c:f>
              <c:numCache>
                <c:formatCode>0.0</c:formatCode>
                <c:ptCount val="5"/>
                <c:pt idx="0">
                  <c:v>10</c:v>
                </c:pt>
                <c:pt idx="1">
                  <c:v>9</c:v>
                </c:pt>
                <c:pt idx="2" formatCode="General">
                  <c:v>8.4</c:v>
                </c:pt>
                <c:pt idx="3" formatCode="General">
                  <c:v>7.9</c:v>
                </c:pt>
                <c:pt idx="4">
                  <c:v>13.5</c:v>
                </c:pt>
              </c:numCache>
            </c:numRef>
          </c:val>
          <c:extLst>
            <c:ext xmlns:c16="http://schemas.microsoft.com/office/drawing/2014/chart" uri="{C3380CC4-5D6E-409C-BE32-E72D297353CC}">
              <c16:uniqueId val="{00000000-EC82-4C98-8809-BB0608CD2B20}"/>
            </c:ext>
          </c:extLst>
        </c:ser>
        <c:ser>
          <c:idx val="1"/>
          <c:order val="1"/>
          <c:tx>
            <c:strRef>
              <c:f>Motoryzacja!$G$43</c:f>
              <c:strCache>
                <c:ptCount val="1"/>
                <c:pt idx="0">
                  <c:v>woj. podkarpackie</c:v>
                </c:pt>
              </c:strCache>
            </c:strRef>
          </c:tx>
          <c:spPr>
            <a:solidFill>
              <a:schemeClr val="accent2"/>
            </a:solidFill>
            <a:ln>
              <a:noFill/>
            </a:ln>
            <a:effectLst/>
          </c:spPr>
          <c:invertIfNegative val="0"/>
          <c:cat>
            <c:numRef>
              <c:f>Motoryzacja!$E$44:$E$48</c:f>
              <c:numCache>
                <c:formatCode>General</c:formatCode>
                <c:ptCount val="5"/>
                <c:pt idx="0">
                  <c:v>2017</c:v>
                </c:pt>
                <c:pt idx="1">
                  <c:v>2018</c:v>
                </c:pt>
                <c:pt idx="2">
                  <c:v>2019</c:v>
                </c:pt>
                <c:pt idx="3">
                  <c:v>2020</c:v>
                </c:pt>
                <c:pt idx="4">
                  <c:v>2021</c:v>
                </c:pt>
              </c:numCache>
            </c:numRef>
          </c:cat>
          <c:val>
            <c:numRef>
              <c:f>Motoryzacja!$G$44:$G$48</c:f>
              <c:numCache>
                <c:formatCode>General</c:formatCode>
                <c:ptCount val="5"/>
                <c:pt idx="0">
                  <c:v>10.9</c:v>
                </c:pt>
                <c:pt idx="1">
                  <c:v>8.8000000000000007</c:v>
                </c:pt>
                <c:pt idx="2" formatCode="0.0">
                  <c:v>10</c:v>
                </c:pt>
                <c:pt idx="3">
                  <c:v>10.6</c:v>
                </c:pt>
                <c:pt idx="4" formatCode="0.0">
                  <c:v>14.1</c:v>
                </c:pt>
              </c:numCache>
            </c:numRef>
          </c:val>
          <c:extLst>
            <c:ext xmlns:c16="http://schemas.microsoft.com/office/drawing/2014/chart" uri="{C3380CC4-5D6E-409C-BE32-E72D297353CC}">
              <c16:uniqueId val="{00000001-EC82-4C98-8809-BB0608CD2B20}"/>
            </c:ext>
          </c:extLst>
        </c:ser>
        <c:ser>
          <c:idx val="2"/>
          <c:order val="2"/>
          <c:tx>
            <c:strRef>
              <c:f>Motoryzacja!$H$43</c:f>
              <c:strCache>
                <c:ptCount val="1"/>
                <c:pt idx="0">
                  <c:v>Sektor motoryzacyjny</c:v>
                </c:pt>
              </c:strCache>
            </c:strRef>
          </c:tx>
          <c:spPr>
            <a:solidFill>
              <a:schemeClr val="accent3"/>
            </a:solidFill>
            <a:ln>
              <a:noFill/>
            </a:ln>
            <a:effectLst/>
          </c:spPr>
          <c:invertIfNegative val="0"/>
          <c:cat>
            <c:numRef>
              <c:f>Motoryzacja!$E$44:$E$48</c:f>
              <c:numCache>
                <c:formatCode>General</c:formatCode>
                <c:ptCount val="5"/>
                <c:pt idx="0">
                  <c:v>2017</c:v>
                </c:pt>
                <c:pt idx="1">
                  <c:v>2018</c:v>
                </c:pt>
                <c:pt idx="2">
                  <c:v>2019</c:v>
                </c:pt>
                <c:pt idx="3">
                  <c:v>2020</c:v>
                </c:pt>
                <c:pt idx="4">
                  <c:v>2021</c:v>
                </c:pt>
              </c:numCache>
            </c:numRef>
          </c:cat>
          <c:val>
            <c:numRef>
              <c:f>Motoryzacja!$H$44:$H$48</c:f>
              <c:numCache>
                <c:formatCode>0.0</c:formatCode>
                <c:ptCount val="5"/>
                <c:pt idx="0" formatCode="General">
                  <c:v>13.6</c:v>
                </c:pt>
                <c:pt idx="1">
                  <c:v>12.2</c:v>
                </c:pt>
                <c:pt idx="2">
                  <c:v>13.9</c:v>
                </c:pt>
                <c:pt idx="3">
                  <c:v>11.7</c:v>
                </c:pt>
                <c:pt idx="4">
                  <c:v>11.6</c:v>
                </c:pt>
              </c:numCache>
            </c:numRef>
          </c:val>
          <c:extLst>
            <c:ext xmlns:c16="http://schemas.microsoft.com/office/drawing/2014/chart" uri="{C3380CC4-5D6E-409C-BE32-E72D297353CC}">
              <c16:uniqueId val="{00000002-EC82-4C98-8809-BB0608CD2B20}"/>
            </c:ext>
          </c:extLst>
        </c:ser>
        <c:dLbls>
          <c:showLegendKey val="0"/>
          <c:showVal val="0"/>
          <c:showCatName val="0"/>
          <c:showSerName val="0"/>
          <c:showPercent val="0"/>
          <c:showBubbleSize val="0"/>
        </c:dLbls>
        <c:gapWidth val="219"/>
        <c:overlap val="-27"/>
        <c:axId val="633101112"/>
        <c:axId val="633104248"/>
      </c:barChart>
      <c:catAx>
        <c:axId val="633101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633104248"/>
        <c:crosses val="autoZero"/>
        <c:auto val="1"/>
        <c:lblAlgn val="ctr"/>
        <c:lblOffset val="100"/>
        <c:noMultiLvlLbl val="0"/>
      </c:catAx>
      <c:valAx>
        <c:axId val="6331042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633101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Motoryzacja!$I$71</c:f>
              <c:strCache>
                <c:ptCount val="1"/>
                <c:pt idx="0">
                  <c:v>woj. podkarpackie</c:v>
                </c:pt>
              </c:strCache>
            </c:strRef>
          </c:tx>
          <c:spPr>
            <a:ln w="28575" cap="rnd">
              <a:solidFill>
                <a:schemeClr val="accent1"/>
              </a:solidFill>
              <a:round/>
            </a:ln>
            <a:effectLst/>
          </c:spPr>
          <c:marker>
            <c:symbol val="none"/>
          </c:marker>
          <c:cat>
            <c:numRef>
              <c:f>Motoryzacja!$H$72:$H$75</c:f>
              <c:numCache>
                <c:formatCode>General</c:formatCode>
                <c:ptCount val="4"/>
                <c:pt idx="0">
                  <c:v>2018</c:v>
                </c:pt>
                <c:pt idx="1">
                  <c:v>2019</c:v>
                </c:pt>
                <c:pt idx="2">
                  <c:v>2020</c:v>
                </c:pt>
                <c:pt idx="3">
                  <c:v>2021</c:v>
                </c:pt>
              </c:numCache>
            </c:numRef>
          </c:cat>
          <c:val>
            <c:numRef>
              <c:f>Motoryzacja!$I$72:$I$75</c:f>
              <c:numCache>
                <c:formatCode>General</c:formatCode>
                <c:ptCount val="4"/>
                <c:pt idx="0">
                  <c:v>103.7</c:v>
                </c:pt>
                <c:pt idx="1">
                  <c:v>99.8</c:v>
                </c:pt>
                <c:pt idx="2">
                  <c:v>94</c:v>
                </c:pt>
                <c:pt idx="3">
                  <c:v>100.8</c:v>
                </c:pt>
              </c:numCache>
            </c:numRef>
          </c:val>
          <c:smooth val="0"/>
          <c:extLst>
            <c:ext xmlns:c16="http://schemas.microsoft.com/office/drawing/2014/chart" uri="{C3380CC4-5D6E-409C-BE32-E72D297353CC}">
              <c16:uniqueId val="{00000000-BE79-4A67-A184-115805AE4FAD}"/>
            </c:ext>
          </c:extLst>
        </c:ser>
        <c:ser>
          <c:idx val="1"/>
          <c:order val="1"/>
          <c:tx>
            <c:strRef>
              <c:f>Motoryzacja!$J$71</c:f>
              <c:strCache>
                <c:ptCount val="1"/>
                <c:pt idx="0">
                  <c:v>Sektor motoryzacyjny</c:v>
                </c:pt>
              </c:strCache>
            </c:strRef>
          </c:tx>
          <c:spPr>
            <a:ln w="28575" cap="rnd">
              <a:solidFill>
                <a:schemeClr val="accent2"/>
              </a:solidFill>
              <a:round/>
            </a:ln>
            <a:effectLst/>
          </c:spPr>
          <c:marker>
            <c:symbol val="none"/>
          </c:marker>
          <c:cat>
            <c:numRef>
              <c:f>Motoryzacja!$H$72:$H$75</c:f>
              <c:numCache>
                <c:formatCode>General</c:formatCode>
                <c:ptCount val="4"/>
                <c:pt idx="0">
                  <c:v>2018</c:v>
                </c:pt>
                <c:pt idx="1">
                  <c:v>2019</c:v>
                </c:pt>
                <c:pt idx="2">
                  <c:v>2020</c:v>
                </c:pt>
                <c:pt idx="3">
                  <c:v>2021</c:v>
                </c:pt>
              </c:numCache>
            </c:numRef>
          </c:cat>
          <c:val>
            <c:numRef>
              <c:f>Motoryzacja!$J$72:$J$75</c:f>
              <c:numCache>
                <c:formatCode>General</c:formatCode>
                <c:ptCount val="4"/>
                <c:pt idx="0">
                  <c:v>106.2</c:v>
                </c:pt>
                <c:pt idx="1">
                  <c:v>102.1</c:v>
                </c:pt>
                <c:pt idx="2">
                  <c:v>94</c:v>
                </c:pt>
                <c:pt idx="3">
                  <c:v>103</c:v>
                </c:pt>
              </c:numCache>
            </c:numRef>
          </c:val>
          <c:smooth val="0"/>
          <c:extLst>
            <c:ext xmlns:c16="http://schemas.microsoft.com/office/drawing/2014/chart" uri="{C3380CC4-5D6E-409C-BE32-E72D297353CC}">
              <c16:uniqueId val="{00000001-BE79-4A67-A184-115805AE4FAD}"/>
            </c:ext>
          </c:extLst>
        </c:ser>
        <c:dLbls>
          <c:showLegendKey val="0"/>
          <c:showVal val="0"/>
          <c:showCatName val="0"/>
          <c:showSerName val="0"/>
          <c:showPercent val="0"/>
          <c:showBubbleSize val="0"/>
        </c:dLbls>
        <c:smooth val="0"/>
        <c:axId val="633103072"/>
        <c:axId val="460828168"/>
      </c:lineChart>
      <c:catAx>
        <c:axId val="633103072"/>
        <c:scaling>
          <c:orientation val="minMax"/>
        </c:scaling>
        <c:delete val="0"/>
        <c:axPos val="b"/>
        <c:numFmt formatCode="General" sourceLinked="1"/>
        <c:majorTickMark val="none"/>
        <c:minorTickMark val="none"/>
        <c:tickLblPos val="low"/>
        <c:spPr>
          <a:noFill/>
          <a:ln w="19050" cap="flat" cmpd="sng" algn="ctr">
            <a:solidFill>
              <a:schemeClr val="tx1">
                <a:lumMod val="65000"/>
                <a:lumOff val="3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0828168"/>
        <c:crossesAt val="100"/>
        <c:auto val="1"/>
        <c:lblAlgn val="ctr"/>
        <c:lblOffset val="100"/>
        <c:noMultiLvlLbl val="0"/>
      </c:catAx>
      <c:valAx>
        <c:axId val="460828168"/>
        <c:scaling>
          <c:orientation val="minMax"/>
          <c:min val="93"/>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3310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sprzedaż!$L$29</c:f>
              <c:strCache>
                <c:ptCount val="1"/>
                <c:pt idx="0">
                  <c:v>woj. podkarpackie</c:v>
                </c:pt>
              </c:strCache>
            </c:strRef>
          </c:tx>
          <c:spPr>
            <a:ln w="28575" cap="rnd">
              <a:solidFill>
                <a:schemeClr val="accent1"/>
              </a:solidFill>
              <a:round/>
            </a:ln>
            <a:effectLst/>
          </c:spPr>
          <c:marker>
            <c:symbol val="none"/>
          </c:marker>
          <c:cat>
            <c:numRef>
              <c:f>sprzedaż!$K$30:$K$34</c:f>
              <c:numCache>
                <c:formatCode>General</c:formatCode>
                <c:ptCount val="5"/>
                <c:pt idx="0">
                  <c:v>2017</c:v>
                </c:pt>
                <c:pt idx="1">
                  <c:v>2018</c:v>
                </c:pt>
                <c:pt idx="2">
                  <c:v>2019</c:v>
                </c:pt>
                <c:pt idx="3">
                  <c:v>2020</c:v>
                </c:pt>
                <c:pt idx="4">
                  <c:v>2021</c:v>
                </c:pt>
              </c:numCache>
            </c:numRef>
          </c:cat>
          <c:val>
            <c:numRef>
              <c:f>sprzedaż!$L$30:$L$34</c:f>
              <c:numCache>
                <c:formatCode>0.0</c:formatCode>
                <c:ptCount val="5"/>
                <c:pt idx="0">
                  <c:v>131.69999999999999</c:v>
                </c:pt>
                <c:pt idx="1">
                  <c:v>142.5</c:v>
                </c:pt>
                <c:pt idx="2">
                  <c:v>153.5</c:v>
                </c:pt>
                <c:pt idx="3">
                  <c:v>137.80000000000001</c:v>
                </c:pt>
                <c:pt idx="4">
                  <c:v>155.9</c:v>
                </c:pt>
              </c:numCache>
            </c:numRef>
          </c:val>
          <c:smooth val="0"/>
          <c:extLst>
            <c:ext xmlns:c16="http://schemas.microsoft.com/office/drawing/2014/chart" uri="{C3380CC4-5D6E-409C-BE32-E72D297353CC}">
              <c16:uniqueId val="{00000000-23BE-4F8C-B8BA-B5667A7B571F}"/>
            </c:ext>
          </c:extLst>
        </c:ser>
        <c:ser>
          <c:idx val="1"/>
          <c:order val="1"/>
          <c:tx>
            <c:strRef>
              <c:f>sprzedaż!$M$29</c:f>
              <c:strCache>
                <c:ptCount val="1"/>
                <c:pt idx="0">
                  <c:v>Sektor motoryzacyjny</c:v>
                </c:pt>
              </c:strCache>
            </c:strRef>
          </c:tx>
          <c:spPr>
            <a:ln w="28575" cap="rnd">
              <a:solidFill>
                <a:schemeClr val="accent2"/>
              </a:solidFill>
              <a:round/>
            </a:ln>
            <a:effectLst/>
          </c:spPr>
          <c:marker>
            <c:symbol val="none"/>
          </c:marker>
          <c:cat>
            <c:numRef>
              <c:f>sprzedaż!$K$30:$K$34</c:f>
              <c:numCache>
                <c:formatCode>General</c:formatCode>
                <c:ptCount val="5"/>
                <c:pt idx="0">
                  <c:v>2017</c:v>
                </c:pt>
                <c:pt idx="1">
                  <c:v>2018</c:v>
                </c:pt>
                <c:pt idx="2">
                  <c:v>2019</c:v>
                </c:pt>
                <c:pt idx="3">
                  <c:v>2020</c:v>
                </c:pt>
                <c:pt idx="4">
                  <c:v>2021</c:v>
                </c:pt>
              </c:numCache>
            </c:numRef>
          </c:cat>
          <c:val>
            <c:numRef>
              <c:f>sprzedaż!$M$30:$M$34</c:f>
              <c:numCache>
                <c:formatCode>0.0</c:formatCode>
                <c:ptCount val="5"/>
                <c:pt idx="0">
                  <c:v>122.4</c:v>
                </c:pt>
                <c:pt idx="1">
                  <c:v>125.6</c:v>
                </c:pt>
                <c:pt idx="2">
                  <c:v>168.7</c:v>
                </c:pt>
                <c:pt idx="3">
                  <c:v>161.4</c:v>
                </c:pt>
                <c:pt idx="4">
                  <c:v>187.7</c:v>
                </c:pt>
              </c:numCache>
            </c:numRef>
          </c:val>
          <c:smooth val="0"/>
          <c:extLst>
            <c:ext xmlns:c16="http://schemas.microsoft.com/office/drawing/2014/chart" uri="{C3380CC4-5D6E-409C-BE32-E72D297353CC}">
              <c16:uniqueId val="{00000001-23BE-4F8C-B8BA-B5667A7B571F}"/>
            </c:ext>
          </c:extLst>
        </c:ser>
        <c:dLbls>
          <c:showLegendKey val="0"/>
          <c:showVal val="0"/>
          <c:showCatName val="0"/>
          <c:showSerName val="0"/>
          <c:showPercent val="0"/>
          <c:showBubbleSize val="0"/>
        </c:dLbls>
        <c:smooth val="0"/>
        <c:axId val="460830520"/>
        <c:axId val="460830912"/>
        <c:extLst>
          <c:ext xmlns:c15="http://schemas.microsoft.com/office/drawing/2012/chart" uri="{02D57815-91ED-43cb-92C2-25804820EDAC}">
            <c15:filteredLineSeries>
              <c15:ser>
                <c:idx val="2"/>
                <c:order val="2"/>
                <c:tx>
                  <c:strRef>
                    <c:extLst>
                      <c:ext uri="{02D57815-91ED-43cb-92C2-25804820EDAC}">
                        <c15:formulaRef>
                          <c15:sqref>sprzedaż!$N$29</c15:sqref>
                        </c15:formulaRef>
                      </c:ext>
                    </c:extLst>
                    <c:strCache>
                      <c:ptCount val="1"/>
                    </c:strCache>
                  </c:strRef>
                </c:tx>
                <c:spPr>
                  <a:ln w="28575" cap="rnd">
                    <a:solidFill>
                      <a:schemeClr val="accent3"/>
                    </a:solidFill>
                    <a:round/>
                  </a:ln>
                  <a:effectLst/>
                </c:spPr>
                <c:marker>
                  <c:symbol val="none"/>
                </c:marker>
                <c:cat>
                  <c:numRef>
                    <c:extLst>
                      <c:ext uri="{02D57815-91ED-43cb-92C2-25804820EDAC}">
                        <c15:formulaRef>
                          <c15:sqref>sprzedaż!$K$30:$K$34</c15:sqref>
                        </c15:formulaRef>
                      </c:ext>
                    </c:extLst>
                    <c:numCache>
                      <c:formatCode>General</c:formatCode>
                      <c:ptCount val="5"/>
                      <c:pt idx="0">
                        <c:v>2017</c:v>
                      </c:pt>
                      <c:pt idx="1">
                        <c:v>2018</c:v>
                      </c:pt>
                      <c:pt idx="2">
                        <c:v>2019</c:v>
                      </c:pt>
                      <c:pt idx="3">
                        <c:v>2020</c:v>
                      </c:pt>
                      <c:pt idx="4">
                        <c:v>2021</c:v>
                      </c:pt>
                    </c:numCache>
                  </c:numRef>
                </c:cat>
                <c:val>
                  <c:numRef>
                    <c:extLst>
                      <c:ext uri="{02D57815-91ED-43cb-92C2-25804820EDAC}">
                        <c15:formulaRef>
                          <c15:sqref>sprzedaż!$N$30:$N$34</c15:sqref>
                        </c15:formulaRef>
                      </c:ext>
                    </c:extLst>
                    <c:numCache>
                      <c:formatCode>General</c:formatCode>
                      <c:ptCount val="5"/>
                    </c:numCache>
                  </c:numRef>
                </c:val>
                <c:smooth val="0"/>
                <c:extLst>
                  <c:ext xmlns:c16="http://schemas.microsoft.com/office/drawing/2014/chart" uri="{C3380CC4-5D6E-409C-BE32-E72D297353CC}">
                    <c16:uniqueId val="{00000002-23BE-4F8C-B8BA-B5667A7B571F}"/>
                  </c:ext>
                </c:extLst>
              </c15:ser>
            </c15:filteredLineSeries>
          </c:ext>
        </c:extLst>
      </c:lineChart>
      <c:catAx>
        <c:axId val="460830520"/>
        <c:scaling>
          <c:orientation val="minMax"/>
        </c:scaling>
        <c:delete val="0"/>
        <c:axPos val="b"/>
        <c:numFmt formatCode="General" sourceLinked="1"/>
        <c:majorTickMark val="none"/>
        <c:minorTickMark val="none"/>
        <c:tickLblPos val="low"/>
        <c:spPr>
          <a:noFill/>
          <a:ln w="19050" cap="flat" cmpd="sng" algn="ctr">
            <a:solidFill>
              <a:schemeClr val="tx1">
                <a:lumMod val="65000"/>
                <a:lumOff val="3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0830912"/>
        <c:crossesAt val="100"/>
        <c:auto val="1"/>
        <c:lblAlgn val="ctr"/>
        <c:lblOffset val="100"/>
        <c:noMultiLvlLbl val="0"/>
      </c:catAx>
      <c:valAx>
        <c:axId val="460830912"/>
        <c:scaling>
          <c:orientation val="minMax"/>
          <c:min val="1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0830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sprzedaż!$K$41</c:f>
              <c:strCache>
                <c:ptCount val="1"/>
                <c:pt idx="0">
                  <c:v>woj. podkarpackie</c:v>
                </c:pt>
              </c:strCache>
            </c:strRef>
          </c:tx>
          <c:spPr>
            <a:ln w="28575" cap="rnd">
              <a:solidFill>
                <a:schemeClr val="accent1"/>
              </a:solidFill>
              <a:round/>
            </a:ln>
            <a:effectLst/>
          </c:spPr>
          <c:marker>
            <c:symbol val="none"/>
          </c:marker>
          <c:cat>
            <c:numRef>
              <c:f>sprzedaż!$J$42:$J$46</c:f>
              <c:numCache>
                <c:formatCode>General</c:formatCode>
                <c:ptCount val="5"/>
                <c:pt idx="0">
                  <c:v>2017</c:v>
                </c:pt>
                <c:pt idx="1">
                  <c:v>2018</c:v>
                </c:pt>
                <c:pt idx="2">
                  <c:v>2019</c:v>
                </c:pt>
                <c:pt idx="3">
                  <c:v>2020</c:v>
                </c:pt>
                <c:pt idx="4">
                  <c:v>2021</c:v>
                </c:pt>
              </c:numCache>
            </c:numRef>
          </c:cat>
          <c:val>
            <c:numRef>
              <c:f>sprzedaż!$K$42:$K$46</c:f>
              <c:numCache>
                <c:formatCode>0.0</c:formatCode>
                <c:ptCount val="5"/>
                <c:pt idx="0">
                  <c:v>246.6</c:v>
                </c:pt>
                <c:pt idx="1">
                  <c:v>267.10000000000002</c:v>
                </c:pt>
                <c:pt idx="2">
                  <c:v>282.32470000000006</c:v>
                </c:pt>
                <c:pt idx="3">
                  <c:v>239.4</c:v>
                </c:pt>
                <c:pt idx="4">
                  <c:v>301.39999999999998</c:v>
                </c:pt>
              </c:numCache>
            </c:numRef>
          </c:val>
          <c:smooth val="0"/>
          <c:extLst>
            <c:ext xmlns:c16="http://schemas.microsoft.com/office/drawing/2014/chart" uri="{C3380CC4-5D6E-409C-BE32-E72D297353CC}">
              <c16:uniqueId val="{00000000-B5BB-4EA2-BBEB-49BCC95E35A4}"/>
            </c:ext>
          </c:extLst>
        </c:ser>
        <c:ser>
          <c:idx val="1"/>
          <c:order val="1"/>
          <c:tx>
            <c:strRef>
              <c:f>sprzedaż!$L$41</c:f>
              <c:strCache>
                <c:ptCount val="1"/>
                <c:pt idx="0">
                  <c:v>Sektor motoryzacyjny</c:v>
                </c:pt>
              </c:strCache>
            </c:strRef>
          </c:tx>
          <c:spPr>
            <a:ln w="28575" cap="rnd">
              <a:solidFill>
                <a:schemeClr val="accent2"/>
              </a:solidFill>
              <a:round/>
            </a:ln>
            <a:effectLst/>
          </c:spPr>
          <c:marker>
            <c:symbol val="none"/>
          </c:marker>
          <c:cat>
            <c:numRef>
              <c:f>sprzedaż!$J$42:$J$46</c:f>
              <c:numCache>
                <c:formatCode>General</c:formatCode>
                <c:ptCount val="5"/>
                <c:pt idx="0">
                  <c:v>2017</c:v>
                </c:pt>
                <c:pt idx="1">
                  <c:v>2018</c:v>
                </c:pt>
                <c:pt idx="2">
                  <c:v>2019</c:v>
                </c:pt>
                <c:pt idx="3">
                  <c:v>2020</c:v>
                </c:pt>
                <c:pt idx="4">
                  <c:v>2021</c:v>
                </c:pt>
              </c:numCache>
            </c:numRef>
          </c:cat>
          <c:val>
            <c:numRef>
              <c:f>sprzedaż!$L$42:$L$46</c:f>
              <c:numCache>
                <c:formatCode>0.0</c:formatCode>
                <c:ptCount val="5"/>
                <c:pt idx="0">
                  <c:v>106.3</c:v>
                </c:pt>
                <c:pt idx="1">
                  <c:v>116.1</c:v>
                </c:pt>
                <c:pt idx="2">
                  <c:v>110.8</c:v>
                </c:pt>
                <c:pt idx="3">
                  <c:v>99.4</c:v>
                </c:pt>
                <c:pt idx="4">
                  <c:v>172.3</c:v>
                </c:pt>
              </c:numCache>
            </c:numRef>
          </c:val>
          <c:smooth val="0"/>
          <c:extLst>
            <c:ext xmlns:c16="http://schemas.microsoft.com/office/drawing/2014/chart" uri="{C3380CC4-5D6E-409C-BE32-E72D297353CC}">
              <c16:uniqueId val="{00000001-B5BB-4EA2-BBEB-49BCC95E35A4}"/>
            </c:ext>
          </c:extLst>
        </c:ser>
        <c:dLbls>
          <c:showLegendKey val="0"/>
          <c:showVal val="0"/>
          <c:showCatName val="0"/>
          <c:showSerName val="0"/>
          <c:showPercent val="0"/>
          <c:showBubbleSize val="0"/>
        </c:dLbls>
        <c:smooth val="0"/>
        <c:axId val="460828952"/>
        <c:axId val="460829344"/>
      </c:lineChart>
      <c:catAx>
        <c:axId val="460828952"/>
        <c:scaling>
          <c:orientation val="minMax"/>
        </c:scaling>
        <c:delete val="0"/>
        <c:axPos val="b"/>
        <c:numFmt formatCode="General" sourceLinked="1"/>
        <c:majorTickMark val="none"/>
        <c:minorTickMark val="none"/>
        <c:tickLblPos val="low"/>
        <c:spPr>
          <a:noFill/>
          <a:ln w="19050" cap="flat" cmpd="sng" algn="ctr">
            <a:solidFill>
              <a:schemeClr val="tx1">
                <a:lumMod val="65000"/>
                <a:lumOff val="3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0829344"/>
        <c:crossesAt val="100"/>
        <c:auto val="1"/>
        <c:lblAlgn val="ctr"/>
        <c:lblOffset val="100"/>
        <c:noMultiLvlLbl val="0"/>
      </c:catAx>
      <c:valAx>
        <c:axId val="460829344"/>
        <c:scaling>
          <c:orientation val="minMax"/>
          <c:min val="9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0828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sz="1000"/>
              <a:t>mln zł                                                                                        %</a:t>
            </a:r>
          </a:p>
        </c:rich>
      </c:tx>
      <c:layout>
        <c:manualLayout>
          <c:xMode val="edge"/>
          <c:yMode val="edge"/>
          <c:x val="9.2666666666666661E-2"/>
          <c:y val="5.555555555555555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Informacja!$B$23</c:f>
              <c:strCache>
                <c:ptCount val="1"/>
                <c:pt idx="0">
                  <c:v>Przychody z całokształu działalności</c:v>
                </c:pt>
              </c:strCache>
            </c:strRef>
          </c:tx>
          <c:spPr>
            <a:solidFill>
              <a:schemeClr val="accent1"/>
            </a:solidFill>
            <a:ln>
              <a:noFill/>
            </a:ln>
            <a:effectLst/>
          </c:spPr>
          <c:invertIfNegative val="0"/>
          <c:cat>
            <c:numRef>
              <c:f>Informacja!$A$24:$A$28</c:f>
              <c:numCache>
                <c:formatCode>General</c:formatCode>
                <c:ptCount val="5"/>
                <c:pt idx="0">
                  <c:v>2018</c:v>
                </c:pt>
                <c:pt idx="1">
                  <c:v>2019</c:v>
                </c:pt>
                <c:pt idx="2">
                  <c:v>2020</c:v>
                </c:pt>
                <c:pt idx="3">
                  <c:v>2021</c:v>
                </c:pt>
                <c:pt idx="4">
                  <c:v>2022</c:v>
                </c:pt>
              </c:numCache>
            </c:numRef>
          </c:cat>
          <c:val>
            <c:numRef>
              <c:f>Informacja!$B$24:$B$28</c:f>
              <c:numCache>
                <c:formatCode>_(* #,##0.00_);_(* \(#,##0.00\);_(* "-"??_);_(@_)</c:formatCode>
                <c:ptCount val="5"/>
                <c:pt idx="0">
                  <c:v>1.96</c:v>
                </c:pt>
                <c:pt idx="1">
                  <c:v>1.42</c:v>
                </c:pt>
                <c:pt idx="2">
                  <c:v>1.45</c:v>
                </c:pt>
                <c:pt idx="3">
                  <c:v>1.88</c:v>
                </c:pt>
                <c:pt idx="4" formatCode="General">
                  <c:v>2.31</c:v>
                </c:pt>
              </c:numCache>
            </c:numRef>
          </c:val>
          <c:extLst>
            <c:ext xmlns:c16="http://schemas.microsoft.com/office/drawing/2014/chart" uri="{C3380CC4-5D6E-409C-BE32-E72D297353CC}">
              <c16:uniqueId val="{00000000-7149-4262-87FF-927541C45141}"/>
            </c:ext>
          </c:extLst>
        </c:ser>
        <c:ser>
          <c:idx val="1"/>
          <c:order val="1"/>
          <c:tx>
            <c:strRef>
              <c:f>Informacja!$C$23</c:f>
              <c:strCache>
                <c:ptCount val="1"/>
                <c:pt idx="0">
                  <c:v>Koszty uzyskania przychodów z całokształtu działalności</c:v>
                </c:pt>
              </c:strCache>
            </c:strRef>
          </c:tx>
          <c:spPr>
            <a:solidFill>
              <a:schemeClr val="accent2"/>
            </a:solidFill>
            <a:ln>
              <a:noFill/>
            </a:ln>
            <a:effectLst/>
          </c:spPr>
          <c:invertIfNegative val="0"/>
          <c:cat>
            <c:numRef>
              <c:f>Informacja!$A$24:$A$28</c:f>
              <c:numCache>
                <c:formatCode>General</c:formatCode>
                <c:ptCount val="5"/>
                <c:pt idx="0">
                  <c:v>2018</c:v>
                </c:pt>
                <c:pt idx="1">
                  <c:v>2019</c:v>
                </c:pt>
                <c:pt idx="2">
                  <c:v>2020</c:v>
                </c:pt>
                <c:pt idx="3">
                  <c:v>2021</c:v>
                </c:pt>
                <c:pt idx="4">
                  <c:v>2022</c:v>
                </c:pt>
              </c:numCache>
            </c:numRef>
          </c:cat>
          <c:val>
            <c:numRef>
              <c:f>Informacja!$C$24:$C$28</c:f>
              <c:numCache>
                <c:formatCode>_(* #,##0.00_);_(* \(#,##0.00\);_(* "-"??_);_(@_)</c:formatCode>
                <c:ptCount val="5"/>
                <c:pt idx="0">
                  <c:v>1.7</c:v>
                </c:pt>
                <c:pt idx="1">
                  <c:v>1.3</c:v>
                </c:pt>
                <c:pt idx="2">
                  <c:v>1.29</c:v>
                </c:pt>
                <c:pt idx="3">
                  <c:v>1.71</c:v>
                </c:pt>
                <c:pt idx="4" formatCode="General">
                  <c:v>2.11</c:v>
                </c:pt>
              </c:numCache>
            </c:numRef>
          </c:val>
          <c:extLst>
            <c:ext xmlns:c16="http://schemas.microsoft.com/office/drawing/2014/chart" uri="{C3380CC4-5D6E-409C-BE32-E72D297353CC}">
              <c16:uniqueId val="{00000001-7149-4262-87FF-927541C45141}"/>
            </c:ext>
          </c:extLst>
        </c:ser>
        <c:dLbls>
          <c:showLegendKey val="0"/>
          <c:showVal val="0"/>
          <c:showCatName val="0"/>
          <c:showSerName val="0"/>
          <c:showPercent val="0"/>
          <c:showBubbleSize val="0"/>
        </c:dLbls>
        <c:gapWidth val="219"/>
        <c:overlap val="-27"/>
        <c:axId val="460827776"/>
        <c:axId val="460875672"/>
      </c:barChart>
      <c:lineChart>
        <c:grouping val="standard"/>
        <c:varyColors val="0"/>
        <c:ser>
          <c:idx val="2"/>
          <c:order val="2"/>
          <c:tx>
            <c:strRef>
              <c:f>Informacja!$D$23</c:f>
              <c:strCache>
                <c:ptCount val="1"/>
                <c:pt idx="0">
                  <c:v>Wskaźnik poziomu kosztów z całokształtu działaności</c:v>
                </c:pt>
              </c:strCache>
            </c:strRef>
          </c:tx>
          <c:spPr>
            <a:ln w="28575" cap="rnd">
              <a:solidFill>
                <a:schemeClr val="accent3"/>
              </a:solidFill>
              <a:round/>
            </a:ln>
            <a:effectLst/>
          </c:spPr>
          <c:marker>
            <c:symbol val="none"/>
          </c:marker>
          <c:cat>
            <c:numRef>
              <c:f>Informacja!$A$24:$A$28</c:f>
              <c:numCache>
                <c:formatCode>General</c:formatCode>
                <c:ptCount val="5"/>
                <c:pt idx="0">
                  <c:v>2018</c:v>
                </c:pt>
                <c:pt idx="1">
                  <c:v>2019</c:v>
                </c:pt>
                <c:pt idx="2">
                  <c:v>2020</c:v>
                </c:pt>
                <c:pt idx="3">
                  <c:v>2021</c:v>
                </c:pt>
                <c:pt idx="4">
                  <c:v>2022</c:v>
                </c:pt>
              </c:numCache>
            </c:numRef>
          </c:cat>
          <c:val>
            <c:numRef>
              <c:f>Informacja!$D$24:$D$28</c:f>
              <c:numCache>
                <c:formatCode>General</c:formatCode>
                <c:ptCount val="5"/>
                <c:pt idx="0">
                  <c:v>86.9</c:v>
                </c:pt>
                <c:pt idx="1">
                  <c:v>91.8</c:v>
                </c:pt>
                <c:pt idx="2" formatCode="0.0">
                  <c:v>89.1</c:v>
                </c:pt>
                <c:pt idx="3">
                  <c:v>91.1</c:v>
                </c:pt>
                <c:pt idx="4">
                  <c:v>91.1</c:v>
                </c:pt>
              </c:numCache>
            </c:numRef>
          </c:val>
          <c:smooth val="0"/>
          <c:extLst>
            <c:ext xmlns:c16="http://schemas.microsoft.com/office/drawing/2014/chart" uri="{C3380CC4-5D6E-409C-BE32-E72D297353CC}">
              <c16:uniqueId val="{00000002-7149-4262-87FF-927541C45141}"/>
            </c:ext>
          </c:extLst>
        </c:ser>
        <c:dLbls>
          <c:showLegendKey val="0"/>
          <c:showVal val="0"/>
          <c:showCatName val="0"/>
          <c:showSerName val="0"/>
          <c:showPercent val="0"/>
          <c:showBubbleSize val="0"/>
        </c:dLbls>
        <c:marker val="1"/>
        <c:smooth val="0"/>
        <c:axId val="460876456"/>
        <c:axId val="460876064"/>
      </c:lineChart>
      <c:catAx>
        <c:axId val="46082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0875672"/>
        <c:crosses val="autoZero"/>
        <c:auto val="1"/>
        <c:lblAlgn val="ctr"/>
        <c:lblOffset val="100"/>
        <c:noMultiLvlLbl val="0"/>
      </c:catAx>
      <c:valAx>
        <c:axId val="460875672"/>
        <c:scaling>
          <c:orientation val="minMax"/>
          <c:max val="3"/>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0827776"/>
        <c:crosses val="autoZero"/>
        <c:crossBetween val="between"/>
      </c:valAx>
      <c:valAx>
        <c:axId val="460876064"/>
        <c:scaling>
          <c:orientation val="minMax"/>
          <c:max val="92"/>
          <c:min val="86"/>
        </c:scaling>
        <c:delete val="0"/>
        <c:axPos val="r"/>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0876456"/>
        <c:crosses val="max"/>
        <c:crossBetween val="between"/>
      </c:valAx>
      <c:catAx>
        <c:axId val="460876456"/>
        <c:scaling>
          <c:orientation val="minMax"/>
        </c:scaling>
        <c:delete val="1"/>
        <c:axPos val="b"/>
        <c:numFmt formatCode="General" sourceLinked="1"/>
        <c:majorTickMark val="out"/>
        <c:minorTickMark val="none"/>
        <c:tickLblPos val="nextTo"/>
        <c:crossAx val="4608760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83814523184598E-2"/>
          <c:y val="9.7222222222222224E-2"/>
          <c:w val="0.88396062992125979"/>
          <c:h val="0.67000729075532217"/>
        </c:manualLayout>
      </c:layout>
      <c:lineChart>
        <c:grouping val="standard"/>
        <c:varyColors val="0"/>
        <c:ser>
          <c:idx val="0"/>
          <c:order val="0"/>
          <c:tx>
            <c:strRef>
              <c:f>TABLICA!$B$25</c:f>
              <c:strCache>
                <c:ptCount val="1"/>
                <c:pt idx="0">
                  <c:v>Polska</c:v>
                </c:pt>
              </c:strCache>
            </c:strRef>
          </c:tx>
          <c:spPr>
            <a:ln w="28575" cap="rnd">
              <a:solidFill>
                <a:schemeClr val="accent1"/>
              </a:solidFill>
              <a:round/>
            </a:ln>
            <a:effectLst/>
          </c:spPr>
          <c:marker>
            <c:symbol val="none"/>
          </c:marker>
          <c:cat>
            <c:strRef>
              <c:f>TABLICA!$C$24:$H$24</c:f>
              <c:strCache>
                <c:ptCount val="6"/>
                <c:pt idx="0">
                  <c:v>2017</c:v>
                </c:pt>
                <c:pt idx="1">
                  <c:v>2018</c:v>
                </c:pt>
                <c:pt idx="2">
                  <c:v>2019</c:v>
                </c:pt>
                <c:pt idx="3">
                  <c:v>2020</c:v>
                </c:pt>
                <c:pt idx="4">
                  <c:v>2021</c:v>
                </c:pt>
                <c:pt idx="5">
                  <c:v>2022</c:v>
                </c:pt>
              </c:strCache>
            </c:strRef>
          </c:cat>
          <c:val>
            <c:numRef>
              <c:f>TABLICA!$C$25:$H$25</c:f>
              <c:numCache>
                <c:formatCode>0.00</c:formatCode>
                <c:ptCount val="6"/>
                <c:pt idx="0">
                  <c:v>0.93654598821291013</c:v>
                </c:pt>
                <c:pt idx="1">
                  <c:v>1.2042594736992813</c:v>
                </c:pt>
                <c:pt idx="2">
                  <c:v>1.1800431094503756</c:v>
                </c:pt>
                <c:pt idx="3">
                  <c:v>1.0969371772993741</c:v>
                </c:pt>
                <c:pt idx="4">
                  <c:v>1.2118408118416597</c:v>
                </c:pt>
                <c:pt idx="5">
                  <c:v>1.3298987676179701</c:v>
                </c:pt>
              </c:numCache>
            </c:numRef>
          </c:val>
          <c:smooth val="0"/>
          <c:extLst>
            <c:ext xmlns:c16="http://schemas.microsoft.com/office/drawing/2014/chart" uri="{C3380CC4-5D6E-409C-BE32-E72D297353CC}">
              <c16:uniqueId val="{00000000-D641-4DD3-8A04-C3A434F26748}"/>
            </c:ext>
          </c:extLst>
        </c:ser>
        <c:ser>
          <c:idx val="1"/>
          <c:order val="1"/>
          <c:tx>
            <c:strRef>
              <c:f>TABLICA!$B$26</c:f>
              <c:strCache>
                <c:ptCount val="1"/>
                <c:pt idx="0">
                  <c:v>woj. podkarpackie</c:v>
                </c:pt>
              </c:strCache>
            </c:strRef>
          </c:tx>
          <c:spPr>
            <a:ln w="28575" cap="rnd">
              <a:solidFill>
                <a:schemeClr val="accent2"/>
              </a:solidFill>
              <a:round/>
            </a:ln>
            <a:effectLst/>
          </c:spPr>
          <c:marker>
            <c:symbol val="none"/>
          </c:marker>
          <c:cat>
            <c:strRef>
              <c:f>TABLICA!$C$24:$H$24</c:f>
              <c:strCache>
                <c:ptCount val="6"/>
                <c:pt idx="0">
                  <c:v>2017</c:v>
                </c:pt>
                <c:pt idx="1">
                  <c:v>2018</c:v>
                </c:pt>
                <c:pt idx="2">
                  <c:v>2019</c:v>
                </c:pt>
                <c:pt idx="3">
                  <c:v>2020</c:v>
                </c:pt>
                <c:pt idx="4">
                  <c:v>2021</c:v>
                </c:pt>
                <c:pt idx="5">
                  <c:v>2022</c:v>
                </c:pt>
              </c:strCache>
            </c:strRef>
          </c:cat>
          <c:val>
            <c:numRef>
              <c:f>TABLICA!$C$26:$H$26</c:f>
              <c:numCache>
                <c:formatCode>0.00</c:formatCode>
                <c:ptCount val="6"/>
                <c:pt idx="0">
                  <c:v>1.3744706845151109</c:v>
                </c:pt>
                <c:pt idx="1">
                  <c:v>1.4405399530972947</c:v>
                </c:pt>
                <c:pt idx="2">
                  <c:v>1.8218605575709388</c:v>
                </c:pt>
                <c:pt idx="3">
                  <c:v>1.5426805054151624</c:v>
                </c:pt>
                <c:pt idx="4">
                  <c:v>1.3939353387743474</c:v>
                </c:pt>
                <c:pt idx="5">
                  <c:v>0.98210689502436133</c:v>
                </c:pt>
              </c:numCache>
            </c:numRef>
          </c:val>
          <c:smooth val="0"/>
          <c:extLst>
            <c:ext xmlns:c16="http://schemas.microsoft.com/office/drawing/2014/chart" uri="{C3380CC4-5D6E-409C-BE32-E72D297353CC}">
              <c16:uniqueId val="{00000001-D641-4DD3-8A04-C3A434F26748}"/>
            </c:ext>
          </c:extLst>
        </c:ser>
        <c:dLbls>
          <c:showLegendKey val="0"/>
          <c:showVal val="0"/>
          <c:showCatName val="0"/>
          <c:showSerName val="0"/>
          <c:showPercent val="0"/>
          <c:showBubbleSize val="0"/>
        </c:dLbls>
        <c:smooth val="0"/>
        <c:axId val="522188608"/>
        <c:axId val="522196448"/>
      </c:lineChart>
      <c:catAx>
        <c:axId val="522188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t>tys. </a:t>
                </a:r>
                <a:r>
                  <a:rPr lang="pl-PL"/>
                  <a:t>z</a:t>
                </a:r>
                <a:r>
                  <a:rPr lang="en-US"/>
                  <a:t>ł</a:t>
                </a:r>
              </a:p>
            </c:rich>
          </c:tx>
          <c:layout>
            <c:manualLayout>
              <c:xMode val="edge"/>
              <c:yMode val="edge"/>
              <c:x val="7.930057523297393E-2"/>
              <c:y val="1.814741907261592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522196448"/>
        <c:crosses val="autoZero"/>
        <c:auto val="1"/>
        <c:lblAlgn val="ctr"/>
        <c:lblOffset val="100"/>
        <c:noMultiLvlLbl val="0"/>
      </c:catAx>
      <c:valAx>
        <c:axId val="522196448"/>
        <c:scaling>
          <c:orientation val="minMax"/>
          <c:min val="0.4"/>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52218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sz="1000"/>
              <a:t>w zł</a:t>
            </a:r>
          </a:p>
        </c:rich>
      </c:tx>
      <c:layout>
        <c:manualLayout>
          <c:xMode val="edge"/>
          <c:yMode val="edge"/>
          <c:x val="0.94051711278025729"/>
          <c:y val="0.9021675454012888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bar"/>
        <c:grouping val="clustered"/>
        <c:varyColors val="0"/>
        <c:ser>
          <c:idx val="0"/>
          <c:order val="0"/>
          <c:tx>
            <c:strRef>
              <c:f>Przychód!$B$29</c:f>
              <c:strCache>
                <c:ptCount val="1"/>
                <c:pt idx="0">
                  <c:v>2021</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Przychód!$A$30:$A$42</c:f>
              <c:strCache>
                <c:ptCount val="13"/>
                <c:pt idx="0">
                  <c:v>DZIAŁALNOŚĆ AGENCJI INFORMACYJNYCH</c:v>
                </c:pt>
                <c:pt idx="1">
                  <c:v>DZIAŁALNOŚĆ W ZAKRESIE POZOSTAŁEJ TELEKOMUNIKACJI</c:v>
                </c:pt>
                <c:pt idx="2">
                  <c:v>DZIAŁALNOŚĆ WYDAWNICZA W ZAKRESIE GIER KOMPUTEROWYCH</c:v>
                </c:pt>
                <c:pt idx="3">
                  <c:v>DZIAŁALNOŚĆ W ZAKRESIE TELEKOMUNIKACJI BEZPRZEWODOWEJ, Z WYŁĄCZENIEM TELEKOMUNIKACJI SATELITARNEJ</c:v>
                </c:pt>
                <c:pt idx="4">
                  <c:v>DZIAŁALNOŚĆ ZWIĄZANA Z ZARZĄDZANIEM URZĄDZENIAMI INFORMATYCZNYMI</c:v>
                </c:pt>
                <c:pt idx="5">
                  <c:v>POZOSTAŁA DZIAŁALNOŚĆ USŁUGOWA W ZAKRESIE INFORMACJI, GDZIE INDZIEJ NIESKLASYFIKOWANA</c:v>
                </c:pt>
                <c:pt idx="6">
                  <c:v>POZOSTAŁA DZIAŁALNOŚĆ USŁUGOWA W ZAKRESIE TECHNOLOGII INFORMATYCZNYCH I KOMPUTEROWYCH</c:v>
                </c:pt>
                <c:pt idx="7">
                  <c:v>PRZETWARZANIE DANYCH; ZARZĄDZANIE STRONAMI INTERNETOWYMI (HOSTING) I PODOBNA DZIAŁALNOŚĆ</c:v>
                </c:pt>
                <c:pt idx="8">
                  <c:v>DZIAŁALNOŚĆ WYDAWNICZA W ZAKRESIE POZOSTAŁEGO OPROGRAMOWANIA</c:v>
                </c:pt>
                <c:pt idx="9">
                  <c:v>DZIAŁALNOŚĆ ZWIĄZANA Z DORADZTWEM W ZAKRESIE INFORMATYKI</c:v>
                </c:pt>
                <c:pt idx="10">
                  <c:v>DZIAŁALNOŚĆ W ZAKRESIE TELEKOMUNIKACJI PRZEWODOWEJ</c:v>
                </c:pt>
                <c:pt idx="11">
                  <c:v>DZIAŁALNOŚĆ PORTALI INTERNETOWYCH</c:v>
                </c:pt>
                <c:pt idx="12">
                  <c:v>DZIAŁALNOŚĆ ZWIĄZANA Z OPROGRAMOWANIEM</c:v>
                </c:pt>
              </c:strCache>
            </c:strRef>
          </c:cat>
          <c:val>
            <c:numRef>
              <c:f>Przychód!$B$30:$B$42</c:f>
              <c:numCache>
                <c:formatCode>_(* #,##0.00_);_(* \(#,##0.00\);_(* "-"??_);_(@_)</c:formatCode>
                <c:ptCount val="13"/>
                <c:pt idx="0">
                  <c:v>32542.32</c:v>
                </c:pt>
                <c:pt idx="1">
                  <c:v>2200668.48</c:v>
                </c:pt>
                <c:pt idx="2">
                  <c:v>2212690.77</c:v>
                </c:pt>
                <c:pt idx="3">
                  <c:v>4433027.09</c:v>
                </c:pt>
                <c:pt idx="4">
                  <c:v>6932922.1399999997</c:v>
                </c:pt>
                <c:pt idx="5">
                  <c:v>19989180.449999999</c:v>
                </c:pt>
                <c:pt idx="6">
                  <c:v>25680616.989999998</c:v>
                </c:pt>
                <c:pt idx="7">
                  <c:v>55251654.859999999</c:v>
                </c:pt>
                <c:pt idx="8">
                  <c:v>73905357.060000002</c:v>
                </c:pt>
                <c:pt idx="9">
                  <c:v>76699430.75</c:v>
                </c:pt>
                <c:pt idx="10">
                  <c:v>135529007.76000002</c:v>
                </c:pt>
                <c:pt idx="11">
                  <c:v>157404336.49000001</c:v>
                </c:pt>
                <c:pt idx="12">
                  <c:v>486758835.85999995</c:v>
                </c:pt>
              </c:numCache>
            </c:numRef>
          </c:val>
          <c:extLst>
            <c:ext xmlns:c16="http://schemas.microsoft.com/office/drawing/2014/chart" uri="{C3380CC4-5D6E-409C-BE32-E72D297353CC}">
              <c16:uniqueId val="{00000000-8DA6-4681-830B-4F4B91565CF4}"/>
            </c:ext>
          </c:extLst>
        </c:ser>
        <c:dLbls>
          <c:showLegendKey val="0"/>
          <c:showVal val="0"/>
          <c:showCatName val="0"/>
          <c:showSerName val="0"/>
          <c:showPercent val="0"/>
          <c:showBubbleSize val="0"/>
        </c:dLbls>
        <c:gapWidth val="182"/>
        <c:axId val="460876848"/>
        <c:axId val="460877632"/>
      </c:barChart>
      <c:catAx>
        <c:axId val="460876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0877632"/>
        <c:crosses val="autoZero"/>
        <c:auto val="1"/>
        <c:lblAlgn val="ctr"/>
        <c:lblOffset val="100"/>
        <c:noMultiLvlLbl val="0"/>
      </c:catAx>
      <c:valAx>
        <c:axId val="460877632"/>
        <c:scaling>
          <c:orientation val="minMax"/>
        </c:scaling>
        <c:delete val="0"/>
        <c:axPos val="b"/>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08768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pl-PL"/>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sz="1000"/>
              <a:t>w zł</a:t>
            </a:r>
          </a:p>
        </c:rich>
      </c:tx>
      <c:layout>
        <c:manualLayout>
          <c:xMode val="edge"/>
          <c:yMode val="edge"/>
          <c:x val="0.9212204951065055"/>
          <c:y val="0.9163135593220338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bar"/>
        <c:grouping val="clustered"/>
        <c:varyColors val="0"/>
        <c:ser>
          <c:idx val="0"/>
          <c:order val="0"/>
          <c:tx>
            <c:strRef>
              <c:f>'Koszty uzyskania przychodu'!$B$26</c:f>
              <c:strCache>
                <c:ptCount val="1"/>
                <c:pt idx="0">
                  <c:v>2021</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'Koszty uzyskania przychodu'!$A$27:$A$39</c:f>
              <c:strCache>
                <c:ptCount val="13"/>
                <c:pt idx="0">
                  <c:v>DZIAŁALNOŚĆ AGENCJI INFORMACYJNYCH</c:v>
                </c:pt>
                <c:pt idx="1">
                  <c:v>DZIAŁALNOŚĆ WYDAWNICZA W ZAKRESIE GIER KOMPUTEROWYCH</c:v>
                </c:pt>
                <c:pt idx="2">
                  <c:v>DZIAŁALNOŚĆ W ZAKRESIE POZOSTAŁEJ TELEKOMUNIKACJI</c:v>
                </c:pt>
                <c:pt idx="3">
                  <c:v>DZIAŁALNOŚĆ W ZAKRESIE TELEKOMUNIKACJI BEZPRZEWODOWEJ, Z WYŁĄCZENIEM TELEKOMUNIKACJI SATELITARNEJ</c:v>
                </c:pt>
                <c:pt idx="4">
                  <c:v>DZIAŁALNOŚĆ ZWIĄZANA Z ZARZĄDZANIEM URZĄDZENIAMI INFORMATYCZNYMI</c:v>
                </c:pt>
                <c:pt idx="5">
                  <c:v>POZOSTAŁA DZIAŁALNOŚĆ USŁUGOWA W ZAKRESIE INFORMACJI, GDZIE INDZIEJ NIESKLASYFIKOWANA</c:v>
                </c:pt>
                <c:pt idx="6">
                  <c:v>POZOSTAŁA DZIAŁALNOŚĆ USŁUGOWA W ZAKRESIE TECHNOLOGII INFORMATYCZNYCH I KOMPUTEROWYCH</c:v>
                </c:pt>
                <c:pt idx="7">
                  <c:v>PRZETWARZANIE DANYCH; ZARZĄDZANIE STRONAMI INTERNETOWYMI (HOSTING) I PODOBNA DZIAŁALNOŚĆ</c:v>
                </c:pt>
                <c:pt idx="8">
                  <c:v>DZIAŁALNOŚĆ ZWIĄZANA Z DORADZTWEM W ZAKRESIE INFORMATYKI</c:v>
                </c:pt>
                <c:pt idx="9">
                  <c:v>DZIAŁALNOŚĆ WYDAWNICZA W ZAKRESIE POZOSTAŁEGO OPROGRAMOWANIA</c:v>
                </c:pt>
                <c:pt idx="10">
                  <c:v>DZIAŁALNOŚĆ W ZAKRESIE TELEKOMUNIKACJI PRZEWODOWEJ</c:v>
                </c:pt>
                <c:pt idx="11">
                  <c:v>DZIAŁALNOŚĆ PORTALI INTERNETOWYCH</c:v>
                </c:pt>
                <c:pt idx="12">
                  <c:v>DZIAŁALNOŚĆ ZWIĄZANA Z OPROGRAMOWANIEM</c:v>
                </c:pt>
              </c:strCache>
            </c:strRef>
          </c:cat>
          <c:val>
            <c:numRef>
              <c:f>'Koszty uzyskania przychodu'!$B$27:$B$39</c:f>
              <c:numCache>
                <c:formatCode>_(* #,##0.00_);_(* \(#,##0.00\);_(* "-"??_);_(@_)</c:formatCode>
                <c:ptCount val="13"/>
                <c:pt idx="0">
                  <c:v>14598.1</c:v>
                </c:pt>
                <c:pt idx="1">
                  <c:v>1922325.51</c:v>
                </c:pt>
                <c:pt idx="2">
                  <c:v>1998341.17</c:v>
                </c:pt>
                <c:pt idx="3">
                  <c:v>3904001.07</c:v>
                </c:pt>
                <c:pt idx="4">
                  <c:v>5157713.6900000004</c:v>
                </c:pt>
                <c:pt idx="5">
                  <c:v>19478485.890000001</c:v>
                </c:pt>
                <c:pt idx="6">
                  <c:v>20216705.52</c:v>
                </c:pt>
                <c:pt idx="7">
                  <c:v>55557025.919999994</c:v>
                </c:pt>
                <c:pt idx="8">
                  <c:v>67267541.739999995</c:v>
                </c:pt>
                <c:pt idx="9">
                  <c:v>69061332.430000007</c:v>
                </c:pt>
                <c:pt idx="10">
                  <c:v>110468496.25</c:v>
                </c:pt>
                <c:pt idx="11">
                  <c:v>145863591.12</c:v>
                </c:pt>
                <c:pt idx="12">
                  <c:v>435524923.06999993</c:v>
                </c:pt>
              </c:numCache>
            </c:numRef>
          </c:val>
          <c:extLst>
            <c:ext xmlns:c16="http://schemas.microsoft.com/office/drawing/2014/chart" uri="{C3380CC4-5D6E-409C-BE32-E72D297353CC}">
              <c16:uniqueId val="{00000000-D847-4F5B-A7D8-AFE1103ECB08}"/>
            </c:ext>
          </c:extLst>
        </c:ser>
        <c:dLbls>
          <c:showLegendKey val="0"/>
          <c:showVal val="0"/>
          <c:showCatName val="0"/>
          <c:showSerName val="0"/>
          <c:showPercent val="0"/>
          <c:showBubbleSize val="0"/>
        </c:dLbls>
        <c:gapWidth val="182"/>
        <c:axId val="267714720"/>
        <c:axId val="267715896"/>
      </c:barChart>
      <c:catAx>
        <c:axId val="267714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267715896"/>
        <c:crosses val="autoZero"/>
        <c:auto val="1"/>
        <c:lblAlgn val="ctr"/>
        <c:lblOffset val="100"/>
        <c:noMultiLvlLbl val="0"/>
      </c:catAx>
      <c:valAx>
        <c:axId val="267715896"/>
        <c:scaling>
          <c:orientation val="minMax"/>
          <c:max val="500000000"/>
          <c:min val="0"/>
        </c:scaling>
        <c:delete val="0"/>
        <c:axPos val="b"/>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267714720"/>
        <c:crosses val="autoZero"/>
        <c:crossBetween val="between"/>
        <c:majorUnit val="2000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pl-PL"/>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sz="1000"/>
              <a:t>w zł</a:t>
            </a:r>
            <a:endParaRPr lang="en-US" sz="1000"/>
          </a:p>
        </c:rich>
      </c:tx>
      <c:layout>
        <c:manualLayout>
          <c:xMode val="edge"/>
          <c:yMode val="edge"/>
          <c:x val="0.93282887221000632"/>
          <c:y val="0.9078013302739196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bar"/>
        <c:grouping val="clustered"/>
        <c:varyColors val="0"/>
        <c:ser>
          <c:idx val="0"/>
          <c:order val="0"/>
          <c:tx>
            <c:strRef>
              <c:f>'Dochód '!$B$27</c:f>
              <c:strCache>
                <c:ptCount val="1"/>
                <c:pt idx="0">
                  <c:v>2021</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'Dochód '!$A$28:$A$40</c:f>
              <c:strCache>
                <c:ptCount val="13"/>
                <c:pt idx="0">
                  <c:v>DZIAŁALNOŚĆ AGENCJI INFORMACYJNYCH</c:v>
                </c:pt>
                <c:pt idx="1">
                  <c:v>DZIAŁALNOŚĆ W ZAKRESIE POZOSTAŁEJ TELEKOMUNIKACJI</c:v>
                </c:pt>
                <c:pt idx="2">
                  <c:v>DZIAŁALNOŚĆ WYDAWNICZA W ZAKRESIE GIER KOMPUTEROWYCH</c:v>
                </c:pt>
                <c:pt idx="3">
                  <c:v>POZOSTAŁA DZIAŁALNOŚĆ USŁUGOWA W ZAKRESIE INFORMACJI, GDZIE INDZIEJ NIESKLASYFIKOWANA</c:v>
                </c:pt>
                <c:pt idx="4">
                  <c:v>DZIAŁALNOŚĆ W ZAKRESIE TELEKOMUNIKACJI BEZPRZEWODOWEJ, Z WYŁĄCZENIEM TELEKOMUNIKACJI SATELITARNEJ</c:v>
                </c:pt>
                <c:pt idx="5">
                  <c:v>DZIAŁALNOŚĆ ZWIĄZANA Z ZARZĄDZANIEM URZĄDZENIAMI INFORMATYCZNYMI</c:v>
                </c:pt>
                <c:pt idx="6">
                  <c:v>PRZETWARZANIE DANYCH; ZARZĄDZANIE STRONAMI INTERNETOWYMI (HOSTING) I PODOBNA DZIAŁALNOŚĆ</c:v>
                </c:pt>
                <c:pt idx="7">
                  <c:v>DZIAŁALNOŚĆ WYDAWNICZA W ZAKRESIE POZOSTAŁEGO OPROGRAMOWANIA</c:v>
                </c:pt>
                <c:pt idx="8">
                  <c:v>POZOSTAŁA DZIAŁALNOŚĆ USŁUGOWA W ZAKRESIE TECHNOLOGII INFORMATYCZNYCH I KOMPUTEROWYCH</c:v>
                </c:pt>
                <c:pt idx="9">
                  <c:v>DZIAŁALNOŚĆ ZWIĄZANA Z DORADZTWEM W ZAKRESIE INFORMATYKI</c:v>
                </c:pt>
                <c:pt idx="10">
                  <c:v>DZIAŁALNOŚĆ PORTALI INTERNETOWYCH</c:v>
                </c:pt>
                <c:pt idx="11">
                  <c:v>DZIAŁALNOŚĆ W ZAKRESIE TELEKOMUNIKACJI PRZEWODOWEJ</c:v>
                </c:pt>
                <c:pt idx="12">
                  <c:v>DZIAŁALNOŚĆ ZWIĄZANA Z OPROGRAMOWANIEM</c:v>
                </c:pt>
              </c:strCache>
            </c:strRef>
          </c:cat>
          <c:val>
            <c:numRef>
              <c:f>'Dochód '!$B$28:$B$40</c:f>
              <c:numCache>
                <c:formatCode>_(* #,##0.00_);_(* \(#,##0.00\);_(* "-"??_);_(@_)</c:formatCode>
                <c:ptCount val="13"/>
                <c:pt idx="0">
                  <c:v>17944.22</c:v>
                </c:pt>
                <c:pt idx="1">
                  <c:v>331293.45</c:v>
                </c:pt>
                <c:pt idx="2">
                  <c:v>384598.75999999995</c:v>
                </c:pt>
                <c:pt idx="3">
                  <c:v>514654.98</c:v>
                </c:pt>
                <c:pt idx="4">
                  <c:v>540956.37</c:v>
                </c:pt>
                <c:pt idx="5">
                  <c:v>1944534.6</c:v>
                </c:pt>
                <c:pt idx="6">
                  <c:v>3049170.7199999997</c:v>
                </c:pt>
                <c:pt idx="7">
                  <c:v>4904632.0999999996</c:v>
                </c:pt>
                <c:pt idx="8">
                  <c:v>6331095.0699999994</c:v>
                </c:pt>
                <c:pt idx="9">
                  <c:v>10124072.280000001</c:v>
                </c:pt>
                <c:pt idx="10">
                  <c:v>13835050.33</c:v>
                </c:pt>
                <c:pt idx="11">
                  <c:v>26468353.289999999</c:v>
                </c:pt>
                <c:pt idx="12">
                  <c:v>65288155.370000005</c:v>
                </c:pt>
              </c:numCache>
            </c:numRef>
          </c:val>
          <c:extLst>
            <c:ext xmlns:c16="http://schemas.microsoft.com/office/drawing/2014/chart" uri="{C3380CC4-5D6E-409C-BE32-E72D297353CC}">
              <c16:uniqueId val="{00000000-749B-4C48-A677-6099A816999D}"/>
            </c:ext>
          </c:extLst>
        </c:ser>
        <c:dLbls>
          <c:showLegendKey val="0"/>
          <c:showVal val="0"/>
          <c:showCatName val="0"/>
          <c:showSerName val="0"/>
          <c:showPercent val="0"/>
          <c:showBubbleSize val="0"/>
        </c:dLbls>
        <c:gapWidth val="182"/>
        <c:axId val="267716288"/>
        <c:axId val="267717464"/>
      </c:barChart>
      <c:catAx>
        <c:axId val="267716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267717464"/>
        <c:crosses val="autoZero"/>
        <c:auto val="1"/>
        <c:lblAlgn val="ctr"/>
        <c:lblOffset val="100"/>
        <c:noMultiLvlLbl val="0"/>
      </c:catAx>
      <c:valAx>
        <c:axId val="267717464"/>
        <c:scaling>
          <c:orientation val="minMax"/>
          <c:max val="70000000"/>
        </c:scaling>
        <c:delete val="0"/>
        <c:axPos val="b"/>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2677162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pl-PL"/>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sz="1000"/>
              <a:t>w zł</a:t>
            </a:r>
            <a:endParaRPr lang="en-US" sz="1000"/>
          </a:p>
        </c:rich>
      </c:tx>
      <c:layout>
        <c:manualLayout>
          <c:xMode val="edge"/>
          <c:yMode val="edge"/>
          <c:x val="0.92058666747894446"/>
          <c:y val="0.8914504384336241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manualLayout>
          <c:layoutTarget val="inner"/>
          <c:xMode val="edge"/>
          <c:yMode val="edge"/>
          <c:x val="0.45125694878082212"/>
          <c:y val="7.4812773422206755E-2"/>
          <c:w val="0.44030988389507403"/>
          <c:h val="0.8580767172613939"/>
        </c:manualLayout>
      </c:layout>
      <c:barChart>
        <c:barDir val="bar"/>
        <c:grouping val="clustered"/>
        <c:varyColors val="0"/>
        <c:ser>
          <c:idx val="0"/>
          <c:order val="0"/>
          <c:tx>
            <c:strRef>
              <c:f>Strata!$B$25</c:f>
              <c:strCache>
                <c:ptCount val="1"/>
                <c:pt idx="0">
                  <c:v>2021</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Strata!$A$26:$A$37</c:f>
              <c:strCache>
                <c:ptCount val="12"/>
                <c:pt idx="0">
                  <c:v>POZOSTAŁA DZIAŁALNOŚĆ USŁUGOWA W ZAKRESIE INFORMACJI, GDZIE INDZIEJ NIESKLASYFIKOWANA</c:v>
                </c:pt>
                <c:pt idx="1">
                  <c:v>DZIAŁALNOŚĆ W ZAKRESIE TELEKOMUNIKACJI BEZPRZEWODOWEJ, Z WYŁĄCZENIEM TELEKOMUNIKACJI SATELITARNEJ</c:v>
                </c:pt>
                <c:pt idx="2">
                  <c:v>DZIAŁALNOŚĆ WYDAWNICZA W ZAKRESIE POZOSTAŁEGO OPROGRAMOWANIA</c:v>
                </c:pt>
                <c:pt idx="3">
                  <c:v>DZIAŁALNOŚĆ WYDAWNICZA W ZAKRESIE GIER KOMPUTEROWYCH</c:v>
                </c:pt>
                <c:pt idx="4">
                  <c:v>DZIAŁALNOŚĆ W ZAKRESIE POZOSTAŁEJ TELEKOMUNIKACJI</c:v>
                </c:pt>
                <c:pt idx="5">
                  <c:v>DZIAŁALNOŚĆ ZWIĄZANA Z ZARZĄDZANIEM URZĄDZENIAMI INFORMATYCZNYMI</c:v>
                </c:pt>
                <c:pt idx="6">
                  <c:v>DZIAŁALNOŚĆ ZWIĄZANA Z DORADZTWEM W ZAKRESIE INFORMATYKI</c:v>
                </c:pt>
                <c:pt idx="7">
                  <c:v>POZOSTAŁA DZIAŁALNOŚĆ USŁUGOWA W ZAKRESIE TECHNOLOGII INFORMATYCZNYCH I KOMPUTEROWYCH</c:v>
                </c:pt>
                <c:pt idx="8">
                  <c:v>DZIAŁALNOŚĆ W ZAKRESIE TELEKOMUNIKACJI PRZEWODOWEJ</c:v>
                </c:pt>
                <c:pt idx="9">
                  <c:v>DZIAŁALNOŚĆ PORTALI INTERNETOWYCH</c:v>
                </c:pt>
                <c:pt idx="10">
                  <c:v>PRZETWARZANIE DANYCH; ZARZĄDZANIE STRONAMI INTERNETOWYMI (HOSTING) I PODOBNA DZIAŁALNOŚĆ</c:v>
                </c:pt>
                <c:pt idx="11">
                  <c:v>DZIAŁALNOŚĆ ZWIĄZANA Z OPROGRAMOWANIEM</c:v>
                </c:pt>
              </c:strCache>
            </c:strRef>
          </c:cat>
          <c:val>
            <c:numRef>
              <c:f>Strata!$B$26:$B$37</c:f>
              <c:numCache>
                <c:formatCode>_(* #,##0.00_);_(* \(#,##0.00\);_(* "-"??_);_(@_)</c:formatCode>
                <c:ptCount val="12"/>
                <c:pt idx="0">
                  <c:v>3960.42</c:v>
                </c:pt>
                <c:pt idx="1">
                  <c:v>11930.35</c:v>
                </c:pt>
                <c:pt idx="2">
                  <c:v>60607.469999999994</c:v>
                </c:pt>
                <c:pt idx="3">
                  <c:v>94233.5</c:v>
                </c:pt>
                <c:pt idx="4">
                  <c:v>128966.14</c:v>
                </c:pt>
                <c:pt idx="5">
                  <c:v>169326.15000000002</c:v>
                </c:pt>
                <c:pt idx="6">
                  <c:v>692183.27</c:v>
                </c:pt>
                <c:pt idx="7">
                  <c:v>867183.6</c:v>
                </c:pt>
                <c:pt idx="8">
                  <c:v>1407841.78</c:v>
                </c:pt>
                <c:pt idx="9">
                  <c:v>2294304.96</c:v>
                </c:pt>
                <c:pt idx="10">
                  <c:v>3354541.7800000003</c:v>
                </c:pt>
                <c:pt idx="11">
                  <c:v>14054242.580000002</c:v>
                </c:pt>
              </c:numCache>
            </c:numRef>
          </c:val>
          <c:extLst>
            <c:ext xmlns:c16="http://schemas.microsoft.com/office/drawing/2014/chart" uri="{C3380CC4-5D6E-409C-BE32-E72D297353CC}">
              <c16:uniqueId val="{00000000-0E3B-4467-BF2A-6396F5EFA31A}"/>
            </c:ext>
          </c:extLst>
        </c:ser>
        <c:dLbls>
          <c:showLegendKey val="0"/>
          <c:showVal val="0"/>
          <c:showCatName val="0"/>
          <c:showSerName val="0"/>
          <c:showPercent val="0"/>
          <c:showBubbleSize val="0"/>
        </c:dLbls>
        <c:gapWidth val="182"/>
        <c:axId val="267715112"/>
        <c:axId val="267716680"/>
      </c:barChart>
      <c:catAx>
        <c:axId val="267715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267716680"/>
        <c:crosses val="autoZero"/>
        <c:auto val="1"/>
        <c:lblAlgn val="ctr"/>
        <c:lblOffset val="100"/>
        <c:noMultiLvlLbl val="0"/>
      </c:catAx>
      <c:valAx>
        <c:axId val="267716680"/>
        <c:scaling>
          <c:orientation val="minMax"/>
        </c:scaling>
        <c:delete val="0"/>
        <c:axPos val="b"/>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2677151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pl-PL"/>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sz="1000"/>
              <a:t>mln zł</a:t>
            </a:r>
          </a:p>
        </c:rich>
      </c:tx>
      <c:layout>
        <c:manualLayout>
          <c:xMode val="edge"/>
          <c:yMode val="edge"/>
          <c:x val="0.12996522309711286"/>
          <c:y val="6.4814814814814811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spPr>
            <a:solidFill>
              <a:srgbClr val="7030A0"/>
            </a:solidFill>
            <a:ln>
              <a:noFill/>
            </a:ln>
            <a:effectLst/>
          </c:spPr>
          <c:invertIfNegative val="0"/>
          <c:cat>
            <c:strRef>
              <c:f>przychód!$B$35:$F$35</c:f>
              <c:strCache>
                <c:ptCount val="5"/>
                <c:pt idx="0">
                  <c:v>2018</c:v>
                </c:pt>
                <c:pt idx="1">
                  <c:v>2019</c:v>
                </c:pt>
                <c:pt idx="2">
                  <c:v>2020</c:v>
                </c:pt>
                <c:pt idx="3">
                  <c:v>2021</c:v>
                </c:pt>
                <c:pt idx="4">
                  <c:v>2022</c:v>
                </c:pt>
              </c:strCache>
            </c:strRef>
          </c:cat>
          <c:val>
            <c:numRef>
              <c:f>przychód!$B$36:$F$36</c:f>
              <c:numCache>
                <c:formatCode>#,##0.00</c:formatCode>
                <c:ptCount val="5"/>
                <c:pt idx="0">
                  <c:v>1211.4000000000001</c:v>
                </c:pt>
                <c:pt idx="1">
                  <c:v>601.5</c:v>
                </c:pt>
                <c:pt idx="2">
                  <c:v>604.79999999999995</c:v>
                </c:pt>
                <c:pt idx="3">
                  <c:v>833.3</c:v>
                </c:pt>
                <c:pt idx="4">
                  <c:v>1005.47</c:v>
                </c:pt>
              </c:numCache>
            </c:numRef>
          </c:val>
          <c:extLst>
            <c:ext xmlns:c16="http://schemas.microsoft.com/office/drawing/2014/chart" uri="{C3380CC4-5D6E-409C-BE32-E72D297353CC}">
              <c16:uniqueId val="{00000000-FB43-4E26-8BFB-363EED9D674A}"/>
            </c:ext>
          </c:extLst>
        </c:ser>
        <c:dLbls>
          <c:showLegendKey val="0"/>
          <c:showVal val="0"/>
          <c:showCatName val="0"/>
          <c:showSerName val="0"/>
          <c:showPercent val="0"/>
          <c:showBubbleSize val="0"/>
        </c:dLbls>
        <c:gapWidth val="219"/>
        <c:overlap val="-27"/>
        <c:axId val="460878024"/>
        <c:axId val="463099104"/>
      </c:barChart>
      <c:catAx>
        <c:axId val="460878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3099104"/>
        <c:crosses val="autoZero"/>
        <c:auto val="1"/>
        <c:lblAlgn val="ctr"/>
        <c:lblOffset val="100"/>
        <c:noMultiLvlLbl val="0"/>
      </c:catAx>
      <c:valAx>
        <c:axId val="4630991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08780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sz="1000"/>
              <a:t>mln zł</a:t>
            </a:r>
          </a:p>
        </c:rich>
      </c:tx>
      <c:layout>
        <c:manualLayout>
          <c:xMode val="edge"/>
          <c:yMode val="edge"/>
          <c:x val="0.13472900262467188"/>
          <c:y val="6.4814814814814811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spPr>
            <a:solidFill>
              <a:srgbClr val="7030A0"/>
            </a:solidFill>
            <a:ln>
              <a:noFill/>
            </a:ln>
            <a:effectLst/>
          </c:spPr>
          <c:invertIfNegative val="0"/>
          <c:cat>
            <c:strRef>
              <c:f>'koszty uzyskania przychodu'!$C$26:$G$26</c:f>
              <c:strCache>
                <c:ptCount val="5"/>
                <c:pt idx="0">
                  <c:v>2018</c:v>
                </c:pt>
                <c:pt idx="1">
                  <c:v>2019</c:v>
                </c:pt>
                <c:pt idx="2">
                  <c:v>2020</c:v>
                </c:pt>
                <c:pt idx="3">
                  <c:v>2021</c:v>
                </c:pt>
                <c:pt idx="4">
                  <c:v>2022</c:v>
                </c:pt>
              </c:strCache>
            </c:strRef>
          </c:cat>
          <c:val>
            <c:numRef>
              <c:f>'koszty uzyskania przychodu'!$C$27:$G$27</c:f>
              <c:numCache>
                <c:formatCode>#,##0.00</c:formatCode>
                <c:ptCount val="5"/>
                <c:pt idx="0">
                  <c:v>1036.0999999999999</c:v>
                </c:pt>
                <c:pt idx="1">
                  <c:v>556.4</c:v>
                </c:pt>
                <c:pt idx="2">
                  <c:v>551.29999999999995</c:v>
                </c:pt>
                <c:pt idx="3">
                  <c:v>777.1</c:v>
                </c:pt>
                <c:pt idx="4">
                  <c:v>921.16</c:v>
                </c:pt>
              </c:numCache>
            </c:numRef>
          </c:val>
          <c:extLst>
            <c:ext xmlns:c16="http://schemas.microsoft.com/office/drawing/2014/chart" uri="{C3380CC4-5D6E-409C-BE32-E72D297353CC}">
              <c16:uniqueId val="{00000000-17CD-47F8-8EFC-FABF1CE41646}"/>
            </c:ext>
          </c:extLst>
        </c:ser>
        <c:dLbls>
          <c:showLegendKey val="0"/>
          <c:showVal val="0"/>
          <c:showCatName val="0"/>
          <c:showSerName val="0"/>
          <c:showPercent val="0"/>
          <c:showBubbleSize val="0"/>
        </c:dLbls>
        <c:gapWidth val="219"/>
        <c:overlap val="-27"/>
        <c:axId val="463097536"/>
        <c:axId val="463100280"/>
      </c:barChart>
      <c:catAx>
        <c:axId val="46309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3100280"/>
        <c:crosses val="autoZero"/>
        <c:auto val="1"/>
        <c:lblAlgn val="ctr"/>
        <c:lblOffset val="100"/>
        <c:noMultiLvlLbl val="0"/>
      </c:catAx>
      <c:valAx>
        <c:axId val="4631002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30975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sz="1000">
                <a:solidFill>
                  <a:schemeClr val="tx1"/>
                </a:solidFill>
              </a:rPr>
              <a:t>mln zł</a:t>
            </a:r>
          </a:p>
        </c:rich>
      </c:tx>
      <c:layout>
        <c:manualLayout>
          <c:xMode val="edge"/>
          <c:yMode val="edge"/>
          <c:x val="9.8617891513560776E-2"/>
          <c:y val="6.9444444444444448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spPr>
            <a:solidFill>
              <a:srgbClr val="7030A0"/>
            </a:solidFill>
            <a:ln>
              <a:noFill/>
            </a:ln>
            <a:effectLst/>
          </c:spPr>
          <c:invertIfNegative val="0"/>
          <c:cat>
            <c:strRef>
              <c:f>dochód!$B$27:$F$27</c:f>
              <c:strCache>
                <c:ptCount val="5"/>
                <c:pt idx="0">
                  <c:v>2018</c:v>
                </c:pt>
                <c:pt idx="1">
                  <c:v>2019</c:v>
                </c:pt>
                <c:pt idx="2">
                  <c:v>2020</c:v>
                </c:pt>
                <c:pt idx="3">
                  <c:v>2021</c:v>
                </c:pt>
                <c:pt idx="4">
                  <c:v>2022</c:v>
                </c:pt>
              </c:strCache>
            </c:strRef>
          </c:cat>
          <c:val>
            <c:numRef>
              <c:f>dochód!$B$28:$F$28</c:f>
              <c:numCache>
                <c:formatCode>#,##0.00</c:formatCode>
                <c:ptCount val="5"/>
                <c:pt idx="0">
                  <c:v>180.8</c:v>
                </c:pt>
                <c:pt idx="1">
                  <c:v>55.4</c:v>
                </c:pt>
                <c:pt idx="2">
                  <c:v>59.4</c:v>
                </c:pt>
                <c:pt idx="3">
                  <c:v>74.3</c:v>
                </c:pt>
                <c:pt idx="4">
                  <c:v>99.56</c:v>
                </c:pt>
              </c:numCache>
            </c:numRef>
          </c:val>
          <c:extLst>
            <c:ext xmlns:c16="http://schemas.microsoft.com/office/drawing/2014/chart" uri="{C3380CC4-5D6E-409C-BE32-E72D297353CC}">
              <c16:uniqueId val="{00000000-560D-4E5F-9F55-8EB61C2EA611}"/>
            </c:ext>
          </c:extLst>
        </c:ser>
        <c:dLbls>
          <c:showLegendKey val="0"/>
          <c:showVal val="0"/>
          <c:showCatName val="0"/>
          <c:showSerName val="0"/>
          <c:showPercent val="0"/>
          <c:showBubbleSize val="0"/>
        </c:dLbls>
        <c:gapWidth val="219"/>
        <c:overlap val="-27"/>
        <c:axId val="463104200"/>
        <c:axId val="463097928"/>
      </c:barChart>
      <c:catAx>
        <c:axId val="463104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3097928"/>
        <c:crosses val="autoZero"/>
        <c:auto val="1"/>
        <c:lblAlgn val="ctr"/>
        <c:lblOffset val="100"/>
        <c:noMultiLvlLbl val="0"/>
      </c:catAx>
      <c:valAx>
        <c:axId val="4630979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31042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sz="1000"/>
              <a:t>mln zł</a:t>
            </a:r>
          </a:p>
        </c:rich>
      </c:tx>
      <c:layout>
        <c:manualLayout>
          <c:xMode val="edge"/>
          <c:yMode val="edge"/>
          <c:x val="8.1847112860892371E-2"/>
          <c:y val="7.8703703703703706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spPr>
            <a:solidFill>
              <a:srgbClr val="7030A0"/>
            </a:solidFill>
            <a:ln>
              <a:noFill/>
            </a:ln>
            <a:effectLst/>
          </c:spPr>
          <c:invertIfNegative val="0"/>
          <c:cat>
            <c:strRef>
              <c:f>strata!$B$29:$F$29</c:f>
              <c:strCache>
                <c:ptCount val="5"/>
                <c:pt idx="0">
                  <c:v>2018</c:v>
                </c:pt>
                <c:pt idx="1">
                  <c:v>2019</c:v>
                </c:pt>
                <c:pt idx="2">
                  <c:v>2020</c:v>
                </c:pt>
                <c:pt idx="3">
                  <c:v>2021</c:v>
                </c:pt>
                <c:pt idx="4">
                  <c:v>2022</c:v>
                </c:pt>
              </c:strCache>
            </c:strRef>
          </c:cat>
          <c:val>
            <c:numRef>
              <c:f>strata!$B$30:$F$30</c:f>
              <c:numCache>
                <c:formatCode>#,##0.00</c:formatCode>
                <c:ptCount val="5"/>
                <c:pt idx="0">
                  <c:v>5.5</c:v>
                </c:pt>
                <c:pt idx="1">
                  <c:v>5.75</c:v>
                </c:pt>
                <c:pt idx="2">
                  <c:v>5.78</c:v>
                </c:pt>
                <c:pt idx="3">
                  <c:v>18.05</c:v>
                </c:pt>
                <c:pt idx="4">
                  <c:v>15.25</c:v>
                </c:pt>
              </c:numCache>
            </c:numRef>
          </c:val>
          <c:extLst>
            <c:ext xmlns:c16="http://schemas.microsoft.com/office/drawing/2014/chart" uri="{C3380CC4-5D6E-409C-BE32-E72D297353CC}">
              <c16:uniqueId val="{00000000-D19D-4B87-98DF-7E00D0D6DF47}"/>
            </c:ext>
          </c:extLst>
        </c:ser>
        <c:dLbls>
          <c:showLegendKey val="0"/>
          <c:showVal val="0"/>
          <c:showCatName val="0"/>
          <c:showSerName val="0"/>
          <c:showPercent val="0"/>
          <c:showBubbleSize val="0"/>
        </c:dLbls>
        <c:gapWidth val="219"/>
        <c:overlap val="-27"/>
        <c:axId val="463101456"/>
        <c:axId val="463097144"/>
      </c:barChart>
      <c:catAx>
        <c:axId val="46310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3097144"/>
        <c:crosses val="autoZero"/>
        <c:auto val="1"/>
        <c:lblAlgn val="ctr"/>
        <c:lblOffset val="100"/>
        <c:noMultiLvlLbl val="0"/>
      </c:catAx>
      <c:valAx>
        <c:axId val="4630971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31014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000"/>
              <a:t>%</a:t>
            </a:r>
            <a:r>
              <a:rPr lang="en-US"/>
              <a:t> </a:t>
            </a:r>
          </a:p>
        </c:rich>
      </c:tx>
      <c:layout>
        <c:manualLayout>
          <c:xMode val="edge"/>
          <c:yMode val="edge"/>
          <c:x val="0.14476190476190476"/>
          <c:y val="3.947368421052631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[PODM_2895_XTAB_20240114174541.xlsx]TABLICA!$B$1:$B$4</c:f>
              <c:strCache>
                <c:ptCount val="4"/>
                <c:pt idx="0">
                  <c:v>%</c:v>
                </c:pt>
                <c:pt idx="1">
                  <c:v>ogółem</c:v>
                </c:pt>
                <c:pt idx="2">
                  <c:v>Wskaźnik dochodu do dyspozycji</c:v>
                </c:pt>
                <c:pt idx="3">
                  <c:v>[mln zł]</c:v>
                </c:pt>
              </c:strCache>
            </c:strRef>
          </c:tx>
          <c:spPr>
            <a:solidFill>
              <a:schemeClr val="accent1"/>
            </a:solidFill>
            <a:ln>
              <a:noFill/>
            </a:ln>
            <a:effectLst/>
          </c:spPr>
          <c:invertIfNegative val="0"/>
          <c:cat>
            <c:strRef>
              <c:f>[PODM_2895_XTAB_20240114174541.xlsx]TABLICA!$A$5:$A$21</c:f>
              <c:strCache>
                <c:ptCount val="17"/>
                <c:pt idx="0">
                  <c:v>Warmińsko-mazurski </c:v>
                </c:pt>
                <c:pt idx="1">
                  <c:v>Lubelski </c:v>
                </c:pt>
                <c:pt idx="2">
                  <c:v>Mazowiecki Regionalny</c:v>
                </c:pt>
                <c:pt idx="3">
                  <c:v>Podlaski </c:v>
                </c:pt>
                <c:pt idx="4">
                  <c:v>Podkarpacki</c:v>
                </c:pt>
                <c:pt idx="5">
                  <c:v>Świętokrzyski </c:v>
                </c:pt>
                <c:pt idx="6">
                  <c:v>Wielkopolski</c:v>
                </c:pt>
                <c:pt idx="7">
                  <c:v>Kujawsko-pomorski </c:v>
                </c:pt>
                <c:pt idx="8">
                  <c:v>Lubuski </c:v>
                </c:pt>
                <c:pt idx="9">
                  <c:v>Łódzki</c:v>
                </c:pt>
                <c:pt idx="10">
                  <c:v>Małopolski</c:v>
                </c:pt>
                <c:pt idx="11">
                  <c:v>Pomorski</c:v>
                </c:pt>
                <c:pt idx="12">
                  <c:v>Opolski</c:v>
                </c:pt>
                <c:pt idx="13">
                  <c:v>Zachodniopomorski </c:v>
                </c:pt>
                <c:pt idx="14">
                  <c:v>Śląski</c:v>
                </c:pt>
                <c:pt idx="15">
                  <c:v>Dolnośląski</c:v>
                </c:pt>
                <c:pt idx="16">
                  <c:v>Warszawski Stołeczny</c:v>
                </c:pt>
              </c:strCache>
            </c:strRef>
          </c:cat>
          <c:val>
            <c:numRef>
              <c:f>[PODM_2895_XTAB_20240114174541.xlsx]TABLICA!$B$5:$B$21</c:f>
              <c:numCache>
                <c:formatCode>#,##0</c:formatCode>
                <c:ptCount val="17"/>
                <c:pt idx="0">
                  <c:v>82</c:v>
                </c:pt>
                <c:pt idx="1">
                  <c:v>84</c:v>
                </c:pt>
                <c:pt idx="2">
                  <c:v>90</c:v>
                </c:pt>
                <c:pt idx="3">
                  <c:v>86</c:v>
                </c:pt>
                <c:pt idx="4">
                  <c:v>89</c:v>
                </c:pt>
                <c:pt idx="5">
                  <c:v>89</c:v>
                </c:pt>
                <c:pt idx="6">
                  <c:v>94</c:v>
                </c:pt>
                <c:pt idx="7">
                  <c:v>94</c:v>
                </c:pt>
                <c:pt idx="8">
                  <c:v>100</c:v>
                </c:pt>
                <c:pt idx="9">
                  <c:v>98</c:v>
                </c:pt>
                <c:pt idx="10">
                  <c:v>103</c:v>
                </c:pt>
                <c:pt idx="11">
                  <c:v>99</c:v>
                </c:pt>
                <c:pt idx="12">
                  <c:v>97</c:v>
                </c:pt>
                <c:pt idx="13">
                  <c:v>102</c:v>
                </c:pt>
                <c:pt idx="14">
                  <c:v>104</c:v>
                </c:pt>
                <c:pt idx="15">
                  <c:v>111</c:v>
                </c:pt>
                <c:pt idx="16">
                  <c:v>134</c:v>
                </c:pt>
              </c:numCache>
            </c:numRef>
          </c:val>
          <c:extLst>
            <c:ext xmlns:c16="http://schemas.microsoft.com/office/drawing/2014/chart" uri="{C3380CC4-5D6E-409C-BE32-E72D297353CC}">
              <c16:uniqueId val="{00000000-AE24-43EF-9C26-1001CA6D6280}"/>
            </c:ext>
          </c:extLst>
        </c:ser>
        <c:dLbls>
          <c:showLegendKey val="0"/>
          <c:showVal val="0"/>
          <c:showCatName val="0"/>
          <c:showSerName val="0"/>
          <c:showPercent val="0"/>
          <c:showBubbleSize val="0"/>
        </c:dLbls>
        <c:gapWidth val="219"/>
        <c:overlap val="-27"/>
        <c:axId val="463103024"/>
        <c:axId val="463101848"/>
      </c:barChart>
      <c:catAx>
        <c:axId val="46310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3101848"/>
        <c:crosses val="autoZero"/>
        <c:auto val="1"/>
        <c:lblAlgn val="ctr"/>
        <c:lblOffset val="100"/>
        <c:noMultiLvlLbl val="0"/>
      </c:catAx>
      <c:valAx>
        <c:axId val="463101848"/>
        <c:scaling>
          <c:orientation val="minMax"/>
          <c:max val="14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31030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TABLICA!$B$1:$B$5</c:f>
              <c:strCache>
                <c:ptCount val="5"/>
                <c:pt idx="3">
                  <c:v>2013</c:v>
                </c:pt>
              </c:strCache>
            </c:strRef>
          </c:tx>
          <c:spPr>
            <a:solidFill>
              <a:schemeClr val="accent1"/>
            </a:solidFill>
            <a:ln>
              <a:noFill/>
            </a:ln>
            <a:effectLst/>
          </c:spPr>
          <c:invertIfNegative val="0"/>
          <c:cat>
            <c:strRef>
              <c:f>TABLICA!$A$6:$A$22</c:f>
              <c:strCache>
                <c:ptCount val="17"/>
                <c:pt idx="0">
                  <c:v>Polska</c:v>
                </c:pt>
                <c:pt idx="1">
                  <c:v>Dolnośląskie</c:v>
                </c:pt>
                <c:pt idx="2">
                  <c:v>Kujawsko-Pomorskie</c:v>
                </c:pt>
                <c:pt idx="3">
                  <c:v>Łódzkie</c:v>
                </c:pt>
                <c:pt idx="4">
                  <c:v>Małopolskie</c:v>
                </c:pt>
                <c:pt idx="5">
                  <c:v>Lubelskie</c:v>
                </c:pt>
                <c:pt idx="6">
                  <c:v>Lubuskie</c:v>
                </c:pt>
                <c:pt idx="7">
                  <c:v>Mazowieckie</c:v>
                </c:pt>
                <c:pt idx="8">
                  <c:v>Opolskie</c:v>
                </c:pt>
                <c:pt idx="9">
                  <c:v>Podlaskie</c:v>
                </c:pt>
                <c:pt idx="10">
                  <c:v>Podkarpackie</c:v>
                </c:pt>
                <c:pt idx="11">
                  <c:v>Śląskie</c:v>
                </c:pt>
                <c:pt idx="12">
                  <c:v>Pomorskie</c:v>
                </c:pt>
                <c:pt idx="13">
                  <c:v>Świętokrzyskie</c:v>
                </c:pt>
                <c:pt idx="14">
                  <c:v>Warmińsko-Mazurskie</c:v>
                </c:pt>
                <c:pt idx="15">
                  <c:v>Wielkopolskie</c:v>
                </c:pt>
                <c:pt idx="16">
                  <c:v>Zachodniopomorskie</c:v>
                </c:pt>
              </c:strCache>
            </c:strRef>
          </c:cat>
          <c:val>
            <c:numRef>
              <c:f>TABLICA!$B$6:$B$22</c:f>
              <c:numCache>
                <c:formatCode>#\ ##0.0</c:formatCode>
                <c:ptCount val="17"/>
                <c:pt idx="0">
                  <c:v>74.8</c:v>
                </c:pt>
                <c:pt idx="1">
                  <c:v>74.8</c:v>
                </c:pt>
                <c:pt idx="2">
                  <c:v>74.099999999999994</c:v>
                </c:pt>
                <c:pt idx="3">
                  <c:v>73.400000000000006</c:v>
                </c:pt>
                <c:pt idx="4">
                  <c:v>73.2</c:v>
                </c:pt>
                <c:pt idx="5">
                  <c:v>73.5</c:v>
                </c:pt>
                <c:pt idx="6">
                  <c:v>73.5</c:v>
                </c:pt>
                <c:pt idx="7">
                  <c:v>73.099999999999994</c:v>
                </c:pt>
                <c:pt idx="8">
                  <c:v>72.900000000000006</c:v>
                </c:pt>
                <c:pt idx="9">
                  <c:v>72.7</c:v>
                </c:pt>
                <c:pt idx="10">
                  <c:v>72.8</c:v>
                </c:pt>
                <c:pt idx="11">
                  <c:v>72.5</c:v>
                </c:pt>
                <c:pt idx="12">
                  <c:v>72.7</c:v>
                </c:pt>
                <c:pt idx="13">
                  <c:v>72.400000000000006</c:v>
                </c:pt>
                <c:pt idx="14">
                  <c:v>72.2</c:v>
                </c:pt>
                <c:pt idx="15">
                  <c:v>71.900000000000006</c:v>
                </c:pt>
                <c:pt idx="16">
                  <c:v>70.7</c:v>
                </c:pt>
              </c:numCache>
            </c:numRef>
          </c:val>
          <c:extLst>
            <c:ext xmlns:c16="http://schemas.microsoft.com/office/drawing/2014/chart" uri="{C3380CC4-5D6E-409C-BE32-E72D297353CC}">
              <c16:uniqueId val="{00000000-73A5-43A5-8FB8-D2F8512A0331}"/>
            </c:ext>
          </c:extLst>
        </c:ser>
        <c:ser>
          <c:idx val="1"/>
          <c:order val="1"/>
          <c:tx>
            <c:strRef>
              <c:f>TABLICA!$C$1:$C$5</c:f>
              <c:strCache>
                <c:ptCount val="5"/>
                <c:pt idx="3">
                  <c:v>2017</c:v>
                </c:pt>
              </c:strCache>
            </c:strRef>
          </c:tx>
          <c:spPr>
            <a:solidFill>
              <a:schemeClr val="accent2"/>
            </a:solidFill>
            <a:ln>
              <a:noFill/>
            </a:ln>
            <a:effectLst/>
          </c:spPr>
          <c:invertIfNegative val="0"/>
          <c:cat>
            <c:strRef>
              <c:f>TABLICA!$A$6:$A$22</c:f>
              <c:strCache>
                <c:ptCount val="17"/>
                <c:pt idx="0">
                  <c:v>Polska</c:v>
                </c:pt>
                <c:pt idx="1">
                  <c:v>Dolnośląskie</c:v>
                </c:pt>
                <c:pt idx="2">
                  <c:v>Kujawsko-Pomorskie</c:v>
                </c:pt>
                <c:pt idx="3">
                  <c:v>Łódzkie</c:v>
                </c:pt>
                <c:pt idx="4">
                  <c:v>Małopolskie</c:v>
                </c:pt>
                <c:pt idx="5">
                  <c:v>Lubelskie</c:v>
                </c:pt>
                <c:pt idx="6">
                  <c:v>Lubuskie</c:v>
                </c:pt>
                <c:pt idx="7">
                  <c:v>Mazowieckie</c:v>
                </c:pt>
                <c:pt idx="8">
                  <c:v>Opolskie</c:v>
                </c:pt>
                <c:pt idx="9">
                  <c:v>Podlaskie</c:v>
                </c:pt>
                <c:pt idx="10">
                  <c:v>Podkarpackie</c:v>
                </c:pt>
                <c:pt idx="11">
                  <c:v>Śląskie</c:v>
                </c:pt>
                <c:pt idx="12">
                  <c:v>Pomorskie</c:v>
                </c:pt>
                <c:pt idx="13">
                  <c:v>Świętokrzyskie</c:v>
                </c:pt>
                <c:pt idx="14">
                  <c:v>Warmińsko-Mazurskie</c:v>
                </c:pt>
                <c:pt idx="15">
                  <c:v>Wielkopolskie</c:v>
                </c:pt>
                <c:pt idx="16">
                  <c:v>Zachodniopomorskie</c:v>
                </c:pt>
              </c:strCache>
            </c:strRef>
          </c:cat>
          <c:val>
            <c:numRef>
              <c:f>TABLICA!$C$6:$C$22</c:f>
              <c:numCache>
                <c:formatCode>#\ ##0.0</c:formatCode>
                <c:ptCount val="17"/>
                <c:pt idx="0">
                  <c:v>75.400000000000006</c:v>
                </c:pt>
                <c:pt idx="1">
                  <c:v>75.599999999999994</c:v>
                </c:pt>
                <c:pt idx="2">
                  <c:v>74.8</c:v>
                </c:pt>
                <c:pt idx="3">
                  <c:v>74</c:v>
                </c:pt>
                <c:pt idx="4">
                  <c:v>74.2</c:v>
                </c:pt>
                <c:pt idx="5">
                  <c:v>74.099999999999994</c:v>
                </c:pt>
                <c:pt idx="6">
                  <c:v>74.099999999999994</c:v>
                </c:pt>
                <c:pt idx="7">
                  <c:v>74</c:v>
                </c:pt>
                <c:pt idx="8">
                  <c:v>74</c:v>
                </c:pt>
                <c:pt idx="9">
                  <c:v>73.599999999999994</c:v>
                </c:pt>
                <c:pt idx="10">
                  <c:v>73.8</c:v>
                </c:pt>
                <c:pt idx="11">
                  <c:v>73.5</c:v>
                </c:pt>
                <c:pt idx="12">
                  <c:v>73.7</c:v>
                </c:pt>
                <c:pt idx="13">
                  <c:v>73.400000000000006</c:v>
                </c:pt>
                <c:pt idx="14">
                  <c:v>73.400000000000006</c:v>
                </c:pt>
                <c:pt idx="15">
                  <c:v>73</c:v>
                </c:pt>
                <c:pt idx="16">
                  <c:v>71.900000000000006</c:v>
                </c:pt>
              </c:numCache>
            </c:numRef>
          </c:val>
          <c:extLst>
            <c:ext xmlns:c16="http://schemas.microsoft.com/office/drawing/2014/chart" uri="{C3380CC4-5D6E-409C-BE32-E72D297353CC}">
              <c16:uniqueId val="{00000001-73A5-43A5-8FB8-D2F8512A0331}"/>
            </c:ext>
          </c:extLst>
        </c:ser>
        <c:ser>
          <c:idx val="2"/>
          <c:order val="2"/>
          <c:tx>
            <c:strRef>
              <c:f>TABLICA!$D$1:$D$5</c:f>
              <c:strCache>
                <c:ptCount val="5"/>
                <c:pt idx="3">
                  <c:v>2021</c:v>
                </c:pt>
              </c:strCache>
            </c:strRef>
          </c:tx>
          <c:spPr>
            <a:solidFill>
              <a:schemeClr val="accent3"/>
            </a:solidFill>
            <a:ln>
              <a:noFill/>
            </a:ln>
            <a:effectLst/>
          </c:spPr>
          <c:invertIfNegative val="0"/>
          <c:cat>
            <c:strRef>
              <c:f>TABLICA!$A$6:$A$22</c:f>
              <c:strCache>
                <c:ptCount val="17"/>
                <c:pt idx="0">
                  <c:v>Polska</c:v>
                </c:pt>
                <c:pt idx="1">
                  <c:v>Dolnośląskie</c:v>
                </c:pt>
                <c:pt idx="2">
                  <c:v>Kujawsko-Pomorskie</c:v>
                </c:pt>
                <c:pt idx="3">
                  <c:v>Łódzkie</c:v>
                </c:pt>
                <c:pt idx="4">
                  <c:v>Małopolskie</c:v>
                </c:pt>
                <c:pt idx="5">
                  <c:v>Lubelskie</c:v>
                </c:pt>
                <c:pt idx="6">
                  <c:v>Lubuskie</c:v>
                </c:pt>
                <c:pt idx="7">
                  <c:v>Mazowieckie</c:v>
                </c:pt>
                <c:pt idx="8">
                  <c:v>Opolskie</c:v>
                </c:pt>
                <c:pt idx="9">
                  <c:v>Podlaskie</c:v>
                </c:pt>
                <c:pt idx="10">
                  <c:v>Podkarpackie</c:v>
                </c:pt>
                <c:pt idx="11">
                  <c:v>Śląskie</c:v>
                </c:pt>
                <c:pt idx="12">
                  <c:v>Pomorskie</c:v>
                </c:pt>
                <c:pt idx="13">
                  <c:v>Świętokrzyskie</c:v>
                </c:pt>
                <c:pt idx="14">
                  <c:v>Warmińsko-Mazurskie</c:v>
                </c:pt>
                <c:pt idx="15">
                  <c:v>Wielkopolskie</c:v>
                </c:pt>
                <c:pt idx="16">
                  <c:v>Zachodniopomorskie</c:v>
                </c:pt>
              </c:strCache>
            </c:strRef>
          </c:cat>
          <c:val>
            <c:numRef>
              <c:f>TABLICA!$D$6:$D$22</c:f>
              <c:numCache>
                <c:formatCode>#\ ##0.0</c:formatCode>
                <c:ptCount val="17"/>
                <c:pt idx="0">
                  <c:v>73.5</c:v>
                </c:pt>
                <c:pt idx="1">
                  <c:v>72.7</c:v>
                </c:pt>
                <c:pt idx="2">
                  <c:v>72.7</c:v>
                </c:pt>
                <c:pt idx="3">
                  <c:v>71.599999999999994</c:v>
                </c:pt>
                <c:pt idx="4">
                  <c:v>71.5</c:v>
                </c:pt>
                <c:pt idx="5">
                  <c:v>72.400000000000006</c:v>
                </c:pt>
                <c:pt idx="6">
                  <c:v>72.099999999999994</c:v>
                </c:pt>
                <c:pt idx="7">
                  <c:v>71.8</c:v>
                </c:pt>
                <c:pt idx="8">
                  <c:v>71.3</c:v>
                </c:pt>
                <c:pt idx="9">
                  <c:v>71.3</c:v>
                </c:pt>
                <c:pt idx="10">
                  <c:v>71.599999999999994</c:v>
                </c:pt>
                <c:pt idx="11">
                  <c:v>71.400000000000006</c:v>
                </c:pt>
                <c:pt idx="12">
                  <c:v>71.5</c:v>
                </c:pt>
                <c:pt idx="13">
                  <c:v>71.3</c:v>
                </c:pt>
                <c:pt idx="14">
                  <c:v>70.5</c:v>
                </c:pt>
                <c:pt idx="15">
                  <c:v>70.8</c:v>
                </c:pt>
                <c:pt idx="16">
                  <c:v>70.599999999999994</c:v>
                </c:pt>
              </c:numCache>
            </c:numRef>
          </c:val>
          <c:extLst>
            <c:ext xmlns:c16="http://schemas.microsoft.com/office/drawing/2014/chart" uri="{C3380CC4-5D6E-409C-BE32-E72D297353CC}">
              <c16:uniqueId val="{00000002-73A5-43A5-8FB8-D2F8512A0331}"/>
            </c:ext>
          </c:extLst>
        </c:ser>
        <c:ser>
          <c:idx val="3"/>
          <c:order val="3"/>
          <c:tx>
            <c:strRef>
              <c:f>TABLICA!$E$1:$E$5</c:f>
              <c:strCache>
                <c:ptCount val="5"/>
                <c:pt idx="3">
                  <c:v>2022</c:v>
                </c:pt>
              </c:strCache>
            </c:strRef>
          </c:tx>
          <c:spPr>
            <a:solidFill>
              <a:schemeClr val="accent4"/>
            </a:solidFill>
            <a:ln>
              <a:noFill/>
            </a:ln>
            <a:effectLst/>
          </c:spPr>
          <c:invertIfNegative val="0"/>
          <c:cat>
            <c:strRef>
              <c:f>TABLICA!$A$6:$A$22</c:f>
              <c:strCache>
                <c:ptCount val="17"/>
                <c:pt idx="0">
                  <c:v>Polska</c:v>
                </c:pt>
                <c:pt idx="1">
                  <c:v>Dolnośląskie</c:v>
                </c:pt>
                <c:pt idx="2">
                  <c:v>Kujawsko-Pomorskie</c:v>
                </c:pt>
                <c:pt idx="3">
                  <c:v>Łódzkie</c:v>
                </c:pt>
                <c:pt idx="4">
                  <c:v>Małopolskie</c:v>
                </c:pt>
                <c:pt idx="5">
                  <c:v>Lubelskie</c:v>
                </c:pt>
                <c:pt idx="6">
                  <c:v>Lubuskie</c:v>
                </c:pt>
                <c:pt idx="7">
                  <c:v>Mazowieckie</c:v>
                </c:pt>
                <c:pt idx="8">
                  <c:v>Opolskie</c:v>
                </c:pt>
                <c:pt idx="9">
                  <c:v>Podlaskie</c:v>
                </c:pt>
                <c:pt idx="10">
                  <c:v>Podkarpackie</c:v>
                </c:pt>
                <c:pt idx="11">
                  <c:v>Śląskie</c:v>
                </c:pt>
                <c:pt idx="12">
                  <c:v>Pomorskie</c:v>
                </c:pt>
                <c:pt idx="13">
                  <c:v>Świętokrzyskie</c:v>
                </c:pt>
                <c:pt idx="14">
                  <c:v>Warmińsko-Mazurskie</c:v>
                </c:pt>
                <c:pt idx="15">
                  <c:v>Wielkopolskie</c:v>
                </c:pt>
                <c:pt idx="16">
                  <c:v>Zachodniopomorskie</c:v>
                </c:pt>
              </c:strCache>
            </c:strRef>
          </c:cat>
          <c:val>
            <c:numRef>
              <c:f>TABLICA!$E$6:$E$22</c:f>
              <c:numCache>
                <c:formatCode>#\ ##0.0</c:formatCode>
                <c:ptCount val="17"/>
                <c:pt idx="0">
                  <c:v>74.900000000000006</c:v>
                </c:pt>
                <c:pt idx="1">
                  <c:v>74.7</c:v>
                </c:pt>
                <c:pt idx="2">
                  <c:v>73.8</c:v>
                </c:pt>
                <c:pt idx="3">
                  <c:v>73.8</c:v>
                </c:pt>
                <c:pt idx="4">
                  <c:v>73.7</c:v>
                </c:pt>
                <c:pt idx="5">
                  <c:v>73.599999999999994</c:v>
                </c:pt>
                <c:pt idx="6">
                  <c:v>73.599999999999994</c:v>
                </c:pt>
                <c:pt idx="7">
                  <c:v>73.400000000000006</c:v>
                </c:pt>
                <c:pt idx="8">
                  <c:v>73.3</c:v>
                </c:pt>
                <c:pt idx="9">
                  <c:v>73.2</c:v>
                </c:pt>
                <c:pt idx="10">
                  <c:v>72.900000000000006</c:v>
                </c:pt>
                <c:pt idx="11">
                  <c:v>72.900000000000006</c:v>
                </c:pt>
                <c:pt idx="12">
                  <c:v>72.8</c:v>
                </c:pt>
                <c:pt idx="13">
                  <c:v>72.8</c:v>
                </c:pt>
                <c:pt idx="14">
                  <c:v>72.599999999999994</c:v>
                </c:pt>
                <c:pt idx="15">
                  <c:v>72.5</c:v>
                </c:pt>
                <c:pt idx="16">
                  <c:v>72.099999999999994</c:v>
                </c:pt>
              </c:numCache>
            </c:numRef>
          </c:val>
          <c:extLst>
            <c:ext xmlns:c16="http://schemas.microsoft.com/office/drawing/2014/chart" uri="{C3380CC4-5D6E-409C-BE32-E72D297353CC}">
              <c16:uniqueId val="{00000003-73A5-43A5-8FB8-D2F8512A0331}"/>
            </c:ext>
          </c:extLst>
        </c:ser>
        <c:dLbls>
          <c:showLegendKey val="0"/>
          <c:showVal val="0"/>
          <c:showCatName val="0"/>
          <c:showSerName val="0"/>
          <c:showPercent val="0"/>
          <c:showBubbleSize val="0"/>
        </c:dLbls>
        <c:gapWidth val="219"/>
        <c:overlap val="-27"/>
        <c:axId val="463103808"/>
        <c:axId val="463098712"/>
      </c:barChart>
      <c:catAx>
        <c:axId val="463103808"/>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3098712"/>
        <c:crosses val="autoZero"/>
        <c:auto val="1"/>
        <c:lblAlgn val="ctr"/>
        <c:lblOffset val="100"/>
        <c:noMultiLvlLbl val="0"/>
      </c:catAx>
      <c:valAx>
        <c:axId val="463098712"/>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3103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TABLICA!$C$25</c:f>
              <c:strCache>
                <c:ptCount val="1"/>
                <c:pt idx="0">
                  <c:v>patenty udzielone przez UPRP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TABLICA!$B$26:$B$41</c:f>
              <c:strCache>
                <c:ptCount val="16"/>
                <c:pt idx="0">
                  <c:v>Lubuskie</c:v>
                </c:pt>
                <c:pt idx="1">
                  <c:v>Warmińsko-mazurskie</c:v>
                </c:pt>
                <c:pt idx="2">
                  <c:v>Opolskie</c:v>
                </c:pt>
                <c:pt idx="3">
                  <c:v>Świętokrzyskie</c:v>
                </c:pt>
                <c:pt idx="4">
                  <c:v>Podlaskie</c:v>
                </c:pt>
                <c:pt idx="5">
                  <c:v>Zachodniopomorskie</c:v>
                </c:pt>
                <c:pt idx="6">
                  <c:v>Kujawsko-pomorskie</c:v>
                </c:pt>
                <c:pt idx="7">
                  <c:v>Podkarpackie</c:v>
                </c:pt>
                <c:pt idx="8">
                  <c:v>Pomorskie</c:v>
                </c:pt>
                <c:pt idx="9">
                  <c:v>Łódzkie</c:v>
                </c:pt>
                <c:pt idx="10">
                  <c:v>Dolnośląskie</c:v>
                </c:pt>
                <c:pt idx="11">
                  <c:v>Lubelskie</c:v>
                </c:pt>
                <c:pt idx="12">
                  <c:v>Wielkopolskie</c:v>
                </c:pt>
                <c:pt idx="13">
                  <c:v>Małopolskie</c:v>
                </c:pt>
                <c:pt idx="14">
                  <c:v>Śląskie</c:v>
                </c:pt>
                <c:pt idx="15">
                  <c:v>Mazowieckie</c:v>
                </c:pt>
              </c:strCache>
            </c:strRef>
          </c:cat>
          <c:val>
            <c:numRef>
              <c:f>TABLICA!$C$26:$C$41</c:f>
              <c:numCache>
                <c:formatCode>#,##0</c:formatCode>
                <c:ptCount val="16"/>
                <c:pt idx="0">
                  <c:v>35</c:v>
                </c:pt>
                <c:pt idx="1">
                  <c:v>37</c:v>
                </c:pt>
                <c:pt idx="2">
                  <c:v>39</c:v>
                </c:pt>
                <c:pt idx="3">
                  <c:v>56</c:v>
                </c:pt>
                <c:pt idx="4">
                  <c:v>60</c:v>
                </c:pt>
                <c:pt idx="5">
                  <c:v>79</c:v>
                </c:pt>
                <c:pt idx="6">
                  <c:v>92</c:v>
                </c:pt>
                <c:pt idx="7">
                  <c:v>115</c:v>
                </c:pt>
                <c:pt idx="8">
                  <c:v>136</c:v>
                </c:pt>
                <c:pt idx="9">
                  <c:v>156</c:v>
                </c:pt>
                <c:pt idx="10">
                  <c:v>179</c:v>
                </c:pt>
                <c:pt idx="11">
                  <c:v>179</c:v>
                </c:pt>
                <c:pt idx="12">
                  <c:v>208</c:v>
                </c:pt>
                <c:pt idx="13">
                  <c:v>213</c:v>
                </c:pt>
                <c:pt idx="14">
                  <c:v>269</c:v>
                </c:pt>
                <c:pt idx="15">
                  <c:v>371</c:v>
                </c:pt>
              </c:numCache>
            </c:numRef>
          </c:val>
          <c:extLst>
            <c:ext xmlns:c16="http://schemas.microsoft.com/office/drawing/2014/chart" uri="{C3380CC4-5D6E-409C-BE32-E72D297353CC}">
              <c16:uniqueId val="{00000000-748E-4FEA-9DBE-D100A59861B5}"/>
            </c:ext>
          </c:extLst>
        </c:ser>
        <c:ser>
          <c:idx val="1"/>
          <c:order val="1"/>
          <c:tx>
            <c:strRef>
              <c:f>TABLICA!$D$25</c:f>
              <c:strCache>
                <c:ptCount val="1"/>
                <c:pt idx="0">
                  <c:v>zgłoszenia w UPRP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TABLICA!$B$26:$B$41</c:f>
              <c:strCache>
                <c:ptCount val="16"/>
                <c:pt idx="0">
                  <c:v>Lubuskie</c:v>
                </c:pt>
                <c:pt idx="1">
                  <c:v>Warmińsko-mazurskie</c:v>
                </c:pt>
                <c:pt idx="2">
                  <c:v>Opolskie</c:v>
                </c:pt>
                <c:pt idx="3">
                  <c:v>Świętokrzyskie</c:v>
                </c:pt>
                <c:pt idx="4">
                  <c:v>Podlaskie</c:v>
                </c:pt>
                <c:pt idx="5">
                  <c:v>Zachodniopomorskie</c:v>
                </c:pt>
                <c:pt idx="6">
                  <c:v>Kujawsko-pomorskie</c:v>
                </c:pt>
                <c:pt idx="7">
                  <c:v>Podkarpackie</c:v>
                </c:pt>
                <c:pt idx="8">
                  <c:v>Pomorskie</c:v>
                </c:pt>
                <c:pt idx="9">
                  <c:v>Łódzkie</c:v>
                </c:pt>
                <c:pt idx="10">
                  <c:v>Dolnośląskie</c:v>
                </c:pt>
                <c:pt idx="11">
                  <c:v>Lubelskie</c:v>
                </c:pt>
                <c:pt idx="12">
                  <c:v>Wielkopolskie</c:v>
                </c:pt>
                <c:pt idx="13">
                  <c:v>Małopolskie</c:v>
                </c:pt>
                <c:pt idx="14">
                  <c:v>Śląskie</c:v>
                </c:pt>
                <c:pt idx="15">
                  <c:v>Mazowieckie</c:v>
                </c:pt>
              </c:strCache>
            </c:strRef>
          </c:cat>
          <c:val>
            <c:numRef>
              <c:f>TABLICA!$D$26:$D$41</c:f>
              <c:numCache>
                <c:formatCode>#,##0</c:formatCode>
                <c:ptCount val="16"/>
                <c:pt idx="0">
                  <c:v>44</c:v>
                </c:pt>
                <c:pt idx="1">
                  <c:v>44</c:v>
                </c:pt>
                <c:pt idx="2">
                  <c:v>87</c:v>
                </c:pt>
                <c:pt idx="3">
                  <c:v>66</c:v>
                </c:pt>
                <c:pt idx="4">
                  <c:v>71</c:v>
                </c:pt>
                <c:pt idx="5">
                  <c:v>161</c:v>
                </c:pt>
                <c:pt idx="6">
                  <c:v>104</c:v>
                </c:pt>
                <c:pt idx="7">
                  <c:v>216</c:v>
                </c:pt>
                <c:pt idx="8">
                  <c:v>170</c:v>
                </c:pt>
                <c:pt idx="9">
                  <c:v>231</c:v>
                </c:pt>
                <c:pt idx="10">
                  <c:v>175</c:v>
                </c:pt>
                <c:pt idx="11">
                  <c:v>328</c:v>
                </c:pt>
                <c:pt idx="12">
                  <c:v>267</c:v>
                </c:pt>
                <c:pt idx="13">
                  <c:v>345</c:v>
                </c:pt>
                <c:pt idx="14">
                  <c:v>383</c:v>
                </c:pt>
                <c:pt idx="15">
                  <c:v>548</c:v>
                </c:pt>
              </c:numCache>
            </c:numRef>
          </c:val>
          <c:extLst>
            <c:ext xmlns:c16="http://schemas.microsoft.com/office/drawing/2014/chart" uri="{C3380CC4-5D6E-409C-BE32-E72D297353CC}">
              <c16:uniqueId val="{00000001-748E-4FEA-9DBE-D100A59861B5}"/>
            </c:ext>
          </c:extLst>
        </c:ser>
        <c:dLbls>
          <c:dLblPos val="outEnd"/>
          <c:showLegendKey val="0"/>
          <c:showVal val="1"/>
          <c:showCatName val="0"/>
          <c:showSerName val="0"/>
          <c:showPercent val="0"/>
          <c:showBubbleSize val="0"/>
        </c:dLbls>
        <c:gapWidth val="182"/>
        <c:axId val="522196840"/>
        <c:axId val="522192528"/>
      </c:barChart>
      <c:catAx>
        <c:axId val="522196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522192528"/>
        <c:crosses val="autoZero"/>
        <c:auto val="1"/>
        <c:lblAlgn val="ctr"/>
        <c:lblOffset val="100"/>
        <c:noMultiLvlLbl val="0"/>
      </c:catAx>
      <c:valAx>
        <c:axId val="5221925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522196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TABLICA!$B$1:$B$5</c:f>
              <c:strCache>
                <c:ptCount val="5"/>
                <c:pt idx="3">
                  <c:v>2013</c:v>
                </c:pt>
              </c:strCache>
            </c:strRef>
          </c:tx>
          <c:spPr>
            <a:solidFill>
              <a:schemeClr val="accent1"/>
            </a:solidFill>
            <a:ln>
              <a:noFill/>
            </a:ln>
            <a:effectLst/>
          </c:spPr>
          <c:invertIfNegative val="0"/>
          <c:cat>
            <c:strRef>
              <c:f>TABLICA!$A$6:$A$22</c:f>
              <c:strCache>
                <c:ptCount val="17"/>
                <c:pt idx="0">
                  <c:v>Podlaskie</c:v>
                </c:pt>
                <c:pt idx="1">
                  <c:v>Podkarpackie</c:v>
                </c:pt>
                <c:pt idx="2">
                  <c:v>Małopolskie</c:v>
                </c:pt>
                <c:pt idx="3">
                  <c:v>Lubelskie</c:v>
                </c:pt>
                <c:pt idx="4">
                  <c:v>Mazowieckie</c:v>
                </c:pt>
                <c:pt idx="5">
                  <c:v>Świętokrzyskie</c:v>
                </c:pt>
                <c:pt idx="6">
                  <c:v>Opolskie</c:v>
                </c:pt>
                <c:pt idx="7">
                  <c:v>Polska</c:v>
                </c:pt>
                <c:pt idx="8">
                  <c:v>Wielkopolskie</c:v>
                </c:pt>
                <c:pt idx="9">
                  <c:v>Pomorskie</c:v>
                </c:pt>
                <c:pt idx="10">
                  <c:v>Dolnośląskie </c:v>
                </c:pt>
                <c:pt idx="11">
                  <c:v>Warmińsko-Mazurskie</c:v>
                </c:pt>
                <c:pt idx="12">
                  <c:v>Zachodniopomorskie</c:v>
                </c:pt>
                <c:pt idx="13">
                  <c:v>Lubuskie</c:v>
                </c:pt>
                <c:pt idx="14">
                  <c:v>Kujawsko-Pomorskie</c:v>
                </c:pt>
                <c:pt idx="15">
                  <c:v>Śląskie</c:v>
                </c:pt>
                <c:pt idx="16">
                  <c:v>Łódzkie</c:v>
                </c:pt>
              </c:strCache>
            </c:strRef>
          </c:cat>
          <c:val>
            <c:numRef>
              <c:f>TABLICA!$B$6:$B$22</c:f>
              <c:numCache>
                <c:formatCode>#\ ##0.0</c:formatCode>
                <c:ptCount val="17"/>
                <c:pt idx="0">
                  <c:v>82.3</c:v>
                </c:pt>
                <c:pt idx="1">
                  <c:v>82.4</c:v>
                </c:pt>
                <c:pt idx="2">
                  <c:v>82</c:v>
                </c:pt>
                <c:pt idx="3">
                  <c:v>81.599999999999994</c:v>
                </c:pt>
                <c:pt idx="4">
                  <c:v>81.599999999999994</c:v>
                </c:pt>
                <c:pt idx="5">
                  <c:v>81.5</c:v>
                </c:pt>
                <c:pt idx="6">
                  <c:v>80.900000000000006</c:v>
                </c:pt>
                <c:pt idx="7">
                  <c:v>81.099999999999994</c:v>
                </c:pt>
                <c:pt idx="8">
                  <c:v>80.599999999999994</c:v>
                </c:pt>
                <c:pt idx="9">
                  <c:v>81.2</c:v>
                </c:pt>
                <c:pt idx="10">
                  <c:v>80.900000000000006</c:v>
                </c:pt>
                <c:pt idx="11">
                  <c:v>80.8</c:v>
                </c:pt>
                <c:pt idx="12">
                  <c:v>80.5</c:v>
                </c:pt>
                <c:pt idx="13">
                  <c:v>80.099999999999994</c:v>
                </c:pt>
                <c:pt idx="14">
                  <c:v>80.5</c:v>
                </c:pt>
                <c:pt idx="15">
                  <c:v>80.099999999999994</c:v>
                </c:pt>
                <c:pt idx="16">
                  <c:v>80.099999999999994</c:v>
                </c:pt>
              </c:numCache>
            </c:numRef>
          </c:val>
          <c:extLst>
            <c:ext xmlns:c16="http://schemas.microsoft.com/office/drawing/2014/chart" uri="{C3380CC4-5D6E-409C-BE32-E72D297353CC}">
              <c16:uniqueId val="{00000000-54C9-44AC-9FE0-EF99A3F2EE9E}"/>
            </c:ext>
          </c:extLst>
        </c:ser>
        <c:ser>
          <c:idx val="1"/>
          <c:order val="1"/>
          <c:tx>
            <c:strRef>
              <c:f>TABLICA!$C$1:$C$5</c:f>
              <c:strCache>
                <c:ptCount val="5"/>
                <c:pt idx="3">
                  <c:v>2017</c:v>
                </c:pt>
              </c:strCache>
            </c:strRef>
          </c:tx>
          <c:spPr>
            <a:solidFill>
              <a:schemeClr val="accent2"/>
            </a:solidFill>
            <a:ln>
              <a:noFill/>
            </a:ln>
            <a:effectLst/>
          </c:spPr>
          <c:invertIfNegative val="0"/>
          <c:cat>
            <c:strRef>
              <c:f>TABLICA!$A$6:$A$22</c:f>
              <c:strCache>
                <c:ptCount val="17"/>
                <c:pt idx="0">
                  <c:v>Podlaskie</c:v>
                </c:pt>
                <c:pt idx="1">
                  <c:v>Podkarpackie</c:v>
                </c:pt>
                <c:pt idx="2">
                  <c:v>Małopolskie</c:v>
                </c:pt>
                <c:pt idx="3">
                  <c:v>Lubelskie</c:v>
                </c:pt>
                <c:pt idx="4">
                  <c:v>Mazowieckie</c:v>
                </c:pt>
                <c:pt idx="5">
                  <c:v>Świętokrzyskie</c:v>
                </c:pt>
                <c:pt idx="6">
                  <c:v>Opolskie</c:v>
                </c:pt>
                <c:pt idx="7">
                  <c:v>Polska</c:v>
                </c:pt>
                <c:pt idx="8">
                  <c:v>Wielkopolskie</c:v>
                </c:pt>
                <c:pt idx="9">
                  <c:v>Pomorskie</c:v>
                </c:pt>
                <c:pt idx="10">
                  <c:v>Dolnośląskie </c:v>
                </c:pt>
                <c:pt idx="11">
                  <c:v>Warmińsko-Mazurskie</c:v>
                </c:pt>
                <c:pt idx="12">
                  <c:v>Zachodniopomorskie</c:v>
                </c:pt>
                <c:pt idx="13">
                  <c:v>Lubuskie</c:v>
                </c:pt>
                <c:pt idx="14">
                  <c:v>Kujawsko-Pomorskie</c:v>
                </c:pt>
                <c:pt idx="15">
                  <c:v>Śląskie</c:v>
                </c:pt>
                <c:pt idx="16">
                  <c:v>Łódzkie</c:v>
                </c:pt>
              </c:strCache>
            </c:strRef>
          </c:cat>
          <c:val>
            <c:numRef>
              <c:f>TABLICA!$C$6:$C$22</c:f>
              <c:numCache>
                <c:formatCode>#\ ##0.0</c:formatCode>
                <c:ptCount val="17"/>
                <c:pt idx="0">
                  <c:v>82.9</c:v>
                </c:pt>
                <c:pt idx="1">
                  <c:v>83.1</c:v>
                </c:pt>
                <c:pt idx="2">
                  <c:v>82.6</c:v>
                </c:pt>
                <c:pt idx="3">
                  <c:v>82.2</c:v>
                </c:pt>
                <c:pt idx="4">
                  <c:v>82.1</c:v>
                </c:pt>
                <c:pt idx="5">
                  <c:v>82.2</c:v>
                </c:pt>
                <c:pt idx="6">
                  <c:v>81.599999999999994</c:v>
                </c:pt>
                <c:pt idx="7">
                  <c:v>81.8</c:v>
                </c:pt>
                <c:pt idx="8">
                  <c:v>81.599999999999994</c:v>
                </c:pt>
                <c:pt idx="9">
                  <c:v>81.7</c:v>
                </c:pt>
                <c:pt idx="10">
                  <c:v>81.099999999999994</c:v>
                </c:pt>
                <c:pt idx="11">
                  <c:v>81.400000000000006</c:v>
                </c:pt>
                <c:pt idx="12">
                  <c:v>81.2</c:v>
                </c:pt>
                <c:pt idx="13">
                  <c:v>81.2</c:v>
                </c:pt>
                <c:pt idx="14">
                  <c:v>81</c:v>
                </c:pt>
                <c:pt idx="15">
                  <c:v>80.8</c:v>
                </c:pt>
                <c:pt idx="16">
                  <c:v>80.8</c:v>
                </c:pt>
              </c:numCache>
            </c:numRef>
          </c:val>
          <c:extLst>
            <c:ext xmlns:c16="http://schemas.microsoft.com/office/drawing/2014/chart" uri="{C3380CC4-5D6E-409C-BE32-E72D297353CC}">
              <c16:uniqueId val="{00000001-54C9-44AC-9FE0-EF99A3F2EE9E}"/>
            </c:ext>
          </c:extLst>
        </c:ser>
        <c:ser>
          <c:idx val="2"/>
          <c:order val="2"/>
          <c:tx>
            <c:strRef>
              <c:f>TABLICA!$D$1:$D$5</c:f>
              <c:strCache>
                <c:ptCount val="5"/>
                <c:pt idx="3">
                  <c:v>2021</c:v>
                </c:pt>
              </c:strCache>
            </c:strRef>
          </c:tx>
          <c:spPr>
            <a:solidFill>
              <a:schemeClr val="accent3"/>
            </a:solidFill>
            <a:ln>
              <a:noFill/>
            </a:ln>
            <a:effectLst/>
          </c:spPr>
          <c:invertIfNegative val="0"/>
          <c:cat>
            <c:strRef>
              <c:f>TABLICA!$A$6:$A$22</c:f>
              <c:strCache>
                <c:ptCount val="17"/>
                <c:pt idx="0">
                  <c:v>Podlaskie</c:v>
                </c:pt>
                <c:pt idx="1">
                  <c:v>Podkarpackie</c:v>
                </c:pt>
                <c:pt idx="2">
                  <c:v>Małopolskie</c:v>
                </c:pt>
                <c:pt idx="3">
                  <c:v>Lubelskie</c:v>
                </c:pt>
                <c:pt idx="4">
                  <c:v>Mazowieckie</c:v>
                </c:pt>
                <c:pt idx="5">
                  <c:v>Świętokrzyskie</c:v>
                </c:pt>
                <c:pt idx="6">
                  <c:v>Opolskie</c:v>
                </c:pt>
                <c:pt idx="7">
                  <c:v>Polska</c:v>
                </c:pt>
                <c:pt idx="8">
                  <c:v>Wielkopolskie</c:v>
                </c:pt>
                <c:pt idx="9">
                  <c:v>Pomorskie</c:v>
                </c:pt>
                <c:pt idx="10">
                  <c:v>Dolnośląskie </c:v>
                </c:pt>
                <c:pt idx="11">
                  <c:v>Warmińsko-Mazurskie</c:v>
                </c:pt>
                <c:pt idx="12">
                  <c:v>Zachodniopomorskie</c:v>
                </c:pt>
                <c:pt idx="13">
                  <c:v>Lubuskie</c:v>
                </c:pt>
                <c:pt idx="14">
                  <c:v>Kujawsko-Pomorskie</c:v>
                </c:pt>
                <c:pt idx="15">
                  <c:v>Śląskie</c:v>
                </c:pt>
                <c:pt idx="16">
                  <c:v>Łódzkie</c:v>
                </c:pt>
              </c:strCache>
            </c:strRef>
          </c:cat>
          <c:val>
            <c:numRef>
              <c:f>TABLICA!$D$6:$D$22</c:f>
              <c:numCache>
                <c:formatCode>#\ ##0.0</c:formatCode>
                <c:ptCount val="17"/>
                <c:pt idx="0">
                  <c:v>80.5</c:v>
                </c:pt>
                <c:pt idx="1">
                  <c:v>80.599999999999994</c:v>
                </c:pt>
                <c:pt idx="2">
                  <c:v>81</c:v>
                </c:pt>
                <c:pt idx="3">
                  <c:v>79.5</c:v>
                </c:pt>
                <c:pt idx="4">
                  <c:v>80</c:v>
                </c:pt>
                <c:pt idx="5">
                  <c:v>80</c:v>
                </c:pt>
                <c:pt idx="6">
                  <c:v>80.400000000000006</c:v>
                </c:pt>
                <c:pt idx="7">
                  <c:v>79.7</c:v>
                </c:pt>
                <c:pt idx="8">
                  <c:v>79.599999999999994</c:v>
                </c:pt>
                <c:pt idx="9">
                  <c:v>80.099999999999994</c:v>
                </c:pt>
                <c:pt idx="10">
                  <c:v>79.5</c:v>
                </c:pt>
                <c:pt idx="11">
                  <c:v>79.400000000000006</c:v>
                </c:pt>
                <c:pt idx="12">
                  <c:v>79.2</c:v>
                </c:pt>
                <c:pt idx="13">
                  <c:v>79</c:v>
                </c:pt>
                <c:pt idx="14">
                  <c:v>78.900000000000006</c:v>
                </c:pt>
                <c:pt idx="15">
                  <c:v>78.900000000000006</c:v>
                </c:pt>
                <c:pt idx="16">
                  <c:v>79</c:v>
                </c:pt>
              </c:numCache>
            </c:numRef>
          </c:val>
          <c:extLst>
            <c:ext xmlns:c16="http://schemas.microsoft.com/office/drawing/2014/chart" uri="{C3380CC4-5D6E-409C-BE32-E72D297353CC}">
              <c16:uniqueId val="{00000002-54C9-44AC-9FE0-EF99A3F2EE9E}"/>
            </c:ext>
          </c:extLst>
        </c:ser>
        <c:ser>
          <c:idx val="3"/>
          <c:order val="3"/>
          <c:tx>
            <c:strRef>
              <c:f>TABLICA!$E$1:$E$5</c:f>
              <c:strCache>
                <c:ptCount val="5"/>
                <c:pt idx="3">
                  <c:v>2022</c:v>
                </c:pt>
              </c:strCache>
            </c:strRef>
          </c:tx>
          <c:spPr>
            <a:solidFill>
              <a:schemeClr val="accent4"/>
            </a:solidFill>
            <a:ln>
              <a:noFill/>
            </a:ln>
            <a:effectLst/>
          </c:spPr>
          <c:invertIfNegative val="0"/>
          <c:cat>
            <c:strRef>
              <c:f>TABLICA!$A$6:$A$22</c:f>
              <c:strCache>
                <c:ptCount val="17"/>
                <c:pt idx="0">
                  <c:v>Podlaskie</c:v>
                </c:pt>
                <c:pt idx="1">
                  <c:v>Podkarpackie</c:v>
                </c:pt>
                <c:pt idx="2">
                  <c:v>Małopolskie</c:v>
                </c:pt>
                <c:pt idx="3">
                  <c:v>Lubelskie</c:v>
                </c:pt>
                <c:pt idx="4">
                  <c:v>Mazowieckie</c:v>
                </c:pt>
                <c:pt idx="5">
                  <c:v>Świętokrzyskie</c:v>
                </c:pt>
                <c:pt idx="6">
                  <c:v>Opolskie</c:v>
                </c:pt>
                <c:pt idx="7">
                  <c:v>Polska</c:v>
                </c:pt>
                <c:pt idx="8">
                  <c:v>Wielkopolskie</c:v>
                </c:pt>
                <c:pt idx="9">
                  <c:v>Pomorskie</c:v>
                </c:pt>
                <c:pt idx="10">
                  <c:v>Dolnośląskie </c:v>
                </c:pt>
                <c:pt idx="11">
                  <c:v>Warmińsko-Mazurskie</c:v>
                </c:pt>
                <c:pt idx="12">
                  <c:v>Zachodniopomorskie</c:v>
                </c:pt>
                <c:pt idx="13">
                  <c:v>Lubuskie</c:v>
                </c:pt>
                <c:pt idx="14">
                  <c:v>Kujawsko-Pomorskie</c:v>
                </c:pt>
                <c:pt idx="15">
                  <c:v>Śląskie</c:v>
                </c:pt>
                <c:pt idx="16">
                  <c:v>Łódzkie</c:v>
                </c:pt>
              </c:strCache>
            </c:strRef>
          </c:cat>
          <c:val>
            <c:numRef>
              <c:f>TABLICA!$E$6:$E$22</c:f>
              <c:numCache>
                <c:formatCode>#\ ##0.0</c:formatCode>
                <c:ptCount val="17"/>
                <c:pt idx="0">
                  <c:v>82.6</c:v>
                </c:pt>
                <c:pt idx="1">
                  <c:v>82.5</c:v>
                </c:pt>
                <c:pt idx="2">
                  <c:v>82.2</c:v>
                </c:pt>
                <c:pt idx="3">
                  <c:v>81.7</c:v>
                </c:pt>
                <c:pt idx="4">
                  <c:v>81.5</c:v>
                </c:pt>
                <c:pt idx="5">
                  <c:v>81.5</c:v>
                </c:pt>
                <c:pt idx="6">
                  <c:v>81.400000000000006</c:v>
                </c:pt>
                <c:pt idx="7">
                  <c:v>81.099999999999994</c:v>
                </c:pt>
                <c:pt idx="8">
                  <c:v>81</c:v>
                </c:pt>
                <c:pt idx="9">
                  <c:v>80.900000000000006</c:v>
                </c:pt>
                <c:pt idx="10">
                  <c:v>80.7</c:v>
                </c:pt>
                <c:pt idx="11">
                  <c:v>80.7</c:v>
                </c:pt>
                <c:pt idx="12">
                  <c:v>80.7</c:v>
                </c:pt>
                <c:pt idx="13">
                  <c:v>80.3</c:v>
                </c:pt>
                <c:pt idx="14">
                  <c:v>80.2</c:v>
                </c:pt>
                <c:pt idx="15">
                  <c:v>80.2</c:v>
                </c:pt>
                <c:pt idx="16">
                  <c:v>80</c:v>
                </c:pt>
              </c:numCache>
            </c:numRef>
          </c:val>
          <c:extLst>
            <c:ext xmlns:c16="http://schemas.microsoft.com/office/drawing/2014/chart" uri="{C3380CC4-5D6E-409C-BE32-E72D297353CC}">
              <c16:uniqueId val="{00000003-54C9-44AC-9FE0-EF99A3F2EE9E}"/>
            </c:ext>
          </c:extLst>
        </c:ser>
        <c:dLbls>
          <c:showLegendKey val="0"/>
          <c:showVal val="0"/>
          <c:showCatName val="0"/>
          <c:showSerName val="0"/>
          <c:showPercent val="0"/>
          <c:showBubbleSize val="0"/>
        </c:dLbls>
        <c:gapWidth val="219"/>
        <c:overlap val="-27"/>
        <c:axId val="463098320"/>
        <c:axId val="463099496"/>
      </c:barChart>
      <c:catAx>
        <c:axId val="46309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3099496"/>
        <c:crosses val="autoZero"/>
        <c:auto val="1"/>
        <c:lblAlgn val="ctr"/>
        <c:lblOffset val="100"/>
        <c:noMultiLvlLbl val="0"/>
      </c:catAx>
      <c:valAx>
        <c:axId val="463099496"/>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309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Arkusz1!$K$5</c:f>
              <c:strCache>
                <c:ptCount val="1"/>
                <c:pt idx="0">
                  <c:v>2019 r.</c:v>
                </c:pt>
              </c:strCache>
            </c:strRef>
          </c:tx>
          <c:spPr>
            <a:solidFill>
              <a:schemeClr val="accent1"/>
            </a:solidFill>
            <a:ln>
              <a:noFill/>
            </a:ln>
            <a:effectLst/>
          </c:spPr>
          <c:invertIfNegative val="0"/>
          <c:cat>
            <c:strRef>
              <c:f>Arkusz1!$J$6:$J$22</c:f>
              <c:strCache>
                <c:ptCount val="17"/>
                <c:pt idx="0">
                  <c:v>Mazowieckie</c:v>
                </c:pt>
                <c:pt idx="1">
                  <c:v>Łódzkie</c:v>
                </c:pt>
                <c:pt idx="2">
                  <c:v>Podlaskie</c:v>
                </c:pt>
                <c:pt idx="3">
                  <c:v>Lubelskie</c:v>
                </c:pt>
                <c:pt idx="4">
                  <c:v>Dolnośląskie</c:v>
                </c:pt>
                <c:pt idx="5">
                  <c:v>Śląskie</c:v>
                </c:pt>
                <c:pt idx="6">
                  <c:v>Małopolskie</c:v>
                </c:pt>
                <c:pt idx="7">
                  <c:v>Pomorskie</c:v>
                </c:pt>
                <c:pt idx="8">
                  <c:v>Polska</c:v>
                </c:pt>
                <c:pt idx="9">
                  <c:v>Zachodniopomorskie</c:v>
                </c:pt>
                <c:pt idx="10">
                  <c:v>Świętokrzyskie</c:v>
                </c:pt>
                <c:pt idx="11">
                  <c:v>Kujawsko-pomorskie</c:v>
                </c:pt>
                <c:pt idx="12">
                  <c:v>Wielkopolskie</c:v>
                </c:pt>
                <c:pt idx="13">
                  <c:v>Podkarpackie</c:v>
                </c:pt>
                <c:pt idx="14">
                  <c:v>Warmińsko-mazurskie</c:v>
                </c:pt>
                <c:pt idx="15">
                  <c:v>Opolskie</c:v>
                </c:pt>
                <c:pt idx="16">
                  <c:v>Lubuskie</c:v>
                </c:pt>
              </c:strCache>
            </c:strRef>
          </c:cat>
          <c:val>
            <c:numRef>
              <c:f>Arkusz1!$K$6:$K$22</c:f>
              <c:numCache>
                <c:formatCode>0.0</c:formatCode>
                <c:ptCount val="17"/>
                <c:pt idx="0">
                  <c:v>42.05659865230065</c:v>
                </c:pt>
                <c:pt idx="1">
                  <c:v>38.435231847754928</c:v>
                </c:pt>
                <c:pt idx="2">
                  <c:v>35.490213883276063</c:v>
                </c:pt>
                <c:pt idx="3">
                  <c:v>34.578113808952359</c:v>
                </c:pt>
                <c:pt idx="4">
                  <c:v>34.473924396663222</c:v>
                </c:pt>
                <c:pt idx="5">
                  <c:v>33.701261832795261</c:v>
                </c:pt>
                <c:pt idx="6">
                  <c:v>33.439844780015605</c:v>
                </c:pt>
                <c:pt idx="7">
                  <c:v>32.505264666832765</c:v>
                </c:pt>
                <c:pt idx="8">
                  <c:v>32.657787220951505</c:v>
                </c:pt>
                <c:pt idx="9">
                  <c:v>30.468230914760291</c:v>
                </c:pt>
                <c:pt idx="10">
                  <c:v>28.161343835015856</c:v>
                </c:pt>
                <c:pt idx="11">
                  <c:v>27.963112818011041</c:v>
                </c:pt>
                <c:pt idx="12">
                  <c:v>27.818641776894665</c:v>
                </c:pt>
                <c:pt idx="13">
                  <c:v>24.887596819051094</c:v>
                </c:pt>
                <c:pt idx="14">
                  <c:v>23.785140893924879</c:v>
                </c:pt>
                <c:pt idx="15">
                  <c:v>23.518612371339653</c:v>
                </c:pt>
                <c:pt idx="16">
                  <c:v>22.004918979193192</c:v>
                </c:pt>
              </c:numCache>
            </c:numRef>
          </c:val>
          <c:extLst>
            <c:ext xmlns:c16="http://schemas.microsoft.com/office/drawing/2014/chart" uri="{C3380CC4-5D6E-409C-BE32-E72D297353CC}">
              <c16:uniqueId val="{00000000-6256-47E7-B05A-D57592D64C0A}"/>
            </c:ext>
          </c:extLst>
        </c:ser>
        <c:ser>
          <c:idx val="1"/>
          <c:order val="1"/>
          <c:tx>
            <c:strRef>
              <c:f>Arkusz1!$L$5</c:f>
              <c:strCache>
                <c:ptCount val="1"/>
                <c:pt idx="0">
                  <c:v>2021 r.</c:v>
                </c:pt>
              </c:strCache>
            </c:strRef>
          </c:tx>
          <c:spPr>
            <a:solidFill>
              <a:schemeClr val="accent2"/>
            </a:solidFill>
            <a:ln>
              <a:noFill/>
            </a:ln>
            <a:effectLst/>
          </c:spPr>
          <c:invertIfNegative val="0"/>
          <c:cat>
            <c:strRef>
              <c:f>Arkusz1!$J$6:$J$22</c:f>
              <c:strCache>
                <c:ptCount val="17"/>
                <c:pt idx="0">
                  <c:v>Mazowieckie</c:v>
                </c:pt>
                <c:pt idx="1">
                  <c:v>Łódzkie</c:v>
                </c:pt>
                <c:pt idx="2">
                  <c:v>Podlaskie</c:v>
                </c:pt>
                <c:pt idx="3">
                  <c:v>Lubelskie</c:v>
                </c:pt>
                <c:pt idx="4">
                  <c:v>Dolnośląskie</c:v>
                </c:pt>
                <c:pt idx="5">
                  <c:v>Śląskie</c:v>
                </c:pt>
                <c:pt idx="6">
                  <c:v>Małopolskie</c:v>
                </c:pt>
                <c:pt idx="7">
                  <c:v>Pomorskie</c:v>
                </c:pt>
                <c:pt idx="8">
                  <c:v>Polska</c:v>
                </c:pt>
                <c:pt idx="9">
                  <c:v>Zachodniopomorskie</c:v>
                </c:pt>
                <c:pt idx="10">
                  <c:v>Świętokrzyskie</c:v>
                </c:pt>
                <c:pt idx="11">
                  <c:v>Kujawsko-pomorskie</c:v>
                </c:pt>
                <c:pt idx="12">
                  <c:v>Wielkopolskie</c:v>
                </c:pt>
                <c:pt idx="13">
                  <c:v>Podkarpackie</c:v>
                </c:pt>
                <c:pt idx="14">
                  <c:v>Warmińsko-mazurskie</c:v>
                </c:pt>
                <c:pt idx="15">
                  <c:v>Opolskie</c:v>
                </c:pt>
                <c:pt idx="16">
                  <c:v>Lubuskie</c:v>
                </c:pt>
              </c:strCache>
            </c:strRef>
          </c:cat>
          <c:val>
            <c:numRef>
              <c:f>Arkusz1!$L$6:$L$22</c:f>
              <c:numCache>
                <c:formatCode>0.0</c:formatCode>
                <c:ptCount val="17"/>
                <c:pt idx="0">
                  <c:v>43.344627062066891</c:v>
                </c:pt>
                <c:pt idx="1">
                  <c:v>40.481079740420036</c:v>
                </c:pt>
                <c:pt idx="2">
                  <c:v>37.624486384845738</c:v>
                </c:pt>
                <c:pt idx="3">
                  <c:v>36.471587338265877</c:v>
                </c:pt>
                <c:pt idx="4">
                  <c:v>36.449132547225645</c:v>
                </c:pt>
                <c:pt idx="5">
                  <c:v>35.631144527116071</c:v>
                </c:pt>
                <c:pt idx="6">
                  <c:v>34.404451997889439</c:v>
                </c:pt>
                <c:pt idx="7">
                  <c:v>34.404165638569296</c:v>
                </c:pt>
                <c:pt idx="8">
                  <c:v>34.265594138858951</c:v>
                </c:pt>
                <c:pt idx="9">
                  <c:v>32.217771773813787</c:v>
                </c:pt>
                <c:pt idx="10">
                  <c:v>30.083531687060542</c:v>
                </c:pt>
                <c:pt idx="11">
                  <c:v>29.330135003865749</c:v>
                </c:pt>
                <c:pt idx="12">
                  <c:v>28.771181961297476</c:v>
                </c:pt>
                <c:pt idx="13">
                  <c:v>26.563665546144364</c:v>
                </c:pt>
                <c:pt idx="14">
                  <c:v>25.074579962595447</c:v>
                </c:pt>
                <c:pt idx="15">
                  <c:v>24.415364812567798</c:v>
                </c:pt>
                <c:pt idx="16">
                  <c:v>23.28797843096865</c:v>
                </c:pt>
              </c:numCache>
            </c:numRef>
          </c:val>
          <c:extLst>
            <c:ext xmlns:c16="http://schemas.microsoft.com/office/drawing/2014/chart" uri="{C3380CC4-5D6E-409C-BE32-E72D297353CC}">
              <c16:uniqueId val="{00000001-6256-47E7-B05A-D57592D64C0A}"/>
            </c:ext>
          </c:extLst>
        </c:ser>
        <c:dLbls>
          <c:showLegendKey val="0"/>
          <c:showVal val="0"/>
          <c:showCatName val="0"/>
          <c:showSerName val="0"/>
          <c:showPercent val="0"/>
          <c:showBubbleSize val="0"/>
        </c:dLbls>
        <c:gapWidth val="219"/>
        <c:overlap val="-27"/>
        <c:axId val="642337496"/>
        <c:axId val="642337104"/>
      </c:barChart>
      <c:catAx>
        <c:axId val="642337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642337104"/>
        <c:crosses val="autoZero"/>
        <c:auto val="1"/>
        <c:lblAlgn val="ctr"/>
        <c:lblOffset val="100"/>
        <c:noMultiLvlLbl val="0"/>
      </c:catAx>
      <c:valAx>
        <c:axId val="6423371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642337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Arkusz1!$K$30</c:f>
              <c:strCache>
                <c:ptCount val="1"/>
                <c:pt idx="0">
                  <c:v>2019 r.</c:v>
                </c:pt>
              </c:strCache>
            </c:strRef>
          </c:tx>
          <c:spPr>
            <a:solidFill>
              <a:schemeClr val="accent1"/>
            </a:solidFill>
            <a:ln>
              <a:noFill/>
            </a:ln>
            <a:effectLst/>
          </c:spPr>
          <c:invertIfNegative val="0"/>
          <c:cat>
            <c:strRef>
              <c:f>Arkusz1!$J$31:$J$47</c:f>
              <c:strCache>
                <c:ptCount val="17"/>
                <c:pt idx="0">
                  <c:v>Świętokrzyskie</c:v>
                </c:pt>
                <c:pt idx="1">
                  <c:v>Lubelskie</c:v>
                </c:pt>
                <c:pt idx="2">
                  <c:v>Podkarpackie</c:v>
                </c:pt>
                <c:pt idx="3">
                  <c:v>Mazowieckie</c:v>
                </c:pt>
                <c:pt idx="4">
                  <c:v>Śląskie</c:v>
                </c:pt>
                <c:pt idx="5">
                  <c:v>Podlaskie</c:v>
                </c:pt>
                <c:pt idx="6">
                  <c:v>Małopolskie</c:v>
                </c:pt>
                <c:pt idx="7">
                  <c:v>Polska</c:v>
                </c:pt>
                <c:pt idx="8">
                  <c:v>Dolnośląskie</c:v>
                </c:pt>
                <c:pt idx="9">
                  <c:v>Opolskie</c:v>
                </c:pt>
                <c:pt idx="10">
                  <c:v>Kujawsko-pomorskie</c:v>
                </c:pt>
                <c:pt idx="11">
                  <c:v>Łódzkie</c:v>
                </c:pt>
                <c:pt idx="12">
                  <c:v>Warmińsko-mazurskie</c:v>
                </c:pt>
                <c:pt idx="13">
                  <c:v>Wielkopolskie</c:v>
                </c:pt>
                <c:pt idx="14">
                  <c:v>Zachodniopomorskie</c:v>
                </c:pt>
                <c:pt idx="15">
                  <c:v>Lubuskie</c:v>
                </c:pt>
                <c:pt idx="16">
                  <c:v>Pomorskie</c:v>
                </c:pt>
              </c:strCache>
            </c:strRef>
          </c:cat>
          <c:val>
            <c:numRef>
              <c:f>Arkusz1!$K$31:$K$47</c:f>
              <c:numCache>
                <c:formatCode>0.0</c:formatCode>
                <c:ptCount val="17"/>
                <c:pt idx="0">
                  <c:v>64.613063135706881</c:v>
                </c:pt>
                <c:pt idx="1">
                  <c:v>61.38682426823889</c:v>
                </c:pt>
                <c:pt idx="2">
                  <c:v>62.637389500762517</c:v>
                </c:pt>
                <c:pt idx="3">
                  <c:v>59.347230253608224</c:v>
                </c:pt>
                <c:pt idx="4">
                  <c:v>60.396645590004503</c:v>
                </c:pt>
                <c:pt idx="5">
                  <c:v>59.914134389270451</c:v>
                </c:pt>
                <c:pt idx="6">
                  <c:v>56.375133725663687</c:v>
                </c:pt>
                <c:pt idx="7">
                  <c:v>55.781560883250769</c:v>
                </c:pt>
                <c:pt idx="8">
                  <c:v>56.658884345466099</c:v>
                </c:pt>
                <c:pt idx="9">
                  <c:v>52.257929263015633</c:v>
                </c:pt>
                <c:pt idx="10">
                  <c:v>52.881406966796028</c:v>
                </c:pt>
                <c:pt idx="11">
                  <c:v>52.232807922831341</c:v>
                </c:pt>
                <c:pt idx="12">
                  <c:v>52.905069594731842</c:v>
                </c:pt>
                <c:pt idx="13">
                  <c:v>49.203525962112565</c:v>
                </c:pt>
                <c:pt idx="14">
                  <c:v>48.131315245375966</c:v>
                </c:pt>
                <c:pt idx="15">
                  <c:v>49.496239590665006</c:v>
                </c:pt>
                <c:pt idx="16">
                  <c:v>46.26848606271183</c:v>
                </c:pt>
              </c:numCache>
            </c:numRef>
          </c:val>
          <c:extLst>
            <c:ext xmlns:c16="http://schemas.microsoft.com/office/drawing/2014/chart" uri="{C3380CC4-5D6E-409C-BE32-E72D297353CC}">
              <c16:uniqueId val="{00000000-DD0D-4169-BC8C-FD8754F5E8D3}"/>
            </c:ext>
          </c:extLst>
        </c:ser>
        <c:ser>
          <c:idx val="1"/>
          <c:order val="1"/>
          <c:tx>
            <c:strRef>
              <c:f>Arkusz1!$L$30</c:f>
              <c:strCache>
                <c:ptCount val="1"/>
                <c:pt idx="0">
                  <c:v>2021 r.</c:v>
                </c:pt>
              </c:strCache>
            </c:strRef>
          </c:tx>
          <c:spPr>
            <a:solidFill>
              <a:schemeClr val="accent2"/>
            </a:solidFill>
            <a:ln>
              <a:noFill/>
            </a:ln>
            <a:effectLst/>
          </c:spPr>
          <c:invertIfNegative val="0"/>
          <c:cat>
            <c:strRef>
              <c:f>Arkusz1!$J$31:$J$47</c:f>
              <c:strCache>
                <c:ptCount val="17"/>
                <c:pt idx="0">
                  <c:v>Świętokrzyskie</c:v>
                </c:pt>
                <c:pt idx="1">
                  <c:v>Lubelskie</c:v>
                </c:pt>
                <c:pt idx="2">
                  <c:v>Podkarpackie</c:v>
                </c:pt>
                <c:pt idx="3">
                  <c:v>Mazowieckie</c:v>
                </c:pt>
                <c:pt idx="4">
                  <c:v>Śląskie</c:v>
                </c:pt>
                <c:pt idx="5">
                  <c:v>Podlaskie</c:v>
                </c:pt>
                <c:pt idx="6">
                  <c:v>Małopolskie</c:v>
                </c:pt>
                <c:pt idx="7">
                  <c:v>Polska</c:v>
                </c:pt>
                <c:pt idx="8">
                  <c:v>Dolnośląskie</c:v>
                </c:pt>
                <c:pt idx="9">
                  <c:v>Opolskie</c:v>
                </c:pt>
                <c:pt idx="10">
                  <c:v>Kujawsko-pomorskie</c:v>
                </c:pt>
                <c:pt idx="11">
                  <c:v>Łódzkie</c:v>
                </c:pt>
                <c:pt idx="12">
                  <c:v>Warmińsko-mazurskie</c:v>
                </c:pt>
                <c:pt idx="13">
                  <c:v>Wielkopolskie</c:v>
                </c:pt>
                <c:pt idx="14">
                  <c:v>Zachodniopomorskie</c:v>
                </c:pt>
                <c:pt idx="15">
                  <c:v>Lubuskie</c:v>
                </c:pt>
                <c:pt idx="16">
                  <c:v>Pomorskie</c:v>
                </c:pt>
              </c:strCache>
            </c:strRef>
          </c:cat>
          <c:val>
            <c:numRef>
              <c:f>Arkusz1!$L$31:$L$47</c:f>
              <c:numCache>
                <c:formatCode>#\ ##0.0</c:formatCode>
                <c:ptCount val="17"/>
                <c:pt idx="0">
                  <c:v>68.34257674331667</c:v>
                </c:pt>
                <c:pt idx="1">
                  <c:v>67.070630952573694</c:v>
                </c:pt>
                <c:pt idx="2">
                  <c:v>64.54189302431719</c:v>
                </c:pt>
                <c:pt idx="3">
                  <c:v>61.074293724742844</c:v>
                </c:pt>
                <c:pt idx="4">
                  <c:v>60.834831866108061</c:v>
                </c:pt>
                <c:pt idx="5">
                  <c:v>60.82422174246117</c:v>
                </c:pt>
                <c:pt idx="6">
                  <c:v>56.699423094301785</c:v>
                </c:pt>
                <c:pt idx="7">
                  <c:v>56.593509329924068</c:v>
                </c:pt>
                <c:pt idx="8">
                  <c:v>56.278399316432093</c:v>
                </c:pt>
                <c:pt idx="9">
                  <c:v>54.924028788203032</c:v>
                </c:pt>
                <c:pt idx="10">
                  <c:v>54.303867731895409</c:v>
                </c:pt>
                <c:pt idx="11">
                  <c:v>53.721461778261386</c:v>
                </c:pt>
                <c:pt idx="12">
                  <c:v>52.098677601424022</c:v>
                </c:pt>
                <c:pt idx="13">
                  <c:v>48.013874166792853</c:v>
                </c:pt>
                <c:pt idx="14">
                  <c:v>47.999389098684198</c:v>
                </c:pt>
                <c:pt idx="15">
                  <c:v>46.403453318004196</c:v>
                </c:pt>
                <c:pt idx="16">
                  <c:v>45.592408783385608</c:v>
                </c:pt>
              </c:numCache>
            </c:numRef>
          </c:val>
          <c:extLst>
            <c:ext xmlns:c16="http://schemas.microsoft.com/office/drawing/2014/chart" uri="{C3380CC4-5D6E-409C-BE32-E72D297353CC}">
              <c16:uniqueId val="{00000001-DD0D-4169-BC8C-FD8754F5E8D3}"/>
            </c:ext>
          </c:extLst>
        </c:ser>
        <c:dLbls>
          <c:showLegendKey val="0"/>
          <c:showVal val="0"/>
          <c:showCatName val="0"/>
          <c:showSerName val="0"/>
          <c:showPercent val="0"/>
          <c:showBubbleSize val="0"/>
        </c:dLbls>
        <c:gapWidth val="219"/>
        <c:overlap val="-27"/>
        <c:axId val="642335144"/>
        <c:axId val="642336712"/>
      </c:barChart>
      <c:catAx>
        <c:axId val="64233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642336712"/>
        <c:crosses val="autoZero"/>
        <c:auto val="1"/>
        <c:lblAlgn val="ctr"/>
        <c:lblOffset val="100"/>
        <c:noMultiLvlLbl val="0"/>
      </c:catAx>
      <c:valAx>
        <c:axId val="6423367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642335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w programie Microsoft Word]Arkusz1'!$N$54</c:f>
              <c:strCache>
                <c:ptCount val="1"/>
                <c:pt idx="0">
                  <c:v>2017</c:v>
                </c:pt>
              </c:strCache>
            </c:strRef>
          </c:tx>
          <c:spPr>
            <a:solidFill>
              <a:schemeClr val="accent1"/>
            </a:solidFill>
            <a:ln>
              <a:noFill/>
            </a:ln>
            <a:effectLst/>
          </c:spPr>
          <c:invertIfNegative val="0"/>
          <c:cat>
            <c:strRef>
              <c:f>'[Wykres w programie Microsoft Word]Arkusz1'!$M$55:$M$71</c:f>
              <c:strCache>
                <c:ptCount val="17"/>
                <c:pt idx="0">
                  <c:v>Lubelskie</c:v>
                </c:pt>
                <c:pt idx="1">
                  <c:v>Śląskie</c:v>
                </c:pt>
                <c:pt idx="2">
                  <c:v>Łódzkie</c:v>
                </c:pt>
                <c:pt idx="3">
                  <c:v>Podlaskie</c:v>
                </c:pt>
                <c:pt idx="4">
                  <c:v>Warmińsko-Mazurskie</c:v>
                </c:pt>
                <c:pt idx="5">
                  <c:v>Świętokrzyskie</c:v>
                </c:pt>
                <c:pt idx="6">
                  <c:v>Dolnośląskie</c:v>
                </c:pt>
                <c:pt idx="7">
                  <c:v>Opolskie</c:v>
                </c:pt>
                <c:pt idx="8">
                  <c:v>Mazowieckie</c:v>
                </c:pt>
                <c:pt idx="9">
                  <c:v>Polska</c:v>
                </c:pt>
                <c:pt idx="10">
                  <c:v>Podkarpackie</c:v>
                </c:pt>
                <c:pt idx="11">
                  <c:v>Zachodniopomorskie</c:v>
                </c:pt>
                <c:pt idx="12">
                  <c:v>Kujawsko-Pomorskie</c:v>
                </c:pt>
                <c:pt idx="13">
                  <c:v>Lubuskie</c:v>
                </c:pt>
                <c:pt idx="14">
                  <c:v>Małopolskie</c:v>
                </c:pt>
                <c:pt idx="15">
                  <c:v>Wielkopolskie</c:v>
                </c:pt>
                <c:pt idx="16">
                  <c:v>Pomorskie</c:v>
                </c:pt>
              </c:strCache>
            </c:strRef>
          </c:cat>
          <c:val>
            <c:numRef>
              <c:f>'[Wykres w programie Microsoft Word]Arkusz1'!$N$55:$N$71</c:f>
              <c:numCache>
                <c:formatCode>#,##0.00</c:formatCode>
                <c:ptCount val="17"/>
                <c:pt idx="0">
                  <c:v>52.63</c:v>
                </c:pt>
                <c:pt idx="1">
                  <c:v>55.17</c:v>
                </c:pt>
                <c:pt idx="2">
                  <c:v>51.59</c:v>
                </c:pt>
                <c:pt idx="3">
                  <c:v>50.35</c:v>
                </c:pt>
                <c:pt idx="4">
                  <c:v>46.79</c:v>
                </c:pt>
                <c:pt idx="5">
                  <c:v>49.09</c:v>
                </c:pt>
                <c:pt idx="6">
                  <c:v>50.43</c:v>
                </c:pt>
                <c:pt idx="7">
                  <c:v>46.15</c:v>
                </c:pt>
                <c:pt idx="8">
                  <c:v>48.38</c:v>
                </c:pt>
                <c:pt idx="9">
                  <c:v>48.2</c:v>
                </c:pt>
                <c:pt idx="10">
                  <c:v>48</c:v>
                </c:pt>
                <c:pt idx="11">
                  <c:v>46.29</c:v>
                </c:pt>
                <c:pt idx="12">
                  <c:v>47.02</c:v>
                </c:pt>
                <c:pt idx="13">
                  <c:v>43.28</c:v>
                </c:pt>
                <c:pt idx="14">
                  <c:v>44.19</c:v>
                </c:pt>
                <c:pt idx="15">
                  <c:v>44.71</c:v>
                </c:pt>
                <c:pt idx="16">
                  <c:v>39.82</c:v>
                </c:pt>
              </c:numCache>
            </c:numRef>
          </c:val>
          <c:extLst>
            <c:ext xmlns:c16="http://schemas.microsoft.com/office/drawing/2014/chart" uri="{C3380CC4-5D6E-409C-BE32-E72D297353CC}">
              <c16:uniqueId val="{00000000-4A57-44A2-B378-C1AD8B0C64F2}"/>
            </c:ext>
          </c:extLst>
        </c:ser>
        <c:ser>
          <c:idx val="1"/>
          <c:order val="1"/>
          <c:tx>
            <c:strRef>
              <c:f>'[Wykres w programie Microsoft Word]Arkusz1'!$O$54</c:f>
              <c:strCache>
                <c:ptCount val="1"/>
                <c:pt idx="0">
                  <c:v>2019</c:v>
                </c:pt>
              </c:strCache>
            </c:strRef>
          </c:tx>
          <c:spPr>
            <a:solidFill>
              <a:schemeClr val="accent2"/>
            </a:solidFill>
            <a:ln>
              <a:noFill/>
            </a:ln>
            <a:effectLst/>
          </c:spPr>
          <c:invertIfNegative val="0"/>
          <c:cat>
            <c:strRef>
              <c:f>'[Wykres w programie Microsoft Word]Arkusz1'!$M$55:$M$71</c:f>
              <c:strCache>
                <c:ptCount val="17"/>
                <c:pt idx="0">
                  <c:v>Lubelskie</c:v>
                </c:pt>
                <c:pt idx="1">
                  <c:v>Śląskie</c:v>
                </c:pt>
                <c:pt idx="2">
                  <c:v>Łódzkie</c:v>
                </c:pt>
                <c:pt idx="3">
                  <c:v>Podlaskie</c:v>
                </c:pt>
                <c:pt idx="4">
                  <c:v>Warmińsko-Mazurskie</c:v>
                </c:pt>
                <c:pt idx="5">
                  <c:v>Świętokrzyskie</c:v>
                </c:pt>
                <c:pt idx="6">
                  <c:v>Dolnośląskie</c:v>
                </c:pt>
                <c:pt idx="7">
                  <c:v>Opolskie</c:v>
                </c:pt>
                <c:pt idx="8">
                  <c:v>Mazowieckie</c:v>
                </c:pt>
                <c:pt idx="9">
                  <c:v>Polska</c:v>
                </c:pt>
                <c:pt idx="10">
                  <c:v>Podkarpackie</c:v>
                </c:pt>
                <c:pt idx="11">
                  <c:v>Zachodniopomorskie</c:v>
                </c:pt>
                <c:pt idx="12">
                  <c:v>Kujawsko-Pomorskie</c:v>
                </c:pt>
                <c:pt idx="13">
                  <c:v>Lubuskie</c:v>
                </c:pt>
                <c:pt idx="14">
                  <c:v>Małopolskie</c:v>
                </c:pt>
                <c:pt idx="15">
                  <c:v>Wielkopolskie</c:v>
                </c:pt>
                <c:pt idx="16">
                  <c:v>Pomorskie</c:v>
                </c:pt>
              </c:strCache>
            </c:strRef>
          </c:cat>
          <c:val>
            <c:numRef>
              <c:f>'[Wykres w programie Microsoft Word]Arkusz1'!$O$55:$O$71</c:f>
              <c:numCache>
                <c:formatCode>#,##0.00</c:formatCode>
                <c:ptCount val="17"/>
                <c:pt idx="0">
                  <c:v>47.36</c:v>
                </c:pt>
                <c:pt idx="1">
                  <c:v>51.55</c:v>
                </c:pt>
                <c:pt idx="2">
                  <c:v>46.91</c:v>
                </c:pt>
                <c:pt idx="3">
                  <c:v>43.16</c:v>
                </c:pt>
                <c:pt idx="4">
                  <c:v>43.87</c:v>
                </c:pt>
                <c:pt idx="5">
                  <c:v>43.34</c:v>
                </c:pt>
                <c:pt idx="6">
                  <c:v>45.35</c:v>
                </c:pt>
                <c:pt idx="7">
                  <c:v>39.07</c:v>
                </c:pt>
                <c:pt idx="8">
                  <c:v>44.31</c:v>
                </c:pt>
                <c:pt idx="9">
                  <c:v>43.46</c:v>
                </c:pt>
                <c:pt idx="10">
                  <c:v>43.95</c:v>
                </c:pt>
                <c:pt idx="11">
                  <c:v>40.54</c:v>
                </c:pt>
                <c:pt idx="12">
                  <c:v>42.79</c:v>
                </c:pt>
                <c:pt idx="13">
                  <c:v>39.32</c:v>
                </c:pt>
                <c:pt idx="14">
                  <c:v>40.31</c:v>
                </c:pt>
                <c:pt idx="15">
                  <c:v>37.42</c:v>
                </c:pt>
                <c:pt idx="16">
                  <c:v>35.979999999999997</c:v>
                </c:pt>
              </c:numCache>
            </c:numRef>
          </c:val>
          <c:extLst>
            <c:ext xmlns:c16="http://schemas.microsoft.com/office/drawing/2014/chart" uri="{C3380CC4-5D6E-409C-BE32-E72D297353CC}">
              <c16:uniqueId val="{00000001-4A57-44A2-B378-C1AD8B0C64F2}"/>
            </c:ext>
          </c:extLst>
        </c:ser>
        <c:ser>
          <c:idx val="2"/>
          <c:order val="2"/>
          <c:tx>
            <c:strRef>
              <c:f>'[Wykres w programie Microsoft Word]Arkusz1'!$P$54</c:f>
              <c:strCache>
                <c:ptCount val="1"/>
                <c:pt idx="0">
                  <c:v>2021</c:v>
                </c:pt>
              </c:strCache>
            </c:strRef>
          </c:tx>
          <c:spPr>
            <a:solidFill>
              <a:schemeClr val="accent3"/>
            </a:solidFill>
            <a:ln>
              <a:noFill/>
            </a:ln>
            <a:effectLst/>
          </c:spPr>
          <c:invertIfNegative val="0"/>
          <c:cat>
            <c:strRef>
              <c:f>'[Wykres w programie Microsoft Word]Arkusz1'!$M$55:$M$71</c:f>
              <c:strCache>
                <c:ptCount val="17"/>
                <c:pt idx="0">
                  <c:v>Lubelskie</c:v>
                </c:pt>
                <c:pt idx="1">
                  <c:v>Śląskie</c:v>
                </c:pt>
                <c:pt idx="2">
                  <c:v>Łódzkie</c:v>
                </c:pt>
                <c:pt idx="3">
                  <c:v>Podlaskie</c:v>
                </c:pt>
                <c:pt idx="4">
                  <c:v>Warmińsko-Mazurskie</c:v>
                </c:pt>
                <c:pt idx="5">
                  <c:v>Świętokrzyskie</c:v>
                </c:pt>
                <c:pt idx="6">
                  <c:v>Dolnośląskie</c:v>
                </c:pt>
                <c:pt idx="7">
                  <c:v>Opolskie</c:v>
                </c:pt>
                <c:pt idx="8">
                  <c:v>Mazowieckie</c:v>
                </c:pt>
                <c:pt idx="9">
                  <c:v>Polska</c:v>
                </c:pt>
                <c:pt idx="10">
                  <c:v>Podkarpackie</c:v>
                </c:pt>
                <c:pt idx="11">
                  <c:v>Zachodniopomorskie</c:v>
                </c:pt>
                <c:pt idx="12">
                  <c:v>Kujawsko-Pomorskie</c:v>
                </c:pt>
                <c:pt idx="13">
                  <c:v>Lubuskie</c:v>
                </c:pt>
                <c:pt idx="14">
                  <c:v>Małopolskie</c:v>
                </c:pt>
                <c:pt idx="15">
                  <c:v>Wielkopolskie</c:v>
                </c:pt>
                <c:pt idx="16">
                  <c:v>Pomorskie</c:v>
                </c:pt>
              </c:strCache>
            </c:strRef>
          </c:cat>
          <c:val>
            <c:numRef>
              <c:f>'[Wykres w programie Microsoft Word]Arkusz1'!$P$55:$P$71</c:f>
              <c:numCache>
                <c:formatCode>#,##0.00</c:formatCode>
                <c:ptCount val="17"/>
                <c:pt idx="0">
                  <c:v>51.86</c:v>
                </c:pt>
                <c:pt idx="1">
                  <c:v>50.81</c:v>
                </c:pt>
                <c:pt idx="2">
                  <c:v>48.5</c:v>
                </c:pt>
                <c:pt idx="3">
                  <c:v>48.42</c:v>
                </c:pt>
                <c:pt idx="4">
                  <c:v>46.74</c:v>
                </c:pt>
                <c:pt idx="5">
                  <c:v>46.34</c:v>
                </c:pt>
                <c:pt idx="6">
                  <c:v>46.26</c:v>
                </c:pt>
                <c:pt idx="7">
                  <c:v>46.13</c:v>
                </c:pt>
                <c:pt idx="8">
                  <c:v>45.48</c:v>
                </c:pt>
                <c:pt idx="9">
                  <c:v>44.44</c:v>
                </c:pt>
                <c:pt idx="10">
                  <c:v>43.47</c:v>
                </c:pt>
                <c:pt idx="11">
                  <c:v>42.74</c:v>
                </c:pt>
                <c:pt idx="12">
                  <c:v>42.72</c:v>
                </c:pt>
                <c:pt idx="13">
                  <c:v>41.09</c:v>
                </c:pt>
                <c:pt idx="14">
                  <c:v>40.28</c:v>
                </c:pt>
                <c:pt idx="15">
                  <c:v>37.630000000000003</c:v>
                </c:pt>
                <c:pt idx="16">
                  <c:v>33.54</c:v>
                </c:pt>
              </c:numCache>
            </c:numRef>
          </c:val>
          <c:extLst>
            <c:ext xmlns:c16="http://schemas.microsoft.com/office/drawing/2014/chart" uri="{C3380CC4-5D6E-409C-BE32-E72D297353CC}">
              <c16:uniqueId val="{00000002-4A57-44A2-B378-C1AD8B0C64F2}"/>
            </c:ext>
          </c:extLst>
        </c:ser>
        <c:ser>
          <c:idx val="3"/>
          <c:order val="3"/>
          <c:tx>
            <c:strRef>
              <c:f>'[Wykres w programie Microsoft Word]Arkusz1'!$Q$54</c:f>
              <c:strCache>
                <c:ptCount val="1"/>
                <c:pt idx="0">
                  <c:v>2022</c:v>
                </c:pt>
              </c:strCache>
            </c:strRef>
          </c:tx>
          <c:spPr>
            <a:solidFill>
              <a:schemeClr val="accent4"/>
            </a:solidFill>
            <a:ln>
              <a:noFill/>
            </a:ln>
            <a:effectLst/>
          </c:spPr>
          <c:invertIfNegative val="0"/>
          <c:cat>
            <c:strRef>
              <c:f>'[Wykres w programie Microsoft Word]Arkusz1'!$M$55:$M$71</c:f>
              <c:strCache>
                <c:ptCount val="17"/>
                <c:pt idx="0">
                  <c:v>Lubelskie</c:v>
                </c:pt>
                <c:pt idx="1">
                  <c:v>Śląskie</c:v>
                </c:pt>
                <c:pt idx="2">
                  <c:v>Łódzkie</c:v>
                </c:pt>
                <c:pt idx="3">
                  <c:v>Podlaskie</c:v>
                </c:pt>
                <c:pt idx="4">
                  <c:v>Warmińsko-Mazurskie</c:v>
                </c:pt>
                <c:pt idx="5">
                  <c:v>Świętokrzyskie</c:v>
                </c:pt>
                <c:pt idx="6">
                  <c:v>Dolnośląskie</c:v>
                </c:pt>
                <c:pt idx="7">
                  <c:v>Opolskie</c:v>
                </c:pt>
                <c:pt idx="8">
                  <c:v>Mazowieckie</c:v>
                </c:pt>
                <c:pt idx="9">
                  <c:v>Polska</c:v>
                </c:pt>
                <c:pt idx="10">
                  <c:v>Podkarpackie</c:v>
                </c:pt>
                <c:pt idx="11">
                  <c:v>Zachodniopomorskie</c:v>
                </c:pt>
                <c:pt idx="12">
                  <c:v>Kujawsko-Pomorskie</c:v>
                </c:pt>
                <c:pt idx="13">
                  <c:v>Lubuskie</c:v>
                </c:pt>
                <c:pt idx="14">
                  <c:v>Małopolskie</c:v>
                </c:pt>
                <c:pt idx="15">
                  <c:v>Wielkopolskie</c:v>
                </c:pt>
                <c:pt idx="16">
                  <c:v>Pomorskie</c:v>
                </c:pt>
              </c:strCache>
            </c:strRef>
          </c:cat>
          <c:val>
            <c:numRef>
              <c:f>'[Wykres w programie Microsoft Word]Arkusz1'!$Q$55:$Q$71</c:f>
              <c:numCache>
                <c:formatCode>#,##0.00</c:formatCode>
                <c:ptCount val="17"/>
                <c:pt idx="0">
                  <c:v>51.4</c:v>
                </c:pt>
                <c:pt idx="1">
                  <c:v>49.81</c:v>
                </c:pt>
                <c:pt idx="2">
                  <c:v>46.92</c:v>
                </c:pt>
                <c:pt idx="3">
                  <c:v>46.29</c:v>
                </c:pt>
                <c:pt idx="4">
                  <c:v>46.37</c:v>
                </c:pt>
                <c:pt idx="5">
                  <c:v>44.15</c:v>
                </c:pt>
                <c:pt idx="6">
                  <c:v>46.26</c:v>
                </c:pt>
                <c:pt idx="7">
                  <c:v>44.8</c:v>
                </c:pt>
                <c:pt idx="8">
                  <c:v>43.03</c:v>
                </c:pt>
                <c:pt idx="9">
                  <c:v>43.47</c:v>
                </c:pt>
                <c:pt idx="10">
                  <c:v>41.85</c:v>
                </c:pt>
                <c:pt idx="11">
                  <c:v>41.5</c:v>
                </c:pt>
                <c:pt idx="12">
                  <c:v>41.85</c:v>
                </c:pt>
                <c:pt idx="13">
                  <c:v>39.42</c:v>
                </c:pt>
                <c:pt idx="14">
                  <c:v>39.630000000000003</c:v>
                </c:pt>
                <c:pt idx="15">
                  <c:v>39.01</c:v>
                </c:pt>
                <c:pt idx="16">
                  <c:v>33.159999999999997</c:v>
                </c:pt>
              </c:numCache>
            </c:numRef>
          </c:val>
          <c:extLst>
            <c:ext xmlns:c16="http://schemas.microsoft.com/office/drawing/2014/chart" uri="{C3380CC4-5D6E-409C-BE32-E72D297353CC}">
              <c16:uniqueId val="{00000003-4A57-44A2-B378-C1AD8B0C64F2}"/>
            </c:ext>
          </c:extLst>
        </c:ser>
        <c:dLbls>
          <c:showLegendKey val="0"/>
          <c:showVal val="0"/>
          <c:showCatName val="0"/>
          <c:showSerName val="0"/>
          <c:showPercent val="0"/>
          <c:showBubbleSize val="0"/>
        </c:dLbls>
        <c:gapWidth val="219"/>
        <c:overlap val="-27"/>
        <c:axId val="642335536"/>
        <c:axId val="642335928"/>
      </c:barChart>
      <c:catAx>
        <c:axId val="64233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42335928"/>
        <c:crosses val="autoZero"/>
        <c:auto val="1"/>
        <c:lblAlgn val="ctr"/>
        <c:lblOffset val="100"/>
        <c:noMultiLvlLbl val="0"/>
      </c:catAx>
      <c:valAx>
        <c:axId val="6423359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42335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4 w programie Microsoft Word]TABLICA'!$F$26</c:f>
              <c:strCache>
                <c:ptCount val="1"/>
                <c:pt idx="0">
                  <c:v>2017</c:v>
                </c:pt>
              </c:strCache>
            </c:strRef>
          </c:tx>
          <c:spPr>
            <a:solidFill>
              <a:schemeClr val="accent1"/>
            </a:solidFill>
            <a:ln>
              <a:noFill/>
            </a:ln>
            <a:effectLst/>
          </c:spPr>
          <c:invertIfNegative val="0"/>
          <c:cat>
            <c:strRef>
              <c:f>'[Wykres 4 w programie Microsoft Word]TABLICA'!$E$27:$E$43</c:f>
              <c:strCache>
                <c:ptCount val="17"/>
                <c:pt idx="0">
                  <c:v>Mazowieckie</c:v>
                </c:pt>
                <c:pt idx="1">
                  <c:v>Małopolskie</c:v>
                </c:pt>
                <c:pt idx="2">
                  <c:v>Pomorskie</c:v>
                </c:pt>
                <c:pt idx="3">
                  <c:v>Polska</c:v>
                </c:pt>
                <c:pt idx="4">
                  <c:v>Kujawsko-Pomorskie</c:v>
                </c:pt>
                <c:pt idx="5">
                  <c:v>Lubelskie</c:v>
                </c:pt>
                <c:pt idx="6">
                  <c:v>Warmińsko-Mazurskie</c:v>
                </c:pt>
                <c:pt idx="7">
                  <c:v>Dolnośląskie</c:v>
                </c:pt>
                <c:pt idx="8">
                  <c:v>Podkarpackie</c:v>
                </c:pt>
                <c:pt idx="9">
                  <c:v>Świętokrzyskie</c:v>
                </c:pt>
                <c:pt idx="10">
                  <c:v>Podlaskie</c:v>
                </c:pt>
                <c:pt idx="11">
                  <c:v>Łódzkie</c:v>
                </c:pt>
                <c:pt idx="12">
                  <c:v>Zachodniopomorskie</c:v>
                </c:pt>
                <c:pt idx="13">
                  <c:v>Lubuskie</c:v>
                </c:pt>
                <c:pt idx="14">
                  <c:v>Wielkopolskie</c:v>
                </c:pt>
                <c:pt idx="15">
                  <c:v>Śląskie</c:v>
                </c:pt>
                <c:pt idx="16">
                  <c:v>Opolskie</c:v>
                </c:pt>
              </c:strCache>
            </c:strRef>
          </c:cat>
          <c:val>
            <c:numRef>
              <c:f>'[Wykres 4 w programie Microsoft Word]TABLICA'!$F$27:$F$43</c:f>
              <c:numCache>
                <c:formatCode>#\ ##0.0</c:formatCode>
                <c:ptCount val="17"/>
                <c:pt idx="0">
                  <c:v>20355.900000000001</c:v>
                </c:pt>
                <c:pt idx="1">
                  <c:v>31478.9</c:v>
                </c:pt>
                <c:pt idx="2">
                  <c:v>14259.5</c:v>
                </c:pt>
                <c:pt idx="3">
                  <c:v>9760.7000000000007</c:v>
                </c:pt>
                <c:pt idx="4">
                  <c:v>5712.8</c:v>
                </c:pt>
                <c:pt idx="5">
                  <c:v>6442.2</c:v>
                </c:pt>
                <c:pt idx="6">
                  <c:v>4663.8</c:v>
                </c:pt>
                <c:pt idx="7">
                  <c:v>6815.4</c:v>
                </c:pt>
                <c:pt idx="8">
                  <c:v>6096.4</c:v>
                </c:pt>
                <c:pt idx="9">
                  <c:v>5177.7</c:v>
                </c:pt>
                <c:pt idx="10">
                  <c:v>3535.2</c:v>
                </c:pt>
                <c:pt idx="11">
                  <c:v>3987.5</c:v>
                </c:pt>
                <c:pt idx="12">
                  <c:v>3631.8</c:v>
                </c:pt>
                <c:pt idx="13">
                  <c:v>2490</c:v>
                </c:pt>
                <c:pt idx="14">
                  <c:v>3418.8</c:v>
                </c:pt>
                <c:pt idx="15">
                  <c:v>3556.8</c:v>
                </c:pt>
                <c:pt idx="16">
                  <c:v>3581.8</c:v>
                </c:pt>
              </c:numCache>
            </c:numRef>
          </c:val>
          <c:extLst>
            <c:ext xmlns:c16="http://schemas.microsoft.com/office/drawing/2014/chart" uri="{C3380CC4-5D6E-409C-BE32-E72D297353CC}">
              <c16:uniqueId val="{00000000-AD0E-4EA8-BFB3-DEFC8BEF7C37}"/>
            </c:ext>
          </c:extLst>
        </c:ser>
        <c:ser>
          <c:idx val="1"/>
          <c:order val="1"/>
          <c:tx>
            <c:strRef>
              <c:f>'[Wykres 4 w programie Microsoft Word]TABLICA'!$G$26</c:f>
              <c:strCache>
                <c:ptCount val="1"/>
                <c:pt idx="0">
                  <c:v>2019</c:v>
                </c:pt>
              </c:strCache>
            </c:strRef>
          </c:tx>
          <c:spPr>
            <a:solidFill>
              <a:schemeClr val="accent2"/>
            </a:solidFill>
            <a:ln>
              <a:noFill/>
            </a:ln>
            <a:effectLst/>
          </c:spPr>
          <c:invertIfNegative val="0"/>
          <c:cat>
            <c:strRef>
              <c:f>'[Wykres 4 w programie Microsoft Word]TABLICA'!$E$27:$E$43</c:f>
              <c:strCache>
                <c:ptCount val="17"/>
                <c:pt idx="0">
                  <c:v>Mazowieckie</c:v>
                </c:pt>
                <c:pt idx="1">
                  <c:v>Małopolskie</c:v>
                </c:pt>
                <c:pt idx="2">
                  <c:v>Pomorskie</c:v>
                </c:pt>
                <c:pt idx="3">
                  <c:v>Polska</c:v>
                </c:pt>
                <c:pt idx="4">
                  <c:v>Kujawsko-Pomorskie</c:v>
                </c:pt>
                <c:pt idx="5">
                  <c:v>Lubelskie</c:v>
                </c:pt>
                <c:pt idx="6">
                  <c:v>Warmińsko-Mazurskie</c:v>
                </c:pt>
                <c:pt idx="7">
                  <c:v>Dolnośląskie</c:v>
                </c:pt>
                <c:pt idx="8">
                  <c:v>Podkarpackie</c:v>
                </c:pt>
                <c:pt idx="9">
                  <c:v>Świętokrzyskie</c:v>
                </c:pt>
                <c:pt idx="10">
                  <c:v>Podlaskie</c:v>
                </c:pt>
                <c:pt idx="11">
                  <c:v>Łódzkie</c:v>
                </c:pt>
                <c:pt idx="12">
                  <c:v>Zachodniopomorskie</c:v>
                </c:pt>
                <c:pt idx="13">
                  <c:v>Lubuskie</c:v>
                </c:pt>
                <c:pt idx="14">
                  <c:v>Wielkopolskie</c:v>
                </c:pt>
                <c:pt idx="15">
                  <c:v>Śląskie</c:v>
                </c:pt>
                <c:pt idx="16">
                  <c:v>Opolskie</c:v>
                </c:pt>
              </c:strCache>
            </c:strRef>
          </c:cat>
          <c:val>
            <c:numRef>
              <c:f>'[Wykres 4 w programie Microsoft Word]TABLICA'!$G$27:$G$43</c:f>
              <c:numCache>
                <c:formatCode>#\ ##0.0</c:formatCode>
                <c:ptCount val="17"/>
                <c:pt idx="0">
                  <c:v>24242.7</c:v>
                </c:pt>
                <c:pt idx="1">
                  <c:v>32679.1</c:v>
                </c:pt>
                <c:pt idx="2">
                  <c:v>16085</c:v>
                </c:pt>
                <c:pt idx="3">
                  <c:v>10476.9</c:v>
                </c:pt>
                <c:pt idx="4">
                  <c:v>6120.1</c:v>
                </c:pt>
                <c:pt idx="5">
                  <c:v>5766.1</c:v>
                </c:pt>
                <c:pt idx="6">
                  <c:v>5053.5</c:v>
                </c:pt>
                <c:pt idx="7">
                  <c:v>6858.2</c:v>
                </c:pt>
                <c:pt idx="8">
                  <c:v>4839.5</c:v>
                </c:pt>
                <c:pt idx="9">
                  <c:v>5186.1000000000004</c:v>
                </c:pt>
                <c:pt idx="10">
                  <c:v>4052.8</c:v>
                </c:pt>
                <c:pt idx="11">
                  <c:v>4124.8999999999996</c:v>
                </c:pt>
                <c:pt idx="12">
                  <c:v>3144.1</c:v>
                </c:pt>
                <c:pt idx="13">
                  <c:v>2466.6999999999998</c:v>
                </c:pt>
                <c:pt idx="14">
                  <c:v>3460.4</c:v>
                </c:pt>
                <c:pt idx="15">
                  <c:v>3347.3</c:v>
                </c:pt>
                <c:pt idx="16">
                  <c:v>3479.6</c:v>
                </c:pt>
              </c:numCache>
            </c:numRef>
          </c:val>
          <c:extLst>
            <c:ext xmlns:c16="http://schemas.microsoft.com/office/drawing/2014/chart" uri="{C3380CC4-5D6E-409C-BE32-E72D297353CC}">
              <c16:uniqueId val="{00000001-AD0E-4EA8-BFB3-DEFC8BEF7C37}"/>
            </c:ext>
          </c:extLst>
        </c:ser>
        <c:ser>
          <c:idx val="2"/>
          <c:order val="2"/>
          <c:tx>
            <c:strRef>
              <c:f>'[Wykres 4 w programie Microsoft Word]TABLICA'!$H$26</c:f>
              <c:strCache>
                <c:ptCount val="1"/>
                <c:pt idx="0">
                  <c:v>2021</c:v>
                </c:pt>
              </c:strCache>
            </c:strRef>
          </c:tx>
          <c:spPr>
            <a:solidFill>
              <a:schemeClr val="accent3"/>
            </a:solidFill>
            <a:ln>
              <a:noFill/>
            </a:ln>
            <a:effectLst/>
          </c:spPr>
          <c:invertIfNegative val="0"/>
          <c:cat>
            <c:strRef>
              <c:f>'[Wykres 4 w programie Microsoft Word]TABLICA'!$E$27:$E$43</c:f>
              <c:strCache>
                <c:ptCount val="17"/>
                <c:pt idx="0">
                  <c:v>Mazowieckie</c:v>
                </c:pt>
                <c:pt idx="1">
                  <c:v>Małopolskie</c:v>
                </c:pt>
                <c:pt idx="2">
                  <c:v>Pomorskie</c:v>
                </c:pt>
                <c:pt idx="3">
                  <c:v>Polska</c:v>
                </c:pt>
                <c:pt idx="4">
                  <c:v>Kujawsko-Pomorskie</c:v>
                </c:pt>
                <c:pt idx="5">
                  <c:v>Lubelskie</c:v>
                </c:pt>
                <c:pt idx="6">
                  <c:v>Warmińsko-Mazurskie</c:v>
                </c:pt>
                <c:pt idx="7">
                  <c:v>Dolnośląskie</c:v>
                </c:pt>
                <c:pt idx="8">
                  <c:v>Podkarpackie</c:v>
                </c:pt>
                <c:pt idx="9">
                  <c:v>Świętokrzyskie</c:v>
                </c:pt>
                <c:pt idx="10">
                  <c:v>Podlaskie</c:v>
                </c:pt>
                <c:pt idx="11">
                  <c:v>Łódzkie</c:v>
                </c:pt>
                <c:pt idx="12">
                  <c:v>Zachodniopomorskie</c:v>
                </c:pt>
                <c:pt idx="13">
                  <c:v>Lubuskie</c:v>
                </c:pt>
                <c:pt idx="14">
                  <c:v>Wielkopolskie</c:v>
                </c:pt>
                <c:pt idx="15">
                  <c:v>Śląskie</c:v>
                </c:pt>
                <c:pt idx="16">
                  <c:v>Opolskie</c:v>
                </c:pt>
              </c:strCache>
            </c:strRef>
          </c:cat>
          <c:val>
            <c:numRef>
              <c:f>'[Wykres 4 w programie Microsoft Word]TABLICA'!$H$27:$H$43</c:f>
              <c:numCache>
                <c:formatCode>#\ ##0.0</c:formatCode>
                <c:ptCount val="17"/>
                <c:pt idx="0">
                  <c:v>18296.400000000001</c:v>
                </c:pt>
                <c:pt idx="1">
                  <c:v>15328.5</c:v>
                </c:pt>
                <c:pt idx="2">
                  <c:v>9506.5</c:v>
                </c:pt>
                <c:pt idx="3">
                  <c:v>6647</c:v>
                </c:pt>
                <c:pt idx="4">
                  <c:v>4324.3</c:v>
                </c:pt>
                <c:pt idx="5">
                  <c:v>4189.1000000000004</c:v>
                </c:pt>
                <c:pt idx="6">
                  <c:v>3989.2</c:v>
                </c:pt>
                <c:pt idx="7">
                  <c:v>3737.7</c:v>
                </c:pt>
                <c:pt idx="8">
                  <c:v>3342.6</c:v>
                </c:pt>
                <c:pt idx="9">
                  <c:v>2912.3</c:v>
                </c:pt>
                <c:pt idx="10">
                  <c:v>2734.5</c:v>
                </c:pt>
                <c:pt idx="11">
                  <c:v>2722.4</c:v>
                </c:pt>
                <c:pt idx="12">
                  <c:v>2497.4</c:v>
                </c:pt>
                <c:pt idx="13">
                  <c:v>2025.5</c:v>
                </c:pt>
                <c:pt idx="14">
                  <c:v>1978.5</c:v>
                </c:pt>
                <c:pt idx="15">
                  <c:v>1888.7</c:v>
                </c:pt>
                <c:pt idx="16">
                  <c:v>1499.8</c:v>
                </c:pt>
              </c:numCache>
            </c:numRef>
          </c:val>
          <c:extLst>
            <c:ext xmlns:c16="http://schemas.microsoft.com/office/drawing/2014/chart" uri="{C3380CC4-5D6E-409C-BE32-E72D297353CC}">
              <c16:uniqueId val="{00000002-AD0E-4EA8-BFB3-DEFC8BEF7C37}"/>
            </c:ext>
          </c:extLst>
        </c:ser>
        <c:ser>
          <c:idx val="3"/>
          <c:order val="3"/>
          <c:tx>
            <c:strRef>
              <c:f>'[Wykres 4 w programie Microsoft Word]TABLICA'!$I$26</c:f>
              <c:strCache>
                <c:ptCount val="1"/>
                <c:pt idx="0">
                  <c:v>2022</c:v>
                </c:pt>
              </c:strCache>
            </c:strRef>
          </c:tx>
          <c:spPr>
            <a:solidFill>
              <a:schemeClr val="accent4"/>
            </a:solidFill>
            <a:ln>
              <a:noFill/>
            </a:ln>
            <a:effectLst/>
          </c:spPr>
          <c:invertIfNegative val="0"/>
          <c:cat>
            <c:strRef>
              <c:f>'[Wykres 4 w programie Microsoft Word]TABLICA'!$E$27:$E$43</c:f>
              <c:strCache>
                <c:ptCount val="17"/>
                <c:pt idx="0">
                  <c:v>Mazowieckie</c:v>
                </c:pt>
                <c:pt idx="1">
                  <c:v>Małopolskie</c:v>
                </c:pt>
                <c:pt idx="2">
                  <c:v>Pomorskie</c:v>
                </c:pt>
                <c:pt idx="3">
                  <c:v>Polska</c:v>
                </c:pt>
                <c:pt idx="4">
                  <c:v>Kujawsko-Pomorskie</c:v>
                </c:pt>
                <c:pt idx="5">
                  <c:v>Lubelskie</c:v>
                </c:pt>
                <c:pt idx="6">
                  <c:v>Warmińsko-Mazurskie</c:v>
                </c:pt>
                <c:pt idx="7">
                  <c:v>Dolnośląskie</c:v>
                </c:pt>
                <c:pt idx="8">
                  <c:v>Podkarpackie</c:v>
                </c:pt>
                <c:pt idx="9">
                  <c:v>Świętokrzyskie</c:v>
                </c:pt>
                <c:pt idx="10">
                  <c:v>Podlaskie</c:v>
                </c:pt>
                <c:pt idx="11">
                  <c:v>Łódzkie</c:v>
                </c:pt>
                <c:pt idx="12">
                  <c:v>Zachodniopomorskie</c:v>
                </c:pt>
                <c:pt idx="13">
                  <c:v>Lubuskie</c:v>
                </c:pt>
                <c:pt idx="14">
                  <c:v>Wielkopolskie</c:v>
                </c:pt>
                <c:pt idx="15">
                  <c:v>Śląskie</c:v>
                </c:pt>
                <c:pt idx="16">
                  <c:v>Opolskie</c:v>
                </c:pt>
              </c:strCache>
            </c:strRef>
          </c:cat>
          <c:val>
            <c:numRef>
              <c:f>'[Wykres 4 w programie Microsoft Word]TABLICA'!$I$27:$I$43</c:f>
              <c:numCache>
                <c:formatCode>#,##0.00</c:formatCode>
                <c:ptCount val="17"/>
                <c:pt idx="0">
                  <c:v>24294</c:v>
                </c:pt>
                <c:pt idx="1">
                  <c:v>25501.5</c:v>
                </c:pt>
                <c:pt idx="2">
                  <c:v>13936.5</c:v>
                </c:pt>
                <c:pt idx="3">
                  <c:v>9703.4</c:v>
                </c:pt>
                <c:pt idx="4">
                  <c:v>6303.8</c:v>
                </c:pt>
                <c:pt idx="5">
                  <c:v>6433</c:v>
                </c:pt>
                <c:pt idx="6">
                  <c:v>3864.1</c:v>
                </c:pt>
                <c:pt idx="7">
                  <c:v>6475.3</c:v>
                </c:pt>
                <c:pt idx="8">
                  <c:v>4292.5</c:v>
                </c:pt>
                <c:pt idx="9">
                  <c:v>4593</c:v>
                </c:pt>
                <c:pt idx="10">
                  <c:v>3087.8</c:v>
                </c:pt>
                <c:pt idx="11">
                  <c:v>4609.2</c:v>
                </c:pt>
                <c:pt idx="12">
                  <c:v>3165.5</c:v>
                </c:pt>
                <c:pt idx="13">
                  <c:v>2327.8000000000002</c:v>
                </c:pt>
                <c:pt idx="14">
                  <c:v>2859.3</c:v>
                </c:pt>
                <c:pt idx="15">
                  <c:v>3257.7</c:v>
                </c:pt>
                <c:pt idx="16">
                  <c:v>2631.5</c:v>
                </c:pt>
              </c:numCache>
            </c:numRef>
          </c:val>
          <c:extLst>
            <c:ext xmlns:c16="http://schemas.microsoft.com/office/drawing/2014/chart" uri="{C3380CC4-5D6E-409C-BE32-E72D297353CC}">
              <c16:uniqueId val="{00000003-AD0E-4EA8-BFB3-DEFC8BEF7C37}"/>
            </c:ext>
          </c:extLst>
        </c:ser>
        <c:dLbls>
          <c:showLegendKey val="0"/>
          <c:showVal val="0"/>
          <c:showCatName val="0"/>
          <c:showSerName val="0"/>
          <c:showPercent val="0"/>
          <c:showBubbleSize val="0"/>
        </c:dLbls>
        <c:gapWidth val="219"/>
        <c:overlap val="-27"/>
        <c:axId val="642325736"/>
        <c:axId val="642322600"/>
      </c:barChart>
      <c:catAx>
        <c:axId val="642325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42322600"/>
        <c:crosses val="autoZero"/>
        <c:auto val="1"/>
        <c:lblAlgn val="ctr"/>
        <c:lblOffset val="100"/>
        <c:noMultiLvlLbl val="0"/>
      </c:catAx>
      <c:valAx>
        <c:axId val="642322600"/>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42325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sz="1000"/>
              <a:t>%</a:t>
            </a:r>
          </a:p>
        </c:rich>
      </c:tx>
      <c:layout>
        <c:manualLayout>
          <c:xMode val="edge"/>
          <c:yMode val="edge"/>
          <c:x val="8.6194623222796682E-2"/>
          <c:y val="2.564102564102564E-2"/>
        </c:manualLayout>
      </c:layout>
      <c:overlay val="0"/>
      <c:spPr>
        <a:noFill/>
        <a:ln>
          <a:noFill/>
        </a:ln>
        <a:effectLst/>
      </c:spPr>
      <c:txPr>
        <a:bodyPr rot="0" spcFirstLastPara="1" vertOverflow="ellipsis" vert="horz" wrap="square" anchor="ctr" anchorCtr="1"/>
        <a:lstStyle/>
        <a:p>
          <a:pPr algn="l">
            <a:defRPr sz="10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'[Wykres w programie Microsoft Word]TABLICA'!$J$3</c:f>
              <c:strCache>
                <c:ptCount val="1"/>
                <c:pt idx="0">
                  <c:v>2017</c:v>
                </c:pt>
              </c:strCache>
            </c:strRef>
          </c:tx>
          <c:spPr>
            <a:solidFill>
              <a:schemeClr val="accent1"/>
            </a:solidFill>
            <a:ln>
              <a:noFill/>
            </a:ln>
            <a:effectLst/>
          </c:spPr>
          <c:invertIfNegative val="0"/>
          <c:cat>
            <c:strRef>
              <c:f>'[Wykres w programie Microsoft Word]TABLICA'!$I$4:$I$20</c:f>
              <c:strCache>
                <c:ptCount val="17"/>
                <c:pt idx="0">
                  <c:v>Śląskie</c:v>
                </c:pt>
                <c:pt idx="1">
                  <c:v>Dolnośląskie</c:v>
                </c:pt>
                <c:pt idx="2">
                  <c:v>Opolskie</c:v>
                </c:pt>
                <c:pt idx="3">
                  <c:v>Podkarpackie</c:v>
                </c:pt>
                <c:pt idx="4">
                  <c:v>Świętokrzyskie</c:v>
                </c:pt>
                <c:pt idx="5">
                  <c:v>Małopolskie</c:v>
                </c:pt>
                <c:pt idx="6">
                  <c:v>Łódzkie</c:v>
                </c:pt>
                <c:pt idx="7">
                  <c:v>Mazowieckie</c:v>
                </c:pt>
                <c:pt idx="8">
                  <c:v>Polska</c:v>
                </c:pt>
                <c:pt idx="9">
                  <c:v>Wielkopolskie</c:v>
                </c:pt>
                <c:pt idx="10">
                  <c:v>Zachodniopomorskie</c:v>
                </c:pt>
                <c:pt idx="11">
                  <c:v>Kujawsko-Pomorskie</c:v>
                </c:pt>
                <c:pt idx="12">
                  <c:v>Pomorskie</c:v>
                </c:pt>
                <c:pt idx="13">
                  <c:v>Lubelskie</c:v>
                </c:pt>
                <c:pt idx="14">
                  <c:v>Warmińsko-Mazurskie</c:v>
                </c:pt>
                <c:pt idx="15">
                  <c:v>Lubuskie</c:v>
                </c:pt>
                <c:pt idx="16">
                  <c:v>Podlaskie</c:v>
                </c:pt>
              </c:strCache>
            </c:strRef>
          </c:cat>
          <c:val>
            <c:numRef>
              <c:f>'[Wykres w programie Microsoft Word]TABLICA'!$J$4:$J$20</c:f>
              <c:numCache>
                <c:formatCode>#\ ##0.0</c:formatCode>
                <c:ptCount val="17"/>
                <c:pt idx="0">
                  <c:v>82.3</c:v>
                </c:pt>
                <c:pt idx="1">
                  <c:v>77.8</c:v>
                </c:pt>
                <c:pt idx="2">
                  <c:v>76.3</c:v>
                </c:pt>
                <c:pt idx="3">
                  <c:v>75.7</c:v>
                </c:pt>
                <c:pt idx="4">
                  <c:v>73.400000000000006</c:v>
                </c:pt>
                <c:pt idx="5">
                  <c:v>75</c:v>
                </c:pt>
                <c:pt idx="6">
                  <c:v>73.099999999999994</c:v>
                </c:pt>
                <c:pt idx="7">
                  <c:v>66.2</c:v>
                </c:pt>
                <c:pt idx="8">
                  <c:v>65.7</c:v>
                </c:pt>
                <c:pt idx="9">
                  <c:v>66.5</c:v>
                </c:pt>
                <c:pt idx="10">
                  <c:v>64.400000000000006</c:v>
                </c:pt>
                <c:pt idx="11">
                  <c:v>59.3</c:v>
                </c:pt>
                <c:pt idx="12">
                  <c:v>55.6</c:v>
                </c:pt>
                <c:pt idx="13">
                  <c:v>57.1</c:v>
                </c:pt>
                <c:pt idx="14">
                  <c:v>56.5</c:v>
                </c:pt>
                <c:pt idx="15">
                  <c:v>50.8</c:v>
                </c:pt>
                <c:pt idx="16">
                  <c:v>45.8</c:v>
                </c:pt>
              </c:numCache>
            </c:numRef>
          </c:val>
          <c:extLst>
            <c:ext xmlns:c16="http://schemas.microsoft.com/office/drawing/2014/chart" uri="{C3380CC4-5D6E-409C-BE32-E72D297353CC}">
              <c16:uniqueId val="{00000000-0C6E-425A-B8A9-D0A6A3A32AD3}"/>
            </c:ext>
          </c:extLst>
        </c:ser>
        <c:ser>
          <c:idx val="1"/>
          <c:order val="1"/>
          <c:tx>
            <c:strRef>
              <c:f>'[Wykres w programie Microsoft Word]TABLICA'!$K$3</c:f>
              <c:strCache>
                <c:ptCount val="1"/>
                <c:pt idx="0">
                  <c:v>2019</c:v>
                </c:pt>
              </c:strCache>
            </c:strRef>
          </c:tx>
          <c:spPr>
            <a:solidFill>
              <a:schemeClr val="accent2"/>
            </a:solidFill>
            <a:ln>
              <a:noFill/>
            </a:ln>
            <a:effectLst/>
          </c:spPr>
          <c:invertIfNegative val="0"/>
          <c:cat>
            <c:strRef>
              <c:f>'[Wykres w programie Microsoft Word]TABLICA'!$I$4:$I$20</c:f>
              <c:strCache>
                <c:ptCount val="17"/>
                <c:pt idx="0">
                  <c:v>Śląskie</c:v>
                </c:pt>
                <c:pt idx="1">
                  <c:v>Dolnośląskie</c:v>
                </c:pt>
                <c:pt idx="2">
                  <c:v>Opolskie</c:v>
                </c:pt>
                <c:pt idx="3">
                  <c:v>Podkarpackie</c:v>
                </c:pt>
                <c:pt idx="4">
                  <c:v>Świętokrzyskie</c:v>
                </c:pt>
                <c:pt idx="5">
                  <c:v>Małopolskie</c:v>
                </c:pt>
                <c:pt idx="6">
                  <c:v>Łódzkie</c:v>
                </c:pt>
                <c:pt idx="7">
                  <c:v>Mazowieckie</c:v>
                </c:pt>
                <c:pt idx="8">
                  <c:v>Polska</c:v>
                </c:pt>
                <c:pt idx="9">
                  <c:v>Wielkopolskie</c:v>
                </c:pt>
                <c:pt idx="10">
                  <c:v>Zachodniopomorskie</c:v>
                </c:pt>
                <c:pt idx="11">
                  <c:v>Kujawsko-Pomorskie</c:v>
                </c:pt>
                <c:pt idx="12">
                  <c:v>Pomorskie</c:v>
                </c:pt>
                <c:pt idx="13">
                  <c:v>Lubelskie</c:v>
                </c:pt>
                <c:pt idx="14">
                  <c:v>Warmińsko-Mazurskie</c:v>
                </c:pt>
                <c:pt idx="15">
                  <c:v>Lubuskie</c:v>
                </c:pt>
                <c:pt idx="16">
                  <c:v>Podlaskie</c:v>
                </c:pt>
              </c:strCache>
            </c:strRef>
          </c:cat>
          <c:val>
            <c:numRef>
              <c:f>'[Wykres w programie Microsoft Word]TABLICA'!$K$4:$K$20</c:f>
              <c:numCache>
                <c:formatCode>#\ ##0.0</c:formatCode>
                <c:ptCount val="17"/>
                <c:pt idx="0">
                  <c:v>82.9</c:v>
                </c:pt>
                <c:pt idx="1">
                  <c:v>79.099999999999994</c:v>
                </c:pt>
                <c:pt idx="2">
                  <c:v>76.900000000000006</c:v>
                </c:pt>
                <c:pt idx="3">
                  <c:v>77</c:v>
                </c:pt>
                <c:pt idx="4">
                  <c:v>75.2</c:v>
                </c:pt>
                <c:pt idx="5">
                  <c:v>75.400000000000006</c:v>
                </c:pt>
                <c:pt idx="6">
                  <c:v>75</c:v>
                </c:pt>
                <c:pt idx="7">
                  <c:v>68.099999999999994</c:v>
                </c:pt>
                <c:pt idx="8">
                  <c:v>67.099999999999994</c:v>
                </c:pt>
                <c:pt idx="9">
                  <c:v>68</c:v>
                </c:pt>
                <c:pt idx="10">
                  <c:v>65.7</c:v>
                </c:pt>
                <c:pt idx="11">
                  <c:v>61.5</c:v>
                </c:pt>
                <c:pt idx="12">
                  <c:v>57.6</c:v>
                </c:pt>
                <c:pt idx="13">
                  <c:v>58.6</c:v>
                </c:pt>
                <c:pt idx="14">
                  <c:v>58</c:v>
                </c:pt>
                <c:pt idx="15">
                  <c:v>51.2</c:v>
                </c:pt>
                <c:pt idx="16">
                  <c:v>47.5</c:v>
                </c:pt>
              </c:numCache>
            </c:numRef>
          </c:val>
          <c:extLst>
            <c:ext xmlns:c16="http://schemas.microsoft.com/office/drawing/2014/chart" uri="{C3380CC4-5D6E-409C-BE32-E72D297353CC}">
              <c16:uniqueId val="{00000001-0C6E-425A-B8A9-D0A6A3A32AD3}"/>
            </c:ext>
          </c:extLst>
        </c:ser>
        <c:ser>
          <c:idx val="2"/>
          <c:order val="2"/>
          <c:tx>
            <c:strRef>
              <c:f>'[Wykres w programie Microsoft Word]TABLICA'!$L$3</c:f>
              <c:strCache>
                <c:ptCount val="1"/>
                <c:pt idx="0">
                  <c:v>2021</c:v>
                </c:pt>
              </c:strCache>
            </c:strRef>
          </c:tx>
          <c:spPr>
            <a:solidFill>
              <a:schemeClr val="accent3"/>
            </a:solidFill>
            <a:ln>
              <a:noFill/>
            </a:ln>
            <a:effectLst/>
          </c:spPr>
          <c:invertIfNegative val="0"/>
          <c:cat>
            <c:strRef>
              <c:f>'[Wykres w programie Microsoft Word]TABLICA'!$I$4:$I$20</c:f>
              <c:strCache>
                <c:ptCount val="17"/>
                <c:pt idx="0">
                  <c:v>Śląskie</c:v>
                </c:pt>
                <c:pt idx="1">
                  <c:v>Dolnośląskie</c:v>
                </c:pt>
                <c:pt idx="2">
                  <c:v>Opolskie</c:v>
                </c:pt>
                <c:pt idx="3">
                  <c:v>Podkarpackie</c:v>
                </c:pt>
                <c:pt idx="4">
                  <c:v>Świętokrzyskie</c:v>
                </c:pt>
                <c:pt idx="5">
                  <c:v>Małopolskie</c:v>
                </c:pt>
                <c:pt idx="6">
                  <c:v>Łódzkie</c:v>
                </c:pt>
                <c:pt idx="7">
                  <c:v>Mazowieckie</c:v>
                </c:pt>
                <c:pt idx="8">
                  <c:v>Polska</c:v>
                </c:pt>
                <c:pt idx="9">
                  <c:v>Wielkopolskie</c:v>
                </c:pt>
                <c:pt idx="10">
                  <c:v>Zachodniopomorskie</c:v>
                </c:pt>
                <c:pt idx="11">
                  <c:v>Kujawsko-Pomorskie</c:v>
                </c:pt>
                <c:pt idx="12">
                  <c:v>Pomorskie</c:v>
                </c:pt>
                <c:pt idx="13">
                  <c:v>Lubelskie</c:v>
                </c:pt>
                <c:pt idx="14">
                  <c:v>Warmińsko-Mazurskie</c:v>
                </c:pt>
                <c:pt idx="15">
                  <c:v>Lubuskie</c:v>
                </c:pt>
                <c:pt idx="16">
                  <c:v>Podlaskie</c:v>
                </c:pt>
              </c:strCache>
            </c:strRef>
          </c:cat>
          <c:val>
            <c:numRef>
              <c:f>'[Wykres w programie Microsoft Word]TABLICA'!$L$4:$L$20</c:f>
              <c:numCache>
                <c:formatCode>#\ ##0.0</c:formatCode>
                <c:ptCount val="17"/>
                <c:pt idx="0">
                  <c:v>84.1</c:v>
                </c:pt>
                <c:pt idx="1">
                  <c:v>80.400000000000006</c:v>
                </c:pt>
                <c:pt idx="2">
                  <c:v>77.7</c:v>
                </c:pt>
                <c:pt idx="3">
                  <c:v>77.5</c:v>
                </c:pt>
                <c:pt idx="4">
                  <c:v>77.2</c:v>
                </c:pt>
                <c:pt idx="5">
                  <c:v>76.7</c:v>
                </c:pt>
                <c:pt idx="6">
                  <c:v>76.099999999999994</c:v>
                </c:pt>
                <c:pt idx="7">
                  <c:v>69.599999999999994</c:v>
                </c:pt>
                <c:pt idx="8">
                  <c:v>68.400000000000006</c:v>
                </c:pt>
                <c:pt idx="9">
                  <c:v>68</c:v>
                </c:pt>
                <c:pt idx="10">
                  <c:v>67.400000000000006</c:v>
                </c:pt>
                <c:pt idx="11">
                  <c:v>63.9</c:v>
                </c:pt>
                <c:pt idx="12">
                  <c:v>59.9</c:v>
                </c:pt>
                <c:pt idx="13">
                  <c:v>59.7</c:v>
                </c:pt>
                <c:pt idx="14">
                  <c:v>59.4</c:v>
                </c:pt>
                <c:pt idx="15">
                  <c:v>51.5</c:v>
                </c:pt>
                <c:pt idx="16">
                  <c:v>48.7</c:v>
                </c:pt>
              </c:numCache>
            </c:numRef>
          </c:val>
          <c:extLst>
            <c:ext xmlns:c16="http://schemas.microsoft.com/office/drawing/2014/chart" uri="{C3380CC4-5D6E-409C-BE32-E72D297353CC}">
              <c16:uniqueId val="{00000002-0C6E-425A-B8A9-D0A6A3A32AD3}"/>
            </c:ext>
          </c:extLst>
        </c:ser>
        <c:ser>
          <c:idx val="3"/>
          <c:order val="3"/>
          <c:tx>
            <c:strRef>
              <c:f>'[Wykres w programie Microsoft Word]TABLICA'!$M$3</c:f>
              <c:strCache>
                <c:ptCount val="1"/>
                <c:pt idx="0">
                  <c:v>2022</c:v>
                </c:pt>
              </c:strCache>
            </c:strRef>
          </c:tx>
          <c:spPr>
            <a:solidFill>
              <a:schemeClr val="accent4"/>
            </a:solidFill>
            <a:ln>
              <a:noFill/>
            </a:ln>
            <a:effectLst/>
          </c:spPr>
          <c:invertIfNegative val="0"/>
          <c:cat>
            <c:strRef>
              <c:f>'[Wykres w programie Microsoft Word]TABLICA'!$I$4:$I$20</c:f>
              <c:strCache>
                <c:ptCount val="17"/>
                <c:pt idx="0">
                  <c:v>Śląskie</c:v>
                </c:pt>
                <c:pt idx="1">
                  <c:v>Dolnośląskie</c:v>
                </c:pt>
                <c:pt idx="2">
                  <c:v>Opolskie</c:v>
                </c:pt>
                <c:pt idx="3">
                  <c:v>Podkarpackie</c:v>
                </c:pt>
                <c:pt idx="4">
                  <c:v>Świętokrzyskie</c:v>
                </c:pt>
                <c:pt idx="5">
                  <c:v>Małopolskie</c:v>
                </c:pt>
                <c:pt idx="6">
                  <c:v>Łódzkie</c:v>
                </c:pt>
                <c:pt idx="7">
                  <c:v>Mazowieckie</c:v>
                </c:pt>
                <c:pt idx="8">
                  <c:v>Polska</c:v>
                </c:pt>
                <c:pt idx="9">
                  <c:v>Wielkopolskie</c:v>
                </c:pt>
                <c:pt idx="10">
                  <c:v>Zachodniopomorskie</c:v>
                </c:pt>
                <c:pt idx="11">
                  <c:v>Kujawsko-Pomorskie</c:v>
                </c:pt>
                <c:pt idx="12">
                  <c:v>Pomorskie</c:v>
                </c:pt>
                <c:pt idx="13">
                  <c:v>Lubelskie</c:v>
                </c:pt>
                <c:pt idx="14">
                  <c:v>Warmińsko-Mazurskie</c:v>
                </c:pt>
                <c:pt idx="15">
                  <c:v>Lubuskie</c:v>
                </c:pt>
                <c:pt idx="16">
                  <c:v>Podlaskie</c:v>
                </c:pt>
              </c:strCache>
            </c:strRef>
          </c:cat>
          <c:val>
            <c:numRef>
              <c:f>'[Wykres w programie Microsoft Word]TABLICA'!$M$4:$M$20</c:f>
              <c:numCache>
                <c:formatCode>General</c:formatCode>
                <c:ptCount val="17"/>
                <c:pt idx="0" formatCode="#\ ##0.0">
                  <c:v>84.3</c:v>
                </c:pt>
                <c:pt idx="1">
                  <c:v>80.5</c:v>
                </c:pt>
                <c:pt idx="2">
                  <c:v>78.400000000000006</c:v>
                </c:pt>
                <c:pt idx="3">
                  <c:v>78.599999999999994</c:v>
                </c:pt>
                <c:pt idx="4">
                  <c:v>78.900000000000006</c:v>
                </c:pt>
                <c:pt idx="5">
                  <c:v>76.7</c:v>
                </c:pt>
                <c:pt idx="6">
                  <c:v>77.7</c:v>
                </c:pt>
                <c:pt idx="7">
                  <c:v>70.7</c:v>
                </c:pt>
                <c:pt idx="8">
                  <c:v>69.3</c:v>
                </c:pt>
                <c:pt idx="9">
                  <c:v>68.599999999999994</c:v>
                </c:pt>
                <c:pt idx="10">
                  <c:v>68.400000000000006</c:v>
                </c:pt>
                <c:pt idx="11">
                  <c:v>64.2</c:v>
                </c:pt>
                <c:pt idx="12" formatCode="#\ ##0.0">
                  <c:v>64.599999999999994</c:v>
                </c:pt>
                <c:pt idx="13">
                  <c:v>60.6</c:v>
                </c:pt>
                <c:pt idx="14">
                  <c:v>60</c:v>
                </c:pt>
                <c:pt idx="15">
                  <c:v>51.7</c:v>
                </c:pt>
                <c:pt idx="16" formatCode="#\ ##0.0">
                  <c:v>49.5</c:v>
                </c:pt>
              </c:numCache>
            </c:numRef>
          </c:val>
          <c:extLst>
            <c:ext xmlns:c16="http://schemas.microsoft.com/office/drawing/2014/chart" uri="{C3380CC4-5D6E-409C-BE32-E72D297353CC}">
              <c16:uniqueId val="{00000003-0C6E-425A-B8A9-D0A6A3A32AD3}"/>
            </c:ext>
          </c:extLst>
        </c:ser>
        <c:dLbls>
          <c:showLegendKey val="0"/>
          <c:showVal val="0"/>
          <c:showCatName val="0"/>
          <c:showSerName val="0"/>
          <c:showPercent val="0"/>
          <c:showBubbleSize val="0"/>
        </c:dLbls>
        <c:gapWidth val="219"/>
        <c:overlap val="-27"/>
        <c:axId val="642326128"/>
        <c:axId val="642328872"/>
      </c:barChart>
      <c:catAx>
        <c:axId val="642326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42328872"/>
        <c:crosses val="autoZero"/>
        <c:auto val="1"/>
        <c:lblAlgn val="ctr"/>
        <c:lblOffset val="100"/>
        <c:noMultiLvlLbl val="0"/>
      </c:catAx>
      <c:valAx>
        <c:axId val="642328872"/>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42326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2 w programie Microsoft Word]TABLICA'!$P$4</c:f>
              <c:strCache>
                <c:ptCount val="1"/>
                <c:pt idx="0">
                  <c:v>2017</c:v>
                </c:pt>
              </c:strCache>
            </c:strRef>
          </c:tx>
          <c:spPr>
            <a:solidFill>
              <a:schemeClr val="accent1"/>
            </a:solidFill>
            <a:ln>
              <a:noFill/>
            </a:ln>
            <a:effectLst/>
          </c:spPr>
          <c:invertIfNegative val="0"/>
          <c:cat>
            <c:strRef>
              <c:f>'[Wykres 2 w programie Microsoft Word]TABLICA'!$O$5:$O$21</c:f>
              <c:strCache>
                <c:ptCount val="17"/>
                <c:pt idx="0">
                  <c:v>Śląskie</c:v>
                </c:pt>
                <c:pt idx="1">
                  <c:v>Małopolskie</c:v>
                </c:pt>
                <c:pt idx="2">
                  <c:v>Świętokrzyskie</c:v>
                </c:pt>
                <c:pt idx="3">
                  <c:v>Łódzkie</c:v>
                </c:pt>
                <c:pt idx="4">
                  <c:v>Mazowieckie</c:v>
                </c:pt>
                <c:pt idx="5">
                  <c:v>Kujawsko-Pomorskie</c:v>
                </c:pt>
                <c:pt idx="6">
                  <c:v>Dolnośląskie</c:v>
                </c:pt>
                <c:pt idx="7">
                  <c:v>Wielkopolskie</c:v>
                </c:pt>
                <c:pt idx="8">
                  <c:v>Polska</c:v>
                </c:pt>
                <c:pt idx="9">
                  <c:v>Podkarpackie</c:v>
                </c:pt>
                <c:pt idx="10">
                  <c:v>Lubelskie</c:v>
                </c:pt>
                <c:pt idx="11">
                  <c:v>Opolskie</c:v>
                </c:pt>
                <c:pt idx="12">
                  <c:v>Pomorskie</c:v>
                </c:pt>
                <c:pt idx="13">
                  <c:v>Podlaskie</c:v>
                </c:pt>
                <c:pt idx="14">
                  <c:v>Lubuskie</c:v>
                </c:pt>
                <c:pt idx="15">
                  <c:v>Zachodniopomorskie</c:v>
                </c:pt>
                <c:pt idx="16">
                  <c:v>Warmińsko-Mazurskie</c:v>
                </c:pt>
              </c:strCache>
            </c:strRef>
          </c:cat>
          <c:val>
            <c:numRef>
              <c:f>'[Wykres 2 w programie Microsoft Word]TABLICA'!$P$5:$P$21</c:f>
              <c:numCache>
                <c:formatCode>#\ ##0.0</c:formatCode>
                <c:ptCount val="17"/>
                <c:pt idx="0">
                  <c:v>176.8</c:v>
                </c:pt>
                <c:pt idx="1">
                  <c:v>170.6</c:v>
                </c:pt>
                <c:pt idx="2">
                  <c:v>123.4</c:v>
                </c:pt>
                <c:pt idx="3">
                  <c:v>113.7</c:v>
                </c:pt>
                <c:pt idx="4">
                  <c:v>106.8</c:v>
                </c:pt>
                <c:pt idx="5">
                  <c:v>102.1</c:v>
                </c:pt>
                <c:pt idx="6">
                  <c:v>98.5</c:v>
                </c:pt>
                <c:pt idx="7">
                  <c:v>98.8</c:v>
                </c:pt>
                <c:pt idx="8">
                  <c:v>95.8</c:v>
                </c:pt>
                <c:pt idx="9">
                  <c:v>94.2</c:v>
                </c:pt>
                <c:pt idx="10">
                  <c:v>88.7</c:v>
                </c:pt>
                <c:pt idx="11">
                  <c:v>90.3</c:v>
                </c:pt>
                <c:pt idx="12">
                  <c:v>75.900000000000006</c:v>
                </c:pt>
                <c:pt idx="13">
                  <c:v>66.2</c:v>
                </c:pt>
                <c:pt idx="14">
                  <c:v>63.3</c:v>
                </c:pt>
                <c:pt idx="15">
                  <c:v>61.2</c:v>
                </c:pt>
                <c:pt idx="16">
                  <c:v>56.4</c:v>
                </c:pt>
              </c:numCache>
            </c:numRef>
          </c:val>
          <c:extLst>
            <c:ext xmlns:c16="http://schemas.microsoft.com/office/drawing/2014/chart" uri="{C3380CC4-5D6E-409C-BE32-E72D297353CC}">
              <c16:uniqueId val="{00000000-A774-4282-8497-BCA9FAC158B9}"/>
            </c:ext>
          </c:extLst>
        </c:ser>
        <c:ser>
          <c:idx val="1"/>
          <c:order val="1"/>
          <c:tx>
            <c:strRef>
              <c:f>'[Wykres 2 w programie Microsoft Word]TABLICA'!$Q$4</c:f>
              <c:strCache>
                <c:ptCount val="1"/>
                <c:pt idx="0">
                  <c:v>2019</c:v>
                </c:pt>
              </c:strCache>
            </c:strRef>
          </c:tx>
          <c:spPr>
            <a:solidFill>
              <a:schemeClr val="accent2"/>
            </a:solidFill>
            <a:ln>
              <a:noFill/>
            </a:ln>
            <a:effectLst/>
          </c:spPr>
          <c:invertIfNegative val="0"/>
          <c:cat>
            <c:strRef>
              <c:f>'[Wykres 2 w programie Microsoft Word]TABLICA'!$O$5:$O$21</c:f>
              <c:strCache>
                <c:ptCount val="17"/>
                <c:pt idx="0">
                  <c:v>Śląskie</c:v>
                </c:pt>
                <c:pt idx="1">
                  <c:v>Małopolskie</c:v>
                </c:pt>
                <c:pt idx="2">
                  <c:v>Świętokrzyskie</c:v>
                </c:pt>
                <c:pt idx="3">
                  <c:v>Łódzkie</c:v>
                </c:pt>
                <c:pt idx="4">
                  <c:v>Mazowieckie</c:v>
                </c:pt>
                <c:pt idx="5">
                  <c:v>Kujawsko-Pomorskie</c:v>
                </c:pt>
                <c:pt idx="6">
                  <c:v>Dolnośląskie</c:v>
                </c:pt>
                <c:pt idx="7">
                  <c:v>Wielkopolskie</c:v>
                </c:pt>
                <c:pt idx="8">
                  <c:v>Polska</c:v>
                </c:pt>
                <c:pt idx="9">
                  <c:v>Podkarpackie</c:v>
                </c:pt>
                <c:pt idx="10">
                  <c:v>Lubelskie</c:v>
                </c:pt>
                <c:pt idx="11">
                  <c:v>Opolskie</c:v>
                </c:pt>
                <c:pt idx="12">
                  <c:v>Pomorskie</c:v>
                </c:pt>
                <c:pt idx="13">
                  <c:v>Podlaskie</c:v>
                </c:pt>
                <c:pt idx="14">
                  <c:v>Lubuskie</c:v>
                </c:pt>
                <c:pt idx="15">
                  <c:v>Zachodniopomorskie</c:v>
                </c:pt>
                <c:pt idx="16">
                  <c:v>Warmińsko-Mazurskie</c:v>
                </c:pt>
              </c:strCache>
            </c:strRef>
          </c:cat>
          <c:val>
            <c:numRef>
              <c:f>'[Wykres 2 w programie Microsoft Word]TABLICA'!$Q$5:$Q$21</c:f>
              <c:numCache>
                <c:formatCode>#\ ##0.0</c:formatCode>
                <c:ptCount val="17"/>
                <c:pt idx="0">
                  <c:v>178.7</c:v>
                </c:pt>
                <c:pt idx="1">
                  <c:v>172.8</c:v>
                </c:pt>
                <c:pt idx="2">
                  <c:v>125.9</c:v>
                </c:pt>
                <c:pt idx="3">
                  <c:v>115.3</c:v>
                </c:pt>
                <c:pt idx="4">
                  <c:v>110.3</c:v>
                </c:pt>
                <c:pt idx="5">
                  <c:v>106.8</c:v>
                </c:pt>
                <c:pt idx="6">
                  <c:v>103</c:v>
                </c:pt>
                <c:pt idx="7">
                  <c:v>101.3</c:v>
                </c:pt>
                <c:pt idx="8">
                  <c:v>98.2</c:v>
                </c:pt>
                <c:pt idx="9">
                  <c:v>97</c:v>
                </c:pt>
                <c:pt idx="10">
                  <c:v>91</c:v>
                </c:pt>
                <c:pt idx="11">
                  <c:v>89.9</c:v>
                </c:pt>
                <c:pt idx="12">
                  <c:v>79.400000000000006</c:v>
                </c:pt>
                <c:pt idx="13">
                  <c:v>68</c:v>
                </c:pt>
                <c:pt idx="14">
                  <c:v>64.400000000000006</c:v>
                </c:pt>
                <c:pt idx="15">
                  <c:v>60.9</c:v>
                </c:pt>
                <c:pt idx="16">
                  <c:v>57.9</c:v>
                </c:pt>
              </c:numCache>
            </c:numRef>
          </c:val>
          <c:extLst>
            <c:ext xmlns:c16="http://schemas.microsoft.com/office/drawing/2014/chart" uri="{C3380CC4-5D6E-409C-BE32-E72D297353CC}">
              <c16:uniqueId val="{00000001-A774-4282-8497-BCA9FAC158B9}"/>
            </c:ext>
          </c:extLst>
        </c:ser>
        <c:ser>
          <c:idx val="2"/>
          <c:order val="2"/>
          <c:tx>
            <c:strRef>
              <c:f>'[Wykres 2 w programie Microsoft Word]TABLICA'!$R$4</c:f>
              <c:strCache>
                <c:ptCount val="1"/>
                <c:pt idx="0">
                  <c:v>2021</c:v>
                </c:pt>
              </c:strCache>
            </c:strRef>
          </c:tx>
          <c:spPr>
            <a:solidFill>
              <a:schemeClr val="accent3"/>
            </a:solidFill>
            <a:ln>
              <a:noFill/>
            </a:ln>
            <a:effectLst/>
          </c:spPr>
          <c:invertIfNegative val="0"/>
          <c:cat>
            <c:strRef>
              <c:f>'[Wykres 2 w programie Microsoft Word]TABLICA'!$O$5:$O$21</c:f>
              <c:strCache>
                <c:ptCount val="17"/>
                <c:pt idx="0">
                  <c:v>Śląskie</c:v>
                </c:pt>
                <c:pt idx="1">
                  <c:v>Małopolskie</c:v>
                </c:pt>
                <c:pt idx="2">
                  <c:v>Świętokrzyskie</c:v>
                </c:pt>
                <c:pt idx="3">
                  <c:v>Łódzkie</c:v>
                </c:pt>
                <c:pt idx="4">
                  <c:v>Mazowieckie</c:v>
                </c:pt>
                <c:pt idx="5">
                  <c:v>Kujawsko-Pomorskie</c:v>
                </c:pt>
                <c:pt idx="6">
                  <c:v>Dolnośląskie</c:v>
                </c:pt>
                <c:pt idx="7">
                  <c:v>Wielkopolskie</c:v>
                </c:pt>
                <c:pt idx="8">
                  <c:v>Polska</c:v>
                </c:pt>
                <c:pt idx="9">
                  <c:v>Podkarpackie</c:v>
                </c:pt>
                <c:pt idx="10">
                  <c:v>Lubelskie</c:v>
                </c:pt>
                <c:pt idx="11">
                  <c:v>Opolskie</c:v>
                </c:pt>
                <c:pt idx="12">
                  <c:v>Pomorskie</c:v>
                </c:pt>
                <c:pt idx="13">
                  <c:v>Podlaskie</c:v>
                </c:pt>
                <c:pt idx="14">
                  <c:v>Lubuskie</c:v>
                </c:pt>
                <c:pt idx="15">
                  <c:v>Zachodniopomorskie</c:v>
                </c:pt>
                <c:pt idx="16">
                  <c:v>Warmińsko-Mazurskie</c:v>
                </c:pt>
              </c:strCache>
            </c:strRef>
          </c:cat>
          <c:val>
            <c:numRef>
              <c:f>'[Wykres 2 w programie Microsoft Word]TABLICA'!$R$5:$R$21</c:f>
              <c:numCache>
                <c:formatCode>#\ ##0.0</c:formatCode>
                <c:ptCount val="17"/>
                <c:pt idx="0">
                  <c:v>178.1</c:v>
                </c:pt>
                <c:pt idx="1">
                  <c:v>174.4</c:v>
                </c:pt>
                <c:pt idx="2">
                  <c:v>126.2</c:v>
                </c:pt>
                <c:pt idx="3">
                  <c:v>117.8</c:v>
                </c:pt>
                <c:pt idx="4">
                  <c:v>114.1</c:v>
                </c:pt>
                <c:pt idx="5">
                  <c:v>107.8</c:v>
                </c:pt>
                <c:pt idx="6">
                  <c:v>107.4</c:v>
                </c:pt>
                <c:pt idx="7">
                  <c:v>104.7</c:v>
                </c:pt>
                <c:pt idx="8">
                  <c:v>100.9</c:v>
                </c:pt>
                <c:pt idx="9">
                  <c:v>99.7</c:v>
                </c:pt>
                <c:pt idx="10">
                  <c:v>96.8</c:v>
                </c:pt>
                <c:pt idx="11">
                  <c:v>92.9</c:v>
                </c:pt>
                <c:pt idx="12">
                  <c:v>83.1</c:v>
                </c:pt>
                <c:pt idx="13">
                  <c:v>71.8</c:v>
                </c:pt>
                <c:pt idx="14">
                  <c:v>64.5</c:v>
                </c:pt>
                <c:pt idx="15">
                  <c:v>62.2</c:v>
                </c:pt>
                <c:pt idx="16">
                  <c:v>59.4</c:v>
                </c:pt>
              </c:numCache>
            </c:numRef>
          </c:val>
          <c:extLst>
            <c:ext xmlns:c16="http://schemas.microsoft.com/office/drawing/2014/chart" uri="{C3380CC4-5D6E-409C-BE32-E72D297353CC}">
              <c16:uniqueId val="{00000002-A774-4282-8497-BCA9FAC158B9}"/>
            </c:ext>
          </c:extLst>
        </c:ser>
        <c:ser>
          <c:idx val="3"/>
          <c:order val="3"/>
          <c:tx>
            <c:strRef>
              <c:f>'[Wykres 2 w programie Microsoft Word]TABLICA'!$S$4</c:f>
              <c:strCache>
                <c:ptCount val="1"/>
                <c:pt idx="0">
                  <c:v>2022</c:v>
                </c:pt>
              </c:strCache>
            </c:strRef>
          </c:tx>
          <c:spPr>
            <a:solidFill>
              <a:schemeClr val="accent4"/>
            </a:solidFill>
            <a:ln>
              <a:noFill/>
            </a:ln>
            <a:effectLst/>
          </c:spPr>
          <c:invertIfNegative val="0"/>
          <c:cat>
            <c:strRef>
              <c:f>'[Wykres 2 w programie Microsoft Word]TABLICA'!$O$5:$O$21</c:f>
              <c:strCache>
                <c:ptCount val="17"/>
                <c:pt idx="0">
                  <c:v>Śląskie</c:v>
                </c:pt>
                <c:pt idx="1">
                  <c:v>Małopolskie</c:v>
                </c:pt>
                <c:pt idx="2">
                  <c:v>Świętokrzyskie</c:v>
                </c:pt>
                <c:pt idx="3">
                  <c:v>Łódzkie</c:v>
                </c:pt>
                <c:pt idx="4">
                  <c:v>Mazowieckie</c:v>
                </c:pt>
                <c:pt idx="5">
                  <c:v>Kujawsko-Pomorskie</c:v>
                </c:pt>
                <c:pt idx="6">
                  <c:v>Dolnośląskie</c:v>
                </c:pt>
                <c:pt idx="7">
                  <c:v>Wielkopolskie</c:v>
                </c:pt>
                <c:pt idx="8">
                  <c:v>Polska</c:v>
                </c:pt>
                <c:pt idx="9">
                  <c:v>Podkarpackie</c:v>
                </c:pt>
                <c:pt idx="10">
                  <c:v>Lubelskie</c:v>
                </c:pt>
                <c:pt idx="11">
                  <c:v>Opolskie</c:v>
                </c:pt>
                <c:pt idx="12">
                  <c:v>Pomorskie</c:v>
                </c:pt>
                <c:pt idx="13">
                  <c:v>Podlaskie</c:v>
                </c:pt>
                <c:pt idx="14">
                  <c:v>Lubuskie</c:v>
                </c:pt>
                <c:pt idx="15">
                  <c:v>Zachodniopomorskie</c:v>
                </c:pt>
                <c:pt idx="16">
                  <c:v>Warmińsko-Mazurskie</c:v>
                </c:pt>
              </c:strCache>
            </c:strRef>
          </c:cat>
          <c:val>
            <c:numRef>
              <c:f>'[Wykres 2 w programie Microsoft Word]TABLICA'!$S$5:$S$21</c:f>
              <c:numCache>
                <c:formatCode>General</c:formatCode>
                <c:ptCount val="17"/>
                <c:pt idx="0" formatCode="#\ ##0.0">
                  <c:v>177.6</c:v>
                </c:pt>
                <c:pt idx="1">
                  <c:v>176</c:v>
                </c:pt>
                <c:pt idx="2" formatCode="#\ ##0.0">
                  <c:v>126.5</c:v>
                </c:pt>
                <c:pt idx="3">
                  <c:v>118.3</c:v>
                </c:pt>
                <c:pt idx="4">
                  <c:v>115.6</c:v>
                </c:pt>
                <c:pt idx="5">
                  <c:v>111.4</c:v>
                </c:pt>
                <c:pt idx="6">
                  <c:v>107.9</c:v>
                </c:pt>
                <c:pt idx="7">
                  <c:v>105.4</c:v>
                </c:pt>
                <c:pt idx="8">
                  <c:v>101.5</c:v>
                </c:pt>
                <c:pt idx="9">
                  <c:v>100.6</c:v>
                </c:pt>
                <c:pt idx="10">
                  <c:v>95.3</c:v>
                </c:pt>
                <c:pt idx="11">
                  <c:v>92.4</c:v>
                </c:pt>
                <c:pt idx="12">
                  <c:v>83.5</c:v>
                </c:pt>
                <c:pt idx="13">
                  <c:v>72.8</c:v>
                </c:pt>
                <c:pt idx="14">
                  <c:v>64.2</c:v>
                </c:pt>
                <c:pt idx="15">
                  <c:v>62.3</c:v>
                </c:pt>
                <c:pt idx="16" formatCode="#\ ##0.0">
                  <c:v>60.4</c:v>
                </c:pt>
              </c:numCache>
            </c:numRef>
          </c:val>
          <c:extLst>
            <c:ext xmlns:c16="http://schemas.microsoft.com/office/drawing/2014/chart" uri="{C3380CC4-5D6E-409C-BE32-E72D297353CC}">
              <c16:uniqueId val="{00000003-A774-4282-8497-BCA9FAC158B9}"/>
            </c:ext>
          </c:extLst>
        </c:ser>
        <c:dLbls>
          <c:showLegendKey val="0"/>
          <c:showVal val="0"/>
          <c:showCatName val="0"/>
          <c:showSerName val="0"/>
          <c:showPercent val="0"/>
          <c:showBubbleSize val="0"/>
        </c:dLbls>
        <c:gapWidth val="219"/>
        <c:overlap val="-27"/>
        <c:axId val="642334752"/>
        <c:axId val="642332792"/>
      </c:barChart>
      <c:catAx>
        <c:axId val="64233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42332792"/>
        <c:crosses val="autoZero"/>
        <c:auto val="1"/>
        <c:lblAlgn val="ctr"/>
        <c:lblOffset val="100"/>
        <c:noMultiLvlLbl val="0"/>
      </c:catAx>
      <c:valAx>
        <c:axId val="642332792"/>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42334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w programie Microsoft Word]TABLICA'!$AM$24</c:f>
              <c:strCache>
                <c:ptCount val="1"/>
                <c:pt idx="0">
                  <c:v>2017</c:v>
                </c:pt>
              </c:strCache>
            </c:strRef>
          </c:tx>
          <c:spPr>
            <a:solidFill>
              <a:schemeClr val="accent1"/>
            </a:solidFill>
            <a:ln>
              <a:noFill/>
            </a:ln>
            <a:effectLst/>
          </c:spPr>
          <c:invertIfNegative val="0"/>
          <c:cat>
            <c:strRef>
              <c:f>'[Wykres w programie Microsoft Word]TABLICA'!$AL$25:$AL$41</c:f>
              <c:strCache>
                <c:ptCount val="17"/>
                <c:pt idx="0">
                  <c:v>Warmińsko-Mazurskie</c:v>
                </c:pt>
                <c:pt idx="1">
                  <c:v>Podlaskie</c:v>
                </c:pt>
                <c:pt idx="2">
                  <c:v>Pomorskie</c:v>
                </c:pt>
                <c:pt idx="3">
                  <c:v>Zachodniopomorskie</c:v>
                </c:pt>
                <c:pt idx="4">
                  <c:v>Kujawsko-Pomorskie</c:v>
                </c:pt>
                <c:pt idx="5">
                  <c:v>Wielkopolskie</c:v>
                </c:pt>
                <c:pt idx="6">
                  <c:v>Lubelskie</c:v>
                </c:pt>
                <c:pt idx="7">
                  <c:v>Świętokrzyskie</c:v>
                </c:pt>
                <c:pt idx="8">
                  <c:v>Lubuskie</c:v>
                </c:pt>
                <c:pt idx="9">
                  <c:v>Podkarpackie</c:v>
                </c:pt>
                <c:pt idx="10">
                  <c:v>Polska</c:v>
                </c:pt>
                <c:pt idx="11">
                  <c:v>Małopolskie</c:v>
                </c:pt>
                <c:pt idx="12">
                  <c:v>Dolnośląskie</c:v>
                </c:pt>
                <c:pt idx="13">
                  <c:v>Śląskie</c:v>
                </c:pt>
                <c:pt idx="14">
                  <c:v>Mazowieckie</c:v>
                </c:pt>
                <c:pt idx="15">
                  <c:v>Łódzkie</c:v>
                </c:pt>
                <c:pt idx="16">
                  <c:v>Opolskie</c:v>
                </c:pt>
              </c:strCache>
            </c:strRef>
          </c:cat>
          <c:val>
            <c:numRef>
              <c:f>'[Wykres w programie Microsoft Word]TABLICA'!$AM$25:$AM$41</c:f>
              <c:numCache>
                <c:formatCode>#\ ##0.0</c:formatCode>
                <c:ptCount val="17"/>
                <c:pt idx="0">
                  <c:v>87.2</c:v>
                </c:pt>
                <c:pt idx="1">
                  <c:v>54.7</c:v>
                </c:pt>
                <c:pt idx="2">
                  <c:v>53.1</c:v>
                </c:pt>
                <c:pt idx="3">
                  <c:v>47.8</c:v>
                </c:pt>
                <c:pt idx="4">
                  <c:v>51.4</c:v>
                </c:pt>
                <c:pt idx="5">
                  <c:v>14.7</c:v>
                </c:pt>
                <c:pt idx="6">
                  <c:v>23.5</c:v>
                </c:pt>
                <c:pt idx="7">
                  <c:v>20.399999999999999</c:v>
                </c:pt>
                <c:pt idx="8">
                  <c:v>21</c:v>
                </c:pt>
                <c:pt idx="9">
                  <c:v>25.7</c:v>
                </c:pt>
                <c:pt idx="10">
                  <c:v>14.2</c:v>
                </c:pt>
                <c:pt idx="11">
                  <c:v>8.4</c:v>
                </c:pt>
                <c:pt idx="12">
                  <c:v>7.9</c:v>
                </c:pt>
                <c:pt idx="13">
                  <c:v>3.2</c:v>
                </c:pt>
                <c:pt idx="14">
                  <c:v>6.6</c:v>
                </c:pt>
                <c:pt idx="15">
                  <c:v>4.3</c:v>
                </c:pt>
                <c:pt idx="16">
                  <c:v>5.5</c:v>
                </c:pt>
              </c:numCache>
            </c:numRef>
          </c:val>
          <c:extLst>
            <c:ext xmlns:c16="http://schemas.microsoft.com/office/drawing/2014/chart" uri="{C3380CC4-5D6E-409C-BE32-E72D297353CC}">
              <c16:uniqueId val="{00000000-9667-4AFA-A82E-D41F3580A96D}"/>
            </c:ext>
          </c:extLst>
        </c:ser>
        <c:ser>
          <c:idx val="1"/>
          <c:order val="1"/>
          <c:tx>
            <c:strRef>
              <c:f>'[Wykres w programie Microsoft Word]TABLICA'!$AN$24</c:f>
              <c:strCache>
                <c:ptCount val="1"/>
                <c:pt idx="0">
                  <c:v>2019</c:v>
                </c:pt>
              </c:strCache>
            </c:strRef>
          </c:tx>
          <c:spPr>
            <a:solidFill>
              <a:schemeClr val="accent2"/>
            </a:solidFill>
            <a:ln>
              <a:noFill/>
            </a:ln>
            <a:effectLst/>
          </c:spPr>
          <c:invertIfNegative val="0"/>
          <c:cat>
            <c:strRef>
              <c:f>'[Wykres w programie Microsoft Word]TABLICA'!$AL$25:$AL$41</c:f>
              <c:strCache>
                <c:ptCount val="17"/>
                <c:pt idx="0">
                  <c:v>Warmińsko-Mazurskie</c:v>
                </c:pt>
                <c:pt idx="1">
                  <c:v>Podlaskie</c:v>
                </c:pt>
                <c:pt idx="2">
                  <c:v>Pomorskie</c:v>
                </c:pt>
                <c:pt idx="3">
                  <c:v>Zachodniopomorskie</c:v>
                </c:pt>
                <c:pt idx="4">
                  <c:v>Kujawsko-Pomorskie</c:v>
                </c:pt>
                <c:pt idx="5">
                  <c:v>Wielkopolskie</c:v>
                </c:pt>
                <c:pt idx="6">
                  <c:v>Lubelskie</c:v>
                </c:pt>
                <c:pt idx="7">
                  <c:v>Świętokrzyskie</c:v>
                </c:pt>
                <c:pt idx="8">
                  <c:v>Lubuskie</c:v>
                </c:pt>
                <c:pt idx="9">
                  <c:v>Podkarpackie</c:v>
                </c:pt>
                <c:pt idx="10">
                  <c:v>Polska</c:v>
                </c:pt>
                <c:pt idx="11">
                  <c:v>Małopolskie</c:v>
                </c:pt>
                <c:pt idx="12">
                  <c:v>Dolnośląskie</c:v>
                </c:pt>
                <c:pt idx="13">
                  <c:v>Śląskie</c:v>
                </c:pt>
                <c:pt idx="14">
                  <c:v>Mazowieckie</c:v>
                </c:pt>
                <c:pt idx="15">
                  <c:v>Łódzkie</c:v>
                </c:pt>
                <c:pt idx="16">
                  <c:v>Opolskie</c:v>
                </c:pt>
              </c:strCache>
            </c:strRef>
          </c:cat>
          <c:val>
            <c:numRef>
              <c:f>'[Wykres w programie Microsoft Word]TABLICA'!$AN$25:$AN$41</c:f>
              <c:numCache>
                <c:formatCode>#\ ##0.0</c:formatCode>
                <c:ptCount val="17"/>
                <c:pt idx="0">
                  <c:v>85.7</c:v>
                </c:pt>
                <c:pt idx="1">
                  <c:v>75.2</c:v>
                </c:pt>
                <c:pt idx="2">
                  <c:v>51.9</c:v>
                </c:pt>
                <c:pt idx="3">
                  <c:v>55.6</c:v>
                </c:pt>
                <c:pt idx="4">
                  <c:v>45.5</c:v>
                </c:pt>
                <c:pt idx="5">
                  <c:v>25.3</c:v>
                </c:pt>
                <c:pt idx="6">
                  <c:v>23.2</c:v>
                </c:pt>
                <c:pt idx="7">
                  <c:v>21.1</c:v>
                </c:pt>
                <c:pt idx="8">
                  <c:v>21.6</c:v>
                </c:pt>
                <c:pt idx="9">
                  <c:v>24</c:v>
                </c:pt>
                <c:pt idx="10">
                  <c:v>15.5</c:v>
                </c:pt>
                <c:pt idx="11">
                  <c:v>10.6</c:v>
                </c:pt>
                <c:pt idx="12">
                  <c:v>9</c:v>
                </c:pt>
                <c:pt idx="13">
                  <c:v>4.4000000000000004</c:v>
                </c:pt>
                <c:pt idx="14">
                  <c:v>5.4</c:v>
                </c:pt>
                <c:pt idx="15">
                  <c:v>5.4</c:v>
                </c:pt>
                <c:pt idx="16">
                  <c:v>4</c:v>
                </c:pt>
              </c:numCache>
            </c:numRef>
          </c:val>
          <c:extLst>
            <c:ext xmlns:c16="http://schemas.microsoft.com/office/drawing/2014/chart" uri="{C3380CC4-5D6E-409C-BE32-E72D297353CC}">
              <c16:uniqueId val="{00000001-9667-4AFA-A82E-D41F3580A96D}"/>
            </c:ext>
          </c:extLst>
        </c:ser>
        <c:ser>
          <c:idx val="2"/>
          <c:order val="2"/>
          <c:tx>
            <c:strRef>
              <c:f>'[Wykres w programie Microsoft Word]TABLICA'!$AO$24</c:f>
              <c:strCache>
                <c:ptCount val="1"/>
                <c:pt idx="0">
                  <c:v>2021</c:v>
                </c:pt>
              </c:strCache>
            </c:strRef>
          </c:tx>
          <c:spPr>
            <a:solidFill>
              <a:schemeClr val="accent3"/>
            </a:solidFill>
            <a:ln>
              <a:noFill/>
            </a:ln>
            <a:effectLst/>
          </c:spPr>
          <c:invertIfNegative val="0"/>
          <c:cat>
            <c:strRef>
              <c:f>'[Wykres w programie Microsoft Word]TABLICA'!$AL$25:$AL$41</c:f>
              <c:strCache>
                <c:ptCount val="17"/>
                <c:pt idx="0">
                  <c:v>Warmińsko-Mazurskie</c:v>
                </c:pt>
                <c:pt idx="1">
                  <c:v>Podlaskie</c:v>
                </c:pt>
                <c:pt idx="2">
                  <c:v>Pomorskie</c:v>
                </c:pt>
                <c:pt idx="3">
                  <c:v>Zachodniopomorskie</c:v>
                </c:pt>
                <c:pt idx="4">
                  <c:v>Kujawsko-Pomorskie</c:v>
                </c:pt>
                <c:pt idx="5">
                  <c:v>Wielkopolskie</c:v>
                </c:pt>
                <c:pt idx="6">
                  <c:v>Lubelskie</c:v>
                </c:pt>
                <c:pt idx="7">
                  <c:v>Świętokrzyskie</c:v>
                </c:pt>
                <c:pt idx="8">
                  <c:v>Lubuskie</c:v>
                </c:pt>
                <c:pt idx="9">
                  <c:v>Podkarpackie</c:v>
                </c:pt>
                <c:pt idx="10">
                  <c:v>Polska</c:v>
                </c:pt>
                <c:pt idx="11">
                  <c:v>Małopolskie</c:v>
                </c:pt>
                <c:pt idx="12">
                  <c:v>Dolnośląskie</c:v>
                </c:pt>
                <c:pt idx="13">
                  <c:v>Śląskie</c:v>
                </c:pt>
                <c:pt idx="14">
                  <c:v>Mazowieckie</c:v>
                </c:pt>
                <c:pt idx="15">
                  <c:v>Łódzkie</c:v>
                </c:pt>
                <c:pt idx="16">
                  <c:v>Opolskie</c:v>
                </c:pt>
              </c:strCache>
            </c:strRef>
          </c:cat>
          <c:val>
            <c:numRef>
              <c:f>'[Wykres w programie Microsoft Word]TABLICA'!$AO$25:$AO$41</c:f>
              <c:numCache>
                <c:formatCode>#\ ##0.0</c:formatCode>
                <c:ptCount val="17"/>
                <c:pt idx="0">
                  <c:v>90.7</c:v>
                </c:pt>
                <c:pt idx="1">
                  <c:v>73.900000000000006</c:v>
                </c:pt>
                <c:pt idx="2">
                  <c:v>60</c:v>
                </c:pt>
                <c:pt idx="3">
                  <c:v>58</c:v>
                </c:pt>
                <c:pt idx="4">
                  <c:v>46.6</c:v>
                </c:pt>
                <c:pt idx="5">
                  <c:v>34.200000000000003</c:v>
                </c:pt>
                <c:pt idx="6">
                  <c:v>30.4</c:v>
                </c:pt>
                <c:pt idx="7">
                  <c:v>25.8</c:v>
                </c:pt>
                <c:pt idx="8">
                  <c:v>25.6</c:v>
                </c:pt>
                <c:pt idx="9">
                  <c:v>18.2</c:v>
                </c:pt>
                <c:pt idx="10">
                  <c:v>17</c:v>
                </c:pt>
                <c:pt idx="11">
                  <c:v>14.7</c:v>
                </c:pt>
                <c:pt idx="12">
                  <c:v>8.6999999999999993</c:v>
                </c:pt>
                <c:pt idx="13">
                  <c:v>6.7</c:v>
                </c:pt>
                <c:pt idx="14">
                  <c:v>6.1</c:v>
                </c:pt>
                <c:pt idx="15">
                  <c:v>5.5</c:v>
                </c:pt>
                <c:pt idx="16">
                  <c:v>3.9</c:v>
                </c:pt>
              </c:numCache>
            </c:numRef>
          </c:val>
          <c:extLst>
            <c:ext xmlns:c16="http://schemas.microsoft.com/office/drawing/2014/chart" uri="{C3380CC4-5D6E-409C-BE32-E72D297353CC}">
              <c16:uniqueId val="{00000002-9667-4AFA-A82E-D41F3580A96D}"/>
            </c:ext>
          </c:extLst>
        </c:ser>
        <c:ser>
          <c:idx val="3"/>
          <c:order val="3"/>
          <c:tx>
            <c:strRef>
              <c:f>'[Wykres w programie Microsoft Word]TABLICA'!$AP$24</c:f>
              <c:strCache>
                <c:ptCount val="1"/>
                <c:pt idx="0">
                  <c:v>2022</c:v>
                </c:pt>
              </c:strCache>
            </c:strRef>
          </c:tx>
          <c:spPr>
            <a:solidFill>
              <a:schemeClr val="accent4"/>
            </a:solidFill>
            <a:ln>
              <a:noFill/>
            </a:ln>
            <a:effectLst/>
          </c:spPr>
          <c:invertIfNegative val="0"/>
          <c:cat>
            <c:strRef>
              <c:f>'[Wykres w programie Microsoft Word]TABLICA'!$AL$25:$AL$41</c:f>
              <c:strCache>
                <c:ptCount val="17"/>
                <c:pt idx="0">
                  <c:v>Warmińsko-Mazurskie</c:v>
                </c:pt>
                <c:pt idx="1">
                  <c:v>Podlaskie</c:v>
                </c:pt>
                <c:pt idx="2">
                  <c:v>Pomorskie</c:v>
                </c:pt>
                <c:pt idx="3">
                  <c:v>Zachodniopomorskie</c:v>
                </c:pt>
                <c:pt idx="4">
                  <c:v>Kujawsko-Pomorskie</c:v>
                </c:pt>
                <c:pt idx="5">
                  <c:v>Wielkopolskie</c:v>
                </c:pt>
                <c:pt idx="6">
                  <c:v>Lubelskie</c:v>
                </c:pt>
                <c:pt idx="7">
                  <c:v>Świętokrzyskie</c:v>
                </c:pt>
                <c:pt idx="8">
                  <c:v>Lubuskie</c:v>
                </c:pt>
                <c:pt idx="9">
                  <c:v>Podkarpackie</c:v>
                </c:pt>
                <c:pt idx="10">
                  <c:v>Polska</c:v>
                </c:pt>
                <c:pt idx="11">
                  <c:v>Małopolskie</c:v>
                </c:pt>
                <c:pt idx="12">
                  <c:v>Dolnośląskie</c:v>
                </c:pt>
                <c:pt idx="13">
                  <c:v>Śląskie</c:v>
                </c:pt>
                <c:pt idx="14">
                  <c:v>Mazowieckie</c:v>
                </c:pt>
                <c:pt idx="15">
                  <c:v>Łódzkie</c:v>
                </c:pt>
                <c:pt idx="16">
                  <c:v>Opolskie</c:v>
                </c:pt>
              </c:strCache>
            </c:strRef>
          </c:cat>
          <c:val>
            <c:numRef>
              <c:f>'[Wykres w programie Microsoft Word]TABLICA'!$AP$25:$AP$41</c:f>
              <c:numCache>
                <c:formatCode>General</c:formatCode>
                <c:ptCount val="17"/>
                <c:pt idx="0">
                  <c:v>95.6</c:v>
                </c:pt>
                <c:pt idx="1">
                  <c:v>80.3</c:v>
                </c:pt>
                <c:pt idx="2">
                  <c:v>63.9</c:v>
                </c:pt>
                <c:pt idx="3">
                  <c:v>62.6</c:v>
                </c:pt>
                <c:pt idx="4">
                  <c:v>54.6</c:v>
                </c:pt>
                <c:pt idx="5">
                  <c:v>52.2</c:v>
                </c:pt>
                <c:pt idx="6">
                  <c:v>51.6</c:v>
                </c:pt>
                <c:pt idx="7">
                  <c:v>20.8</c:v>
                </c:pt>
                <c:pt idx="8">
                  <c:v>35.700000000000003</c:v>
                </c:pt>
                <c:pt idx="9">
                  <c:v>49.5</c:v>
                </c:pt>
                <c:pt idx="10" formatCode="#\ ##0.0">
                  <c:v>21</c:v>
                </c:pt>
                <c:pt idx="11">
                  <c:v>20.6</c:v>
                </c:pt>
                <c:pt idx="12">
                  <c:v>10.3</c:v>
                </c:pt>
                <c:pt idx="13">
                  <c:v>9.5</c:v>
                </c:pt>
                <c:pt idx="14">
                  <c:v>7.3</c:v>
                </c:pt>
                <c:pt idx="15">
                  <c:v>6.3</c:v>
                </c:pt>
                <c:pt idx="16">
                  <c:v>5.6</c:v>
                </c:pt>
              </c:numCache>
            </c:numRef>
          </c:val>
          <c:extLst>
            <c:ext xmlns:c16="http://schemas.microsoft.com/office/drawing/2014/chart" uri="{C3380CC4-5D6E-409C-BE32-E72D297353CC}">
              <c16:uniqueId val="{00000003-9667-4AFA-A82E-D41F3580A96D}"/>
            </c:ext>
          </c:extLst>
        </c:ser>
        <c:dLbls>
          <c:showLegendKey val="0"/>
          <c:showVal val="0"/>
          <c:showCatName val="0"/>
          <c:showSerName val="0"/>
          <c:showPercent val="0"/>
          <c:showBubbleSize val="0"/>
        </c:dLbls>
        <c:gapWidth val="219"/>
        <c:overlap val="-27"/>
        <c:axId val="642326912"/>
        <c:axId val="642330832"/>
      </c:barChart>
      <c:catAx>
        <c:axId val="64232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42330832"/>
        <c:crosses val="autoZero"/>
        <c:auto val="1"/>
        <c:lblAlgn val="ctr"/>
        <c:lblOffset val="100"/>
        <c:noMultiLvlLbl val="0"/>
      </c:catAx>
      <c:valAx>
        <c:axId val="642330832"/>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42326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33114610673665"/>
          <c:y val="3.1025580757629172E-2"/>
          <c:w val="0.82822440944881892"/>
          <c:h val="0.48178550597841935"/>
        </c:manualLayout>
      </c:layout>
      <c:barChart>
        <c:barDir val="col"/>
        <c:grouping val="clustered"/>
        <c:varyColors val="0"/>
        <c:ser>
          <c:idx val="0"/>
          <c:order val="0"/>
          <c:tx>
            <c:strRef>
              <c:f>'[Wykres w programie Microsoft Word]TABLICA'!$E$1:$E$3</c:f>
              <c:strCache>
                <c:ptCount val="3"/>
                <c:pt idx="2">
                  <c:v>Ogółem</c:v>
                </c:pt>
              </c:strCache>
            </c:strRef>
          </c:tx>
          <c:spPr>
            <a:solidFill>
              <a:schemeClr val="accent1"/>
            </a:solidFill>
            <a:ln>
              <a:noFill/>
            </a:ln>
            <a:effectLst/>
          </c:spPr>
          <c:invertIfNegative val="0"/>
          <c:cat>
            <c:strRef>
              <c:f>'[Wykres w programie Microsoft Word]TABLICA'!$D$4:$D$19</c:f>
              <c:strCache>
                <c:ptCount val="16"/>
                <c:pt idx="0">
                  <c:v>Mazowieckie</c:v>
                </c:pt>
                <c:pt idx="1">
                  <c:v>Małopolskie</c:v>
                </c:pt>
                <c:pt idx="2">
                  <c:v>Dolnośląskie</c:v>
                </c:pt>
                <c:pt idx="3">
                  <c:v>Pomorskie</c:v>
                </c:pt>
                <c:pt idx="4">
                  <c:v>Zachodniopomorskie</c:v>
                </c:pt>
                <c:pt idx="5">
                  <c:v>Śląskie</c:v>
                </c:pt>
                <c:pt idx="6">
                  <c:v>Wielkopolskie</c:v>
                </c:pt>
                <c:pt idx="7">
                  <c:v>Kujawsko-Pomorskie</c:v>
                </c:pt>
                <c:pt idx="8">
                  <c:v>Łódzkie</c:v>
                </c:pt>
                <c:pt idx="9">
                  <c:v>Podkarpackie</c:v>
                </c:pt>
                <c:pt idx="10">
                  <c:v>Warmińsko-Mazurskie</c:v>
                </c:pt>
                <c:pt idx="11">
                  <c:v>Lubelskie</c:v>
                </c:pt>
                <c:pt idx="12">
                  <c:v>Lubuskie</c:v>
                </c:pt>
                <c:pt idx="13">
                  <c:v>Świętokrzyskie</c:v>
                </c:pt>
                <c:pt idx="14">
                  <c:v>Podlaskie</c:v>
                </c:pt>
                <c:pt idx="15">
                  <c:v>Opolskie</c:v>
                </c:pt>
              </c:strCache>
            </c:strRef>
          </c:cat>
          <c:val>
            <c:numRef>
              <c:f>'[Wykres w programie Microsoft Word]TABLICA'!$E$4:$E$19</c:f>
              <c:numCache>
                <c:formatCode>#,##0</c:formatCode>
                <c:ptCount val="16"/>
                <c:pt idx="0">
                  <c:v>5893738</c:v>
                </c:pt>
                <c:pt idx="1">
                  <c:v>5196105</c:v>
                </c:pt>
                <c:pt idx="2">
                  <c:v>3732773</c:v>
                </c:pt>
                <c:pt idx="3">
                  <c:v>3289820</c:v>
                </c:pt>
                <c:pt idx="4">
                  <c:v>3258357</c:v>
                </c:pt>
                <c:pt idx="5">
                  <c:v>2665400</c:v>
                </c:pt>
                <c:pt idx="6">
                  <c:v>1898586</c:v>
                </c:pt>
                <c:pt idx="7">
                  <c:v>1370209</c:v>
                </c:pt>
                <c:pt idx="8">
                  <c:v>1212965</c:v>
                </c:pt>
                <c:pt idx="9">
                  <c:v>1209430</c:v>
                </c:pt>
                <c:pt idx="10">
                  <c:v>1204600</c:v>
                </c:pt>
                <c:pt idx="11">
                  <c:v>1158669</c:v>
                </c:pt>
                <c:pt idx="12">
                  <c:v>635432</c:v>
                </c:pt>
                <c:pt idx="13">
                  <c:v>617200</c:v>
                </c:pt>
                <c:pt idx="14">
                  <c:v>568939</c:v>
                </c:pt>
                <c:pt idx="15">
                  <c:v>336781</c:v>
                </c:pt>
              </c:numCache>
            </c:numRef>
          </c:val>
          <c:extLst>
            <c:ext xmlns:c16="http://schemas.microsoft.com/office/drawing/2014/chart" uri="{C3380CC4-5D6E-409C-BE32-E72D297353CC}">
              <c16:uniqueId val="{00000000-4EA4-49E8-A842-F9C1F8AF340C}"/>
            </c:ext>
          </c:extLst>
        </c:ser>
        <c:ser>
          <c:idx val="1"/>
          <c:order val="1"/>
          <c:tx>
            <c:strRef>
              <c:f>'[Wykres w programie Microsoft Word]TABLICA'!$F$1:$F$3</c:f>
              <c:strCache>
                <c:ptCount val="3"/>
                <c:pt idx="2">
                  <c:v>Ogółem</c:v>
                </c:pt>
              </c:strCache>
            </c:strRef>
          </c:tx>
          <c:spPr>
            <a:solidFill>
              <a:schemeClr val="accent2"/>
            </a:solidFill>
            <a:ln>
              <a:noFill/>
            </a:ln>
            <a:effectLst/>
          </c:spPr>
          <c:invertIfNegative val="0"/>
          <c:cat>
            <c:strRef>
              <c:f>'[Wykres w programie Microsoft Word]TABLICA'!$D$4:$D$19</c:f>
              <c:strCache>
                <c:ptCount val="16"/>
                <c:pt idx="0">
                  <c:v>Mazowieckie</c:v>
                </c:pt>
                <c:pt idx="1">
                  <c:v>Małopolskie</c:v>
                </c:pt>
                <c:pt idx="2">
                  <c:v>Dolnośląskie</c:v>
                </c:pt>
                <c:pt idx="3">
                  <c:v>Pomorskie</c:v>
                </c:pt>
                <c:pt idx="4">
                  <c:v>Zachodniopomorskie</c:v>
                </c:pt>
                <c:pt idx="5">
                  <c:v>Śląskie</c:v>
                </c:pt>
                <c:pt idx="6">
                  <c:v>Wielkopolskie</c:v>
                </c:pt>
                <c:pt idx="7">
                  <c:v>Kujawsko-Pomorskie</c:v>
                </c:pt>
                <c:pt idx="8">
                  <c:v>Łódzkie</c:v>
                </c:pt>
                <c:pt idx="9">
                  <c:v>Podkarpackie</c:v>
                </c:pt>
                <c:pt idx="10">
                  <c:v>Warmińsko-Mazurskie</c:v>
                </c:pt>
                <c:pt idx="11">
                  <c:v>Lubelskie</c:v>
                </c:pt>
                <c:pt idx="12">
                  <c:v>Lubuskie</c:v>
                </c:pt>
                <c:pt idx="13">
                  <c:v>Świętokrzyskie</c:v>
                </c:pt>
                <c:pt idx="14">
                  <c:v>Podlaskie</c:v>
                </c:pt>
                <c:pt idx="15">
                  <c:v>Opolskie</c:v>
                </c:pt>
              </c:strCache>
            </c:strRef>
          </c:cat>
          <c:val>
            <c:numRef>
              <c:f>'[Wykres w programie Microsoft Word]TABLICA'!$F$4:$F$19</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extLst>
            <c:ext xmlns:c16="http://schemas.microsoft.com/office/drawing/2014/chart" uri="{C3380CC4-5D6E-409C-BE32-E72D297353CC}">
              <c16:uniqueId val="{00000001-4EA4-49E8-A842-F9C1F8AF340C}"/>
            </c:ext>
          </c:extLst>
        </c:ser>
        <c:ser>
          <c:idx val="2"/>
          <c:order val="2"/>
          <c:tx>
            <c:strRef>
              <c:f>'[Wykres w programie Microsoft Word]TABLICA'!$G$1:$G$3</c:f>
              <c:strCache>
                <c:ptCount val="3"/>
                <c:pt idx="2">
                  <c:v>w tym turyści zagraniczni</c:v>
                </c:pt>
              </c:strCache>
            </c:strRef>
          </c:tx>
          <c:spPr>
            <a:solidFill>
              <a:schemeClr val="accent2"/>
            </a:solidFill>
            <a:ln>
              <a:noFill/>
            </a:ln>
            <a:effectLst/>
          </c:spPr>
          <c:invertIfNegative val="0"/>
          <c:cat>
            <c:strRef>
              <c:f>'[Wykres w programie Microsoft Word]TABLICA'!$D$4:$D$19</c:f>
              <c:strCache>
                <c:ptCount val="16"/>
                <c:pt idx="0">
                  <c:v>Mazowieckie</c:v>
                </c:pt>
                <c:pt idx="1">
                  <c:v>Małopolskie</c:v>
                </c:pt>
                <c:pt idx="2">
                  <c:v>Dolnośląskie</c:v>
                </c:pt>
                <c:pt idx="3">
                  <c:v>Pomorskie</c:v>
                </c:pt>
                <c:pt idx="4">
                  <c:v>Zachodniopomorskie</c:v>
                </c:pt>
                <c:pt idx="5">
                  <c:v>Śląskie</c:v>
                </c:pt>
                <c:pt idx="6">
                  <c:v>Wielkopolskie</c:v>
                </c:pt>
                <c:pt idx="7">
                  <c:v>Kujawsko-Pomorskie</c:v>
                </c:pt>
                <c:pt idx="8">
                  <c:v>Łódzkie</c:v>
                </c:pt>
                <c:pt idx="9">
                  <c:v>Podkarpackie</c:v>
                </c:pt>
                <c:pt idx="10">
                  <c:v>Warmińsko-Mazurskie</c:v>
                </c:pt>
                <c:pt idx="11">
                  <c:v>Lubelskie</c:v>
                </c:pt>
                <c:pt idx="12">
                  <c:v>Lubuskie</c:v>
                </c:pt>
                <c:pt idx="13">
                  <c:v>Świętokrzyskie</c:v>
                </c:pt>
                <c:pt idx="14">
                  <c:v>Podlaskie</c:v>
                </c:pt>
                <c:pt idx="15">
                  <c:v>Opolskie</c:v>
                </c:pt>
              </c:strCache>
            </c:strRef>
          </c:cat>
          <c:val>
            <c:numRef>
              <c:f>'[Wykres w programie Microsoft Word]TABLICA'!$G$4:$G$19</c:f>
              <c:numCache>
                <c:formatCode>#,##0</c:formatCode>
                <c:ptCount val="16"/>
                <c:pt idx="0">
                  <c:v>1461969</c:v>
                </c:pt>
                <c:pt idx="1">
                  <c:v>1178390</c:v>
                </c:pt>
                <c:pt idx="2">
                  <c:v>728102</c:v>
                </c:pt>
                <c:pt idx="3">
                  <c:v>534049</c:v>
                </c:pt>
                <c:pt idx="4">
                  <c:v>424329</c:v>
                </c:pt>
                <c:pt idx="5">
                  <c:v>364825</c:v>
                </c:pt>
                <c:pt idx="6">
                  <c:v>229574</c:v>
                </c:pt>
                <c:pt idx="7">
                  <c:v>208509</c:v>
                </c:pt>
                <c:pt idx="8">
                  <c:v>160785</c:v>
                </c:pt>
                <c:pt idx="9">
                  <c:v>125426</c:v>
                </c:pt>
                <c:pt idx="10">
                  <c:v>124797</c:v>
                </c:pt>
                <c:pt idx="11">
                  <c:v>111609</c:v>
                </c:pt>
                <c:pt idx="12">
                  <c:v>76288</c:v>
                </c:pt>
                <c:pt idx="13">
                  <c:v>60688</c:v>
                </c:pt>
                <c:pt idx="14">
                  <c:v>32169</c:v>
                </c:pt>
                <c:pt idx="15">
                  <c:v>25102</c:v>
                </c:pt>
              </c:numCache>
            </c:numRef>
          </c:val>
          <c:extLst>
            <c:ext xmlns:c16="http://schemas.microsoft.com/office/drawing/2014/chart" uri="{C3380CC4-5D6E-409C-BE32-E72D297353CC}">
              <c16:uniqueId val="{00000002-4EA4-49E8-A842-F9C1F8AF340C}"/>
            </c:ext>
          </c:extLst>
        </c:ser>
        <c:dLbls>
          <c:showLegendKey val="0"/>
          <c:showVal val="0"/>
          <c:showCatName val="0"/>
          <c:showSerName val="0"/>
          <c:showPercent val="0"/>
          <c:showBubbleSize val="0"/>
        </c:dLbls>
        <c:gapWidth val="164"/>
        <c:overlap val="31"/>
        <c:axId val="642330048"/>
        <c:axId val="642327696"/>
      </c:barChart>
      <c:catAx>
        <c:axId val="64233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42327696"/>
        <c:crosses val="autoZero"/>
        <c:auto val="1"/>
        <c:lblAlgn val="ctr"/>
        <c:lblOffset val="100"/>
        <c:noMultiLvlLbl val="0"/>
      </c:catAx>
      <c:valAx>
        <c:axId val="642327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42330048"/>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'[Wykres w programie Microsoft Word]TABLICA'!$E$1</c:f>
              <c:strCache>
                <c:ptCount val="1"/>
                <c:pt idx="0">
                  <c:v>Ogółem</c:v>
                </c:pt>
              </c:strCache>
            </c:strRef>
          </c:tx>
          <c:spPr>
            <a:solidFill>
              <a:schemeClr val="accent1"/>
            </a:solidFill>
            <a:ln>
              <a:noFill/>
            </a:ln>
            <a:effectLst/>
          </c:spPr>
          <c:invertIfNegative val="0"/>
          <c:cat>
            <c:strRef>
              <c:f>'[Wykres w programie Microsoft Word]TABLICA'!$D$2:$D$17</c:f>
              <c:strCache>
                <c:ptCount val="16"/>
                <c:pt idx="0">
                  <c:v>Zachodniopomorskie</c:v>
                </c:pt>
                <c:pt idx="1">
                  <c:v>Małopolskie</c:v>
                </c:pt>
                <c:pt idx="2">
                  <c:v>Mazowieckie</c:v>
                </c:pt>
                <c:pt idx="3">
                  <c:v>Pomorskie</c:v>
                </c:pt>
                <c:pt idx="4">
                  <c:v>Dolnośląskie</c:v>
                </c:pt>
                <c:pt idx="5">
                  <c:v>Śląskie</c:v>
                </c:pt>
                <c:pt idx="6">
                  <c:v>Kujawsko-Pomorskie</c:v>
                </c:pt>
                <c:pt idx="7">
                  <c:v>Wielkopolskie</c:v>
                </c:pt>
                <c:pt idx="8">
                  <c:v>Podkarpackie</c:v>
                </c:pt>
                <c:pt idx="9">
                  <c:v>Warmińsko-Mazurskie</c:v>
                </c:pt>
                <c:pt idx="10">
                  <c:v>Łódzkie</c:v>
                </c:pt>
                <c:pt idx="11">
                  <c:v>Lubelskie</c:v>
                </c:pt>
                <c:pt idx="12">
                  <c:v>Świętokrzyskie </c:v>
                </c:pt>
                <c:pt idx="13">
                  <c:v>Lubuskie</c:v>
                </c:pt>
                <c:pt idx="14">
                  <c:v>Podlaskie</c:v>
                </c:pt>
                <c:pt idx="15">
                  <c:v>Opolskie</c:v>
                </c:pt>
              </c:strCache>
            </c:strRef>
          </c:cat>
          <c:val>
            <c:numRef>
              <c:f>'[Wykres w programie Microsoft Word]TABLICA'!$E$2:$E$17</c:f>
              <c:numCache>
                <c:formatCode>#,##0</c:formatCode>
                <c:ptCount val="16"/>
                <c:pt idx="0">
                  <c:v>15160974</c:v>
                </c:pt>
                <c:pt idx="1">
                  <c:v>13686985</c:v>
                </c:pt>
                <c:pt idx="2">
                  <c:v>10293504</c:v>
                </c:pt>
                <c:pt idx="3">
                  <c:v>10026202</c:v>
                </c:pt>
                <c:pt idx="4">
                  <c:v>9635580</c:v>
                </c:pt>
                <c:pt idx="5">
                  <c:v>6155827</c:v>
                </c:pt>
                <c:pt idx="6">
                  <c:v>4503212</c:v>
                </c:pt>
                <c:pt idx="7">
                  <c:v>3741115</c:v>
                </c:pt>
                <c:pt idx="8">
                  <c:v>3419504</c:v>
                </c:pt>
                <c:pt idx="9">
                  <c:v>3086563</c:v>
                </c:pt>
                <c:pt idx="10">
                  <c:v>2568871</c:v>
                </c:pt>
                <c:pt idx="11">
                  <c:v>2425810</c:v>
                </c:pt>
                <c:pt idx="12">
                  <c:v>1844498</c:v>
                </c:pt>
                <c:pt idx="13">
                  <c:v>1403812</c:v>
                </c:pt>
                <c:pt idx="14">
                  <c:v>1283376</c:v>
                </c:pt>
                <c:pt idx="15">
                  <c:v>717966</c:v>
                </c:pt>
              </c:numCache>
            </c:numRef>
          </c:val>
          <c:extLst>
            <c:ext xmlns:c16="http://schemas.microsoft.com/office/drawing/2014/chart" uri="{C3380CC4-5D6E-409C-BE32-E72D297353CC}">
              <c16:uniqueId val="{00000000-D8A9-44E0-B620-2368BF69CD03}"/>
            </c:ext>
          </c:extLst>
        </c:ser>
        <c:ser>
          <c:idx val="2"/>
          <c:order val="2"/>
          <c:tx>
            <c:strRef>
              <c:f>'[Wykres w programie Microsoft Word]TABLICA'!$F$1</c:f>
              <c:strCache>
                <c:ptCount val="1"/>
                <c:pt idx="0">
                  <c:v>w tym turystom zagranicznym</c:v>
                </c:pt>
              </c:strCache>
            </c:strRef>
          </c:tx>
          <c:spPr>
            <a:solidFill>
              <a:schemeClr val="accent2"/>
            </a:solidFill>
            <a:ln>
              <a:noFill/>
            </a:ln>
            <a:effectLst/>
          </c:spPr>
          <c:invertIfNegative val="0"/>
          <c:cat>
            <c:strRef>
              <c:f>'[Wykres w programie Microsoft Word]TABLICA'!$D$2:$D$17</c:f>
              <c:strCache>
                <c:ptCount val="16"/>
                <c:pt idx="0">
                  <c:v>Zachodniopomorskie</c:v>
                </c:pt>
                <c:pt idx="1">
                  <c:v>Małopolskie</c:v>
                </c:pt>
                <c:pt idx="2">
                  <c:v>Mazowieckie</c:v>
                </c:pt>
                <c:pt idx="3">
                  <c:v>Pomorskie</c:v>
                </c:pt>
                <c:pt idx="4">
                  <c:v>Dolnośląskie</c:v>
                </c:pt>
                <c:pt idx="5">
                  <c:v>Śląskie</c:v>
                </c:pt>
                <c:pt idx="6">
                  <c:v>Kujawsko-Pomorskie</c:v>
                </c:pt>
                <c:pt idx="7">
                  <c:v>Wielkopolskie</c:v>
                </c:pt>
                <c:pt idx="8">
                  <c:v>Podkarpackie</c:v>
                </c:pt>
                <c:pt idx="9">
                  <c:v>Warmińsko-Mazurskie</c:v>
                </c:pt>
                <c:pt idx="10">
                  <c:v>Łódzkie</c:v>
                </c:pt>
                <c:pt idx="11">
                  <c:v>Lubelskie</c:v>
                </c:pt>
                <c:pt idx="12">
                  <c:v>Świętokrzyskie </c:v>
                </c:pt>
                <c:pt idx="13">
                  <c:v>Lubuskie</c:v>
                </c:pt>
                <c:pt idx="14">
                  <c:v>Podlaskie</c:v>
                </c:pt>
                <c:pt idx="15">
                  <c:v>Opolskie</c:v>
                </c:pt>
              </c:strCache>
            </c:strRef>
          </c:cat>
          <c:val>
            <c:numRef>
              <c:f>'[Wykres w programie Microsoft Word]TABLICA'!$F$2:$F$17</c:f>
              <c:numCache>
                <c:formatCode>#,##0</c:formatCode>
                <c:ptCount val="16"/>
                <c:pt idx="0">
                  <c:v>3081036</c:v>
                </c:pt>
                <c:pt idx="1">
                  <c:v>2881838</c:v>
                </c:pt>
                <c:pt idx="2">
                  <c:v>2869954</c:v>
                </c:pt>
                <c:pt idx="3">
                  <c:v>1241051</c:v>
                </c:pt>
                <c:pt idx="4">
                  <c:v>1118638</c:v>
                </c:pt>
                <c:pt idx="5">
                  <c:v>884175</c:v>
                </c:pt>
                <c:pt idx="6">
                  <c:v>574628</c:v>
                </c:pt>
                <c:pt idx="7">
                  <c:v>434610</c:v>
                </c:pt>
                <c:pt idx="8">
                  <c:v>411951</c:v>
                </c:pt>
                <c:pt idx="9">
                  <c:v>294153</c:v>
                </c:pt>
                <c:pt idx="10">
                  <c:v>285778</c:v>
                </c:pt>
                <c:pt idx="11">
                  <c:v>215158</c:v>
                </c:pt>
                <c:pt idx="12">
                  <c:v>157986</c:v>
                </c:pt>
                <c:pt idx="13">
                  <c:v>151114</c:v>
                </c:pt>
                <c:pt idx="14">
                  <c:v>82209</c:v>
                </c:pt>
                <c:pt idx="15">
                  <c:v>74967</c:v>
                </c:pt>
              </c:numCache>
            </c:numRef>
          </c:val>
          <c:extLst>
            <c:ext xmlns:c16="http://schemas.microsoft.com/office/drawing/2014/chart" uri="{C3380CC4-5D6E-409C-BE32-E72D297353CC}">
              <c16:uniqueId val="{00000001-D8A9-44E0-B620-2368BF69CD03}"/>
            </c:ext>
          </c:extLst>
        </c:ser>
        <c:dLbls>
          <c:showLegendKey val="0"/>
          <c:showVal val="0"/>
          <c:showCatName val="0"/>
          <c:showSerName val="0"/>
          <c:showPercent val="0"/>
          <c:showBubbleSize val="0"/>
        </c:dLbls>
        <c:gapWidth val="219"/>
        <c:overlap val="-27"/>
        <c:axId val="642330440"/>
        <c:axId val="642322992"/>
        <c:extLst>
          <c:ext xmlns:c15="http://schemas.microsoft.com/office/drawing/2012/chart" uri="{02D57815-91ED-43cb-92C2-25804820EDAC}">
            <c15:filteredBarSeries>
              <c15:ser>
                <c:idx val="1"/>
                <c:order val="1"/>
                <c:tx>
                  <c:strRef>
                    <c:extLst>
                      <c:ext uri="{02D57815-91ED-43cb-92C2-25804820EDAC}">
                        <c15:formulaRef>
                          <c15:sqref>TABLICA!#REF!</c15:sqref>
                        </c15:formulaRef>
                      </c:ext>
                    </c:extLst>
                    <c:strCache>
                      <c:ptCount val="1"/>
                      <c:pt idx="0">
                        <c:v>#REF!</c:v>
                      </c:pt>
                    </c:strCache>
                  </c:strRef>
                </c:tx>
                <c:spPr>
                  <a:solidFill>
                    <a:schemeClr val="accent2"/>
                  </a:solidFill>
                  <a:ln>
                    <a:noFill/>
                  </a:ln>
                  <a:effectLst/>
                </c:spPr>
                <c:invertIfNegative val="0"/>
                <c:cat>
                  <c:strRef>
                    <c:extLst>
                      <c:ext uri="{02D57815-91ED-43cb-92C2-25804820EDAC}">
                        <c15:formulaRef>
                          <c15:sqref>'[Wykres w programie Microsoft Word]TABLICA'!$D$2:$D$17</c15:sqref>
                        </c15:formulaRef>
                      </c:ext>
                    </c:extLst>
                    <c:strCache>
                      <c:ptCount val="16"/>
                      <c:pt idx="0">
                        <c:v>Zachodniopomorskie</c:v>
                      </c:pt>
                      <c:pt idx="1">
                        <c:v>Małopolskie</c:v>
                      </c:pt>
                      <c:pt idx="2">
                        <c:v>Mazowieckie</c:v>
                      </c:pt>
                      <c:pt idx="3">
                        <c:v>Pomorskie</c:v>
                      </c:pt>
                      <c:pt idx="4">
                        <c:v>Dolnośląskie</c:v>
                      </c:pt>
                      <c:pt idx="5">
                        <c:v>Śląskie</c:v>
                      </c:pt>
                      <c:pt idx="6">
                        <c:v>Kujawsko-Pomorskie</c:v>
                      </c:pt>
                      <c:pt idx="7">
                        <c:v>Wielkopolskie</c:v>
                      </c:pt>
                      <c:pt idx="8">
                        <c:v>Podkarpackie</c:v>
                      </c:pt>
                      <c:pt idx="9">
                        <c:v>Warmińsko-Mazurskie</c:v>
                      </c:pt>
                      <c:pt idx="10">
                        <c:v>Łódzkie</c:v>
                      </c:pt>
                      <c:pt idx="11">
                        <c:v>Lubelskie</c:v>
                      </c:pt>
                      <c:pt idx="12">
                        <c:v>Świętokrzyskie </c:v>
                      </c:pt>
                      <c:pt idx="13">
                        <c:v>Lubuskie</c:v>
                      </c:pt>
                      <c:pt idx="14">
                        <c:v>Podlaskie</c:v>
                      </c:pt>
                      <c:pt idx="15">
                        <c:v>Opolskie</c:v>
                      </c:pt>
                    </c:strCache>
                  </c:strRef>
                </c:cat>
                <c:val>
                  <c:numRef>
                    <c:extLst>
                      <c:ext uri="{02D57815-91ED-43cb-92C2-25804820EDAC}">
                        <c15:formulaRef>
                          <c15:sqref>TABLICA!#REF!</c15:sqref>
                        </c15:formulaRef>
                      </c:ext>
                    </c:extLst>
                    <c:numCache>
                      <c:formatCode>General</c:formatCode>
                      <c:ptCount val="1"/>
                      <c:pt idx="0">
                        <c:v>1</c:v>
                      </c:pt>
                    </c:numCache>
                  </c:numRef>
                </c:val>
                <c:extLst>
                  <c:ext xmlns:c16="http://schemas.microsoft.com/office/drawing/2014/chart" uri="{C3380CC4-5D6E-409C-BE32-E72D297353CC}">
                    <c16:uniqueId val="{00000002-D8A9-44E0-B620-2368BF69CD03}"/>
                  </c:ext>
                </c:extLst>
              </c15:ser>
            </c15:filteredBarSeries>
          </c:ext>
        </c:extLst>
      </c:barChart>
      <c:catAx>
        <c:axId val="642330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42322992"/>
        <c:crosses val="autoZero"/>
        <c:auto val="1"/>
        <c:lblAlgn val="ctr"/>
        <c:lblOffset val="100"/>
        <c:noMultiLvlLbl val="0"/>
      </c:catAx>
      <c:valAx>
        <c:axId val="642322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4233044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Entry>
      <c:legendEntry>
        <c:idx val="1"/>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w programie Microsoft Word]TABLICA'!$M$3</c:f>
              <c:strCache>
                <c:ptCount val="1"/>
                <c:pt idx="0">
                  <c:v>2017</c:v>
                </c:pt>
              </c:strCache>
            </c:strRef>
          </c:tx>
          <c:spPr>
            <a:solidFill>
              <a:schemeClr val="accent1"/>
            </a:solidFill>
            <a:ln>
              <a:noFill/>
            </a:ln>
            <a:effectLst/>
          </c:spPr>
          <c:invertIfNegative val="0"/>
          <c:cat>
            <c:strRef>
              <c:f>'[Wykres w programie Microsoft Word]TABLICA'!$L$4:$L$20</c:f>
              <c:strCache>
                <c:ptCount val="17"/>
                <c:pt idx="0">
                  <c:v>Lubelskie</c:v>
                </c:pt>
                <c:pt idx="1">
                  <c:v>Mazowieckie</c:v>
                </c:pt>
                <c:pt idx="2">
                  <c:v>Łódzkie</c:v>
                </c:pt>
                <c:pt idx="3">
                  <c:v>Małopolskie</c:v>
                </c:pt>
                <c:pt idx="4">
                  <c:v>Dolnośląskie</c:v>
                </c:pt>
                <c:pt idx="5">
                  <c:v>Śląskie</c:v>
                </c:pt>
                <c:pt idx="6">
                  <c:v>Wielkopolskie</c:v>
                </c:pt>
                <c:pt idx="7">
                  <c:v>Polska</c:v>
                </c:pt>
                <c:pt idx="8">
                  <c:v>Pomorskie</c:v>
                </c:pt>
                <c:pt idx="9">
                  <c:v>Podkarpackie</c:v>
                </c:pt>
                <c:pt idx="10">
                  <c:v>Podlaskie</c:v>
                </c:pt>
                <c:pt idx="11">
                  <c:v>Zachodniopomorskie</c:v>
                </c:pt>
                <c:pt idx="12">
                  <c:v>Świętokrzyskie</c:v>
                </c:pt>
                <c:pt idx="13">
                  <c:v>Kujawsko-pomorskie</c:v>
                </c:pt>
                <c:pt idx="14">
                  <c:v>Opolskie</c:v>
                </c:pt>
                <c:pt idx="15">
                  <c:v>Lubuskie</c:v>
                </c:pt>
                <c:pt idx="16">
                  <c:v>Warmińsko-mazurskie</c:v>
                </c:pt>
              </c:strCache>
            </c:strRef>
          </c:cat>
          <c:val>
            <c:numRef>
              <c:f>'[Wykres w programie Microsoft Word]TABLICA'!$M$4:$M$20</c:f>
              <c:numCache>
                <c:formatCode>#\ ##0.0</c:formatCode>
                <c:ptCount val="17"/>
                <c:pt idx="0">
                  <c:v>74.7</c:v>
                </c:pt>
                <c:pt idx="1">
                  <c:v>116.1</c:v>
                </c:pt>
                <c:pt idx="2">
                  <c:v>80.2</c:v>
                </c:pt>
                <c:pt idx="3">
                  <c:v>96.6</c:v>
                </c:pt>
                <c:pt idx="4">
                  <c:v>89.2</c:v>
                </c:pt>
                <c:pt idx="5">
                  <c:v>77.099999999999994</c:v>
                </c:pt>
                <c:pt idx="6">
                  <c:v>66.900000000000006</c:v>
                </c:pt>
                <c:pt idx="7">
                  <c:v>72.7</c:v>
                </c:pt>
                <c:pt idx="8">
                  <c:v>56</c:v>
                </c:pt>
                <c:pt idx="9">
                  <c:v>44.2</c:v>
                </c:pt>
                <c:pt idx="10">
                  <c:v>22.8</c:v>
                </c:pt>
                <c:pt idx="11">
                  <c:v>80.3</c:v>
                </c:pt>
                <c:pt idx="12">
                  <c:v>33.6</c:v>
                </c:pt>
                <c:pt idx="13">
                  <c:v>43.2</c:v>
                </c:pt>
                <c:pt idx="14">
                  <c:v>61.5</c:v>
                </c:pt>
                <c:pt idx="15">
                  <c:v>20.7</c:v>
                </c:pt>
                <c:pt idx="16">
                  <c:v>28.6</c:v>
                </c:pt>
              </c:numCache>
            </c:numRef>
          </c:val>
          <c:extLst>
            <c:ext xmlns:c16="http://schemas.microsoft.com/office/drawing/2014/chart" uri="{C3380CC4-5D6E-409C-BE32-E72D297353CC}">
              <c16:uniqueId val="{00000000-CA71-48AE-8E38-7B4912A5185C}"/>
            </c:ext>
          </c:extLst>
        </c:ser>
        <c:ser>
          <c:idx val="1"/>
          <c:order val="1"/>
          <c:tx>
            <c:strRef>
              <c:f>'[Wykres w programie Microsoft Word]TABLICA'!$N$3</c:f>
              <c:strCache>
                <c:ptCount val="1"/>
                <c:pt idx="0">
                  <c:v>2021</c:v>
                </c:pt>
              </c:strCache>
            </c:strRef>
          </c:tx>
          <c:spPr>
            <a:solidFill>
              <a:schemeClr val="accent2"/>
            </a:solidFill>
            <a:ln>
              <a:noFill/>
            </a:ln>
            <a:effectLst/>
          </c:spPr>
          <c:invertIfNegative val="0"/>
          <c:cat>
            <c:strRef>
              <c:f>'[Wykres w programie Microsoft Word]TABLICA'!$L$4:$L$20</c:f>
              <c:strCache>
                <c:ptCount val="17"/>
                <c:pt idx="0">
                  <c:v>Lubelskie</c:v>
                </c:pt>
                <c:pt idx="1">
                  <c:v>Mazowieckie</c:v>
                </c:pt>
                <c:pt idx="2">
                  <c:v>Łódzkie</c:v>
                </c:pt>
                <c:pt idx="3">
                  <c:v>Małopolskie</c:v>
                </c:pt>
                <c:pt idx="4">
                  <c:v>Dolnośląskie</c:v>
                </c:pt>
                <c:pt idx="5">
                  <c:v>Śląskie</c:v>
                </c:pt>
                <c:pt idx="6">
                  <c:v>Wielkopolskie</c:v>
                </c:pt>
                <c:pt idx="7">
                  <c:v>Polska</c:v>
                </c:pt>
                <c:pt idx="8">
                  <c:v>Pomorskie</c:v>
                </c:pt>
                <c:pt idx="9">
                  <c:v>Podkarpackie</c:v>
                </c:pt>
                <c:pt idx="10">
                  <c:v>Podlaskie</c:v>
                </c:pt>
                <c:pt idx="11">
                  <c:v>Zachodniopomorskie</c:v>
                </c:pt>
                <c:pt idx="12">
                  <c:v>Świętokrzyskie</c:v>
                </c:pt>
                <c:pt idx="13">
                  <c:v>Kujawsko-pomorskie</c:v>
                </c:pt>
                <c:pt idx="14">
                  <c:v>Opolskie</c:v>
                </c:pt>
                <c:pt idx="15">
                  <c:v>Lubuskie</c:v>
                </c:pt>
                <c:pt idx="16">
                  <c:v>Warmińsko-mazurskie</c:v>
                </c:pt>
              </c:strCache>
            </c:strRef>
          </c:cat>
          <c:val>
            <c:numRef>
              <c:f>'[Wykres w programie Microsoft Word]TABLICA'!$N$4:$N$20</c:f>
              <c:numCache>
                <c:formatCode>#\ ##0.0</c:formatCode>
                <c:ptCount val="17"/>
                <c:pt idx="0">
                  <c:v>133.80000000000001</c:v>
                </c:pt>
                <c:pt idx="1">
                  <c:v>101.9</c:v>
                </c:pt>
                <c:pt idx="2">
                  <c:v>94.4</c:v>
                </c:pt>
                <c:pt idx="3">
                  <c:v>106.1</c:v>
                </c:pt>
                <c:pt idx="4">
                  <c:v>114.4</c:v>
                </c:pt>
                <c:pt idx="5">
                  <c:v>94</c:v>
                </c:pt>
                <c:pt idx="6">
                  <c:v>76.2</c:v>
                </c:pt>
                <c:pt idx="7">
                  <c:v>85.4</c:v>
                </c:pt>
                <c:pt idx="8">
                  <c:v>50.5</c:v>
                </c:pt>
                <c:pt idx="9">
                  <c:v>82.7</c:v>
                </c:pt>
                <c:pt idx="10">
                  <c:v>57.2</c:v>
                </c:pt>
                <c:pt idx="11">
                  <c:v>84</c:v>
                </c:pt>
                <c:pt idx="12">
                  <c:v>49.4</c:v>
                </c:pt>
                <c:pt idx="13">
                  <c:v>49.9</c:v>
                </c:pt>
                <c:pt idx="14">
                  <c:v>79.8</c:v>
                </c:pt>
                <c:pt idx="15">
                  <c:v>35.4</c:v>
                </c:pt>
                <c:pt idx="16">
                  <c:v>26.8</c:v>
                </c:pt>
              </c:numCache>
            </c:numRef>
          </c:val>
          <c:extLst>
            <c:ext xmlns:c16="http://schemas.microsoft.com/office/drawing/2014/chart" uri="{C3380CC4-5D6E-409C-BE32-E72D297353CC}">
              <c16:uniqueId val="{00000001-CA71-48AE-8E38-7B4912A5185C}"/>
            </c:ext>
          </c:extLst>
        </c:ser>
        <c:ser>
          <c:idx val="2"/>
          <c:order val="2"/>
          <c:tx>
            <c:strRef>
              <c:f>'[Wykres w programie Microsoft Word]TABLICA'!$O$3</c:f>
              <c:strCache>
                <c:ptCount val="1"/>
                <c:pt idx="0">
                  <c:v>2022</c:v>
                </c:pt>
              </c:strCache>
            </c:strRef>
          </c:tx>
          <c:spPr>
            <a:solidFill>
              <a:schemeClr val="accent3"/>
            </a:solidFill>
            <a:ln>
              <a:noFill/>
            </a:ln>
            <a:effectLst/>
          </c:spPr>
          <c:invertIfNegative val="0"/>
          <c:cat>
            <c:strRef>
              <c:f>'[Wykres w programie Microsoft Word]TABLICA'!$L$4:$L$20</c:f>
              <c:strCache>
                <c:ptCount val="17"/>
                <c:pt idx="0">
                  <c:v>Lubelskie</c:v>
                </c:pt>
                <c:pt idx="1">
                  <c:v>Mazowieckie</c:v>
                </c:pt>
                <c:pt idx="2">
                  <c:v>Łódzkie</c:v>
                </c:pt>
                <c:pt idx="3">
                  <c:v>Małopolskie</c:v>
                </c:pt>
                <c:pt idx="4">
                  <c:v>Dolnośląskie</c:v>
                </c:pt>
                <c:pt idx="5">
                  <c:v>Śląskie</c:v>
                </c:pt>
                <c:pt idx="6">
                  <c:v>Wielkopolskie</c:v>
                </c:pt>
                <c:pt idx="7">
                  <c:v>Polska</c:v>
                </c:pt>
                <c:pt idx="8">
                  <c:v>Pomorskie</c:v>
                </c:pt>
                <c:pt idx="9">
                  <c:v>Podkarpackie</c:v>
                </c:pt>
                <c:pt idx="10">
                  <c:v>Podlaskie</c:v>
                </c:pt>
                <c:pt idx="11">
                  <c:v>Zachodniopomorskie</c:v>
                </c:pt>
                <c:pt idx="12">
                  <c:v>Świętokrzyskie</c:v>
                </c:pt>
                <c:pt idx="13">
                  <c:v>Kujawsko-pomorskie</c:v>
                </c:pt>
                <c:pt idx="14">
                  <c:v>Opolskie</c:v>
                </c:pt>
                <c:pt idx="15">
                  <c:v>Lubuskie</c:v>
                </c:pt>
                <c:pt idx="16">
                  <c:v>Warmińsko-mazurskie</c:v>
                </c:pt>
              </c:strCache>
            </c:strRef>
          </c:cat>
          <c:val>
            <c:numRef>
              <c:f>'[Wykres w programie Microsoft Word]TABLICA'!$O$4:$O$20</c:f>
              <c:numCache>
                <c:formatCode>#\ ##0.0</c:formatCode>
                <c:ptCount val="17"/>
                <c:pt idx="0">
                  <c:v>88.2</c:v>
                </c:pt>
                <c:pt idx="1">
                  <c:v>67.3</c:v>
                </c:pt>
                <c:pt idx="2">
                  <c:v>65.400000000000006</c:v>
                </c:pt>
                <c:pt idx="3">
                  <c:v>62.1</c:v>
                </c:pt>
                <c:pt idx="4">
                  <c:v>61.9</c:v>
                </c:pt>
                <c:pt idx="5">
                  <c:v>61.7</c:v>
                </c:pt>
                <c:pt idx="6">
                  <c:v>59.5</c:v>
                </c:pt>
                <c:pt idx="7">
                  <c:v>58.8</c:v>
                </c:pt>
                <c:pt idx="8">
                  <c:v>57.7</c:v>
                </c:pt>
                <c:pt idx="9">
                  <c:v>55.2</c:v>
                </c:pt>
                <c:pt idx="10">
                  <c:v>52.4</c:v>
                </c:pt>
                <c:pt idx="11">
                  <c:v>48</c:v>
                </c:pt>
                <c:pt idx="12">
                  <c:v>47.4</c:v>
                </c:pt>
                <c:pt idx="13">
                  <c:v>45.7</c:v>
                </c:pt>
                <c:pt idx="14">
                  <c:v>41.3</c:v>
                </c:pt>
                <c:pt idx="15">
                  <c:v>35.6</c:v>
                </c:pt>
                <c:pt idx="16">
                  <c:v>27</c:v>
                </c:pt>
              </c:numCache>
            </c:numRef>
          </c:val>
          <c:extLst>
            <c:ext xmlns:c16="http://schemas.microsoft.com/office/drawing/2014/chart" uri="{C3380CC4-5D6E-409C-BE32-E72D297353CC}">
              <c16:uniqueId val="{00000002-CA71-48AE-8E38-7B4912A5185C}"/>
            </c:ext>
          </c:extLst>
        </c:ser>
        <c:dLbls>
          <c:showLegendKey val="0"/>
          <c:showVal val="0"/>
          <c:showCatName val="0"/>
          <c:showSerName val="0"/>
          <c:showPercent val="0"/>
          <c:showBubbleSize val="0"/>
        </c:dLbls>
        <c:gapWidth val="219"/>
        <c:overlap val="-27"/>
        <c:axId val="522197232"/>
        <c:axId val="522197624"/>
      </c:barChart>
      <c:catAx>
        <c:axId val="52219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522197624"/>
        <c:crosses val="autoZero"/>
        <c:auto val="1"/>
        <c:lblAlgn val="ctr"/>
        <c:lblOffset val="100"/>
        <c:noMultiLvlLbl val="0"/>
      </c:catAx>
      <c:valAx>
        <c:axId val="522197624"/>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522197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sz="1000"/>
              <a:t>%</a:t>
            </a:r>
          </a:p>
        </c:rich>
      </c:tx>
      <c:layout>
        <c:manualLayout>
          <c:xMode val="edge"/>
          <c:yMode val="edge"/>
          <c:x val="0.15046788873221381"/>
          <c:y val="0.04"/>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'[Wykres 3 w programie Microsoft Word]TABLICA'!$H$4</c:f>
              <c:strCache>
                <c:ptCount val="1"/>
                <c:pt idx="0">
                  <c:v>Miejsc noclegowych</c:v>
                </c:pt>
              </c:strCache>
            </c:strRef>
          </c:tx>
          <c:spPr>
            <a:solidFill>
              <a:schemeClr val="accent1"/>
            </a:solidFill>
            <a:ln>
              <a:noFill/>
            </a:ln>
            <a:effectLst/>
          </c:spPr>
          <c:invertIfNegative val="0"/>
          <c:cat>
            <c:strRef>
              <c:f>'[Wykres 3 w programie Microsoft Word]TABLICA'!$G$5:$G$21</c:f>
              <c:strCache>
                <c:ptCount val="17"/>
                <c:pt idx="0">
                  <c:v>Zachodniopomorskie</c:v>
                </c:pt>
                <c:pt idx="1">
                  <c:v>Pomorskie</c:v>
                </c:pt>
                <c:pt idx="2">
                  <c:v>Kujawsko-Pomorskie</c:v>
                </c:pt>
                <c:pt idx="3">
                  <c:v>Polska</c:v>
                </c:pt>
                <c:pt idx="4">
                  <c:v>Małopolskie</c:v>
                </c:pt>
                <c:pt idx="5">
                  <c:v>Warmińsko-Mazurskie</c:v>
                </c:pt>
                <c:pt idx="6">
                  <c:v>Dolnośląskie</c:v>
                </c:pt>
                <c:pt idx="7">
                  <c:v>Podkarpackie</c:v>
                </c:pt>
                <c:pt idx="8">
                  <c:v>Śląskie</c:v>
                </c:pt>
                <c:pt idx="9">
                  <c:v>Świętokrzyskie</c:v>
                </c:pt>
                <c:pt idx="10">
                  <c:v>Podlaskie</c:v>
                </c:pt>
                <c:pt idx="11">
                  <c:v>Mazowieckie</c:v>
                </c:pt>
                <c:pt idx="12">
                  <c:v>Lubuskie</c:v>
                </c:pt>
                <c:pt idx="13">
                  <c:v>Łódzkie</c:v>
                </c:pt>
                <c:pt idx="14">
                  <c:v>Lubelskie</c:v>
                </c:pt>
                <c:pt idx="15">
                  <c:v>Opolskie</c:v>
                </c:pt>
                <c:pt idx="16">
                  <c:v>Wielkopolskie</c:v>
                </c:pt>
              </c:strCache>
            </c:strRef>
          </c:cat>
          <c:val>
            <c:numRef>
              <c:f>'[Wykres 3 w programie Microsoft Word]TABLICA'!$H$5:$H$21</c:f>
              <c:numCache>
                <c:formatCode>#\ ##0.0</c:formatCode>
                <c:ptCount val="17"/>
                <c:pt idx="0">
                  <c:v>47.8</c:v>
                </c:pt>
                <c:pt idx="1">
                  <c:v>42.7</c:v>
                </c:pt>
                <c:pt idx="2">
                  <c:v>45.3</c:v>
                </c:pt>
                <c:pt idx="3">
                  <c:v>40.4</c:v>
                </c:pt>
                <c:pt idx="4">
                  <c:v>41.8</c:v>
                </c:pt>
                <c:pt idx="5">
                  <c:v>31.8</c:v>
                </c:pt>
                <c:pt idx="6">
                  <c:v>38.799999999999997</c:v>
                </c:pt>
                <c:pt idx="7">
                  <c:v>35.200000000000003</c:v>
                </c:pt>
                <c:pt idx="8">
                  <c:v>38.1</c:v>
                </c:pt>
                <c:pt idx="9">
                  <c:v>33.200000000000003</c:v>
                </c:pt>
                <c:pt idx="10">
                  <c:v>32.799999999999997</c:v>
                </c:pt>
                <c:pt idx="11">
                  <c:v>45.7</c:v>
                </c:pt>
                <c:pt idx="12">
                  <c:v>31.2</c:v>
                </c:pt>
                <c:pt idx="13">
                  <c:v>38.200000000000003</c:v>
                </c:pt>
                <c:pt idx="14">
                  <c:v>33.799999999999997</c:v>
                </c:pt>
                <c:pt idx="15">
                  <c:v>31.5</c:v>
                </c:pt>
                <c:pt idx="16">
                  <c:v>31.7</c:v>
                </c:pt>
              </c:numCache>
            </c:numRef>
          </c:val>
          <c:extLst>
            <c:ext xmlns:c16="http://schemas.microsoft.com/office/drawing/2014/chart" uri="{C3380CC4-5D6E-409C-BE32-E72D297353CC}">
              <c16:uniqueId val="{00000000-1201-4087-BDF7-A98D7EEA77A8}"/>
            </c:ext>
          </c:extLst>
        </c:ser>
        <c:ser>
          <c:idx val="1"/>
          <c:order val="1"/>
          <c:tx>
            <c:strRef>
              <c:f>'[Wykres 3 w programie Microsoft Word]TABLICA'!$J$4</c:f>
              <c:strCache>
                <c:ptCount val="1"/>
                <c:pt idx="0">
                  <c:v>Pokoi w obiektach hotelowych</c:v>
                </c:pt>
              </c:strCache>
            </c:strRef>
          </c:tx>
          <c:spPr>
            <a:solidFill>
              <a:schemeClr val="accent2"/>
            </a:solidFill>
            <a:ln>
              <a:noFill/>
            </a:ln>
            <a:effectLst/>
          </c:spPr>
          <c:invertIfNegative val="0"/>
          <c:cat>
            <c:strRef>
              <c:f>'[Wykres 3 w programie Microsoft Word]TABLICA'!$G$5:$G$21</c:f>
              <c:strCache>
                <c:ptCount val="17"/>
                <c:pt idx="0">
                  <c:v>Zachodniopomorskie</c:v>
                </c:pt>
                <c:pt idx="1">
                  <c:v>Pomorskie</c:v>
                </c:pt>
                <c:pt idx="2">
                  <c:v>Kujawsko-Pomorskie</c:v>
                </c:pt>
                <c:pt idx="3">
                  <c:v>Polska</c:v>
                </c:pt>
                <c:pt idx="4">
                  <c:v>Małopolskie</c:v>
                </c:pt>
                <c:pt idx="5">
                  <c:v>Warmińsko-Mazurskie</c:v>
                </c:pt>
                <c:pt idx="6">
                  <c:v>Dolnośląskie</c:v>
                </c:pt>
                <c:pt idx="7">
                  <c:v>Podkarpackie</c:v>
                </c:pt>
                <c:pt idx="8">
                  <c:v>Śląskie</c:v>
                </c:pt>
                <c:pt idx="9">
                  <c:v>Świętokrzyskie</c:v>
                </c:pt>
                <c:pt idx="10">
                  <c:v>Podlaskie</c:v>
                </c:pt>
                <c:pt idx="11">
                  <c:v>Mazowieckie</c:v>
                </c:pt>
                <c:pt idx="12">
                  <c:v>Lubuskie</c:v>
                </c:pt>
                <c:pt idx="13">
                  <c:v>Łódzkie</c:v>
                </c:pt>
                <c:pt idx="14">
                  <c:v>Lubelskie</c:v>
                </c:pt>
                <c:pt idx="15">
                  <c:v>Opolskie</c:v>
                </c:pt>
                <c:pt idx="16">
                  <c:v>Wielkopolskie</c:v>
                </c:pt>
              </c:strCache>
            </c:strRef>
          </c:cat>
          <c:val>
            <c:numRef>
              <c:f>'[Wykres 3 w programie Microsoft Word]TABLICA'!$J$5:$J$21</c:f>
              <c:numCache>
                <c:formatCode>#\ ##0.0</c:formatCode>
                <c:ptCount val="17"/>
                <c:pt idx="0">
                  <c:v>37.799999999999997</c:v>
                </c:pt>
                <c:pt idx="1">
                  <c:v>27.7</c:v>
                </c:pt>
                <c:pt idx="2">
                  <c:v>27.8</c:v>
                </c:pt>
                <c:pt idx="3">
                  <c:v>26.7</c:v>
                </c:pt>
                <c:pt idx="4">
                  <c:v>27</c:v>
                </c:pt>
                <c:pt idx="5">
                  <c:v>19.899999999999999</c:v>
                </c:pt>
                <c:pt idx="6">
                  <c:v>26.2</c:v>
                </c:pt>
                <c:pt idx="7">
                  <c:v>23.1</c:v>
                </c:pt>
                <c:pt idx="8">
                  <c:v>25.7</c:v>
                </c:pt>
                <c:pt idx="9">
                  <c:v>21.6</c:v>
                </c:pt>
                <c:pt idx="10">
                  <c:v>20.2</c:v>
                </c:pt>
                <c:pt idx="11">
                  <c:v>34.799999999999997</c:v>
                </c:pt>
                <c:pt idx="12">
                  <c:v>12</c:v>
                </c:pt>
                <c:pt idx="13">
                  <c:v>26</c:v>
                </c:pt>
                <c:pt idx="14">
                  <c:v>23</c:v>
                </c:pt>
                <c:pt idx="15">
                  <c:v>16.899999999999999</c:v>
                </c:pt>
                <c:pt idx="16">
                  <c:v>18.8</c:v>
                </c:pt>
              </c:numCache>
            </c:numRef>
          </c:val>
          <c:extLst>
            <c:ext xmlns:c16="http://schemas.microsoft.com/office/drawing/2014/chart" uri="{C3380CC4-5D6E-409C-BE32-E72D297353CC}">
              <c16:uniqueId val="{00000001-1201-4087-BDF7-A98D7EEA77A8}"/>
            </c:ext>
          </c:extLst>
        </c:ser>
        <c:dLbls>
          <c:showLegendKey val="0"/>
          <c:showVal val="0"/>
          <c:showCatName val="0"/>
          <c:showSerName val="0"/>
          <c:showPercent val="0"/>
          <c:showBubbleSize val="0"/>
        </c:dLbls>
        <c:gapWidth val="219"/>
        <c:overlap val="-27"/>
        <c:axId val="642329656"/>
        <c:axId val="642331224"/>
      </c:barChart>
      <c:catAx>
        <c:axId val="642329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42331224"/>
        <c:crosses val="autoZero"/>
        <c:auto val="1"/>
        <c:lblAlgn val="ctr"/>
        <c:lblOffset val="100"/>
        <c:noMultiLvlLbl val="0"/>
      </c:catAx>
      <c:valAx>
        <c:axId val="642331224"/>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42329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sz="1000"/>
              <a:t>obiekty                                                                                            </a:t>
            </a:r>
            <a:r>
              <a:rPr lang="pl-PL" sz="1000">
                <a:solidFill>
                  <a:schemeClr val="tx1"/>
                </a:solidFill>
              </a:rPr>
              <a:t>%</a:t>
            </a:r>
          </a:p>
        </c:rich>
      </c:tx>
      <c:layout>
        <c:manualLayout>
          <c:xMode val="edge"/>
          <c:yMode val="edge"/>
          <c:x val="0.17383597883597882"/>
          <c:y val="5.3425512371950833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TABLICA!$I$4</c:f>
              <c:strCache>
                <c:ptCount val="1"/>
                <c:pt idx="0">
                  <c:v>Turystyczne obiekty noclegowe </c:v>
                </c:pt>
              </c:strCache>
            </c:strRef>
          </c:tx>
          <c:spPr>
            <a:solidFill>
              <a:schemeClr val="accent5"/>
            </a:solidFill>
            <a:ln>
              <a:noFill/>
            </a:ln>
            <a:effectLst/>
          </c:spPr>
          <c:invertIfNegative val="0"/>
          <c:cat>
            <c:strRef>
              <c:f>TABLICA!$J$3:$O$3</c:f>
              <c:strCache>
                <c:ptCount val="6"/>
                <c:pt idx="0">
                  <c:v>2017</c:v>
                </c:pt>
                <c:pt idx="1">
                  <c:v>2018</c:v>
                </c:pt>
                <c:pt idx="2">
                  <c:v>2019</c:v>
                </c:pt>
                <c:pt idx="3">
                  <c:v>2020</c:v>
                </c:pt>
                <c:pt idx="4">
                  <c:v>2021</c:v>
                </c:pt>
                <c:pt idx="5">
                  <c:v>2022</c:v>
                </c:pt>
              </c:strCache>
            </c:strRef>
          </c:cat>
          <c:val>
            <c:numRef>
              <c:f>TABLICA!$J$4:$O$4</c:f>
              <c:numCache>
                <c:formatCode>#,##0</c:formatCode>
                <c:ptCount val="6"/>
                <c:pt idx="0">
                  <c:v>582</c:v>
                </c:pt>
                <c:pt idx="1">
                  <c:v>642</c:v>
                </c:pt>
                <c:pt idx="2">
                  <c:v>652</c:v>
                </c:pt>
                <c:pt idx="3">
                  <c:v>609</c:v>
                </c:pt>
                <c:pt idx="4">
                  <c:v>601</c:v>
                </c:pt>
                <c:pt idx="5">
                  <c:v>605</c:v>
                </c:pt>
              </c:numCache>
            </c:numRef>
          </c:val>
          <c:extLst>
            <c:ext xmlns:c16="http://schemas.microsoft.com/office/drawing/2014/chart" uri="{C3380CC4-5D6E-409C-BE32-E72D297353CC}">
              <c16:uniqueId val="{00000000-3D8A-438E-B1E9-D5C99E7C4D88}"/>
            </c:ext>
          </c:extLst>
        </c:ser>
        <c:dLbls>
          <c:showLegendKey val="0"/>
          <c:showVal val="0"/>
          <c:showCatName val="0"/>
          <c:showSerName val="0"/>
          <c:showPercent val="0"/>
          <c:showBubbleSize val="0"/>
        </c:dLbls>
        <c:gapWidth val="219"/>
        <c:overlap val="-27"/>
        <c:axId val="642324952"/>
        <c:axId val="642328088"/>
      </c:barChart>
      <c:lineChart>
        <c:grouping val="standard"/>
        <c:varyColors val="0"/>
        <c:ser>
          <c:idx val="1"/>
          <c:order val="1"/>
          <c:tx>
            <c:strRef>
              <c:f>TABLICA!$I$5</c:f>
              <c:strCache>
                <c:ptCount val="1"/>
                <c:pt idx="0">
                  <c:v>Stopień wykorzystania miejsc noclegowych </c:v>
                </c:pt>
              </c:strCache>
            </c:strRef>
          </c:tx>
          <c:spPr>
            <a:ln w="28575" cap="rnd">
              <a:solidFill>
                <a:schemeClr val="accent2"/>
              </a:solidFill>
              <a:round/>
            </a:ln>
            <a:effectLst/>
          </c:spPr>
          <c:marker>
            <c:symbol val="none"/>
          </c:marker>
          <c:cat>
            <c:strRef>
              <c:f>TABLICA!$J$3:$O$3</c:f>
              <c:strCache>
                <c:ptCount val="6"/>
                <c:pt idx="0">
                  <c:v>2017</c:v>
                </c:pt>
                <c:pt idx="1">
                  <c:v>2018</c:v>
                </c:pt>
                <c:pt idx="2">
                  <c:v>2019</c:v>
                </c:pt>
                <c:pt idx="3">
                  <c:v>2020</c:v>
                </c:pt>
                <c:pt idx="4">
                  <c:v>2021</c:v>
                </c:pt>
                <c:pt idx="5">
                  <c:v>2022</c:v>
                </c:pt>
              </c:strCache>
            </c:strRef>
          </c:cat>
          <c:val>
            <c:numRef>
              <c:f>TABLICA!$J$5:$O$5</c:f>
              <c:numCache>
                <c:formatCode>#\ ##0.0</c:formatCode>
                <c:ptCount val="6"/>
                <c:pt idx="0">
                  <c:v>34.6</c:v>
                </c:pt>
                <c:pt idx="1">
                  <c:v>34.799999999999997</c:v>
                </c:pt>
                <c:pt idx="2">
                  <c:v>34.799999999999997</c:v>
                </c:pt>
                <c:pt idx="3">
                  <c:v>25.4</c:v>
                </c:pt>
                <c:pt idx="4">
                  <c:v>28.8</c:v>
                </c:pt>
                <c:pt idx="5">
                  <c:v>35.200000000000003</c:v>
                </c:pt>
              </c:numCache>
            </c:numRef>
          </c:val>
          <c:smooth val="0"/>
          <c:extLst>
            <c:ext xmlns:c16="http://schemas.microsoft.com/office/drawing/2014/chart" uri="{C3380CC4-5D6E-409C-BE32-E72D297353CC}">
              <c16:uniqueId val="{00000001-3D8A-438E-B1E9-D5C99E7C4D88}"/>
            </c:ext>
          </c:extLst>
        </c:ser>
        <c:dLbls>
          <c:showLegendKey val="0"/>
          <c:showVal val="0"/>
          <c:showCatName val="0"/>
          <c:showSerName val="0"/>
          <c:showPercent val="0"/>
          <c:showBubbleSize val="0"/>
        </c:dLbls>
        <c:marker val="1"/>
        <c:smooth val="0"/>
        <c:axId val="642333184"/>
        <c:axId val="642323776"/>
      </c:lineChart>
      <c:catAx>
        <c:axId val="642324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42328088"/>
        <c:crosses val="autoZero"/>
        <c:auto val="1"/>
        <c:lblAlgn val="ctr"/>
        <c:lblOffset val="100"/>
        <c:noMultiLvlLbl val="0"/>
      </c:catAx>
      <c:valAx>
        <c:axId val="642328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42324952"/>
        <c:crosses val="autoZero"/>
        <c:crossBetween val="between"/>
      </c:valAx>
      <c:valAx>
        <c:axId val="642323776"/>
        <c:scaling>
          <c:orientation val="minMax"/>
        </c:scaling>
        <c:delete val="0"/>
        <c:axPos val="r"/>
        <c:numFmt formatCode="#\ ##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42333184"/>
        <c:crosses val="max"/>
        <c:crossBetween val="between"/>
      </c:valAx>
      <c:catAx>
        <c:axId val="642333184"/>
        <c:scaling>
          <c:orientation val="minMax"/>
        </c:scaling>
        <c:delete val="1"/>
        <c:axPos val="b"/>
        <c:numFmt formatCode="General" sourceLinked="1"/>
        <c:majorTickMark val="out"/>
        <c:minorTickMark val="none"/>
        <c:tickLblPos val="nextTo"/>
        <c:crossAx val="642323776"/>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Entry>
      <c:legendEntry>
        <c:idx val="1"/>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sz="1000"/>
              <a:t>%</a:t>
            </a:r>
            <a:endParaRPr lang="en-US" sz="1000"/>
          </a:p>
        </c:rich>
      </c:tx>
      <c:layout>
        <c:manualLayout>
          <c:xMode val="edge"/>
          <c:yMode val="edge"/>
          <c:x val="8.5489426139216687E-2"/>
          <c:y val="3.24072164323065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lineChart>
        <c:grouping val="standard"/>
        <c:varyColors val="0"/>
        <c:ser>
          <c:idx val="0"/>
          <c:order val="0"/>
          <c:tx>
            <c:strRef>
              <c:f>Turystyka!$H$15</c:f>
              <c:strCache>
                <c:ptCount val="1"/>
              </c:strCache>
            </c:strRef>
          </c:tx>
          <c:spPr>
            <a:ln w="28575" cap="rnd">
              <a:solidFill>
                <a:schemeClr val="accent1"/>
              </a:solidFill>
              <a:round/>
            </a:ln>
            <a:effectLst/>
          </c:spPr>
          <c:marker>
            <c:symbol val="none"/>
          </c:marker>
          <c:cat>
            <c:numRef>
              <c:f>Turystyka!$G$16:$G$20</c:f>
              <c:numCache>
                <c:formatCode>General</c:formatCode>
                <c:ptCount val="5"/>
                <c:pt idx="0">
                  <c:v>2017</c:v>
                </c:pt>
                <c:pt idx="1">
                  <c:v>2018</c:v>
                </c:pt>
                <c:pt idx="2">
                  <c:v>2019</c:v>
                </c:pt>
                <c:pt idx="3">
                  <c:v>2020</c:v>
                </c:pt>
                <c:pt idx="4">
                  <c:v>2021</c:v>
                </c:pt>
              </c:numCache>
            </c:numRef>
          </c:cat>
          <c:val>
            <c:numRef>
              <c:f>Turystyka!$H$16:$H$20</c:f>
              <c:numCache>
                <c:formatCode>0.0</c:formatCode>
                <c:ptCount val="5"/>
                <c:pt idx="0">
                  <c:v>97.8</c:v>
                </c:pt>
                <c:pt idx="1">
                  <c:v>97.7</c:v>
                </c:pt>
                <c:pt idx="2">
                  <c:v>97</c:v>
                </c:pt>
                <c:pt idx="3">
                  <c:v>104</c:v>
                </c:pt>
                <c:pt idx="4">
                  <c:v>93.5</c:v>
                </c:pt>
              </c:numCache>
            </c:numRef>
          </c:val>
          <c:smooth val="0"/>
          <c:extLst>
            <c:ext xmlns:c16="http://schemas.microsoft.com/office/drawing/2014/chart" uri="{C3380CC4-5D6E-409C-BE32-E72D297353CC}">
              <c16:uniqueId val="{00000000-5509-4209-BF4A-219AA28525BE}"/>
            </c:ext>
          </c:extLst>
        </c:ser>
        <c:dLbls>
          <c:showLegendKey val="0"/>
          <c:showVal val="0"/>
          <c:showCatName val="0"/>
          <c:showSerName val="0"/>
          <c:showPercent val="0"/>
          <c:showBubbleSize val="0"/>
        </c:dLbls>
        <c:smooth val="0"/>
        <c:axId val="642331616"/>
        <c:axId val="642328480"/>
      </c:lineChart>
      <c:catAx>
        <c:axId val="64233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42328480"/>
        <c:crosses val="autoZero"/>
        <c:auto val="1"/>
        <c:lblAlgn val="ctr"/>
        <c:lblOffset val="100"/>
        <c:noMultiLvlLbl val="0"/>
      </c:catAx>
      <c:valAx>
        <c:axId val="6423284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42331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sz="1000"/>
              <a:t>%</a:t>
            </a:r>
          </a:p>
        </c:rich>
      </c:tx>
      <c:layout>
        <c:manualLayout>
          <c:xMode val="edge"/>
          <c:yMode val="edge"/>
          <c:x val="6.4767060367454055E-2"/>
          <c:y val="3.2407407407407406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Turystyka!$N$13</c:f>
              <c:strCache>
                <c:ptCount val="1"/>
                <c:pt idx="0">
                  <c:v>Rentowność obrotu netto</c:v>
                </c:pt>
              </c:strCache>
            </c:strRef>
          </c:tx>
          <c:spPr>
            <a:solidFill>
              <a:schemeClr val="accent1"/>
            </a:solidFill>
            <a:ln>
              <a:noFill/>
            </a:ln>
            <a:effectLst/>
          </c:spPr>
          <c:invertIfNegative val="0"/>
          <c:cat>
            <c:numRef>
              <c:f>Turystyka!$M$14:$M$18</c:f>
              <c:numCache>
                <c:formatCode>General</c:formatCode>
                <c:ptCount val="5"/>
                <c:pt idx="0">
                  <c:v>2017</c:v>
                </c:pt>
                <c:pt idx="1">
                  <c:v>2018</c:v>
                </c:pt>
                <c:pt idx="2">
                  <c:v>2019</c:v>
                </c:pt>
                <c:pt idx="3">
                  <c:v>2020</c:v>
                </c:pt>
                <c:pt idx="4">
                  <c:v>2021</c:v>
                </c:pt>
              </c:numCache>
            </c:numRef>
          </c:cat>
          <c:val>
            <c:numRef>
              <c:f>Turystyka!$N$14:$N$18</c:f>
              <c:numCache>
                <c:formatCode>0.0</c:formatCode>
                <c:ptCount val="5"/>
                <c:pt idx="0">
                  <c:v>1.9</c:v>
                </c:pt>
                <c:pt idx="1">
                  <c:v>2</c:v>
                </c:pt>
                <c:pt idx="2">
                  <c:v>2.8</c:v>
                </c:pt>
                <c:pt idx="3">
                  <c:v>0</c:v>
                </c:pt>
                <c:pt idx="4">
                  <c:v>5.7</c:v>
                </c:pt>
              </c:numCache>
            </c:numRef>
          </c:val>
          <c:extLst>
            <c:ext xmlns:c16="http://schemas.microsoft.com/office/drawing/2014/chart" uri="{C3380CC4-5D6E-409C-BE32-E72D297353CC}">
              <c16:uniqueId val="{00000000-CEB8-4413-8863-608AC9F361AE}"/>
            </c:ext>
          </c:extLst>
        </c:ser>
        <c:ser>
          <c:idx val="1"/>
          <c:order val="1"/>
          <c:tx>
            <c:strRef>
              <c:f>Turystyka!$O$13</c:f>
              <c:strCache>
                <c:ptCount val="1"/>
                <c:pt idx="0">
                  <c:v>Rentowność aktywów</c:v>
                </c:pt>
              </c:strCache>
            </c:strRef>
          </c:tx>
          <c:spPr>
            <a:solidFill>
              <a:schemeClr val="accent2"/>
            </a:solidFill>
            <a:ln>
              <a:noFill/>
            </a:ln>
            <a:effectLst/>
          </c:spPr>
          <c:invertIfNegative val="0"/>
          <c:cat>
            <c:numRef>
              <c:f>Turystyka!$M$14:$M$18</c:f>
              <c:numCache>
                <c:formatCode>General</c:formatCode>
                <c:ptCount val="5"/>
                <c:pt idx="0">
                  <c:v>2017</c:v>
                </c:pt>
                <c:pt idx="1">
                  <c:v>2018</c:v>
                </c:pt>
                <c:pt idx="2">
                  <c:v>2019</c:v>
                </c:pt>
                <c:pt idx="3">
                  <c:v>2020</c:v>
                </c:pt>
                <c:pt idx="4">
                  <c:v>2021</c:v>
                </c:pt>
              </c:numCache>
            </c:numRef>
          </c:cat>
          <c:val>
            <c:numRef>
              <c:f>Turystyka!$O$14:$O$18</c:f>
              <c:numCache>
                <c:formatCode>0.0</c:formatCode>
                <c:ptCount val="5"/>
                <c:pt idx="0">
                  <c:v>1.3</c:v>
                </c:pt>
                <c:pt idx="1">
                  <c:v>1.3</c:v>
                </c:pt>
                <c:pt idx="2">
                  <c:v>2</c:v>
                </c:pt>
                <c:pt idx="3">
                  <c:v>0</c:v>
                </c:pt>
                <c:pt idx="4">
                  <c:v>4.5</c:v>
                </c:pt>
              </c:numCache>
            </c:numRef>
          </c:val>
          <c:extLst>
            <c:ext xmlns:c16="http://schemas.microsoft.com/office/drawing/2014/chart" uri="{C3380CC4-5D6E-409C-BE32-E72D297353CC}">
              <c16:uniqueId val="{00000001-CEB8-4413-8863-608AC9F361AE}"/>
            </c:ext>
          </c:extLst>
        </c:ser>
        <c:ser>
          <c:idx val="2"/>
          <c:order val="2"/>
          <c:tx>
            <c:strRef>
              <c:f>Turystyka!$P$13</c:f>
              <c:strCache>
                <c:ptCount val="1"/>
                <c:pt idx="0">
                  <c:v>Rentowność kapitału własnego</c:v>
                </c:pt>
              </c:strCache>
            </c:strRef>
          </c:tx>
          <c:spPr>
            <a:solidFill>
              <a:schemeClr val="accent3"/>
            </a:solidFill>
            <a:ln>
              <a:noFill/>
            </a:ln>
            <a:effectLst/>
          </c:spPr>
          <c:invertIfNegative val="0"/>
          <c:cat>
            <c:numRef>
              <c:f>Turystyka!$M$14:$M$18</c:f>
              <c:numCache>
                <c:formatCode>General</c:formatCode>
                <c:ptCount val="5"/>
                <c:pt idx="0">
                  <c:v>2017</c:v>
                </c:pt>
                <c:pt idx="1">
                  <c:v>2018</c:v>
                </c:pt>
                <c:pt idx="2">
                  <c:v>2019</c:v>
                </c:pt>
                <c:pt idx="3">
                  <c:v>2020</c:v>
                </c:pt>
                <c:pt idx="4">
                  <c:v>2021</c:v>
                </c:pt>
              </c:numCache>
            </c:numRef>
          </c:cat>
          <c:val>
            <c:numRef>
              <c:f>Turystyka!$P$14:$P$18</c:f>
              <c:numCache>
                <c:formatCode>0.0</c:formatCode>
                <c:ptCount val="5"/>
                <c:pt idx="0">
                  <c:v>2.7</c:v>
                </c:pt>
                <c:pt idx="1">
                  <c:v>2.6</c:v>
                </c:pt>
                <c:pt idx="2">
                  <c:v>3.8</c:v>
                </c:pt>
                <c:pt idx="3">
                  <c:v>0</c:v>
                </c:pt>
                <c:pt idx="4">
                  <c:v>10.6</c:v>
                </c:pt>
              </c:numCache>
            </c:numRef>
          </c:val>
          <c:extLst>
            <c:ext xmlns:c16="http://schemas.microsoft.com/office/drawing/2014/chart" uri="{C3380CC4-5D6E-409C-BE32-E72D297353CC}">
              <c16:uniqueId val="{00000002-CEB8-4413-8863-608AC9F361AE}"/>
            </c:ext>
          </c:extLst>
        </c:ser>
        <c:dLbls>
          <c:showLegendKey val="0"/>
          <c:showVal val="0"/>
          <c:showCatName val="0"/>
          <c:showSerName val="0"/>
          <c:showPercent val="0"/>
          <c:showBubbleSize val="0"/>
        </c:dLbls>
        <c:gapWidth val="219"/>
        <c:overlap val="-27"/>
        <c:axId val="642332400"/>
        <c:axId val="642333968"/>
      </c:barChart>
      <c:catAx>
        <c:axId val="64233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42333968"/>
        <c:crosses val="autoZero"/>
        <c:auto val="1"/>
        <c:lblAlgn val="ctr"/>
        <c:lblOffset val="100"/>
        <c:noMultiLvlLbl val="0"/>
      </c:catAx>
      <c:valAx>
        <c:axId val="6423339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4233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sz="1000"/>
              <a:t>zł</a:t>
            </a:r>
          </a:p>
        </c:rich>
      </c:tx>
      <c:layout>
        <c:manualLayout>
          <c:xMode val="edge"/>
          <c:yMode val="edge"/>
          <c:x val="0.15579839812841073"/>
          <c:y val="5.0827423167848697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Turystyka!$C$40</c:f>
              <c:strCache>
                <c:ptCount val="1"/>
                <c:pt idx="0">
                  <c:v>woj. podkarpackie</c:v>
                </c:pt>
              </c:strCache>
            </c:strRef>
          </c:tx>
          <c:spPr>
            <a:solidFill>
              <a:schemeClr val="accent1"/>
            </a:solidFill>
            <a:ln>
              <a:noFill/>
            </a:ln>
            <a:effectLst/>
          </c:spPr>
          <c:invertIfNegative val="0"/>
          <c:cat>
            <c:numRef>
              <c:f>Turystyka!$B$41:$B$45</c:f>
              <c:numCache>
                <c:formatCode>General</c:formatCode>
                <c:ptCount val="5"/>
                <c:pt idx="0">
                  <c:v>2017</c:v>
                </c:pt>
                <c:pt idx="1">
                  <c:v>2018</c:v>
                </c:pt>
                <c:pt idx="2">
                  <c:v>2019</c:v>
                </c:pt>
                <c:pt idx="3">
                  <c:v>2020</c:v>
                </c:pt>
                <c:pt idx="4">
                  <c:v>2021</c:v>
                </c:pt>
              </c:numCache>
            </c:numRef>
          </c:cat>
          <c:val>
            <c:numRef>
              <c:f>Turystyka!$C$41:$C$45</c:f>
              <c:numCache>
                <c:formatCode>General</c:formatCode>
                <c:ptCount val="5"/>
                <c:pt idx="0">
                  <c:v>4979581</c:v>
                </c:pt>
                <c:pt idx="1">
                  <c:v>4180418</c:v>
                </c:pt>
                <c:pt idx="2">
                  <c:v>4953862</c:v>
                </c:pt>
                <c:pt idx="3">
                  <c:v>5502601</c:v>
                </c:pt>
                <c:pt idx="4">
                  <c:v>7448912</c:v>
                </c:pt>
              </c:numCache>
            </c:numRef>
          </c:val>
          <c:extLst>
            <c:ext xmlns:c16="http://schemas.microsoft.com/office/drawing/2014/chart" uri="{C3380CC4-5D6E-409C-BE32-E72D297353CC}">
              <c16:uniqueId val="{00000000-49E6-414E-BA47-EAD48D922D47}"/>
            </c:ext>
          </c:extLst>
        </c:ser>
        <c:ser>
          <c:idx val="1"/>
          <c:order val="1"/>
          <c:tx>
            <c:strRef>
              <c:f>Turystyka!$D$40</c:f>
              <c:strCache>
                <c:ptCount val="1"/>
                <c:pt idx="0">
                  <c:v>Turystyka zrównoważona</c:v>
                </c:pt>
              </c:strCache>
            </c:strRef>
          </c:tx>
          <c:spPr>
            <a:solidFill>
              <a:schemeClr val="accent2"/>
            </a:solidFill>
            <a:ln>
              <a:noFill/>
            </a:ln>
            <a:effectLst/>
          </c:spPr>
          <c:invertIfNegative val="0"/>
          <c:cat>
            <c:numRef>
              <c:f>Turystyka!$B$41:$B$45</c:f>
              <c:numCache>
                <c:formatCode>General</c:formatCode>
                <c:ptCount val="5"/>
                <c:pt idx="0">
                  <c:v>2017</c:v>
                </c:pt>
                <c:pt idx="1">
                  <c:v>2018</c:v>
                </c:pt>
                <c:pt idx="2">
                  <c:v>2019</c:v>
                </c:pt>
                <c:pt idx="3">
                  <c:v>2020</c:v>
                </c:pt>
                <c:pt idx="4">
                  <c:v>2021</c:v>
                </c:pt>
              </c:numCache>
            </c:numRef>
          </c:cat>
          <c:val>
            <c:numRef>
              <c:f>Turystyka!$D$41:$D$45</c:f>
              <c:numCache>
                <c:formatCode>General</c:formatCode>
                <c:ptCount val="5"/>
                <c:pt idx="0">
                  <c:v>25599</c:v>
                </c:pt>
                <c:pt idx="1">
                  <c:v>28310</c:v>
                </c:pt>
                <c:pt idx="2">
                  <c:v>39397</c:v>
                </c:pt>
                <c:pt idx="3">
                  <c:v>0</c:v>
                </c:pt>
                <c:pt idx="4">
                  <c:v>96876</c:v>
                </c:pt>
              </c:numCache>
            </c:numRef>
          </c:val>
          <c:extLst>
            <c:ext xmlns:c16="http://schemas.microsoft.com/office/drawing/2014/chart" uri="{C3380CC4-5D6E-409C-BE32-E72D297353CC}">
              <c16:uniqueId val="{00000001-49E6-414E-BA47-EAD48D922D47}"/>
            </c:ext>
          </c:extLst>
        </c:ser>
        <c:dLbls>
          <c:showLegendKey val="0"/>
          <c:showVal val="0"/>
          <c:showCatName val="0"/>
          <c:showSerName val="0"/>
          <c:showPercent val="0"/>
          <c:showBubbleSize val="0"/>
        </c:dLbls>
        <c:gapWidth val="219"/>
        <c:overlap val="-27"/>
        <c:axId val="521883832"/>
        <c:axId val="521884224"/>
      </c:barChart>
      <c:catAx>
        <c:axId val="521883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521884224"/>
        <c:crosses val="autoZero"/>
        <c:auto val="1"/>
        <c:lblAlgn val="ctr"/>
        <c:lblOffset val="100"/>
        <c:noMultiLvlLbl val="0"/>
      </c:catAx>
      <c:valAx>
        <c:axId val="5218842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521883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sz="1000"/>
              <a:t>mln z</a:t>
            </a:r>
            <a:r>
              <a:rPr lang="pl-PL"/>
              <a:t>ł                                                                                         </a:t>
            </a:r>
            <a:r>
              <a:rPr lang="pl-PL" sz="1000"/>
              <a:t>%</a:t>
            </a:r>
          </a:p>
        </c:rich>
      </c:tx>
      <c:layout>
        <c:manualLayout>
          <c:xMode val="edge"/>
          <c:yMode val="edge"/>
          <c:x val="0.11209649147213489"/>
          <c:y val="5.978438936743645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Żywność!$E$13</c:f>
              <c:strCache>
                <c:ptCount val="1"/>
                <c:pt idx="0">
                  <c:v>Przychody z całokształtu działalności</c:v>
                </c:pt>
              </c:strCache>
            </c:strRef>
          </c:tx>
          <c:spPr>
            <a:solidFill>
              <a:schemeClr val="accent1"/>
            </a:solidFill>
            <a:ln>
              <a:noFill/>
            </a:ln>
            <a:effectLst/>
          </c:spPr>
          <c:invertIfNegative val="0"/>
          <c:cat>
            <c:numRef>
              <c:f>Żywność!$D$14:$D$18</c:f>
              <c:numCache>
                <c:formatCode>General</c:formatCode>
                <c:ptCount val="5"/>
                <c:pt idx="0">
                  <c:v>2017</c:v>
                </c:pt>
                <c:pt idx="1">
                  <c:v>2018</c:v>
                </c:pt>
                <c:pt idx="2">
                  <c:v>2019</c:v>
                </c:pt>
                <c:pt idx="3">
                  <c:v>2020</c:v>
                </c:pt>
                <c:pt idx="4">
                  <c:v>2021</c:v>
                </c:pt>
              </c:numCache>
            </c:numRef>
          </c:cat>
          <c:val>
            <c:numRef>
              <c:f>Żywność!$E$14:$E$18</c:f>
              <c:numCache>
                <c:formatCode>_(* #,##0.00_);_(* \(#,##0.00\);_(* "-"??_);_(@_)</c:formatCode>
                <c:ptCount val="5"/>
                <c:pt idx="0">
                  <c:v>3.66</c:v>
                </c:pt>
                <c:pt idx="1">
                  <c:v>3.87</c:v>
                </c:pt>
                <c:pt idx="2">
                  <c:v>3.74</c:v>
                </c:pt>
                <c:pt idx="3">
                  <c:v>3.52</c:v>
                </c:pt>
                <c:pt idx="4">
                  <c:v>3.85</c:v>
                </c:pt>
              </c:numCache>
            </c:numRef>
          </c:val>
          <c:extLst>
            <c:ext xmlns:c16="http://schemas.microsoft.com/office/drawing/2014/chart" uri="{C3380CC4-5D6E-409C-BE32-E72D297353CC}">
              <c16:uniqueId val="{00000000-7FE5-472D-8CAA-E47400DC7F8C}"/>
            </c:ext>
          </c:extLst>
        </c:ser>
        <c:ser>
          <c:idx val="1"/>
          <c:order val="1"/>
          <c:tx>
            <c:strRef>
              <c:f>Żywność!$F$13</c:f>
              <c:strCache>
                <c:ptCount val="1"/>
                <c:pt idx="0">
                  <c:v>Koszty uzyskania przychodów z całokształtu działalności</c:v>
                </c:pt>
              </c:strCache>
            </c:strRef>
          </c:tx>
          <c:spPr>
            <a:solidFill>
              <a:schemeClr val="accent2"/>
            </a:solidFill>
            <a:ln>
              <a:noFill/>
            </a:ln>
            <a:effectLst/>
          </c:spPr>
          <c:invertIfNegative val="0"/>
          <c:cat>
            <c:numRef>
              <c:f>Żywność!$D$14:$D$18</c:f>
              <c:numCache>
                <c:formatCode>General</c:formatCode>
                <c:ptCount val="5"/>
                <c:pt idx="0">
                  <c:v>2017</c:v>
                </c:pt>
                <c:pt idx="1">
                  <c:v>2018</c:v>
                </c:pt>
                <c:pt idx="2">
                  <c:v>2019</c:v>
                </c:pt>
                <c:pt idx="3">
                  <c:v>2020</c:v>
                </c:pt>
                <c:pt idx="4">
                  <c:v>2021</c:v>
                </c:pt>
              </c:numCache>
            </c:numRef>
          </c:cat>
          <c:val>
            <c:numRef>
              <c:f>Żywność!$F$14:$F$18</c:f>
              <c:numCache>
                <c:formatCode>_(* #,##0.00_);_(* \(#,##0.00\);_(* "-"??_);_(@_)</c:formatCode>
                <c:ptCount val="5"/>
                <c:pt idx="0">
                  <c:v>3.48</c:v>
                </c:pt>
                <c:pt idx="1">
                  <c:v>3.63</c:v>
                </c:pt>
                <c:pt idx="2">
                  <c:v>3.57</c:v>
                </c:pt>
                <c:pt idx="3">
                  <c:v>3.32</c:v>
                </c:pt>
                <c:pt idx="4">
                  <c:v>3.6</c:v>
                </c:pt>
              </c:numCache>
            </c:numRef>
          </c:val>
          <c:extLst>
            <c:ext xmlns:c16="http://schemas.microsoft.com/office/drawing/2014/chart" uri="{C3380CC4-5D6E-409C-BE32-E72D297353CC}">
              <c16:uniqueId val="{00000001-7FE5-472D-8CAA-E47400DC7F8C}"/>
            </c:ext>
          </c:extLst>
        </c:ser>
        <c:dLbls>
          <c:showLegendKey val="0"/>
          <c:showVal val="0"/>
          <c:showCatName val="0"/>
          <c:showSerName val="0"/>
          <c:showPercent val="0"/>
          <c:showBubbleSize val="0"/>
        </c:dLbls>
        <c:gapWidth val="219"/>
        <c:overlap val="-27"/>
        <c:axId val="521885400"/>
        <c:axId val="521885008"/>
      </c:barChart>
      <c:lineChart>
        <c:grouping val="standard"/>
        <c:varyColors val="0"/>
        <c:ser>
          <c:idx val="2"/>
          <c:order val="2"/>
          <c:tx>
            <c:strRef>
              <c:f>Żywność!$G$13</c:f>
              <c:strCache>
                <c:ptCount val="1"/>
                <c:pt idx="0">
                  <c:v>Wskaźnik poziomu kosztów z całokształtu działalności</c:v>
                </c:pt>
              </c:strCache>
            </c:strRef>
          </c:tx>
          <c:spPr>
            <a:ln w="28575" cap="rnd">
              <a:solidFill>
                <a:schemeClr val="accent3"/>
              </a:solidFill>
              <a:round/>
            </a:ln>
            <a:effectLst/>
          </c:spPr>
          <c:marker>
            <c:symbol val="none"/>
          </c:marker>
          <c:cat>
            <c:numRef>
              <c:f>Żywność!$D$14:$D$18</c:f>
              <c:numCache>
                <c:formatCode>General</c:formatCode>
                <c:ptCount val="5"/>
                <c:pt idx="0">
                  <c:v>2017</c:v>
                </c:pt>
                <c:pt idx="1">
                  <c:v>2018</c:v>
                </c:pt>
                <c:pt idx="2">
                  <c:v>2019</c:v>
                </c:pt>
                <c:pt idx="3">
                  <c:v>2020</c:v>
                </c:pt>
                <c:pt idx="4">
                  <c:v>2021</c:v>
                </c:pt>
              </c:numCache>
            </c:numRef>
          </c:cat>
          <c:val>
            <c:numRef>
              <c:f>Żywność!$G$14:$G$18</c:f>
              <c:numCache>
                <c:formatCode>0.0</c:formatCode>
                <c:ptCount val="5"/>
                <c:pt idx="0">
                  <c:v>95</c:v>
                </c:pt>
                <c:pt idx="1">
                  <c:v>93.9</c:v>
                </c:pt>
                <c:pt idx="2">
                  <c:v>95.6</c:v>
                </c:pt>
                <c:pt idx="3">
                  <c:v>94.1</c:v>
                </c:pt>
                <c:pt idx="4">
                  <c:v>93.5</c:v>
                </c:pt>
              </c:numCache>
            </c:numRef>
          </c:val>
          <c:smooth val="0"/>
          <c:extLst>
            <c:ext xmlns:c16="http://schemas.microsoft.com/office/drawing/2014/chart" uri="{C3380CC4-5D6E-409C-BE32-E72D297353CC}">
              <c16:uniqueId val="{00000002-7FE5-472D-8CAA-E47400DC7F8C}"/>
            </c:ext>
          </c:extLst>
        </c:ser>
        <c:dLbls>
          <c:showLegendKey val="0"/>
          <c:showVal val="0"/>
          <c:showCatName val="0"/>
          <c:showSerName val="0"/>
          <c:showPercent val="0"/>
          <c:showBubbleSize val="0"/>
        </c:dLbls>
        <c:marker val="1"/>
        <c:smooth val="0"/>
        <c:axId val="521886184"/>
        <c:axId val="521885792"/>
      </c:lineChart>
      <c:catAx>
        <c:axId val="521885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521885008"/>
        <c:crosses val="autoZero"/>
        <c:auto val="1"/>
        <c:lblAlgn val="ctr"/>
        <c:lblOffset val="100"/>
        <c:noMultiLvlLbl val="0"/>
      </c:catAx>
      <c:valAx>
        <c:axId val="5218850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521885400"/>
        <c:crosses val="autoZero"/>
        <c:crossBetween val="between"/>
      </c:valAx>
      <c:valAx>
        <c:axId val="521885792"/>
        <c:scaling>
          <c:orientation val="minMax"/>
          <c:max val="95.7"/>
          <c:min val="93"/>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521886184"/>
        <c:crosses val="max"/>
        <c:crossBetween val="between"/>
      </c:valAx>
      <c:catAx>
        <c:axId val="521886184"/>
        <c:scaling>
          <c:orientation val="minMax"/>
        </c:scaling>
        <c:delete val="1"/>
        <c:axPos val="b"/>
        <c:numFmt formatCode="General" sourceLinked="1"/>
        <c:majorTickMark val="out"/>
        <c:minorTickMark val="none"/>
        <c:tickLblPos val="nextTo"/>
        <c:crossAx val="5218857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sz="1000"/>
              <a:t>%</a:t>
            </a:r>
          </a:p>
        </c:rich>
      </c:tx>
      <c:layout>
        <c:manualLayout>
          <c:xMode val="edge"/>
          <c:yMode val="edge"/>
          <c:x val="6.2316079975297207E-2"/>
          <c:y val="3.347280334728033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Żywność!$S$13</c:f>
              <c:strCache>
                <c:ptCount val="1"/>
                <c:pt idx="0">
                  <c:v>Polska</c:v>
                </c:pt>
              </c:strCache>
            </c:strRef>
          </c:tx>
          <c:spPr>
            <a:solidFill>
              <a:schemeClr val="accent1"/>
            </a:solidFill>
            <a:ln>
              <a:noFill/>
            </a:ln>
            <a:effectLst/>
          </c:spPr>
          <c:invertIfNegative val="0"/>
          <c:cat>
            <c:numRef>
              <c:f>Żywność!$R$14:$R$18</c:f>
              <c:numCache>
                <c:formatCode>General</c:formatCode>
                <c:ptCount val="5"/>
                <c:pt idx="0">
                  <c:v>2017</c:v>
                </c:pt>
                <c:pt idx="1">
                  <c:v>2018</c:v>
                </c:pt>
                <c:pt idx="2">
                  <c:v>2019</c:v>
                </c:pt>
                <c:pt idx="3">
                  <c:v>2020</c:v>
                </c:pt>
                <c:pt idx="4">
                  <c:v>2021</c:v>
                </c:pt>
              </c:numCache>
            </c:numRef>
          </c:cat>
          <c:val>
            <c:numRef>
              <c:f>Żywność!$S$14:$S$18</c:f>
              <c:numCache>
                <c:formatCode>General</c:formatCode>
                <c:ptCount val="5"/>
                <c:pt idx="0" formatCode="0.0">
                  <c:v>23</c:v>
                </c:pt>
                <c:pt idx="1">
                  <c:v>22.8</c:v>
                </c:pt>
                <c:pt idx="2" formatCode="0.0">
                  <c:v>23</c:v>
                </c:pt>
                <c:pt idx="3">
                  <c:v>22.9</c:v>
                </c:pt>
                <c:pt idx="4">
                  <c:v>23.5</c:v>
                </c:pt>
              </c:numCache>
            </c:numRef>
          </c:val>
          <c:extLst>
            <c:ext xmlns:c16="http://schemas.microsoft.com/office/drawing/2014/chart" uri="{C3380CC4-5D6E-409C-BE32-E72D297353CC}">
              <c16:uniqueId val="{00000000-E532-4D77-B840-E8E1DD1BC559}"/>
            </c:ext>
          </c:extLst>
        </c:ser>
        <c:ser>
          <c:idx val="1"/>
          <c:order val="1"/>
          <c:tx>
            <c:strRef>
              <c:f>Żywność!$T$13</c:f>
              <c:strCache>
                <c:ptCount val="1"/>
                <c:pt idx="0">
                  <c:v>woj. podkarpackie</c:v>
                </c:pt>
              </c:strCache>
            </c:strRef>
          </c:tx>
          <c:spPr>
            <a:solidFill>
              <a:schemeClr val="accent2"/>
            </a:solidFill>
            <a:ln>
              <a:noFill/>
            </a:ln>
            <a:effectLst/>
          </c:spPr>
          <c:invertIfNegative val="0"/>
          <c:cat>
            <c:numRef>
              <c:f>Żywność!$R$14:$R$18</c:f>
              <c:numCache>
                <c:formatCode>General</c:formatCode>
                <c:ptCount val="5"/>
                <c:pt idx="0">
                  <c:v>2017</c:v>
                </c:pt>
                <c:pt idx="1">
                  <c:v>2018</c:v>
                </c:pt>
                <c:pt idx="2">
                  <c:v>2019</c:v>
                </c:pt>
                <c:pt idx="3">
                  <c:v>2020</c:v>
                </c:pt>
                <c:pt idx="4">
                  <c:v>2021</c:v>
                </c:pt>
              </c:numCache>
            </c:numRef>
          </c:cat>
          <c:val>
            <c:numRef>
              <c:f>Żywność!$T$14:$T$18</c:f>
              <c:numCache>
                <c:formatCode>General</c:formatCode>
                <c:ptCount val="5"/>
                <c:pt idx="0">
                  <c:v>23.5</c:v>
                </c:pt>
                <c:pt idx="1">
                  <c:v>24.2</c:v>
                </c:pt>
                <c:pt idx="2">
                  <c:v>24.3</c:v>
                </c:pt>
                <c:pt idx="3">
                  <c:v>23.2</c:v>
                </c:pt>
                <c:pt idx="4">
                  <c:v>24.4</c:v>
                </c:pt>
              </c:numCache>
            </c:numRef>
          </c:val>
          <c:extLst>
            <c:ext xmlns:c16="http://schemas.microsoft.com/office/drawing/2014/chart" uri="{C3380CC4-5D6E-409C-BE32-E72D297353CC}">
              <c16:uniqueId val="{00000001-E532-4D77-B840-E8E1DD1BC559}"/>
            </c:ext>
          </c:extLst>
        </c:ser>
        <c:ser>
          <c:idx val="2"/>
          <c:order val="2"/>
          <c:tx>
            <c:strRef>
              <c:f>Żywność!$U$13</c:f>
              <c:strCache>
                <c:ptCount val="1"/>
                <c:pt idx="0">
                  <c:v>Żywność wysokiej jakości</c:v>
                </c:pt>
              </c:strCache>
            </c:strRef>
          </c:tx>
          <c:spPr>
            <a:solidFill>
              <a:schemeClr val="accent3"/>
            </a:solidFill>
            <a:ln>
              <a:noFill/>
            </a:ln>
            <a:effectLst/>
          </c:spPr>
          <c:invertIfNegative val="0"/>
          <c:cat>
            <c:numRef>
              <c:f>Żywność!$R$14:$R$18</c:f>
              <c:numCache>
                <c:formatCode>General</c:formatCode>
                <c:ptCount val="5"/>
                <c:pt idx="0">
                  <c:v>2017</c:v>
                </c:pt>
                <c:pt idx="1">
                  <c:v>2018</c:v>
                </c:pt>
                <c:pt idx="2">
                  <c:v>2019</c:v>
                </c:pt>
                <c:pt idx="3">
                  <c:v>2020</c:v>
                </c:pt>
                <c:pt idx="4">
                  <c:v>2021</c:v>
                </c:pt>
              </c:numCache>
            </c:numRef>
          </c:cat>
          <c:val>
            <c:numRef>
              <c:f>Żywność!$U$14:$U$18</c:f>
              <c:numCache>
                <c:formatCode>0.0</c:formatCode>
                <c:ptCount val="5"/>
                <c:pt idx="0">
                  <c:v>23.1</c:v>
                </c:pt>
                <c:pt idx="1">
                  <c:v>24.3</c:v>
                </c:pt>
                <c:pt idx="2">
                  <c:v>23.3</c:v>
                </c:pt>
                <c:pt idx="3">
                  <c:v>15.1</c:v>
                </c:pt>
                <c:pt idx="4">
                  <c:v>28.3</c:v>
                </c:pt>
              </c:numCache>
            </c:numRef>
          </c:val>
          <c:extLst>
            <c:ext xmlns:c16="http://schemas.microsoft.com/office/drawing/2014/chart" uri="{C3380CC4-5D6E-409C-BE32-E72D297353CC}">
              <c16:uniqueId val="{00000002-E532-4D77-B840-E8E1DD1BC559}"/>
            </c:ext>
          </c:extLst>
        </c:ser>
        <c:dLbls>
          <c:showLegendKey val="0"/>
          <c:showVal val="0"/>
          <c:showCatName val="0"/>
          <c:showSerName val="0"/>
          <c:showPercent val="0"/>
          <c:showBubbleSize val="0"/>
        </c:dLbls>
        <c:gapWidth val="219"/>
        <c:overlap val="-27"/>
        <c:axId val="521881088"/>
        <c:axId val="521883048"/>
      </c:barChart>
      <c:catAx>
        <c:axId val="52188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521883048"/>
        <c:crosses val="autoZero"/>
        <c:auto val="1"/>
        <c:lblAlgn val="ctr"/>
        <c:lblOffset val="100"/>
        <c:noMultiLvlLbl val="0"/>
      </c:catAx>
      <c:valAx>
        <c:axId val="521883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52188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sz="1000"/>
              <a:t>%</a:t>
            </a:r>
          </a:p>
        </c:rich>
      </c:tx>
      <c:layout>
        <c:manualLayout>
          <c:xMode val="edge"/>
          <c:yMode val="edge"/>
          <c:x val="6.1381381381381411E-2"/>
          <c:y val="3.2407407407407406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Żywność!$M$13</c:f>
              <c:strCache>
                <c:ptCount val="1"/>
                <c:pt idx="0">
                  <c:v>Rentowność sprzedaży</c:v>
                </c:pt>
              </c:strCache>
            </c:strRef>
          </c:tx>
          <c:spPr>
            <a:solidFill>
              <a:schemeClr val="accent1"/>
            </a:solidFill>
            <a:ln>
              <a:noFill/>
            </a:ln>
            <a:effectLst/>
          </c:spPr>
          <c:invertIfNegative val="0"/>
          <c:cat>
            <c:numRef>
              <c:f>Żywność!$L$14:$L$18</c:f>
              <c:numCache>
                <c:formatCode>General</c:formatCode>
                <c:ptCount val="5"/>
                <c:pt idx="0">
                  <c:v>2017</c:v>
                </c:pt>
                <c:pt idx="1">
                  <c:v>2018</c:v>
                </c:pt>
                <c:pt idx="2">
                  <c:v>2019</c:v>
                </c:pt>
                <c:pt idx="3">
                  <c:v>2020</c:v>
                </c:pt>
                <c:pt idx="4">
                  <c:v>2021</c:v>
                </c:pt>
              </c:numCache>
            </c:numRef>
          </c:cat>
          <c:val>
            <c:numRef>
              <c:f>Żywność!$M$14:$M$18</c:f>
              <c:numCache>
                <c:formatCode>0.0</c:formatCode>
                <c:ptCount val="5"/>
                <c:pt idx="0">
                  <c:v>4.2</c:v>
                </c:pt>
                <c:pt idx="1">
                  <c:v>6.2</c:v>
                </c:pt>
                <c:pt idx="2">
                  <c:v>5.0999999999999996</c:v>
                </c:pt>
                <c:pt idx="3">
                  <c:v>5.7</c:v>
                </c:pt>
                <c:pt idx="4">
                  <c:v>5.5</c:v>
                </c:pt>
              </c:numCache>
            </c:numRef>
          </c:val>
          <c:extLst>
            <c:ext xmlns:c16="http://schemas.microsoft.com/office/drawing/2014/chart" uri="{C3380CC4-5D6E-409C-BE32-E72D297353CC}">
              <c16:uniqueId val="{00000000-5C77-4FDC-B929-4F5F683A3481}"/>
            </c:ext>
          </c:extLst>
        </c:ser>
        <c:ser>
          <c:idx val="1"/>
          <c:order val="1"/>
          <c:tx>
            <c:strRef>
              <c:f>Żywność!$N$13</c:f>
              <c:strCache>
                <c:ptCount val="1"/>
                <c:pt idx="0">
                  <c:v>Rentowność aktywów</c:v>
                </c:pt>
              </c:strCache>
            </c:strRef>
          </c:tx>
          <c:spPr>
            <a:solidFill>
              <a:schemeClr val="accent2"/>
            </a:solidFill>
            <a:ln>
              <a:noFill/>
            </a:ln>
            <a:effectLst/>
          </c:spPr>
          <c:invertIfNegative val="0"/>
          <c:cat>
            <c:numRef>
              <c:f>Żywność!$L$14:$L$18</c:f>
              <c:numCache>
                <c:formatCode>General</c:formatCode>
                <c:ptCount val="5"/>
                <c:pt idx="0">
                  <c:v>2017</c:v>
                </c:pt>
                <c:pt idx="1">
                  <c:v>2018</c:v>
                </c:pt>
                <c:pt idx="2">
                  <c:v>2019</c:v>
                </c:pt>
                <c:pt idx="3">
                  <c:v>2020</c:v>
                </c:pt>
                <c:pt idx="4">
                  <c:v>2021</c:v>
                </c:pt>
              </c:numCache>
            </c:numRef>
          </c:cat>
          <c:val>
            <c:numRef>
              <c:f>Żywność!$N$14:$N$18</c:f>
              <c:numCache>
                <c:formatCode>0.0</c:formatCode>
                <c:ptCount val="5"/>
                <c:pt idx="0">
                  <c:v>5.8</c:v>
                </c:pt>
                <c:pt idx="1">
                  <c:v>7.4</c:v>
                </c:pt>
                <c:pt idx="2">
                  <c:v>4.9000000000000004</c:v>
                </c:pt>
                <c:pt idx="3">
                  <c:v>6.2</c:v>
                </c:pt>
                <c:pt idx="4">
                  <c:v>6.8</c:v>
                </c:pt>
              </c:numCache>
            </c:numRef>
          </c:val>
          <c:extLst>
            <c:ext xmlns:c16="http://schemas.microsoft.com/office/drawing/2014/chart" uri="{C3380CC4-5D6E-409C-BE32-E72D297353CC}">
              <c16:uniqueId val="{00000001-5C77-4FDC-B929-4F5F683A3481}"/>
            </c:ext>
          </c:extLst>
        </c:ser>
        <c:ser>
          <c:idx val="2"/>
          <c:order val="2"/>
          <c:tx>
            <c:strRef>
              <c:f>Żywność!$O$13</c:f>
              <c:strCache>
                <c:ptCount val="1"/>
                <c:pt idx="0">
                  <c:v>Rentowność kapitału własnego</c:v>
                </c:pt>
              </c:strCache>
            </c:strRef>
          </c:tx>
          <c:spPr>
            <a:solidFill>
              <a:schemeClr val="accent3"/>
            </a:solidFill>
            <a:ln>
              <a:noFill/>
            </a:ln>
            <a:effectLst/>
          </c:spPr>
          <c:invertIfNegative val="0"/>
          <c:cat>
            <c:numRef>
              <c:f>Żywność!$L$14:$L$18</c:f>
              <c:numCache>
                <c:formatCode>General</c:formatCode>
                <c:ptCount val="5"/>
                <c:pt idx="0">
                  <c:v>2017</c:v>
                </c:pt>
                <c:pt idx="1">
                  <c:v>2018</c:v>
                </c:pt>
                <c:pt idx="2">
                  <c:v>2019</c:v>
                </c:pt>
                <c:pt idx="3">
                  <c:v>2020</c:v>
                </c:pt>
                <c:pt idx="4">
                  <c:v>2021</c:v>
                </c:pt>
              </c:numCache>
            </c:numRef>
          </c:cat>
          <c:val>
            <c:numRef>
              <c:f>Żywność!$O$14:$O$18</c:f>
              <c:numCache>
                <c:formatCode>0.0</c:formatCode>
                <c:ptCount val="5"/>
                <c:pt idx="0">
                  <c:v>11.4</c:v>
                </c:pt>
                <c:pt idx="1">
                  <c:v>14.1</c:v>
                </c:pt>
                <c:pt idx="2">
                  <c:v>9.6</c:v>
                </c:pt>
                <c:pt idx="3">
                  <c:v>11.3</c:v>
                </c:pt>
                <c:pt idx="4">
                  <c:v>12.4</c:v>
                </c:pt>
              </c:numCache>
            </c:numRef>
          </c:val>
          <c:extLst>
            <c:ext xmlns:c16="http://schemas.microsoft.com/office/drawing/2014/chart" uri="{C3380CC4-5D6E-409C-BE32-E72D297353CC}">
              <c16:uniqueId val="{00000002-5C77-4FDC-B929-4F5F683A3481}"/>
            </c:ext>
          </c:extLst>
        </c:ser>
        <c:dLbls>
          <c:showLegendKey val="0"/>
          <c:showVal val="0"/>
          <c:showCatName val="0"/>
          <c:showSerName val="0"/>
          <c:showPercent val="0"/>
          <c:showBubbleSize val="0"/>
        </c:dLbls>
        <c:gapWidth val="219"/>
        <c:overlap val="-27"/>
        <c:axId val="521882656"/>
        <c:axId val="521879912"/>
      </c:barChart>
      <c:catAx>
        <c:axId val="52188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521879912"/>
        <c:crosses val="autoZero"/>
        <c:auto val="1"/>
        <c:lblAlgn val="ctr"/>
        <c:lblOffset val="100"/>
        <c:noMultiLvlLbl val="0"/>
      </c:catAx>
      <c:valAx>
        <c:axId val="5218799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521882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Żywność!$C$38</c:f>
              <c:strCache>
                <c:ptCount val="1"/>
                <c:pt idx="0">
                  <c:v>Polska</c:v>
                </c:pt>
              </c:strCache>
            </c:strRef>
          </c:tx>
          <c:spPr>
            <a:ln w="28575" cap="rnd">
              <a:solidFill>
                <a:schemeClr val="accent1"/>
              </a:solidFill>
              <a:round/>
            </a:ln>
            <a:effectLst/>
          </c:spPr>
          <c:marker>
            <c:symbol val="none"/>
          </c:marker>
          <c:cat>
            <c:numRef>
              <c:f>Żywność!$B$39:$B$42</c:f>
              <c:numCache>
                <c:formatCode>General</c:formatCode>
                <c:ptCount val="4"/>
                <c:pt idx="0">
                  <c:v>2018</c:v>
                </c:pt>
                <c:pt idx="1">
                  <c:v>2019</c:v>
                </c:pt>
                <c:pt idx="2">
                  <c:v>2020</c:v>
                </c:pt>
                <c:pt idx="3">
                  <c:v>2021</c:v>
                </c:pt>
              </c:numCache>
            </c:numRef>
          </c:cat>
          <c:val>
            <c:numRef>
              <c:f>Żywność!$C$39:$C$42</c:f>
              <c:numCache>
                <c:formatCode>General</c:formatCode>
                <c:ptCount val="4"/>
                <c:pt idx="0">
                  <c:v>93.8</c:v>
                </c:pt>
                <c:pt idx="1">
                  <c:v>96.3</c:v>
                </c:pt>
                <c:pt idx="2">
                  <c:v>97.5</c:v>
                </c:pt>
                <c:pt idx="3">
                  <c:v>189.8</c:v>
                </c:pt>
              </c:numCache>
            </c:numRef>
          </c:val>
          <c:smooth val="0"/>
          <c:extLst>
            <c:ext xmlns:c16="http://schemas.microsoft.com/office/drawing/2014/chart" uri="{C3380CC4-5D6E-409C-BE32-E72D297353CC}">
              <c16:uniqueId val="{00000000-4F86-4C51-BA6A-50362BC6C235}"/>
            </c:ext>
          </c:extLst>
        </c:ser>
        <c:ser>
          <c:idx val="1"/>
          <c:order val="1"/>
          <c:tx>
            <c:strRef>
              <c:f>Żywność!$D$38</c:f>
              <c:strCache>
                <c:ptCount val="1"/>
                <c:pt idx="0">
                  <c:v>woj. podkarpackie</c:v>
                </c:pt>
              </c:strCache>
            </c:strRef>
          </c:tx>
          <c:spPr>
            <a:ln w="28575" cap="rnd">
              <a:solidFill>
                <a:schemeClr val="accent2"/>
              </a:solidFill>
              <a:round/>
            </a:ln>
            <a:effectLst/>
          </c:spPr>
          <c:marker>
            <c:symbol val="none"/>
          </c:marker>
          <c:cat>
            <c:numRef>
              <c:f>Żywność!$B$39:$B$42</c:f>
              <c:numCache>
                <c:formatCode>General</c:formatCode>
                <c:ptCount val="4"/>
                <c:pt idx="0">
                  <c:v>2018</c:v>
                </c:pt>
                <c:pt idx="1">
                  <c:v>2019</c:v>
                </c:pt>
                <c:pt idx="2">
                  <c:v>2020</c:v>
                </c:pt>
                <c:pt idx="3">
                  <c:v>2021</c:v>
                </c:pt>
              </c:numCache>
            </c:numRef>
          </c:cat>
          <c:val>
            <c:numRef>
              <c:f>Żywność!$D$39:$D$42</c:f>
              <c:numCache>
                <c:formatCode>General</c:formatCode>
                <c:ptCount val="4"/>
                <c:pt idx="0">
                  <c:v>83.9</c:v>
                </c:pt>
                <c:pt idx="1">
                  <c:v>118.5</c:v>
                </c:pt>
                <c:pt idx="2">
                  <c:v>111.1</c:v>
                </c:pt>
                <c:pt idx="3">
                  <c:v>135.4</c:v>
                </c:pt>
              </c:numCache>
            </c:numRef>
          </c:val>
          <c:smooth val="0"/>
          <c:extLst>
            <c:ext xmlns:c16="http://schemas.microsoft.com/office/drawing/2014/chart" uri="{C3380CC4-5D6E-409C-BE32-E72D297353CC}">
              <c16:uniqueId val="{00000001-4F86-4C51-BA6A-50362BC6C235}"/>
            </c:ext>
          </c:extLst>
        </c:ser>
        <c:ser>
          <c:idx val="2"/>
          <c:order val="2"/>
          <c:tx>
            <c:strRef>
              <c:f>Żywność!$E$38</c:f>
              <c:strCache>
                <c:ptCount val="1"/>
                <c:pt idx="0">
                  <c:v>Żywność wysokiej jakości</c:v>
                </c:pt>
              </c:strCache>
            </c:strRef>
          </c:tx>
          <c:spPr>
            <a:ln w="28575" cap="rnd">
              <a:solidFill>
                <a:schemeClr val="accent3"/>
              </a:solidFill>
              <a:round/>
            </a:ln>
            <a:effectLst/>
          </c:spPr>
          <c:marker>
            <c:symbol val="none"/>
          </c:marker>
          <c:cat>
            <c:numRef>
              <c:f>Żywność!$B$39:$B$42</c:f>
              <c:numCache>
                <c:formatCode>General</c:formatCode>
                <c:ptCount val="4"/>
                <c:pt idx="0">
                  <c:v>2018</c:v>
                </c:pt>
                <c:pt idx="1">
                  <c:v>2019</c:v>
                </c:pt>
                <c:pt idx="2">
                  <c:v>2020</c:v>
                </c:pt>
                <c:pt idx="3">
                  <c:v>2021</c:v>
                </c:pt>
              </c:numCache>
            </c:numRef>
          </c:cat>
          <c:val>
            <c:numRef>
              <c:f>Żywność!$E$39:$E$42</c:f>
              <c:numCache>
                <c:formatCode>General</c:formatCode>
                <c:ptCount val="4"/>
                <c:pt idx="0">
                  <c:v>133.1</c:v>
                </c:pt>
                <c:pt idx="1">
                  <c:v>66.099999999999994</c:v>
                </c:pt>
                <c:pt idx="2">
                  <c:v>126.6</c:v>
                </c:pt>
                <c:pt idx="3">
                  <c:v>120.6</c:v>
                </c:pt>
              </c:numCache>
            </c:numRef>
          </c:val>
          <c:smooth val="0"/>
          <c:extLst>
            <c:ext xmlns:c16="http://schemas.microsoft.com/office/drawing/2014/chart" uri="{C3380CC4-5D6E-409C-BE32-E72D297353CC}">
              <c16:uniqueId val="{00000002-4F86-4C51-BA6A-50362BC6C235}"/>
            </c:ext>
          </c:extLst>
        </c:ser>
        <c:dLbls>
          <c:showLegendKey val="0"/>
          <c:showVal val="0"/>
          <c:showCatName val="0"/>
          <c:showSerName val="0"/>
          <c:showPercent val="0"/>
          <c:showBubbleSize val="0"/>
        </c:dLbls>
        <c:smooth val="0"/>
        <c:axId val="521879520"/>
        <c:axId val="521880304"/>
      </c:lineChart>
      <c:catAx>
        <c:axId val="521879520"/>
        <c:scaling>
          <c:orientation val="minMax"/>
        </c:scaling>
        <c:delete val="0"/>
        <c:axPos val="b"/>
        <c:numFmt formatCode="General" sourceLinked="1"/>
        <c:majorTickMark val="none"/>
        <c:minorTickMark val="none"/>
        <c:tickLblPos val="low"/>
        <c:spPr>
          <a:noFill/>
          <a:ln w="19050" cap="flat" cmpd="sng" algn="ctr">
            <a:solidFill>
              <a:schemeClr val="tx1">
                <a:lumMod val="65000"/>
                <a:lumOff val="3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521880304"/>
        <c:crossesAt val="100"/>
        <c:auto val="1"/>
        <c:lblAlgn val="ctr"/>
        <c:lblOffset val="100"/>
        <c:noMultiLvlLbl val="0"/>
      </c:catAx>
      <c:valAx>
        <c:axId val="521880304"/>
        <c:scaling>
          <c:orientation val="minMax"/>
          <c:min val="6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52187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Żywność!$C$61</c:f>
              <c:strCache>
                <c:ptCount val="1"/>
                <c:pt idx="0">
                  <c:v>woj. podakrpackie</c:v>
                </c:pt>
              </c:strCache>
            </c:strRef>
          </c:tx>
          <c:spPr>
            <a:ln w="28575" cap="rnd">
              <a:solidFill>
                <a:schemeClr val="accent1"/>
              </a:solidFill>
              <a:round/>
            </a:ln>
            <a:effectLst/>
          </c:spPr>
          <c:marker>
            <c:symbol val="none"/>
          </c:marker>
          <c:cat>
            <c:numRef>
              <c:f>Żywność!$B$62:$B$65</c:f>
              <c:numCache>
                <c:formatCode>General</c:formatCode>
                <c:ptCount val="4"/>
                <c:pt idx="0">
                  <c:v>2018</c:v>
                </c:pt>
                <c:pt idx="1">
                  <c:v>2019</c:v>
                </c:pt>
                <c:pt idx="2">
                  <c:v>2020</c:v>
                </c:pt>
                <c:pt idx="3">
                  <c:v>2021</c:v>
                </c:pt>
              </c:numCache>
            </c:numRef>
          </c:cat>
          <c:val>
            <c:numRef>
              <c:f>Żywność!$C$62:$C$65</c:f>
              <c:numCache>
                <c:formatCode>General</c:formatCode>
                <c:ptCount val="4"/>
                <c:pt idx="0">
                  <c:v>103.7</c:v>
                </c:pt>
                <c:pt idx="1">
                  <c:v>99.8</c:v>
                </c:pt>
                <c:pt idx="2">
                  <c:v>94</c:v>
                </c:pt>
                <c:pt idx="3">
                  <c:v>100.8</c:v>
                </c:pt>
              </c:numCache>
            </c:numRef>
          </c:val>
          <c:smooth val="0"/>
          <c:extLst>
            <c:ext xmlns:c16="http://schemas.microsoft.com/office/drawing/2014/chart" uri="{C3380CC4-5D6E-409C-BE32-E72D297353CC}">
              <c16:uniqueId val="{00000000-5418-4C1D-B5DC-BCB06AF2705D}"/>
            </c:ext>
          </c:extLst>
        </c:ser>
        <c:ser>
          <c:idx val="1"/>
          <c:order val="1"/>
          <c:tx>
            <c:strRef>
              <c:f>Żywność!$D$61</c:f>
              <c:strCache>
                <c:ptCount val="1"/>
                <c:pt idx="0">
                  <c:v>Żywność wysokiej jakości</c:v>
                </c:pt>
              </c:strCache>
            </c:strRef>
          </c:tx>
          <c:spPr>
            <a:ln w="28575" cap="rnd">
              <a:solidFill>
                <a:schemeClr val="accent2"/>
              </a:solidFill>
              <a:round/>
            </a:ln>
            <a:effectLst/>
          </c:spPr>
          <c:marker>
            <c:symbol val="none"/>
          </c:marker>
          <c:cat>
            <c:numRef>
              <c:f>Żywność!$B$62:$B$65</c:f>
              <c:numCache>
                <c:formatCode>General</c:formatCode>
                <c:ptCount val="4"/>
                <c:pt idx="0">
                  <c:v>2018</c:v>
                </c:pt>
                <c:pt idx="1">
                  <c:v>2019</c:v>
                </c:pt>
                <c:pt idx="2">
                  <c:v>2020</c:v>
                </c:pt>
                <c:pt idx="3">
                  <c:v>2021</c:v>
                </c:pt>
              </c:numCache>
            </c:numRef>
          </c:cat>
          <c:val>
            <c:numRef>
              <c:f>Żywność!$D$62:$D$65</c:f>
              <c:numCache>
                <c:formatCode>General</c:formatCode>
                <c:ptCount val="4"/>
                <c:pt idx="0">
                  <c:v>100.8</c:v>
                </c:pt>
                <c:pt idx="1">
                  <c:v>95.5</c:v>
                </c:pt>
                <c:pt idx="2">
                  <c:v>93.2</c:v>
                </c:pt>
                <c:pt idx="3">
                  <c:v>99.9</c:v>
                </c:pt>
              </c:numCache>
            </c:numRef>
          </c:val>
          <c:smooth val="0"/>
          <c:extLst>
            <c:ext xmlns:c16="http://schemas.microsoft.com/office/drawing/2014/chart" uri="{C3380CC4-5D6E-409C-BE32-E72D297353CC}">
              <c16:uniqueId val="{00000001-5418-4C1D-B5DC-BCB06AF2705D}"/>
            </c:ext>
          </c:extLst>
        </c:ser>
        <c:dLbls>
          <c:showLegendKey val="0"/>
          <c:showVal val="0"/>
          <c:showCatName val="0"/>
          <c:showSerName val="0"/>
          <c:showPercent val="0"/>
          <c:showBubbleSize val="0"/>
        </c:dLbls>
        <c:smooth val="0"/>
        <c:axId val="521883440"/>
        <c:axId val="521881872"/>
      </c:lineChart>
      <c:catAx>
        <c:axId val="521883440"/>
        <c:scaling>
          <c:orientation val="minMax"/>
        </c:scaling>
        <c:delete val="0"/>
        <c:axPos val="b"/>
        <c:numFmt formatCode="General" sourceLinked="1"/>
        <c:majorTickMark val="none"/>
        <c:minorTickMark val="none"/>
        <c:tickLblPos val="low"/>
        <c:spPr>
          <a:noFill/>
          <a:ln w="19050" cap="flat" cmpd="sng" algn="ctr">
            <a:solidFill>
              <a:schemeClr val="tx1">
                <a:lumMod val="65000"/>
                <a:lumOff val="3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521881872"/>
        <c:crossesAt val="100"/>
        <c:auto val="1"/>
        <c:lblAlgn val="ctr"/>
        <c:lblOffset val="100"/>
        <c:noMultiLvlLbl val="0"/>
      </c:catAx>
      <c:valAx>
        <c:axId val="521881872"/>
        <c:scaling>
          <c:orientation val="minMax"/>
          <c:min val="92"/>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52188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w programie Microsoft Word]TABLICA'!$C$23</c:f>
              <c:strCache>
                <c:ptCount val="1"/>
                <c:pt idx="0">
                  <c:v>2017</c:v>
                </c:pt>
              </c:strCache>
            </c:strRef>
          </c:tx>
          <c:spPr>
            <a:solidFill>
              <a:schemeClr val="accent1"/>
            </a:solidFill>
            <a:ln>
              <a:noFill/>
            </a:ln>
            <a:effectLst/>
          </c:spPr>
          <c:invertIfNegative val="0"/>
          <c:cat>
            <c:strRef>
              <c:f>'[Wykres w programie Microsoft Word]TABLICA'!$B$24:$B$40</c:f>
              <c:strCache>
                <c:ptCount val="17"/>
                <c:pt idx="0">
                  <c:v>Lubelskie</c:v>
                </c:pt>
                <c:pt idx="1">
                  <c:v>Podkarpackie</c:v>
                </c:pt>
                <c:pt idx="2">
                  <c:v>Małopolskie</c:v>
                </c:pt>
                <c:pt idx="3">
                  <c:v>Mazowieckie</c:v>
                </c:pt>
                <c:pt idx="4">
                  <c:v>Zachodniopomorskie</c:v>
                </c:pt>
                <c:pt idx="5">
                  <c:v>Łódzkie</c:v>
                </c:pt>
                <c:pt idx="6">
                  <c:v>Opolskie</c:v>
                </c:pt>
                <c:pt idx="7">
                  <c:v>Śląskie</c:v>
                </c:pt>
                <c:pt idx="8">
                  <c:v>Polska</c:v>
                </c:pt>
                <c:pt idx="9">
                  <c:v>Wielkopolskie</c:v>
                </c:pt>
                <c:pt idx="10">
                  <c:v>Pomorskie</c:v>
                </c:pt>
                <c:pt idx="11">
                  <c:v>Podlaskie</c:v>
                </c:pt>
                <c:pt idx="12">
                  <c:v>Dolnośląskie</c:v>
                </c:pt>
                <c:pt idx="13">
                  <c:v>Świętokrzyskie</c:v>
                </c:pt>
                <c:pt idx="14">
                  <c:v>Kujawsko-Pomorskie</c:v>
                </c:pt>
                <c:pt idx="15">
                  <c:v>Lubuskie</c:v>
                </c:pt>
                <c:pt idx="16">
                  <c:v>Warmińsko-Mazurskie</c:v>
                </c:pt>
              </c:strCache>
            </c:strRef>
          </c:cat>
          <c:val>
            <c:numRef>
              <c:f>'[Wykres w programie Microsoft Word]TABLICA'!$C$24:$C$40</c:f>
              <c:numCache>
                <c:formatCode>#\ ##0.0</c:formatCode>
                <c:ptCount val="17"/>
                <c:pt idx="0">
                  <c:v>118.8</c:v>
                </c:pt>
                <c:pt idx="1">
                  <c:v>93.1</c:v>
                </c:pt>
                <c:pt idx="2">
                  <c:v>113.7</c:v>
                </c:pt>
                <c:pt idx="3">
                  <c:v>133.1</c:v>
                </c:pt>
                <c:pt idx="4">
                  <c:v>111.3</c:v>
                </c:pt>
                <c:pt idx="5">
                  <c:v>112.9</c:v>
                </c:pt>
                <c:pt idx="6">
                  <c:v>74.7</c:v>
                </c:pt>
                <c:pt idx="7">
                  <c:v>107.4</c:v>
                </c:pt>
                <c:pt idx="8">
                  <c:v>102.1</c:v>
                </c:pt>
                <c:pt idx="9">
                  <c:v>96.7</c:v>
                </c:pt>
                <c:pt idx="10">
                  <c:v>80.2</c:v>
                </c:pt>
                <c:pt idx="11">
                  <c:v>89.4</c:v>
                </c:pt>
                <c:pt idx="12">
                  <c:v>117.8</c:v>
                </c:pt>
                <c:pt idx="13">
                  <c:v>72</c:v>
                </c:pt>
                <c:pt idx="14">
                  <c:v>67.2</c:v>
                </c:pt>
                <c:pt idx="15">
                  <c:v>59</c:v>
                </c:pt>
                <c:pt idx="16">
                  <c:v>55.1</c:v>
                </c:pt>
              </c:numCache>
            </c:numRef>
          </c:val>
          <c:extLst>
            <c:ext xmlns:c16="http://schemas.microsoft.com/office/drawing/2014/chart" uri="{C3380CC4-5D6E-409C-BE32-E72D297353CC}">
              <c16:uniqueId val="{00000000-CCE0-4CDE-AC17-33799E6A7F45}"/>
            </c:ext>
          </c:extLst>
        </c:ser>
        <c:ser>
          <c:idx val="1"/>
          <c:order val="1"/>
          <c:tx>
            <c:strRef>
              <c:f>'[Wykres w programie Microsoft Word]TABLICA'!$D$23</c:f>
              <c:strCache>
                <c:ptCount val="1"/>
                <c:pt idx="0">
                  <c:v>2021</c:v>
                </c:pt>
              </c:strCache>
            </c:strRef>
          </c:tx>
          <c:spPr>
            <a:solidFill>
              <a:schemeClr val="accent2"/>
            </a:solidFill>
            <a:ln>
              <a:noFill/>
            </a:ln>
            <a:effectLst/>
          </c:spPr>
          <c:invertIfNegative val="0"/>
          <c:cat>
            <c:strRef>
              <c:f>'[Wykres w programie Microsoft Word]TABLICA'!$B$24:$B$40</c:f>
              <c:strCache>
                <c:ptCount val="17"/>
                <c:pt idx="0">
                  <c:v>Lubelskie</c:v>
                </c:pt>
                <c:pt idx="1">
                  <c:v>Podkarpackie</c:v>
                </c:pt>
                <c:pt idx="2">
                  <c:v>Małopolskie</c:v>
                </c:pt>
                <c:pt idx="3">
                  <c:v>Mazowieckie</c:v>
                </c:pt>
                <c:pt idx="4">
                  <c:v>Zachodniopomorskie</c:v>
                </c:pt>
                <c:pt idx="5">
                  <c:v>Łódzkie</c:v>
                </c:pt>
                <c:pt idx="6">
                  <c:v>Opolskie</c:v>
                </c:pt>
                <c:pt idx="7">
                  <c:v>Śląskie</c:v>
                </c:pt>
                <c:pt idx="8">
                  <c:v>Polska</c:v>
                </c:pt>
                <c:pt idx="9">
                  <c:v>Wielkopolskie</c:v>
                </c:pt>
                <c:pt idx="10">
                  <c:v>Pomorskie</c:v>
                </c:pt>
                <c:pt idx="11">
                  <c:v>Podlaskie</c:v>
                </c:pt>
                <c:pt idx="12">
                  <c:v>Dolnośląskie</c:v>
                </c:pt>
                <c:pt idx="13">
                  <c:v>Świętokrzyskie</c:v>
                </c:pt>
                <c:pt idx="14">
                  <c:v>Kujawsko-Pomorskie</c:v>
                </c:pt>
                <c:pt idx="15">
                  <c:v>Lubuskie</c:v>
                </c:pt>
                <c:pt idx="16">
                  <c:v>Warmińsko-Mazurskie</c:v>
                </c:pt>
              </c:strCache>
            </c:strRef>
          </c:cat>
          <c:val>
            <c:numRef>
              <c:f>'[Wykres w programie Microsoft Word]TABLICA'!$D$24:$D$40</c:f>
              <c:numCache>
                <c:formatCode>#\ ##0.0</c:formatCode>
                <c:ptCount val="17"/>
                <c:pt idx="0">
                  <c:v>124</c:v>
                </c:pt>
                <c:pt idx="1">
                  <c:v>89.4</c:v>
                </c:pt>
                <c:pt idx="2">
                  <c:v>100.5</c:v>
                </c:pt>
                <c:pt idx="3">
                  <c:v>126.8</c:v>
                </c:pt>
                <c:pt idx="4">
                  <c:v>86.4</c:v>
                </c:pt>
                <c:pt idx="5">
                  <c:v>77.8</c:v>
                </c:pt>
                <c:pt idx="6">
                  <c:v>36.700000000000003</c:v>
                </c:pt>
                <c:pt idx="7">
                  <c:v>100.8</c:v>
                </c:pt>
                <c:pt idx="8">
                  <c:v>88.9</c:v>
                </c:pt>
                <c:pt idx="9">
                  <c:v>86.8</c:v>
                </c:pt>
                <c:pt idx="10">
                  <c:v>81.400000000000006</c:v>
                </c:pt>
                <c:pt idx="11">
                  <c:v>61.6</c:v>
                </c:pt>
                <c:pt idx="12">
                  <c:v>87.5</c:v>
                </c:pt>
                <c:pt idx="13">
                  <c:v>59.5</c:v>
                </c:pt>
                <c:pt idx="14">
                  <c:v>50.9</c:v>
                </c:pt>
                <c:pt idx="15">
                  <c:v>35.4</c:v>
                </c:pt>
                <c:pt idx="16">
                  <c:v>39.1</c:v>
                </c:pt>
              </c:numCache>
            </c:numRef>
          </c:val>
          <c:extLst>
            <c:ext xmlns:c16="http://schemas.microsoft.com/office/drawing/2014/chart" uri="{C3380CC4-5D6E-409C-BE32-E72D297353CC}">
              <c16:uniqueId val="{00000001-CCE0-4CDE-AC17-33799E6A7F45}"/>
            </c:ext>
          </c:extLst>
        </c:ser>
        <c:ser>
          <c:idx val="2"/>
          <c:order val="2"/>
          <c:tx>
            <c:strRef>
              <c:f>'[Wykres w programie Microsoft Word]TABLICA'!$E$23</c:f>
              <c:strCache>
                <c:ptCount val="1"/>
                <c:pt idx="0">
                  <c:v>2022</c:v>
                </c:pt>
              </c:strCache>
            </c:strRef>
          </c:tx>
          <c:spPr>
            <a:solidFill>
              <a:schemeClr val="accent3"/>
            </a:solidFill>
            <a:ln>
              <a:noFill/>
            </a:ln>
            <a:effectLst/>
          </c:spPr>
          <c:invertIfNegative val="0"/>
          <c:cat>
            <c:strRef>
              <c:f>'[Wykres w programie Microsoft Word]TABLICA'!$B$24:$B$40</c:f>
              <c:strCache>
                <c:ptCount val="17"/>
                <c:pt idx="0">
                  <c:v>Lubelskie</c:v>
                </c:pt>
                <c:pt idx="1">
                  <c:v>Podkarpackie</c:v>
                </c:pt>
                <c:pt idx="2">
                  <c:v>Małopolskie</c:v>
                </c:pt>
                <c:pt idx="3">
                  <c:v>Mazowieckie</c:v>
                </c:pt>
                <c:pt idx="4">
                  <c:v>Zachodniopomorskie</c:v>
                </c:pt>
                <c:pt idx="5">
                  <c:v>Łódzkie</c:v>
                </c:pt>
                <c:pt idx="6">
                  <c:v>Opolskie</c:v>
                </c:pt>
                <c:pt idx="7">
                  <c:v>Śląskie</c:v>
                </c:pt>
                <c:pt idx="8">
                  <c:v>Polska</c:v>
                </c:pt>
                <c:pt idx="9">
                  <c:v>Wielkopolskie</c:v>
                </c:pt>
                <c:pt idx="10">
                  <c:v>Pomorskie</c:v>
                </c:pt>
                <c:pt idx="11">
                  <c:v>Podlaskie</c:v>
                </c:pt>
                <c:pt idx="12">
                  <c:v>Dolnośląskie</c:v>
                </c:pt>
                <c:pt idx="13">
                  <c:v>Świętokrzyskie</c:v>
                </c:pt>
                <c:pt idx="14">
                  <c:v>Kujawsko-Pomorskie</c:v>
                </c:pt>
                <c:pt idx="15">
                  <c:v>Lubuskie</c:v>
                </c:pt>
                <c:pt idx="16">
                  <c:v>Warmińsko-Mazurskie</c:v>
                </c:pt>
              </c:strCache>
            </c:strRef>
          </c:cat>
          <c:val>
            <c:numRef>
              <c:f>'[Wykres w programie Microsoft Word]TABLICA'!$E$24:$E$40</c:f>
              <c:numCache>
                <c:formatCode>#\ ##0.0</c:formatCode>
                <c:ptCount val="17"/>
                <c:pt idx="0">
                  <c:v>161.5</c:v>
                </c:pt>
                <c:pt idx="1">
                  <c:v>103.8</c:v>
                </c:pt>
                <c:pt idx="2">
                  <c:v>100.6</c:v>
                </c:pt>
                <c:pt idx="3">
                  <c:v>99.4</c:v>
                </c:pt>
                <c:pt idx="4">
                  <c:v>97.9</c:v>
                </c:pt>
                <c:pt idx="5">
                  <c:v>96.8</c:v>
                </c:pt>
                <c:pt idx="6">
                  <c:v>92</c:v>
                </c:pt>
                <c:pt idx="7">
                  <c:v>87.8</c:v>
                </c:pt>
                <c:pt idx="8">
                  <c:v>85.7</c:v>
                </c:pt>
                <c:pt idx="9">
                  <c:v>76.400000000000006</c:v>
                </c:pt>
                <c:pt idx="10">
                  <c:v>72.099999999999994</c:v>
                </c:pt>
                <c:pt idx="11">
                  <c:v>62</c:v>
                </c:pt>
                <c:pt idx="12">
                  <c:v>60.5</c:v>
                </c:pt>
                <c:pt idx="13">
                  <c:v>55.8</c:v>
                </c:pt>
                <c:pt idx="14">
                  <c:v>51.7</c:v>
                </c:pt>
                <c:pt idx="15">
                  <c:v>44.8</c:v>
                </c:pt>
                <c:pt idx="16">
                  <c:v>32.1</c:v>
                </c:pt>
              </c:numCache>
            </c:numRef>
          </c:val>
          <c:extLst>
            <c:ext xmlns:c16="http://schemas.microsoft.com/office/drawing/2014/chart" uri="{C3380CC4-5D6E-409C-BE32-E72D297353CC}">
              <c16:uniqueId val="{00000002-CCE0-4CDE-AC17-33799E6A7F45}"/>
            </c:ext>
          </c:extLst>
        </c:ser>
        <c:dLbls>
          <c:showLegendKey val="0"/>
          <c:showVal val="0"/>
          <c:showCatName val="0"/>
          <c:showSerName val="0"/>
          <c:showPercent val="0"/>
          <c:showBubbleSize val="0"/>
        </c:dLbls>
        <c:gapWidth val="219"/>
        <c:overlap val="-27"/>
        <c:axId val="522198800"/>
        <c:axId val="522191744"/>
      </c:barChart>
      <c:catAx>
        <c:axId val="52219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522191744"/>
        <c:crosses val="autoZero"/>
        <c:auto val="1"/>
        <c:lblAlgn val="ctr"/>
        <c:lblOffset val="100"/>
        <c:noMultiLvlLbl val="0"/>
      </c:catAx>
      <c:valAx>
        <c:axId val="522191744"/>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522198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sz="1000"/>
              <a:t>mln zł                                                                                                  %</a:t>
            </a:r>
          </a:p>
        </c:rich>
      </c:tx>
      <c:layout>
        <c:manualLayout>
          <c:xMode val="edge"/>
          <c:yMode val="edge"/>
          <c:x val="0.11823529411764706"/>
          <c:y val="7.832020997375327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Zdrowie!$E$14</c:f>
              <c:strCache>
                <c:ptCount val="1"/>
                <c:pt idx="0">
                  <c:v>Przychody z całokształtu działalności</c:v>
                </c:pt>
              </c:strCache>
            </c:strRef>
          </c:tx>
          <c:spPr>
            <a:solidFill>
              <a:schemeClr val="accent1"/>
            </a:solidFill>
            <a:ln>
              <a:noFill/>
            </a:ln>
            <a:effectLst/>
          </c:spPr>
          <c:invertIfNegative val="0"/>
          <c:cat>
            <c:numRef>
              <c:f>Zdrowie!$D$15:$D$19</c:f>
              <c:numCache>
                <c:formatCode>General</c:formatCode>
                <c:ptCount val="5"/>
                <c:pt idx="0">
                  <c:v>2017</c:v>
                </c:pt>
                <c:pt idx="1">
                  <c:v>2018</c:v>
                </c:pt>
                <c:pt idx="2">
                  <c:v>2019</c:v>
                </c:pt>
                <c:pt idx="3">
                  <c:v>2020</c:v>
                </c:pt>
                <c:pt idx="4">
                  <c:v>2021</c:v>
                </c:pt>
              </c:numCache>
            </c:numRef>
          </c:cat>
          <c:val>
            <c:numRef>
              <c:f>Zdrowie!$E$15:$E$19</c:f>
              <c:numCache>
                <c:formatCode>_(* #,##0.00_);_(* \(#,##0.00\);_(* "-"??_);_(@_)</c:formatCode>
                <c:ptCount val="5"/>
                <c:pt idx="0">
                  <c:v>0.6</c:v>
                </c:pt>
                <c:pt idx="1">
                  <c:v>0.65</c:v>
                </c:pt>
                <c:pt idx="2">
                  <c:v>0.96</c:v>
                </c:pt>
                <c:pt idx="3">
                  <c:v>1.5</c:v>
                </c:pt>
                <c:pt idx="4">
                  <c:v>1.02</c:v>
                </c:pt>
              </c:numCache>
            </c:numRef>
          </c:val>
          <c:extLst>
            <c:ext xmlns:c16="http://schemas.microsoft.com/office/drawing/2014/chart" uri="{C3380CC4-5D6E-409C-BE32-E72D297353CC}">
              <c16:uniqueId val="{00000000-53CA-4730-8917-911554372E58}"/>
            </c:ext>
          </c:extLst>
        </c:ser>
        <c:ser>
          <c:idx val="1"/>
          <c:order val="1"/>
          <c:tx>
            <c:strRef>
              <c:f>Zdrowie!$F$14</c:f>
              <c:strCache>
                <c:ptCount val="1"/>
                <c:pt idx="0">
                  <c:v>Koszty uzyskania przychodów z całokształtu działalności</c:v>
                </c:pt>
              </c:strCache>
            </c:strRef>
          </c:tx>
          <c:spPr>
            <a:solidFill>
              <a:schemeClr val="accent2"/>
            </a:solidFill>
            <a:ln>
              <a:noFill/>
            </a:ln>
            <a:effectLst/>
          </c:spPr>
          <c:invertIfNegative val="0"/>
          <c:cat>
            <c:numRef>
              <c:f>Zdrowie!$D$15:$D$19</c:f>
              <c:numCache>
                <c:formatCode>General</c:formatCode>
                <c:ptCount val="5"/>
                <c:pt idx="0">
                  <c:v>2017</c:v>
                </c:pt>
                <c:pt idx="1">
                  <c:v>2018</c:v>
                </c:pt>
                <c:pt idx="2">
                  <c:v>2019</c:v>
                </c:pt>
                <c:pt idx="3">
                  <c:v>2020</c:v>
                </c:pt>
                <c:pt idx="4">
                  <c:v>2021</c:v>
                </c:pt>
              </c:numCache>
            </c:numRef>
          </c:cat>
          <c:val>
            <c:numRef>
              <c:f>Zdrowie!$F$15:$F$19</c:f>
              <c:numCache>
                <c:formatCode>_(* #,##0.00_);_(* \(#,##0.00\);_(* "-"??_);_(@_)</c:formatCode>
                <c:ptCount val="5"/>
                <c:pt idx="0">
                  <c:v>0.55000000000000004</c:v>
                </c:pt>
                <c:pt idx="1">
                  <c:v>0.6</c:v>
                </c:pt>
                <c:pt idx="2">
                  <c:v>0.91</c:v>
                </c:pt>
                <c:pt idx="3">
                  <c:v>0.67</c:v>
                </c:pt>
                <c:pt idx="4">
                  <c:v>0.82</c:v>
                </c:pt>
              </c:numCache>
            </c:numRef>
          </c:val>
          <c:extLst>
            <c:ext xmlns:c16="http://schemas.microsoft.com/office/drawing/2014/chart" uri="{C3380CC4-5D6E-409C-BE32-E72D297353CC}">
              <c16:uniqueId val="{00000001-53CA-4730-8917-911554372E58}"/>
            </c:ext>
          </c:extLst>
        </c:ser>
        <c:dLbls>
          <c:showLegendKey val="0"/>
          <c:showVal val="0"/>
          <c:showCatName val="0"/>
          <c:showSerName val="0"/>
          <c:showPercent val="0"/>
          <c:showBubbleSize val="0"/>
        </c:dLbls>
        <c:gapWidth val="219"/>
        <c:overlap val="-27"/>
        <c:axId val="461101168"/>
        <c:axId val="461101560"/>
      </c:barChart>
      <c:lineChart>
        <c:grouping val="standard"/>
        <c:varyColors val="0"/>
        <c:ser>
          <c:idx val="2"/>
          <c:order val="2"/>
          <c:tx>
            <c:strRef>
              <c:f>Zdrowie!$G$14</c:f>
              <c:strCache>
                <c:ptCount val="1"/>
                <c:pt idx="0">
                  <c:v>Wskaźnik poziomu kosztów z całokształtu działalności</c:v>
                </c:pt>
              </c:strCache>
            </c:strRef>
          </c:tx>
          <c:spPr>
            <a:ln w="28575" cap="rnd">
              <a:solidFill>
                <a:schemeClr val="accent3"/>
              </a:solidFill>
              <a:round/>
            </a:ln>
            <a:effectLst/>
          </c:spPr>
          <c:marker>
            <c:symbol val="none"/>
          </c:marker>
          <c:cat>
            <c:numRef>
              <c:f>Zdrowie!$D$15:$D$19</c:f>
              <c:numCache>
                <c:formatCode>General</c:formatCode>
                <c:ptCount val="5"/>
                <c:pt idx="0">
                  <c:v>2017</c:v>
                </c:pt>
                <c:pt idx="1">
                  <c:v>2018</c:v>
                </c:pt>
                <c:pt idx="2">
                  <c:v>2019</c:v>
                </c:pt>
                <c:pt idx="3">
                  <c:v>2020</c:v>
                </c:pt>
                <c:pt idx="4">
                  <c:v>2021</c:v>
                </c:pt>
              </c:numCache>
            </c:numRef>
          </c:cat>
          <c:val>
            <c:numRef>
              <c:f>Zdrowie!$G$15:$G$19</c:f>
              <c:numCache>
                <c:formatCode>0.0</c:formatCode>
                <c:ptCount val="5"/>
                <c:pt idx="0">
                  <c:v>91.4</c:v>
                </c:pt>
                <c:pt idx="1">
                  <c:v>92.5</c:v>
                </c:pt>
                <c:pt idx="2">
                  <c:v>95.4</c:v>
                </c:pt>
                <c:pt idx="3">
                  <c:v>44.5</c:v>
                </c:pt>
                <c:pt idx="4">
                  <c:v>80</c:v>
                </c:pt>
              </c:numCache>
            </c:numRef>
          </c:val>
          <c:smooth val="0"/>
          <c:extLst>
            <c:ext xmlns:c16="http://schemas.microsoft.com/office/drawing/2014/chart" uri="{C3380CC4-5D6E-409C-BE32-E72D297353CC}">
              <c16:uniqueId val="{00000002-53CA-4730-8917-911554372E58}"/>
            </c:ext>
          </c:extLst>
        </c:ser>
        <c:dLbls>
          <c:showLegendKey val="0"/>
          <c:showVal val="0"/>
          <c:showCatName val="0"/>
          <c:showSerName val="0"/>
          <c:showPercent val="0"/>
          <c:showBubbleSize val="0"/>
        </c:dLbls>
        <c:marker val="1"/>
        <c:smooth val="0"/>
        <c:axId val="461101952"/>
        <c:axId val="461099208"/>
      </c:lineChart>
      <c:catAx>
        <c:axId val="46110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1101560"/>
        <c:crosses val="autoZero"/>
        <c:auto val="1"/>
        <c:lblAlgn val="ctr"/>
        <c:lblOffset val="100"/>
        <c:noMultiLvlLbl val="0"/>
      </c:catAx>
      <c:valAx>
        <c:axId val="461101560"/>
        <c:scaling>
          <c:orientation val="minMax"/>
          <c:max val="1.6"/>
          <c:min val="0.30000000000000004"/>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1101168"/>
        <c:crosses val="autoZero"/>
        <c:crossBetween val="between"/>
      </c:valAx>
      <c:valAx>
        <c:axId val="461099208"/>
        <c:scaling>
          <c:orientation val="minMax"/>
          <c:max val="130"/>
          <c:min val="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1101952"/>
        <c:crosses val="max"/>
        <c:crossBetween val="between"/>
      </c:valAx>
      <c:catAx>
        <c:axId val="461101952"/>
        <c:scaling>
          <c:orientation val="minMax"/>
        </c:scaling>
        <c:delete val="1"/>
        <c:axPos val="b"/>
        <c:numFmt formatCode="General" sourceLinked="1"/>
        <c:majorTickMark val="out"/>
        <c:minorTickMark val="none"/>
        <c:tickLblPos val="nextTo"/>
        <c:crossAx val="4610992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sz="1000"/>
              <a:t>%</a:t>
            </a:r>
          </a:p>
        </c:rich>
      </c:tx>
      <c:layout>
        <c:manualLayout>
          <c:xMode val="edge"/>
          <c:yMode val="edge"/>
          <c:x val="6.2316079975297207E-2"/>
          <c:y val="4.3165467625899283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Zdrowie!$M$15</c:f>
              <c:strCache>
                <c:ptCount val="1"/>
                <c:pt idx="0">
                  <c:v>Rentowność obrotu netto</c:v>
                </c:pt>
              </c:strCache>
            </c:strRef>
          </c:tx>
          <c:spPr>
            <a:solidFill>
              <a:schemeClr val="accent1"/>
            </a:solidFill>
            <a:ln>
              <a:noFill/>
            </a:ln>
            <a:effectLst/>
          </c:spPr>
          <c:invertIfNegative val="0"/>
          <c:cat>
            <c:numRef>
              <c:f>Zdrowie!$L$16:$L$20</c:f>
              <c:numCache>
                <c:formatCode>General</c:formatCode>
                <c:ptCount val="5"/>
                <c:pt idx="0">
                  <c:v>2017</c:v>
                </c:pt>
                <c:pt idx="1">
                  <c:v>2018</c:v>
                </c:pt>
                <c:pt idx="2">
                  <c:v>2019</c:v>
                </c:pt>
                <c:pt idx="3">
                  <c:v>2020</c:v>
                </c:pt>
                <c:pt idx="4">
                  <c:v>2021</c:v>
                </c:pt>
              </c:numCache>
            </c:numRef>
          </c:cat>
          <c:val>
            <c:numRef>
              <c:f>Zdrowie!$M$16:$M$20</c:f>
              <c:numCache>
                <c:formatCode>0.0</c:formatCode>
                <c:ptCount val="5"/>
                <c:pt idx="0">
                  <c:v>7.4</c:v>
                </c:pt>
                <c:pt idx="1">
                  <c:v>6.4</c:v>
                </c:pt>
                <c:pt idx="2">
                  <c:v>4</c:v>
                </c:pt>
                <c:pt idx="3">
                  <c:v>54.5</c:v>
                </c:pt>
                <c:pt idx="4">
                  <c:v>18.7</c:v>
                </c:pt>
              </c:numCache>
            </c:numRef>
          </c:val>
          <c:extLst>
            <c:ext xmlns:c16="http://schemas.microsoft.com/office/drawing/2014/chart" uri="{C3380CC4-5D6E-409C-BE32-E72D297353CC}">
              <c16:uniqueId val="{00000000-8EA4-49D9-9230-C30BC6E00C43}"/>
            </c:ext>
          </c:extLst>
        </c:ser>
        <c:ser>
          <c:idx val="1"/>
          <c:order val="1"/>
          <c:tx>
            <c:strRef>
              <c:f>Zdrowie!$N$15</c:f>
              <c:strCache>
                <c:ptCount val="1"/>
                <c:pt idx="0">
                  <c:v>Rentowność aktywów</c:v>
                </c:pt>
              </c:strCache>
            </c:strRef>
          </c:tx>
          <c:spPr>
            <a:solidFill>
              <a:schemeClr val="accent2"/>
            </a:solidFill>
            <a:ln>
              <a:noFill/>
            </a:ln>
            <a:effectLst/>
          </c:spPr>
          <c:invertIfNegative val="0"/>
          <c:cat>
            <c:numRef>
              <c:f>Zdrowie!$L$16:$L$20</c:f>
              <c:numCache>
                <c:formatCode>General</c:formatCode>
                <c:ptCount val="5"/>
                <c:pt idx="0">
                  <c:v>2017</c:v>
                </c:pt>
                <c:pt idx="1">
                  <c:v>2018</c:v>
                </c:pt>
                <c:pt idx="2">
                  <c:v>2019</c:v>
                </c:pt>
                <c:pt idx="3">
                  <c:v>2020</c:v>
                </c:pt>
                <c:pt idx="4">
                  <c:v>2021</c:v>
                </c:pt>
              </c:numCache>
            </c:numRef>
          </c:cat>
          <c:val>
            <c:numRef>
              <c:f>Zdrowie!$N$16:$N$20</c:f>
              <c:numCache>
                <c:formatCode>0.0</c:formatCode>
                <c:ptCount val="5"/>
                <c:pt idx="0">
                  <c:v>1.6</c:v>
                </c:pt>
                <c:pt idx="1">
                  <c:v>1.6</c:v>
                </c:pt>
                <c:pt idx="2">
                  <c:v>1.4</c:v>
                </c:pt>
                <c:pt idx="3">
                  <c:v>21.3</c:v>
                </c:pt>
                <c:pt idx="4">
                  <c:v>7.3</c:v>
                </c:pt>
              </c:numCache>
            </c:numRef>
          </c:val>
          <c:extLst>
            <c:ext xmlns:c16="http://schemas.microsoft.com/office/drawing/2014/chart" uri="{C3380CC4-5D6E-409C-BE32-E72D297353CC}">
              <c16:uniqueId val="{00000001-8EA4-49D9-9230-C30BC6E00C43}"/>
            </c:ext>
          </c:extLst>
        </c:ser>
        <c:ser>
          <c:idx val="2"/>
          <c:order val="2"/>
          <c:tx>
            <c:strRef>
              <c:f>Zdrowie!$O$15</c:f>
              <c:strCache>
                <c:ptCount val="1"/>
                <c:pt idx="0">
                  <c:v>Rentowność kapitału własnego</c:v>
                </c:pt>
              </c:strCache>
            </c:strRef>
          </c:tx>
          <c:spPr>
            <a:solidFill>
              <a:schemeClr val="accent3"/>
            </a:solidFill>
            <a:ln>
              <a:noFill/>
            </a:ln>
            <a:effectLst/>
          </c:spPr>
          <c:invertIfNegative val="0"/>
          <c:cat>
            <c:numRef>
              <c:f>Zdrowie!$L$16:$L$20</c:f>
              <c:numCache>
                <c:formatCode>General</c:formatCode>
                <c:ptCount val="5"/>
                <c:pt idx="0">
                  <c:v>2017</c:v>
                </c:pt>
                <c:pt idx="1">
                  <c:v>2018</c:v>
                </c:pt>
                <c:pt idx="2">
                  <c:v>2019</c:v>
                </c:pt>
                <c:pt idx="3">
                  <c:v>2020</c:v>
                </c:pt>
                <c:pt idx="4">
                  <c:v>2021</c:v>
                </c:pt>
              </c:numCache>
            </c:numRef>
          </c:cat>
          <c:val>
            <c:numRef>
              <c:f>Zdrowie!$O$16:$O$20</c:f>
              <c:numCache>
                <c:formatCode>0.0</c:formatCode>
                <c:ptCount val="5"/>
                <c:pt idx="0">
                  <c:v>1.8</c:v>
                </c:pt>
                <c:pt idx="1">
                  <c:v>1.8</c:v>
                </c:pt>
                <c:pt idx="2">
                  <c:v>1.6</c:v>
                </c:pt>
                <c:pt idx="3">
                  <c:v>23.3</c:v>
                </c:pt>
                <c:pt idx="4">
                  <c:v>8.5</c:v>
                </c:pt>
              </c:numCache>
            </c:numRef>
          </c:val>
          <c:extLst>
            <c:ext xmlns:c16="http://schemas.microsoft.com/office/drawing/2014/chart" uri="{C3380CC4-5D6E-409C-BE32-E72D297353CC}">
              <c16:uniqueId val="{00000002-8EA4-49D9-9230-C30BC6E00C43}"/>
            </c:ext>
          </c:extLst>
        </c:ser>
        <c:dLbls>
          <c:showLegendKey val="0"/>
          <c:showVal val="0"/>
          <c:showCatName val="0"/>
          <c:showSerName val="0"/>
          <c:showPercent val="0"/>
          <c:showBubbleSize val="0"/>
        </c:dLbls>
        <c:gapWidth val="219"/>
        <c:overlap val="-27"/>
        <c:axId val="461096464"/>
        <c:axId val="461094504"/>
      </c:barChart>
      <c:catAx>
        <c:axId val="46109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1094504"/>
        <c:crosses val="autoZero"/>
        <c:auto val="1"/>
        <c:lblAlgn val="ctr"/>
        <c:lblOffset val="100"/>
        <c:noMultiLvlLbl val="0"/>
      </c:catAx>
      <c:valAx>
        <c:axId val="4610945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109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Zdrowie!$C$40</c:f>
              <c:strCache>
                <c:ptCount val="1"/>
                <c:pt idx="0">
                  <c:v>Polska</c:v>
                </c:pt>
              </c:strCache>
            </c:strRef>
          </c:tx>
          <c:spPr>
            <a:ln w="28575" cap="rnd">
              <a:solidFill>
                <a:schemeClr val="accent1"/>
              </a:solidFill>
              <a:round/>
            </a:ln>
            <a:effectLst/>
          </c:spPr>
          <c:marker>
            <c:symbol val="none"/>
          </c:marker>
          <c:cat>
            <c:numRef>
              <c:f>Zdrowie!$B$41:$B$44</c:f>
              <c:numCache>
                <c:formatCode>General</c:formatCode>
                <c:ptCount val="4"/>
                <c:pt idx="0">
                  <c:v>2018</c:v>
                </c:pt>
                <c:pt idx="1">
                  <c:v>2019</c:v>
                </c:pt>
                <c:pt idx="2">
                  <c:v>2020</c:v>
                </c:pt>
                <c:pt idx="3">
                  <c:v>2021</c:v>
                </c:pt>
              </c:numCache>
            </c:numRef>
          </c:cat>
          <c:val>
            <c:numRef>
              <c:f>Zdrowie!$C$41:$C$44</c:f>
              <c:numCache>
                <c:formatCode>General</c:formatCode>
                <c:ptCount val="4"/>
                <c:pt idx="0">
                  <c:v>93.8</c:v>
                </c:pt>
                <c:pt idx="1">
                  <c:v>96.3</c:v>
                </c:pt>
                <c:pt idx="2">
                  <c:v>97.5</c:v>
                </c:pt>
                <c:pt idx="3">
                  <c:v>189.8</c:v>
                </c:pt>
              </c:numCache>
            </c:numRef>
          </c:val>
          <c:smooth val="0"/>
          <c:extLst>
            <c:ext xmlns:c16="http://schemas.microsoft.com/office/drawing/2014/chart" uri="{C3380CC4-5D6E-409C-BE32-E72D297353CC}">
              <c16:uniqueId val="{00000000-D71E-40C4-93AF-37EA12331A8D}"/>
            </c:ext>
          </c:extLst>
        </c:ser>
        <c:ser>
          <c:idx val="1"/>
          <c:order val="1"/>
          <c:tx>
            <c:strRef>
              <c:f>Zdrowie!$D$40</c:f>
              <c:strCache>
                <c:ptCount val="1"/>
                <c:pt idx="0">
                  <c:v>woj. podkarpackie</c:v>
                </c:pt>
              </c:strCache>
            </c:strRef>
          </c:tx>
          <c:spPr>
            <a:ln w="28575" cap="rnd">
              <a:solidFill>
                <a:schemeClr val="accent2"/>
              </a:solidFill>
              <a:round/>
            </a:ln>
            <a:effectLst/>
          </c:spPr>
          <c:marker>
            <c:symbol val="none"/>
          </c:marker>
          <c:cat>
            <c:numRef>
              <c:f>Zdrowie!$B$41:$B$44</c:f>
              <c:numCache>
                <c:formatCode>General</c:formatCode>
                <c:ptCount val="4"/>
                <c:pt idx="0">
                  <c:v>2018</c:v>
                </c:pt>
                <c:pt idx="1">
                  <c:v>2019</c:v>
                </c:pt>
                <c:pt idx="2">
                  <c:v>2020</c:v>
                </c:pt>
                <c:pt idx="3">
                  <c:v>2021</c:v>
                </c:pt>
              </c:numCache>
            </c:numRef>
          </c:cat>
          <c:val>
            <c:numRef>
              <c:f>Zdrowie!$D$41:$D$44</c:f>
              <c:numCache>
                <c:formatCode>General</c:formatCode>
                <c:ptCount val="4"/>
                <c:pt idx="0">
                  <c:v>83.9</c:v>
                </c:pt>
                <c:pt idx="1">
                  <c:v>118.5</c:v>
                </c:pt>
                <c:pt idx="2">
                  <c:v>111.1</c:v>
                </c:pt>
                <c:pt idx="3">
                  <c:v>135.4</c:v>
                </c:pt>
              </c:numCache>
            </c:numRef>
          </c:val>
          <c:smooth val="0"/>
          <c:extLst>
            <c:ext xmlns:c16="http://schemas.microsoft.com/office/drawing/2014/chart" uri="{C3380CC4-5D6E-409C-BE32-E72D297353CC}">
              <c16:uniqueId val="{00000001-D71E-40C4-93AF-37EA12331A8D}"/>
            </c:ext>
          </c:extLst>
        </c:ser>
        <c:ser>
          <c:idx val="2"/>
          <c:order val="2"/>
          <c:tx>
            <c:strRef>
              <c:f>Zdrowie!$E$40</c:f>
              <c:strCache>
                <c:ptCount val="1"/>
                <c:pt idx="0">
                  <c:v>Usługi i produkty medyczne</c:v>
                </c:pt>
              </c:strCache>
            </c:strRef>
          </c:tx>
          <c:spPr>
            <a:ln w="28575" cap="rnd">
              <a:solidFill>
                <a:schemeClr val="accent3"/>
              </a:solidFill>
              <a:round/>
            </a:ln>
            <a:effectLst/>
          </c:spPr>
          <c:marker>
            <c:symbol val="none"/>
          </c:marker>
          <c:cat>
            <c:numRef>
              <c:f>Zdrowie!$B$41:$B$44</c:f>
              <c:numCache>
                <c:formatCode>General</c:formatCode>
                <c:ptCount val="4"/>
                <c:pt idx="0">
                  <c:v>2018</c:v>
                </c:pt>
                <c:pt idx="1">
                  <c:v>2019</c:v>
                </c:pt>
                <c:pt idx="2">
                  <c:v>2020</c:v>
                </c:pt>
                <c:pt idx="3">
                  <c:v>2021</c:v>
                </c:pt>
              </c:numCache>
            </c:numRef>
          </c:cat>
          <c:val>
            <c:numRef>
              <c:f>Zdrowie!$E$41:$E$44</c:f>
              <c:numCache>
                <c:formatCode>General</c:formatCode>
                <c:ptCount val="4"/>
                <c:pt idx="0">
                  <c:v>94.4</c:v>
                </c:pt>
                <c:pt idx="1">
                  <c:v>90.9</c:v>
                </c:pt>
                <c:pt idx="2">
                  <c:v>2160.5</c:v>
                </c:pt>
                <c:pt idx="3">
                  <c:v>23.2</c:v>
                </c:pt>
              </c:numCache>
            </c:numRef>
          </c:val>
          <c:smooth val="0"/>
          <c:extLst>
            <c:ext xmlns:c16="http://schemas.microsoft.com/office/drawing/2014/chart" uri="{C3380CC4-5D6E-409C-BE32-E72D297353CC}">
              <c16:uniqueId val="{00000002-D71E-40C4-93AF-37EA12331A8D}"/>
            </c:ext>
          </c:extLst>
        </c:ser>
        <c:dLbls>
          <c:showLegendKey val="0"/>
          <c:showVal val="0"/>
          <c:showCatName val="0"/>
          <c:showSerName val="0"/>
          <c:showPercent val="0"/>
          <c:showBubbleSize val="0"/>
        </c:dLbls>
        <c:smooth val="0"/>
        <c:axId val="461095288"/>
        <c:axId val="461098816"/>
      </c:lineChart>
      <c:catAx>
        <c:axId val="461095288"/>
        <c:scaling>
          <c:orientation val="minMax"/>
        </c:scaling>
        <c:delete val="0"/>
        <c:axPos val="b"/>
        <c:numFmt formatCode="General" sourceLinked="1"/>
        <c:majorTickMark val="none"/>
        <c:minorTickMark val="none"/>
        <c:tickLblPos val="low"/>
        <c:spPr>
          <a:noFill/>
          <a:ln w="19050" cap="flat" cmpd="sng" algn="ctr">
            <a:solidFill>
              <a:schemeClr val="tx1">
                <a:lumMod val="65000"/>
                <a:lumOff val="3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1098816"/>
        <c:crossesAt val="100"/>
        <c:auto val="1"/>
        <c:lblAlgn val="ctr"/>
        <c:lblOffset val="100"/>
        <c:noMultiLvlLbl val="0"/>
      </c:catAx>
      <c:valAx>
        <c:axId val="461098816"/>
        <c:scaling>
          <c:orientation val="minMax"/>
          <c:max val="2500"/>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1095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sz="1000"/>
              <a:t>mln zł                                                                                                    %</a:t>
            </a:r>
          </a:p>
        </c:rich>
      </c:tx>
      <c:layout>
        <c:manualLayout>
          <c:xMode val="edge"/>
          <c:yMode val="edge"/>
          <c:x val="0.11901066925315228"/>
          <c:y val="6.018518518518518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Energia!$E$16</c:f>
              <c:strCache>
                <c:ptCount val="1"/>
                <c:pt idx="0">
                  <c:v>Przychody z całokształtu działalności</c:v>
                </c:pt>
              </c:strCache>
            </c:strRef>
          </c:tx>
          <c:spPr>
            <a:solidFill>
              <a:schemeClr val="accent1"/>
            </a:solidFill>
            <a:ln>
              <a:noFill/>
            </a:ln>
            <a:effectLst/>
          </c:spPr>
          <c:invertIfNegative val="0"/>
          <c:cat>
            <c:numRef>
              <c:f>Energia!$D$17:$D$21</c:f>
              <c:numCache>
                <c:formatCode>General</c:formatCode>
                <c:ptCount val="5"/>
                <c:pt idx="0">
                  <c:v>2017</c:v>
                </c:pt>
                <c:pt idx="1">
                  <c:v>2018</c:v>
                </c:pt>
                <c:pt idx="2">
                  <c:v>2019</c:v>
                </c:pt>
                <c:pt idx="3">
                  <c:v>2020</c:v>
                </c:pt>
                <c:pt idx="4">
                  <c:v>2021</c:v>
                </c:pt>
              </c:numCache>
            </c:numRef>
          </c:cat>
          <c:val>
            <c:numRef>
              <c:f>Energia!$E$17:$E$21</c:f>
              <c:numCache>
                <c:formatCode>_(* #,##0.00_);_(* \(#,##0.00\);_(* "-"??_);_(@_)</c:formatCode>
                <c:ptCount val="5"/>
                <c:pt idx="0">
                  <c:v>3.6</c:v>
                </c:pt>
                <c:pt idx="1">
                  <c:v>4.2</c:v>
                </c:pt>
                <c:pt idx="2">
                  <c:v>4.4000000000000004</c:v>
                </c:pt>
                <c:pt idx="3">
                  <c:v>4.4000000000000004</c:v>
                </c:pt>
                <c:pt idx="4">
                  <c:v>6</c:v>
                </c:pt>
              </c:numCache>
            </c:numRef>
          </c:val>
          <c:extLst>
            <c:ext xmlns:c16="http://schemas.microsoft.com/office/drawing/2014/chart" uri="{C3380CC4-5D6E-409C-BE32-E72D297353CC}">
              <c16:uniqueId val="{00000000-A76C-4DED-8632-208D2C90A23F}"/>
            </c:ext>
          </c:extLst>
        </c:ser>
        <c:ser>
          <c:idx val="1"/>
          <c:order val="1"/>
          <c:tx>
            <c:strRef>
              <c:f>Energia!$F$16</c:f>
              <c:strCache>
                <c:ptCount val="1"/>
                <c:pt idx="0">
                  <c:v>Koszty uzyskania przychodów z całokształtu działalności</c:v>
                </c:pt>
              </c:strCache>
            </c:strRef>
          </c:tx>
          <c:spPr>
            <a:solidFill>
              <a:schemeClr val="accent2"/>
            </a:solidFill>
            <a:ln>
              <a:noFill/>
            </a:ln>
            <a:effectLst/>
          </c:spPr>
          <c:invertIfNegative val="0"/>
          <c:cat>
            <c:numRef>
              <c:f>Energia!$D$17:$D$21</c:f>
              <c:numCache>
                <c:formatCode>General</c:formatCode>
                <c:ptCount val="5"/>
                <c:pt idx="0">
                  <c:v>2017</c:v>
                </c:pt>
                <c:pt idx="1">
                  <c:v>2018</c:v>
                </c:pt>
                <c:pt idx="2">
                  <c:v>2019</c:v>
                </c:pt>
                <c:pt idx="3">
                  <c:v>2020</c:v>
                </c:pt>
                <c:pt idx="4">
                  <c:v>2021</c:v>
                </c:pt>
              </c:numCache>
            </c:numRef>
          </c:cat>
          <c:val>
            <c:numRef>
              <c:f>Energia!$F$17:$F$21</c:f>
              <c:numCache>
                <c:formatCode>_(* #,##0.00_);_(* \(#,##0.00\);_(* "-"??_);_(@_)</c:formatCode>
                <c:ptCount val="5"/>
                <c:pt idx="0">
                  <c:v>3.4</c:v>
                </c:pt>
                <c:pt idx="1">
                  <c:v>3.9</c:v>
                </c:pt>
                <c:pt idx="2">
                  <c:v>4.2</c:v>
                </c:pt>
                <c:pt idx="3">
                  <c:v>4.5</c:v>
                </c:pt>
                <c:pt idx="4">
                  <c:v>5.3</c:v>
                </c:pt>
              </c:numCache>
            </c:numRef>
          </c:val>
          <c:extLst>
            <c:ext xmlns:c16="http://schemas.microsoft.com/office/drawing/2014/chart" uri="{C3380CC4-5D6E-409C-BE32-E72D297353CC}">
              <c16:uniqueId val="{00000001-A76C-4DED-8632-208D2C90A23F}"/>
            </c:ext>
          </c:extLst>
        </c:ser>
        <c:dLbls>
          <c:showLegendKey val="0"/>
          <c:showVal val="0"/>
          <c:showCatName val="0"/>
          <c:showSerName val="0"/>
          <c:showPercent val="0"/>
          <c:showBubbleSize val="0"/>
        </c:dLbls>
        <c:gapWidth val="219"/>
        <c:overlap val="-27"/>
        <c:axId val="461097248"/>
        <c:axId val="461095680"/>
      </c:barChart>
      <c:lineChart>
        <c:grouping val="standard"/>
        <c:varyColors val="0"/>
        <c:ser>
          <c:idx val="2"/>
          <c:order val="2"/>
          <c:tx>
            <c:strRef>
              <c:f>Energia!$G$16</c:f>
              <c:strCache>
                <c:ptCount val="1"/>
                <c:pt idx="0">
                  <c:v>Wskaźnik poziomu kosztów z całokształtu działalności</c:v>
                </c:pt>
              </c:strCache>
            </c:strRef>
          </c:tx>
          <c:spPr>
            <a:ln w="28575" cap="rnd">
              <a:solidFill>
                <a:schemeClr val="accent3"/>
              </a:solidFill>
              <a:round/>
            </a:ln>
            <a:effectLst/>
          </c:spPr>
          <c:marker>
            <c:symbol val="none"/>
          </c:marker>
          <c:cat>
            <c:numRef>
              <c:f>Energia!$D$17:$D$21</c:f>
              <c:numCache>
                <c:formatCode>General</c:formatCode>
                <c:ptCount val="5"/>
                <c:pt idx="0">
                  <c:v>2017</c:v>
                </c:pt>
                <c:pt idx="1">
                  <c:v>2018</c:v>
                </c:pt>
                <c:pt idx="2">
                  <c:v>2019</c:v>
                </c:pt>
                <c:pt idx="3">
                  <c:v>2020</c:v>
                </c:pt>
                <c:pt idx="4">
                  <c:v>2021</c:v>
                </c:pt>
              </c:numCache>
            </c:numRef>
          </c:cat>
          <c:val>
            <c:numRef>
              <c:f>Energia!$G$17:$G$21</c:f>
              <c:numCache>
                <c:formatCode>0.0</c:formatCode>
                <c:ptCount val="5"/>
                <c:pt idx="0">
                  <c:v>93.6</c:v>
                </c:pt>
                <c:pt idx="1">
                  <c:v>94</c:v>
                </c:pt>
                <c:pt idx="2">
                  <c:v>94</c:v>
                </c:pt>
                <c:pt idx="3">
                  <c:v>102.2</c:v>
                </c:pt>
                <c:pt idx="4">
                  <c:v>89.3</c:v>
                </c:pt>
              </c:numCache>
            </c:numRef>
          </c:val>
          <c:smooth val="0"/>
          <c:extLst>
            <c:ext xmlns:c16="http://schemas.microsoft.com/office/drawing/2014/chart" uri="{C3380CC4-5D6E-409C-BE32-E72D297353CC}">
              <c16:uniqueId val="{00000002-A76C-4DED-8632-208D2C90A23F}"/>
            </c:ext>
          </c:extLst>
        </c:ser>
        <c:dLbls>
          <c:showLegendKey val="0"/>
          <c:showVal val="0"/>
          <c:showCatName val="0"/>
          <c:showSerName val="0"/>
          <c:showPercent val="0"/>
          <c:showBubbleSize val="0"/>
        </c:dLbls>
        <c:marker val="1"/>
        <c:smooth val="0"/>
        <c:axId val="461100776"/>
        <c:axId val="461096072"/>
      </c:lineChart>
      <c:catAx>
        <c:axId val="46109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1095680"/>
        <c:crosses val="autoZero"/>
        <c:auto val="1"/>
        <c:lblAlgn val="ctr"/>
        <c:lblOffset val="100"/>
        <c:noMultiLvlLbl val="0"/>
      </c:catAx>
      <c:valAx>
        <c:axId val="461095680"/>
        <c:scaling>
          <c:orientation val="minMax"/>
          <c:min val="2"/>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1097248"/>
        <c:crosses val="autoZero"/>
        <c:crossBetween val="between"/>
      </c:valAx>
      <c:valAx>
        <c:axId val="46109607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1100776"/>
        <c:crosses val="max"/>
        <c:crossBetween val="between"/>
      </c:valAx>
      <c:catAx>
        <c:axId val="461100776"/>
        <c:scaling>
          <c:orientation val="minMax"/>
        </c:scaling>
        <c:delete val="1"/>
        <c:axPos val="b"/>
        <c:numFmt formatCode="General" sourceLinked="1"/>
        <c:majorTickMark val="out"/>
        <c:minorTickMark val="none"/>
        <c:tickLblPos val="nextTo"/>
        <c:crossAx val="4610960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sz="1000"/>
              <a:t>%</a:t>
            </a:r>
          </a:p>
        </c:rich>
      </c:tx>
      <c:layout>
        <c:manualLayout>
          <c:xMode val="edge"/>
          <c:yMode val="edge"/>
          <c:x val="6.1825584522782709E-2"/>
          <c:y val="3.8095238095238099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Energia!$S$13</c:f>
              <c:strCache>
                <c:ptCount val="1"/>
                <c:pt idx="0">
                  <c:v>Polska</c:v>
                </c:pt>
              </c:strCache>
            </c:strRef>
          </c:tx>
          <c:spPr>
            <a:solidFill>
              <a:schemeClr val="accent1"/>
            </a:solidFill>
            <a:ln>
              <a:noFill/>
            </a:ln>
            <a:effectLst/>
          </c:spPr>
          <c:invertIfNegative val="0"/>
          <c:cat>
            <c:numRef>
              <c:f>Energia!$R$14:$R$18</c:f>
              <c:numCache>
                <c:formatCode>General</c:formatCode>
                <c:ptCount val="5"/>
                <c:pt idx="0">
                  <c:v>2017</c:v>
                </c:pt>
                <c:pt idx="1">
                  <c:v>2018</c:v>
                </c:pt>
                <c:pt idx="2">
                  <c:v>2019</c:v>
                </c:pt>
                <c:pt idx="3">
                  <c:v>2020</c:v>
                </c:pt>
                <c:pt idx="4">
                  <c:v>2021</c:v>
                </c:pt>
              </c:numCache>
            </c:numRef>
          </c:cat>
          <c:val>
            <c:numRef>
              <c:f>Energia!$S$14:$S$18</c:f>
              <c:numCache>
                <c:formatCode>General</c:formatCode>
                <c:ptCount val="5"/>
                <c:pt idx="0" formatCode="0.0">
                  <c:v>23</c:v>
                </c:pt>
                <c:pt idx="1">
                  <c:v>22.8</c:v>
                </c:pt>
                <c:pt idx="2" formatCode="0.0">
                  <c:v>23</c:v>
                </c:pt>
                <c:pt idx="3">
                  <c:v>22.9</c:v>
                </c:pt>
                <c:pt idx="4">
                  <c:v>23.5</c:v>
                </c:pt>
              </c:numCache>
            </c:numRef>
          </c:val>
          <c:extLst>
            <c:ext xmlns:c16="http://schemas.microsoft.com/office/drawing/2014/chart" uri="{C3380CC4-5D6E-409C-BE32-E72D297353CC}">
              <c16:uniqueId val="{00000000-2E29-481A-9219-D2751077AF74}"/>
            </c:ext>
          </c:extLst>
        </c:ser>
        <c:ser>
          <c:idx val="1"/>
          <c:order val="1"/>
          <c:tx>
            <c:strRef>
              <c:f>Energia!$T$13</c:f>
              <c:strCache>
                <c:ptCount val="1"/>
                <c:pt idx="0">
                  <c:v>woj. podkarpackie</c:v>
                </c:pt>
              </c:strCache>
            </c:strRef>
          </c:tx>
          <c:spPr>
            <a:solidFill>
              <a:schemeClr val="accent2"/>
            </a:solidFill>
            <a:ln>
              <a:noFill/>
            </a:ln>
            <a:effectLst/>
          </c:spPr>
          <c:invertIfNegative val="0"/>
          <c:cat>
            <c:numRef>
              <c:f>Energia!$R$14:$R$18</c:f>
              <c:numCache>
                <c:formatCode>General</c:formatCode>
                <c:ptCount val="5"/>
                <c:pt idx="0">
                  <c:v>2017</c:v>
                </c:pt>
                <c:pt idx="1">
                  <c:v>2018</c:v>
                </c:pt>
                <c:pt idx="2">
                  <c:v>2019</c:v>
                </c:pt>
                <c:pt idx="3">
                  <c:v>2020</c:v>
                </c:pt>
                <c:pt idx="4">
                  <c:v>2021</c:v>
                </c:pt>
              </c:numCache>
            </c:numRef>
          </c:cat>
          <c:val>
            <c:numRef>
              <c:f>Energia!$T$14:$T$18</c:f>
              <c:numCache>
                <c:formatCode>General</c:formatCode>
                <c:ptCount val="5"/>
                <c:pt idx="0">
                  <c:v>23.5</c:v>
                </c:pt>
                <c:pt idx="1">
                  <c:v>24.2</c:v>
                </c:pt>
                <c:pt idx="2">
                  <c:v>24.3</c:v>
                </c:pt>
                <c:pt idx="3">
                  <c:v>23.2</c:v>
                </c:pt>
                <c:pt idx="4">
                  <c:v>24.4</c:v>
                </c:pt>
              </c:numCache>
            </c:numRef>
          </c:val>
          <c:extLst>
            <c:ext xmlns:c16="http://schemas.microsoft.com/office/drawing/2014/chart" uri="{C3380CC4-5D6E-409C-BE32-E72D297353CC}">
              <c16:uniqueId val="{00000001-2E29-481A-9219-D2751077AF74}"/>
            </c:ext>
          </c:extLst>
        </c:ser>
        <c:ser>
          <c:idx val="2"/>
          <c:order val="2"/>
          <c:tx>
            <c:strRef>
              <c:f>Energia!$U$13</c:f>
              <c:strCache>
                <c:ptCount val="1"/>
                <c:pt idx="0">
                  <c:v>Energia przyjazna środowisku</c:v>
                </c:pt>
              </c:strCache>
            </c:strRef>
          </c:tx>
          <c:spPr>
            <a:solidFill>
              <a:schemeClr val="accent3"/>
            </a:solidFill>
            <a:ln>
              <a:noFill/>
            </a:ln>
            <a:effectLst/>
          </c:spPr>
          <c:invertIfNegative val="0"/>
          <c:cat>
            <c:numRef>
              <c:f>Energia!$R$14:$R$18</c:f>
              <c:numCache>
                <c:formatCode>General</c:formatCode>
                <c:ptCount val="5"/>
                <c:pt idx="0">
                  <c:v>2017</c:v>
                </c:pt>
                <c:pt idx="1">
                  <c:v>2018</c:v>
                </c:pt>
                <c:pt idx="2">
                  <c:v>2019</c:v>
                </c:pt>
                <c:pt idx="3">
                  <c:v>2020</c:v>
                </c:pt>
                <c:pt idx="4">
                  <c:v>2021</c:v>
                </c:pt>
              </c:numCache>
            </c:numRef>
          </c:cat>
          <c:val>
            <c:numRef>
              <c:f>Energia!$U$14:$U$18</c:f>
              <c:numCache>
                <c:formatCode>0.0</c:formatCode>
                <c:ptCount val="5"/>
                <c:pt idx="0">
                  <c:v>7.3</c:v>
                </c:pt>
                <c:pt idx="1">
                  <c:v>8</c:v>
                </c:pt>
                <c:pt idx="2">
                  <c:v>8</c:v>
                </c:pt>
                <c:pt idx="3">
                  <c:v>6.7</c:v>
                </c:pt>
                <c:pt idx="4">
                  <c:v>5.7</c:v>
                </c:pt>
              </c:numCache>
            </c:numRef>
          </c:val>
          <c:extLst>
            <c:ext xmlns:c16="http://schemas.microsoft.com/office/drawing/2014/chart" uri="{C3380CC4-5D6E-409C-BE32-E72D297353CC}">
              <c16:uniqueId val="{00000002-2E29-481A-9219-D2751077AF74}"/>
            </c:ext>
          </c:extLst>
        </c:ser>
        <c:dLbls>
          <c:showLegendKey val="0"/>
          <c:showVal val="0"/>
          <c:showCatName val="0"/>
          <c:showSerName val="0"/>
          <c:showPercent val="0"/>
          <c:showBubbleSize val="0"/>
        </c:dLbls>
        <c:gapWidth val="219"/>
        <c:overlap val="-27"/>
        <c:axId val="461094896"/>
        <c:axId val="461098424"/>
      </c:barChart>
      <c:catAx>
        <c:axId val="46109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1098424"/>
        <c:crosses val="autoZero"/>
        <c:auto val="1"/>
        <c:lblAlgn val="ctr"/>
        <c:lblOffset val="100"/>
        <c:noMultiLvlLbl val="0"/>
      </c:catAx>
      <c:valAx>
        <c:axId val="4610984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1094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sz="1000"/>
              <a:t>%</a:t>
            </a:r>
          </a:p>
        </c:rich>
      </c:tx>
      <c:layout>
        <c:manualLayout>
          <c:xMode val="edge"/>
          <c:yMode val="edge"/>
          <c:x val="8.7385763526547131E-2"/>
          <c:y val="3.053446097015651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Energia!$L$16</c:f>
              <c:strCache>
                <c:ptCount val="1"/>
                <c:pt idx="0">
                  <c:v>Rentowność sprzedaży</c:v>
                </c:pt>
              </c:strCache>
            </c:strRef>
          </c:tx>
          <c:spPr>
            <a:solidFill>
              <a:schemeClr val="accent1"/>
            </a:solidFill>
            <a:ln>
              <a:noFill/>
            </a:ln>
            <a:effectLst/>
          </c:spPr>
          <c:invertIfNegative val="0"/>
          <c:cat>
            <c:numRef>
              <c:f>Energia!$K$17:$K$21</c:f>
              <c:numCache>
                <c:formatCode>General</c:formatCode>
                <c:ptCount val="5"/>
                <c:pt idx="0">
                  <c:v>2017</c:v>
                </c:pt>
                <c:pt idx="1">
                  <c:v>2018</c:v>
                </c:pt>
                <c:pt idx="2">
                  <c:v>2019</c:v>
                </c:pt>
                <c:pt idx="3">
                  <c:v>2020</c:v>
                </c:pt>
                <c:pt idx="4">
                  <c:v>2021</c:v>
                </c:pt>
              </c:numCache>
            </c:numRef>
          </c:cat>
          <c:val>
            <c:numRef>
              <c:f>Energia!$L$17:$L$21</c:f>
              <c:numCache>
                <c:formatCode>0.0</c:formatCode>
                <c:ptCount val="5"/>
                <c:pt idx="0">
                  <c:v>5.9</c:v>
                </c:pt>
                <c:pt idx="1">
                  <c:v>6.9</c:v>
                </c:pt>
                <c:pt idx="2">
                  <c:v>6.6</c:v>
                </c:pt>
                <c:pt idx="3">
                  <c:v>2.2000000000000002</c:v>
                </c:pt>
                <c:pt idx="4">
                  <c:v>6.5</c:v>
                </c:pt>
              </c:numCache>
            </c:numRef>
          </c:val>
          <c:extLst>
            <c:ext xmlns:c16="http://schemas.microsoft.com/office/drawing/2014/chart" uri="{C3380CC4-5D6E-409C-BE32-E72D297353CC}">
              <c16:uniqueId val="{00000000-F19C-486F-8653-2C84E76286F0}"/>
            </c:ext>
          </c:extLst>
        </c:ser>
        <c:ser>
          <c:idx val="1"/>
          <c:order val="1"/>
          <c:tx>
            <c:strRef>
              <c:f>Energia!$M$16</c:f>
              <c:strCache>
                <c:ptCount val="1"/>
                <c:pt idx="0">
                  <c:v>Rentowność aktywów</c:v>
                </c:pt>
              </c:strCache>
            </c:strRef>
          </c:tx>
          <c:spPr>
            <a:solidFill>
              <a:schemeClr val="accent2"/>
            </a:solidFill>
            <a:ln>
              <a:noFill/>
            </a:ln>
            <a:effectLst/>
          </c:spPr>
          <c:invertIfNegative val="0"/>
          <c:cat>
            <c:numRef>
              <c:f>Energia!$K$17:$K$21</c:f>
              <c:numCache>
                <c:formatCode>General</c:formatCode>
                <c:ptCount val="5"/>
                <c:pt idx="0">
                  <c:v>2017</c:v>
                </c:pt>
                <c:pt idx="1">
                  <c:v>2018</c:v>
                </c:pt>
                <c:pt idx="2">
                  <c:v>2019</c:v>
                </c:pt>
                <c:pt idx="3">
                  <c:v>2020</c:v>
                </c:pt>
                <c:pt idx="4">
                  <c:v>2021</c:v>
                </c:pt>
              </c:numCache>
            </c:numRef>
          </c:cat>
          <c:val>
            <c:numRef>
              <c:f>Energia!$M$17:$M$21</c:f>
              <c:numCache>
                <c:formatCode>0.0</c:formatCode>
                <c:ptCount val="5"/>
                <c:pt idx="0">
                  <c:v>6.9</c:v>
                </c:pt>
                <c:pt idx="1">
                  <c:v>4.5</c:v>
                </c:pt>
                <c:pt idx="2">
                  <c:v>4.3</c:v>
                </c:pt>
                <c:pt idx="3">
                  <c:v>0</c:v>
                </c:pt>
                <c:pt idx="4">
                  <c:v>10.7</c:v>
                </c:pt>
              </c:numCache>
            </c:numRef>
          </c:val>
          <c:extLst>
            <c:ext xmlns:c16="http://schemas.microsoft.com/office/drawing/2014/chart" uri="{C3380CC4-5D6E-409C-BE32-E72D297353CC}">
              <c16:uniqueId val="{00000001-F19C-486F-8653-2C84E76286F0}"/>
            </c:ext>
          </c:extLst>
        </c:ser>
        <c:ser>
          <c:idx val="2"/>
          <c:order val="2"/>
          <c:tx>
            <c:strRef>
              <c:f>Energia!$N$16</c:f>
              <c:strCache>
                <c:ptCount val="1"/>
                <c:pt idx="0">
                  <c:v>Rentowność kapitału własnego</c:v>
                </c:pt>
              </c:strCache>
            </c:strRef>
          </c:tx>
          <c:spPr>
            <a:solidFill>
              <a:schemeClr val="accent3"/>
            </a:solidFill>
            <a:ln>
              <a:noFill/>
            </a:ln>
            <a:effectLst/>
          </c:spPr>
          <c:invertIfNegative val="0"/>
          <c:cat>
            <c:numRef>
              <c:f>Energia!$K$17:$K$21</c:f>
              <c:numCache>
                <c:formatCode>General</c:formatCode>
                <c:ptCount val="5"/>
                <c:pt idx="0">
                  <c:v>2017</c:v>
                </c:pt>
                <c:pt idx="1">
                  <c:v>2018</c:v>
                </c:pt>
                <c:pt idx="2">
                  <c:v>2019</c:v>
                </c:pt>
                <c:pt idx="3">
                  <c:v>2020</c:v>
                </c:pt>
                <c:pt idx="4">
                  <c:v>2021</c:v>
                </c:pt>
              </c:numCache>
            </c:numRef>
          </c:cat>
          <c:val>
            <c:numRef>
              <c:f>Energia!$N$17:$N$21</c:f>
              <c:numCache>
                <c:formatCode>0.0</c:formatCode>
                <c:ptCount val="5"/>
                <c:pt idx="0">
                  <c:v>15.4</c:v>
                </c:pt>
                <c:pt idx="1">
                  <c:v>15.4</c:v>
                </c:pt>
                <c:pt idx="2">
                  <c:v>20.7</c:v>
                </c:pt>
                <c:pt idx="3">
                  <c:v>0</c:v>
                </c:pt>
                <c:pt idx="4">
                  <c:v>113.9</c:v>
                </c:pt>
              </c:numCache>
            </c:numRef>
          </c:val>
          <c:extLst>
            <c:ext xmlns:c16="http://schemas.microsoft.com/office/drawing/2014/chart" uri="{C3380CC4-5D6E-409C-BE32-E72D297353CC}">
              <c16:uniqueId val="{00000002-F19C-486F-8653-2C84E76286F0}"/>
            </c:ext>
          </c:extLst>
        </c:ser>
        <c:dLbls>
          <c:showLegendKey val="0"/>
          <c:showVal val="0"/>
          <c:showCatName val="0"/>
          <c:showSerName val="0"/>
          <c:showPercent val="0"/>
          <c:showBubbleSize val="0"/>
        </c:dLbls>
        <c:gapWidth val="219"/>
        <c:overlap val="-27"/>
        <c:axId val="461099992"/>
        <c:axId val="645178936"/>
      </c:barChart>
      <c:catAx>
        <c:axId val="461099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45178936"/>
        <c:crosses val="autoZero"/>
        <c:auto val="1"/>
        <c:lblAlgn val="ctr"/>
        <c:lblOffset val="100"/>
        <c:noMultiLvlLbl val="0"/>
      </c:catAx>
      <c:valAx>
        <c:axId val="6451789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461099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sz="1000"/>
              <a:t>mln zł</a:t>
            </a:r>
          </a:p>
        </c:rich>
      </c:tx>
      <c:layout>
        <c:manualLayout>
          <c:xMode val="edge"/>
          <c:yMode val="edge"/>
          <c:x val="7.2069335083114638E-2"/>
          <c:y val="6.3926940639269403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Energia!$C$67</c:f>
              <c:strCache>
                <c:ptCount val="1"/>
                <c:pt idx="0">
                  <c:v>woj. podkarpackie</c:v>
                </c:pt>
              </c:strCache>
            </c:strRef>
          </c:tx>
          <c:spPr>
            <a:solidFill>
              <a:schemeClr val="accent1"/>
            </a:solidFill>
            <a:ln>
              <a:noFill/>
            </a:ln>
            <a:effectLst/>
          </c:spPr>
          <c:invertIfNegative val="0"/>
          <c:cat>
            <c:numRef>
              <c:f>Energia!$B$68:$B$72</c:f>
              <c:numCache>
                <c:formatCode>General</c:formatCode>
                <c:ptCount val="5"/>
                <c:pt idx="0">
                  <c:v>2017</c:v>
                </c:pt>
                <c:pt idx="1">
                  <c:v>2018</c:v>
                </c:pt>
                <c:pt idx="2">
                  <c:v>2019</c:v>
                </c:pt>
                <c:pt idx="3">
                  <c:v>2020</c:v>
                </c:pt>
                <c:pt idx="4">
                  <c:v>2021</c:v>
                </c:pt>
              </c:numCache>
            </c:numRef>
          </c:cat>
          <c:val>
            <c:numRef>
              <c:f>Energia!$C$68:$C$72</c:f>
              <c:numCache>
                <c:formatCode>General</c:formatCode>
                <c:ptCount val="5"/>
                <c:pt idx="0">
                  <c:v>5</c:v>
                </c:pt>
                <c:pt idx="1">
                  <c:v>4.2</c:v>
                </c:pt>
                <c:pt idx="2">
                  <c:v>5</c:v>
                </c:pt>
                <c:pt idx="3">
                  <c:v>5.5</c:v>
                </c:pt>
                <c:pt idx="4">
                  <c:v>7.4</c:v>
                </c:pt>
              </c:numCache>
            </c:numRef>
          </c:val>
          <c:extLst>
            <c:ext xmlns:c16="http://schemas.microsoft.com/office/drawing/2014/chart" uri="{C3380CC4-5D6E-409C-BE32-E72D297353CC}">
              <c16:uniqueId val="{00000000-9BDA-44C8-A59F-763DCFFF7E77}"/>
            </c:ext>
          </c:extLst>
        </c:ser>
        <c:ser>
          <c:idx val="1"/>
          <c:order val="1"/>
          <c:tx>
            <c:strRef>
              <c:f>Energia!$D$67</c:f>
              <c:strCache>
                <c:ptCount val="1"/>
                <c:pt idx="0">
                  <c:v>Energia przyjazna środowisku</c:v>
                </c:pt>
              </c:strCache>
            </c:strRef>
          </c:tx>
          <c:spPr>
            <a:solidFill>
              <a:schemeClr val="accent2"/>
            </a:solidFill>
            <a:ln>
              <a:noFill/>
            </a:ln>
            <a:effectLst/>
          </c:spPr>
          <c:invertIfNegative val="0"/>
          <c:cat>
            <c:numRef>
              <c:f>Energia!$B$68:$B$72</c:f>
              <c:numCache>
                <c:formatCode>General</c:formatCode>
                <c:ptCount val="5"/>
                <c:pt idx="0">
                  <c:v>2017</c:v>
                </c:pt>
                <c:pt idx="1">
                  <c:v>2018</c:v>
                </c:pt>
                <c:pt idx="2">
                  <c:v>2019</c:v>
                </c:pt>
                <c:pt idx="3">
                  <c:v>2020</c:v>
                </c:pt>
                <c:pt idx="4">
                  <c:v>2021</c:v>
                </c:pt>
              </c:numCache>
            </c:numRef>
          </c:cat>
          <c:val>
            <c:numRef>
              <c:f>Energia!$D$68:$D$72</c:f>
              <c:numCache>
                <c:formatCode>General</c:formatCode>
                <c:ptCount val="5"/>
                <c:pt idx="0">
                  <c:v>0.2</c:v>
                </c:pt>
                <c:pt idx="1">
                  <c:v>0.2</c:v>
                </c:pt>
                <c:pt idx="2">
                  <c:v>0.2</c:v>
                </c:pt>
                <c:pt idx="3">
                  <c:v>0</c:v>
                </c:pt>
                <c:pt idx="4">
                  <c:v>0.6</c:v>
                </c:pt>
              </c:numCache>
            </c:numRef>
          </c:val>
          <c:extLst>
            <c:ext xmlns:c16="http://schemas.microsoft.com/office/drawing/2014/chart" uri="{C3380CC4-5D6E-409C-BE32-E72D297353CC}">
              <c16:uniqueId val="{00000001-9BDA-44C8-A59F-763DCFFF7E77}"/>
            </c:ext>
          </c:extLst>
        </c:ser>
        <c:dLbls>
          <c:showLegendKey val="0"/>
          <c:showVal val="0"/>
          <c:showCatName val="0"/>
          <c:showSerName val="0"/>
          <c:showPercent val="0"/>
          <c:showBubbleSize val="0"/>
        </c:dLbls>
        <c:gapWidth val="219"/>
        <c:overlap val="-27"/>
        <c:axId val="645173448"/>
        <c:axId val="645179328"/>
      </c:barChart>
      <c:catAx>
        <c:axId val="645173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45179328"/>
        <c:crosses val="autoZero"/>
        <c:auto val="1"/>
        <c:lblAlgn val="ctr"/>
        <c:lblOffset val="100"/>
        <c:noMultiLvlLbl val="0"/>
      </c:catAx>
      <c:valAx>
        <c:axId val="6451793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645173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Energia!$C$40</c:f>
              <c:strCache>
                <c:ptCount val="1"/>
                <c:pt idx="0">
                  <c:v>woj. podkarpackie</c:v>
                </c:pt>
              </c:strCache>
            </c:strRef>
          </c:tx>
          <c:spPr>
            <a:ln w="28575" cap="rnd">
              <a:solidFill>
                <a:schemeClr val="accent1"/>
              </a:solidFill>
              <a:round/>
            </a:ln>
            <a:effectLst/>
          </c:spPr>
          <c:marker>
            <c:symbol val="none"/>
          </c:marker>
          <c:cat>
            <c:numRef>
              <c:f>Energia!$B$41:$B$44</c:f>
              <c:numCache>
                <c:formatCode>General</c:formatCode>
                <c:ptCount val="4"/>
                <c:pt idx="0">
                  <c:v>2018</c:v>
                </c:pt>
                <c:pt idx="1">
                  <c:v>2019</c:v>
                </c:pt>
                <c:pt idx="2">
                  <c:v>2020</c:v>
                </c:pt>
                <c:pt idx="3">
                  <c:v>2021</c:v>
                </c:pt>
              </c:numCache>
            </c:numRef>
          </c:cat>
          <c:val>
            <c:numRef>
              <c:f>Energia!$C$41:$C$44</c:f>
              <c:numCache>
                <c:formatCode>General</c:formatCode>
                <c:ptCount val="4"/>
                <c:pt idx="0">
                  <c:v>103.7</c:v>
                </c:pt>
                <c:pt idx="1">
                  <c:v>99.8</c:v>
                </c:pt>
                <c:pt idx="2">
                  <c:v>94</c:v>
                </c:pt>
                <c:pt idx="3">
                  <c:v>100.8</c:v>
                </c:pt>
              </c:numCache>
            </c:numRef>
          </c:val>
          <c:smooth val="0"/>
          <c:extLst>
            <c:ext xmlns:c16="http://schemas.microsoft.com/office/drawing/2014/chart" uri="{C3380CC4-5D6E-409C-BE32-E72D297353CC}">
              <c16:uniqueId val="{00000000-3846-44BD-BDEB-387851CDE527}"/>
            </c:ext>
          </c:extLst>
        </c:ser>
        <c:ser>
          <c:idx val="1"/>
          <c:order val="1"/>
          <c:tx>
            <c:strRef>
              <c:f>Energia!$D$40</c:f>
              <c:strCache>
                <c:ptCount val="1"/>
                <c:pt idx="0">
                  <c:v>Energia przyjazna środowisku</c:v>
                </c:pt>
              </c:strCache>
            </c:strRef>
          </c:tx>
          <c:spPr>
            <a:ln w="28575" cap="rnd">
              <a:solidFill>
                <a:schemeClr val="accent2"/>
              </a:solidFill>
              <a:round/>
            </a:ln>
            <a:effectLst/>
          </c:spPr>
          <c:marker>
            <c:symbol val="none"/>
          </c:marker>
          <c:cat>
            <c:numRef>
              <c:f>Energia!$B$41:$B$44</c:f>
              <c:numCache>
                <c:formatCode>General</c:formatCode>
                <c:ptCount val="4"/>
                <c:pt idx="0">
                  <c:v>2018</c:v>
                </c:pt>
                <c:pt idx="1">
                  <c:v>2019</c:v>
                </c:pt>
                <c:pt idx="2">
                  <c:v>2020</c:v>
                </c:pt>
                <c:pt idx="3">
                  <c:v>2021</c:v>
                </c:pt>
              </c:numCache>
            </c:numRef>
          </c:cat>
          <c:val>
            <c:numRef>
              <c:f>Energia!$D$41:$D$44</c:f>
              <c:numCache>
                <c:formatCode>General</c:formatCode>
                <c:ptCount val="4"/>
                <c:pt idx="0">
                  <c:v>102.7</c:v>
                </c:pt>
                <c:pt idx="1">
                  <c:v>100.8</c:v>
                </c:pt>
                <c:pt idx="2">
                  <c:v>98.4</c:v>
                </c:pt>
                <c:pt idx="3">
                  <c:v>96.3</c:v>
                </c:pt>
              </c:numCache>
            </c:numRef>
          </c:val>
          <c:smooth val="0"/>
          <c:extLst>
            <c:ext xmlns:c16="http://schemas.microsoft.com/office/drawing/2014/chart" uri="{C3380CC4-5D6E-409C-BE32-E72D297353CC}">
              <c16:uniqueId val="{00000001-3846-44BD-BDEB-387851CDE527}"/>
            </c:ext>
          </c:extLst>
        </c:ser>
        <c:dLbls>
          <c:showLegendKey val="0"/>
          <c:showVal val="0"/>
          <c:showCatName val="0"/>
          <c:showSerName val="0"/>
          <c:showPercent val="0"/>
          <c:showBubbleSize val="0"/>
        </c:dLbls>
        <c:smooth val="0"/>
        <c:axId val="645172664"/>
        <c:axId val="645178152"/>
      </c:lineChart>
      <c:catAx>
        <c:axId val="645172664"/>
        <c:scaling>
          <c:orientation val="minMax"/>
        </c:scaling>
        <c:delete val="0"/>
        <c:axPos val="b"/>
        <c:numFmt formatCode="General" sourceLinked="1"/>
        <c:majorTickMark val="none"/>
        <c:minorTickMark val="none"/>
        <c:tickLblPos val="low"/>
        <c:spPr>
          <a:noFill/>
          <a:ln w="19050" cap="flat" cmpd="sng" algn="ctr">
            <a:solidFill>
              <a:schemeClr val="tx1">
                <a:lumMod val="65000"/>
                <a:lumOff val="3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645178152"/>
        <c:crossesAt val="100"/>
        <c:auto val="1"/>
        <c:lblAlgn val="ctr"/>
        <c:lblOffset val="100"/>
        <c:noMultiLvlLbl val="0"/>
      </c:catAx>
      <c:valAx>
        <c:axId val="645178152"/>
        <c:scaling>
          <c:orientation val="minMax"/>
          <c:min val="92"/>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645172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483814523184598E-2"/>
          <c:y val="8.3333333333333329E-2"/>
          <c:w val="0.88396062992125979"/>
          <c:h val="0.67926655001458147"/>
        </c:manualLayout>
      </c:layout>
      <c:lineChart>
        <c:grouping val="standard"/>
        <c:varyColors val="0"/>
        <c:ser>
          <c:idx val="0"/>
          <c:order val="0"/>
          <c:tx>
            <c:strRef>
              <c:f>TABLICA!$B$25</c:f>
              <c:strCache>
                <c:ptCount val="1"/>
                <c:pt idx="0">
                  <c:v>Polska</c:v>
                </c:pt>
              </c:strCache>
            </c:strRef>
          </c:tx>
          <c:spPr>
            <a:ln w="28575" cap="rnd">
              <a:solidFill>
                <a:schemeClr val="accent1"/>
              </a:solidFill>
              <a:round/>
            </a:ln>
            <a:effectLst/>
          </c:spPr>
          <c:marker>
            <c:symbol val="none"/>
          </c:marker>
          <c:cat>
            <c:strRef>
              <c:f>TABLICA!$C$24:$H$24</c:f>
              <c:strCache>
                <c:ptCount val="6"/>
                <c:pt idx="0">
                  <c:v>2017</c:v>
                </c:pt>
                <c:pt idx="1">
                  <c:v>2018</c:v>
                </c:pt>
                <c:pt idx="2">
                  <c:v>2019</c:v>
                </c:pt>
                <c:pt idx="3">
                  <c:v>2020</c:v>
                </c:pt>
                <c:pt idx="4">
                  <c:v>2021</c:v>
                </c:pt>
                <c:pt idx="5">
                  <c:v>2022</c:v>
                </c:pt>
              </c:strCache>
            </c:strRef>
          </c:cat>
          <c:val>
            <c:numRef>
              <c:f>TABLICA!$C$25:$H$25</c:f>
              <c:numCache>
                <c:formatCode>#,##0.00</c:formatCode>
                <c:ptCount val="6"/>
                <c:pt idx="0">
                  <c:v>1.1599999999999999</c:v>
                </c:pt>
                <c:pt idx="1">
                  <c:v>1.25</c:v>
                </c:pt>
                <c:pt idx="2">
                  <c:v>1.32</c:v>
                </c:pt>
                <c:pt idx="3">
                  <c:v>1.39</c:v>
                </c:pt>
                <c:pt idx="4">
                  <c:v>1.5</c:v>
                </c:pt>
                <c:pt idx="5">
                  <c:v>1.57</c:v>
                </c:pt>
              </c:numCache>
            </c:numRef>
          </c:val>
          <c:smooth val="0"/>
          <c:extLst>
            <c:ext xmlns:c16="http://schemas.microsoft.com/office/drawing/2014/chart" uri="{C3380CC4-5D6E-409C-BE32-E72D297353CC}">
              <c16:uniqueId val="{00000000-FD7F-4A99-A67B-1E30EFE94249}"/>
            </c:ext>
          </c:extLst>
        </c:ser>
        <c:ser>
          <c:idx val="1"/>
          <c:order val="1"/>
          <c:tx>
            <c:strRef>
              <c:f>TABLICA!$B$26</c:f>
              <c:strCache>
                <c:ptCount val="1"/>
                <c:pt idx="0">
                  <c:v>woj. podkarpackie</c:v>
                </c:pt>
              </c:strCache>
            </c:strRef>
          </c:tx>
          <c:spPr>
            <a:ln w="28575" cap="rnd">
              <a:solidFill>
                <a:schemeClr val="accent2"/>
              </a:solidFill>
              <a:round/>
            </a:ln>
            <a:effectLst/>
          </c:spPr>
          <c:marker>
            <c:symbol val="none"/>
          </c:marker>
          <c:cat>
            <c:strRef>
              <c:f>TABLICA!$C$24:$H$24</c:f>
              <c:strCache>
                <c:ptCount val="6"/>
                <c:pt idx="0">
                  <c:v>2017</c:v>
                </c:pt>
                <c:pt idx="1">
                  <c:v>2018</c:v>
                </c:pt>
                <c:pt idx="2">
                  <c:v>2019</c:v>
                </c:pt>
                <c:pt idx="3">
                  <c:v>2020</c:v>
                </c:pt>
                <c:pt idx="4">
                  <c:v>2021</c:v>
                </c:pt>
                <c:pt idx="5">
                  <c:v>2022</c:v>
                </c:pt>
              </c:strCache>
            </c:strRef>
          </c:cat>
          <c:val>
            <c:numRef>
              <c:f>TABLICA!$C$26:$H$26</c:f>
              <c:numCache>
                <c:formatCode>#,##0.00</c:formatCode>
                <c:ptCount val="6"/>
                <c:pt idx="0">
                  <c:v>0.97</c:v>
                </c:pt>
                <c:pt idx="1">
                  <c:v>1.01</c:v>
                </c:pt>
                <c:pt idx="2">
                  <c:v>1.03</c:v>
                </c:pt>
                <c:pt idx="3">
                  <c:v>1.0900000000000001</c:v>
                </c:pt>
                <c:pt idx="4">
                  <c:v>1.1299999999999999</c:v>
                </c:pt>
                <c:pt idx="5">
                  <c:v>1.0900000000000001</c:v>
                </c:pt>
              </c:numCache>
            </c:numRef>
          </c:val>
          <c:smooth val="0"/>
          <c:extLst>
            <c:ext xmlns:c16="http://schemas.microsoft.com/office/drawing/2014/chart" uri="{C3380CC4-5D6E-409C-BE32-E72D297353CC}">
              <c16:uniqueId val="{00000001-FD7F-4A99-A67B-1E30EFE94249}"/>
            </c:ext>
          </c:extLst>
        </c:ser>
        <c:dLbls>
          <c:showLegendKey val="0"/>
          <c:showVal val="0"/>
          <c:showCatName val="0"/>
          <c:showSerName val="0"/>
          <c:showPercent val="0"/>
          <c:showBubbleSize val="0"/>
        </c:dLbls>
        <c:smooth val="0"/>
        <c:axId val="522192920"/>
        <c:axId val="522200368"/>
      </c:lineChart>
      <c:catAx>
        <c:axId val="522192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t>%</a:t>
                </a:r>
              </a:p>
            </c:rich>
          </c:tx>
          <c:layout>
            <c:manualLayout>
              <c:xMode val="edge"/>
              <c:yMode val="edge"/>
              <c:x val="7.308902012248468E-2"/>
              <c:y val="4.2585301837270084E-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522200368"/>
        <c:crosses val="autoZero"/>
        <c:auto val="1"/>
        <c:lblAlgn val="ctr"/>
        <c:lblOffset val="100"/>
        <c:noMultiLvlLbl val="0"/>
      </c:catAx>
      <c:valAx>
        <c:axId val="522200368"/>
        <c:scaling>
          <c:orientation val="minMax"/>
          <c:max val="1.8"/>
          <c:min val="0.60000000000000009"/>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522192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sz="1000"/>
              <a:t>%</a:t>
            </a:r>
          </a:p>
        </c:rich>
      </c:tx>
      <c:layout>
        <c:manualLayout>
          <c:xMode val="edge"/>
          <c:yMode val="edge"/>
          <c:x val="6.767212577959919E-2"/>
          <c:y val="2.7777777777777776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lineChart>
        <c:grouping val="standard"/>
        <c:varyColors val="0"/>
        <c:ser>
          <c:idx val="0"/>
          <c:order val="0"/>
          <c:tx>
            <c:strRef>
              <c:f>TABLICA!$B$25</c:f>
              <c:strCache>
                <c:ptCount val="1"/>
                <c:pt idx="0">
                  <c:v>Polska</c:v>
                </c:pt>
              </c:strCache>
            </c:strRef>
          </c:tx>
          <c:spPr>
            <a:ln w="28575" cap="rnd">
              <a:solidFill>
                <a:schemeClr val="accent1"/>
              </a:solidFill>
              <a:round/>
            </a:ln>
            <a:effectLst/>
          </c:spPr>
          <c:marker>
            <c:symbol val="none"/>
          </c:marker>
          <c:cat>
            <c:strRef>
              <c:f>TABLICA!$C$24:$H$24</c:f>
              <c:strCache>
                <c:ptCount val="6"/>
                <c:pt idx="0">
                  <c:v>2017</c:v>
                </c:pt>
                <c:pt idx="1">
                  <c:v>2018</c:v>
                </c:pt>
                <c:pt idx="2">
                  <c:v>2019</c:v>
                </c:pt>
                <c:pt idx="3">
                  <c:v>2020</c:v>
                </c:pt>
                <c:pt idx="4">
                  <c:v>2021</c:v>
                </c:pt>
                <c:pt idx="5">
                  <c:v>2022</c:v>
                </c:pt>
              </c:strCache>
            </c:strRef>
          </c:cat>
          <c:val>
            <c:numRef>
              <c:f>TABLICA!$C$25:$H$25</c:f>
              <c:numCache>
                <c:formatCode>#,##0.00</c:formatCode>
                <c:ptCount val="6"/>
                <c:pt idx="0">
                  <c:v>1.1000000000000001</c:v>
                </c:pt>
                <c:pt idx="1">
                  <c:v>1.2</c:v>
                </c:pt>
                <c:pt idx="2">
                  <c:v>1.28</c:v>
                </c:pt>
                <c:pt idx="3">
                  <c:v>1.35</c:v>
                </c:pt>
                <c:pt idx="4">
                  <c:v>1.44</c:v>
                </c:pt>
                <c:pt idx="5">
                  <c:v>1.53</c:v>
                </c:pt>
              </c:numCache>
            </c:numRef>
          </c:val>
          <c:smooth val="0"/>
          <c:extLst>
            <c:ext xmlns:c16="http://schemas.microsoft.com/office/drawing/2014/chart" uri="{C3380CC4-5D6E-409C-BE32-E72D297353CC}">
              <c16:uniqueId val="{00000000-9107-4AF2-A810-A0BFCC468FAB}"/>
            </c:ext>
          </c:extLst>
        </c:ser>
        <c:ser>
          <c:idx val="1"/>
          <c:order val="1"/>
          <c:tx>
            <c:strRef>
              <c:f>TABLICA!$B$26</c:f>
              <c:strCache>
                <c:ptCount val="1"/>
                <c:pt idx="0">
                  <c:v>woj. podkarpackie</c:v>
                </c:pt>
              </c:strCache>
            </c:strRef>
          </c:tx>
          <c:spPr>
            <a:ln w="28575" cap="rnd">
              <a:solidFill>
                <a:schemeClr val="accent2"/>
              </a:solidFill>
              <a:round/>
            </a:ln>
            <a:effectLst/>
          </c:spPr>
          <c:marker>
            <c:symbol val="none"/>
          </c:marker>
          <c:cat>
            <c:strRef>
              <c:f>TABLICA!$C$24:$H$24</c:f>
              <c:strCache>
                <c:ptCount val="6"/>
                <c:pt idx="0">
                  <c:v>2017</c:v>
                </c:pt>
                <c:pt idx="1">
                  <c:v>2018</c:v>
                </c:pt>
                <c:pt idx="2">
                  <c:v>2019</c:v>
                </c:pt>
                <c:pt idx="3">
                  <c:v>2020</c:v>
                </c:pt>
                <c:pt idx="4">
                  <c:v>2021</c:v>
                </c:pt>
                <c:pt idx="5">
                  <c:v>2022</c:v>
                </c:pt>
              </c:strCache>
            </c:strRef>
          </c:cat>
          <c:val>
            <c:numRef>
              <c:f>TABLICA!$C$26:$H$26</c:f>
              <c:numCache>
                <c:formatCode>#,##0.00</c:formatCode>
                <c:ptCount val="6"/>
                <c:pt idx="0">
                  <c:v>0.88</c:v>
                </c:pt>
                <c:pt idx="1">
                  <c:v>0.94</c:v>
                </c:pt>
                <c:pt idx="2">
                  <c:v>0.97</c:v>
                </c:pt>
                <c:pt idx="3">
                  <c:v>1.04</c:v>
                </c:pt>
                <c:pt idx="4">
                  <c:v>1.08</c:v>
                </c:pt>
                <c:pt idx="5">
                  <c:v>1.04</c:v>
                </c:pt>
              </c:numCache>
            </c:numRef>
          </c:val>
          <c:smooth val="0"/>
          <c:extLst>
            <c:ext xmlns:c16="http://schemas.microsoft.com/office/drawing/2014/chart" uri="{C3380CC4-5D6E-409C-BE32-E72D297353CC}">
              <c16:uniqueId val="{00000001-9107-4AF2-A810-A0BFCC468FAB}"/>
            </c:ext>
          </c:extLst>
        </c:ser>
        <c:dLbls>
          <c:showLegendKey val="0"/>
          <c:showVal val="0"/>
          <c:showCatName val="0"/>
          <c:showSerName val="0"/>
          <c:showPercent val="0"/>
          <c:showBubbleSize val="0"/>
        </c:dLbls>
        <c:smooth val="0"/>
        <c:axId val="522201544"/>
        <c:axId val="522201936"/>
      </c:lineChart>
      <c:catAx>
        <c:axId val="522201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522201936"/>
        <c:crosses val="autoZero"/>
        <c:auto val="1"/>
        <c:lblAlgn val="ctr"/>
        <c:lblOffset val="100"/>
        <c:noMultiLvlLbl val="0"/>
      </c:catAx>
      <c:valAx>
        <c:axId val="522201936"/>
        <c:scaling>
          <c:orientation val="minMax"/>
          <c:min val="0.4"/>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522201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r>
              <a:rPr lang="pl-PL" sz="1000"/>
              <a:t>%</a:t>
            </a:r>
          </a:p>
        </c:rich>
      </c:tx>
      <c:layout>
        <c:manualLayout>
          <c:xMode val="edge"/>
          <c:yMode val="edge"/>
          <c:x val="9.28814780505378E-2"/>
          <c:y val="2.7777777777777776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autoTitleDeleted val="0"/>
    <c:plotArea>
      <c:layout/>
      <c:lineChart>
        <c:grouping val="standard"/>
        <c:varyColors val="0"/>
        <c:ser>
          <c:idx val="0"/>
          <c:order val="0"/>
          <c:tx>
            <c:strRef>
              <c:f>TABLICA!$F$27:$G$27</c:f>
              <c:strCache>
                <c:ptCount val="2"/>
                <c:pt idx="0">
                  <c:v>Polska</c:v>
                </c:pt>
              </c:strCache>
            </c:strRef>
          </c:tx>
          <c:spPr>
            <a:ln w="28575" cap="rnd">
              <a:solidFill>
                <a:schemeClr val="accent1"/>
              </a:solidFill>
              <a:round/>
            </a:ln>
            <a:effectLst/>
          </c:spPr>
          <c:marker>
            <c:symbol val="none"/>
          </c:marker>
          <c:cat>
            <c:strRef>
              <c:f>TABLICA!$H$26:$M$26</c:f>
              <c:strCache>
                <c:ptCount val="6"/>
                <c:pt idx="0">
                  <c:v>2017</c:v>
                </c:pt>
                <c:pt idx="1">
                  <c:v>2018</c:v>
                </c:pt>
                <c:pt idx="2">
                  <c:v>2019</c:v>
                </c:pt>
                <c:pt idx="3">
                  <c:v>2020</c:v>
                </c:pt>
                <c:pt idx="4">
                  <c:v>2021</c:v>
                </c:pt>
                <c:pt idx="5">
                  <c:v>2022</c:v>
                </c:pt>
              </c:strCache>
            </c:strRef>
          </c:cat>
          <c:val>
            <c:numRef>
              <c:f>TABLICA!$H$27:$M$27</c:f>
              <c:numCache>
                <c:formatCode>#\ ##0.0</c:formatCode>
                <c:ptCount val="6"/>
                <c:pt idx="0" formatCode="#,##0.00">
                  <c:v>7.08</c:v>
                </c:pt>
                <c:pt idx="1">
                  <c:v>9.1</c:v>
                </c:pt>
                <c:pt idx="2">
                  <c:v>9.4</c:v>
                </c:pt>
                <c:pt idx="3">
                  <c:v>10</c:v>
                </c:pt>
                <c:pt idx="4">
                  <c:v>8.9</c:v>
                </c:pt>
                <c:pt idx="5">
                  <c:v>6.9</c:v>
                </c:pt>
              </c:numCache>
            </c:numRef>
          </c:val>
          <c:smooth val="0"/>
          <c:extLst>
            <c:ext xmlns:c16="http://schemas.microsoft.com/office/drawing/2014/chart" uri="{C3380CC4-5D6E-409C-BE32-E72D297353CC}">
              <c16:uniqueId val="{00000000-9EF4-4BDF-95AE-D8B94DA438E1}"/>
            </c:ext>
          </c:extLst>
        </c:ser>
        <c:ser>
          <c:idx val="1"/>
          <c:order val="1"/>
          <c:tx>
            <c:strRef>
              <c:f>TABLICA!$F$28:$G$28</c:f>
              <c:strCache>
                <c:ptCount val="2"/>
                <c:pt idx="0">
                  <c:v>woj. podkarpackie</c:v>
                </c:pt>
              </c:strCache>
            </c:strRef>
          </c:tx>
          <c:spPr>
            <a:ln w="28575" cap="rnd">
              <a:solidFill>
                <a:schemeClr val="accent2"/>
              </a:solidFill>
              <a:round/>
            </a:ln>
            <a:effectLst/>
          </c:spPr>
          <c:marker>
            <c:symbol val="none"/>
          </c:marker>
          <c:cat>
            <c:strRef>
              <c:f>TABLICA!$H$26:$M$26</c:f>
              <c:strCache>
                <c:ptCount val="6"/>
                <c:pt idx="0">
                  <c:v>2017</c:v>
                </c:pt>
                <c:pt idx="1">
                  <c:v>2018</c:v>
                </c:pt>
                <c:pt idx="2">
                  <c:v>2019</c:v>
                </c:pt>
                <c:pt idx="3">
                  <c:v>2020</c:v>
                </c:pt>
                <c:pt idx="4">
                  <c:v>2021</c:v>
                </c:pt>
                <c:pt idx="5">
                  <c:v>2022</c:v>
                </c:pt>
              </c:strCache>
            </c:strRef>
          </c:cat>
          <c:val>
            <c:numRef>
              <c:f>TABLICA!$H$28:$M$28</c:f>
              <c:numCache>
                <c:formatCode>#\ ##0.0</c:formatCode>
                <c:ptCount val="6"/>
                <c:pt idx="0" formatCode="#,##0.00">
                  <c:v>7.88</c:v>
                </c:pt>
                <c:pt idx="1">
                  <c:v>9</c:v>
                </c:pt>
                <c:pt idx="2">
                  <c:v>9.1</c:v>
                </c:pt>
                <c:pt idx="3">
                  <c:v>10.6</c:v>
                </c:pt>
                <c:pt idx="4">
                  <c:v>9.1</c:v>
                </c:pt>
                <c:pt idx="5">
                  <c:v>11.6</c:v>
                </c:pt>
              </c:numCache>
            </c:numRef>
          </c:val>
          <c:smooth val="0"/>
          <c:extLst>
            <c:ext xmlns:c16="http://schemas.microsoft.com/office/drawing/2014/chart" uri="{C3380CC4-5D6E-409C-BE32-E72D297353CC}">
              <c16:uniqueId val="{00000001-9EF4-4BDF-95AE-D8B94DA438E1}"/>
            </c:ext>
          </c:extLst>
        </c:ser>
        <c:dLbls>
          <c:showLegendKey val="0"/>
          <c:showVal val="0"/>
          <c:showCatName val="0"/>
          <c:showSerName val="0"/>
          <c:showPercent val="0"/>
          <c:showBubbleSize val="0"/>
        </c:dLbls>
        <c:smooth val="0"/>
        <c:axId val="522201152"/>
        <c:axId val="522203896"/>
      </c:lineChart>
      <c:catAx>
        <c:axId val="52220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522203896"/>
        <c:crosses val="autoZero"/>
        <c:auto val="1"/>
        <c:lblAlgn val="ctr"/>
        <c:lblOffset val="100"/>
        <c:noMultiLvlLbl val="0"/>
      </c:catAx>
      <c:valAx>
        <c:axId val="5222038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522201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2DB90-A946-4B98-813A-27048643F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92</Pages>
  <Words>23496</Words>
  <Characters>140976</Characters>
  <Application>Microsoft Office Word</Application>
  <DocSecurity>0</DocSecurity>
  <Lines>1174</Lines>
  <Paragraphs>328</Paragraphs>
  <ScaleCrop>false</ScaleCrop>
  <HeadingPairs>
    <vt:vector size="2" baseType="variant">
      <vt:variant>
        <vt:lpstr>Tytuł</vt:lpstr>
      </vt:variant>
      <vt:variant>
        <vt:i4>1</vt:i4>
      </vt:variant>
    </vt:vector>
  </HeadingPairs>
  <TitlesOfParts>
    <vt:vector size="1" baseType="lpstr">
      <vt:lpstr>Wiodące branże województwa podkarpackiego – inteligentne specjalizacje regionalne</vt:lpstr>
    </vt:vector>
  </TitlesOfParts>
  <Company/>
  <LinksUpToDate>false</LinksUpToDate>
  <CharactersWithSpaces>164144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Wiodące branże województwa podkarpackiego – inteligentne specjalizacje regionalne</dc:title>
  <dc:subject/>
  <dc:creator>UMWP</dc:creator>
  <cp:keywords/>
  <dc:description/>
  <cp:lastModifiedBy>Szluz Krzysztof</cp:lastModifiedBy>
  <cp:revision>49</cp:revision>
  <cp:lastPrinted>2024-03-12T12:53:00Z</cp:lastPrinted>
  <dcterms:created xsi:type="dcterms:W3CDTF">2024-03-13T08:22:00Z</dcterms:created>
  <dcterms:modified xsi:type="dcterms:W3CDTF">2024-03-15T13:11:00Z</dcterms:modified>
</cp:coreProperties>
</file>